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317"/>
        <w:ind w:firstLine="0"/>
        <w:rPr>
          <w:rFonts w:hint="eastAsia" w:eastAsia="黑体"/>
          <w:b/>
          <w:bCs/>
          <w:color w:val="000000"/>
          <w:sz w:val="84"/>
          <w:highlight w:val="none"/>
        </w:rPr>
      </w:pPr>
      <w:r>
        <w:rPr>
          <w:rFonts w:hint="eastAsia" w:eastAsia="黑体"/>
          <w:b/>
          <w:bCs/>
          <w:color w:val="000000"/>
          <w:sz w:val="84"/>
          <w:highlight w:val="none"/>
        </w:rPr>
      </w:r>
      <w:r/>
    </w:p>
    <w:p>
      <w:pPr>
        <w:pStyle w:val="1317"/>
        <w:ind w:firstLine="0"/>
        <w:jc w:val="center"/>
        <w:rPr>
          <w:rFonts w:hint="eastAsia" w:eastAsia="黑体"/>
          <w:b/>
          <w:bCs/>
          <w:color w:val="000000"/>
          <w:sz w:val="84"/>
          <w:highlight w:val="none"/>
        </w:rPr>
      </w:pPr>
      <w:r>
        <w:rPr>
          <w:rFonts w:hint="eastAsia" w:eastAsia="黑体"/>
          <w:b/>
          <w:bCs/>
          <w:color w:val="000000"/>
          <w:sz w:val="84"/>
          <w:highlight w:val="none"/>
        </w:rPr>
        <w:t xml:space="preserve">招　标　文　件</w:t>
      </w:r>
      <w:r>
        <w:rPr>
          <w:rFonts w:hint="eastAsia" w:eastAsia="黑体"/>
          <w:b/>
          <w:bCs/>
          <w:color w:val="000000"/>
          <w:sz w:val="84"/>
          <w:highlight w:val="none"/>
        </w:rPr>
      </w:r>
      <w:r/>
    </w:p>
    <w:p>
      <w:pPr>
        <w:pStyle w:val="1317"/>
        <w:ind w:firstLine="0"/>
        <w:jc w:val="center"/>
        <w:rPr>
          <w:rFonts w:hint="eastAsia"/>
          <w:b/>
          <w:bCs/>
          <w:color w:val="000000"/>
          <w:sz w:val="32"/>
          <w:szCs w:val="32"/>
          <w:highlight w:val="none"/>
        </w:rPr>
      </w:pPr>
      <w:r>
        <w:rPr>
          <w:rFonts w:hint="eastAsia"/>
          <w:b/>
          <w:bCs/>
          <w:color w:val="000000"/>
          <w:sz w:val="32"/>
          <w:szCs w:val="32"/>
          <w:highlight w:val="none"/>
        </w:rPr>
      </w:r>
      <w:r/>
    </w:p>
    <w:p>
      <w:pPr>
        <w:pStyle w:val="1317"/>
        <w:ind w:firstLine="0"/>
        <w:jc w:val="center"/>
        <w:rPr>
          <w:rFonts w:hint="eastAsia"/>
          <w:b/>
          <w:bCs/>
          <w:color w:val="000000"/>
          <w:sz w:val="32"/>
          <w:szCs w:val="32"/>
          <w:highlight w:val="none"/>
        </w:rPr>
      </w:pPr>
      <w:r>
        <w:rPr>
          <w:rFonts w:hint="eastAsia"/>
          <w:b/>
          <w:bCs/>
          <w:color w:val="000000"/>
          <w:sz w:val="32"/>
          <w:szCs w:val="32"/>
          <w:highlight w:val="none"/>
        </w:rPr>
      </w:r>
      <w:r/>
    </w:p>
    <w:p>
      <w:pPr>
        <w:pStyle w:val="1317"/>
        <w:ind w:firstLine="0"/>
        <w:jc w:val="center"/>
        <w:rPr>
          <w:rFonts w:hint="eastAsia" w:eastAsia="宋体"/>
          <w:b/>
          <w:bCs/>
          <w:color w:val="000000"/>
          <w:sz w:val="32"/>
          <w:szCs w:val="32"/>
          <w:highlight w:val="none"/>
          <w:lang w:eastAsia="zh-CN"/>
        </w:rPr>
      </w:pPr>
      <w:r>
        <w:rPr>
          <w:rFonts w:hint="eastAsia"/>
          <w:b/>
          <w:bCs/>
          <w:color w:val="000000"/>
          <w:sz w:val="32"/>
          <w:szCs w:val="32"/>
          <w:highlight w:val="none"/>
        </w:rPr>
        <w:t xml:space="preserve">项目名称：</w:t>
      </w:r>
      <w:r>
        <w:rPr>
          <w:rFonts w:hint="eastAsia"/>
          <w:b/>
          <w:bCs/>
          <w:color w:val="000000"/>
          <w:sz w:val="32"/>
          <w:szCs w:val="32"/>
          <w:highlight w:val="none"/>
          <w:lang w:eastAsia="zh-CN"/>
        </w:rPr>
        <w:t xml:space="preserve">扬中市人民医院X射线计算机体层摄影设备（CT）采购项目</w:t>
      </w:r>
      <w:r>
        <w:rPr>
          <w:rFonts w:hint="eastAsia" w:eastAsia="宋体"/>
          <w:b/>
          <w:bCs/>
          <w:color w:val="000000"/>
          <w:sz w:val="32"/>
          <w:szCs w:val="32"/>
          <w:highlight w:val="none"/>
          <w:lang w:eastAsia="zh-CN"/>
        </w:rPr>
      </w:r>
      <w:r/>
    </w:p>
    <w:p>
      <w:pPr>
        <w:pStyle w:val="1215"/>
        <w:jc w:val="center"/>
        <w:rPr>
          <w:rFonts w:hint="eastAsia" w:eastAsia="宋体"/>
          <w:b/>
          <w:color w:val="000000"/>
          <w:sz w:val="32"/>
          <w:szCs w:val="32"/>
          <w:highlight w:val="none"/>
          <w:lang w:eastAsia="zh-CN"/>
        </w:rPr>
      </w:pPr>
      <w:r>
        <w:rPr>
          <w:rFonts w:hint="eastAsia"/>
          <w:b/>
          <w:bCs/>
          <w:color w:val="000000"/>
          <w:sz w:val="32"/>
          <w:szCs w:val="32"/>
          <w:highlight w:val="none"/>
        </w:rPr>
        <w:t xml:space="preserve">项目编号：</w:t>
      </w:r>
      <w:r>
        <w:rPr>
          <w:rFonts w:hint="eastAsia"/>
          <w:b/>
          <w:bCs/>
          <w:color w:val="000000"/>
          <w:sz w:val="32"/>
          <w:szCs w:val="32"/>
          <w:highlight w:val="none"/>
          <w:lang w:eastAsia="zh-CN"/>
        </w:rPr>
        <w:t xml:space="preserve">JSZC-321182-JJGS-G2026-0015</w:t>
      </w:r>
      <w:r>
        <w:rPr>
          <w:rFonts w:hint="eastAsia" w:eastAsia="宋体"/>
          <w:b/>
          <w:color w:val="000000"/>
          <w:sz w:val="32"/>
          <w:szCs w:val="32"/>
          <w:highlight w:val="none"/>
          <w:lang w:eastAsia="zh-CN"/>
        </w:rPr>
      </w:r>
      <w:r/>
    </w:p>
    <w:p>
      <w:pPr>
        <w:pStyle w:val="1215"/>
        <w:jc w:val="center"/>
        <w:rPr>
          <w:rFonts w:hint="eastAsia"/>
          <w:b/>
          <w:color w:val="000000"/>
          <w:sz w:val="32"/>
          <w:szCs w:val="32"/>
          <w:highlight w:val="none"/>
        </w:rPr>
      </w:pPr>
      <w:r>
        <w:rPr>
          <w:rFonts w:hint="eastAsia"/>
          <w:b/>
          <w:color w:val="000000"/>
          <w:sz w:val="32"/>
          <w:szCs w:val="32"/>
          <w:highlight w:val="none"/>
        </w:rPr>
      </w:r>
      <w:r/>
    </w:p>
    <w:p>
      <w:pPr>
        <w:pStyle w:val="1215"/>
        <w:jc w:val="center"/>
        <w:rPr>
          <w:rFonts w:hint="eastAsia"/>
          <w:b/>
          <w:color w:val="000000"/>
          <w:sz w:val="32"/>
          <w:szCs w:val="32"/>
          <w:highlight w:val="none"/>
        </w:rPr>
      </w:pPr>
      <w:r>
        <w:rPr>
          <w:rFonts w:hint="eastAsia"/>
          <w:b/>
          <w:color w:val="000000"/>
          <w:sz w:val="32"/>
          <w:szCs w:val="32"/>
          <w:highlight w:val="none"/>
        </w:rPr>
        <w:t xml:space="preserve">（全流程电子化</w:t>
      </w:r>
      <w:r>
        <w:rPr>
          <w:b/>
          <w:color w:val="000000"/>
          <w:sz w:val="32"/>
          <w:szCs w:val="32"/>
          <w:highlight w:val="none"/>
        </w:rPr>
        <w:t xml:space="preserve">-</w:t>
      </w:r>
      <w:r>
        <w:rPr>
          <w:rFonts w:hint="eastAsia"/>
          <w:b/>
          <w:color w:val="000000"/>
          <w:sz w:val="32"/>
          <w:szCs w:val="32"/>
          <w:highlight w:val="none"/>
          <w:lang w:eastAsia="zh-CN"/>
        </w:rPr>
        <w:t xml:space="preserve">货物</w:t>
      </w:r>
      <w:r>
        <w:rPr>
          <w:rFonts w:hint="eastAsia"/>
          <w:b/>
          <w:color w:val="000000"/>
          <w:sz w:val="32"/>
          <w:szCs w:val="32"/>
          <w:highlight w:val="none"/>
        </w:rPr>
        <w:t xml:space="preserve">类项目，适用苏采云系统）</w:t>
      </w:r>
      <w:r>
        <w:rPr>
          <w:rFonts w:hint="eastAsia"/>
          <w:b/>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317"/>
        <w:ind w:firstLine="0"/>
        <w:spacing w:before="0" w:after="0"/>
        <w:rPr>
          <w:rFonts w:hint="eastAsia" w:ascii="宋体" w:hAnsi="宋体"/>
          <w:color w:val="000000"/>
          <w:sz w:val="32"/>
          <w:szCs w:val="32"/>
          <w:highlight w:val="none"/>
        </w:rPr>
      </w:pPr>
      <w:r>
        <w:rPr>
          <w:rFonts w:hint="eastAsia" w:ascii="宋体" w:hAnsi="宋体"/>
          <w:color w:val="000000"/>
          <w:sz w:val="32"/>
          <w:szCs w:val="32"/>
          <w:highlight w:val="none"/>
        </w:rPr>
      </w:r>
      <w:r/>
    </w:p>
    <w:p>
      <w:pPr>
        <w:pStyle w:val="121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rPr>
        <w:t xml:space="preserve">江苏金居工程项目管理有限公司</w:t>
      </w:r>
      <w:r>
        <w:rPr>
          <w:rFonts w:hint="eastAsia" w:ascii="Arial" w:hAnsi="Arial"/>
          <w:b/>
          <w:bCs/>
          <w:color w:val="000000"/>
          <w:sz w:val="32"/>
          <w:szCs w:val="32"/>
          <w:highlight w:val="none"/>
        </w:rPr>
      </w:r>
      <w:r/>
    </w:p>
    <w:p>
      <w:pPr>
        <w:pStyle w:val="1215"/>
        <w:jc w:val="center"/>
        <w:spacing w:before="120" w:after="120" w:line="360" w:lineRule="auto"/>
        <w:rPr>
          <w:rFonts w:hint="eastAsia" w:ascii="Arial" w:hAnsi="Arial"/>
          <w:b/>
          <w:bCs/>
          <w:color w:val="000000"/>
          <w:sz w:val="32"/>
          <w:szCs w:val="32"/>
          <w:highlight w:val="none"/>
        </w:rPr>
      </w:pPr>
      <w:r>
        <w:rPr>
          <w:rFonts w:hint="eastAsia" w:ascii="Arial" w:hAnsi="Arial"/>
          <w:b/>
          <w:bCs/>
          <w:color w:val="000000"/>
          <w:sz w:val="32"/>
          <w:szCs w:val="32"/>
          <w:highlight w:val="none"/>
          <w:lang w:eastAsia="zh-CN"/>
        </w:rPr>
        <w:t xml:space="preserve">2026</w:t>
      </w:r>
      <w:r>
        <w:rPr>
          <w:rFonts w:hint="eastAsia" w:ascii="Arial" w:hAnsi="Arial"/>
          <w:b/>
          <w:bCs/>
          <w:color w:val="000000"/>
          <w:sz w:val="32"/>
          <w:szCs w:val="32"/>
          <w:highlight w:val="none"/>
        </w:rPr>
        <w:t xml:space="preserve">年</w:t>
      </w:r>
      <w:r>
        <w:rPr>
          <w:rFonts w:hint="eastAsia" w:ascii="Arial" w:hAnsi="Arial"/>
          <w:b/>
          <w:bCs/>
          <w:color w:val="000000"/>
          <w:sz w:val="32"/>
          <w:szCs w:val="32"/>
          <w:highlight w:val="none"/>
          <w:lang w:val="en-US" w:eastAsia="zh-CN"/>
        </w:rPr>
        <w:t xml:space="preserve">9</w:t>
      </w:r>
      <w:r>
        <w:rPr>
          <w:rFonts w:hint="eastAsia" w:ascii="Arial" w:hAnsi="Arial"/>
          <w:b/>
          <w:bCs/>
          <w:color w:val="000000"/>
          <w:sz w:val="32"/>
          <w:szCs w:val="32"/>
          <w:highlight w:val="none"/>
        </w:rPr>
        <w:t xml:space="preserve">月</w:t>
      </w:r>
      <w:r>
        <w:rPr>
          <w:rFonts w:hint="eastAsia" w:ascii="Arial" w:hAnsi="Arial"/>
          <w:b/>
          <w:bCs/>
          <w:color w:val="000000"/>
          <w:sz w:val="32"/>
          <w:szCs w:val="32"/>
          <w:highlight w:val="none"/>
          <w:lang w:val="en-US" w:eastAsia="zh-CN"/>
        </w:rPr>
        <w:t xml:space="preserve">1</w:t>
      </w:r>
      <w:r>
        <w:rPr>
          <w:rFonts w:hint="eastAsia" w:ascii="Arial" w:hAnsi="Arial"/>
          <w:b/>
          <w:bCs/>
          <w:color w:val="000000"/>
          <w:sz w:val="32"/>
          <w:szCs w:val="32"/>
          <w:highlight w:val="none"/>
        </w:rPr>
        <w:t xml:space="preserve">日</w:t>
      </w:r>
      <w:r>
        <w:rPr>
          <w:rFonts w:hint="eastAsia" w:ascii="Arial" w:hAnsi="Arial"/>
          <w:b/>
          <w:bCs/>
          <w:color w:val="000000"/>
          <w:sz w:val="32"/>
          <w:szCs w:val="32"/>
          <w:highlight w:val="none"/>
        </w:rPr>
      </w:r>
      <w:r/>
    </w:p>
    <w:p>
      <w:pPr>
        <w:pStyle w:val="1317"/>
        <w:ind w:firstLine="0"/>
        <w:rPr>
          <w:rFonts w:hint="eastAsia"/>
          <w:color w:val="000000"/>
          <w:highlight w:val="none"/>
          <w:u w:val="single"/>
        </w:rPr>
      </w:pPr>
      <w:r>
        <w:rPr>
          <w:rFonts w:hint="eastAsia"/>
          <w:color w:val="000000"/>
          <w:highlight w:val="none"/>
        </w:rPr>
        <w:t xml:space="preserve">                        </w:t>
      </w:r>
      <w:r>
        <w:rPr>
          <w:rFonts w:hint="eastAsia"/>
          <w:color w:val="000000"/>
          <w:highlight w:val="none"/>
          <w:u w:val="single"/>
        </w:rPr>
      </w:r>
      <w:r/>
    </w:p>
    <w:p>
      <w:pPr>
        <w:pStyle w:val="1317"/>
        <w:ind w:firstLine="0"/>
        <w:jc w:val="center"/>
        <w:rPr>
          <w:rFonts w:hint="eastAsia"/>
          <w:color w:val="000000"/>
          <w:highlight w:val="none"/>
        </w:rPr>
      </w:pPr>
      <w:r>
        <w:rPr>
          <w:rFonts w:hint="eastAsia"/>
          <w:color w:val="000000"/>
          <w:highlight w:val="none"/>
        </w:rPr>
      </w:r>
      <w:r/>
    </w:p>
    <w:p>
      <w:pPr>
        <w:pStyle w:val="1215"/>
        <w:jc w:val="center"/>
        <w:spacing w:line="480" w:lineRule="auto"/>
        <w:rPr>
          <w:rFonts w:hint="eastAsia" w:ascii="黑体" w:hAnsi="Arial" w:eastAsia="黑体"/>
          <w:b/>
          <w:color w:val="000000"/>
          <w:sz w:val="44"/>
          <w:highlight w:val="none"/>
        </w:rPr>
        <w:outlineLvl w:val="0"/>
      </w:pPr>
      <w:r>
        <w:rPr>
          <w:color w:val="000000"/>
          <w:highlight w:val="none"/>
        </w:rPr>
        <w:br w:type="page" w:clear="all"/>
      </w:r>
      <w:bookmarkStart w:id="0" w:name="_Toc120614210"/>
      <w:r/>
      <w:bookmarkStart w:id="1" w:name="_Toc479757206"/>
      <w:r/>
      <w:bookmarkStart w:id="2" w:name="_Toc513029200"/>
      <w:r/>
      <w:bookmarkStart w:id="3" w:name="_Toc523127445"/>
      <w:r/>
      <w:bookmarkStart w:id="4" w:name="_Toc20823272"/>
      <w:r/>
      <w:bookmarkStart w:id="5" w:name="_Toc16938516"/>
      <w:r>
        <w:rPr>
          <w:rFonts w:hint="eastAsia"/>
          <w:color w:val="000000"/>
          <w:highlight w:val="none"/>
        </w:rPr>
        <w:t xml:space="preserve"> </w:t>
      </w:r>
      <w:r>
        <w:rPr>
          <w:rFonts w:hint="eastAsia" w:ascii="黑体" w:hAnsi="Arial" w:eastAsia="黑体"/>
          <w:b/>
          <w:color w:val="000000"/>
          <w:sz w:val="44"/>
          <w:highlight w:val="none"/>
        </w:rPr>
        <w:t xml:space="preserve">总  目  录</w:t>
      </w:r>
      <w:r>
        <w:rPr>
          <w:rFonts w:hint="eastAsia" w:ascii="黑体" w:hAnsi="Arial" w:eastAsia="黑体"/>
          <w:b/>
          <w:color w:val="000000"/>
          <w:sz w:val="44"/>
          <w:highlight w:val="none"/>
        </w:rPr>
      </w:r>
      <w:r/>
    </w:p>
    <w:p>
      <w:pPr>
        <w:pStyle w:val="1215"/>
        <w:spacing w:line="480" w:lineRule="auto"/>
        <w:rPr>
          <w:rFonts w:hint="eastAsia" w:ascii="仿宋_GB2312" w:hAnsi="Arial" w:eastAsia="仿宋_GB2312"/>
          <w:b/>
          <w:color w:val="000000"/>
          <w:sz w:val="28"/>
          <w:highlight w:val="none"/>
        </w:rPr>
      </w:pPr>
      <w:r>
        <w:rPr>
          <w:rFonts w:hint="eastAsia" w:ascii="仿宋_GB2312" w:hAnsi="Arial" w:eastAsia="仿宋_GB2312"/>
          <w:b/>
          <w:color w:val="000000"/>
          <w:sz w:val="28"/>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2"/>
          <w:highlight w:val="none"/>
        </w:rPr>
        <w:outlineLvl w:val="0"/>
      </w:pPr>
      <w:r>
        <w:rPr>
          <w:rFonts w:hint="eastAsia" w:ascii="黑体" w:hAnsi="宋体" w:eastAsia="黑体"/>
          <w:color w:val="000000"/>
          <w:sz w:val="36"/>
          <w:highlight w:val="none"/>
        </w:rPr>
        <w:t xml:space="preserve">投标邀请</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t xml:space="preserve">  </w:t>
      </w:r>
      <w:r>
        <w:rPr>
          <w:rFonts w:hint="eastAsia" w:ascii="黑体" w:hAnsi="Showcard Gothic" w:eastAsia="黑体"/>
          <w:color w:val="000000"/>
          <w:sz w:val="32"/>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投标人须知</w:t>
      </w:r>
      <w:r>
        <w:rPr>
          <w:rFonts w:hint="eastAsia" w:ascii="黑体" w:hAnsi="Showcard Gothic" w:eastAsia="黑体"/>
          <w:color w:val="000000"/>
          <w:sz w:val="36"/>
          <w:szCs w:val="36"/>
          <w:highlight w:val="none"/>
        </w:rPr>
        <w:t xml:space="preserve">…</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合同文本</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color w:val="000000"/>
          <w:sz w:val="36"/>
          <w:highlight w:val="none"/>
        </w:rPr>
        <w:t xml:space="preserve">招标需求</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ascii="黑体" w:hAnsi="Showcard Gothic" w:eastAsia="黑体"/>
          <w:color w:val="000000"/>
          <w:sz w:val="36"/>
          <w:highlight w:val="none"/>
        </w:rPr>
        <w:outlineLvl w:val="0"/>
      </w:pPr>
      <w:r>
        <w:rPr>
          <w:rFonts w:hint="eastAsia" w:ascii="黑体" w:hAnsi="宋体" w:eastAsia="黑体"/>
          <w:bCs/>
          <w:color w:val="000000"/>
          <w:sz w:val="36"/>
          <w:szCs w:val="36"/>
          <w:highlight w:val="none"/>
        </w:rPr>
        <w:t xml:space="preserve">评标方法与评标标准</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ascii="黑体" w:hAnsi="Showcard Gothic" w:eastAsia="黑体"/>
          <w:color w:val="000000"/>
          <w:sz w:val="36"/>
          <w:highlight w:val="none"/>
        </w:rPr>
      </w:r>
      <w:r/>
    </w:p>
    <w:p>
      <w:pPr>
        <w:pStyle w:val="1215"/>
        <w:numPr>
          <w:ilvl w:val="0"/>
          <w:numId w:val="4"/>
        </w:numPr>
        <w:spacing w:line="480" w:lineRule="auto"/>
        <w:tabs>
          <w:tab w:val="left" w:pos="1440" w:leader="none"/>
        </w:tabs>
        <w:rPr>
          <w:rFonts w:hint="eastAsia"/>
          <w:color w:val="000000"/>
          <w:highlight w:val="none"/>
        </w:rPr>
        <w:outlineLvl w:val="0"/>
      </w:pPr>
      <w:r>
        <w:rPr>
          <w:rFonts w:hint="eastAsia" w:ascii="黑体" w:hAnsi="宋体" w:eastAsia="黑体"/>
          <w:color w:val="000000"/>
          <w:sz w:val="36"/>
          <w:highlight w:val="none"/>
        </w:rPr>
        <w:t xml:space="preserve">投标文件格式</w:t>
      </w:r>
      <w:r>
        <w:rPr>
          <w:rFonts w:hint="eastAsia" w:ascii="黑体" w:hAnsi="Showcard Gothic" w:eastAsia="黑体"/>
          <w:color w:val="000000"/>
          <w:sz w:val="36"/>
          <w:highlight w:val="none"/>
        </w:rPr>
        <w:t xml:space="preserve">………………………………</w:t>
      </w:r>
      <w:r>
        <w:rPr>
          <w:rFonts w:hint="eastAsia" w:ascii="黑体" w:hAnsi="Showcard Gothic" w:eastAsia="黑体"/>
          <w:color w:val="000000"/>
          <w:sz w:val="36"/>
          <w:highlight w:val="none"/>
          <w:lang w:val="en-US" w:eastAsia="zh-CN"/>
        </w:rPr>
        <w:t xml:space="preserve"> </w:t>
      </w: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5"/>
        <w:rPr>
          <w:rFonts w:hint="eastAsia"/>
          <w:color w:val="000000"/>
          <w:highlight w:val="none"/>
        </w:rPr>
      </w:pPr>
      <w:r>
        <w:rPr>
          <w:rFonts w:hint="eastAsia"/>
          <w:color w:val="000000"/>
          <w:highlight w:val="none"/>
        </w:rPr>
      </w:r>
      <w:r/>
    </w:p>
    <w:p>
      <w:pPr>
        <w:pStyle w:val="1216"/>
        <w:spacing w:before="120" w:after="120" w:line="440" w:lineRule="exact"/>
        <w:rPr>
          <w:rFonts w:hint="eastAsia" w:ascii="黑体" w:eastAsia="黑体"/>
          <w:bCs/>
          <w:color w:val="000000"/>
          <w:sz w:val="32"/>
          <w:szCs w:val="32"/>
          <w:highlight w:val="none"/>
        </w:rPr>
      </w:pPr>
      <w:r>
        <w:rPr>
          <w:rFonts w:hint="eastAsia" w:ascii="黑体" w:eastAsia="黑体"/>
          <w:color w:val="000000"/>
          <w:sz w:val="32"/>
          <w:szCs w:val="32"/>
          <w:highlight w:val="none"/>
        </w:rPr>
        <w:t xml:space="preserve">第一章  </w:t>
      </w:r>
      <w:bookmarkEnd w:id="0"/>
      <w:r>
        <w:rPr>
          <w:rFonts w:hint="eastAsia" w:ascii="黑体" w:eastAsia="黑体"/>
          <w:color w:val="000000"/>
          <w:sz w:val="32"/>
          <w:szCs w:val="32"/>
          <w:highlight w:val="none"/>
        </w:rPr>
        <w:t xml:space="preserve">投标邀请</w:t>
      </w:r>
      <w:r>
        <w:rPr>
          <w:rFonts w:hint="eastAsia" w:ascii="黑体" w:eastAsia="黑体"/>
          <w:bCs/>
          <w:color w:val="000000"/>
          <w:sz w:val="32"/>
          <w:szCs w:val="32"/>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受</w:t>
      </w:r>
      <w:r>
        <w:rPr>
          <w:rFonts w:hint="eastAsia" w:ascii="宋体" w:hAnsi="宋体"/>
          <w:color w:val="000000"/>
          <w:sz w:val="24"/>
          <w:szCs w:val="24"/>
          <w:highlight w:val="none"/>
          <w:lang w:eastAsia="zh-CN"/>
        </w:rPr>
        <w:t xml:space="preserve">扬中市人民医院</w:t>
      </w:r>
      <w:r>
        <w:rPr>
          <w:rFonts w:hint="eastAsia" w:ascii="宋体" w:hAnsi="宋体"/>
          <w:color w:val="000000"/>
          <w:sz w:val="24"/>
          <w:szCs w:val="24"/>
          <w:highlight w:val="none"/>
        </w:rPr>
        <w:t xml:space="preserve">的委托，就[</w:t>
      </w:r>
      <w:r>
        <w:rPr>
          <w:rFonts w:hint="eastAsia" w:ascii="宋体" w:hAnsi="宋体"/>
          <w:color w:val="000000"/>
          <w:sz w:val="24"/>
          <w:szCs w:val="24"/>
          <w:highlight w:val="none"/>
          <w:lang w:eastAsia="zh-CN"/>
        </w:rPr>
        <w:t xml:space="preserve">扬中市人民医院X射线计算机体层摄影设备（CT）</w:t>
      </w:r>
      <w:r>
        <w:rPr>
          <w:rFonts w:hint="eastAsia" w:ascii="宋体" w:hAnsi="宋体"/>
          <w:color w:val="000000"/>
          <w:sz w:val="24"/>
          <w:szCs w:val="24"/>
          <w:highlight w:val="none"/>
          <w:lang w:eastAsia="zh-CN"/>
        </w:rPr>
        <w:t xml:space="preserve">采购项目</w:t>
      </w:r>
      <w:r>
        <w:rPr>
          <w:rFonts w:hint="eastAsia" w:ascii="宋体" w:hAnsi="宋体"/>
          <w:color w:val="000000"/>
          <w:sz w:val="24"/>
          <w:szCs w:val="24"/>
          <w:highlight w:val="none"/>
        </w:rPr>
        <w:t xml:space="preserve">]([</w:t>
      </w:r>
      <w:r>
        <w:rPr>
          <w:rFonts w:hint="eastAsia" w:ascii="宋体" w:hAnsi="宋体"/>
          <w:b/>
          <w:bCs/>
          <w:color w:val="000000"/>
          <w:sz w:val="24"/>
          <w:szCs w:val="24"/>
          <w:highlight w:val="none"/>
        </w:rPr>
        <w:t xml:space="preserve">(</w:t>
      </w:r>
      <w:r>
        <w:rPr>
          <w:rFonts w:hint="eastAsia" w:ascii="宋体" w:hAnsi="宋体"/>
          <w:b/>
          <w:bCs/>
          <w:color w:val="000000"/>
          <w:sz w:val="24"/>
          <w:szCs w:val="24"/>
          <w:highlight w:val="none"/>
          <w:lang w:eastAsia="zh-CN"/>
        </w:rPr>
        <w:t xml:space="preserve">JSZC-321182-JJGS-G2026-0015</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t xml:space="preserve">])项目进行公开招标，欢迎符合条件</w:t>
      </w:r>
      <w:r>
        <w:rPr>
          <w:rFonts w:hint="eastAsia" w:ascii="宋体" w:hAnsi="宋体"/>
          <w:color w:val="000000"/>
          <w:sz w:val="24"/>
          <w:szCs w:val="24"/>
          <w:highlight w:val="none"/>
        </w:rPr>
        <w:t xml:space="preserve">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投标。</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rPr>
        <w:t xml:space="preserve">项目概况</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rPr>
        <w:t xml:space="preserve">招标项目的潜在投标人可在</w:t>
      </w:r>
      <w:r>
        <w:rPr>
          <w:rFonts w:hint="eastAsia" w:ascii="宋体" w:hAnsi="宋体"/>
          <w:color w:val="000000"/>
          <w:sz w:val="24"/>
          <w:szCs w:val="24"/>
          <w:highlight w:val="none"/>
          <w:u w:val="single"/>
        </w:rPr>
        <w:t xml:space="preserve">“江苏政府网”http://jszfcg.jscz.gov.cn/jszc/login自行免费下载</w:t>
      </w:r>
      <w:r>
        <w:rPr>
          <w:rFonts w:hint="eastAsia" w:ascii="宋体" w:hAnsi="宋体"/>
          <w:color w:val="000000"/>
          <w:sz w:val="24"/>
          <w:szCs w:val="24"/>
          <w:highlight w:val="none"/>
        </w:rPr>
        <w:t xml:space="preserve">招标文件，</w:t>
      </w:r>
      <w:r>
        <w:rPr>
          <w:rFonts w:hint="eastAsia" w:ascii="宋体" w:hAnsi="宋体"/>
          <w:b/>
          <w:bCs/>
          <w:color w:val="ff0000"/>
          <w:sz w:val="24"/>
          <w:szCs w:val="24"/>
          <w:highlight w:val="none"/>
        </w:rPr>
        <w:t xml:space="preserve">并于</w:t>
      </w:r>
      <w:r>
        <w:rPr>
          <w:rFonts w:hint="eastAsia" w:ascii="宋体" w:hAnsi="宋体"/>
          <w:b/>
          <w:bCs/>
          <w:color w:val="ff0000"/>
          <w:sz w:val="24"/>
          <w:szCs w:val="24"/>
          <w:highlight w:val="none"/>
          <w:u w:val="single"/>
          <w:lang w:eastAsia="zh-CN"/>
        </w:rPr>
        <w:t xml:space="preserve">2026</w:t>
      </w:r>
      <w:r>
        <w:rPr>
          <w:rFonts w:hint="eastAsia" w:ascii="宋体" w:hAnsi="宋体"/>
          <w:b/>
          <w:bCs/>
          <w:color w:val="ff0000"/>
          <w:sz w:val="24"/>
          <w:szCs w:val="24"/>
          <w:highlight w:val="none"/>
          <w:u w:val="single"/>
        </w:rPr>
        <w:t xml:space="preserve">年</w:t>
      </w:r>
      <w:r>
        <w:rPr>
          <w:rFonts w:hint="eastAsia" w:ascii="宋体" w:hAnsi="宋体"/>
          <w:b/>
          <w:bCs/>
          <w:color w:val="ff0000"/>
          <w:sz w:val="24"/>
          <w:szCs w:val="24"/>
          <w:highlight w:val="none"/>
          <w:u w:val="single"/>
          <w:lang w:val="en-US" w:eastAsia="zh-CN"/>
        </w:rPr>
        <w:t xml:space="preserve">10</w:t>
      </w:r>
      <w:r>
        <w:rPr>
          <w:rFonts w:hint="eastAsia" w:ascii="宋体" w:hAnsi="宋体"/>
          <w:b/>
          <w:bCs/>
          <w:color w:val="ff0000"/>
          <w:sz w:val="24"/>
          <w:szCs w:val="24"/>
          <w:highlight w:val="none"/>
          <w:u w:val="single"/>
        </w:rPr>
        <w:t xml:space="preserve">月9</w:t>
      </w:r>
      <w:r>
        <w:rPr>
          <w:rFonts w:hint="eastAsia" w:ascii="宋体" w:hAnsi="宋体"/>
          <w:b/>
          <w:bCs/>
          <w:color w:val="ff0000"/>
          <w:sz w:val="24"/>
          <w:szCs w:val="24"/>
          <w:highlight w:val="none"/>
          <w:u w:val="single"/>
        </w:rPr>
        <w:t xml:space="preserve">日</w:t>
      </w:r>
      <w:r>
        <w:rPr>
          <w:rFonts w:hint="eastAsia" w:ascii="宋体" w:hAnsi="宋体"/>
          <w:b/>
          <w:bCs/>
          <w:color w:val="ff0000"/>
          <w:sz w:val="24"/>
          <w:szCs w:val="24"/>
          <w:highlight w:val="none"/>
          <w:u w:val="single"/>
          <w:lang w:val="en-US" w:eastAsia="zh-CN"/>
        </w:rPr>
        <w:t xml:space="preserve">1</w:t>
      </w:r>
      <w:r>
        <w:rPr>
          <w:rFonts w:hint="eastAsia" w:ascii="宋体" w:hAnsi="宋体"/>
          <w:b/>
          <w:bCs/>
          <w:color w:val="ff0000"/>
          <w:sz w:val="24"/>
          <w:szCs w:val="24"/>
          <w:highlight w:val="none"/>
          <w:u w:val="single"/>
          <w:lang w:val="en-US" w:eastAsia="zh-CN"/>
        </w:rPr>
        <w:t xml:space="preserve">4</w:t>
      </w:r>
      <w:r>
        <w:rPr>
          <w:rFonts w:hint="eastAsia" w:ascii="宋体" w:hAnsi="宋体"/>
          <w:b/>
          <w:bCs/>
          <w:color w:val="ff0000"/>
          <w:sz w:val="24"/>
          <w:szCs w:val="24"/>
          <w:highlight w:val="none"/>
          <w:u w:val="single"/>
        </w:rPr>
        <w:t xml:space="preserve">点</w:t>
      </w:r>
      <w:r>
        <w:rPr>
          <w:rFonts w:hint="eastAsia" w:ascii="宋体" w:hAnsi="宋体"/>
          <w:b/>
          <w:bCs/>
          <w:color w:val="ff0000"/>
          <w:sz w:val="24"/>
          <w:szCs w:val="24"/>
          <w:highlight w:val="none"/>
          <w:u w:val="single"/>
          <w:lang w:val="en-US" w:eastAsia="zh-CN"/>
        </w:rPr>
        <w:t xml:space="preserve">3</w:t>
      </w:r>
      <w:r>
        <w:rPr>
          <w:rFonts w:hint="eastAsia" w:ascii="宋体" w:hAnsi="宋体"/>
          <w:b/>
          <w:bCs/>
          <w:color w:val="ff0000"/>
          <w:sz w:val="24"/>
          <w:szCs w:val="24"/>
          <w:highlight w:val="none"/>
          <w:u w:val="single"/>
          <w:lang w:val="en-US" w:eastAsia="zh-CN"/>
        </w:rPr>
        <w:t xml:space="preserve">0</w:t>
      </w:r>
      <w:r>
        <w:rPr>
          <w:rFonts w:hint="eastAsia" w:ascii="宋体" w:hAnsi="宋体"/>
          <w:b/>
          <w:bCs/>
          <w:color w:val="ff0000"/>
          <w:sz w:val="24"/>
          <w:szCs w:val="24"/>
          <w:highlight w:val="none"/>
          <w:u w:val="single"/>
        </w:rPr>
        <w:t xml:space="preserve">分（</w:t>
      </w:r>
      <w:r>
        <w:rPr>
          <w:rFonts w:hint="eastAsia" w:ascii="宋体" w:hAnsi="宋体"/>
          <w:b/>
          <w:bCs/>
          <w:color w:val="ff0000"/>
          <w:sz w:val="24"/>
          <w:szCs w:val="24"/>
          <w:highlight w:val="none"/>
        </w:rPr>
        <w:t xml:space="preserve">北京时间）前递交投标</w:t>
      </w:r>
      <w:r>
        <w:rPr>
          <w:rFonts w:ascii="宋体" w:hAnsi="宋体"/>
          <w:b/>
          <w:bCs/>
          <w:color w:val="ff0000"/>
          <w:sz w:val="24"/>
          <w:szCs w:val="24"/>
          <w:highlight w:val="none"/>
        </w:rPr>
        <w:t xml:space="preserve">文件</w:t>
      </w:r>
      <w:r>
        <w:rPr>
          <w:rFonts w:hint="eastAsia" w:ascii="宋体" w:hAnsi="宋体"/>
          <w:b/>
          <w:bCs/>
          <w:color w:val="ff0000"/>
          <w:sz w:val="24"/>
          <w:szCs w:val="24"/>
          <w:highlight w:val="none"/>
        </w:rPr>
        <w:t xml:space="preserve">。</w:t>
      </w:r>
      <w:r>
        <w:rPr>
          <w:rFonts w:ascii="宋体" w:hAnsi="宋体"/>
          <w:color w:val="000000"/>
          <w:sz w:val="24"/>
          <w:szCs w:val="24"/>
          <w:highlight w:val="none"/>
        </w:rPr>
      </w:r>
      <w:r/>
    </w:p>
    <w:p>
      <w:pPr>
        <w:pStyle w:val="1218"/>
        <w:ind w:firstLine="373"/>
        <w:spacing w:before="120" w:after="120" w:line="440" w:lineRule="exact"/>
        <w:rPr>
          <w:color w:val="000000"/>
          <w:sz w:val="24"/>
          <w:szCs w:val="24"/>
          <w:highlight w:val="none"/>
        </w:rPr>
      </w:pPr>
      <w:r/>
      <w:bookmarkStart w:id="6" w:name="_Toc35393790"/>
      <w:r/>
      <w:bookmarkStart w:id="7" w:name="_Toc35393621"/>
      <w:r/>
      <w:bookmarkStart w:id="8" w:name="_Toc28359002"/>
      <w:r/>
      <w:bookmarkStart w:id="9" w:name="_Toc28359079"/>
      <w:r/>
      <w:bookmarkStart w:id="10" w:name="_Toc38985263"/>
      <w:r/>
      <w:bookmarkStart w:id="11" w:name="_Hlk24379207"/>
      <w:r>
        <w:rPr>
          <w:rFonts w:hint="eastAsia"/>
          <w:color w:val="000000"/>
          <w:sz w:val="24"/>
          <w:szCs w:val="24"/>
          <w:highlight w:val="none"/>
        </w:rPr>
        <w:t xml:space="preserve">一、项目基本情况</w:t>
      </w:r>
      <w:bookmarkEnd w:id="6"/>
      <w:r/>
      <w:bookmarkEnd w:id="7"/>
      <w:r/>
      <w:bookmarkEnd w:id="8"/>
      <w:r/>
      <w:bookmarkEnd w:id="9"/>
      <w:r/>
      <w:bookmarkEnd w:id="10"/>
      <w:r>
        <w:rPr>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bookmarkEnd w:id="11"/>
      <w:r/>
      <w:bookmarkStart w:id="12" w:name="_Toc35393622"/>
      <w:r/>
      <w:bookmarkStart w:id="13" w:name="_Toc28359003"/>
      <w:r/>
      <w:bookmarkStart w:id="14" w:name="_Toc35393791"/>
      <w:r/>
      <w:bookmarkStart w:id="15" w:name="_Toc28359080"/>
      <w:r/>
      <w:bookmarkStart w:id="16" w:name="_Toc38985264"/>
      <w:r>
        <w:rPr>
          <w:rFonts w:hint="eastAsia" w:ascii="宋体" w:hAnsi="宋体"/>
          <w:color w:val="000000"/>
          <w:sz w:val="24"/>
          <w:szCs w:val="24"/>
          <w:highlight w:val="none"/>
        </w:rPr>
        <w:t xml:space="preserve">1.项目编号：</w:t>
      </w:r>
      <w:r>
        <w:rPr>
          <w:rFonts w:hint="eastAsia" w:ascii="宋体" w:hAnsi="宋体"/>
          <w:color w:val="000000"/>
          <w:sz w:val="24"/>
          <w:szCs w:val="24"/>
          <w:highlight w:val="none"/>
          <w:lang w:eastAsia="zh-CN"/>
        </w:rPr>
        <w:t xml:space="preserve">JSZC-321182-JJGS-G2026-0015</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2.项目名称：</w:t>
      </w:r>
      <w:r>
        <w:rPr>
          <w:rFonts w:hint="eastAsia" w:ascii="宋体" w:hAnsi="宋体"/>
          <w:color w:val="000000"/>
          <w:sz w:val="24"/>
          <w:szCs w:val="24"/>
          <w:highlight w:val="none"/>
          <w:lang w:eastAsia="zh-CN"/>
        </w:rPr>
        <w:t xml:space="preserve">扬中市人民医院X射线计算机体层摄影设备（CT）采购项目</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5"/>
        <w:ind w:firstLine="48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3.预算金额：220万元；</w:t>
      </w:r>
      <w:r>
        <w:rPr>
          <w:rFonts w:ascii="宋体" w:hAnsi="宋体"/>
          <w:b/>
          <w:bCs/>
          <w:color w:val="000000"/>
          <w:sz w:val="24"/>
          <w:szCs w:val="24"/>
          <w:highlight w:val="none"/>
        </w:rPr>
      </w:r>
      <w:r/>
    </w:p>
    <w:p>
      <w:pPr>
        <w:pStyle w:val="1215"/>
        <w:ind w:firstLine="48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4.本项目</w:t>
      </w:r>
      <w:r>
        <w:rPr>
          <w:rFonts w:hint="eastAsia" w:ascii="宋体" w:hAnsi="宋体"/>
          <w:b/>
          <w:bCs/>
          <w:color w:val="000000"/>
          <w:sz w:val="24"/>
          <w:szCs w:val="24"/>
          <w:highlight w:val="none"/>
          <w:u w:val="single"/>
        </w:rPr>
        <w:t xml:space="preserve"> 设定 </w:t>
      </w:r>
      <w:r>
        <w:rPr>
          <w:rFonts w:hint="eastAsia" w:ascii="宋体" w:hAnsi="宋体"/>
          <w:b/>
          <w:bCs/>
          <w:color w:val="000000"/>
          <w:sz w:val="24"/>
          <w:szCs w:val="24"/>
          <w:highlight w:val="none"/>
        </w:rPr>
        <w:t xml:space="preserve">最高限价，最高限价为220万元；</w:t>
      </w:r>
      <w:r>
        <w:rPr>
          <w:rFonts w:hint="eastAsia" w:ascii="宋体" w:hAnsi="宋体"/>
          <w:b/>
          <w:bCs/>
          <w:color w:val="000000"/>
          <w:sz w:val="24"/>
          <w:szCs w:val="24"/>
          <w:highlight w:val="none"/>
        </w:rPr>
      </w:r>
      <w:r/>
    </w:p>
    <w:p>
      <w:pPr>
        <w:pStyle w:val="121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5.需求(简介)：</w:t>
      </w:r>
      <w:r>
        <w:rPr>
          <w:rFonts w:hint="eastAsia" w:ascii="宋体" w:hAnsi="宋体"/>
          <w:color w:val="000000"/>
          <w:sz w:val="24"/>
          <w:szCs w:val="24"/>
          <w:highlight w:val="none"/>
          <w:lang w:eastAsia="zh-CN"/>
        </w:rPr>
        <w:t xml:space="preserve">扬中市人民医院X射线计算机体层摄影设备采购</w:t>
      </w:r>
      <w:r>
        <w:rPr>
          <w:rFonts w:hint="eastAsia" w:ascii="宋体" w:hAnsi="宋体"/>
          <w:color w:val="000000"/>
          <w:sz w:val="24"/>
          <w:szCs w:val="24"/>
          <w:highlight w:val="none"/>
        </w:rPr>
        <w:t xml:space="preserve">。</w:t>
      </w:r>
      <w:r>
        <w:rPr>
          <w:rFonts w:hint="eastAsia" w:ascii="宋体" w:hAnsi="宋体" w:cs="宋体"/>
          <w:color w:val="000000"/>
          <w:sz w:val="24"/>
          <w:szCs w:val="24"/>
          <w:highlight w:val="none"/>
        </w:rPr>
        <w:t xml:space="preserve">（详细内容见本招标文件第四章）；</w:t>
      </w:r>
      <w:r>
        <w:rPr>
          <w:rFonts w:hint="eastAsia" w:ascii="宋体" w:hAnsi="宋体"/>
          <w:color w:val="000000"/>
          <w:sz w:val="24"/>
          <w:szCs w:val="24"/>
          <w:highlight w:val="none"/>
          <w:u w:val="singl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6.合同履行期限：自合同签订之日起</w:t>
      </w:r>
      <w:r>
        <w:rPr>
          <w:rFonts w:hint="eastAsia" w:ascii="宋体" w:hAnsi="宋体"/>
          <w:color w:val="000000"/>
          <w:sz w:val="24"/>
          <w:szCs w:val="24"/>
          <w:highlight w:val="none"/>
          <w:lang w:val="en-US" w:eastAsia="zh-CN"/>
        </w:rPr>
        <w:t xml:space="preserve">60日历天完成</w:t>
      </w:r>
      <w:r>
        <w:rPr>
          <w:rFonts w:hint="eastAsia" w:ascii="宋体" w:hAnsi="宋体"/>
          <w:color w:val="000000"/>
          <w:sz w:val="24"/>
          <w:szCs w:val="24"/>
          <w:highlight w:val="none"/>
        </w:rPr>
        <w:t xml:space="preserve">供货</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 本项目是否仅面向中小微企业：是□  否☑；</w:t>
      </w:r>
      <w:r>
        <w:rPr>
          <w:rFonts w:hint="eastAsia" w:ascii="宋体" w:hAnsi="宋体"/>
          <w:color w:val="000000"/>
          <w:sz w:val="24"/>
          <w:szCs w:val="24"/>
          <w:highlight w:val="none"/>
        </w:rPr>
      </w:r>
      <w:r/>
    </w:p>
    <w:p>
      <w:pPr>
        <w:pStyle w:val="1218"/>
        <w:ind w:firstLine="373"/>
        <w:spacing w:before="120" w:after="120" w:line="440" w:lineRule="exact"/>
        <w:rPr>
          <w:color w:val="000000"/>
          <w:sz w:val="24"/>
          <w:szCs w:val="24"/>
          <w:highlight w:val="none"/>
        </w:rPr>
      </w:pPr>
      <w:r>
        <w:rPr>
          <w:rFonts w:hint="eastAsia"/>
          <w:color w:val="000000"/>
          <w:sz w:val="24"/>
          <w:szCs w:val="24"/>
          <w:highlight w:val="none"/>
        </w:rPr>
        <w:t xml:space="preserve">二、申请人的资格要求</w:t>
      </w:r>
      <w:bookmarkEnd w:id="12"/>
      <w:r/>
      <w:bookmarkEnd w:id="13"/>
      <w:r/>
      <w:bookmarkEnd w:id="14"/>
      <w:r/>
      <w:bookmarkEnd w:id="15"/>
      <w:r/>
      <w:bookmarkEnd w:id="16"/>
      <w:r>
        <w:rPr>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bookmarkStart w:id="17" w:name="_Toc38985265"/>
      <w:r/>
      <w:bookmarkStart w:id="18" w:name="_Toc35393623"/>
      <w:r/>
      <w:bookmarkStart w:id="19" w:name="_Toc35393792"/>
      <w:r/>
      <w:bookmarkStart w:id="20" w:name="_Toc28359081"/>
      <w:r/>
      <w:bookmarkStart w:id="21" w:name="_Toc28359004"/>
      <w:r>
        <w:rPr>
          <w:rFonts w:hint="eastAsia" w:ascii="宋体" w:hAnsi="宋体"/>
          <w:color w:val="000000"/>
          <w:sz w:val="24"/>
          <w:szCs w:val="24"/>
          <w:highlight w:val="none"/>
        </w:rPr>
        <w:t xml:space="preserve">（一</w:t>
      </w:r>
      <w:r>
        <w:rPr>
          <w:rFonts w:ascii="宋体" w:hAnsi="宋体"/>
          <w:color w:val="000000"/>
          <w:sz w:val="24"/>
          <w:szCs w:val="24"/>
          <w:highlight w:val="none"/>
        </w:rPr>
        <w:t xml:space="preserve">）</w:t>
      </w:r>
      <w:r>
        <w:rPr>
          <w:rFonts w:hint="eastAsia" w:ascii="宋体" w:hAnsi="宋体"/>
          <w:color w:val="000000"/>
          <w:sz w:val="24"/>
          <w:szCs w:val="24"/>
          <w:highlight w:val="none"/>
        </w:rPr>
        <w:t xml:space="preserve">通用</w:t>
      </w:r>
      <w:r>
        <w:rPr>
          <w:rFonts w:ascii="宋体" w:hAnsi="宋体"/>
          <w:color w:val="000000"/>
          <w:sz w:val="24"/>
          <w:szCs w:val="24"/>
          <w:highlight w:val="none"/>
        </w:rPr>
        <w:t xml:space="preserve">资格要求</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1.满足《</w:t>
      </w:r>
      <w:r>
        <w:rPr>
          <w:rFonts w:hint="eastAsia" w:ascii="宋体" w:hAnsi="宋体"/>
          <w:color w:val="000000"/>
          <w:sz w:val="24"/>
          <w:szCs w:val="24"/>
          <w:highlight w:val="none"/>
          <w:lang w:eastAsia="zh-CN"/>
        </w:rPr>
        <w:t xml:space="preserve">中华人民共和国政府采购法</w:t>
      </w:r>
      <w:r>
        <w:rPr>
          <w:rFonts w:hint="eastAsia" w:ascii="宋体" w:hAnsi="宋体"/>
          <w:color w:val="000000"/>
          <w:sz w:val="24"/>
          <w:szCs w:val="24"/>
          <w:highlight w:val="none"/>
        </w:rPr>
        <w:t xml:space="preserve">》第二十二条规定，并提供下列材料：</w:t>
      </w:r>
      <w:r>
        <w:rPr>
          <w:rFonts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A.具有独立承担民事责任的能力（</w:t>
      </w: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B.具有良好的商业信誉和健全的财务会计制度</w:t>
      </w:r>
      <w:r>
        <w:rPr>
          <w:rFonts w:hint="eastAsia" w:ascii="宋体" w:hAnsi="宋体"/>
          <w:color w:val="000000"/>
          <w:sz w:val="24"/>
          <w:szCs w:val="28"/>
          <w:highlight w:val="none"/>
        </w:rPr>
        <w:t xml:space="preserve">【提供202</w:t>
      </w:r>
      <w:r>
        <w:rPr>
          <w:rFonts w:hint="eastAsia" w:ascii="宋体" w:hAnsi="宋体"/>
          <w:color w:val="000000"/>
          <w:sz w:val="24"/>
          <w:szCs w:val="28"/>
          <w:highlight w:val="none"/>
          <w:lang w:val="en-US" w:eastAsia="zh-CN"/>
        </w:rPr>
        <w:t xml:space="preserve">5</w:t>
      </w:r>
      <w:r>
        <w:rPr>
          <w:rFonts w:hint="eastAsia" w:ascii="宋体" w:hAnsi="宋体"/>
          <w:color w:val="000000"/>
          <w:sz w:val="24"/>
          <w:szCs w:val="28"/>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C.具有履行合同所必需的设备和专业技术能力{提供投标单位相关信息一览表（见投标文件格式）；</w:t>
      </w:r>
      <w:r>
        <w:rPr>
          <w:rFonts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D.提供参加本次政府活动前三年内，在经营活动中没有重大违法记录的承诺函（见投标函第7条）；</w:t>
      </w:r>
      <w:r>
        <w:rPr>
          <w:rFonts w:ascii="宋体" w:hAnsi="宋体"/>
          <w:color w:val="000000"/>
          <w:sz w:val="24"/>
          <w:szCs w:val="24"/>
          <w:highlight w:val="none"/>
        </w:rPr>
      </w:r>
      <w:r/>
    </w:p>
    <w:p>
      <w:pPr>
        <w:pStyle w:val="1215"/>
        <w:ind w:firstLine="56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E.依法缴纳税收和社会保障资金的相关材料（提供提交投标文件截止时间前一年内至少一个月依法缴纳税收及缴纳社会保障资金的证明材料。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ascii="宋体" w:hAnsi="宋体"/>
          <w:color w:val="000000"/>
          <w:sz w:val="24"/>
          <w:szCs w:val="24"/>
          <w:highlight w:val="none"/>
        </w:rPr>
      </w:r>
      <w:r/>
    </w:p>
    <w:p>
      <w:pPr>
        <w:pStyle w:val="121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注：①按</w:t>
      </w:r>
      <w:r>
        <w:rPr>
          <w:rFonts w:ascii="宋体" w:hAnsi="宋体"/>
          <w:b/>
          <w:bCs/>
          <w:color w:val="000000"/>
          <w:sz w:val="24"/>
          <w:szCs w:val="24"/>
          <w:highlight w:val="none"/>
        </w:rPr>
        <w:t xml:space="preserve">扬财购〔</w:t>
      </w:r>
      <w:r>
        <w:rPr>
          <w:rFonts w:hint="eastAsia" w:ascii="宋体" w:hAnsi="宋体"/>
          <w:b/>
          <w:bCs/>
          <w:color w:val="000000"/>
          <w:sz w:val="24"/>
          <w:szCs w:val="24"/>
          <w:highlight w:val="none"/>
        </w:rPr>
        <w:t xml:space="preserve">2022</w:t>
      </w:r>
      <w:r>
        <w:rPr>
          <w:rFonts w:ascii="宋体" w:hAnsi="宋体"/>
          <w:b/>
          <w:bCs/>
          <w:color w:val="000000"/>
          <w:sz w:val="24"/>
          <w:szCs w:val="24"/>
          <w:highlight w:val="none"/>
        </w:rPr>
        <w:t xml:space="preserve">〕1</w:t>
      </w:r>
      <w:r>
        <w:rPr>
          <w:rFonts w:hint="eastAsia" w:ascii="宋体" w:hAnsi="宋体"/>
          <w:b/>
          <w:bCs/>
          <w:color w:val="000000"/>
          <w:sz w:val="24"/>
          <w:szCs w:val="24"/>
          <w:highlight w:val="none"/>
        </w:rPr>
        <w:t xml:space="preserve">7</w:t>
      </w:r>
      <w:r>
        <w:rPr>
          <w:rFonts w:ascii="宋体" w:hAnsi="宋体"/>
          <w:b/>
          <w:bCs/>
          <w:color w:val="000000"/>
          <w:sz w:val="24"/>
          <w:szCs w:val="24"/>
          <w:highlight w:val="none"/>
        </w:rPr>
        <w:t xml:space="preserve">号《关于进一步降低政府活动成本减轻政府</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负担的通知》</w:t>
      </w:r>
      <w:r>
        <w:rPr>
          <w:rFonts w:hint="eastAsia" w:ascii="宋体" w:hAnsi="宋体"/>
          <w:b/>
          <w:bCs/>
          <w:color w:val="000000"/>
          <w:sz w:val="24"/>
          <w:szCs w:val="24"/>
          <w:highlight w:val="none"/>
        </w:rPr>
        <w:t xml:space="preserve">本项目</w:t>
      </w:r>
      <w:r>
        <w:rPr>
          <w:rFonts w:ascii="宋体" w:hAnsi="宋体"/>
          <w:b/>
          <w:bCs/>
          <w:color w:val="000000"/>
          <w:sz w:val="24"/>
          <w:szCs w:val="24"/>
          <w:highlight w:val="none"/>
        </w:rPr>
        <w:t xml:space="preserve">申请人的资格条件采取</w:t>
      </w:r>
      <w:r>
        <w:rPr>
          <w:rFonts w:hint="eastAsia" w:ascii="宋体" w:hAnsi="宋体"/>
          <w:b/>
          <w:bCs/>
          <w:color w:val="000000"/>
          <w:sz w:val="24"/>
          <w:szCs w:val="24"/>
          <w:highlight w:val="none"/>
        </w:rPr>
        <w:t xml:space="preserve">“</w:t>
      </w:r>
      <w:r>
        <w:rPr>
          <w:rFonts w:ascii="宋体" w:hAnsi="宋体"/>
          <w:b/>
          <w:bCs/>
          <w:color w:val="000000"/>
          <w:sz w:val="24"/>
          <w:szCs w:val="24"/>
          <w:highlight w:val="none"/>
        </w:rPr>
        <w:t xml:space="preserve">信用承诺制</w:t>
      </w:r>
      <w:r>
        <w:rPr>
          <w:rFonts w:hint="eastAsia" w:ascii="宋体" w:hAnsi="宋体"/>
          <w:b/>
          <w:bCs/>
          <w:color w:val="000000"/>
          <w:sz w:val="24"/>
          <w:szCs w:val="24"/>
          <w:highlight w:val="none"/>
        </w:rPr>
        <w:t xml:space="preserve">”，资格要求</w:t>
      </w:r>
      <w:r>
        <w:rPr>
          <w:rFonts w:ascii="宋体" w:hAnsi="宋体"/>
          <w:b/>
          <w:bCs/>
          <w:color w:val="000000"/>
          <w:sz w:val="24"/>
          <w:szCs w:val="24"/>
          <w:highlight w:val="none"/>
        </w:rPr>
        <w:t xml:space="preserve">第</w:t>
      </w:r>
      <w:r>
        <w:rPr>
          <w:rFonts w:hint="eastAsia" w:ascii="宋体" w:hAnsi="宋体"/>
          <w:b/>
          <w:bCs/>
          <w:color w:val="000000"/>
          <w:sz w:val="24"/>
          <w:szCs w:val="24"/>
          <w:highlight w:val="none"/>
        </w:rPr>
        <w:t xml:space="preserve">B</w:t>
      </w:r>
      <w:r>
        <w:rPr>
          <w:rFonts w:ascii="宋体" w:hAnsi="宋体"/>
          <w:b/>
          <w:bCs/>
          <w:color w:val="000000"/>
          <w:sz w:val="24"/>
          <w:szCs w:val="24"/>
          <w:highlight w:val="none"/>
        </w:rPr>
        <w:t xml:space="preserve">至第</w:t>
      </w:r>
      <w:r>
        <w:rPr>
          <w:rFonts w:hint="eastAsia" w:ascii="宋体" w:hAnsi="宋体"/>
          <w:b/>
          <w:bCs/>
          <w:color w:val="000000"/>
          <w:sz w:val="24"/>
          <w:szCs w:val="24"/>
          <w:highlight w:val="none"/>
        </w:rPr>
        <w:t xml:space="preserve">E</w:t>
      </w:r>
      <w:r>
        <w:rPr>
          <w:rFonts w:ascii="宋体" w:hAnsi="宋体"/>
          <w:b/>
          <w:bCs/>
          <w:color w:val="000000"/>
          <w:sz w:val="24"/>
          <w:szCs w:val="24"/>
          <w:highlight w:val="none"/>
        </w:rPr>
        <w:t xml:space="preserve">项，</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可选择提供资格承诺函</w:t>
      </w:r>
      <w:r>
        <w:rPr>
          <w:rFonts w:hint="eastAsia" w:ascii="宋体" w:hAnsi="宋体"/>
          <w:b/>
          <w:bCs/>
          <w:color w:val="000000"/>
          <w:sz w:val="24"/>
          <w:szCs w:val="24"/>
          <w:highlight w:val="none"/>
        </w:rPr>
        <w:t xml:space="preserve">（见投标文件格式）</w:t>
      </w:r>
      <w:r>
        <w:rPr>
          <w:rFonts w:ascii="宋体" w:hAnsi="宋体"/>
          <w:b/>
          <w:bCs/>
          <w:color w:val="000000"/>
          <w:sz w:val="24"/>
          <w:szCs w:val="24"/>
          <w:highlight w:val="none"/>
        </w:rPr>
        <w:t xml:space="preserve">，在</w:t>
      </w:r>
      <w:r>
        <w:rPr>
          <w:rFonts w:hint="eastAsia" w:ascii="宋体" w:hAnsi="宋体"/>
          <w:b/>
          <w:bCs/>
          <w:color w:val="000000"/>
          <w:sz w:val="24"/>
          <w:szCs w:val="24"/>
          <w:highlight w:val="none"/>
        </w:rPr>
        <w:t xml:space="preserve">投标</w:t>
      </w:r>
      <w:r>
        <w:rPr>
          <w:rFonts w:ascii="宋体" w:hAnsi="宋体"/>
          <w:b/>
          <w:bCs/>
          <w:color w:val="000000"/>
          <w:sz w:val="24"/>
          <w:szCs w:val="24"/>
          <w:highlight w:val="none"/>
        </w:rPr>
        <w:t xml:space="preserve">文件中无需再提供与</w:t>
      </w:r>
      <w:r>
        <w:rPr>
          <w:rFonts w:hint="eastAsia" w:ascii="宋体" w:hAnsi="宋体"/>
          <w:b/>
          <w:bCs/>
          <w:color w:val="000000"/>
          <w:sz w:val="24"/>
          <w:szCs w:val="24"/>
          <w:highlight w:val="none"/>
        </w:rPr>
        <w:t xml:space="preserve">第B至第E项</w:t>
      </w:r>
      <w:r>
        <w:rPr>
          <w:rFonts w:ascii="宋体" w:hAnsi="宋体"/>
          <w:b/>
          <w:bCs/>
          <w:color w:val="000000"/>
          <w:sz w:val="24"/>
          <w:szCs w:val="24"/>
          <w:highlight w:val="none"/>
        </w:rPr>
        <w:t xml:space="preserve">相关的证明材料即可参加活动。</w:t>
      </w:r>
      <w:r>
        <w:rPr>
          <w:rFonts w:ascii="宋体" w:hAnsi="宋体"/>
          <w:b/>
          <w:bCs/>
          <w:color w:val="000000"/>
          <w:sz w:val="24"/>
          <w:szCs w:val="24"/>
          <w:highlight w:val="none"/>
        </w:rPr>
      </w:r>
      <w:r/>
    </w:p>
    <w:p>
      <w:pPr>
        <w:pStyle w:val="1215"/>
        <w:ind w:firstLine="562"/>
        <w:spacing w:line="440" w:lineRule="exact"/>
        <w:rPr>
          <w:rFonts w:hint="eastAsia" w:ascii="宋体" w:hAnsi="宋体"/>
          <w:b/>
          <w:bCs/>
          <w:color w:val="000000"/>
          <w:sz w:val="24"/>
          <w:szCs w:val="24"/>
          <w:highlight w:val="none"/>
        </w:rPr>
      </w:pPr>
      <w:r>
        <w:rPr>
          <w:rFonts w:hint="eastAsia" w:ascii="宋体" w:hAnsi="宋体"/>
          <w:b/>
          <w:bCs/>
          <w:color w:val="000000"/>
          <w:sz w:val="24"/>
          <w:szCs w:val="24"/>
          <w:highlight w:val="none"/>
        </w:rPr>
        <w:t xml:space="preserve">②</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可自行选择是否提供承诺函，若不提供承诺函的，应按招标文件要求提供相应的证明材料。</w:t>
      </w:r>
      <w:r>
        <w:rPr>
          <w:rFonts w:hint="eastAsia" w:ascii="宋体" w:hAnsi="宋体"/>
          <w:b/>
          <w:bCs/>
          <w:color w:val="000000"/>
          <w:sz w:val="24"/>
          <w:szCs w:val="24"/>
          <w:highlight w:val="none"/>
        </w:rPr>
      </w:r>
      <w:r/>
    </w:p>
    <w:p>
      <w:pPr>
        <w:pStyle w:val="1215"/>
        <w:ind w:firstLine="562"/>
        <w:spacing w:line="440" w:lineRule="exact"/>
        <w:rPr>
          <w:rFonts w:ascii="宋体" w:hAnsi="宋体"/>
          <w:b/>
          <w:bCs/>
          <w:color w:val="000000"/>
          <w:sz w:val="24"/>
          <w:szCs w:val="24"/>
          <w:highlight w:val="none"/>
        </w:rPr>
      </w:pPr>
      <w:r>
        <w:rPr>
          <w:rFonts w:hint="eastAsia" w:ascii="宋体" w:hAnsi="宋体"/>
          <w:b/>
          <w:bCs/>
          <w:color w:val="000000"/>
          <w:sz w:val="24"/>
          <w:szCs w:val="24"/>
          <w:highlight w:val="none"/>
        </w:rPr>
        <w:t xml:space="preserve">③</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应当</w:t>
      </w:r>
      <w:r>
        <w:rPr>
          <w:rFonts w:hint="eastAsia" w:ascii="宋体" w:hAnsi="宋体"/>
          <w:b/>
          <w:bCs/>
          <w:color w:val="000000"/>
          <w:sz w:val="24"/>
          <w:szCs w:val="24"/>
          <w:highlight w:val="none"/>
        </w:rPr>
        <w:t xml:space="preserve">遵循诚实</w:t>
      </w:r>
      <w:r>
        <w:rPr>
          <w:rFonts w:ascii="宋体" w:hAnsi="宋体"/>
          <w:b/>
          <w:bCs/>
          <w:color w:val="000000"/>
          <w:sz w:val="24"/>
          <w:szCs w:val="24"/>
          <w:highlight w:val="none"/>
        </w:rPr>
        <w:t xml:space="preserve">信用原则，不得作虚假承诺。</w:t>
      </w:r>
      <w:r>
        <w:rPr>
          <w:rFonts w:hint="eastAsia" w:ascii="宋体" w:hAnsi="宋体"/>
          <w:b/>
          <w:bCs/>
          <w:color w:val="000000"/>
          <w:sz w:val="24"/>
          <w:szCs w:val="24"/>
          <w:highlight w:val="none"/>
          <w:lang w:eastAsia="zh-CN"/>
        </w:rPr>
        <w:t xml:space="preserve">投标人</w:t>
      </w:r>
      <w:r>
        <w:rPr>
          <w:rFonts w:ascii="宋体" w:hAnsi="宋体"/>
          <w:b/>
          <w:bCs/>
          <w:color w:val="000000"/>
          <w:sz w:val="24"/>
          <w:szCs w:val="24"/>
          <w:highlight w:val="none"/>
        </w:rPr>
        <w:t xml:space="preserve">承诺不实的，属于提供虚假材料谋取中标、成交，应承担相应的法律责任。</w:t>
      </w:r>
      <w:r>
        <w:rPr>
          <w:rFonts w:ascii="宋体" w:hAnsi="宋体"/>
          <w:b/>
          <w:bCs/>
          <w:color w:val="000000"/>
          <w:sz w:val="24"/>
          <w:szCs w:val="24"/>
          <w:highlight w:val="none"/>
        </w:rPr>
      </w:r>
      <w:r/>
    </w:p>
    <w:p>
      <w:pPr>
        <w:pStyle w:val="1215"/>
        <w:ind w:firstLine="480"/>
        <w:spacing w:line="440" w:lineRule="exact"/>
        <w:rPr>
          <w:rFonts w:hint="eastAsia" w:ascii="华文新魏" w:hAnsi="宋体" w:eastAsia="华文新魏"/>
          <w:color w:val="000000"/>
          <w:sz w:val="36"/>
          <w:szCs w:val="36"/>
          <w:highlight w:val="none"/>
        </w:rPr>
      </w:pPr>
      <w:r>
        <w:rPr>
          <w:rFonts w:hint="eastAsia" w:ascii="宋体" w:hAnsi="宋体"/>
          <w:color w:val="000000"/>
          <w:sz w:val="24"/>
          <w:szCs w:val="24"/>
          <w:highlight w:val="none"/>
        </w:rPr>
        <w:t xml:space="preserve">2.在“信用中国”网站（www.creditchina.gov.cn）查询，无被列入失信被执行人、重大税收违法案件当事人名单、政府严重失信行为记录名单及其他不符合《中华人民共和国政府法》第二十二条规定条件的信用记录。（投标文件中无需提供证明材料）。</w:t>
      </w:r>
      <w:r>
        <w:rPr>
          <w:rFonts w:hint="eastAsia" w:ascii="华文新魏" w:hAnsi="宋体" w:eastAsia="华文新魏"/>
          <w:color w:val="000000"/>
          <w:sz w:val="36"/>
          <w:szCs w:val="36"/>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3.落实政府政策需满足的资格要求：</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①无；</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②依据工业和信息化部等四部委制定的《中小企业划型标准规定》，本项目对应的中小企业划分标准所属行业为</w:t>
      </w:r>
      <w:r>
        <w:rPr>
          <w:rFonts w:hint="eastAsia" w:ascii="宋体" w:hAnsi="宋体"/>
          <w:color w:val="000000"/>
          <w:sz w:val="24"/>
          <w:szCs w:val="24"/>
          <w:highlight w:val="none"/>
          <w:lang w:eastAsia="zh-CN"/>
        </w:rPr>
        <w:t xml:space="preserve">工业</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4.本项目</w:t>
      </w:r>
      <w:r>
        <w:rPr>
          <w:rFonts w:hint="eastAsia" w:ascii="宋体" w:hAnsi="宋体"/>
          <w:color w:val="000000"/>
          <w:sz w:val="24"/>
          <w:szCs w:val="24"/>
          <w:highlight w:val="none"/>
          <w:u w:val="single"/>
        </w:rPr>
        <w:t xml:space="preserve"> 不接受 </w:t>
      </w:r>
      <w:r>
        <w:rPr>
          <w:rFonts w:hint="eastAsia" w:ascii="宋体" w:hAnsi="宋体"/>
          <w:color w:val="000000"/>
          <w:sz w:val="24"/>
          <w:szCs w:val="24"/>
          <w:highlight w:val="none"/>
        </w:rPr>
        <w:t xml:space="preserve">联合体投标。</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（二）本项目的特定资格要求：</w:t>
      </w:r>
      <w:r>
        <w:rPr>
          <w:rFonts w:hint="eastAsia" w:ascii="宋体" w:hAnsi="宋体"/>
          <w:color w:val="000000"/>
          <w:sz w:val="24"/>
          <w:szCs w:val="24"/>
          <w:highlight w:val="none"/>
        </w:rPr>
      </w:r>
      <w:r/>
    </w:p>
    <w:p>
      <w:pPr>
        <w:pStyle w:val="1215"/>
        <w:ind w:firstLine="482"/>
        <w:spacing w:line="440" w:lineRule="exact"/>
        <w:rPr>
          <w:rFonts w:hint="eastAsia" w:ascii="宋体" w:hAnsi="宋体" w:eastAsia="宋体" w:cs="Times New Roman"/>
          <w:b/>
          <w:bCs/>
          <w:color w:val="000000"/>
          <w:sz w:val="24"/>
          <w:szCs w:val="24"/>
          <w:highlight w:val="none"/>
        </w:rPr>
      </w:pPr>
      <w:r>
        <w:rPr>
          <w:rFonts w:hint="eastAsia" w:ascii="宋体" w:hAnsi="宋体"/>
          <w:b/>
          <w:bCs/>
          <w:color w:val="000000"/>
          <w:sz w:val="24"/>
          <w:szCs w:val="24"/>
          <w:highlight w:val="none"/>
        </w:rPr>
        <w:t xml:space="preserve">（1）</w:t>
      </w:r>
      <w:r>
        <w:rPr>
          <w:rFonts w:hint="eastAsia" w:ascii="宋体" w:hAnsi="宋体"/>
          <w:b/>
          <w:bCs/>
          <w:color w:val="000000"/>
          <w:sz w:val="24"/>
          <w:szCs w:val="24"/>
          <w:highlight w:val="none"/>
          <w:lang w:eastAsia="zh-CN"/>
        </w:rPr>
        <w:t xml:space="preserve">投标人</w:t>
      </w:r>
      <w:r>
        <w:rPr>
          <w:rFonts w:hint="eastAsia" w:ascii="宋体" w:hAnsi="宋体"/>
          <w:b/>
          <w:bCs/>
          <w:color w:val="000000"/>
          <w:sz w:val="24"/>
          <w:szCs w:val="24"/>
          <w:highlight w:val="none"/>
        </w:rPr>
        <w:t xml:space="preserve">须具备有效的《医疗器械生产许可证》或《医疗器械经营备案凭证》或《医疗器</w:t>
      </w:r>
      <w:r>
        <w:rPr>
          <w:rFonts w:hint="eastAsia" w:ascii="宋体" w:hAnsi="宋体" w:eastAsia="宋体" w:cs="Times New Roman"/>
          <w:b/>
          <w:bCs/>
          <w:color w:val="000000"/>
          <w:sz w:val="24"/>
          <w:szCs w:val="24"/>
          <w:highlight w:val="none"/>
        </w:rPr>
        <w:t xml:space="preserve">械经营企业许可证》；</w:t>
      </w:r>
      <w:r>
        <w:rPr>
          <w:rFonts w:hint="eastAsia" w:ascii="宋体" w:hAnsi="宋体" w:eastAsia="宋体" w:cs="Times New Roman"/>
          <w:b/>
          <w:bCs/>
          <w:color w:val="000000"/>
          <w:sz w:val="24"/>
          <w:szCs w:val="24"/>
          <w:highlight w:val="none"/>
        </w:rPr>
      </w:r>
      <w:r/>
    </w:p>
    <w:p>
      <w:pPr>
        <w:pStyle w:val="1215"/>
        <w:ind w:firstLine="482"/>
        <w:spacing w:line="440" w:lineRule="exact"/>
        <w:rPr>
          <w:rFonts w:hint="eastAsia" w:ascii="宋体" w:hAnsi="宋体" w:eastAsia="宋体" w:cs="Times New Roman"/>
          <w:b/>
          <w:bCs/>
          <w:color w:val="000000"/>
          <w:sz w:val="24"/>
          <w:szCs w:val="24"/>
          <w:highlight w:val="none"/>
        </w:rPr>
      </w:pPr>
      <w:r>
        <w:rPr>
          <w:rFonts w:hint="eastAsia" w:ascii="宋体" w:hAnsi="宋体" w:eastAsia="宋体" w:cs="Times New Roman"/>
          <w:b/>
          <w:bCs/>
          <w:color w:val="000000"/>
          <w:sz w:val="24"/>
          <w:szCs w:val="24"/>
          <w:highlight w:val="none"/>
        </w:rPr>
        <w:t xml:space="preserve">（2）</w:t>
      </w:r>
      <w:r>
        <w:rPr>
          <w:rFonts w:hint="eastAsia" w:ascii="宋体" w:hAnsi="宋体" w:eastAsia="宋体" w:cs="Times New Roman"/>
          <w:b/>
          <w:bCs/>
          <w:color w:val="000000"/>
          <w:sz w:val="24"/>
          <w:szCs w:val="24"/>
          <w:highlight w:val="none"/>
          <w:lang w:eastAsia="zh-CN"/>
        </w:rPr>
        <w:t xml:space="preserve">投标人</w:t>
      </w:r>
      <w:r>
        <w:rPr>
          <w:rFonts w:hint="eastAsia" w:ascii="宋体" w:hAnsi="宋体" w:eastAsia="宋体" w:cs="Times New Roman"/>
          <w:b/>
          <w:bCs/>
          <w:color w:val="000000"/>
          <w:sz w:val="24"/>
          <w:szCs w:val="24"/>
          <w:highlight w:val="none"/>
        </w:rPr>
        <w:t xml:space="preserve">所投产品具备有效的《医疗器械注册证》。</w:t>
      </w:r>
      <w:r>
        <w:rPr>
          <w:rFonts w:hint="eastAsia" w:ascii="宋体" w:hAnsi="宋体" w:eastAsia="宋体" w:cs="Times New Roman"/>
          <w:b/>
          <w:bCs/>
          <w:color w:val="000000"/>
          <w:sz w:val="24"/>
          <w:szCs w:val="24"/>
          <w:highlight w:val="none"/>
        </w:rPr>
      </w:r>
      <w:r/>
    </w:p>
    <w:p>
      <w:pPr>
        <w:pStyle w:val="1215"/>
        <w:ind w:firstLine="482"/>
        <w:spacing w:line="440" w:lineRule="exact"/>
        <w:rPr>
          <w:rFonts w:hint="eastAsia" w:ascii="宋体" w:hAnsi="宋体" w:eastAsia="宋体" w:cs="Times New Roman"/>
          <w:b/>
          <w:bCs/>
          <w:color w:val="000000"/>
          <w:sz w:val="24"/>
          <w:szCs w:val="24"/>
          <w:highlight w:val="none"/>
          <w:lang w:val="en-US" w:eastAsia="zh-CN"/>
        </w:rPr>
      </w:pPr>
      <w:r/>
      <w:bookmarkStart w:id="22" w:name="OLE_LINK1"/>
      <w:r>
        <w:rPr>
          <w:rFonts w:hint="eastAsia" w:ascii="宋体" w:hAnsi="宋体" w:eastAsia="宋体" w:cs="Times New Roman"/>
          <w:b/>
          <w:bCs/>
          <w:color w:val="000000"/>
          <w:sz w:val="24"/>
          <w:szCs w:val="24"/>
          <w:highlight w:val="none"/>
          <w:lang w:val="en-US" w:eastAsia="zh-CN"/>
        </w:rPr>
        <w:t xml:space="preserve">（3）供应商具备有效的辐射安全许可证（销售Ⅲ射线装置）。</w:t>
      </w:r>
      <w:bookmarkEnd w:id="22"/>
      <w:r>
        <w:rPr>
          <w:rFonts w:hint="eastAsia" w:ascii="宋体" w:hAnsi="宋体" w:eastAsia="宋体" w:cs="Times New Roman"/>
          <w:b/>
          <w:bCs/>
          <w:color w:val="000000"/>
          <w:sz w:val="24"/>
          <w:szCs w:val="24"/>
          <w:highlight w:val="none"/>
          <w:lang w:val="en-US" w:eastAsia="zh-CN"/>
        </w:rPr>
      </w:r>
      <w:r/>
    </w:p>
    <w:p>
      <w:pPr>
        <w:pStyle w:val="1215"/>
        <w:ind w:firstLine="482"/>
        <w:spacing w:line="440" w:lineRule="exact"/>
        <w:rPr>
          <w:rFonts w:hint="eastAsia" w:ascii="宋体" w:hAnsi="宋体" w:eastAsia="宋体" w:cs="Times New Roman"/>
          <w:b/>
          <w:bCs/>
          <w:color w:val="000000"/>
          <w:sz w:val="24"/>
          <w:szCs w:val="24"/>
          <w:highlight w:val="none"/>
          <w:lang w:eastAsia="zh-CN"/>
        </w:rPr>
      </w:pPr>
      <w:r>
        <w:rPr>
          <w:rFonts w:hint="eastAsia" w:ascii="宋体" w:hAnsi="宋体" w:eastAsia="宋体" w:cs="Times New Roman"/>
          <w:b/>
          <w:bCs/>
          <w:color w:val="000000"/>
          <w:sz w:val="24"/>
          <w:szCs w:val="24"/>
          <w:highlight w:val="none"/>
          <w:lang w:eastAsia="zh-CN"/>
        </w:rPr>
        <w:t xml:space="preserve">（</w:t>
      </w:r>
      <w:r>
        <w:rPr>
          <w:rFonts w:hint="eastAsia" w:ascii="宋体" w:hAnsi="宋体" w:eastAsia="宋体" w:cs="Times New Roman"/>
          <w:b/>
          <w:bCs/>
          <w:color w:val="000000"/>
          <w:sz w:val="24"/>
          <w:szCs w:val="24"/>
          <w:highlight w:val="none"/>
          <w:lang w:val="en-US" w:eastAsia="zh-CN"/>
        </w:rPr>
        <w:t xml:space="preserve">4</w:t>
      </w:r>
      <w:r>
        <w:rPr>
          <w:rFonts w:hint="eastAsia" w:ascii="宋体" w:hAnsi="宋体" w:eastAsia="宋体" w:cs="Times New Roman"/>
          <w:b/>
          <w:bCs/>
          <w:color w:val="000000"/>
          <w:sz w:val="24"/>
          <w:szCs w:val="24"/>
          <w:highlight w:val="none"/>
          <w:lang w:eastAsia="zh-CN"/>
        </w:rPr>
        <w:t xml:space="preserve">）单位负责人为同一人或者存在直接控股、管理关系的不同供应商，不得参加同一合同项下的政府采购活动（提供承诺函，格式自拟）。</w:t>
      </w:r>
      <w:r>
        <w:rPr>
          <w:rFonts w:hint="eastAsia" w:ascii="宋体" w:hAnsi="宋体" w:eastAsia="宋体" w:cs="Times New Roman"/>
          <w:b/>
          <w:bCs/>
          <w:color w:val="000000"/>
          <w:sz w:val="24"/>
          <w:szCs w:val="24"/>
          <w:highlight w:val="none"/>
          <w:lang w:eastAsia="zh-CN"/>
        </w:rPr>
      </w:r>
      <w:r/>
    </w:p>
    <w:p>
      <w:pPr>
        <w:pStyle w:val="1215"/>
        <w:ind w:firstLine="482"/>
        <w:keepLines w:val="0"/>
        <w:keepNext w:val="0"/>
        <w:pageBreakBefore w:val="0"/>
        <w:spacing w:line="440" w:lineRule="exact"/>
        <w:widowControl w:val="off"/>
        <w:rPr>
          <w:rFonts w:hint="eastAsia" w:ascii="宋体" w:hAnsi="宋体"/>
          <w:b/>
          <w:bCs/>
          <w:color w:val="000000"/>
          <w:sz w:val="24"/>
          <w:szCs w:val="24"/>
          <w:highlight w:val="none"/>
        </w:rPr>
      </w:pPr>
      <w:r>
        <w:rPr>
          <w:rFonts w:hint="eastAsia" w:ascii="宋体" w:hAnsi="宋体" w:eastAsia="宋体" w:cs="Times New Roman"/>
          <w:b/>
          <w:bCs/>
          <w:color w:val="000000"/>
          <w:sz w:val="24"/>
          <w:szCs w:val="24"/>
          <w:highlight w:val="none"/>
        </w:rPr>
        <w:t xml:space="preserve">注意：①根据国家食品药品监督管理总局《医疗器械生产监督管理办法》和《医疗器械经营监督管理办法》以及《</w:t>
      </w:r>
      <w:r>
        <w:rPr>
          <w:rFonts w:hint="eastAsia" w:ascii="宋体" w:hAnsi="宋体"/>
          <w:b/>
          <w:bCs/>
          <w:color w:val="000000"/>
          <w:sz w:val="24"/>
          <w:szCs w:val="24"/>
          <w:highlight w:val="none"/>
        </w:rPr>
        <w:t xml:space="preserve">医疗器械注册管理办法》相关规定，提供上述有效材料。</w:t>
      </w:r>
      <w:r>
        <w:rPr>
          <w:rFonts w:hint="eastAsia" w:ascii="宋体" w:hAnsi="宋体"/>
          <w:b/>
          <w:bCs/>
          <w:color w:val="000000"/>
          <w:sz w:val="24"/>
          <w:szCs w:val="24"/>
          <w:highlight w:val="none"/>
        </w:rPr>
      </w:r>
      <w:r/>
    </w:p>
    <w:p>
      <w:pPr>
        <w:pStyle w:val="1215"/>
        <w:ind w:firstLine="482"/>
        <w:keepLines w:val="0"/>
        <w:keepNext w:val="0"/>
        <w:pageBreakBefore w:val="0"/>
        <w:spacing w:line="440" w:lineRule="exact"/>
        <w:widowControl w:val="off"/>
        <w:rPr>
          <w:rFonts w:hint="eastAsia" w:ascii="宋体" w:hAnsi="宋体" w:cs="宋体"/>
          <w:b/>
          <w:bCs/>
          <w:color w:val="000000"/>
          <w:sz w:val="24"/>
          <w:szCs w:val="24"/>
          <w:highlight w:val="none"/>
        </w:rPr>
      </w:pPr>
      <w:r>
        <w:rPr>
          <w:rFonts w:hint="eastAsia" w:ascii="宋体" w:hAnsi="宋体"/>
          <w:b/>
          <w:bCs/>
          <w:color w:val="000000"/>
          <w:sz w:val="24"/>
          <w:szCs w:val="24"/>
          <w:highlight w:val="none"/>
        </w:rPr>
        <w:t xml:space="preserve">②上述提供相关材料原件扫描件编入</w:t>
      </w:r>
      <w:r>
        <w:rPr>
          <w:rFonts w:hint="eastAsia" w:ascii="宋体" w:hAnsi="宋体"/>
          <w:b/>
          <w:bCs/>
          <w:color w:val="000000"/>
          <w:sz w:val="24"/>
          <w:szCs w:val="24"/>
          <w:highlight w:val="none"/>
          <w:lang w:eastAsia="zh-CN"/>
        </w:rPr>
        <w:t xml:space="preserve">投标</w:t>
      </w:r>
      <w:r>
        <w:rPr>
          <w:rFonts w:hint="eastAsia" w:ascii="宋体" w:hAnsi="宋体"/>
          <w:b/>
          <w:bCs/>
          <w:color w:val="000000"/>
          <w:sz w:val="24"/>
          <w:szCs w:val="24"/>
          <w:highlight w:val="none"/>
        </w:rPr>
        <w:t xml:space="preserve">响应文件中。</w:t>
      </w:r>
      <w:r>
        <w:rPr>
          <w:rFonts w:hint="eastAsia" w:ascii="宋体" w:hAnsi="宋体" w:cs="宋体"/>
          <w:b/>
          <w:bCs/>
          <w:color w:val="000000"/>
          <w:sz w:val="24"/>
          <w:szCs w:val="24"/>
          <w:highlight w:val="none"/>
        </w:rPr>
      </w:r>
      <w:r/>
    </w:p>
    <w:p>
      <w:pPr>
        <w:pStyle w:val="1218"/>
        <w:ind w:firstLine="373"/>
        <w:keepLines w:val="0"/>
        <w:keepNext w:val="0"/>
        <w:pageBreakBefore w:val="0"/>
        <w:spacing w:before="120" w:after="120" w:line="440" w:lineRule="exact"/>
        <w:widowControl w:val="off"/>
        <w:rPr>
          <w:color w:val="000000"/>
          <w:sz w:val="24"/>
          <w:szCs w:val="24"/>
          <w:highlight w:val="none"/>
        </w:rPr>
      </w:pPr>
      <w:r>
        <w:rPr>
          <w:rFonts w:hint="eastAsia"/>
          <w:color w:val="000000"/>
          <w:sz w:val="24"/>
          <w:szCs w:val="24"/>
          <w:highlight w:val="none"/>
        </w:rPr>
        <w:t xml:space="preserve">三、获取招标文件</w:t>
      </w:r>
      <w:bookmarkEnd w:id="17"/>
      <w:r/>
      <w:bookmarkEnd w:id="18"/>
      <w:r/>
      <w:bookmarkEnd w:id="19"/>
      <w:r/>
      <w:bookmarkEnd w:id="20"/>
      <w:r/>
      <w:bookmarkEnd w:id="21"/>
      <w:r>
        <w:rPr>
          <w:color w:val="000000"/>
          <w:sz w:val="24"/>
          <w:szCs w:val="24"/>
          <w:highlight w:val="none"/>
        </w:rPr>
      </w:r>
      <w:r/>
    </w:p>
    <w:p>
      <w:pPr>
        <w:pStyle w:val="1215"/>
        <w:ind w:firstLine="540"/>
        <w:keepLines w:val="0"/>
        <w:keepNext w:val="0"/>
        <w:pageBreakBefore w:val="0"/>
        <w:spacing w:line="440" w:lineRule="exact"/>
        <w:widowControl w:val="off"/>
        <w:rPr>
          <w:rFonts w:ascii="宋体" w:hAnsi="宋体" w:cs="宋体"/>
          <w:color w:val="000000"/>
          <w:sz w:val="24"/>
          <w:szCs w:val="24"/>
          <w:highlight w:val="none"/>
        </w:rPr>
      </w:pPr>
      <w:r/>
      <w:bookmarkStart w:id="23" w:name="_Toc28359005"/>
      <w:r/>
      <w:bookmarkStart w:id="24" w:name="_Toc28359082"/>
      <w:r/>
      <w:bookmarkStart w:id="25" w:name="_Toc38985266"/>
      <w:r/>
      <w:bookmarkStart w:id="26" w:name="_Toc35393793"/>
      <w:r/>
      <w:bookmarkStart w:id="27" w:name="_Toc35393624"/>
      <w:r>
        <w:rPr>
          <w:rFonts w:hint="eastAsia" w:ascii="宋体" w:hAnsi="宋体" w:cs="宋体"/>
          <w:color w:val="000000"/>
          <w:sz w:val="24"/>
          <w:szCs w:val="24"/>
          <w:highlight w:val="none"/>
        </w:rPr>
        <w:t xml:space="preserve">1.时间：自招标文件公告发布之日起至提交投标文件截止时间之日止。</w:t>
      </w:r>
      <w:r>
        <w:rPr>
          <w:rFonts w:ascii="宋体" w:hAnsi="宋体" w:cs="宋体"/>
          <w:color w:val="000000"/>
          <w:sz w:val="24"/>
          <w:szCs w:val="24"/>
          <w:highlight w:val="none"/>
        </w:rPr>
      </w:r>
      <w:r/>
    </w:p>
    <w:p>
      <w:pPr>
        <w:pStyle w:val="1215"/>
        <w:ind w:firstLine="540"/>
        <w:keepLines w:val="0"/>
        <w:keepNext w:val="0"/>
        <w:pageBreakBefore w:val="0"/>
        <w:spacing w:line="440" w:lineRule="exact"/>
        <w:widowControl w:val="off"/>
        <w:rPr>
          <w:rFonts w:ascii="宋体" w:hAnsi="宋体" w:cs="宋体"/>
          <w:color w:val="000000"/>
          <w:sz w:val="24"/>
          <w:szCs w:val="24"/>
          <w:highlight w:val="none"/>
          <w:u w:val="single"/>
        </w:rPr>
      </w:pPr>
      <w:r>
        <w:rPr>
          <w:rFonts w:hint="eastAsia" w:ascii="宋体" w:hAnsi="宋体" w:cs="宋体"/>
          <w:color w:val="000000"/>
          <w:sz w:val="24"/>
          <w:szCs w:val="24"/>
          <w:highlight w:val="none"/>
        </w:rPr>
        <w:t xml:space="preserve">2.方式：在“江苏政府网”自行免费下载招标文件。</w:t>
      </w:r>
      <w:r>
        <w:rPr>
          <w:rFonts w:ascii="宋体" w:hAnsi="宋体" w:cs="宋体"/>
          <w:color w:val="000000"/>
          <w:sz w:val="24"/>
          <w:szCs w:val="24"/>
          <w:highlight w:val="none"/>
          <w:u w:val="single"/>
        </w:rPr>
      </w:r>
      <w:r/>
    </w:p>
    <w:p>
      <w:pPr>
        <w:pStyle w:val="1215"/>
        <w:ind w:firstLine="56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（1）登录http://jszfcg.jscz.gov.cn/jszc/login;或进入扬中政府网（http://www.yzzfcg.cn/）首页点击“苏采云”进入系统。</w:t>
      </w:r>
      <w:r>
        <w:rPr>
          <w:rFonts w:hint="eastAsia" w:ascii="宋体" w:hAnsi="宋体" w:cs="宋体"/>
          <w:color w:val="000000"/>
          <w:sz w:val="24"/>
          <w:szCs w:val="24"/>
          <w:highlight w:val="none"/>
        </w:rPr>
      </w:r>
      <w:r/>
    </w:p>
    <w:p>
      <w:pPr>
        <w:pStyle w:val="1215"/>
        <w:ind w:firstLine="560"/>
        <w:keepLines w:val="0"/>
        <w:keepNext w:val="0"/>
        <w:pageBreakBefore w:val="0"/>
        <w:spacing w:line="440" w:lineRule="exact"/>
        <w:widowControl w:val="off"/>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（2）“苏采云”系统用户注册--获取“CA数字证书”--CA绑定与登录--网上报名--下载招标文件(后缀名为.kedt”)。</w:t>
      </w:r>
      <w:r>
        <w:rPr>
          <w:rFonts w:hint="eastAsia" w:ascii="宋体" w:hAnsi="宋体" w:cs="宋体"/>
          <w:color w:val="000000"/>
          <w:sz w:val="24"/>
          <w:szCs w:val="24"/>
          <w:highlight w:val="none"/>
        </w:rPr>
      </w:r>
      <w:r/>
    </w:p>
    <w:p>
      <w:pPr>
        <w:pStyle w:val="1215"/>
        <w:ind w:firstLine="560"/>
        <w:keepLines w:val="0"/>
        <w:keepNext w:val="0"/>
        <w:pageBreakBefore w:val="0"/>
        <w:spacing w:line="440" w:lineRule="exact"/>
        <w:widowControl w:val="off"/>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3.“CA数字证书”的获取</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需办理CA锁，（“苏采云”系统目前仅支持意源CA、方正签章，CA数字证书及电子签章办理指南详见本公告附件）。客户端工具及</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操作手册扬中政府（http://www.yzzfcg.cn/）首页“资料下载”，进行下载《江苏省政府交易系统（苏采云）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4.招标文件(后缀名为“. kedt”)、</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操作手册及政府客户端工具可通过“苏采云”系统--已报名项目--报名详情页面内相应链接进行下载；</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操作手册及政府客户端工具也可通过扬中政府网（http://www.yzzfcg.cn/）首页“资料下载”--点击进入《江苏省政府交易系统（苏采云）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操作手册及政府客户端》进行下载。</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5.代理机构将数据电文形式的招标文件加载至电子招标投标交易平台，供潜在</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下载或者查阅，各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应在规定的时间内完成招标文件的下载，逾期可能会造成招标文件无法下载以及投标文件无法上传的情形，由此导致的后果由各</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自行承担。</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6.苏采云系统使用谷歌浏览器参与不见面开标。</w:t>
      </w:r>
      <w:r>
        <w:rPr>
          <w:rFonts w:ascii="宋体" w:hAnsi="宋体" w:cs="宋体"/>
          <w:color w:val="000000"/>
          <w:sz w:val="24"/>
          <w:szCs w:val="24"/>
          <w:highlight w:val="none"/>
        </w:rPr>
      </w:r>
      <w:r/>
    </w:p>
    <w:p>
      <w:pPr>
        <w:pStyle w:val="1218"/>
        <w:ind w:firstLine="373"/>
        <w:spacing w:before="120" w:after="120" w:line="440" w:lineRule="exact"/>
        <w:rPr>
          <w:color w:val="000000"/>
          <w:sz w:val="24"/>
          <w:szCs w:val="24"/>
          <w:highlight w:val="none"/>
        </w:rPr>
      </w:pPr>
      <w:r>
        <w:rPr>
          <w:rFonts w:hint="eastAsia"/>
          <w:color w:val="000000"/>
          <w:sz w:val="24"/>
          <w:szCs w:val="24"/>
          <w:highlight w:val="none"/>
        </w:rPr>
        <w:t xml:space="preserve">四、提交投标文件</w:t>
      </w:r>
      <w:bookmarkEnd w:id="23"/>
      <w:r/>
      <w:bookmarkEnd w:id="24"/>
      <w:r>
        <w:rPr>
          <w:rFonts w:hint="eastAsia"/>
          <w:color w:val="000000"/>
          <w:sz w:val="24"/>
          <w:szCs w:val="24"/>
          <w:highlight w:val="none"/>
        </w:rPr>
        <w:t xml:space="preserve">截止时间、开标时间和地点</w:t>
      </w:r>
      <w:bookmarkEnd w:id="25"/>
      <w:r/>
      <w:bookmarkEnd w:id="26"/>
      <w:r/>
      <w:bookmarkEnd w:id="27"/>
      <w:r>
        <w:rPr>
          <w:color w:val="000000"/>
          <w:sz w:val="24"/>
          <w:szCs w:val="24"/>
          <w:highlight w:val="none"/>
        </w:rPr>
      </w:r>
      <w:r/>
    </w:p>
    <w:p>
      <w:pPr>
        <w:pStyle w:val="1215"/>
        <w:ind w:firstLine="480"/>
        <w:spacing w:line="440" w:lineRule="exact"/>
        <w:rPr>
          <w:rFonts w:ascii="宋体" w:hAnsi="宋体"/>
          <w:bCs/>
          <w:color w:val="ff0000"/>
          <w:sz w:val="24"/>
          <w:szCs w:val="24"/>
          <w:highlight w:val="none"/>
          <w:u w:val="single"/>
        </w:rPr>
      </w:pPr>
      <w:r>
        <w:rPr>
          <w:rFonts w:hint="eastAsia" w:ascii="宋体" w:hAnsi="宋体"/>
          <w:bCs/>
          <w:color w:val="ff0000"/>
          <w:sz w:val="24"/>
          <w:szCs w:val="24"/>
          <w:highlight w:val="none"/>
          <w:u w:val="single"/>
        </w:rPr>
        <w:t xml:space="preserve">1. </w:t>
      </w:r>
      <w:r>
        <w:rPr>
          <w:rFonts w:hint="eastAsia" w:ascii="宋体" w:hAnsi="宋体"/>
          <w:b/>
          <w:color w:val="ff0000"/>
          <w:sz w:val="24"/>
          <w:szCs w:val="24"/>
          <w:highlight w:val="none"/>
          <w:u w:val="single"/>
          <w:lang w:eastAsia="zh-CN"/>
        </w:rPr>
        <w:t xml:space="preserve">2026</w:t>
      </w:r>
      <w:r>
        <w:rPr>
          <w:rFonts w:hint="eastAsia" w:ascii="宋体" w:hAnsi="宋体"/>
          <w:b/>
          <w:color w:val="ff0000"/>
          <w:sz w:val="24"/>
          <w:szCs w:val="24"/>
          <w:highlight w:val="none"/>
          <w:u w:val="single"/>
        </w:rPr>
        <w:t xml:space="preserve">年10</w:t>
      </w:r>
      <w:r>
        <w:rPr>
          <w:rFonts w:hint="eastAsia" w:ascii="宋体" w:hAnsi="宋体"/>
          <w:b/>
          <w:color w:val="ff0000"/>
          <w:sz w:val="24"/>
          <w:szCs w:val="24"/>
          <w:highlight w:val="none"/>
          <w:u w:val="single"/>
        </w:rPr>
        <w:t xml:space="preserve">月</w:t>
      </w:r>
      <w:r>
        <w:rPr>
          <w:rFonts w:hint="eastAsia" w:ascii="宋体" w:hAnsi="宋体"/>
          <w:b/>
          <w:color w:val="ff0000"/>
          <w:sz w:val="24"/>
          <w:szCs w:val="24"/>
          <w:highlight w:val="none"/>
          <w:u w:val="single"/>
          <w:lang w:val="en-US" w:eastAsia="zh-CN"/>
        </w:rPr>
        <w:t xml:space="preserve">9</w:t>
      </w:r>
      <w:r>
        <w:rPr>
          <w:rFonts w:hint="eastAsia" w:ascii="宋体" w:hAnsi="宋体"/>
          <w:b/>
          <w:color w:val="ff0000"/>
          <w:sz w:val="24"/>
          <w:szCs w:val="24"/>
          <w:highlight w:val="none"/>
          <w:u w:val="single"/>
        </w:rPr>
        <w:t xml:space="preserve">日 </w:t>
      </w:r>
      <w:r>
        <w:rPr>
          <w:rFonts w:hint="eastAsia" w:ascii="宋体" w:hAnsi="宋体"/>
          <w:b/>
          <w:color w:val="ff0000"/>
          <w:sz w:val="24"/>
          <w:szCs w:val="24"/>
          <w:highlight w:val="none"/>
          <w:u w:val="single"/>
          <w:lang w:val="en-US" w:eastAsia="zh-CN"/>
        </w:rPr>
        <w:t xml:space="preserve">1</w:t>
      </w:r>
      <w:r>
        <w:rPr>
          <w:rFonts w:hint="eastAsia" w:ascii="宋体" w:hAnsi="宋体"/>
          <w:b/>
          <w:color w:val="ff0000"/>
          <w:sz w:val="24"/>
          <w:szCs w:val="24"/>
          <w:highlight w:val="none"/>
          <w:u w:val="single"/>
          <w:lang w:val="en-US" w:eastAsia="zh-CN"/>
        </w:rPr>
        <w:t xml:space="preserve">4</w:t>
      </w:r>
      <w:r>
        <w:rPr>
          <w:rFonts w:hint="eastAsia" w:ascii="宋体" w:hAnsi="宋体"/>
          <w:b/>
          <w:color w:val="ff0000"/>
          <w:sz w:val="24"/>
          <w:szCs w:val="24"/>
          <w:highlight w:val="none"/>
          <w:u w:val="single"/>
        </w:rPr>
        <w:t xml:space="preserve">点</w:t>
      </w:r>
      <w:r>
        <w:rPr>
          <w:rFonts w:hint="eastAsia" w:ascii="宋体" w:hAnsi="宋体"/>
          <w:b/>
          <w:color w:val="ff0000"/>
          <w:sz w:val="24"/>
          <w:szCs w:val="24"/>
          <w:highlight w:val="none"/>
          <w:u w:val="single"/>
          <w:lang w:val="en-US" w:eastAsia="zh-CN"/>
        </w:rPr>
        <w:t xml:space="preserve">3</w:t>
      </w:r>
      <w:r>
        <w:rPr>
          <w:rFonts w:hint="eastAsia" w:ascii="宋体" w:hAnsi="宋体"/>
          <w:b/>
          <w:color w:val="ff0000"/>
          <w:sz w:val="24"/>
          <w:szCs w:val="24"/>
          <w:highlight w:val="none"/>
          <w:u w:val="single"/>
          <w:lang w:val="en-US" w:eastAsia="zh-CN"/>
        </w:rPr>
        <w:t xml:space="preserve">0</w:t>
      </w:r>
      <w:r>
        <w:rPr>
          <w:rFonts w:hint="eastAsia" w:ascii="宋体" w:hAnsi="宋体"/>
          <w:b/>
          <w:color w:val="ff0000"/>
          <w:sz w:val="24"/>
          <w:szCs w:val="24"/>
          <w:highlight w:val="none"/>
          <w:u w:val="single"/>
        </w:rPr>
        <w:t xml:space="preserve">分</w:t>
      </w:r>
      <w:r>
        <w:rPr>
          <w:rFonts w:hint="eastAsia" w:ascii="宋体" w:hAnsi="宋体"/>
          <w:b/>
          <w:color w:val="ff0000"/>
          <w:sz w:val="24"/>
          <w:szCs w:val="24"/>
          <w:highlight w:val="none"/>
        </w:rPr>
        <w:t xml:space="preserve">（北京时间）。</w:t>
      </w:r>
      <w:r>
        <w:rPr>
          <w:rFonts w:ascii="宋体" w:hAnsi="宋体"/>
          <w:bCs/>
          <w:color w:val="ff0000"/>
          <w:sz w:val="24"/>
          <w:szCs w:val="24"/>
          <w:highlight w:val="none"/>
          <w:u w:val="singl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2.地点：“苏采云”政府交易系统网上开标大厅。</w:t>
      </w:r>
      <w:r>
        <w:rPr>
          <w:rFonts w:hint="eastAsia" w:ascii="宋体" w:hAnsi="宋体"/>
          <w:color w:val="000000"/>
          <w:sz w:val="24"/>
          <w:szCs w:val="24"/>
          <w:highlight w:val="none"/>
        </w:rPr>
      </w:r>
      <w:r/>
    </w:p>
    <w:p>
      <w:pPr>
        <w:pStyle w:val="1215"/>
        <w:ind w:firstLine="48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3.本项目采用远程不见面交易模式，通过不见面交易系统及相应的配套硬件设备（摄像头、话筒、麦克风等）完成远程解密、开标现场异议及回复、开标唱标等交互环节。</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outlineLvl w:val="2"/>
      </w:pPr>
      <w:r>
        <w:rPr>
          <w:rFonts w:hint="eastAsia" w:ascii="宋体" w:hAnsi="宋体" w:cs="宋体"/>
          <w:color w:val="000000"/>
          <w:sz w:val="24"/>
          <w:szCs w:val="24"/>
          <w:highlight w:val="none"/>
        </w:rPr>
        <w:t xml:space="preserve">4.不见面交易相关要求和说明如下：</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（1）不见面开标项目的时间均以国家授时中心发布的时间为准；</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（2）开标当日，投标人不必抵达开标现场，仅需在任意地点通过“苏采云”系统（网址：</w:t>
      </w:r>
      <w:r>
        <w:rPr>
          <w:rFonts w:hint="eastAsia" w:ascii="宋体" w:hAnsi="宋体" w:cs="宋体"/>
          <w:color w:val="000000"/>
          <w:sz w:val="24"/>
          <w:szCs w:val="24"/>
          <w:highlight w:val="none"/>
        </w:rPr>
        <w:fldChar w:fldCharType="begin"/>
      </w:r>
      <w:r>
        <w:rPr>
          <w:rFonts w:hint="eastAsia" w:ascii="宋体" w:hAnsi="宋体" w:cs="宋体"/>
          <w:color w:val="000000"/>
          <w:sz w:val="24"/>
          <w:szCs w:val="24"/>
          <w:highlight w:val="none"/>
        </w:rPr>
        <w:instrText xml:space="preserve"> HYPERLINK "http://jszfcg.jsczt.cn/）\“开标大厅\”或扬中政府采购网（http:/www.yzzfcg.cn/）首页点击\“苏采云\”进入系统\“开标大厅\”参与开标过程；" </w:instrText>
      </w:r>
      <w:r>
        <w:rPr>
          <w:rFonts w:hint="eastAsia" w:ascii="宋体" w:hAnsi="宋体" w:cs="宋体"/>
          <w:color w:val="000000"/>
          <w:sz w:val="24"/>
          <w:szCs w:val="24"/>
          <w:highlight w:val="none"/>
        </w:rPr>
        <w:fldChar w:fldCharType="separate"/>
      </w:r>
      <w:r>
        <w:rPr>
          <w:rFonts w:hint="eastAsia" w:ascii="宋体" w:hAnsi="宋体" w:cs="宋体"/>
          <w:color w:val="000000"/>
          <w:sz w:val="24"/>
          <w:szCs w:val="24"/>
          <w:highlight w:val="none"/>
        </w:rPr>
        <w:t xml:space="preserve">http://jszfcg.jsczt.cn/）“开标大厅”或扬中政府网（http://www.yzzfcg.cn/）首页点击“苏采云”进入系统“开标大厅”参与开标过程；</w:t>
      </w:r>
      <w:r>
        <w:rPr>
          <w:rFonts w:hint="eastAsia" w:ascii="宋体" w:hAnsi="宋体" w:cs="宋体"/>
          <w:color w:val="000000"/>
          <w:sz w:val="24"/>
          <w:szCs w:val="24"/>
          <w:highlight w:val="none"/>
        </w:rPr>
        <w:fldChar w:fldCharType="end"/>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3）未按时加入开标会议区并完成登录操作的或未能在开标会议区内全程参与交互的，视为放弃交互和放弃对开评标全过程提疑的权利，投标人将无法看到解密指令、异议回复、唱标等实时情况，并承担由此导致的一切后果；</w:t>
      </w:r>
      <w:r>
        <w:rPr>
          <w:rFonts w:ascii="宋体" w:hAnsi="宋体" w:cs="宋体"/>
          <w:color w:val="000000"/>
          <w:sz w:val="24"/>
          <w:szCs w:val="24"/>
          <w:highlight w:val="none"/>
        </w:rPr>
      </w:r>
      <w:r/>
    </w:p>
    <w:p>
      <w:pPr>
        <w:pStyle w:val="1215"/>
        <w:ind w:firstLine="560"/>
        <w:spacing w:line="440" w:lineRule="exact"/>
        <w:rPr>
          <w:rFonts w:ascii="宋体" w:hAnsi="宋体" w:cs="宋体"/>
          <w:color w:val="000000"/>
          <w:sz w:val="24"/>
          <w:szCs w:val="24"/>
          <w:highlight w:val="none"/>
        </w:rPr>
      </w:pPr>
      <w:r>
        <w:rPr>
          <w:rFonts w:hint="eastAsia" w:ascii="宋体" w:hAnsi="宋体" w:cs="宋体"/>
          <w:color w:val="000000"/>
          <w:sz w:val="24"/>
          <w:szCs w:val="24"/>
          <w:highlight w:val="none"/>
        </w:rPr>
        <w:t xml:space="preserve">（4）投标文件递交截止时间后，</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或代理机构将在系统内公布投标人名单然后通过开标会议区发出投标文件解密的指令，投标人在各自地点按规定时间自行实施远程解密，投标人解密限定在投标截止时间后30分钟之间完成。因投标人网络与电源不稳定、未按操作手册要求配置软硬件、解密锁发生故障或用错、故意不在要求时限内完成解密等自身原因，导致投标文件在规定时间内未能解密、解密失败或解密超时，视为投标人撤销其投标文件；因网上平台发生故障，导致无法按时完成投标文件解密或开、评标工作无法进行的，可根据实际情况相应延迟解密时间或调整开、评标时间（友情提示：若</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已领取副锁（含多把副锁）请注意正副锁的使用差别）。本项目在限定的解密时间内，只要有一家投标人解密成功，即视为网上招投标平台运行无故障。</w:t>
      </w:r>
      <w:r>
        <w:rPr>
          <w:rFonts w:ascii="宋体" w:hAnsi="宋体" w:cs="宋体"/>
          <w:color w:val="000000"/>
          <w:sz w:val="24"/>
          <w:szCs w:val="24"/>
          <w:highlight w:val="none"/>
        </w:rPr>
      </w:r>
      <w:r/>
    </w:p>
    <w:p>
      <w:pPr>
        <w:pStyle w:val="1215"/>
        <w:ind w:firstLine="56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（5）因投标人自身软硬件配备不齐全或发生故障等问题而导致在交互过程中出现不稳定或中断等情况的，由投标人自身承担一切后果。</w:t>
      </w:r>
      <w:r>
        <w:rPr>
          <w:rFonts w:hint="eastAsia" w:ascii="宋体" w:hAnsi="宋体" w:cs="宋体"/>
          <w:color w:val="000000"/>
          <w:sz w:val="24"/>
          <w:szCs w:val="24"/>
          <w:highlight w:val="none"/>
        </w:rPr>
      </w:r>
      <w:r/>
    </w:p>
    <w:p>
      <w:pPr>
        <w:pStyle w:val="1218"/>
        <w:ind w:firstLine="373"/>
        <w:spacing w:before="120" w:after="120" w:line="440" w:lineRule="exact"/>
        <w:rPr>
          <w:color w:val="000000"/>
          <w:sz w:val="24"/>
          <w:szCs w:val="24"/>
          <w:highlight w:val="none"/>
        </w:rPr>
      </w:pPr>
      <w:r/>
      <w:bookmarkStart w:id="28" w:name="_Toc28359084"/>
      <w:r/>
      <w:bookmarkStart w:id="29" w:name="_Toc35393794"/>
      <w:r/>
      <w:bookmarkStart w:id="30" w:name="_Toc35393625"/>
      <w:r/>
      <w:bookmarkStart w:id="31" w:name="_Toc28359007"/>
      <w:r/>
      <w:bookmarkStart w:id="32" w:name="_Toc38985267"/>
      <w:r>
        <w:rPr>
          <w:rFonts w:hint="eastAsia"/>
          <w:color w:val="000000"/>
          <w:sz w:val="24"/>
          <w:szCs w:val="24"/>
          <w:highlight w:val="none"/>
        </w:rPr>
        <w:t xml:space="preserve">五、公告期限</w:t>
      </w:r>
      <w:bookmarkEnd w:id="28"/>
      <w:r/>
      <w:bookmarkEnd w:id="29"/>
      <w:r/>
      <w:bookmarkEnd w:id="30"/>
      <w:r/>
      <w:bookmarkEnd w:id="31"/>
      <w:r/>
      <w:bookmarkEnd w:id="32"/>
      <w:r>
        <w:rPr>
          <w:color w:val="000000"/>
          <w:sz w:val="24"/>
          <w:szCs w:val="24"/>
          <w:highlight w:val="none"/>
        </w:rPr>
      </w:r>
      <w:r/>
    </w:p>
    <w:p>
      <w:pPr>
        <w:pStyle w:val="1215"/>
        <w:ind w:firstLine="480"/>
        <w:spacing w:line="440" w:lineRule="exact"/>
        <w:rPr>
          <w:rFonts w:ascii="宋体" w:hAnsi="宋体" w:cs="宋体"/>
          <w:color w:val="000000"/>
          <w:sz w:val="24"/>
          <w:szCs w:val="24"/>
          <w:highlight w:val="none"/>
        </w:rPr>
      </w:pPr>
      <w:r/>
      <w:bookmarkStart w:id="33" w:name="_Toc38985268"/>
      <w:r/>
      <w:bookmarkStart w:id="34" w:name="_Toc35393795"/>
      <w:r/>
      <w:bookmarkStart w:id="35" w:name="_Toc35393626"/>
      <w:r>
        <w:rPr>
          <w:rFonts w:hint="eastAsia" w:ascii="宋体" w:hAnsi="宋体" w:cs="宋体"/>
          <w:color w:val="000000"/>
          <w:sz w:val="24"/>
          <w:szCs w:val="24"/>
          <w:highlight w:val="none"/>
        </w:rPr>
        <w:t xml:space="preserve">招标公告及招标文件公告期限为自本公告发布之日起5个工作日。</w:t>
      </w:r>
      <w:r>
        <w:rPr>
          <w:rFonts w:ascii="宋体" w:hAnsi="宋体" w:cs="宋体"/>
          <w:color w:val="000000"/>
          <w:sz w:val="24"/>
          <w:szCs w:val="24"/>
          <w:highlight w:val="none"/>
        </w:rPr>
      </w:r>
      <w:r/>
    </w:p>
    <w:p>
      <w:pPr>
        <w:pStyle w:val="1218"/>
        <w:ind w:firstLine="373"/>
        <w:spacing w:before="120" w:after="120" w:line="440" w:lineRule="exact"/>
        <w:rPr>
          <w:color w:val="000000"/>
          <w:sz w:val="24"/>
          <w:szCs w:val="24"/>
          <w:highlight w:val="none"/>
        </w:rPr>
      </w:pPr>
      <w:r>
        <w:rPr>
          <w:rFonts w:hint="eastAsia"/>
          <w:color w:val="000000"/>
          <w:sz w:val="24"/>
          <w:szCs w:val="24"/>
          <w:highlight w:val="none"/>
        </w:rPr>
        <w:t xml:space="preserve">六、其他补充事宜</w:t>
      </w:r>
      <w:bookmarkEnd w:id="33"/>
      <w:r/>
      <w:bookmarkEnd w:id="34"/>
      <w:r/>
      <w:bookmarkEnd w:id="35"/>
      <w:r>
        <w:rPr>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bookmarkStart w:id="36" w:name="_Toc28359085"/>
      <w:r/>
      <w:bookmarkStart w:id="37" w:name="_Toc28359008"/>
      <w:r/>
      <w:bookmarkStart w:id="38" w:name="_Toc35393627"/>
      <w:r/>
      <w:bookmarkStart w:id="39" w:name="_Toc38985269"/>
      <w:r/>
      <w:bookmarkStart w:id="40" w:name="_Toc35393796"/>
      <w:r>
        <w:rPr>
          <w:rFonts w:hint="eastAsia" w:ascii="宋体" w:hAnsi="宋体" w:cs="宋体"/>
          <w:color w:val="000000"/>
          <w:sz w:val="24"/>
          <w:szCs w:val="24"/>
          <w:highlight w:val="none"/>
        </w:rPr>
        <w:t xml:space="preserve">1.现场勘察：</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人不组织现场踏勘，</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可自行组织对现场及其周围环境进行踏勘，以便</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自行查明或核实有关编制响应文件和签订合同所必需的资料。</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（2）现场踏勘期间，</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承担自身的费用、责任和风险。如果发生人身伤亡、财物或其他损失，除国家法律法规有规定的之外，</w:t>
      </w:r>
      <w:r>
        <w:rPr>
          <w:rFonts w:hint="eastAsia" w:ascii="宋体" w:hAnsi="宋体"/>
          <w:color w:val="000000"/>
          <w:sz w:val="24"/>
          <w:highlight w:val="none"/>
        </w:rPr>
        <w:t xml:space="preserve">招标</w:t>
      </w:r>
      <w:r>
        <w:rPr>
          <w:rFonts w:hint="eastAsia" w:ascii="宋体" w:hAnsi="宋体" w:cs="宋体"/>
          <w:color w:val="000000"/>
          <w:sz w:val="24"/>
          <w:szCs w:val="24"/>
          <w:highlight w:val="none"/>
        </w:rPr>
        <w:t xml:space="preserve">人均不负责。</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2.本项目需要落实的政府政策：</w:t>
      </w:r>
      <w:r>
        <w:rPr>
          <w:rFonts w:hint="eastAsia" w:ascii="宋体" w:hAnsi="宋体" w:cs="宋体"/>
          <w:color w:val="000000"/>
          <w:sz w:val="24"/>
          <w:szCs w:val="24"/>
          <w:highlight w:val="none"/>
          <w:lang w:val="zh-CN"/>
        </w:rPr>
        <w:t xml:space="preserve">财政部、工业和信息化部关于印发《政府促进中小企业发展管理办法》的通知（财库〔2020〕46号</w:t>
      </w:r>
      <w:r>
        <w:rPr>
          <w:rFonts w:hint="eastAsia" w:ascii="宋体" w:hAnsi="宋体" w:cs="宋体"/>
          <w:color w:val="000000"/>
          <w:sz w:val="24"/>
          <w:szCs w:val="24"/>
          <w:highlight w:val="none"/>
        </w:rPr>
        <w:t xml:space="preserve">)、《关于进一步加大政府支持中小企业力度的通知》（</w:t>
      </w:r>
      <w:r>
        <w:rPr>
          <w:rFonts w:hint="eastAsia" w:ascii="宋体" w:hAnsi="宋体" w:cs="宋体"/>
          <w:color w:val="000000"/>
          <w:sz w:val="24"/>
          <w:szCs w:val="24"/>
          <w:highlight w:val="none"/>
          <w:lang w:val="zh-CN"/>
        </w:rPr>
        <w:t xml:space="preserve">财库【</w:t>
      </w:r>
      <w:r>
        <w:rPr>
          <w:rFonts w:hint="eastAsia" w:ascii="宋体" w:hAnsi="宋体" w:cs="宋体"/>
          <w:color w:val="000000"/>
          <w:sz w:val="24"/>
          <w:szCs w:val="24"/>
          <w:highlight w:val="none"/>
        </w:rPr>
        <w:t xml:space="preserve">2023</w:t>
      </w:r>
      <w:r>
        <w:rPr>
          <w:rFonts w:hint="eastAsia" w:ascii="宋体" w:hAnsi="宋体" w:cs="宋体"/>
          <w:color w:val="000000"/>
          <w:sz w:val="24"/>
          <w:szCs w:val="24"/>
          <w:highlight w:val="none"/>
          <w:lang w:val="zh-CN"/>
        </w:rPr>
        <w:t xml:space="preserve">】</w:t>
      </w:r>
      <w:r>
        <w:rPr>
          <w:rFonts w:hint="eastAsia" w:ascii="宋体" w:hAnsi="宋体" w:cs="宋体"/>
          <w:color w:val="000000"/>
          <w:sz w:val="24"/>
          <w:szCs w:val="24"/>
          <w:highlight w:val="none"/>
        </w:rPr>
        <w:t xml:space="preserve">19号）、残疾人福利性单位政策、监狱企业发展政策（具体表述详见文件）。</w:t>
      </w:r>
      <w:r>
        <w:rPr>
          <w:rFonts w:hint="eastAsia" w:ascii="宋体" w:hAnsi="宋体" w:cs="宋体"/>
          <w:color w:val="000000"/>
          <w:sz w:val="24"/>
          <w:szCs w:val="24"/>
          <w:highlight w:val="none"/>
        </w:rPr>
      </w:r>
      <w:r/>
    </w:p>
    <w:p>
      <w:pPr>
        <w:pStyle w:val="1218"/>
        <w:numPr>
          <w:ilvl w:val="0"/>
          <w:numId w:val="5"/>
        </w:numPr>
        <w:ind w:firstLine="373"/>
        <w:spacing w:before="120" w:after="120" w:line="440" w:lineRule="exact"/>
        <w:rPr>
          <w:rFonts w:hint="eastAsia"/>
          <w:color w:val="000000"/>
          <w:sz w:val="24"/>
          <w:szCs w:val="24"/>
          <w:highlight w:val="none"/>
        </w:rPr>
      </w:pPr>
      <w:r>
        <w:rPr>
          <w:rFonts w:hint="eastAsia"/>
          <w:color w:val="000000"/>
          <w:sz w:val="24"/>
          <w:szCs w:val="24"/>
          <w:highlight w:val="none"/>
        </w:rPr>
        <w:t xml:space="preserve">本次招标联系方式</w:t>
      </w:r>
      <w:bookmarkEnd w:id="36"/>
      <w:r/>
      <w:bookmarkEnd w:id="37"/>
      <w:r/>
      <w:bookmarkEnd w:id="38"/>
      <w:r/>
      <w:bookmarkEnd w:id="39"/>
      <w:r/>
      <w:bookmarkEnd w:id="40"/>
      <w:r>
        <w:rPr>
          <w:rFonts w:hint="eastAsia"/>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1.招标人信息</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bookmarkStart w:id="41" w:name="_Toc28359086"/>
      <w:r/>
      <w:bookmarkStart w:id="42" w:name="_Toc28359009"/>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扬中市人民医院</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地址：</w:t>
      </w:r>
      <w:r>
        <w:rPr>
          <w:rFonts w:hint="eastAsia" w:ascii="宋体" w:hAnsi="宋体" w:cs="宋体"/>
          <w:color w:val="000000"/>
          <w:sz w:val="24"/>
          <w:szCs w:val="24"/>
          <w:highlight w:val="none"/>
          <w:u w:val="single"/>
        </w:rPr>
        <w:t xml:space="preserve">扬中市三茅镇扬子中路235号</w:t>
      </w:r>
      <w:r>
        <w:rPr>
          <w:rFonts w:hint="eastAsia" w:ascii="宋体" w:hAnsi="宋体" w:cs="宋体"/>
          <w:color w:val="000000"/>
          <w:sz w:val="24"/>
          <w:szCs w:val="24"/>
          <w:highlight w:val="none"/>
        </w:rPr>
        <w:t xml:space="preserve"> </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联系人：</w:t>
      </w:r>
      <w:r>
        <w:rPr>
          <w:rFonts w:hint="eastAsia" w:ascii="宋体" w:hAnsi="宋体" w:cs="宋体"/>
          <w:color w:val="000000"/>
          <w:sz w:val="24"/>
          <w:szCs w:val="24"/>
          <w:highlight w:val="none"/>
          <w:u w:val="single"/>
        </w:rPr>
        <w:t xml:space="preserve">潘伟军</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联系方式：</w:t>
      </w:r>
      <w:r>
        <w:rPr>
          <w:rFonts w:hint="eastAsia" w:ascii="宋体" w:hAnsi="宋体" w:cs="宋体"/>
          <w:color w:val="000000"/>
          <w:sz w:val="24"/>
          <w:szCs w:val="24"/>
          <w:highlight w:val="none"/>
          <w:u w:val="single"/>
        </w:rPr>
        <w:t xml:space="preserve">13305293061 </w:t>
      </w:r>
      <w:r>
        <w:rPr>
          <w:rFonts w:hint="eastAsia" w:ascii="宋体" w:hAnsi="宋体" w:cs="宋体"/>
          <w:color w:val="000000"/>
          <w:sz w:val="24"/>
          <w:szCs w:val="24"/>
          <w:highlight w:val="none"/>
        </w:rPr>
      </w:r>
      <w:r/>
    </w:p>
    <w:p>
      <w:pPr>
        <w:pStyle w:val="1215"/>
        <w:ind w:firstLine="480"/>
        <w:jc w:val="left"/>
        <w:spacing w:line="440" w:lineRule="exact"/>
        <w:rPr>
          <w:rFonts w:hint="eastAsia" w:ascii="宋体" w:hAnsi="宋体" w:cs="宋体"/>
          <w:color w:val="000000"/>
          <w:sz w:val="24"/>
          <w:szCs w:val="24"/>
          <w:highlight w:val="none"/>
        </w:rPr>
      </w:pPr>
      <w:r>
        <w:rPr>
          <w:rFonts w:hint="eastAsia" w:ascii="宋体" w:hAnsi="宋体" w:cs="宋体"/>
          <w:color w:val="000000"/>
          <w:sz w:val="24"/>
          <w:szCs w:val="24"/>
          <w:highlight w:val="none"/>
        </w:rPr>
        <w:t xml:space="preserve">2.代理机构信息</w:t>
      </w:r>
      <w:r>
        <w:rPr>
          <w:rFonts w:hint="eastAsia" w:ascii="宋体" w:hAnsi="宋体" w:cs="宋体"/>
          <w:color w:val="000000"/>
          <w:sz w:val="24"/>
          <w:szCs w:val="24"/>
          <w:highlight w:val="none"/>
        </w:rPr>
      </w:r>
      <w:r/>
    </w:p>
    <w:p>
      <w:pPr>
        <w:pStyle w:val="1215"/>
        <w:ind w:firstLine="480"/>
        <w:spacing w:line="440" w:lineRule="exact"/>
        <w:rPr>
          <w:rFonts w:hint="eastAsia" w:ascii="宋体" w:hAnsi="宋体" w:cs="宋体"/>
          <w:color w:val="000000"/>
          <w:sz w:val="24"/>
          <w:szCs w:val="24"/>
          <w:highlight w:val="none"/>
          <w:u w:val="single"/>
        </w:rPr>
        <w:outlineLvl w:val="2"/>
      </w:pPr>
      <w:r/>
      <w:bookmarkEnd w:id="41"/>
      <w:r/>
      <w:bookmarkEnd w:id="42"/>
      <w:r>
        <w:rPr>
          <w:rFonts w:hint="eastAsia" w:ascii="宋体" w:hAnsi="宋体" w:cs="宋体"/>
          <w:color w:val="000000"/>
          <w:sz w:val="24"/>
          <w:szCs w:val="24"/>
          <w:highlight w:val="none"/>
        </w:rPr>
        <w:t xml:space="preserve">名称：</w:t>
      </w:r>
      <w:r>
        <w:rPr>
          <w:rFonts w:hint="eastAsia" w:ascii="宋体" w:hAnsi="宋体" w:cs="宋体"/>
          <w:color w:val="000000"/>
          <w:sz w:val="24"/>
          <w:szCs w:val="24"/>
          <w:highlight w:val="none"/>
          <w:u w:val="single"/>
        </w:rPr>
        <w:t xml:space="preserve">江苏金居工程项目管理有限公司</w:t>
      </w:r>
      <w:r>
        <w:rPr>
          <w:rFonts w:hint="eastAsia" w:ascii="宋体" w:hAnsi="宋体" w:cs="宋体"/>
          <w:color w:val="000000"/>
          <w:sz w:val="24"/>
          <w:szCs w:val="24"/>
          <w:highlight w:val="none"/>
          <w:u w:val="single"/>
        </w:rPr>
      </w:r>
      <w:r/>
    </w:p>
    <w:p>
      <w:pPr>
        <w:pStyle w:val="1215"/>
        <w:ind w:firstLine="480"/>
        <w:spacing w:line="440" w:lineRule="exact"/>
        <w:rPr>
          <w:rFonts w:hint="eastAsia" w:ascii="宋体" w:hAnsi="宋体"/>
          <w:color w:val="000000"/>
          <w:sz w:val="24"/>
          <w:szCs w:val="24"/>
          <w:highlight w:val="none"/>
          <w:u w:val="single"/>
        </w:rPr>
      </w:pPr>
      <w:r>
        <w:rPr>
          <w:rFonts w:hint="eastAsia" w:ascii="宋体" w:hAnsi="宋体"/>
          <w:color w:val="000000"/>
          <w:sz w:val="24"/>
          <w:szCs w:val="24"/>
          <w:highlight w:val="none"/>
        </w:rPr>
        <w:t xml:space="preserve">地址：</w:t>
      </w:r>
      <w:r>
        <w:rPr>
          <w:rFonts w:hint="eastAsia" w:ascii="宋体" w:hAnsi="宋体"/>
          <w:color w:val="000000"/>
          <w:sz w:val="24"/>
          <w:szCs w:val="24"/>
          <w:highlight w:val="none"/>
          <w:u w:val="single"/>
        </w:rPr>
        <w:t xml:space="preserve">扬中市中电大道688号浩云湾27幢04室</w:t>
      </w:r>
      <w:r>
        <w:rPr>
          <w:rFonts w:hint="eastAsia" w:ascii="宋体" w:hAnsi="宋体"/>
          <w:color w:val="000000"/>
          <w:sz w:val="24"/>
          <w:szCs w:val="24"/>
          <w:highlight w:val="none"/>
          <w:u w:val="singl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联系人：</w:t>
      </w:r>
      <w:r>
        <w:rPr>
          <w:rFonts w:hint="eastAsia" w:ascii="宋体" w:hAnsi="宋体"/>
          <w:color w:val="000000"/>
          <w:sz w:val="24"/>
          <w:szCs w:val="24"/>
          <w:highlight w:val="none"/>
          <w:u w:val="single"/>
        </w:rPr>
        <w:t xml:space="preserve">张梦雅</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联系方式：</w:t>
      </w:r>
      <w:bookmarkStart w:id="43" w:name="_Toc28359010"/>
      <w:r/>
      <w:bookmarkStart w:id="44" w:name="_Toc28359087"/>
      <w:r>
        <w:rPr>
          <w:rFonts w:hint="eastAsia" w:ascii="宋体" w:hAnsi="宋体"/>
          <w:color w:val="000000"/>
          <w:sz w:val="24"/>
          <w:szCs w:val="24"/>
          <w:highlight w:val="none"/>
          <w:u w:val="single"/>
        </w:rPr>
        <w:t xml:space="preserve">19814712528</w:t>
      </w:r>
      <w:r>
        <w:rPr>
          <w:rFonts w:hint="eastAsia" w:ascii="宋体" w:hAnsi="宋体"/>
          <w:color w:val="000000"/>
          <w:sz w:val="24"/>
          <w:szCs w:val="24"/>
          <w:highlight w:val="none"/>
        </w:rPr>
      </w:r>
      <w:r/>
    </w:p>
    <w:p>
      <w:pPr>
        <w:pStyle w:val="1218"/>
        <w:ind w:firstLine="373"/>
        <w:spacing w:before="120" w:after="120" w:line="440" w:lineRule="exact"/>
        <w:rPr>
          <w:color w:val="000000"/>
          <w:sz w:val="24"/>
          <w:szCs w:val="24"/>
          <w:highlight w:val="none"/>
        </w:rPr>
      </w:pPr>
      <w:r/>
      <w:bookmarkEnd w:id="43"/>
      <w:r/>
      <w:bookmarkEnd w:id="44"/>
      <w:r>
        <w:rPr>
          <w:rFonts w:hint="eastAsia"/>
          <w:color w:val="000000"/>
          <w:sz w:val="24"/>
          <w:szCs w:val="24"/>
          <w:highlight w:val="none"/>
        </w:rPr>
        <w:t xml:space="preserve">八、其他</w:t>
      </w:r>
      <w:r>
        <w:rPr>
          <w:color w:val="000000"/>
          <w:sz w:val="24"/>
          <w:szCs w:val="24"/>
          <w:highlight w:val="none"/>
        </w:rPr>
      </w:r>
      <w:r/>
    </w:p>
    <w:p>
      <w:pPr>
        <w:pStyle w:val="121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1.有关本次招标的事项若存在变动或修改，敬请及时关注“江苏政府网”、“扬中政府网”发布的更正公告。</w:t>
      </w:r>
      <w:r>
        <w:rPr>
          <w:rFonts w:hint="eastAsia" w:ascii="宋体" w:hAnsi="宋体"/>
          <w:bCs/>
          <w:color w:val="000000"/>
          <w:sz w:val="24"/>
          <w:szCs w:val="24"/>
          <w:highlight w:val="none"/>
        </w:rPr>
      </w:r>
      <w:r/>
    </w:p>
    <w:p>
      <w:pPr>
        <w:pStyle w:val="1215"/>
        <w:ind w:firstLine="480"/>
        <w:spacing w:line="440" w:lineRule="exact"/>
        <w:tabs>
          <w:tab w:val="left" w:pos="900" w:leader="none"/>
        </w:tabs>
        <w:rPr>
          <w:rFonts w:hint="eastAsia" w:ascii="宋体" w:hAnsi="宋体"/>
          <w:bCs/>
          <w:color w:val="000000"/>
          <w:sz w:val="24"/>
          <w:szCs w:val="24"/>
          <w:highlight w:val="none"/>
        </w:rPr>
      </w:pPr>
      <w:r>
        <w:rPr>
          <w:rFonts w:hint="eastAsia" w:ascii="宋体" w:hAnsi="宋体"/>
          <w:bCs/>
          <w:color w:val="000000"/>
          <w:sz w:val="24"/>
          <w:szCs w:val="24"/>
          <w:highlight w:val="none"/>
        </w:rPr>
        <w:t xml:space="preserve">2. 本次招标不收取投标保证金。</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15"/>
        <w:ind w:right="839"/>
        <w:jc w:val="center"/>
        <w:spacing w:before="120" w:after="120" w:line="440" w:lineRule="exact"/>
        <w:rPr>
          <w:rFonts w:hint="eastAsia" w:ascii="黑体" w:eastAsia="黑体"/>
          <w:b/>
          <w:bCs/>
          <w:color w:val="000000"/>
          <w:highlight w:val="none"/>
        </w:rPr>
      </w:pPr>
      <w:r>
        <w:rPr>
          <w:rFonts w:ascii="宋体" w:hAnsi="宋体"/>
          <w:color w:val="000000"/>
          <w:sz w:val="24"/>
          <w:szCs w:val="24"/>
          <w:highlight w:val="none"/>
        </w:rPr>
        <w:br w:type="page" w:clear="all"/>
      </w:r>
      <w:bookmarkStart w:id="45" w:name="_Toc120614211"/>
      <w:r>
        <w:rPr>
          <w:rFonts w:hint="eastAsia" w:ascii="黑体" w:eastAsia="黑体"/>
          <w:color w:val="000000"/>
          <w:sz w:val="32"/>
          <w:szCs w:val="32"/>
          <w:highlight w:val="none"/>
        </w:rPr>
        <w:t xml:space="preserve">第二章  </w:t>
      </w:r>
      <w:bookmarkEnd w:id="1"/>
      <w:r/>
      <w:bookmarkEnd w:id="2"/>
      <w:r/>
      <w:bookmarkEnd w:id="3"/>
      <w:r/>
      <w:bookmarkEnd w:id="4"/>
      <w:r/>
      <w:bookmarkEnd w:id="5"/>
      <w:r/>
      <w:bookmarkEnd w:id="45"/>
      <w:r/>
      <w:bookmarkStart w:id="46" w:name="_Toc513029202"/>
      <w:r/>
      <w:bookmarkStart w:id="47" w:name="_Toc120614213"/>
      <w:r/>
      <w:bookmarkStart w:id="48" w:name="_Toc16938518"/>
      <w:r/>
      <w:bookmarkStart w:id="49" w:name="_Toc20823274"/>
      <w:r>
        <w:rPr>
          <w:rFonts w:hint="eastAsia" w:ascii="黑体" w:eastAsia="黑体"/>
          <w:color w:val="000000"/>
          <w:sz w:val="32"/>
          <w:szCs w:val="32"/>
          <w:highlight w:val="none"/>
        </w:rPr>
        <w:t xml:space="preserve">投标人须知</w:t>
      </w:r>
      <w:bookmarkEnd w:id="46"/>
      <w:r/>
      <w:bookmarkEnd w:id="47"/>
      <w:r/>
      <w:bookmarkEnd w:id="48"/>
      <w:r/>
      <w:bookmarkEnd w:id="49"/>
      <w:r>
        <w:rPr>
          <w:rFonts w:hint="eastAsia" w:ascii="黑体" w:eastAsia="黑体"/>
          <w:b/>
          <w:bCs/>
          <w:color w:val="000000"/>
          <w:highlight w:val="none"/>
        </w:rPr>
      </w:r>
      <w:r/>
    </w:p>
    <w:p>
      <w:pPr>
        <w:pStyle w:val="1218"/>
        <w:ind w:firstLine="373"/>
        <w:spacing w:before="120" w:after="120" w:line="440" w:lineRule="exact"/>
        <w:rPr>
          <w:rFonts w:hint="eastAsia"/>
          <w:color w:val="000000"/>
          <w:sz w:val="24"/>
          <w:szCs w:val="24"/>
          <w:highlight w:val="none"/>
        </w:rPr>
      </w:pPr>
      <w:r/>
      <w:bookmarkStart w:id="50" w:name="_Toc513029203"/>
      <w:r/>
      <w:bookmarkStart w:id="51" w:name="_Toc20823275"/>
      <w:r/>
      <w:bookmarkStart w:id="52" w:name="_Toc16938519"/>
      <w:r/>
      <w:bookmarkStart w:id="53" w:name="_Toc120614214"/>
      <w:r>
        <w:rPr>
          <w:rFonts w:hint="eastAsia"/>
          <w:color w:val="000000"/>
          <w:sz w:val="24"/>
          <w:szCs w:val="24"/>
          <w:highlight w:val="none"/>
        </w:rPr>
        <w:t xml:space="preserve">一、总则</w:t>
      </w:r>
      <w:bookmarkEnd w:id="50"/>
      <w:r/>
      <w:bookmarkEnd w:id="51"/>
      <w:r/>
      <w:bookmarkEnd w:id="52"/>
      <w:r/>
      <w:bookmarkEnd w:id="53"/>
      <w:r>
        <w:rPr>
          <w:rFonts w:hint="eastAsia"/>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54" w:name="_Hlt16619475"/>
      <w:r/>
      <w:bookmarkEnd w:id="54"/>
      <w:r/>
      <w:bookmarkStart w:id="55" w:name="_Toc458694821"/>
      <w:r/>
      <w:bookmarkStart w:id="56" w:name="_Toc513029204"/>
      <w:r/>
      <w:bookmarkStart w:id="57" w:name="_Toc20823276"/>
      <w:r/>
      <w:bookmarkStart w:id="58" w:name="_Toc16938520"/>
      <w:r>
        <w:rPr>
          <w:rFonts w:hint="eastAsia"/>
          <w:b w:val="0"/>
          <w:bCs w:val="0"/>
          <w:color w:val="000000"/>
          <w:sz w:val="24"/>
          <w:szCs w:val="24"/>
          <w:highlight w:val="none"/>
        </w:rPr>
        <w:t xml:space="preserve">1</w:t>
      </w:r>
      <w:bookmarkEnd w:id="55"/>
      <w:r>
        <w:rPr>
          <w:rFonts w:hint="eastAsia"/>
          <w:b w:val="0"/>
          <w:bCs w:val="0"/>
          <w:color w:val="000000"/>
          <w:sz w:val="24"/>
          <w:szCs w:val="24"/>
          <w:highlight w:val="none"/>
        </w:rPr>
        <w:t xml:space="preserve">、招标方式</w:t>
      </w:r>
      <w:bookmarkEnd w:id="56"/>
      <w:r/>
      <w:bookmarkEnd w:id="57"/>
      <w:r/>
      <w:bookmarkEnd w:id="58"/>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1.1 本次招标采取公开招标方式，本招标文件仅适用于招标公告中所述项目。</w:t>
      </w:r>
      <w:r>
        <w:rPr>
          <w:rFonts w:hint="eastAsia" w:ascii="宋体" w:hAnsi="宋体"/>
          <w:color w:val="000000"/>
          <w:sz w:val="24"/>
          <w:highlight w:val="none"/>
        </w:rPr>
      </w:r>
      <w:r/>
    </w:p>
    <w:p>
      <w:pPr>
        <w:pStyle w:val="1219"/>
        <w:ind w:firstLine="360"/>
        <w:spacing w:before="0" w:after="0" w:line="440" w:lineRule="exact"/>
        <w:rPr>
          <w:rFonts w:hint="eastAsia"/>
          <w:b w:val="0"/>
          <w:bCs w:val="0"/>
          <w:color w:val="000000"/>
          <w:sz w:val="24"/>
          <w:szCs w:val="24"/>
          <w:highlight w:val="none"/>
        </w:rPr>
      </w:pPr>
      <w:r/>
      <w:bookmarkStart w:id="59" w:name="_Toc16938521"/>
      <w:r/>
      <w:bookmarkStart w:id="60" w:name="_Toc513029205"/>
      <w:r/>
      <w:bookmarkStart w:id="61" w:name="_Toc20823277"/>
      <w:r>
        <w:rPr>
          <w:rFonts w:hint="eastAsia"/>
          <w:b w:val="0"/>
          <w:bCs w:val="0"/>
          <w:color w:val="000000"/>
          <w:sz w:val="24"/>
          <w:szCs w:val="24"/>
          <w:highlight w:val="none"/>
        </w:rPr>
        <w:t xml:space="preserve">2、合格的投标人</w:t>
      </w:r>
      <w:bookmarkEnd w:id="59"/>
      <w:r/>
      <w:bookmarkEnd w:id="60"/>
      <w:r/>
      <w:bookmarkEnd w:id="61"/>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2.1满足招标公告中</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的资格要求的规定。</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2.2 满足本文件实质性要求和条件的规定。</w:t>
      </w:r>
      <w:r>
        <w:rPr>
          <w:rFonts w:hint="eastAsia" w:ascii="宋体" w:hAnsi="宋体"/>
          <w:color w:val="000000"/>
          <w:sz w:val="24"/>
          <w:szCs w:val="24"/>
          <w:highlight w:val="none"/>
        </w:rPr>
      </w:r>
      <w:r/>
    </w:p>
    <w:p>
      <w:pPr>
        <w:pStyle w:val="1219"/>
        <w:ind w:firstLine="360"/>
        <w:spacing w:before="0" w:after="0" w:line="440" w:lineRule="exact"/>
        <w:rPr>
          <w:b w:val="0"/>
          <w:bCs w:val="0"/>
          <w:color w:val="000000"/>
          <w:sz w:val="24"/>
          <w:szCs w:val="24"/>
          <w:highlight w:val="none"/>
        </w:rPr>
      </w:pPr>
      <w:r/>
      <w:bookmarkStart w:id="62" w:name="_Toc16938522"/>
      <w:r/>
      <w:bookmarkStart w:id="63" w:name="_Toc20823278"/>
      <w:r/>
      <w:bookmarkStart w:id="64" w:name="_Toc513029206"/>
      <w:r>
        <w:rPr>
          <w:rFonts w:hint="eastAsia"/>
          <w:b w:val="0"/>
          <w:bCs w:val="0"/>
          <w:color w:val="000000"/>
          <w:sz w:val="24"/>
          <w:szCs w:val="24"/>
          <w:highlight w:val="none"/>
        </w:rPr>
        <w:t xml:space="preserve">3、适用法律</w:t>
      </w:r>
      <w:bookmarkEnd w:id="62"/>
      <w:r/>
      <w:bookmarkEnd w:id="63"/>
      <w:r/>
      <w:bookmarkEnd w:id="64"/>
      <w:r>
        <w:rPr>
          <w:rFonts w:hint="eastAsia"/>
          <w:b w:val="0"/>
          <w:bCs w:val="0"/>
          <w:color w:val="000000"/>
          <w:sz w:val="24"/>
          <w:szCs w:val="24"/>
          <w:highlight w:val="none"/>
        </w:rPr>
        <w:t xml:space="preserve">及政策功能</w:t>
      </w:r>
      <w:r>
        <w:rPr>
          <w:b w:val="0"/>
          <w:bCs w:val="0"/>
          <w:color w:val="000000"/>
          <w:sz w:val="24"/>
          <w:szCs w:val="24"/>
          <w:highlight w:val="none"/>
        </w:rPr>
      </w:r>
      <w:r/>
    </w:p>
    <w:p>
      <w:pPr>
        <w:pStyle w:val="1215"/>
        <w:ind w:firstLine="420"/>
        <w:spacing w:line="440" w:lineRule="exact"/>
        <w:rPr>
          <w:rFonts w:ascii="宋体" w:hAnsi="宋体"/>
          <w:color w:val="000000"/>
          <w:sz w:val="24"/>
          <w:highlight w:val="none"/>
        </w:rPr>
      </w:pPr>
      <w:r>
        <w:rPr>
          <w:rFonts w:hint="eastAsia" w:ascii="宋体" w:hAnsi="宋体"/>
          <w:color w:val="000000"/>
          <w:sz w:val="24"/>
          <w:highlight w:val="none"/>
        </w:rPr>
        <w:t xml:space="preserve">本次招标及由此产生的合同受中华人民共和国有关的法律法规制约和保护</w:t>
      </w:r>
      <w:r>
        <w:rPr>
          <w:rFonts w:ascii="宋体" w:hAnsi="宋体"/>
          <w:color w:val="000000"/>
          <w:sz w:val="24"/>
          <w:highlight w:val="none"/>
        </w:rPr>
        <w:t xml:space="preserve">。</w:t>
      </w:r>
      <w:r>
        <w:rPr>
          <w:rFonts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3.1支持中小企业发展</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3.1.1中小企业，是指在中华人民共和国境内依法设立，依据国务院批准的中小企业划分标准确定的中型企业、小型企业和微型企业，但与大企业的负责人为同一人，或者与大企业存在直接控股、管理关系的除外。</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符合中小企业划分标准的个体工商户，在政府活动中视同中小企业。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3.1.2在政府活动中，投标人提供的货物、工程或者服务符合下列情形的，享受中小企业扶持政策：</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3.1.2.1在货物项目中，货物由中小企业制造，即货物由中小企业生产且使用该中小企业商号或者注册商标；</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3.1.2.2在工程项目中，工程由中小企业承建，即工程施工单位为中小企业；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3.1.2.3在服务项目中，服务由中小企业承接，即提供服务的人员为中小企业依照《中华人民共和国劳动合同法》订立劳动合同的从业人员。</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在货物项目中，投标人提供的货物既有中小企业制造货物，也有大型企业制造货物的，不享受中小企业扶持政策。</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以联合体形式参加政府活动，联合体各方均为中小企业的，联合体视同中小企业。其中，联合体各方均为小微企业的，联合体视同小微企业。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3.1.3根据《政府促进中小企业发展管理办法》要求，对于未预留份额专门面向中小企业的政府货物或服务项目，以及预留份额政府货物或服务项目中的非预留部分标项，对小型和微型企业的投标报价给予</w:t>
      </w:r>
      <w:bookmarkStart w:id="65" w:name="_Hlk132637972"/>
      <w:r>
        <w:rPr>
          <w:rFonts w:hint="eastAsia" w:ascii="宋体" w:hAnsi="宋体"/>
          <w:color w:val="000000"/>
          <w:sz w:val="24"/>
          <w:highlight w:val="none"/>
        </w:rPr>
        <w:t xml:space="preserve">10%-20%</w:t>
      </w:r>
      <w:bookmarkEnd w:id="65"/>
      <w:r>
        <w:rPr>
          <w:rFonts w:hint="eastAsia" w:ascii="宋体" w:hAnsi="宋体"/>
          <w:color w:val="000000"/>
          <w:sz w:val="24"/>
          <w:highlight w:val="none"/>
        </w:rPr>
        <w:t xml:space="preserve">的扣除，</w:t>
      </w:r>
      <w:bookmarkStart w:id="66" w:name="_Hlk132637893"/>
      <w:r>
        <w:rPr>
          <w:rFonts w:hint="eastAsia" w:ascii="宋体" w:hAnsi="宋体"/>
          <w:color w:val="000000"/>
          <w:sz w:val="24"/>
          <w:highlight w:val="none"/>
        </w:rPr>
        <w:t xml:space="preserve">用扣除后的价格参与评审</w:t>
      </w:r>
      <w:bookmarkEnd w:id="66"/>
      <w:r>
        <w:rPr>
          <w:rFonts w:hint="eastAsia" w:ascii="宋体" w:hAnsi="宋体"/>
          <w:color w:val="000000"/>
          <w:sz w:val="24"/>
          <w:highlight w:val="none"/>
        </w:rPr>
        <w:t xml:space="preserve">。接受大中型企业与小微企业组成联合体或者允许大中型企业向一家或者多家小微企业分包的政府货物或服务项目，对于联合协议或者分包意向协</w:t>
      </w:r>
      <w:r>
        <w:rPr>
          <w:rFonts w:hint="eastAsia" w:ascii="宋体" w:hAnsi="宋体"/>
          <w:color w:val="000000"/>
          <w:sz w:val="24"/>
          <w:highlight w:val="none"/>
        </w:rPr>
        <w:t xml:space="preserve">议约定小型、微型企业的协议合同金额占到合同总金额30%以上的，给予联合体4%-6%的价格扣除。联合体各方均为小型、微型企业的，联合体视同为小型、微型企业享受10%-20%的价格扣除，用扣除后的价格参与评审。可享受中小企业扶持政策的投标人应按照招标文件格式要求提供《中小企业声明函》，投标人提供的《中小企业声明函》与实际情况不符的，不享受中小企业扶持政策。声明内容不实属于提供虚假材料谋取中标、成交的，依法承担法律责任。中小企业划型标准见《关于印发中小企业划型标准规定的通知》（工信部联企业[2011]300号）。</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3.1.4根据《财政部 司法部关于政府支持监狱企业发展有关问题的通知》（财库〔2014〕68号）要求，监狱和戒毒企业视同小型、微型企业，享受与小型、微型企业产品价格同比例扣除的优惠政策。监狱和戒毒企业应当提供由省级以上监狱管理局、戒毒管理局（含新疆生产建设兵团）出具的属于监狱企业的证明文件。</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3.1.5根据《关于促进残疾人就业政府政策的通知》（财库〔2017〕141号）要求，残疾人福利性单位视同小型、微型企业，享受与小型、微型企业产品价格同比例扣除的优惠政策。符合条件的残疾人福利性单位应当提供《残疾人福利性单位声明函》，并对声明的真实性负责。</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3.1.6中小企业享受扶持政策获得政府合同的，小微企业不得将合同分包给大中型企业，中型企业不得将合同分包给大型企业。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3.2强制信息安全产品</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信息安全产品指国家质检总局国家认监委《信息安全产品强制性认证目录》，并获得强制性产品认证证书的产品。</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3.3支持绿色发展</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3.3.1根据《财政部 发展改革委 生态环境部 市场监管总局关于调整优化节能产品 环境标志产品政府执行机制的通知》（财库〔2019〕9号）的规定，对政府节能产品、环境标志产品实施品目清单管理。</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所投产品属于品目清单范围的，依据国家确定的认证机构出具的、处于有效期之内的节能产品、环境标志产品认证证书，对获得证书的产品实施政府优先或强制。</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3.3.2本项目中涉及商品包装和快递包装的，参考《财政部办公厅关于印发《商品包装政府需求标准（试行）》、 《快递包装政府需求标准（试行）》的通知》</w:t>
      </w:r>
      <w:bookmarkStart w:id="67" w:name="_Hlk132634610"/>
      <w:r>
        <w:rPr>
          <w:rFonts w:hint="eastAsia" w:ascii="宋体" w:hAnsi="宋体"/>
          <w:color w:val="000000"/>
          <w:sz w:val="24"/>
          <w:highlight w:val="none"/>
        </w:rPr>
        <w:t xml:space="preserve">（财办库〔2020〕123号）</w:t>
      </w:r>
      <w:bookmarkEnd w:id="67"/>
      <w:r>
        <w:rPr>
          <w:rFonts w:hint="eastAsia" w:ascii="宋体" w:hAnsi="宋体"/>
          <w:color w:val="000000"/>
          <w:sz w:val="24"/>
          <w:highlight w:val="none"/>
        </w:rPr>
        <w:t xml:space="preserve">规定的包装需求标准。</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3.3.3纳入政府管理的装修、修缮等项目，鼓励参考财政部办公厅 </w:t>
      </w:r>
      <w:r>
        <w:rPr>
          <w:rFonts w:hint="eastAsia" w:ascii="宋体" w:hAnsi="宋体"/>
          <w:color w:val="000000"/>
          <w:sz w:val="24"/>
          <w:highlight w:val="none"/>
          <w:lang w:eastAsia="zh-CN"/>
        </w:rPr>
        <w:t xml:space="preserve">住房和城乡建设部</w:t>
      </w:r>
      <w:r>
        <w:rPr>
          <w:rFonts w:hint="eastAsia" w:ascii="宋体" w:hAnsi="宋体"/>
          <w:color w:val="000000"/>
          <w:sz w:val="24"/>
          <w:highlight w:val="none"/>
        </w:rPr>
        <w:t xml:space="preserve">办公厅 工业和信息化部办公厅关于印发《政府支持绿色建材促进建筑品质提升政策项目实施指南》的通知（财办库〔2023〕52号）规定的需求标准。</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3.3.4招标人数据中心相关设备、运维服务，按照《绿色数据中心政府需求标准（试行）》实施相关活动。</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3.4 根据国家扶持中小企业的有关政策，采购项目中标人在履约过程中如遇到资金困难，凭政府采购合同在相关金融机构办理授信申请，相关事宜详见江苏政府采购网站“政采贷”栏目。</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3.5支持创新发展</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3.5.1招标人优先被认定为重点推广应用、首台（套）重大装备、重点领域首版次软件的自主创新产品。</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3.6平等对待内外资企业和符合条件的破产重整企业</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3.6.1平等对待内外资企业和符合条件的破产重整企业，切实保障企业公平竞争，平等维护企业的合法利益。</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.7</w:t>
      </w:r>
      <w:r>
        <w:rPr>
          <w:rFonts w:hint="eastAsia" w:ascii="宋体" w:hAnsi="宋体"/>
          <w:color w:val="000000"/>
          <w:sz w:val="24"/>
          <w:highlight w:val="none"/>
        </w:rPr>
        <w:t xml:space="preserve">招标人数据中心相关设备、运维服务，按照《绿色数据中心政府需求标准（试行）》实施相关活动。</w:t>
      </w:r>
      <w:r>
        <w:rPr>
          <w:rFonts w:hint="eastAsia" w:ascii="宋体" w:hAnsi="宋体"/>
          <w:color w:val="000000"/>
          <w:sz w:val="24"/>
          <w:highlight w:val="none"/>
        </w:rPr>
        <w:br w:type="textWrapping" w:clear="all"/>
      </w:r>
      <w:r>
        <w:rPr>
          <w:rFonts w:hint="eastAsia" w:ascii="宋体" w:hAnsi="宋体"/>
          <w:color w:val="000000"/>
          <w:sz w:val="24"/>
          <w:highlight w:val="none"/>
        </w:rPr>
        <w:t xml:space="preserve">   3.</w:t>
      </w:r>
      <w:r>
        <w:rPr>
          <w:rFonts w:hint="eastAsia" w:ascii="宋体" w:hAnsi="宋体"/>
          <w:color w:val="000000"/>
          <w:sz w:val="24"/>
          <w:highlight w:val="none"/>
          <w:lang w:val="en-US" w:eastAsia="zh-CN"/>
        </w:rPr>
        <w:t xml:space="preserve">8</w:t>
      </w:r>
      <w:r>
        <w:rPr>
          <w:rFonts w:hint="eastAsia" w:ascii="宋体" w:hAnsi="宋体"/>
          <w:color w:val="000000"/>
          <w:sz w:val="24"/>
          <w:highlight w:val="none"/>
        </w:rPr>
        <w:t xml:space="preserve">根据国家扶持中小企业的有关政策，组织方负责代理的项目中标（成交）企业，在履约过程中如遇到资金困难，凭中标（成交）通知书在相关金融机构办理授信申请，相关事宜请查阅“镇江市公共资源交易服务平台---政府”网站。</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rPr>
        <w:t xml:space="preserve">3.</w:t>
      </w:r>
      <w:r>
        <w:rPr>
          <w:rFonts w:hint="eastAsia" w:ascii="宋体" w:hAnsi="宋体"/>
          <w:color w:val="000000"/>
          <w:sz w:val="24"/>
          <w:highlight w:val="none"/>
          <w:lang w:val="en-US" w:eastAsia="zh-CN"/>
        </w:rPr>
        <w:t xml:space="preserve">9实施本国产品标准及相关政策</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3.9.1认定标准</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本国产品应当符合以下条件：</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（一）在中国境内生产</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产品应当在中国境内生产，即在中华人民共和国关境内实现从原材料、组件到产品的属性改变。</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属性改变是指经过制造、加工或者组装等工序，产生完全不同于原材料、组件的新产品，并具有新的名称和特征（用途）。属性改变不包括以下细微操作：</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1.为确保产品在运输或者储存期间保持某种状态而进行的操作；</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2.为产品运输或者销售进行的包装或者展示；</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3.在产品或者其包装上粘贴或者印刷品牌、标志、标识以及其他用于区别的标记；</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4.简单的上漆、磨光和分装；</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5.其他不属于属性改变的情形。</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（二）在中国境内生产的组件成本占比达到规定比例</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1" allowOverlap="1">
                <wp:simplePos x="0" y="0"/>
                <wp:positionH relativeFrom="column">
                  <wp:posOffset>188595</wp:posOffset>
                </wp:positionH>
                <wp:positionV relativeFrom="paragraph">
                  <wp:posOffset>225425</wp:posOffset>
                </wp:positionV>
                <wp:extent cx="4829175" cy="762000"/>
                <wp:effectExtent l="0" t="0" r="0" b="0"/>
                <wp:wrapNone/>
                <wp:docPr id="13" name=""/>
                <wp:cNvGraphicFramePr/>
                <a:graphic xmlns:a="http://schemas.openxmlformats.org/drawingml/2006/main">
                  <a:graphicData uri="http://schemas.openxmlformats.org/drawingml/2006/picture">
                    <pic:pic xmlns:pic="http://schemas.openxmlformats.org/drawingml/2006/picture">
                      <pic:nvPicPr>
                        <pic:cNvPr id="0" name=""/>
                        <pic:cNvPicPr/>
                        <pic:nvPr/>
                      </pic:nvPicPr>
                      <pic:blipFill>
                        <a:blip r:embed="rId17"/>
                        <a:stretch/>
                      </pic:blipFill>
                      <pic:spPr bwMode="auto">
                        <a:xfrm>
                          <a:off x="0" y="0"/>
                          <a:ext cx="4829175" cy="762000"/>
                        </a:xfrm>
                        <a:prstGeom prst="rect">
                          <a:avLst/>
                        </a:prstGeom>
                        <a:noFill/>
                        <a:ln>
                          <a:noFill/>
                        </a:ln>
                      </pic:spPr>
                    </pic:pic>
                  </a:graphicData>
                </a:graphic>
              </wp:anchor>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2" o:spid="_x0000_s12" type="#_x0000_t75" style="position:absolute;z-index:-524288;o:allowoverlap:true;o:allowincell:true;mso-position-horizontal-relative:text;margin-left:14.8pt;mso-position-horizontal:absolute;mso-position-vertical-relative:text;margin-top:17.8pt;mso-position-vertical:absolute;width:380.2pt;height:60.0pt;mso-wrap-distance-left:9.0pt;mso-wrap-distance-top:0.0pt;mso-wrap-distance-right:9.0pt;mso-wrap-distance-bottom:0.0pt;" stroked="f">
                <v:path textboxrect="0,0,0,0"/>
                <v:imagedata r:id="rId17" o:title=""/>
              </v:shape>
            </w:pict>
          </mc:Fallback>
        </mc:AlternateContent>
      </w:r>
      <w:r>
        <w:rPr>
          <w:rFonts w:hint="eastAsia" w:ascii="宋体" w:hAnsi="宋体"/>
          <w:color w:val="000000"/>
          <w:sz w:val="24"/>
          <w:highlight w:val="none"/>
          <w:lang w:val="en-US" w:eastAsia="zh-CN"/>
        </w:rPr>
        <w:t xml:space="preserve">产品在中国境内生产的组件成本占比应当达到规定比例，计算公式为：</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财政部会同有关行业主管部门，分产品确定在中国境内生产的组件成本占比应当达到的规定比例。在分产品的中国境内生产的组件成本占比相关要求实施前，符合本通知第一条第（一）项条件的产品在政府采购活动中视同本国产品。</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（三）特定产品的关键组件、关键工序符合相关要求</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对特定产品，在符合本通知第一条第（一）项和第（二）项条件的基础上，应当符合财政部会同有关行业主管部门确定的其关键组件、关键工序在中国境内生产、完成等要求。</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财政部会同有关行业主管部门自本通知施行之日起5年内，在充分征求有关内外资企业、行业协会商会等方面意见的基础上，分类施策、稳妥推进，分产品确定在中国境内生产的组件成本占比要求，以及特定产品的关键组件、关键工序相关要求，并根据不同行业的发展情况，在出台具体产品相关要求时，设置3—5年过渡期，逐步建立政府采购中本国产品标准体系和动态调整机制。</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3.9.2适用范围</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本国产品标准适用于货物，包括政府采购货物项目和服务项目中涉及的货物。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3.9.3对本国产品的支持政策</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当采购项目或者采购包中含有多种产品，供应商为该采购项目或者采购包提供的符合本国产品标准的产品成本之和占该供应商提供的全部产品成本之和的比例达到80%以上时，依法对该供应商提供的全部产品给予价格评审优惠，即对该供应商提供的全部产品的总报价给予20%的价格扣除，用扣除后的价格参与评审。</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3.9.4书面澄清、说明或者补正</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lang w:val="en-US" w:eastAsia="zh-CN"/>
        </w:rPr>
      </w:pPr>
      <w:r>
        <w:rPr>
          <w:rFonts w:hint="eastAsia" w:ascii="宋体" w:hAnsi="宋体"/>
          <w:color w:val="000000"/>
          <w:sz w:val="24"/>
          <w:highlight w:val="none"/>
          <w:lang w:val="en-US" w:eastAsia="zh-CN"/>
        </w:rPr>
        <w:t xml:space="preserve">评审中发现《声明函》内容含义不明确、同类事项与投标（响应）文件表述不一致或者有明显文字错误等情况的，应当以书面形式要求供应商作出必要的澄清、说明或者补正。经澄清、说明或者补正的《声明函》仍然不符合《通知》规定要求的，供应商提供的相关产品视为不符合本国产品标准。</w:t>
      </w:r>
      <w:r>
        <w:rPr>
          <w:rFonts w:hint="eastAsia" w:ascii="宋体" w:hAnsi="宋体"/>
          <w:color w:val="000000"/>
          <w:sz w:val="24"/>
          <w:highlight w:val="none"/>
          <w:lang w:val="en-US" w:eastAsia="zh-CN"/>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lang w:val="en-US" w:eastAsia="zh-CN"/>
        </w:rPr>
        <w:t xml:space="preserve">3.10</w:t>
      </w:r>
      <w:r>
        <w:rPr>
          <w:rFonts w:hint="eastAsia" w:ascii="宋体" w:hAnsi="宋体"/>
          <w:color w:val="000000"/>
          <w:sz w:val="24"/>
          <w:highlight w:val="none"/>
        </w:rPr>
        <w:t xml:space="preserve">本次招标及由本次产生的合同受中华人民共和国法律制约和保护。</w:t>
      </w:r>
      <w:r>
        <w:rPr>
          <w:rFonts w:hint="eastAsia" w:ascii="宋体" w:hAnsi="宋体"/>
          <w:color w:val="000000"/>
          <w:sz w:val="24"/>
          <w:highlight w:val="none"/>
        </w:rPr>
      </w:r>
      <w:r/>
    </w:p>
    <w:p>
      <w:pPr>
        <w:pStyle w:val="1215"/>
        <w:ind w:firstLine="420"/>
        <w:spacing w:line="440" w:lineRule="exact"/>
        <w:rPr>
          <w:rFonts w:hint="eastAsia" w:ascii="宋体" w:hAnsi="宋体"/>
          <w:color w:val="000000"/>
          <w:sz w:val="24"/>
          <w:highlight w:val="none"/>
        </w:rPr>
      </w:pPr>
      <w:r>
        <w:rPr>
          <w:rFonts w:hint="eastAsia" w:ascii="宋体" w:hAnsi="宋体"/>
          <w:color w:val="000000"/>
          <w:sz w:val="24"/>
          <w:highlight w:val="none"/>
        </w:rPr>
        <w:t xml:space="preserve">3.1</w:t>
      </w:r>
      <w:r>
        <w:rPr>
          <w:rFonts w:hint="eastAsia" w:ascii="宋体" w:hAnsi="宋体"/>
          <w:color w:val="000000"/>
          <w:sz w:val="24"/>
          <w:highlight w:val="none"/>
          <w:lang w:val="en-US" w:eastAsia="zh-CN"/>
        </w:rPr>
        <w:t xml:space="preserve">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一旦领取了本招标文件并参加投标，即被认为接受了本招标文件的规定和约束。</w:t>
      </w:r>
      <w:r>
        <w:rPr>
          <w:rFonts w:hint="eastAsia" w:ascii="宋体" w:hAnsi="宋体"/>
          <w:color w:val="000000"/>
          <w:sz w:val="24"/>
          <w:highlight w:val="none"/>
        </w:rPr>
      </w:r>
      <w:r/>
    </w:p>
    <w:p>
      <w:pPr>
        <w:pStyle w:val="1219"/>
        <w:ind w:firstLine="480"/>
        <w:spacing w:before="0" w:after="0" w:line="440" w:lineRule="exact"/>
        <w:rPr>
          <w:rFonts w:hint="eastAsia"/>
          <w:b w:val="0"/>
          <w:bCs w:val="0"/>
          <w:color w:val="000000"/>
          <w:sz w:val="24"/>
          <w:szCs w:val="24"/>
          <w:highlight w:val="none"/>
        </w:rPr>
      </w:pPr>
      <w:r/>
      <w:bookmarkStart w:id="68" w:name="_Toc513029207"/>
      <w:r/>
      <w:bookmarkStart w:id="69" w:name="_Toc20823279"/>
      <w:r/>
      <w:bookmarkStart w:id="70" w:name="_Toc16938523"/>
      <w:r/>
      <w:bookmarkStart w:id="71" w:name="_Toc462564067"/>
      <w:r>
        <w:rPr>
          <w:rFonts w:hint="eastAsia"/>
          <w:b w:val="0"/>
          <w:bCs w:val="0"/>
          <w:color w:val="000000"/>
          <w:sz w:val="24"/>
          <w:szCs w:val="24"/>
          <w:highlight w:val="none"/>
        </w:rPr>
        <w:t xml:space="preserve">4、投标费用</w:t>
      </w:r>
      <w:bookmarkEnd w:id="68"/>
      <w:r/>
      <w:bookmarkEnd w:id="69"/>
      <w:r/>
      <w:bookmarkEnd w:id="70"/>
      <w:r/>
      <w:bookmarkEnd w:id="71"/>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4.1</w:t>
      </w:r>
      <w:r>
        <w:rPr>
          <w:rFonts w:hint="eastAsia" w:ascii="宋体" w:hAnsi="宋体"/>
          <w:color w:val="000000"/>
          <w:sz w:val="24"/>
          <w:highlight w:val="none"/>
        </w:rPr>
        <w:t xml:space="preserve"> 投标人应自行承担所有与参加投标有关的费用，无论投标过程中的做法和结果如何，</w:t>
      </w:r>
      <w:r>
        <w:rPr>
          <w:rFonts w:hint="eastAsia" w:ascii="宋体" w:hAnsi="宋体"/>
          <w:color w:val="000000"/>
          <w:sz w:val="24"/>
          <w:szCs w:val="24"/>
          <w:highlight w:val="none"/>
        </w:rPr>
        <w:t xml:space="preserve">江苏金居工程项目管理有限公司</w:t>
      </w:r>
      <w:r>
        <w:rPr>
          <w:rFonts w:hint="eastAsia" w:ascii="宋体" w:hAnsi="宋体"/>
          <w:color w:val="000000"/>
          <w:sz w:val="24"/>
          <w:highlight w:val="none"/>
        </w:rPr>
        <w:t xml:space="preserve">在任何情况下均无义务和责任承担这些费用。</w:t>
      </w:r>
      <w:r>
        <w:rPr>
          <w:rFonts w:hint="eastAsia"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4.2本次招标不收取标书工本费。</w:t>
      </w:r>
      <w:r>
        <w:rPr>
          <w:rFonts w:hint="eastAsia" w:ascii="宋体" w:hAnsi="宋体"/>
          <w:color w:val="000000"/>
          <w:sz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4.3招标代理费收费标准：招标代理费</w:t>
      </w:r>
      <w:r>
        <w:rPr>
          <w:rFonts w:hint="eastAsia" w:ascii="宋体" w:hAnsi="宋体"/>
          <w:color w:val="000000"/>
          <w:sz w:val="24"/>
          <w:szCs w:val="24"/>
          <w:highlight w:val="none"/>
          <w:lang w:eastAsia="zh-CN"/>
        </w:rPr>
        <w:t xml:space="preserve">根据扬中市人民医院招标代理费收费标准，按照采购预算</w:t>
      </w:r>
      <w:r>
        <w:rPr>
          <w:rFonts w:hint="eastAsia" w:ascii="宋体" w:hAnsi="宋体"/>
          <w:color w:val="000000"/>
          <w:sz w:val="24"/>
          <w:szCs w:val="24"/>
          <w:highlight w:val="none"/>
          <w:lang w:val="en-US" w:eastAsia="zh-CN"/>
        </w:rPr>
        <w:t xml:space="preserve">*0.5%计算</w:t>
      </w:r>
      <w:r>
        <w:rPr>
          <w:rFonts w:hint="eastAsia" w:ascii="宋体" w:hAnsi="宋体"/>
          <w:color w:val="000000"/>
          <w:sz w:val="24"/>
          <w:szCs w:val="24"/>
          <w:highlight w:val="none"/>
          <w:lang w:eastAsia="zh-CN"/>
        </w:rPr>
        <w:t xml:space="preserve">，共</w:t>
      </w:r>
      <w:r>
        <w:rPr>
          <w:rFonts w:hint="eastAsia" w:ascii="宋体" w:hAnsi="宋体"/>
          <w:color w:val="000000"/>
          <w:sz w:val="24"/>
          <w:szCs w:val="24"/>
          <w:highlight w:val="none"/>
          <w:u w:val="single"/>
          <w:lang w:eastAsia="zh-CN"/>
        </w:rPr>
        <w:t xml:space="preserve">壹万壹仟元整（￥</w:t>
      </w:r>
      <w:r>
        <w:rPr>
          <w:rFonts w:hint="eastAsia" w:ascii="宋体" w:hAnsi="宋体"/>
          <w:color w:val="000000"/>
          <w:sz w:val="24"/>
          <w:szCs w:val="24"/>
          <w:highlight w:val="none"/>
          <w:u w:val="single"/>
          <w:lang w:val="en-US" w:eastAsia="zh-CN"/>
        </w:rPr>
        <w:t xml:space="preserve">11000.00</w:t>
      </w:r>
      <w:r>
        <w:rPr>
          <w:rFonts w:hint="eastAsia" w:ascii="宋体" w:hAnsi="宋体"/>
          <w:color w:val="000000"/>
          <w:sz w:val="24"/>
          <w:szCs w:val="24"/>
          <w:highlight w:val="none"/>
          <w:u w:val="single"/>
          <w:lang w:eastAsia="zh-CN"/>
        </w:rPr>
        <w:t xml:space="preserve">）</w:t>
      </w:r>
      <w:r>
        <w:rPr>
          <w:rFonts w:hint="eastAsia" w:ascii="宋体" w:hAnsi="宋体"/>
          <w:color w:val="000000"/>
          <w:sz w:val="24"/>
          <w:szCs w:val="24"/>
          <w:highlight w:val="none"/>
          <w:u w:val="single"/>
        </w:rPr>
        <w:t xml:space="preserve">；</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4.4招标代理费收取方式：由(中标人）支付。</w:t>
      </w:r>
      <w:r>
        <w:rPr>
          <w:rFonts w:hint="eastAsia" w:ascii="宋体" w:hAnsi="宋体"/>
          <w:color w:val="000000"/>
          <w:sz w:val="24"/>
          <w:szCs w:val="24"/>
          <w:highlight w:val="none"/>
          <w:lang w:eastAsia="zh-CN"/>
        </w:rPr>
        <w:t xml:space="preserve">本项目代理服务费已纳入项目成本测算，中标人投标报价时应综合考虑，招标人不再另行承担</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由中标人领取中标通知书时一次性付清；中标人如果未按规定缴纳上述费用，招标人或代理机构保留诉讼的权利。中标人需要开代理费发票的，需由中标人缴纳费用后，代理机构将发票开具给中标人。</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lang w:val="en-US" w:eastAsia="zh-CN"/>
        </w:rPr>
        <w:t xml:space="preserve">5 </w:t>
      </w:r>
      <w:r>
        <w:rPr>
          <w:rFonts w:hint="eastAsia" w:ascii="宋体" w:hAnsi="宋体"/>
          <w:color w:val="000000"/>
          <w:sz w:val="24"/>
          <w:szCs w:val="24"/>
          <w:highlight w:val="none"/>
        </w:rPr>
        <w:t xml:space="preserve">本次采购代理服务费在成交供应商领取成交通知书时结算。</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付款账户如下：</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单位名称：江苏金居工程项目管理有限公司</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统一代码：91321182567838330L</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营业地址：扬中市三茅街道浩云湾27幢04室</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账号：10333001040629988</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开户银行：中国农业银行扬中市支行</w:t>
      </w:r>
      <w:r>
        <w:rPr>
          <w:rFonts w:hint="eastAsia" w:ascii="宋体" w:hAnsi="宋体"/>
          <w:color w:val="000000"/>
          <w:sz w:val="24"/>
          <w:szCs w:val="24"/>
          <w:highlight w:val="none"/>
        </w:rPr>
      </w:r>
      <w:r/>
    </w:p>
    <w:p>
      <w:pPr>
        <w:pStyle w:val="1219"/>
        <w:ind w:firstLine="562"/>
        <w:spacing w:before="0" w:after="0" w:line="440" w:lineRule="exact"/>
        <w:rPr>
          <w:rFonts w:hint="eastAsia" w:ascii="黑体" w:hAnsi="宋体"/>
          <w:b w:val="0"/>
          <w:bCs w:val="0"/>
          <w:color w:val="000000"/>
          <w:sz w:val="24"/>
          <w:szCs w:val="24"/>
          <w:highlight w:val="none"/>
        </w:rPr>
      </w:pPr>
      <w:r>
        <w:rPr>
          <w:rFonts w:hint="eastAsia" w:ascii="宋体" w:hAnsi="宋体"/>
          <w:color w:val="000000"/>
          <w:szCs w:val="24"/>
          <w:highlight w:val="none"/>
        </w:rPr>
        <w:t xml:space="preserve">5、</w:t>
      </w:r>
      <w:r>
        <w:rPr>
          <w:rFonts w:hint="eastAsia" w:ascii="黑体" w:hAnsi="宋体"/>
          <w:b w:val="0"/>
          <w:bCs w:val="0"/>
          <w:color w:val="000000"/>
          <w:sz w:val="24"/>
          <w:szCs w:val="24"/>
          <w:highlight w:val="none"/>
        </w:rPr>
        <w:t xml:space="preserve">招标文件的约束力</w:t>
      </w:r>
      <w:r>
        <w:rPr>
          <w:rFonts w:hint="eastAsia" w:ascii="黑体" w:hAnsi="宋体"/>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5.1</w:t>
      </w:r>
      <w:r>
        <w:rPr>
          <w:rFonts w:hint="eastAsia" w:ascii="宋体" w:hAnsi="宋体"/>
          <w:color w:val="000000"/>
          <w:sz w:val="24"/>
          <w:szCs w:val="24"/>
          <w:highlight w:val="none"/>
        </w:rPr>
        <w:t xml:space="preserve"> 投标人一旦参加本项目活动，即被认为接受了本招标文件的规定和约束。</w:t>
      </w:r>
      <w:r>
        <w:rPr>
          <w:rFonts w:hint="eastAsia" w:ascii="宋体" w:hAnsi="宋体"/>
          <w:color w:val="000000"/>
          <w:sz w:val="24"/>
          <w:szCs w:val="24"/>
          <w:highlight w:val="none"/>
        </w:rPr>
      </w:r>
      <w:r/>
    </w:p>
    <w:p>
      <w:pPr>
        <w:pStyle w:val="1218"/>
        <w:ind w:firstLine="281"/>
        <w:spacing w:before="120" w:after="120" w:line="440" w:lineRule="exact"/>
        <w:rPr>
          <w:rFonts w:hint="eastAsia"/>
          <w:color w:val="000000"/>
          <w:sz w:val="28"/>
          <w:szCs w:val="28"/>
          <w:highlight w:val="none"/>
        </w:rPr>
      </w:pPr>
      <w:r/>
      <w:bookmarkStart w:id="72" w:name="_Toc513029209"/>
      <w:r/>
      <w:bookmarkStart w:id="73" w:name="_Toc16938525"/>
      <w:r/>
      <w:bookmarkStart w:id="74" w:name="_Toc120614215"/>
      <w:r/>
      <w:bookmarkStart w:id="75" w:name="_Toc20823281"/>
      <w:r>
        <w:rPr>
          <w:rFonts w:hint="eastAsia"/>
          <w:color w:val="000000"/>
          <w:sz w:val="28"/>
          <w:szCs w:val="28"/>
          <w:highlight w:val="none"/>
        </w:rPr>
        <w:t xml:space="preserve">二、招标文件</w:t>
      </w:r>
      <w:bookmarkEnd w:id="72"/>
      <w:r/>
      <w:bookmarkEnd w:id="73"/>
      <w:r/>
      <w:bookmarkEnd w:id="74"/>
      <w:r/>
      <w:bookmarkEnd w:id="75"/>
      <w:r>
        <w:rPr>
          <w:rFonts w:hint="eastAsia"/>
          <w:color w:val="000000"/>
          <w:sz w:val="28"/>
          <w:szCs w:val="28"/>
          <w:highlight w:val="none"/>
        </w:rPr>
      </w:r>
      <w:r/>
    </w:p>
    <w:p>
      <w:pPr>
        <w:pStyle w:val="1219"/>
        <w:ind w:firstLine="360"/>
        <w:spacing w:before="0" w:after="0" w:line="440" w:lineRule="exact"/>
        <w:rPr>
          <w:rFonts w:hint="eastAsia"/>
          <w:b w:val="0"/>
          <w:bCs w:val="0"/>
          <w:color w:val="000000"/>
          <w:sz w:val="24"/>
          <w:szCs w:val="24"/>
          <w:highlight w:val="none"/>
        </w:rPr>
      </w:pPr>
      <w:r/>
      <w:bookmarkStart w:id="76" w:name="_Toc20823282"/>
      <w:r/>
      <w:bookmarkStart w:id="77" w:name="_Toc16938526"/>
      <w:r/>
      <w:bookmarkStart w:id="78" w:name="_Toc513029210"/>
      <w:r>
        <w:rPr>
          <w:rFonts w:hint="eastAsia"/>
          <w:b w:val="0"/>
          <w:bCs w:val="0"/>
          <w:color w:val="000000"/>
          <w:sz w:val="24"/>
          <w:szCs w:val="24"/>
          <w:highlight w:val="none"/>
        </w:rPr>
        <w:t xml:space="preserve">6、招标文件构成</w:t>
      </w:r>
      <w:bookmarkEnd w:id="76"/>
      <w:r/>
      <w:bookmarkEnd w:id="77"/>
      <w:r/>
      <w:bookmarkEnd w:id="78"/>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6.1</w:t>
      </w:r>
      <w:r>
        <w:rPr>
          <w:rFonts w:hint="eastAsia" w:ascii="宋体" w:hAnsi="宋体"/>
          <w:color w:val="000000"/>
          <w:sz w:val="24"/>
          <w:highlight w:val="none"/>
        </w:rPr>
        <w:t xml:space="preserve"> 招标文件由以下部分组成：</w:t>
      </w:r>
      <w:r>
        <w:rPr>
          <w:rFonts w:hint="eastAsia" w:ascii="宋体" w:hAnsi="宋体"/>
          <w:color w:val="000000"/>
          <w:sz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（1）投标</w:t>
      </w:r>
      <w:r>
        <w:rPr>
          <w:rFonts w:ascii="宋体" w:hAnsi="宋体"/>
          <w:color w:val="000000"/>
          <w:sz w:val="24"/>
          <w:szCs w:val="24"/>
          <w:highlight w:val="none"/>
        </w:rPr>
        <w:t xml:space="preserve">邀请</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（2）投标人须知</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（3）合同文本</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（4）招标需求</w:t>
      </w:r>
      <w:r>
        <w:rPr>
          <w:rFonts w:hint="eastAsia" w:ascii="宋体" w:hAnsi="宋体"/>
          <w:color w:val="000000"/>
          <w:sz w:val="24"/>
          <w:szCs w:val="24"/>
          <w:highlight w:val="none"/>
        </w:rPr>
      </w:r>
      <w:r/>
    </w:p>
    <w:p>
      <w:pPr>
        <w:pStyle w:val="121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（5）</w:t>
      </w:r>
      <w:r>
        <w:rPr>
          <w:rFonts w:hint="eastAsia" w:hAnsi="宋体"/>
          <w:color w:val="000000"/>
          <w:sz w:val="24"/>
          <w:szCs w:val="24"/>
          <w:highlight w:val="none"/>
        </w:rPr>
        <w:t xml:space="preserve">评标方法与评标标准</w:t>
      </w:r>
      <w:r>
        <w:rPr>
          <w:rFonts w:hint="eastAsia"/>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（6）投标文件格式</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请仔细检查招标文件是否齐全，如有缺漏请立即与代理机构联系解决。</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6.2</w:t>
      </w:r>
      <w:r>
        <w:rPr>
          <w:rFonts w:hint="eastAsia" w:ascii="宋体" w:hAnsi="宋体"/>
          <w:color w:val="000000"/>
          <w:sz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rPr>
          <w:rFonts w:hint="eastAsia" w:ascii="宋体" w:hAnsi="宋体"/>
          <w:color w:val="000000"/>
          <w:sz w:val="24"/>
          <w:highlight w:val="none"/>
        </w:rPr>
      </w:r>
      <w:r/>
    </w:p>
    <w:p>
      <w:pPr>
        <w:pStyle w:val="1219"/>
        <w:ind w:firstLine="480"/>
        <w:spacing w:before="0" w:after="0" w:line="440" w:lineRule="exact"/>
        <w:rPr>
          <w:b w:val="0"/>
          <w:bCs w:val="0"/>
          <w:color w:val="000000"/>
          <w:sz w:val="24"/>
          <w:szCs w:val="24"/>
          <w:highlight w:val="none"/>
        </w:rPr>
      </w:pPr>
      <w:r/>
      <w:bookmarkStart w:id="79" w:name="_Toc20823283"/>
      <w:r/>
      <w:bookmarkStart w:id="80" w:name="_Toc513029211"/>
      <w:r/>
      <w:bookmarkStart w:id="81" w:name="_Toc16938527"/>
      <w:r/>
      <w:bookmarkStart w:id="82" w:name="_Toc462564070"/>
      <w:r>
        <w:rPr>
          <w:rFonts w:hint="eastAsia"/>
          <w:b w:val="0"/>
          <w:bCs w:val="0"/>
          <w:color w:val="000000"/>
          <w:sz w:val="24"/>
          <w:szCs w:val="24"/>
          <w:highlight w:val="none"/>
        </w:rPr>
        <w:t xml:space="preserve">7、招标文件的澄清</w:t>
      </w:r>
      <w:bookmarkEnd w:id="79"/>
      <w:r/>
      <w:bookmarkEnd w:id="80"/>
      <w:r/>
      <w:bookmarkEnd w:id="81"/>
      <w:r/>
      <w:bookmarkEnd w:id="82"/>
      <w:r>
        <w:rPr>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highlight w:val="none"/>
        </w:rPr>
        <w:t xml:space="preserve">7.1</w:t>
      </w:r>
      <w:r>
        <w:rPr>
          <w:rFonts w:hint="eastAsia" w:ascii="宋体" w:hAnsi="宋体"/>
          <w:color w:val="000000"/>
          <w:sz w:val="24"/>
          <w:highlight w:val="none"/>
        </w:rPr>
        <w:t xml:space="preserve"> 任何要求对招标文件进行澄清的投标人，应在投标截止期</w:t>
      </w:r>
      <w:r>
        <w:rPr>
          <w:rFonts w:hint="eastAsia" w:ascii="仿宋_GB2312" w:hAnsi="仿宋_GB2312"/>
          <w:b/>
          <w:color w:val="000000"/>
          <w:sz w:val="24"/>
          <w:szCs w:val="24"/>
          <w:highlight w:val="none"/>
        </w:rPr>
        <w:t xml:space="preserve">十日</w:t>
      </w:r>
      <w:r>
        <w:rPr>
          <w:rFonts w:hint="eastAsia" w:ascii="仿宋_GB2312" w:hAnsi="仿宋_GB2312"/>
          <w:color w:val="000000"/>
          <w:sz w:val="24"/>
          <w:szCs w:val="24"/>
          <w:highlight w:val="none"/>
        </w:rPr>
        <w:t xml:space="preserve">前</w:t>
      </w:r>
      <w:r>
        <w:rPr>
          <w:rFonts w:hint="eastAsia" w:ascii="宋体" w:hAnsi="宋体"/>
          <w:color w:val="000000"/>
          <w:sz w:val="24"/>
          <w:highlight w:val="none"/>
        </w:rPr>
        <w:t xml:space="preserve">按招标公告中的通讯地址，以书面形式通知招标人或代理机构。</w:t>
      </w:r>
      <w:r>
        <w:rPr>
          <w:rFonts w:hint="eastAsia" w:ascii="宋体" w:hAnsi="宋体"/>
          <w:color w:val="000000"/>
          <w:sz w:val="24"/>
          <w:szCs w:val="24"/>
          <w:highlight w:val="none"/>
        </w:rPr>
      </w:r>
      <w:r/>
    </w:p>
    <w:p>
      <w:pPr>
        <w:pStyle w:val="1219"/>
        <w:ind w:firstLine="480"/>
        <w:spacing w:before="0" w:after="0" w:line="440" w:lineRule="exact"/>
        <w:rPr>
          <w:rFonts w:hint="eastAsia"/>
          <w:b w:val="0"/>
          <w:bCs w:val="0"/>
          <w:color w:val="000000"/>
          <w:sz w:val="24"/>
          <w:szCs w:val="24"/>
          <w:highlight w:val="none"/>
        </w:rPr>
      </w:pPr>
      <w:r/>
      <w:bookmarkStart w:id="83" w:name="_Toc20823284"/>
      <w:r/>
      <w:bookmarkStart w:id="84" w:name="_Toc513029212"/>
      <w:r/>
      <w:bookmarkStart w:id="85" w:name="_Toc16938528"/>
      <w:r/>
      <w:bookmarkStart w:id="86" w:name="_Toc462564071"/>
      <w:r>
        <w:rPr>
          <w:rFonts w:hint="eastAsia"/>
          <w:b w:val="0"/>
          <w:bCs w:val="0"/>
          <w:color w:val="000000"/>
          <w:sz w:val="24"/>
          <w:szCs w:val="24"/>
          <w:highlight w:val="none"/>
        </w:rPr>
        <w:t xml:space="preserve">8、招标文件的澄清和修改</w:t>
      </w:r>
      <w:bookmarkEnd w:id="83"/>
      <w:r/>
      <w:bookmarkEnd w:id="84"/>
      <w:r/>
      <w:bookmarkEnd w:id="85"/>
      <w:r/>
      <w:bookmarkEnd w:id="86"/>
      <w:r>
        <w:rPr>
          <w:rFonts w:hint="eastAsia"/>
          <w:b w:val="0"/>
          <w:bCs w:val="0"/>
          <w:color w:val="000000"/>
          <w:sz w:val="24"/>
          <w:szCs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8.1 任何要求对招标文件进行澄清的潜在投标人，应及时联系项目联系人。</w:t>
      </w:r>
      <w:r>
        <w:rPr>
          <w:rFonts w:ascii="宋体" w:hAnsi="宋体"/>
          <w:bCs/>
          <w:color w:val="000000"/>
          <w:sz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8.2 按照权责相一致原则，投标人提出的对于招标文件主要商务、技术指标的相关澄清、修改要求，由</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人负责答复并视情况作出澄清或修改的决定。</w:t>
      </w:r>
      <w:r>
        <w:rPr>
          <w:rFonts w:ascii="宋体" w:hAnsi="宋体"/>
          <w:bCs/>
          <w:color w:val="000000"/>
          <w:sz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8.3 </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可以对已发出的招标文件、资格预审文件、投标邀请书进行必要的澄清或者修改，但不改变标的和资格要求。澄清或者修改将在“江苏政府网”、“扬中政府网”上发布澄清公告，澄清或者修改的内容为招标文件、资格预审文件、投标邀请书的组成部分。</w:t>
      </w:r>
      <w:r>
        <w:rPr>
          <w:rFonts w:ascii="宋体" w:hAnsi="宋体"/>
          <w:bCs/>
          <w:color w:val="000000"/>
          <w:sz w:val="24"/>
          <w:highlight w:val="none"/>
        </w:rPr>
      </w:r>
      <w:r/>
    </w:p>
    <w:p>
      <w:pPr>
        <w:pStyle w:val="1215"/>
        <w:ind w:firstLine="480"/>
        <w:spacing w:line="440" w:lineRule="exact"/>
        <w:rPr>
          <w:rFonts w:ascii="宋体" w:hAnsi="宋体"/>
          <w:bCs/>
          <w:color w:val="000000"/>
          <w:sz w:val="24"/>
          <w:highlight w:val="none"/>
        </w:rPr>
      </w:pPr>
      <w:r>
        <w:rPr>
          <w:rFonts w:hint="eastAsia" w:ascii="宋体" w:hAnsi="宋体"/>
          <w:bCs/>
          <w:color w:val="000000"/>
          <w:sz w:val="24"/>
          <w:highlight w:val="none"/>
        </w:rPr>
        <w:t xml:space="preserve">8.4 澄清或者修改的内容可能影响投标文件编制的，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人或者代理机构将在提交截止时间至少15日前，在系统中以书面形式通知所有已获取招标文件的潜在投标人；不足15日的，</w:t>
      </w:r>
      <w:r>
        <w:rPr>
          <w:rFonts w:hint="eastAsia" w:ascii="宋体" w:hAnsi="宋体"/>
          <w:color w:val="000000"/>
          <w:sz w:val="24"/>
          <w:highlight w:val="none"/>
        </w:rPr>
        <w:t xml:space="preserve">招标</w:t>
      </w:r>
      <w:r>
        <w:rPr>
          <w:rFonts w:hint="eastAsia" w:ascii="宋体" w:hAnsi="宋体"/>
          <w:bCs/>
          <w:color w:val="000000"/>
          <w:sz w:val="24"/>
          <w:highlight w:val="none"/>
        </w:rPr>
        <w:t xml:space="preserve">人或者代理机构将顺延提交投标文件的截止时间。投标人应及时自行登录系统查看相应内容。</w:t>
      </w:r>
      <w:r>
        <w:rPr>
          <w:rFonts w:ascii="宋体" w:hAnsi="宋体"/>
          <w:bCs/>
          <w:color w:val="000000"/>
          <w:sz w:val="24"/>
          <w:highlight w:val="none"/>
        </w:rPr>
      </w:r>
      <w:r/>
    </w:p>
    <w:p>
      <w:pPr>
        <w:pStyle w:val="1215"/>
        <w:ind w:firstLine="480"/>
        <w:spacing w:line="440" w:lineRule="exact"/>
        <w:rPr>
          <w:rFonts w:hint="eastAsia" w:ascii="宋体" w:hAnsi="宋体"/>
          <w:bCs/>
          <w:color w:val="000000"/>
          <w:sz w:val="24"/>
          <w:highlight w:val="none"/>
        </w:rPr>
      </w:pPr>
      <w:r>
        <w:rPr>
          <w:rFonts w:hint="eastAsia" w:ascii="宋体" w:hAnsi="宋体"/>
          <w:bCs/>
          <w:color w:val="000000"/>
          <w:sz w:val="24"/>
          <w:highlight w:val="none"/>
        </w:rPr>
        <w:t xml:space="preserve">8.5 如澄清或修改公告有重新发布招标文件的，投标人应下载最新发布的招标文件制作投标文件。</w:t>
      </w:r>
      <w:r>
        <w:rPr>
          <w:rFonts w:ascii="宋体" w:hAnsi="宋体"/>
          <w:bCs/>
          <w:color w:val="000000"/>
          <w:sz w:val="24"/>
          <w:highlight w:val="none"/>
        </w:rPr>
        <w:t xml:space="preserve">因投标人自身原因未能及时获取的</w:t>
      </w:r>
      <w:r>
        <w:rPr>
          <w:rFonts w:hint="eastAsia" w:ascii="宋体" w:hAnsi="宋体"/>
          <w:bCs/>
          <w:color w:val="000000"/>
          <w:sz w:val="24"/>
          <w:highlight w:val="none"/>
        </w:rPr>
        <w:t xml:space="preserve">，一切后果由投标人自行承担。</w:t>
      </w:r>
      <w:r>
        <w:rPr>
          <w:rFonts w:hint="eastAsia" w:ascii="宋体" w:hAnsi="宋体"/>
          <w:bCs/>
          <w:color w:val="000000"/>
          <w:sz w:val="24"/>
          <w:highlight w:val="none"/>
        </w:rPr>
      </w:r>
      <w:r/>
    </w:p>
    <w:p>
      <w:pPr>
        <w:pStyle w:val="1218"/>
        <w:ind w:firstLine="361"/>
        <w:spacing w:before="120" w:after="120" w:line="440" w:lineRule="exact"/>
        <w:rPr>
          <w:rFonts w:hint="eastAsia"/>
          <w:color w:val="000000"/>
          <w:sz w:val="24"/>
          <w:szCs w:val="24"/>
          <w:highlight w:val="none"/>
        </w:rPr>
      </w:pPr>
      <w:r/>
      <w:bookmarkStart w:id="87" w:name="_Toc462564072"/>
      <w:r/>
      <w:bookmarkStart w:id="88" w:name="_Toc513029213"/>
      <w:r/>
      <w:bookmarkStart w:id="89" w:name="_Toc20823285"/>
      <w:r/>
      <w:bookmarkStart w:id="90" w:name="_Toc16938529"/>
      <w:r/>
      <w:bookmarkStart w:id="91" w:name="_Toc120614216"/>
      <w:r>
        <w:rPr>
          <w:rFonts w:hint="eastAsia"/>
          <w:color w:val="000000"/>
          <w:sz w:val="24"/>
          <w:szCs w:val="24"/>
          <w:highlight w:val="none"/>
        </w:rPr>
        <w:t xml:space="preserve">三、投标文件的编制</w:t>
      </w:r>
      <w:bookmarkEnd w:id="87"/>
      <w:r/>
      <w:bookmarkEnd w:id="88"/>
      <w:r/>
      <w:bookmarkEnd w:id="89"/>
      <w:r/>
      <w:bookmarkEnd w:id="90"/>
      <w:r/>
      <w:bookmarkEnd w:id="91"/>
      <w:r>
        <w:rPr>
          <w:rFonts w:hint="eastAsia"/>
          <w:color w:val="000000"/>
          <w:sz w:val="24"/>
          <w:szCs w:val="24"/>
          <w:highlight w:val="none"/>
        </w:rPr>
      </w:r>
      <w:r/>
    </w:p>
    <w:p>
      <w:pPr>
        <w:pStyle w:val="1219"/>
        <w:ind w:firstLine="480"/>
        <w:spacing w:before="0" w:after="0" w:line="440" w:lineRule="exact"/>
        <w:rPr>
          <w:rFonts w:hint="eastAsia"/>
          <w:bCs w:val="0"/>
          <w:color w:val="000000"/>
          <w:sz w:val="24"/>
          <w:szCs w:val="24"/>
          <w:highlight w:val="none"/>
        </w:rPr>
      </w:pPr>
      <w:r/>
      <w:bookmarkStart w:id="92" w:name="_Toc16938530"/>
      <w:r/>
      <w:bookmarkStart w:id="93" w:name="_Toc462564073"/>
      <w:r/>
      <w:bookmarkStart w:id="94" w:name="_Toc20823286"/>
      <w:r/>
      <w:bookmarkStart w:id="95" w:name="_Toc513029214"/>
      <w:r>
        <w:rPr>
          <w:rFonts w:hint="eastAsia"/>
          <w:b w:val="0"/>
          <w:bCs w:val="0"/>
          <w:color w:val="000000"/>
          <w:sz w:val="24"/>
          <w:szCs w:val="24"/>
          <w:highlight w:val="none"/>
        </w:rPr>
        <w:t xml:space="preserve">9、投标文件的语言及度量衡单位</w:t>
      </w:r>
      <w:bookmarkEnd w:id="92"/>
      <w:r/>
      <w:bookmarkEnd w:id="93"/>
      <w:r/>
      <w:bookmarkEnd w:id="94"/>
      <w:r/>
      <w:bookmarkEnd w:id="95"/>
      <w:r>
        <w:rPr>
          <w:rFonts w:hint="eastAsia"/>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9.1</w:t>
      </w:r>
      <w:r>
        <w:rPr>
          <w:rFonts w:hint="eastAsia" w:ascii="宋体" w:hAnsi="宋体"/>
          <w:color w:val="000000"/>
          <w:sz w:val="24"/>
          <w:highlight w:val="none"/>
        </w:rPr>
        <w:t xml:space="preserve"> 投标人提交的投标文件以及投标人与招标人或代理机构就有关投标的所有来往通知、函件和文件均应使用</w:t>
      </w:r>
      <w:r>
        <w:rPr>
          <w:rFonts w:hint="eastAsia" w:ascii="宋体" w:hAnsi="宋体"/>
          <w:b/>
          <w:bCs/>
          <w:color w:val="000000"/>
          <w:sz w:val="24"/>
          <w:highlight w:val="none"/>
        </w:rPr>
        <w:t xml:space="preserve">简体中文</w:t>
      </w:r>
      <w:r>
        <w:rPr>
          <w:rFonts w:hint="eastAsia" w:ascii="宋体" w:hAnsi="宋体"/>
          <w:color w:val="000000"/>
          <w:sz w:val="24"/>
          <w:highlight w:val="none"/>
        </w:rPr>
        <w:t xml:space="preserve">。</w:t>
      </w:r>
      <w:r>
        <w:rPr>
          <w:rFonts w:hint="eastAsia"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9.2</w:t>
      </w:r>
      <w:r>
        <w:rPr>
          <w:rFonts w:hint="eastAsia" w:ascii="宋体" w:hAnsi="宋体"/>
          <w:color w:val="000000"/>
          <w:sz w:val="24"/>
          <w:highlight w:val="none"/>
        </w:rPr>
        <w:t xml:space="preserve"> 除技术性能另有规定外，投标文件所使用的度量衡单位，均须采用国家法定计量单位。</w:t>
      </w:r>
      <w:r>
        <w:rPr>
          <w:rFonts w:hint="eastAsia" w:ascii="宋体" w:hAnsi="宋体"/>
          <w:color w:val="000000"/>
          <w:sz w:val="24"/>
          <w:highlight w:val="none"/>
        </w:rPr>
      </w:r>
      <w:r/>
    </w:p>
    <w:p>
      <w:pPr>
        <w:pStyle w:val="1219"/>
        <w:ind w:firstLine="360"/>
        <w:spacing w:before="0" w:after="0" w:line="440" w:lineRule="exact"/>
        <w:rPr>
          <w:rFonts w:hint="eastAsia"/>
          <w:b w:val="0"/>
          <w:bCs w:val="0"/>
          <w:color w:val="000000"/>
          <w:sz w:val="24"/>
          <w:szCs w:val="24"/>
          <w:highlight w:val="none"/>
        </w:rPr>
      </w:pPr>
      <w:r/>
      <w:bookmarkStart w:id="96" w:name="_Toc462564074"/>
      <w:r/>
      <w:bookmarkStart w:id="97" w:name="_Toc16938531"/>
      <w:r/>
      <w:bookmarkStart w:id="98" w:name="_Toc513029215"/>
      <w:r/>
      <w:bookmarkStart w:id="99" w:name="_Toc20823287"/>
      <w:r>
        <w:rPr>
          <w:rFonts w:hint="eastAsia"/>
          <w:b w:val="0"/>
          <w:bCs w:val="0"/>
          <w:color w:val="000000"/>
          <w:sz w:val="24"/>
          <w:szCs w:val="24"/>
          <w:highlight w:val="none"/>
        </w:rPr>
        <w:t xml:space="preserve">10、投标文件构成</w:t>
      </w:r>
      <w:bookmarkEnd w:id="96"/>
      <w:r/>
      <w:bookmarkEnd w:id="97"/>
      <w:r/>
      <w:bookmarkEnd w:id="98"/>
      <w:r/>
      <w:bookmarkEnd w:id="99"/>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bCs/>
          <w:color w:val="000000"/>
          <w:sz w:val="24"/>
          <w:highlight w:val="none"/>
        </w:rPr>
        <w:t xml:space="preserve">10.1</w:t>
      </w:r>
      <w:r>
        <w:rPr>
          <w:rFonts w:hint="eastAsia" w:ascii="宋体" w:hAnsi="宋体"/>
          <w:color w:val="000000"/>
          <w:sz w:val="24"/>
          <w:highlight w:val="none"/>
        </w:rPr>
        <w:t xml:space="preserve"> 投标人编写的投标文件应包括资格证明文件、符合性证明文件、投标分项报价表、技术要求响应及偏离表、商务要求响应及偏离表、其他证明文件、投标函、开标一览表等部分。</w:t>
      </w:r>
      <w:r>
        <w:rPr>
          <w:rFonts w:hint="eastAsia"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10.2 如标书制作工具中格式和内容与</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上发布的招标文件不一致，请以</w:t>
      </w:r>
      <w:r>
        <w:rPr>
          <w:rFonts w:hint="eastAsia" w:ascii="宋体" w:hAnsi="宋体"/>
          <w:bCs/>
          <w:color w:val="000000"/>
          <w:sz w:val="24"/>
          <w:szCs w:val="24"/>
          <w:highlight w:val="none"/>
        </w:rPr>
        <w:t xml:space="preserve">“江苏政府网”、“扬中政府网”</w:t>
      </w:r>
      <w:r>
        <w:rPr>
          <w:rFonts w:hint="eastAsia" w:ascii="宋体" w:hAnsi="宋体"/>
          <w:color w:val="000000"/>
          <w:sz w:val="24"/>
          <w:highlight w:val="none"/>
        </w:rPr>
        <w:t xml:space="preserve">上发布的招标文件为准。</w:t>
      </w:r>
      <w:r>
        <w:rPr>
          <w:rFonts w:hint="eastAsia" w:ascii="宋体" w:hAnsi="宋体"/>
          <w:color w:val="000000"/>
          <w:sz w:val="24"/>
          <w:highlight w:val="none"/>
        </w:rPr>
      </w:r>
      <w:r/>
    </w:p>
    <w:p>
      <w:pPr>
        <w:pStyle w:val="1219"/>
        <w:ind w:firstLine="360"/>
        <w:spacing w:before="0" w:after="0" w:line="440" w:lineRule="exact"/>
        <w:rPr>
          <w:rFonts w:hint="eastAsia"/>
          <w:b w:val="0"/>
          <w:bCs w:val="0"/>
          <w:color w:val="000000"/>
          <w:sz w:val="24"/>
          <w:szCs w:val="24"/>
          <w:highlight w:val="none"/>
        </w:rPr>
      </w:pPr>
      <w:r/>
      <w:bookmarkStart w:id="100" w:name="_Hlt26668975"/>
      <w:r/>
      <w:bookmarkEnd w:id="100"/>
      <w:r/>
      <w:bookmarkStart w:id="101" w:name="_Hlt26670360"/>
      <w:r/>
      <w:bookmarkEnd w:id="101"/>
      <w:r/>
      <w:bookmarkStart w:id="102" w:name="_Hlt26954838"/>
      <w:r/>
      <w:bookmarkEnd w:id="102"/>
      <w:r/>
      <w:bookmarkStart w:id="103" w:name="_Toc14577357"/>
      <w:r/>
      <w:bookmarkStart w:id="104" w:name="_Toc49090509"/>
      <w:r/>
      <w:bookmarkStart w:id="105" w:name="_Toc513029219"/>
      <w:r/>
      <w:bookmarkStart w:id="106" w:name="_Toc14577354"/>
      <w:r/>
      <w:bookmarkStart w:id="107" w:name="_Toc513029216"/>
      <w:r/>
      <w:bookmarkStart w:id="108" w:name="_Toc49090507"/>
      <w:r>
        <w:rPr>
          <w:rFonts w:hint="eastAsia"/>
          <w:b w:val="0"/>
          <w:bCs w:val="0"/>
          <w:color w:val="000000"/>
          <w:sz w:val="24"/>
          <w:szCs w:val="24"/>
          <w:highlight w:val="none"/>
        </w:rPr>
        <w:t xml:space="preserve">11、证明投标人及投标标的符合招标文件规定的文件</w:t>
      </w:r>
      <w:bookmarkEnd w:id="103"/>
      <w:r/>
      <w:bookmarkEnd w:id="104"/>
      <w:r/>
      <w:bookmarkEnd w:id="105"/>
      <w:r>
        <w:rPr>
          <w:rFonts w:hint="eastAsia"/>
          <w:b w:val="0"/>
          <w:bCs w:val="0"/>
          <w:color w:val="000000"/>
          <w:sz w:val="24"/>
          <w:szCs w:val="24"/>
          <w:highlight w:val="none"/>
        </w:rPr>
      </w:r>
      <w:r/>
    </w:p>
    <w:p>
      <w:pPr>
        <w:pStyle w:val="1215"/>
        <w:spacing w:line="440" w:lineRule="exact"/>
        <w:rPr>
          <w:rFonts w:hint="eastAsia" w:ascii="宋体" w:hAnsi="宋体"/>
          <w:color w:val="000000"/>
          <w:sz w:val="24"/>
          <w:szCs w:val="24"/>
          <w:highlight w:val="none"/>
        </w:rPr>
      </w:pPr>
      <w:r/>
      <w:bookmarkEnd w:id="106"/>
      <w:r/>
      <w:bookmarkEnd w:id="107"/>
      <w:r/>
      <w:bookmarkEnd w:id="108"/>
      <w:r/>
      <w:bookmarkStart w:id="109" w:name="_Toc14577355"/>
      <w:r/>
      <w:bookmarkStart w:id="110" w:name="_Toc49090508"/>
      <w:r>
        <w:rPr>
          <w:rFonts w:hint="eastAsia" w:ascii="宋体" w:hAnsi="宋体"/>
          <w:color w:val="000000"/>
          <w:sz w:val="24"/>
          <w:szCs w:val="24"/>
          <w:highlight w:val="none"/>
        </w:rPr>
        <w:t xml:space="preserve">    11.1 投标人应按照招标文件要求提交证明文件，证明其及投标标的符合招标文件规定。</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11.2招标文件对证明文件无明确形式要求的，证明文件可以以文字资料、图纸和数据等形式提交。</w:t>
      </w:r>
      <w:r>
        <w:rPr>
          <w:rFonts w:hint="eastAsia"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12、投标分项报价</w:t>
      </w:r>
      <w:bookmarkEnd w:id="109"/>
      <w:r/>
      <w:bookmarkStart w:id="111" w:name="_Hlt26670373"/>
      <w:r/>
      <w:bookmarkEnd w:id="111"/>
      <w:r>
        <w:rPr>
          <w:rFonts w:hint="eastAsia"/>
          <w:b w:val="0"/>
          <w:bCs w:val="0"/>
          <w:color w:val="000000"/>
          <w:sz w:val="24"/>
          <w:szCs w:val="24"/>
          <w:highlight w:val="none"/>
        </w:rPr>
        <w:t xml:space="preserve">表</w:t>
      </w:r>
      <w:bookmarkEnd w:id="110"/>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12.1</w:t>
      </w:r>
      <w:r>
        <w:rPr>
          <w:rFonts w:hint="eastAsia" w:ascii="宋体" w:hAnsi="宋体"/>
          <w:color w:val="000000"/>
          <w:sz w:val="24"/>
          <w:szCs w:val="24"/>
          <w:highlight w:val="none"/>
        </w:rPr>
        <w:t xml:space="preserve"> 投</w:t>
      </w:r>
      <w:bookmarkStart w:id="112" w:name="_Hlt26954840"/>
      <w:r/>
      <w:bookmarkEnd w:id="112"/>
      <w:r>
        <w:rPr>
          <w:rFonts w:hint="eastAsia" w:ascii="宋体" w:hAnsi="宋体"/>
          <w:color w:val="000000"/>
          <w:sz w:val="24"/>
          <w:szCs w:val="24"/>
          <w:highlight w:val="none"/>
        </w:rPr>
        <w:t xml:space="preserve">标人应按照招标文件规定格式填报投标分项报价表</w:t>
      </w:r>
      <w:bookmarkStart w:id="113" w:name="_Hlt26670399"/>
      <w:r/>
      <w:bookmarkEnd w:id="113"/>
      <w:r>
        <w:rPr>
          <w:rFonts w:hint="eastAsia" w:ascii="宋体" w:hAnsi="宋体"/>
          <w:color w:val="000000"/>
          <w:sz w:val="24"/>
          <w:szCs w:val="24"/>
          <w:highlight w:val="none"/>
        </w:rPr>
        <w:t xml:space="preserve">。</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12.2</w:t>
      </w:r>
      <w:r>
        <w:rPr>
          <w:rFonts w:hint="eastAsia" w:ascii="宋体" w:hAnsi="宋体"/>
          <w:bCs/>
          <w:color w:val="000000"/>
          <w:sz w:val="24"/>
          <w:szCs w:val="24"/>
          <w:highlight w:val="none"/>
        </w:rPr>
        <w:t xml:space="preserve">投标货币。投标文件中的单价和总价无特殊规定的采用人民币报价，以元为单位标注。</w:t>
      </w:r>
      <w:r>
        <w:rPr>
          <w:rFonts w:hint="eastAsia" w:ascii="宋体" w:hAnsi="宋体"/>
          <w:color w:val="000000"/>
          <w:sz w:val="24"/>
          <w:szCs w:val="24"/>
          <w:highlight w:val="none"/>
        </w:rPr>
        <w:t xml:space="preserve">招标文件中另有规定的按规定执行。</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14" w:name="_Hlt26954731"/>
      <w:r/>
      <w:bookmarkEnd w:id="114"/>
      <w:r/>
      <w:bookmarkStart w:id="115" w:name="_Hlt26668983"/>
      <w:r/>
      <w:bookmarkEnd w:id="115"/>
      <w:r/>
      <w:bookmarkStart w:id="116" w:name="_Hlt26670403"/>
      <w:r/>
      <w:bookmarkEnd w:id="116"/>
      <w:r/>
      <w:bookmarkStart w:id="117" w:name="_Hlt26670482"/>
      <w:r/>
      <w:bookmarkEnd w:id="117"/>
      <w:r/>
      <w:bookmarkStart w:id="118" w:name="_Hlt26670486"/>
      <w:r/>
      <w:bookmarkEnd w:id="118"/>
      <w:r/>
      <w:bookmarkStart w:id="119" w:name="_Hlt26954846"/>
      <w:r/>
      <w:bookmarkEnd w:id="119"/>
      <w:r/>
      <w:bookmarkStart w:id="120" w:name="_Hlt26954842"/>
      <w:r/>
      <w:bookmarkEnd w:id="120"/>
      <w:r/>
      <w:bookmarkStart w:id="121" w:name="_Hlt26954848"/>
      <w:r/>
      <w:bookmarkEnd w:id="121"/>
      <w:r/>
      <w:bookmarkStart w:id="122" w:name="_Hlt26954844"/>
      <w:r/>
      <w:bookmarkEnd w:id="122"/>
      <w:r/>
      <w:bookmarkStart w:id="123" w:name="_Hlt26670425"/>
      <w:r/>
      <w:bookmarkEnd w:id="123"/>
      <w:r>
        <w:rPr>
          <w:rFonts w:hint="eastAsia"/>
          <w:b w:val="0"/>
          <w:bCs w:val="0"/>
          <w:color w:val="000000"/>
          <w:sz w:val="24"/>
          <w:szCs w:val="24"/>
          <w:highlight w:val="none"/>
        </w:rPr>
        <w:t xml:space="preserve">13、技术要求响应及偏离表、商务要求响应及偏离表</w:t>
      </w:r>
      <w:r>
        <w:rPr>
          <w:rFonts w:hint="eastAsia"/>
          <w:b w:val="0"/>
          <w:bCs w:val="0"/>
          <w:color w:val="000000"/>
          <w:sz w:val="24"/>
          <w:szCs w:val="24"/>
          <w:highlight w:val="none"/>
        </w:rPr>
      </w:r>
      <w:r/>
    </w:p>
    <w:p>
      <w:pPr>
        <w:pStyle w:val="1215"/>
        <w:ind w:firstLine="480"/>
        <w:spacing w:line="440" w:lineRule="exact"/>
        <w:rPr>
          <w:rFonts w:hint="eastAsia" w:ascii="宋体" w:hAnsi="Arial" w:cs="宋体"/>
          <w:color w:val="000000"/>
          <w:sz w:val="24"/>
          <w:szCs w:val="24"/>
          <w:highlight w:val="none"/>
          <w:lang w:val="zh-CN"/>
        </w:rPr>
      </w:pPr>
      <w:r>
        <w:rPr>
          <w:rFonts w:ascii="宋体" w:hAnsi="Arial" w:cs="宋体"/>
          <w:bCs/>
          <w:color w:val="000000"/>
          <w:sz w:val="24"/>
          <w:szCs w:val="24"/>
          <w:highlight w:val="none"/>
          <w:lang w:val="zh-CN"/>
        </w:rPr>
        <w:t xml:space="preserve">1</w:t>
      </w:r>
      <w:r>
        <w:rPr>
          <w:rFonts w:hint="eastAsia" w:ascii="宋体" w:hAnsi="Arial" w:cs="宋体"/>
          <w:bCs/>
          <w:color w:val="000000"/>
          <w:sz w:val="24"/>
          <w:szCs w:val="24"/>
          <w:highlight w:val="none"/>
          <w:lang w:val="zh-CN"/>
        </w:rPr>
        <w:t xml:space="preserve">3</w:t>
      </w:r>
      <w:r>
        <w:rPr>
          <w:rFonts w:ascii="宋体" w:hAnsi="Arial" w:cs="宋体"/>
          <w:bCs/>
          <w:color w:val="000000"/>
          <w:sz w:val="24"/>
          <w:szCs w:val="24"/>
          <w:highlight w:val="none"/>
          <w:lang w:val="zh-CN"/>
        </w:rPr>
        <w:t xml:space="preserve">.1</w:t>
      </w:r>
      <w:r>
        <w:rPr>
          <w:rFonts w:ascii="宋体" w:hAnsi="Arial" w:cs="宋体"/>
          <w:color w:val="000000"/>
          <w:sz w:val="24"/>
          <w:szCs w:val="24"/>
          <w:highlight w:val="none"/>
          <w:lang w:val="zh-CN"/>
        </w:rPr>
        <w:t xml:space="preserve"> </w:t>
      </w:r>
      <w:r>
        <w:rPr>
          <w:rFonts w:hint="eastAsia" w:ascii="宋体" w:hAnsi="Arial" w:cs="宋体"/>
          <w:color w:val="000000"/>
          <w:sz w:val="24"/>
          <w:szCs w:val="24"/>
          <w:highlight w:val="none"/>
          <w:lang w:val="zh-CN"/>
        </w:rPr>
        <w:t xml:space="preserve">投标人需对招标文件中的技术要求与商务要求逐项作出响应或偏离，并说明原因。</w:t>
      </w:r>
      <w:r>
        <w:rPr>
          <w:rFonts w:hint="eastAsia" w:ascii="宋体" w:hAnsi="Arial" w:cs="宋体"/>
          <w:color w:val="000000"/>
          <w:sz w:val="24"/>
          <w:szCs w:val="24"/>
          <w:highlight w:val="none"/>
          <w:lang w:val="zh-CN"/>
        </w:rPr>
      </w:r>
      <w:r/>
    </w:p>
    <w:p>
      <w:pPr>
        <w:pStyle w:val="1215"/>
        <w:ind w:firstLine="480"/>
        <w:spacing w:line="440" w:lineRule="exact"/>
        <w:tabs>
          <w:tab w:val="left" w:pos="1035" w:leader="none"/>
        </w:tabs>
        <w:rPr>
          <w:rFonts w:ascii="宋体" w:hAnsi="Arial" w:cs="宋体"/>
          <w:color w:val="000000"/>
          <w:sz w:val="24"/>
          <w:szCs w:val="24"/>
          <w:highlight w:val="none"/>
          <w:lang w:val="zh-CN"/>
        </w:rPr>
      </w:pPr>
      <w:r>
        <w:rPr>
          <w:rFonts w:hint="eastAsia" w:ascii="宋体" w:hAnsi="Arial" w:cs="宋体"/>
          <w:color w:val="000000"/>
          <w:sz w:val="24"/>
          <w:szCs w:val="24"/>
          <w:highlight w:val="none"/>
          <w:lang w:val="zh-CN"/>
        </w:rPr>
        <w:t xml:space="preserve">13.2 投标人可在投标文件中提供认为需要的其他技术文件或说明。</w:t>
      </w:r>
      <w:r>
        <w:rPr>
          <w:rFonts w:ascii="宋体" w:hAnsi="Arial" w:cs="宋体"/>
          <w:color w:val="000000"/>
          <w:sz w:val="24"/>
          <w:szCs w:val="24"/>
          <w:highlight w:val="none"/>
          <w:lang w:val="zh-CN"/>
        </w:rPr>
      </w:r>
      <w:r/>
    </w:p>
    <w:p>
      <w:pPr>
        <w:pStyle w:val="1219"/>
        <w:ind w:firstLine="360"/>
        <w:spacing w:before="0" w:after="0" w:line="440" w:lineRule="exact"/>
        <w:rPr>
          <w:rFonts w:hint="eastAsia"/>
          <w:b w:val="0"/>
          <w:bCs w:val="0"/>
          <w:color w:val="000000"/>
          <w:sz w:val="24"/>
          <w:szCs w:val="24"/>
          <w:highlight w:val="none"/>
        </w:rPr>
      </w:pPr>
      <w:r/>
      <w:bookmarkStart w:id="124" w:name="_Toc49090510"/>
      <w:r/>
      <w:bookmarkStart w:id="125" w:name="_Toc14577359"/>
      <w:r>
        <w:rPr>
          <w:rFonts w:hint="eastAsia"/>
          <w:b w:val="0"/>
          <w:bCs w:val="0"/>
          <w:color w:val="000000"/>
          <w:sz w:val="24"/>
          <w:szCs w:val="24"/>
          <w:highlight w:val="none"/>
        </w:rPr>
        <w:t xml:space="preserve">14、投标函和开标一览表</w:t>
      </w:r>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14.1</w:t>
      </w:r>
      <w:r>
        <w:rPr>
          <w:rFonts w:hint="eastAsia" w:ascii="宋体" w:hAnsi="宋体"/>
          <w:color w:val="000000"/>
          <w:sz w:val="24"/>
          <w:szCs w:val="24"/>
          <w:highlight w:val="none"/>
        </w:rPr>
        <w:t xml:space="preserve"> 投标人应按照招标文件中提供的格式完整、正确填写投标函、开标一览表。</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14.2</w:t>
      </w:r>
      <w:r>
        <w:rPr>
          <w:rFonts w:hint="eastAsia" w:ascii="宋体" w:hAnsi="宋体"/>
          <w:color w:val="000000"/>
          <w:sz w:val="24"/>
          <w:szCs w:val="24"/>
          <w:highlight w:val="none"/>
        </w:rPr>
        <w:t xml:space="preserve"> 对于采用货币报价的项目，</w:t>
      </w:r>
      <w:r>
        <w:rPr>
          <w:rFonts w:hint="eastAsia" w:ascii="宋体" w:hAnsi="宋体"/>
          <w:bCs/>
          <w:color w:val="000000"/>
          <w:sz w:val="24"/>
          <w:szCs w:val="24"/>
          <w:highlight w:val="none"/>
        </w:rPr>
        <w:t xml:space="preserve">开标一览表中的投标总报价应与投标分项报价表中的投标总报价一致，如不一致，</w:t>
      </w:r>
      <w:r>
        <w:rPr>
          <w:rFonts w:hint="eastAsia" w:ascii="宋体" w:hAnsi="宋体"/>
          <w:color w:val="000000"/>
          <w:sz w:val="24"/>
          <w:szCs w:val="24"/>
          <w:highlight w:val="none"/>
        </w:rPr>
        <w:t xml:space="preserve">不作为无效投标处理</w:t>
      </w:r>
      <w:r>
        <w:rPr>
          <w:rFonts w:hint="eastAsia" w:ascii="宋体" w:hAnsi="宋体"/>
          <w:bCs/>
          <w:color w:val="000000"/>
          <w:sz w:val="24"/>
          <w:szCs w:val="24"/>
          <w:highlight w:val="none"/>
        </w:rPr>
        <w:t xml:space="preserve">，但评标时按开标一览表中价格为准</w:t>
      </w:r>
      <w:r>
        <w:rPr>
          <w:rFonts w:hint="eastAsia" w:ascii="宋体" w:hAnsi="宋体"/>
          <w:b/>
          <w:bCs/>
          <w:color w:val="000000"/>
          <w:sz w:val="24"/>
          <w:szCs w:val="24"/>
          <w:highlight w:val="none"/>
        </w:rPr>
        <w:t xml:space="preserve">。</w:t>
      </w:r>
      <w:r>
        <w:rPr>
          <w:rFonts w:hint="eastAsia"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End w:id="124"/>
      <w:r/>
      <w:bookmarkEnd w:id="125"/>
      <w:r/>
      <w:bookmarkStart w:id="126" w:name="_Hlt26954850"/>
      <w:r/>
      <w:bookmarkEnd w:id="126"/>
      <w:r/>
      <w:bookmarkStart w:id="127" w:name="_Hlt26954734"/>
      <w:r/>
      <w:bookmarkEnd w:id="127"/>
      <w:r/>
      <w:bookmarkStart w:id="128" w:name="_Hlt26670489"/>
      <w:r/>
      <w:bookmarkEnd w:id="128"/>
      <w:r/>
      <w:bookmarkStart w:id="129" w:name="_Toc49090511"/>
      <w:r/>
      <w:bookmarkStart w:id="130" w:name="_Toc14577360"/>
      <w:r>
        <w:rPr>
          <w:rFonts w:hint="eastAsia"/>
          <w:b w:val="0"/>
          <w:bCs w:val="0"/>
          <w:color w:val="000000"/>
          <w:sz w:val="24"/>
          <w:szCs w:val="24"/>
          <w:highlight w:val="none"/>
        </w:rPr>
        <w:t xml:space="preserve">15、投标有效期</w:t>
      </w:r>
      <w:bookmarkEnd w:id="129"/>
      <w:r/>
      <w:bookmarkEnd w:id="130"/>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15.1</w:t>
      </w:r>
      <w:r>
        <w:rPr>
          <w:rFonts w:hint="eastAsia" w:ascii="宋体" w:hAnsi="宋体"/>
          <w:bCs/>
          <w:color w:val="000000"/>
          <w:sz w:val="24"/>
          <w:szCs w:val="24"/>
          <w:highlight w:val="none"/>
        </w:rPr>
        <w:t xml:space="preserve"> 投标有效期为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人或代理机构规定的开标之日后</w:t>
      </w:r>
      <w:r>
        <w:rPr>
          <w:rFonts w:hint="eastAsia" w:ascii="仿宋_GB2312" w:hAnsi="仿宋_GB2312"/>
          <w:bCs/>
          <w:color w:val="000000"/>
          <w:sz w:val="24"/>
          <w:szCs w:val="24"/>
          <w:highlight w:val="none"/>
        </w:rPr>
        <w:t xml:space="preserve">六十（60）天</w:t>
      </w:r>
      <w:r>
        <w:rPr>
          <w:rFonts w:hint="eastAsia" w:ascii="宋体" w:hAnsi="宋体"/>
          <w:bCs/>
          <w:color w:val="000000"/>
          <w:sz w:val="24"/>
          <w:szCs w:val="24"/>
          <w:highlight w:val="none"/>
        </w:rPr>
        <w:t xml:space="preserve">。投标有效期比规定短的将被视为未实质性响应招标</w:t>
      </w:r>
      <w:r>
        <w:rPr>
          <w:rFonts w:ascii="宋体" w:hAnsi="宋体"/>
          <w:bCs/>
          <w:color w:val="000000"/>
          <w:sz w:val="24"/>
          <w:szCs w:val="24"/>
          <w:highlight w:val="none"/>
        </w:rPr>
        <w:t xml:space="preserve">文件</w:t>
      </w:r>
      <w:r>
        <w:rPr>
          <w:rFonts w:hint="eastAsia" w:ascii="宋体" w:hAnsi="宋体"/>
          <w:bCs/>
          <w:color w:val="000000"/>
          <w:sz w:val="24"/>
          <w:szCs w:val="24"/>
          <w:highlight w:val="none"/>
        </w:rPr>
        <w:t xml:space="preserve">而予以拒绝。</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16、投标有效期的延长</w:t>
      </w:r>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16.1</w:t>
      </w:r>
      <w:r>
        <w:rPr>
          <w:rFonts w:hint="eastAsia" w:ascii="宋体" w:hAnsi="宋体"/>
          <w:bCs/>
          <w:color w:val="000000"/>
          <w:sz w:val="24"/>
          <w:szCs w:val="24"/>
          <w:highlight w:val="none"/>
        </w:rPr>
        <w:t xml:space="preserve"> 在特殊情况下，</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于原投标有效期满之前，可向投标人提出延长投标有效期的要求。这种要求与答复均应采用书面形式。投标人可以拒绝代理机构的这一要求而放弃投标</w:t>
      </w:r>
      <w:r>
        <w:rPr>
          <w:rFonts w:hint="eastAsia" w:ascii="宋体" w:hAnsi="宋体"/>
          <w:color w:val="000000"/>
          <w:sz w:val="24"/>
          <w:szCs w:val="24"/>
          <w:highlight w:val="none"/>
        </w:rPr>
        <w:t xml:space="preserve">。</w:t>
      </w:r>
      <w:r>
        <w:rPr>
          <w:rFonts w:hint="eastAsia" w:ascii="宋体" w:hAnsi="宋体"/>
          <w:bCs/>
          <w:color w:val="000000"/>
          <w:sz w:val="24"/>
          <w:szCs w:val="24"/>
          <w:highlight w:val="none"/>
        </w:rPr>
        <w:t xml:space="preserve">同意延长投标有效期的投标人既不能要求也不允许修改其投标文件</w:t>
      </w:r>
      <w:r>
        <w:rPr>
          <w:rFonts w:hint="eastAsia" w:ascii="宋体" w:hAnsi="宋体"/>
          <w:color w:val="000000"/>
          <w:sz w:val="24"/>
          <w:szCs w:val="24"/>
          <w:highlight w:val="none"/>
        </w:rPr>
        <w:t xml:space="preserve">，同时受投标有效期约束的所有权利与义务均延长至新的有效期</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8"/>
        <w:ind w:firstLine="361"/>
        <w:spacing w:before="120" w:after="120" w:line="440" w:lineRule="exact"/>
        <w:rPr>
          <w:rFonts w:hint="eastAsia"/>
          <w:color w:val="000000"/>
          <w:sz w:val="24"/>
          <w:szCs w:val="24"/>
          <w:highlight w:val="none"/>
        </w:rPr>
      </w:pPr>
      <w:r/>
      <w:bookmarkStart w:id="131" w:name="_Hlt26954739"/>
      <w:r/>
      <w:bookmarkEnd w:id="131"/>
      <w:r/>
      <w:bookmarkStart w:id="132" w:name="_Hlt26954852"/>
      <w:r/>
      <w:bookmarkEnd w:id="132"/>
      <w:r/>
      <w:bookmarkStart w:id="133" w:name="_Toc513029224"/>
      <w:r/>
      <w:bookmarkStart w:id="134" w:name="_Toc120614217"/>
      <w:r/>
      <w:bookmarkStart w:id="135" w:name="_Toc20823296"/>
      <w:r/>
      <w:bookmarkStart w:id="136" w:name="_Toc16938540"/>
      <w:r>
        <w:rPr>
          <w:rFonts w:hint="eastAsia"/>
          <w:color w:val="000000"/>
          <w:sz w:val="24"/>
          <w:szCs w:val="24"/>
          <w:highlight w:val="none"/>
        </w:rPr>
        <w:t xml:space="preserve">四、投标文件的递交</w:t>
      </w:r>
      <w:bookmarkEnd w:id="133"/>
      <w:r/>
      <w:bookmarkEnd w:id="134"/>
      <w:r/>
      <w:bookmarkEnd w:id="135"/>
      <w:r/>
      <w:bookmarkEnd w:id="136"/>
      <w:r>
        <w:rPr>
          <w:rFonts w:hint="eastAsia"/>
          <w:color w:val="000000"/>
          <w:sz w:val="24"/>
          <w:szCs w:val="24"/>
          <w:highlight w:val="none"/>
        </w:rPr>
      </w:r>
      <w:r/>
    </w:p>
    <w:p>
      <w:pPr>
        <w:pStyle w:val="1219"/>
        <w:ind w:firstLine="480"/>
        <w:spacing w:before="0" w:after="0" w:line="440" w:lineRule="exact"/>
        <w:rPr>
          <w:rFonts w:hint="eastAsia" w:ascii="黑体"/>
          <w:b w:val="0"/>
          <w:bCs w:val="0"/>
          <w:color w:val="000000"/>
          <w:sz w:val="24"/>
          <w:szCs w:val="24"/>
          <w:highlight w:val="none"/>
        </w:rPr>
      </w:pPr>
      <w:r/>
      <w:bookmarkStart w:id="137" w:name="_Toc16938541"/>
      <w:r/>
      <w:bookmarkStart w:id="138" w:name="_Toc513029225"/>
      <w:r/>
      <w:bookmarkStart w:id="139" w:name="_Toc20823297"/>
      <w:r/>
      <w:bookmarkStart w:id="140" w:name="_Toc462564084"/>
      <w:r>
        <w:rPr>
          <w:rFonts w:hint="eastAsia"/>
          <w:b w:val="0"/>
          <w:bCs w:val="0"/>
          <w:color w:val="000000"/>
          <w:sz w:val="24"/>
          <w:szCs w:val="24"/>
          <w:highlight w:val="none"/>
        </w:rPr>
        <w:t xml:space="preserve">17、</w:t>
      </w:r>
      <w:r>
        <w:rPr>
          <w:rFonts w:hint="eastAsia" w:ascii="黑体"/>
          <w:b w:val="0"/>
          <w:bCs w:val="0"/>
          <w:color w:val="000000"/>
          <w:sz w:val="24"/>
          <w:szCs w:val="24"/>
          <w:highlight w:val="none"/>
        </w:rPr>
        <w:t xml:space="preserve">投标文件</w:t>
      </w:r>
      <w:bookmarkEnd w:id="137"/>
      <w:r/>
      <w:bookmarkEnd w:id="138"/>
      <w:r/>
      <w:bookmarkEnd w:id="139"/>
      <w:r/>
      <w:bookmarkEnd w:id="140"/>
      <w:r>
        <w:rPr>
          <w:rFonts w:hint="eastAsia" w:ascii="黑体"/>
          <w:b w:val="0"/>
          <w:bCs w:val="0"/>
          <w:color w:val="000000"/>
          <w:sz w:val="24"/>
          <w:szCs w:val="24"/>
          <w:highlight w:val="none"/>
        </w:rPr>
        <w:t xml:space="preserve">的递交</w:t>
      </w:r>
      <w:r>
        <w:rPr>
          <w:rFonts w:hint="eastAsia" w:ascii="黑体"/>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17.1</w:t>
      </w:r>
      <w:r>
        <w:rPr>
          <w:rFonts w:hint="eastAsia" w:ascii="宋体" w:hAnsi="宋体"/>
          <w:bCs/>
          <w:color w:val="000000"/>
          <w:sz w:val="24"/>
          <w:szCs w:val="24"/>
          <w:highlight w:val="none"/>
        </w:rPr>
        <w:t xml:space="preserve"> 电子投标文件的递交</w:t>
      </w:r>
      <w:r>
        <w:rPr>
          <w:rFonts w:hint="eastAsia" w:ascii="宋体" w:hAnsi="宋体"/>
          <w:bCs/>
          <w:color w:val="000000"/>
          <w:sz w:val="24"/>
          <w:szCs w:val="24"/>
          <w:highlight w:val="none"/>
        </w:rPr>
      </w:r>
      <w:r/>
    </w:p>
    <w:p>
      <w:pPr>
        <w:pStyle w:val="1335"/>
        <w:ind w:left="52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投标人应当按照《操作手册》规定，在投标截止时间前</w:t>
      </w:r>
      <w:r>
        <w:rPr>
          <w:rFonts w:ascii="宋体" w:hAnsi="宋体"/>
          <w:bCs/>
          <w:color w:val="000000"/>
          <w:sz w:val="24"/>
          <w:szCs w:val="24"/>
          <w:highlight w:val="none"/>
        </w:rPr>
        <w:t xml:space="preserve">制作</w:t>
      </w:r>
      <w:r>
        <w:rPr>
          <w:rFonts w:hint="eastAsia" w:ascii="宋体" w:hAnsi="宋体"/>
          <w:bCs/>
          <w:color w:val="000000"/>
          <w:sz w:val="24"/>
          <w:szCs w:val="24"/>
          <w:highlight w:val="none"/>
        </w:rPr>
        <w:t xml:space="preserve">并上传电子投</w:t>
      </w:r>
      <w:r>
        <w:rPr>
          <w:rFonts w:hint="eastAsia" w:ascii="宋体" w:hAnsi="宋体"/>
          <w:bCs/>
          <w:color w:val="000000"/>
          <w:sz w:val="24"/>
          <w:szCs w:val="24"/>
          <w:highlight w:val="none"/>
        </w:rPr>
      </w:r>
      <w:r/>
    </w:p>
    <w:p>
      <w:pPr>
        <w:pStyle w:val="133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标文件。</w:t>
      </w:r>
      <w:bookmarkStart w:id="141" w:name="_Toc513029226"/>
      <w:r/>
      <w:bookmarkStart w:id="142" w:name="_Toc16938542"/>
      <w:r/>
      <w:bookmarkStart w:id="143" w:name="_Toc20823298"/>
      <w:r>
        <w:rPr>
          <w:rFonts w:hint="eastAsia" w:ascii="宋体" w:hAnsi="宋体"/>
          <w:bCs/>
          <w:color w:val="000000"/>
          <w:sz w:val="24"/>
          <w:szCs w:val="24"/>
          <w:highlight w:val="none"/>
        </w:rPr>
      </w:r>
      <w:r/>
    </w:p>
    <w:p>
      <w:pPr>
        <w:pStyle w:val="1219"/>
        <w:ind w:firstLine="360"/>
        <w:spacing w:before="0" w:after="0" w:line="440" w:lineRule="exact"/>
        <w:rPr>
          <w:rFonts w:hint="eastAsia"/>
          <w:b w:val="0"/>
          <w:color w:val="000000"/>
          <w:sz w:val="24"/>
          <w:szCs w:val="24"/>
          <w:highlight w:val="none"/>
        </w:rPr>
      </w:pPr>
      <w:r>
        <w:rPr>
          <w:rFonts w:hint="eastAsia"/>
          <w:b w:val="0"/>
          <w:color w:val="000000"/>
          <w:sz w:val="24"/>
          <w:szCs w:val="24"/>
          <w:highlight w:val="none"/>
        </w:rPr>
        <w:t xml:space="preserve">18、投标截止</w:t>
      </w:r>
      <w:bookmarkEnd w:id="141"/>
      <w:r/>
      <w:bookmarkEnd w:id="142"/>
      <w:r/>
      <w:bookmarkEnd w:id="143"/>
      <w:r>
        <w:rPr>
          <w:rFonts w:hint="eastAsia"/>
          <w:b w:val="0"/>
          <w:color w:val="000000"/>
          <w:sz w:val="24"/>
          <w:szCs w:val="24"/>
          <w:highlight w:val="none"/>
        </w:rPr>
        <w:t xml:space="preserve">时间</w:t>
      </w:r>
      <w:r>
        <w:rPr>
          <w:rFonts w:hint="eastAsia"/>
          <w:b w:val="0"/>
          <w:color w:val="000000"/>
          <w:sz w:val="24"/>
          <w:szCs w:val="24"/>
          <w:highlight w:val="none"/>
        </w:rPr>
      </w:r>
      <w:r/>
    </w:p>
    <w:p>
      <w:pPr>
        <w:pStyle w:val="1215"/>
        <w:ind w:firstLine="480"/>
        <w:spacing w:line="440" w:lineRule="exact"/>
        <w:rPr>
          <w:rFonts w:hint="eastAsia" w:ascii="宋体" w:hAnsi="宋体"/>
          <w:bCs/>
          <w:i/>
          <w:color w:val="000000"/>
          <w:sz w:val="24"/>
          <w:szCs w:val="24"/>
          <w:highlight w:val="none"/>
          <w:u w:val="single"/>
        </w:rPr>
      </w:pPr>
      <w:r>
        <w:rPr>
          <w:rFonts w:hint="eastAsia" w:ascii="宋体" w:hAnsi="宋体"/>
          <w:i/>
          <w:color w:val="000000"/>
          <w:sz w:val="24"/>
          <w:szCs w:val="24"/>
          <w:highlight w:val="none"/>
          <w:u w:val="single"/>
        </w:rPr>
        <w:t xml:space="preserve">18.1</w:t>
      </w:r>
      <w:r>
        <w:rPr>
          <w:rFonts w:hint="eastAsia" w:ascii="宋体" w:hAnsi="宋体"/>
          <w:bCs/>
          <w:i/>
          <w:color w:val="000000"/>
          <w:sz w:val="24"/>
          <w:szCs w:val="24"/>
          <w:highlight w:val="none"/>
          <w:u w:val="single"/>
        </w:rPr>
        <w:t xml:space="preserve"> 投标人上传电子投标文件的时间不得迟于招标公告中规定的投标截止时间。</w:t>
      </w:r>
      <w:r>
        <w:rPr>
          <w:rFonts w:hint="eastAsia" w:ascii="宋体" w:hAnsi="宋体"/>
          <w:bCs/>
          <w:i/>
          <w:color w:val="000000"/>
          <w:sz w:val="24"/>
          <w:szCs w:val="24"/>
          <w:highlight w:val="none"/>
          <w:u w:val="singl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投标人应充分考虑到网络环境、网络带宽等风险因素，如因投标人自身原因造成的电子投标文件上传不成功的按照本招标文件第二章第26.1.2条 规定做无效投标处理。</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18.2</w:t>
      </w:r>
      <w:r>
        <w:rPr>
          <w:rFonts w:hint="eastAsia" w:ascii="宋体" w:hAnsi="宋体"/>
          <w:bCs/>
          <w:color w:val="000000"/>
          <w:sz w:val="24"/>
          <w:szCs w:val="24"/>
          <w:highlight w:val="none"/>
        </w:rPr>
        <w:t xml:space="preserve"> </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可以按照规定，通过修改招标文件酌情延长投标截止时间，在此情况下，投标人的所有权利和义务以及投标人受制的截止时间均应以延长后新的截止时间为准。</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44" w:name="_Toc16938543"/>
      <w:r/>
      <w:bookmarkStart w:id="145" w:name="_Toc20823299"/>
      <w:r/>
      <w:bookmarkStart w:id="146" w:name="_Toc513029227"/>
      <w:r>
        <w:rPr>
          <w:rFonts w:hint="eastAsia"/>
          <w:b w:val="0"/>
          <w:bCs w:val="0"/>
          <w:color w:val="000000"/>
          <w:sz w:val="24"/>
          <w:szCs w:val="24"/>
          <w:highlight w:val="none"/>
        </w:rPr>
        <w:t xml:space="preserve">19、投标文件</w:t>
      </w:r>
      <w:bookmarkEnd w:id="144"/>
      <w:r/>
      <w:bookmarkEnd w:id="145"/>
      <w:r/>
      <w:bookmarkEnd w:id="146"/>
      <w:r>
        <w:rPr>
          <w:rFonts w:hint="eastAsia"/>
          <w:b w:val="0"/>
          <w:bCs w:val="0"/>
          <w:color w:val="000000"/>
          <w:sz w:val="24"/>
          <w:szCs w:val="24"/>
          <w:highlight w:val="none"/>
        </w:rPr>
        <w:t xml:space="preserve">的拒收</w:t>
      </w:r>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19.1</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w:t>
      </w:r>
      <w:r>
        <w:rPr>
          <w:rFonts w:hint="eastAsia" w:ascii="宋体" w:hAnsi="宋体"/>
          <w:bCs/>
          <w:color w:val="000000"/>
          <w:sz w:val="24"/>
          <w:szCs w:val="24"/>
          <w:highlight w:val="none"/>
        </w:rPr>
        <w:t xml:space="preserve">拒绝接收在其规定的投标截止时间后上传的任何投标文件。</w:t>
      </w:r>
      <w:r>
        <w:rPr>
          <w:rFonts w:hint="eastAsia" w:ascii="宋体" w:hAnsi="宋体"/>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47" w:name="_Toc20823300"/>
      <w:r/>
      <w:bookmarkStart w:id="148" w:name="_Toc16938544"/>
      <w:r/>
      <w:bookmarkStart w:id="149" w:name="_Toc513029228"/>
      <w:r>
        <w:rPr>
          <w:rFonts w:hint="eastAsia"/>
          <w:b w:val="0"/>
          <w:bCs w:val="0"/>
          <w:color w:val="000000"/>
          <w:sz w:val="24"/>
          <w:szCs w:val="24"/>
          <w:highlight w:val="none"/>
        </w:rPr>
        <w:t xml:space="preserve">20、投标文件的撤回和修改</w:t>
      </w:r>
      <w:bookmarkEnd w:id="147"/>
      <w:r/>
      <w:bookmarkEnd w:id="148"/>
      <w:r/>
      <w:bookmarkEnd w:id="149"/>
      <w:r>
        <w:rPr>
          <w:rFonts w:hint="eastAsia"/>
          <w:b w:val="0"/>
          <w:bCs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20.1 投标文件的撤回</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21.1.1 电子投标文件的撤回</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投标人可在投标截止时间前，撤回其电子投标文件，具体操作方法见《操作手册》。</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21.1.</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 投标人撤回电子投标文件，则认为其不再参与本项目投标活动。</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 投标文件的修改</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20.2.1投标人可在投标截止时间前，对其电子投标文件进行修改，具体操作方法见《操作手册》。</w:t>
      </w:r>
      <w:r>
        <w:rPr>
          <w:rFonts w:hint="eastAsia" w:ascii="宋体" w:hAnsi="宋体"/>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20.2.2</w:t>
      </w:r>
      <w:r>
        <w:rPr>
          <w:rFonts w:hint="eastAsia" w:ascii="宋体" w:hAnsi="宋体"/>
          <w:bCs/>
          <w:color w:val="000000"/>
          <w:sz w:val="24"/>
          <w:szCs w:val="24"/>
          <w:highlight w:val="none"/>
        </w:rPr>
        <w:t xml:space="preserve"> 在投标截止时间之后，投标人不得对其电子投标文件作任何修改。</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20.3</w:t>
      </w:r>
      <w:r>
        <w:rPr>
          <w:rFonts w:hint="eastAsia" w:ascii="宋体" w:hAnsi="宋体"/>
          <w:bCs/>
          <w:color w:val="000000"/>
          <w:sz w:val="24"/>
          <w:szCs w:val="24"/>
          <w:highlight w:val="none"/>
        </w:rPr>
        <w:t xml:space="preserve"> 在投标截止时间至招标文件中规定的投标有效期满之间的这段时间内，投标人不得撤回其投标。</w:t>
      </w:r>
      <w:r>
        <w:rPr>
          <w:rFonts w:hint="eastAsia" w:ascii="宋体" w:hAnsi="宋体"/>
          <w:bCs/>
          <w:color w:val="000000"/>
          <w:sz w:val="24"/>
          <w:szCs w:val="24"/>
          <w:highlight w:val="none"/>
        </w:rPr>
      </w:r>
      <w:r/>
    </w:p>
    <w:p>
      <w:pPr>
        <w:pStyle w:val="1218"/>
        <w:ind w:firstLine="361"/>
        <w:spacing w:before="120" w:after="120" w:line="440" w:lineRule="exact"/>
        <w:rPr>
          <w:rFonts w:hint="eastAsia"/>
          <w:color w:val="000000"/>
          <w:sz w:val="24"/>
          <w:szCs w:val="24"/>
          <w:highlight w:val="none"/>
        </w:rPr>
      </w:pPr>
      <w:r/>
      <w:bookmarkStart w:id="150" w:name="_Toc513029229"/>
      <w:r/>
      <w:bookmarkStart w:id="151" w:name="_Toc16938545"/>
      <w:r/>
      <w:bookmarkStart w:id="152" w:name="_Toc20823301"/>
      <w:r/>
      <w:bookmarkStart w:id="153" w:name="_Toc120614218"/>
      <w:r>
        <w:rPr>
          <w:rFonts w:hint="eastAsia"/>
          <w:color w:val="000000"/>
          <w:sz w:val="24"/>
          <w:szCs w:val="24"/>
          <w:highlight w:val="none"/>
        </w:rPr>
        <w:t xml:space="preserve">五、开标与评标</w:t>
      </w:r>
      <w:bookmarkEnd w:id="150"/>
      <w:r/>
      <w:bookmarkEnd w:id="151"/>
      <w:r/>
      <w:bookmarkEnd w:id="152"/>
      <w:r/>
      <w:bookmarkEnd w:id="153"/>
      <w:r>
        <w:rPr>
          <w:rFonts w:hint="eastAsia"/>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54" w:name="_Toc513029230"/>
      <w:r/>
      <w:bookmarkStart w:id="155" w:name="_Toc20823302"/>
      <w:r/>
      <w:bookmarkStart w:id="156" w:name="_Toc16938546"/>
      <w:r>
        <w:rPr>
          <w:rFonts w:hint="eastAsia"/>
          <w:b w:val="0"/>
          <w:bCs w:val="0"/>
          <w:color w:val="000000"/>
          <w:sz w:val="24"/>
          <w:szCs w:val="24"/>
          <w:highlight w:val="none"/>
        </w:rPr>
        <w:t xml:space="preserve">21、开标</w:t>
      </w:r>
      <w:bookmarkEnd w:id="154"/>
      <w:r/>
      <w:bookmarkEnd w:id="155"/>
      <w:r/>
      <w:bookmarkEnd w:id="156"/>
      <w:r>
        <w:rPr>
          <w:rFonts w:hint="eastAsia"/>
          <w:b w:val="0"/>
          <w:bCs w:val="0"/>
          <w:color w:val="000000"/>
          <w:sz w:val="24"/>
          <w:szCs w:val="24"/>
          <w:highlight w:val="none"/>
        </w:rPr>
      </w:r>
      <w:r/>
    </w:p>
    <w:p>
      <w:pPr>
        <w:pStyle w:val="1215"/>
        <w:ind w:firstLine="360"/>
        <w:spacing w:line="440" w:lineRule="exact"/>
        <w:rPr>
          <w:rFonts w:hint="eastAsia"/>
          <w:color w:val="000000"/>
          <w:sz w:val="24"/>
          <w:szCs w:val="24"/>
          <w:highlight w:val="none"/>
        </w:rPr>
      </w:pPr>
      <w:r>
        <w:rPr>
          <w:rFonts w:hint="eastAsia" w:ascii="宋体" w:hAnsi="宋体"/>
          <w:color w:val="000000"/>
          <w:sz w:val="24"/>
          <w:szCs w:val="24"/>
          <w:highlight w:val="none"/>
        </w:rPr>
        <w:t xml:space="preserve">21.1</w:t>
      </w:r>
      <w:r>
        <w:rPr>
          <w:rFonts w:hint="eastAsia" w:ascii="宋体" w:hAnsi="宋体"/>
          <w:bCs/>
          <w:color w:val="000000"/>
          <w:sz w:val="24"/>
          <w:szCs w:val="24"/>
          <w:highlight w:val="none"/>
        </w:rPr>
        <w:t xml:space="preserve"> </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将在招标公告中规定的时间和地点组织公开开标</w:t>
      </w:r>
      <w:r>
        <w:rPr>
          <w:rFonts w:hint="eastAsia" w:ascii="宋体" w:hAnsi="宋体"/>
          <w:color w:val="000000"/>
          <w:sz w:val="24"/>
          <w:szCs w:val="24"/>
          <w:highlight w:val="none"/>
        </w:rPr>
        <w:t xml:space="preserve">。投标人应当按照《操作手册》规定，</w:t>
      </w:r>
      <w:r>
        <w:rPr>
          <w:rFonts w:ascii="宋体" w:hAnsi="宋体"/>
          <w:color w:val="000000"/>
          <w:sz w:val="24"/>
          <w:szCs w:val="24"/>
          <w:highlight w:val="none"/>
        </w:rPr>
        <w:t xml:space="preserve">参加开标活动</w:t>
      </w:r>
      <w:r>
        <w:rPr>
          <w:rFonts w:hint="eastAsia" w:ascii="宋体" w:hAnsi="宋体"/>
          <w:color w:val="000000"/>
          <w:sz w:val="24"/>
          <w:szCs w:val="24"/>
          <w:highlight w:val="none"/>
        </w:rPr>
        <w:t xml:space="preserve">和在苏采云系统规定的时间内对投标文件进行解密。</w:t>
      </w:r>
      <w:r>
        <w:rPr>
          <w:rFonts w:hint="eastAsia"/>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21.2</w:t>
      </w:r>
      <w:r>
        <w:rPr>
          <w:rFonts w:hint="eastAsia" w:ascii="宋体" w:hAnsi="宋体"/>
          <w:color w:val="000000"/>
          <w:sz w:val="24"/>
          <w:szCs w:val="24"/>
          <w:highlight w:val="none"/>
        </w:rPr>
        <w:t xml:space="preserve">开标仪式由代理机构组织。苏采云系统将自动对</w:t>
      </w:r>
      <w:r>
        <w:rPr>
          <w:rFonts w:ascii="宋体" w:hAnsi="宋体"/>
          <w:color w:val="000000"/>
          <w:sz w:val="24"/>
          <w:szCs w:val="24"/>
          <w:highlight w:val="none"/>
        </w:rPr>
        <w:t xml:space="preserve">项目进行开标，并</w:t>
      </w:r>
      <w:r>
        <w:rPr>
          <w:rFonts w:hint="eastAsia" w:ascii="宋体" w:hAnsi="宋体"/>
          <w:color w:val="000000"/>
          <w:sz w:val="24"/>
          <w:szCs w:val="24"/>
          <w:highlight w:val="none"/>
        </w:rPr>
        <w:t xml:space="preserve">宣布各</w:t>
      </w:r>
      <w:r>
        <w:rPr>
          <w:rFonts w:ascii="宋体" w:hAnsi="宋体"/>
          <w:color w:val="000000"/>
          <w:sz w:val="24"/>
          <w:szCs w:val="24"/>
          <w:highlight w:val="none"/>
        </w:rPr>
        <w:t xml:space="preserve">投标人</w:t>
      </w:r>
      <w:r>
        <w:rPr>
          <w:rFonts w:hint="eastAsia" w:ascii="宋体" w:hAnsi="宋体"/>
          <w:color w:val="000000"/>
          <w:sz w:val="24"/>
          <w:szCs w:val="24"/>
          <w:highlight w:val="none"/>
        </w:rPr>
        <w:t xml:space="preserve">名称和投标价格。</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21.3投标人在开标过程中涉及到的投标文件解密、开标结果确认等工作，应按照《操作手册》规定执行。</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21.4投标人如果对开标过程和开标记录有疑义，应当根据《操作手册》规定提出，如苏采云系统中《开标记录表》宣布后5分钟内未提出的，视同认可开标结果。</w:t>
      </w:r>
      <w:r>
        <w:rPr>
          <w:rFonts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57" w:name="_Toc513029231"/>
      <w:r/>
      <w:bookmarkStart w:id="158" w:name="_Toc16938547"/>
      <w:r/>
      <w:bookmarkStart w:id="159" w:name="_Toc20823303"/>
      <w:r>
        <w:rPr>
          <w:rFonts w:hint="eastAsia"/>
          <w:b w:val="0"/>
          <w:bCs w:val="0"/>
          <w:color w:val="000000"/>
          <w:sz w:val="24"/>
          <w:szCs w:val="24"/>
          <w:highlight w:val="none"/>
        </w:rPr>
        <w:t xml:space="preserve">22、评标委员会</w:t>
      </w:r>
      <w:r>
        <w:rPr>
          <w:rFonts w:hint="eastAsia"/>
          <w:b w:val="0"/>
          <w:bCs w:val="0"/>
          <w:color w:val="000000"/>
          <w:sz w:val="24"/>
          <w:szCs w:val="24"/>
          <w:highlight w:val="none"/>
        </w:rPr>
      </w:r>
      <w:r/>
    </w:p>
    <w:p>
      <w:pPr>
        <w:pStyle w:val="1215"/>
        <w:spacing w:line="440" w:lineRule="exact"/>
        <w:rPr>
          <w:rFonts w:hint="eastAsia" w:ascii="宋体" w:hAnsi="宋体"/>
          <w:b/>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22.1</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开标后，代理机构将立即组织评标委员会（以下简称评委会）进行评标。</w:t>
      </w:r>
      <w:r>
        <w:rPr>
          <w:rFonts w:hint="eastAsia" w:ascii="宋体" w:hAnsi="宋体"/>
          <w:b/>
          <w:color w:val="000000"/>
          <w:sz w:val="24"/>
          <w:szCs w:val="24"/>
          <w:highlight w:val="none"/>
        </w:rPr>
      </w:r>
      <w:r/>
    </w:p>
    <w:p>
      <w:pPr>
        <w:pStyle w:val="121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22.2 评委会由</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人代表和有关技术、经济等方面的专家组成，且人员构成符合政府有关规定。</w:t>
      </w:r>
      <w:r>
        <w:rPr>
          <w:rFonts w:hint="eastAsia" w:ascii="宋体" w:hAnsi="宋体"/>
          <w:color w:val="000000"/>
          <w:sz w:val="24"/>
          <w:szCs w:val="24"/>
          <w:highlight w:val="none"/>
        </w:rPr>
      </w:r>
      <w:r/>
    </w:p>
    <w:p>
      <w:pPr>
        <w:pStyle w:val="1215"/>
        <w:spacing w:line="440" w:lineRule="exact"/>
        <w:rPr>
          <w:rFonts w:hint="eastAsia" w:ascii="宋体" w:hAnsi="宋体"/>
          <w:color w:val="000000"/>
          <w:sz w:val="24"/>
          <w:szCs w:val="24"/>
          <w:highlight w:val="none"/>
        </w:rPr>
      </w:pP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 22.3评委会独立工作，负责评审所有投标文件并确定中标侯选人。</w:t>
      </w:r>
      <w:r>
        <w:rPr>
          <w:rFonts w:hint="eastAsia" w:ascii="宋体" w:hAnsi="宋体"/>
          <w:color w:val="000000"/>
          <w:sz w:val="24"/>
          <w:szCs w:val="24"/>
          <w:highlight w:val="none"/>
        </w:rPr>
      </w:r>
      <w:r/>
    </w:p>
    <w:p>
      <w:pPr>
        <w:pStyle w:val="1219"/>
        <w:ind w:firstLine="360"/>
        <w:spacing w:before="0" w:after="0" w:line="440" w:lineRule="exact"/>
        <w:rPr>
          <w:rFonts w:hint="eastAsia" w:ascii="黑体"/>
          <w:b w:val="0"/>
          <w:bCs w:val="0"/>
          <w:color w:val="000000"/>
          <w:sz w:val="24"/>
          <w:szCs w:val="24"/>
          <w:highlight w:val="none"/>
        </w:rPr>
      </w:pPr>
      <w:r>
        <w:rPr>
          <w:rFonts w:hint="eastAsia" w:ascii="黑体"/>
          <w:b w:val="0"/>
          <w:bCs w:val="0"/>
          <w:color w:val="000000"/>
          <w:sz w:val="24"/>
          <w:szCs w:val="24"/>
          <w:highlight w:val="none"/>
        </w:rPr>
        <w:t xml:space="preserve">23、评标过程的保密与公正</w:t>
      </w:r>
      <w:r>
        <w:rPr>
          <w:rFonts w:hint="eastAsia" w:ascii="黑体"/>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bookmarkEnd w:id="157"/>
      <w:r/>
      <w:bookmarkEnd w:id="158"/>
      <w:r/>
      <w:bookmarkEnd w:id="159"/>
      <w:r>
        <w:rPr>
          <w:rFonts w:hint="eastAsia" w:ascii="宋体" w:hAnsi="宋体"/>
          <w:color w:val="000000"/>
          <w:sz w:val="24"/>
          <w:szCs w:val="24"/>
          <w:highlight w:val="none"/>
        </w:rPr>
        <w:t xml:space="preserve">23.1</w:t>
      </w:r>
      <w:r>
        <w:rPr>
          <w:rFonts w:hint="eastAsia" w:ascii="宋体" w:hAnsi="宋体"/>
          <w:bCs/>
          <w:color w:val="000000"/>
          <w:sz w:val="24"/>
          <w:szCs w:val="24"/>
          <w:highlight w:val="none"/>
        </w:rPr>
        <w:t xml:space="preserve">凡是与审查、澄清、评价和比较投标的有关资料以及授标建议等，</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人、评委、</w:t>
      </w:r>
      <w:r>
        <w:rPr>
          <w:rFonts w:hint="eastAsia" w:ascii="宋体" w:hAnsi="宋体"/>
          <w:color w:val="000000"/>
          <w:sz w:val="24"/>
          <w:szCs w:val="24"/>
          <w:highlight w:val="none"/>
        </w:rPr>
        <w:t xml:space="preserve">代理机构</w:t>
      </w:r>
      <w:r>
        <w:rPr>
          <w:rFonts w:hint="eastAsia" w:ascii="宋体" w:hAnsi="宋体"/>
          <w:bCs/>
          <w:color w:val="000000"/>
          <w:sz w:val="24"/>
          <w:szCs w:val="24"/>
          <w:highlight w:val="none"/>
        </w:rPr>
        <w:t xml:space="preserve">均不得向投标人或与评标无关的其他人员透露。</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23.2在评标过程中，投标人不得以任何行为影响评标过程，否则其投标文件将被作为无效投标文件。</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23.</w:t>
      </w:r>
      <w:r>
        <w:rPr>
          <w:rFonts w:ascii="宋体" w:hAnsi="宋体"/>
          <w:color w:val="000000"/>
          <w:sz w:val="24"/>
          <w:szCs w:val="24"/>
          <w:highlight w:val="none"/>
        </w:rPr>
        <w:t xml:space="preserve">3</w:t>
      </w:r>
      <w:r>
        <w:rPr>
          <w:rFonts w:hint="eastAsia" w:ascii="宋体" w:hAnsi="宋体"/>
          <w:color w:val="000000"/>
          <w:sz w:val="24"/>
          <w:szCs w:val="24"/>
          <w:highlight w:val="none"/>
        </w:rPr>
        <w:t xml:space="preserve"> 代理机构和评标委员会不向未中标的投标人解释未中标原因，也不公布评标过程中的相关细节。</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23.4 采用综合评分法的项目，未中标的投标人可于中标结果公告期限届满之日起通过苏采云系统查看自己的评审得分及排序情况。</w:t>
      </w:r>
      <w:r>
        <w:rPr>
          <w:rFonts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60" w:name="_Toc20823304"/>
      <w:r/>
      <w:bookmarkStart w:id="161" w:name="_Toc16938548"/>
      <w:r/>
      <w:bookmarkStart w:id="162" w:name="_Toc513029232"/>
      <w:r>
        <w:rPr>
          <w:rFonts w:hint="eastAsia"/>
          <w:b w:val="0"/>
          <w:bCs w:val="0"/>
          <w:color w:val="000000"/>
          <w:sz w:val="24"/>
          <w:szCs w:val="24"/>
          <w:highlight w:val="none"/>
        </w:rPr>
        <w:t xml:space="preserve">24、投标文件的澄清</w:t>
      </w:r>
      <w:bookmarkEnd w:id="160"/>
      <w:r/>
      <w:bookmarkEnd w:id="161"/>
      <w:r/>
      <w:bookmarkEnd w:id="162"/>
      <w:r>
        <w:rPr>
          <w:rFonts w:hint="eastAsia"/>
          <w:b w:val="0"/>
          <w:bCs w:val="0"/>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ascii="宋体" w:hAnsi="宋体"/>
          <w:color w:val="000000"/>
          <w:sz w:val="24"/>
          <w:szCs w:val="24"/>
          <w:highlight w:val="none"/>
        </w:rPr>
        <w:t xml:space="preserve">2</w:t>
      </w:r>
      <w:r>
        <w:rPr>
          <w:rFonts w:hint="eastAsia" w:ascii="宋体" w:hAnsi="宋体"/>
          <w:color w:val="000000"/>
          <w:sz w:val="24"/>
          <w:szCs w:val="24"/>
          <w:highlight w:val="none"/>
        </w:rPr>
        <w:t xml:space="preserve">4.</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评标期间，评委会对投标文件中含义不明确、同类问题表述不一致或者有明显文字和计算错误的内容</w:t>
      </w:r>
      <w:r>
        <w:rPr>
          <w:rFonts w:ascii="宋体" w:hAnsi="宋体"/>
          <w:color w:val="000000"/>
          <w:sz w:val="24"/>
          <w:szCs w:val="24"/>
          <w:highlight w:val="none"/>
        </w:rPr>
        <w:t xml:space="preserve"> </w:t>
      </w:r>
      <w:r>
        <w:rPr>
          <w:rFonts w:hint="eastAsia" w:ascii="宋体" w:hAnsi="宋体"/>
          <w:color w:val="000000"/>
          <w:sz w:val="24"/>
          <w:szCs w:val="24"/>
          <w:highlight w:val="none"/>
        </w:rPr>
        <w:t xml:space="preserve">，有权要求投标人作出必要的澄清、说明或者补正。</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投标人的澄清、说明或者补正不得超出投标文件的范围或者改变投标文件的实质性内容。</w:t>
      </w: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评标</w:t>
      </w:r>
      <w:r>
        <w:rPr>
          <w:rFonts w:ascii="宋体" w:hAnsi="宋体"/>
          <w:color w:val="000000"/>
          <w:sz w:val="24"/>
          <w:szCs w:val="24"/>
          <w:highlight w:val="none"/>
        </w:rPr>
        <w:t xml:space="preserve">委员会并非对每个投标人都做澄清要求</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24.2需要投标人进行澄清、说明和补正的，评委会将通过苏采云系统向投标人发出“澄清要求函”，接到“澄清要求函”的投标人应当按照要求在苏采云系统中提交“澄清响应函”并加盖CA电子公章。澄清、说明和补正的内容作为投标文件的补充部分，具体操作方式见《操作手册》。</w:t>
      </w:r>
      <w:r>
        <w:rPr>
          <w:rFonts w:hint="eastAsia" w:ascii="宋体" w:hAnsi="宋体"/>
          <w:color w:val="000000"/>
          <w:sz w:val="24"/>
          <w:szCs w:val="24"/>
          <w:highlight w:val="none"/>
        </w:rPr>
      </w:r>
      <w:r/>
    </w:p>
    <w:p>
      <w:pPr>
        <w:pStyle w:val="121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24.3 接到评委会澄清、说明和补正要求的投标人如未按规定做出澄清、说明和补正，其风险由投标人自行承担。</w:t>
      </w:r>
      <w:r>
        <w:rPr>
          <w:rFonts w:hint="eastAsia" w:ascii="宋体" w:hAnsi="宋体"/>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bookmarkStart w:id="163" w:name="_Toc20823305"/>
      <w:r/>
      <w:bookmarkStart w:id="164" w:name="_Toc513029233"/>
      <w:r/>
      <w:bookmarkStart w:id="165" w:name="_Toc16938549"/>
      <w:r>
        <w:rPr>
          <w:rFonts w:hint="eastAsia"/>
          <w:b w:val="0"/>
          <w:bCs w:val="0"/>
          <w:color w:val="000000"/>
          <w:sz w:val="24"/>
          <w:szCs w:val="24"/>
          <w:highlight w:val="none"/>
        </w:rPr>
        <w:t xml:space="preserve">25、对投标文件的初审</w:t>
      </w:r>
      <w:bookmarkEnd w:id="163"/>
      <w:r/>
      <w:bookmarkEnd w:id="164"/>
      <w:r/>
      <w:bookmarkEnd w:id="165"/>
      <w:r>
        <w:rPr>
          <w:rFonts w:hint="eastAsia"/>
          <w:b w:val="0"/>
          <w:bCs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25.1</w:t>
      </w:r>
      <w:r>
        <w:rPr>
          <w:rFonts w:hint="eastAsia" w:ascii="宋体" w:hAnsi="宋体"/>
          <w:bCs/>
          <w:color w:val="000000"/>
          <w:sz w:val="24"/>
          <w:szCs w:val="24"/>
          <w:highlight w:val="none"/>
        </w:rPr>
        <w:t xml:space="preserve">投标文件初审分为资格审查和符合性审查。</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25.1.1 资格审查：依据法律法规和招标文件的规定，由</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人对投标文件中的资格证明文件进行审查。资格审查的结论，</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人以书面形式向评委会进行反馈。</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人在进行资格性审查的同时，将在“信用中国”网站（www.creditchina.gov.cn）查询投标人的信用记录，以确定投标人是否具备投标资格,查询结果留存并归档。</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接受联合体的项目，两个以上的自然人、法人或者其他组织组成一个联合体，以一个</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的身份共同参加政府活动的,联合体成员存在不良信用记录的，视同联合体存在不良应用记录。</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25.1.2 符合性审查：依据招标文件的规定，由评委会从投标文件的有效性、完整性和对招标文件的响应程度进行审查，以确定是否对招标文件的实质性要求作出响应。</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25.</w:t>
      </w:r>
      <w:r>
        <w:rPr>
          <w:rFonts w:ascii="宋体" w:hAnsi="宋体"/>
          <w:bCs/>
          <w:color w:val="000000"/>
          <w:sz w:val="24"/>
          <w:szCs w:val="24"/>
          <w:highlight w:val="none"/>
        </w:rPr>
        <w:t xml:space="preserve">1.</w:t>
      </w:r>
      <w:r>
        <w:rPr>
          <w:rFonts w:hint="eastAsia" w:ascii="宋体" w:hAnsi="宋体"/>
          <w:bCs/>
          <w:color w:val="000000"/>
          <w:sz w:val="24"/>
          <w:szCs w:val="24"/>
          <w:highlight w:val="none"/>
        </w:rPr>
        <w:t xml:space="preserve">3 未通过资格审查或符合性审查的投标人，代理机构将在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中告知未通过资格审查或符合性审查的原因，</w:t>
      </w:r>
      <w:r>
        <w:rPr>
          <w:rFonts w:ascii="宋体" w:hAnsi="宋体"/>
          <w:bCs/>
          <w:color w:val="000000"/>
          <w:sz w:val="24"/>
          <w:szCs w:val="24"/>
          <w:highlight w:val="none"/>
        </w:rPr>
        <w:t xml:space="preserve">评标结束后，</w:t>
      </w:r>
      <w:r>
        <w:rPr>
          <w:rFonts w:hint="eastAsia" w:ascii="宋体" w:hAnsi="宋体"/>
          <w:bCs/>
          <w:color w:val="000000"/>
          <w:sz w:val="24"/>
          <w:szCs w:val="24"/>
          <w:highlight w:val="none"/>
        </w:rPr>
        <w:t xml:space="preserve">代理机构</w:t>
      </w:r>
      <w:r>
        <w:rPr>
          <w:rFonts w:ascii="宋体" w:hAnsi="宋体"/>
          <w:bCs/>
          <w:color w:val="000000"/>
          <w:sz w:val="24"/>
          <w:szCs w:val="24"/>
          <w:highlight w:val="none"/>
        </w:rPr>
        <w:t xml:space="preserve">将不再告知未通过资格审查和</w:t>
      </w:r>
      <w:r>
        <w:rPr>
          <w:rFonts w:hint="eastAsia" w:ascii="宋体" w:hAnsi="宋体"/>
          <w:bCs/>
          <w:color w:val="000000"/>
          <w:sz w:val="24"/>
          <w:szCs w:val="24"/>
          <w:highlight w:val="none"/>
        </w:rPr>
        <w:t xml:space="preserve">符合性</w:t>
      </w:r>
      <w:r>
        <w:rPr>
          <w:rFonts w:ascii="宋体" w:hAnsi="宋体"/>
          <w:bCs/>
          <w:color w:val="000000"/>
          <w:sz w:val="24"/>
          <w:szCs w:val="24"/>
          <w:highlight w:val="none"/>
        </w:rPr>
        <w:t xml:space="preserve">审查的原因。</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.2在详细评标之前，评委会将首先审查每份投标文件是否实质性响应了招标文件的要求。实质性响应的投标应该是与招标文件要求的全部条款、条件和规格相符，没有重大偏离或保留的投标。</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所谓重大偏离或保留是指与招标文件规定的实质性要求存在负偏离，或者在实质上与招标文件不一致，而且限制了合同中买方和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.3如果投标文件实质上没有响应招标文件的要求，评委会将予以拒绝，投标人不得通过修改或撤销不合要求的偏离或保留而使其投标成为实质性响应的投标。</w:t>
      </w:r>
      <w:r>
        <w:rPr>
          <w:rFonts w:ascii="宋体" w:hAnsi="宋体"/>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4</w:t>
      </w:r>
      <w:r>
        <w:rPr>
          <w:rFonts w:hint="eastAsia" w:ascii="宋体" w:hAnsi="宋体"/>
          <w:bCs/>
          <w:color w:val="000000"/>
          <w:sz w:val="24"/>
          <w:szCs w:val="24"/>
          <w:highlight w:val="none"/>
        </w:rPr>
        <w:t xml:space="preserve">评委会将对确定为实质性响应的投标进行进一步审核，确定其是否有计算上或累加上的算术错误，修正错误的原则如下：</w:t>
      </w:r>
      <w:r>
        <w:rPr>
          <w:rFonts w:hint="eastAsia"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（1）投标文件中开标一览表内容与投标文件中相应内容不一致的，以开标一览表为准。</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（2）大写金额和小写金额不一致的，以大写金额为准。</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（3）单价金额小数点或者百分比有明显错位的，以开标一览表的总价为准，并修改单价。</w:t>
      </w:r>
      <w:r>
        <w:rPr>
          <w:rFonts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（4）总价金额与按单价汇总金额不一致的，以单价金额计算结果为准。</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同时出现两种以上错误的，按照前款规定的顺序修正。</w:t>
      </w:r>
      <w:r>
        <w:rPr>
          <w:rFonts w:hint="eastAsia"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hint="eastAsia" w:ascii="宋体" w:hAnsi="宋体"/>
          <w:color w:val="000000"/>
          <w:sz w:val="24"/>
          <w:szCs w:val="24"/>
          <w:highlight w:val="none"/>
        </w:rPr>
        <w:t xml:space="preserve">25.</w:t>
      </w:r>
      <w:r>
        <w:rPr>
          <w:rFonts w:ascii="宋体" w:hAnsi="宋体"/>
          <w:color w:val="000000"/>
          <w:sz w:val="24"/>
          <w:szCs w:val="24"/>
          <w:highlight w:val="none"/>
        </w:rPr>
        <w:t xml:space="preserve">5</w:t>
      </w:r>
      <w:r>
        <w:rPr>
          <w:rFonts w:hint="eastAsia" w:ascii="宋体" w:hAnsi="宋体"/>
          <w:color w:val="000000"/>
          <w:sz w:val="24"/>
          <w:szCs w:val="24"/>
          <w:highlight w:val="none"/>
        </w:rPr>
        <w:t xml:space="preserve"> </w:t>
      </w:r>
      <w:r>
        <w:rPr>
          <w:rFonts w:hint="eastAsia" w:ascii="宋体" w:hAnsi="宋体"/>
          <w:bCs/>
          <w:color w:val="000000"/>
          <w:sz w:val="24"/>
          <w:szCs w:val="24"/>
          <w:highlight w:val="none"/>
        </w:rPr>
        <w:t xml:space="preserve">评委会将按上述修正错误的方法调整投标文件中的投标报价，并</w:t>
      </w:r>
      <w:r>
        <w:rPr>
          <w:rFonts w:ascii="宋体" w:hAnsi="宋体"/>
          <w:bCs/>
          <w:color w:val="000000"/>
          <w:sz w:val="24"/>
          <w:szCs w:val="24"/>
          <w:highlight w:val="none"/>
        </w:rPr>
        <w:t xml:space="preserve">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告知</w:t>
      </w:r>
      <w:r>
        <w:rPr>
          <w:rFonts w:ascii="宋体" w:hAnsi="宋体"/>
          <w:bCs/>
          <w:color w:val="000000"/>
          <w:sz w:val="24"/>
          <w:szCs w:val="24"/>
          <w:highlight w:val="none"/>
        </w:rPr>
        <w:t xml:space="preserve">投标人，</w:t>
      </w:r>
      <w:r>
        <w:rPr>
          <w:rFonts w:hint="eastAsia" w:ascii="宋体" w:hAnsi="宋体"/>
          <w:bCs/>
          <w:color w:val="000000"/>
          <w:sz w:val="24"/>
          <w:szCs w:val="24"/>
          <w:highlight w:val="none"/>
        </w:rPr>
        <w:t xml:space="preserve">调整后的价格应对投标人具有约束力。如果投标人不接受修正后的价格，则其投标将被拒绝。</w:t>
      </w:r>
      <w:r>
        <w:rPr>
          <w:rFonts w:ascii="宋体" w:hAnsi="宋体"/>
          <w:bCs/>
          <w:color w:val="000000"/>
          <w:sz w:val="24"/>
          <w:szCs w:val="24"/>
          <w:highlight w:val="none"/>
        </w:rPr>
      </w:r>
      <w:r/>
    </w:p>
    <w:p>
      <w:pPr>
        <w:pStyle w:val="1215"/>
        <w:ind w:firstLine="420"/>
        <w:spacing w:line="440" w:lineRule="exact"/>
        <w:rPr>
          <w:rFonts w:hint="eastAsia" w:ascii="宋体" w:hAnsi="宋体"/>
          <w:b/>
          <w:bCs/>
          <w:color w:val="000000"/>
          <w:sz w:val="24"/>
          <w:szCs w:val="24"/>
          <w:highlight w:val="none"/>
        </w:rPr>
      </w:pPr>
      <w:r/>
      <w:bookmarkStart w:id="166" w:name="_Toc513029234"/>
      <w:r/>
      <w:bookmarkStart w:id="167" w:name="_Toc16938550"/>
      <w:r/>
      <w:bookmarkStart w:id="168" w:name="_Toc20823306"/>
      <w:r>
        <w:rPr>
          <w:rFonts w:hint="eastAsia" w:ascii="宋体" w:hAnsi="宋体"/>
          <w:b/>
          <w:bCs/>
          <w:color w:val="000000"/>
          <w:sz w:val="24"/>
          <w:szCs w:val="24"/>
          <w:highlight w:val="none"/>
        </w:rPr>
        <w:t xml:space="preserve">25.6投标人在开、评标全过程中应保持通讯畅通，及时登录苏采云系统查阅</w:t>
      </w:r>
      <w:r>
        <w:rPr>
          <w:rFonts w:ascii="宋体" w:hAnsi="宋体"/>
          <w:b/>
          <w:bCs/>
          <w:color w:val="000000"/>
          <w:sz w:val="24"/>
          <w:szCs w:val="24"/>
          <w:highlight w:val="none"/>
        </w:rPr>
        <w:t xml:space="preserve">、答复相关</w:t>
      </w:r>
      <w:r>
        <w:rPr>
          <w:rFonts w:hint="eastAsia" w:ascii="宋体" w:hAnsi="宋体"/>
          <w:b/>
          <w:bCs/>
          <w:color w:val="000000"/>
          <w:sz w:val="24"/>
          <w:szCs w:val="24"/>
          <w:highlight w:val="none"/>
        </w:rPr>
        <w:t xml:space="preserve">信息</w:t>
      </w:r>
      <w:r>
        <w:rPr>
          <w:rFonts w:ascii="宋体" w:hAnsi="宋体"/>
          <w:b/>
          <w:bCs/>
          <w:color w:val="000000"/>
          <w:sz w:val="24"/>
          <w:szCs w:val="24"/>
          <w:highlight w:val="none"/>
        </w:rPr>
        <w:t xml:space="preserve">，</w:t>
      </w:r>
      <w:r>
        <w:rPr>
          <w:rFonts w:hint="eastAsia" w:ascii="宋体" w:hAnsi="宋体"/>
          <w:b/>
          <w:bCs/>
          <w:color w:val="000000"/>
          <w:sz w:val="24"/>
          <w:szCs w:val="24"/>
          <w:highlight w:val="none"/>
        </w:rPr>
        <w:t xml:space="preserve">并安排专人与代理机构及评标委员会联系。</w:t>
      </w:r>
      <w:r>
        <w:rPr>
          <w:rFonts w:hint="eastAsia" w:ascii="宋体" w:hAnsi="宋体"/>
          <w:b/>
          <w:bCs/>
          <w:color w:val="000000"/>
          <w:sz w:val="24"/>
          <w:szCs w:val="24"/>
          <w:highlight w:val="none"/>
        </w:rPr>
      </w:r>
      <w:r/>
    </w:p>
    <w:p>
      <w:pPr>
        <w:pStyle w:val="1219"/>
        <w:ind w:firstLine="360"/>
        <w:spacing w:before="0" w:after="0" w:line="440" w:lineRule="exact"/>
        <w:rPr>
          <w:rFonts w:hint="eastAsia"/>
          <w:b w:val="0"/>
          <w:bCs w:val="0"/>
          <w:color w:val="000000"/>
          <w:sz w:val="24"/>
          <w:szCs w:val="24"/>
          <w:highlight w:val="none"/>
        </w:rPr>
      </w:pPr>
      <w:r>
        <w:rPr>
          <w:rFonts w:hint="eastAsia"/>
          <w:b w:val="0"/>
          <w:bCs w:val="0"/>
          <w:color w:val="000000"/>
          <w:sz w:val="24"/>
          <w:szCs w:val="24"/>
          <w:highlight w:val="none"/>
        </w:rPr>
        <w:t xml:space="preserve">26、</w:t>
      </w:r>
      <w:bookmarkEnd w:id="166"/>
      <w:r/>
      <w:bookmarkEnd w:id="167"/>
      <w:r/>
      <w:bookmarkEnd w:id="168"/>
      <w:r>
        <w:rPr>
          <w:rFonts w:hint="eastAsia"/>
          <w:b w:val="0"/>
          <w:bCs w:val="0"/>
          <w:color w:val="000000"/>
          <w:sz w:val="24"/>
          <w:szCs w:val="24"/>
          <w:highlight w:val="none"/>
        </w:rPr>
        <w:t xml:space="preserve">无效投标条款和废标条款</w:t>
      </w:r>
      <w:r>
        <w:rPr>
          <w:rFonts w:hint="eastAsia"/>
          <w:b w:val="0"/>
          <w:bCs w:val="0"/>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bookmarkStart w:id="169" w:name="_Toc513029235"/>
      <w:r/>
      <w:bookmarkStart w:id="170" w:name="_Toc20823307"/>
      <w:r/>
      <w:bookmarkStart w:id="171" w:name="_Toc16938551"/>
      <w:r>
        <w:rPr>
          <w:rFonts w:hint="eastAsia" w:ascii="宋体" w:hAnsi="宋体"/>
          <w:bCs/>
          <w:color w:val="000000"/>
          <w:sz w:val="24"/>
          <w:szCs w:val="24"/>
          <w:highlight w:val="none"/>
        </w:rPr>
        <w:t xml:space="preserve">26.1无效投标条款</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 投标人在</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规定的时间内未成功解密电子投标文件的。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26.1.2 投标人未按照招标文件要求上传电子投标文件的。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26.1.3同一投标人提交两个（含两个）以上不同的投标报价的。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26.1.4投标人不具备招标文件中规定资格要求的。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26.1.5投标人的报价超过了最高限价的。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26.1.6未通过符合性审查的。</w:t>
      </w:r>
      <w:r>
        <w:rPr>
          <w:rFonts w:hint="eastAsia" w:ascii="宋体" w:hAnsi="宋体"/>
          <w:bCs/>
          <w:i/>
          <w:color w:val="000000"/>
          <w:sz w:val="24"/>
          <w:szCs w:val="24"/>
          <w:highlight w:val="none"/>
          <w:u w:val="single"/>
        </w:rPr>
      </w:r>
      <w:r/>
    </w:p>
    <w:p>
      <w:pPr>
        <w:pStyle w:val="1215"/>
        <w:ind w:firstLine="360"/>
        <w:spacing w:line="440" w:lineRule="exact"/>
        <w:rPr>
          <w:rFonts w:hint="eastAsia" w:ascii="宋体" w:hAnsi="宋体"/>
          <w:bCs/>
          <w:i/>
          <w:color w:val="000000"/>
          <w:sz w:val="24"/>
          <w:szCs w:val="24"/>
          <w:highlight w:val="none"/>
          <w:u w:val="single"/>
        </w:rPr>
      </w:pPr>
      <w:r>
        <w:rPr>
          <w:rFonts w:hint="eastAsia" w:ascii="宋体" w:hAnsi="宋体"/>
          <w:bCs/>
          <w:color w:val="000000"/>
          <w:sz w:val="24"/>
          <w:szCs w:val="24"/>
          <w:highlight w:val="none"/>
        </w:rPr>
        <w:t xml:space="preserve"> 26.1.7不符合招标文件中规定的实质性要求和条件的（</w:t>
      </w:r>
      <w:r>
        <w:rPr>
          <w:rFonts w:hint="eastAsia" w:ascii="宋体" w:hAnsi="宋体"/>
          <w:bCs/>
          <w:i/>
          <w:color w:val="000000"/>
          <w:sz w:val="24"/>
          <w:szCs w:val="24"/>
          <w:highlight w:val="none"/>
          <w:u w:val="single"/>
        </w:rPr>
        <w:t xml:space="preserve">本招标文件中斜体且有下划线部分为实质性要求和条件）。</w:t>
      </w:r>
      <w:r>
        <w:rPr>
          <w:rFonts w:hint="eastAsia" w:ascii="宋体" w:hAnsi="宋体"/>
          <w:bCs/>
          <w:i/>
          <w:color w:val="000000"/>
          <w:sz w:val="24"/>
          <w:szCs w:val="24"/>
          <w:highlight w:val="none"/>
          <w:u w:val="singl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26.1.8 单位负责人为同一人或者存在直接控股、管理关系的不同供应商，参加同一合同项下的政府采购活动</w:t>
      </w:r>
      <w:r>
        <w:rPr>
          <w:rFonts w:hint="eastAsia" w:ascii="宋体" w:hAnsi="宋体"/>
          <w:bCs/>
          <w:color w:val="000000"/>
          <w:sz w:val="24"/>
          <w:szCs w:val="24"/>
          <w:highlight w:val="none"/>
          <w:lang w:eastAsia="zh-CN"/>
        </w:rPr>
        <w:t xml:space="preserve">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lang w:val="en-US" w:eastAsia="zh-CN"/>
        </w:rPr>
        <w:t xml:space="preserve">6.1.9</w:t>
      </w:r>
      <w:r>
        <w:rPr>
          <w:rFonts w:hint="eastAsia" w:ascii="宋体" w:hAnsi="宋体"/>
          <w:bCs/>
          <w:color w:val="000000"/>
          <w:sz w:val="24"/>
          <w:szCs w:val="24"/>
          <w:highlight w:val="none"/>
        </w:rPr>
        <w:t xml:space="preserve">投标人被 “信用中国”网站（www.creditchina.gov.cn）列入失信被执行人或重大税收违法案件当事人名单或政府严重失信行为记录名单。或查询“信用中国”网站后发现投标人存在其他不符合《</w:t>
      </w:r>
      <w:r>
        <w:rPr>
          <w:rFonts w:hint="eastAsia" w:ascii="宋体" w:hAnsi="宋体"/>
          <w:bCs/>
          <w:color w:val="000000"/>
          <w:sz w:val="24"/>
          <w:szCs w:val="24"/>
          <w:highlight w:val="none"/>
          <w:lang w:eastAsia="zh-CN"/>
        </w:rPr>
        <w:t xml:space="preserve">中华人民共和国政府采购法</w:t>
      </w:r>
      <w:r>
        <w:rPr>
          <w:rFonts w:hint="eastAsia" w:ascii="宋体" w:hAnsi="宋体"/>
          <w:bCs/>
          <w:color w:val="000000"/>
          <w:sz w:val="24"/>
          <w:szCs w:val="24"/>
          <w:highlight w:val="none"/>
        </w:rPr>
        <w:t xml:space="preserve">》第二十二条规定条件的信用记录。</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lang w:val="en-US" w:eastAsia="zh-CN"/>
        </w:rPr>
        <w:t xml:space="preserve">0</w:t>
      </w:r>
      <w:r>
        <w:rPr>
          <w:rFonts w:hint="eastAsia" w:ascii="宋体" w:hAnsi="宋体"/>
          <w:bCs/>
          <w:color w:val="000000"/>
          <w:sz w:val="24"/>
          <w:szCs w:val="24"/>
          <w:highlight w:val="none"/>
        </w:rPr>
        <w:t xml:space="preserve">投标文件含有人不能接受的附加条件的。</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1</w:t>
      </w:r>
      <w:r>
        <w:rPr>
          <w:rFonts w:hint="eastAsia" w:ascii="宋体" w:hAnsi="宋体"/>
          <w:bCs/>
          <w:color w:val="000000"/>
          <w:sz w:val="24"/>
          <w:szCs w:val="24"/>
          <w:highlight w:val="none"/>
        </w:rPr>
        <w:t xml:space="preserve">评标委员会认为投标人的报价明显低于其他通过符合性审查投标人的报价，有可能影响产品质量或者不能诚信履约的，将通过</w:t>
      </w:r>
      <w:r>
        <w:rPr>
          <w:rFonts w:hint="eastAsia" w:ascii="宋体" w:hAnsi="宋体"/>
          <w:color w:val="000000"/>
          <w:sz w:val="24"/>
          <w:szCs w:val="24"/>
          <w:highlight w:val="none"/>
        </w:rPr>
        <w:t xml:space="preserve">苏采云系统</w:t>
      </w:r>
      <w:r>
        <w:rPr>
          <w:rFonts w:hint="eastAsia" w:ascii="宋体" w:hAnsi="宋体"/>
          <w:bCs/>
          <w:color w:val="000000"/>
          <w:sz w:val="24"/>
          <w:szCs w:val="24"/>
          <w:highlight w:val="none"/>
        </w:rPr>
        <w:t xml:space="preserve">要求其在合理的时间内提供说明，必要时提交相关证明材料；投标人不能证明其报价合理性的，评标委员会应当将其作为无效投标处理。</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2</w:t>
      </w:r>
      <w:r>
        <w:rPr>
          <w:rFonts w:hint="eastAsia" w:ascii="宋体" w:hAnsi="宋体"/>
          <w:bCs/>
          <w:color w:val="000000"/>
          <w:sz w:val="24"/>
          <w:szCs w:val="24"/>
          <w:highlight w:val="none"/>
        </w:rPr>
        <w:t xml:space="preserve">投标文件未按照招标文件要求加盖CA</w:t>
      </w:r>
      <w:r>
        <w:rPr>
          <w:rFonts w:ascii="宋体" w:hAnsi="宋体"/>
          <w:bCs/>
          <w:color w:val="000000"/>
          <w:sz w:val="24"/>
          <w:szCs w:val="24"/>
          <w:highlight w:val="none"/>
        </w:rPr>
        <w:t xml:space="preserve">电子公章的</w:t>
      </w:r>
      <w:r>
        <w:rPr>
          <w:rFonts w:hint="eastAsia"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26.1.1</w:t>
      </w:r>
      <w:r>
        <w:rPr>
          <w:rFonts w:hint="eastAsia" w:ascii="宋体" w:hAnsi="宋体"/>
          <w:bCs/>
          <w:color w:val="000000"/>
          <w:sz w:val="24"/>
          <w:szCs w:val="24"/>
          <w:highlight w:val="none"/>
          <w:lang w:val="en-US" w:eastAsia="zh-CN"/>
        </w:rPr>
        <w:t xml:space="preserve">3</w:t>
      </w:r>
      <w:r>
        <w:rPr>
          <w:rFonts w:hint="eastAsia" w:ascii="宋体" w:hAnsi="宋体"/>
          <w:bCs/>
          <w:color w:val="000000"/>
          <w:sz w:val="24"/>
          <w:szCs w:val="24"/>
          <w:highlight w:val="none"/>
        </w:rPr>
        <w:t xml:space="preserve">其他</w:t>
      </w:r>
      <w:r>
        <w:rPr>
          <w:rFonts w:hint="eastAsia" w:ascii="宋体" w:hAnsi="宋体"/>
          <w:bCs/>
          <w:color w:val="000000"/>
          <w:sz w:val="24"/>
          <w:szCs w:val="24"/>
          <w:highlight w:val="none"/>
          <w:lang w:eastAsia="zh-CN"/>
        </w:rPr>
        <w:t xml:space="preserve">法律法规</w:t>
      </w:r>
      <w:r>
        <w:rPr>
          <w:rFonts w:hint="eastAsia" w:ascii="宋体" w:hAnsi="宋体"/>
          <w:bCs/>
          <w:color w:val="000000"/>
          <w:sz w:val="24"/>
          <w:szCs w:val="24"/>
          <w:highlight w:val="none"/>
        </w:rPr>
        <w:t xml:space="preserve">及本招标文件规定的</w:t>
      </w:r>
      <w:r>
        <w:rPr>
          <w:rFonts w:hint="eastAsia" w:ascii="宋体" w:hAnsi="宋体"/>
          <w:bCs/>
          <w:color w:val="000000"/>
          <w:sz w:val="24"/>
          <w:szCs w:val="24"/>
          <w:highlight w:val="none"/>
          <w:lang w:eastAsia="zh-CN"/>
        </w:rPr>
        <w:t xml:space="preserve">属于</w:t>
      </w:r>
      <w:r>
        <w:rPr>
          <w:rFonts w:hint="eastAsia" w:ascii="宋体" w:hAnsi="宋体"/>
          <w:bCs/>
          <w:color w:val="000000"/>
          <w:sz w:val="24"/>
          <w:szCs w:val="24"/>
          <w:highlight w:val="none"/>
        </w:rPr>
        <w:t xml:space="preserve">无效投标的情形。</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26.2废标条款</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26.2.1符合专业条件的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或者对招标文件作实质响应的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w:t>
      </w:r>
      <w:r>
        <w:rPr>
          <w:rFonts w:hint="eastAsia" w:ascii="宋体" w:hAnsi="宋体"/>
          <w:bCs/>
          <w:color w:val="000000"/>
          <w:sz w:val="24"/>
          <w:szCs w:val="24"/>
          <w:highlight w:val="none"/>
        </w:rPr>
      </w:r>
      <w:r/>
    </w:p>
    <w:p>
      <w:pPr>
        <w:pStyle w:val="1215"/>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家的。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26.2.2出现影响公正的违法、违规行为的。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26.2.3因重大变故，任务取消的。</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26.2.4评标委员会认定招标文件存在歧义、重大缺陷导致评审工作无法进</w:t>
      </w:r>
      <w:r>
        <w:rPr>
          <w:rFonts w:hint="eastAsia" w:ascii="宋体" w:hAnsi="宋体"/>
          <w:bCs/>
          <w:color w:val="000000"/>
          <w:sz w:val="24"/>
          <w:szCs w:val="24"/>
          <w:highlight w:val="none"/>
        </w:rPr>
      </w:r>
      <w:r/>
    </w:p>
    <w:p>
      <w:pPr>
        <w:pStyle w:val="1215"/>
        <w:spacing w:line="440" w:lineRule="exact"/>
        <w:rPr>
          <w:rFonts w:ascii="宋体" w:hAnsi="宋体"/>
          <w:bCs/>
          <w:color w:val="000000"/>
          <w:sz w:val="24"/>
          <w:szCs w:val="24"/>
          <w:highlight w:val="none"/>
        </w:rPr>
      </w:pPr>
      <w:r>
        <w:rPr>
          <w:rFonts w:hint="eastAsia" w:ascii="宋体" w:hAnsi="宋体"/>
          <w:bCs/>
          <w:color w:val="000000"/>
          <w:sz w:val="24"/>
          <w:szCs w:val="24"/>
          <w:highlight w:val="none"/>
        </w:rPr>
        <w:t xml:space="preserve">行。</w:t>
      </w:r>
      <w:r>
        <w:rPr>
          <w:rFonts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26.2.5 因</w:t>
      </w:r>
      <w:r>
        <w:rPr>
          <w:rFonts w:hint="eastAsia" w:ascii="宋体" w:hAnsi="宋体"/>
          <w:color w:val="000000"/>
          <w:sz w:val="24"/>
          <w:szCs w:val="24"/>
          <w:highlight w:val="none"/>
        </w:rPr>
        <w:t xml:space="preserve">苏采云系统</w:t>
      </w:r>
      <w:r>
        <w:rPr>
          <w:rFonts w:ascii="宋体" w:hAnsi="宋体"/>
          <w:bCs/>
          <w:color w:val="000000"/>
          <w:sz w:val="24"/>
          <w:szCs w:val="24"/>
          <w:highlight w:val="none"/>
        </w:rPr>
        <w:t xml:space="preserve">系统故障原因造成开标不成功</w:t>
      </w:r>
      <w:r>
        <w:rPr>
          <w:rFonts w:hint="eastAsia" w:ascii="宋体" w:hAnsi="宋体"/>
          <w:bCs/>
          <w:color w:val="000000"/>
          <w:sz w:val="24"/>
          <w:szCs w:val="24"/>
          <w:highlight w:val="none"/>
        </w:rPr>
        <w:t xml:space="preserve">的</w:t>
      </w:r>
      <w:r>
        <w:rPr>
          <w:rFonts w:ascii="宋体" w:hAnsi="宋体"/>
          <w:bCs/>
          <w:color w:val="000000"/>
          <w:sz w:val="24"/>
          <w:szCs w:val="24"/>
          <w:highlight w:val="none"/>
        </w:rPr>
        <w:t xml:space="preserve">。</w:t>
      </w:r>
      <w:r>
        <w:rPr>
          <w:rFonts w:hint="eastAsia" w:ascii="宋体" w:hAnsi="宋体"/>
          <w:bCs/>
          <w:color w:val="000000"/>
          <w:sz w:val="24"/>
          <w:szCs w:val="24"/>
          <w:highlight w:val="none"/>
        </w:rPr>
      </w:r>
      <w:r/>
    </w:p>
    <w:p>
      <w:pPr>
        <w:pStyle w:val="1215"/>
        <w:ind w:left="479"/>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 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不足三家的处理：</w:t>
      </w:r>
      <w:r>
        <w:rPr>
          <w:rFonts w:hint="eastAsia" w:ascii="宋体" w:hAnsi="宋体"/>
          <w:bCs/>
          <w:color w:val="000000"/>
          <w:sz w:val="24"/>
          <w:szCs w:val="24"/>
          <w:highlight w:val="none"/>
        </w:rPr>
      </w:r>
      <w:r/>
    </w:p>
    <w:p>
      <w:pPr>
        <w:pStyle w:val="1215"/>
        <w:ind w:firstLine="480"/>
        <w:keepLines w:val="0"/>
        <w:keepNext w:val="0"/>
        <w:pageBreakBefore w:val="0"/>
        <w:spacing w:line="440" w:lineRule="exact"/>
        <w:widowControl w:val="off"/>
        <w:rPr>
          <w:rFonts w:hint="eastAsia" w:ascii="宋体" w:hAnsi="宋体"/>
          <w:bCs/>
          <w:color w:val="000000"/>
          <w:sz w:val="24"/>
          <w:szCs w:val="24"/>
          <w:highlight w:val="none"/>
        </w:rPr>
      </w:pPr>
      <w:r>
        <w:rPr>
          <w:rFonts w:hint="eastAsia" w:ascii="宋体" w:hAnsi="宋体"/>
          <w:bCs/>
          <w:color w:val="000000"/>
          <w:sz w:val="24"/>
          <w:szCs w:val="24"/>
          <w:highlight w:val="none"/>
        </w:rPr>
        <w:t xml:space="preserve">26.3.1如出现投标截止时间结束后参加投标的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或者在评标期间对招标文件做出实质响应的</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不足三家情况，按政府相关规定执行。</w:t>
      </w:r>
      <w:r>
        <w:rPr>
          <w:rFonts w:hint="eastAsia" w:ascii="宋体" w:hAnsi="宋体"/>
          <w:bCs/>
          <w:color w:val="000000"/>
          <w:sz w:val="24"/>
          <w:szCs w:val="24"/>
          <w:highlight w:val="none"/>
        </w:rPr>
      </w:r>
      <w:r/>
    </w:p>
    <w:p>
      <w:pPr>
        <w:pStyle w:val="1218"/>
        <w:ind w:firstLine="360"/>
        <w:keepLines w:val="0"/>
        <w:keepNext w:val="0"/>
        <w:pageBreakBefore w:val="0"/>
        <w:spacing w:before="120" w:after="120" w:line="440" w:lineRule="exact"/>
        <w:widowControl w:val="off"/>
        <w:rPr>
          <w:rFonts w:hint="eastAsia" w:ascii="宋体" w:hAnsi="宋体" w:eastAsia="宋体" w:cs="Times New Roman"/>
          <w:b w:val="0"/>
          <w:bCs/>
          <w:color w:val="000000"/>
          <w:sz w:val="24"/>
          <w:szCs w:val="24"/>
          <w:lang w:val="en-US" w:eastAsia="zh-CN"/>
        </w:rPr>
      </w:pPr>
      <w:r>
        <w:rPr>
          <w:rFonts w:hint="eastAsia" w:ascii="宋体" w:hAnsi="宋体" w:eastAsia="宋体" w:cs="Times New Roman"/>
          <w:b w:val="0"/>
          <w:bCs/>
          <w:color w:val="000000"/>
          <w:sz w:val="24"/>
          <w:szCs w:val="24"/>
          <w:lang w:val="en-US" w:eastAsia="zh-CN"/>
        </w:rPr>
        <w:t xml:space="preserve">26.4</w:t>
      </w:r>
      <w:bookmarkStart w:id="172" w:name="_Toc120614219"/>
      <w:r>
        <w:rPr>
          <w:rFonts w:hint="eastAsia"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w:t>
      </w:r>
      <w:r>
        <w:rPr>
          <w:rFonts w:hint="eastAsia" w:ascii="宋体" w:hAnsi="宋体" w:eastAsia="宋体" w:cs="Times New Roman"/>
          <w:b w:val="0"/>
          <w:bCs/>
          <w:color w:val="000000"/>
          <w:sz w:val="24"/>
          <w:szCs w:val="24"/>
          <w:lang w:val="en-US" w:eastAsia="zh-CN"/>
        </w:rPr>
        <w:t xml:space="preserve">明，必要时提交相关证明材料。供应商不能证明其报价合理性的，评审小组应当将其作为无效响应处理。</w:t>
      </w:r>
      <w:r>
        <w:rPr>
          <w:rFonts w:hint="eastAsia" w:ascii="宋体" w:hAnsi="宋体" w:eastAsia="宋体" w:cs="Times New Roman"/>
          <w:b w:val="0"/>
          <w:bCs/>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评标委员会启动异常低价投标(响应)审查的情形和具体要求:</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政府采购评审中出现下列情形之一的，评审委员会应当启动异常低价投标（响应）审查程序： </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（1）投标报价低于全部通过符合性审查供应商投标报价平均值65%的，即投标报价&lt;全部通过符合性审查供应商投标报价平均值×65%；</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（2）投标报价低于通过符合性审查的次低报价供应商投标报价65%的，即投标报价&lt;通过符合性审查的次低报价供应商投标报价×65%；</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（3）投标报价低于采购项目最高限价65%的，即投标报价&lt;采购项目最高限价×65%；</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（4）评委会基于专业判断，认为供应商报价过低，有可能影响产品质量或者不能诚信履约的其他情形。</w:t>
      </w:r>
      <w:r>
        <w:rPr>
          <w:rFonts w:hint="eastAsia" w:ascii="宋体" w:hAnsi="宋体" w:eastAsia="宋体" w:cs="Times New Roman"/>
          <w:b/>
          <w:bCs w:val="0"/>
          <w:color w:val="000000"/>
          <w:sz w:val="24"/>
          <w:szCs w:val="24"/>
          <w:lang w:val="en-US" w:eastAsia="zh-CN"/>
        </w:rPr>
      </w:r>
      <w:r/>
    </w:p>
    <w:p>
      <w:pPr>
        <w:pStyle w:val="1218"/>
        <w:ind w:firstLine="361"/>
        <w:keepLines w:val="0"/>
        <w:keepNext w:val="0"/>
        <w:pageBreakBefore w:val="0"/>
        <w:spacing w:before="120" w:after="120" w:line="440" w:lineRule="exact"/>
        <w:widowControl w:val="off"/>
        <w:rPr>
          <w:rFonts w:hint="eastAsia" w:ascii="宋体" w:hAnsi="宋体" w:eastAsia="宋体" w:cs="Times New Roman"/>
          <w:b/>
          <w:bCs w:val="0"/>
          <w:color w:val="000000"/>
          <w:sz w:val="24"/>
          <w:szCs w:val="24"/>
          <w:lang w:val="en-US" w:eastAsia="zh-CN"/>
        </w:rPr>
      </w:pPr>
      <w:r>
        <w:rPr>
          <w:rFonts w:hint="eastAsia" w:ascii="宋体" w:hAnsi="宋体" w:eastAsia="宋体" w:cs="Times New Roman"/>
          <w:b/>
          <w:bCs w:val="0"/>
          <w:color w:val="000000"/>
          <w:sz w:val="24"/>
          <w:szCs w:val="24"/>
          <w:lang w:val="en-US" w:eastAsia="zh-CN"/>
        </w:rPr>
        <w:t xml:space="preserve">(二)启动异常低价投标(响应)审查后，评标委员会应</w:t>
      </w:r>
      <w:r>
        <w:rPr>
          <w:rFonts w:hint="eastAsia" w:ascii="宋体" w:hAnsi="宋体" w:eastAsia="宋体" w:cs="Times New Roman"/>
          <w:b/>
          <w:bCs w:val="0"/>
          <w:color w:val="000000"/>
          <w:sz w:val="24"/>
          <w:szCs w:val="24"/>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eastAsia="宋体" w:cs="Times New Roman"/>
          <w:b/>
          <w:bCs w:val="0"/>
          <w:color w:val="000000"/>
          <w:sz w:val="24"/>
          <w:szCs w:val="24"/>
          <w:lang w:val="en-US" w:eastAsia="zh-CN"/>
        </w:rPr>
      </w:r>
      <w:r/>
    </w:p>
    <w:p>
      <w:pPr>
        <w:pStyle w:val="1218"/>
        <w:ind w:firstLine="361"/>
        <w:spacing w:before="120" w:after="120" w:line="440" w:lineRule="exact"/>
        <w:rPr>
          <w:rFonts w:hint="eastAsia"/>
          <w:color w:val="000000"/>
          <w:sz w:val="24"/>
          <w:szCs w:val="24"/>
          <w:highlight w:val="none"/>
        </w:rPr>
      </w:pPr>
      <w:r>
        <w:rPr>
          <w:rFonts w:hint="eastAsia"/>
          <w:color w:val="000000"/>
          <w:sz w:val="24"/>
          <w:szCs w:val="24"/>
          <w:highlight w:val="none"/>
        </w:rPr>
        <w:t xml:space="preserve">六、</w:t>
      </w:r>
      <w:bookmarkEnd w:id="169"/>
      <w:r/>
      <w:bookmarkEnd w:id="170"/>
      <w:r/>
      <w:bookmarkEnd w:id="171"/>
      <w:r>
        <w:rPr>
          <w:rFonts w:hint="eastAsia"/>
          <w:color w:val="000000"/>
          <w:sz w:val="24"/>
          <w:szCs w:val="24"/>
          <w:highlight w:val="none"/>
        </w:rPr>
        <w:t xml:space="preserve">定标</w:t>
      </w:r>
      <w:bookmarkEnd w:id="172"/>
      <w:r>
        <w:rPr>
          <w:rFonts w:hint="eastAsia"/>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bookmarkStart w:id="173" w:name="_Toc513029238"/>
      <w:r/>
      <w:bookmarkStart w:id="174" w:name="_Toc20823310"/>
      <w:r/>
      <w:bookmarkStart w:id="175" w:name="_Toc16938554"/>
      <w:r>
        <w:rPr>
          <w:rFonts w:hint="eastAsia" w:ascii="黑体" w:hAnsi="宋体"/>
          <w:b w:val="0"/>
          <w:color w:val="000000"/>
          <w:sz w:val="24"/>
          <w:szCs w:val="24"/>
          <w:highlight w:val="none"/>
        </w:rPr>
        <w:t xml:space="preserve">27、</w:t>
      </w:r>
      <w:bookmarkEnd w:id="173"/>
      <w:r>
        <w:rPr>
          <w:rFonts w:hint="eastAsia" w:ascii="黑体" w:hAnsi="宋体"/>
          <w:b w:val="0"/>
          <w:color w:val="000000"/>
          <w:sz w:val="24"/>
          <w:szCs w:val="24"/>
          <w:highlight w:val="none"/>
        </w:rPr>
        <w:t xml:space="preserve">确定</w:t>
      </w:r>
      <w:bookmarkEnd w:id="174"/>
      <w:r/>
      <w:bookmarkEnd w:id="175"/>
      <w:r>
        <w:rPr>
          <w:rFonts w:hint="eastAsia" w:ascii="黑体" w:hAnsi="宋体"/>
          <w:b w:val="0"/>
          <w:color w:val="000000"/>
          <w:sz w:val="24"/>
          <w:szCs w:val="24"/>
          <w:highlight w:val="none"/>
        </w:rPr>
        <w:t xml:space="preserve">中标单位</w:t>
      </w:r>
      <w:r>
        <w:rPr>
          <w:rFonts w:hint="eastAsia" w:ascii="黑体" w:hAnsi="宋体"/>
          <w:b w:val="0"/>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27.1中标候选人的选取原则和数量见招标文件第五章规定。 </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27.2 </w:t>
      </w:r>
      <w:r>
        <w:rPr>
          <w:rFonts w:hint="eastAsia" w:ascii="宋体" w:hAnsi="宋体"/>
          <w:color w:val="000000"/>
          <w:sz w:val="24"/>
          <w:highlight w:val="none"/>
        </w:rPr>
        <w:t xml:space="preserve">招标</w:t>
      </w:r>
      <w:r>
        <w:rPr>
          <w:rFonts w:hint="eastAsia" w:ascii="宋体" w:hAnsi="宋体"/>
          <w:bCs/>
          <w:color w:val="000000"/>
          <w:sz w:val="24"/>
          <w:szCs w:val="24"/>
          <w:highlight w:val="none"/>
        </w:rPr>
        <w:t xml:space="preserve">人应根据评委会推荐的中标候选人确定中标人。</w:t>
      </w:r>
      <w:r>
        <w:rPr>
          <w:rFonts w:hint="eastAsia"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27.3 </w:t>
      </w:r>
      <w:r>
        <w:rPr>
          <w:rFonts w:hint="eastAsia" w:ascii="宋体" w:hAnsi="宋体"/>
          <w:color w:val="000000"/>
          <w:sz w:val="24"/>
          <w:szCs w:val="24"/>
          <w:highlight w:val="none"/>
        </w:rPr>
        <w:t xml:space="preserve">代理机构将在“江苏政府网”、“扬中政府网”发布中标公告，公告期限为1个工作日。</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  若有充分证据证明，中标人出现下列情况之一的，一经查实，将被取消中标资格：</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27.4.1提供虚假材料谋取中标的。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27.4.2向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人、代理机构行贿或者提供其他不正当利益的。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27.4.3属于本文件规定的无效条件，但在评标过程中又未被评委会发现的。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27.4.4与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人或者其他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恶意串通的。</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27.4.5采取不正当手段诋毁、排挤其他</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w:t>
      </w:r>
      <w:r>
        <w:rPr>
          <w:rFonts w:hint="eastAsia"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bookmarkStart w:id="176" w:name="_Toc200451960"/>
      <w:r>
        <w:rPr>
          <w:rFonts w:hint="eastAsia" w:ascii="宋体" w:hAnsi="宋体"/>
          <w:color w:val="000000"/>
          <w:sz w:val="24"/>
          <w:szCs w:val="24"/>
          <w:highlight w:val="none"/>
        </w:rPr>
        <w:t xml:space="preserve">27.5 </w:t>
      </w:r>
      <w:r>
        <w:rPr>
          <w:rFonts w:hAnsi="宋体" w:cs="宋体"/>
          <w:color w:val="000000"/>
          <w:sz w:val="24"/>
          <w:szCs w:val="24"/>
          <w:highlight w:val="none"/>
        </w:rPr>
        <w:t xml:space="preserve">有下列情形之一的，</w:t>
      </w:r>
      <w:r>
        <w:rPr>
          <w:rFonts w:hint="eastAsia" w:hAnsi="宋体" w:cs="宋体"/>
          <w:color w:val="000000"/>
          <w:sz w:val="24"/>
          <w:szCs w:val="24"/>
          <w:highlight w:val="none"/>
        </w:rPr>
        <w:t xml:space="preserve">视为投标人</w:t>
      </w:r>
      <w:r>
        <w:rPr>
          <w:rFonts w:hAnsi="宋体" w:cs="宋体"/>
          <w:color w:val="000000"/>
          <w:sz w:val="24"/>
          <w:szCs w:val="24"/>
          <w:highlight w:val="none"/>
        </w:rPr>
        <w:t xml:space="preserve">串通</w:t>
      </w:r>
      <w:r>
        <w:rPr>
          <w:rFonts w:hint="eastAsia" w:hAnsi="宋体" w:cs="宋体"/>
          <w:color w:val="000000"/>
          <w:sz w:val="24"/>
          <w:szCs w:val="24"/>
          <w:highlight w:val="none"/>
        </w:rPr>
        <w:t xml:space="preserve">投标，投标无效：</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27.5.1不同投标人的投标文件由同一单位或者个人编制。</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27.5.2不同投标人委托同一单位或者个人办理投标事宜。</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27.5.3 不同投标人的投标文件载明的项目管理成员或者联系人员为同一人。</w:t>
      </w:r>
      <w:r>
        <w:rPr>
          <w:rFonts w:ascii="宋体" w:hAnsi="宋体"/>
          <w:color w:val="000000"/>
          <w:sz w:val="24"/>
          <w:szCs w:val="24"/>
          <w:highlight w:val="none"/>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27.5.4不同投标人的投标文件异常一致或者投标报价呈规律性差异。</w:t>
      </w:r>
      <w:r>
        <w:rPr>
          <w:rFonts w:ascii="宋体" w:hAnsi="宋体"/>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28、质疑处理</w:t>
      </w:r>
      <w:bookmarkEnd w:id="176"/>
      <w:r>
        <w:rPr>
          <w:rFonts w:hint="eastAsia" w:ascii="黑体" w:hAnsi="宋体"/>
          <w:b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28.1 提出质疑的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应当是参与所质疑项目活动的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依法获取其可质疑的文件的，可以对文件提出质疑。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认为文件、过程和结果使自己的权益受到损害的，可以在知道或应知其权益受到损害之日起七个工作日内，以书面形式根据下述28.4条款的规定向代理机构或</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人提出质疑。上述应知其权益受到损害之日，是指：</w:t>
      </w:r>
      <w:r>
        <w:rPr>
          <w:rFonts w:hint="eastAsia" w:ascii="宋体" w:hAnsi="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28.2.1</w:t>
      </w:r>
      <w:r>
        <w:rPr>
          <w:rFonts w:hAnsi="宋体" w:cs="宋体"/>
          <w:color w:val="000000"/>
          <w:sz w:val="24"/>
          <w:szCs w:val="24"/>
          <w:highlight w:val="none"/>
        </w:rPr>
        <w:t xml:space="preserve">对可以质疑的文件提出质疑的，为收到文件之日或者文件公告期限届满之日；</w:t>
      </w:r>
      <w:r>
        <w:rPr>
          <w:rFonts w:hint="eastAsia" w:hAnsi="宋体" w:cs="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28.2.2</w:t>
      </w:r>
      <w:r>
        <w:rPr>
          <w:rFonts w:hAnsi="宋体" w:cs="宋体"/>
          <w:color w:val="000000"/>
          <w:sz w:val="24"/>
          <w:szCs w:val="24"/>
          <w:highlight w:val="none"/>
        </w:rPr>
        <w:t xml:space="preserve">对过程提出质疑的，为各程序环节结束之日；</w:t>
      </w:r>
      <w:r>
        <w:rPr>
          <w:rFonts w:hint="eastAsia" w:hAnsi="宋体" w:cs="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ascii="宋体" w:hAnsi="宋体"/>
          <w:color w:val="000000"/>
          <w:sz w:val="24"/>
          <w:szCs w:val="24"/>
          <w:highlight w:val="none"/>
        </w:rPr>
        <w:t xml:space="preserve">28.2.3</w:t>
      </w:r>
      <w:r>
        <w:rPr>
          <w:rFonts w:hAnsi="宋体" w:cs="宋体"/>
          <w:color w:val="000000"/>
          <w:sz w:val="24"/>
          <w:szCs w:val="24"/>
          <w:highlight w:val="none"/>
        </w:rPr>
        <w:t xml:space="preserve">对中标或者成交结果提出质疑的，为中标或者成交结果公告期限届满之日。</w:t>
      </w:r>
      <w:r>
        <w:rPr>
          <w:rFonts w:hint="eastAsia" w:hAnsi="宋体" w:cs="宋体"/>
          <w:color w:val="000000"/>
          <w:sz w:val="24"/>
          <w:szCs w:val="24"/>
          <w:highlight w:val="none"/>
        </w:rPr>
      </w:r>
      <w:r/>
    </w:p>
    <w:p>
      <w:pPr>
        <w:pStyle w:val="1215"/>
        <w:ind w:firstLine="480"/>
        <w:spacing w:line="440" w:lineRule="exact"/>
        <w:rPr>
          <w:rFonts w:hint="eastAsia" w:hAnsi="宋体" w:cs="宋体"/>
          <w:color w:val="000000"/>
          <w:sz w:val="24"/>
          <w:szCs w:val="24"/>
          <w:highlight w:val="none"/>
        </w:rPr>
      </w:pP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应当在法定质疑期内一次性提出针对同一程序环节的质疑。</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如在法定期限内对同一程序环节提出多次质疑的，代理机构、</w:t>
      </w:r>
      <w:r>
        <w:rPr>
          <w:rFonts w:hint="eastAsia" w:ascii="宋体" w:hAnsi="宋体"/>
          <w:color w:val="000000"/>
          <w:sz w:val="24"/>
          <w:highlight w:val="none"/>
        </w:rPr>
        <w:t xml:space="preserve">招标</w:t>
      </w:r>
      <w:r>
        <w:rPr>
          <w:rFonts w:hAnsi="宋体" w:cs="宋体"/>
          <w:color w:val="000000"/>
          <w:sz w:val="24"/>
          <w:szCs w:val="24"/>
          <w:highlight w:val="none"/>
        </w:rPr>
        <w:t xml:space="preserve">人</w:t>
      </w:r>
      <w:r>
        <w:rPr>
          <w:rFonts w:hint="eastAsia" w:hAnsi="宋体" w:cs="宋体"/>
          <w:color w:val="000000"/>
          <w:sz w:val="24"/>
          <w:szCs w:val="24"/>
          <w:highlight w:val="none"/>
        </w:rPr>
        <w:t xml:space="preserve">将只对</w:t>
      </w:r>
      <w:r>
        <w:rPr>
          <w:rFonts w:hint="eastAsia" w:hAnsi="宋体" w:cs="宋体"/>
          <w:color w:val="000000"/>
          <w:sz w:val="24"/>
          <w:szCs w:val="24"/>
          <w:highlight w:val="none"/>
          <w:lang w:eastAsia="zh-CN"/>
        </w:rPr>
        <w:t xml:space="preserve">投标人</w:t>
      </w:r>
      <w:r>
        <w:rPr>
          <w:rFonts w:hint="eastAsia" w:hAnsi="宋体" w:cs="宋体"/>
          <w:color w:val="000000"/>
          <w:sz w:val="24"/>
          <w:szCs w:val="24"/>
          <w:highlight w:val="none"/>
        </w:rPr>
        <w:t xml:space="preserve">第一次质疑作出答复。</w:t>
      </w:r>
      <w:r>
        <w:rPr>
          <w:rFonts w:hint="eastAsia" w:hAnsi="宋体" w:cs="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28.3质疑函必须按照本招标文件中《质疑函范本》要求的格式和内容进行填写。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如组成联合体参加投标，则《质疑函范本》中要求签字、盖章、加盖公章之处，联合体各方均须按要求签字、盖章、加盖公章。</w:t>
      </w:r>
      <w:r>
        <w:rPr>
          <w:rFonts w:hint="eastAsia" w:ascii="宋体" w:hAnsi="宋体"/>
          <w:color w:val="000000"/>
          <w:sz w:val="24"/>
          <w:szCs w:val="24"/>
          <w:highlight w:val="none"/>
        </w:rPr>
      </w:r>
      <w:r/>
    </w:p>
    <w:p>
      <w:pPr>
        <w:pStyle w:val="1215"/>
        <w:ind w:firstLine="480"/>
        <w:spacing w:line="440" w:lineRule="exact"/>
        <w:rPr>
          <w:rFonts w:hint="eastAsia" w:ascii="宋体" w:hAnsi="宋体"/>
          <w:b/>
          <w:color w:val="000000"/>
          <w:sz w:val="24"/>
          <w:szCs w:val="24"/>
          <w:highlight w:val="none"/>
        </w:rPr>
      </w:pPr>
      <w:r>
        <w:rPr>
          <w:rFonts w:hint="eastAsia" w:ascii="宋体" w:hAnsi="宋体"/>
          <w:color w:val="000000"/>
          <w:sz w:val="24"/>
          <w:szCs w:val="24"/>
          <w:highlight w:val="none"/>
        </w:rPr>
        <w:t xml:space="preserve">28.4</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（含潜在</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方式、</w:t>
      </w:r>
      <w:r>
        <w:rPr>
          <w:rFonts w:hint="eastAsia" w:ascii="宋体" w:hAnsi="宋体"/>
          <w:color w:val="000000"/>
          <w:sz w:val="24"/>
          <w:szCs w:val="24"/>
          <w:highlight w:val="none"/>
        </w:rPr>
        <w:t xml:space="preserve">招标文件中</w:t>
      </w:r>
      <w:r>
        <w:rPr>
          <w:rFonts w:ascii="宋体" w:hAnsi="宋体"/>
          <w:color w:val="000000"/>
          <w:sz w:val="24"/>
          <w:szCs w:val="24"/>
          <w:highlight w:val="none"/>
        </w:rPr>
        <w:t xml:space="preserve">需求、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资格条件、</w:t>
      </w:r>
      <w:r>
        <w:rPr>
          <w:rFonts w:hint="eastAsia" w:ascii="宋体" w:hAnsi="宋体"/>
          <w:color w:val="000000"/>
          <w:sz w:val="24"/>
          <w:szCs w:val="24"/>
          <w:highlight w:val="none"/>
        </w:rPr>
        <w:t xml:space="preserve">评标方法</w:t>
      </w:r>
      <w:r>
        <w:rPr>
          <w:rFonts w:ascii="宋体" w:hAnsi="宋体"/>
          <w:color w:val="000000"/>
          <w:sz w:val="24"/>
          <w:szCs w:val="24"/>
          <w:highlight w:val="none"/>
        </w:rPr>
        <w:t xml:space="preserve">和评标标准、合同文本</w:t>
      </w:r>
      <w:r>
        <w:rPr>
          <w:rFonts w:hint="eastAsia" w:ascii="宋体" w:hAnsi="宋体"/>
          <w:color w:val="000000"/>
          <w:sz w:val="24"/>
          <w:szCs w:val="24"/>
          <w:highlight w:val="none"/>
        </w:rPr>
        <w:t xml:space="preserve">及</w:t>
      </w:r>
      <w:r>
        <w:rPr>
          <w:rFonts w:ascii="宋体" w:hAnsi="宋体"/>
          <w:color w:val="000000"/>
          <w:sz w:val="24"/>
          <w:szCs w:val="24"/>
          <w:highlight w:val="none"/>
        </w:rPr>
        <w:t xml:space="preserve">资格</w:t>
      </w:r>
      <w:r>
        <w:rPr>
          <w:rFonts w:hint="eastAsia" w:ascii="宋体" w:hAnsi="宋体"/>
          <w:color w:val="000000"/>
          <w:sz w:val="24"/>
          <w:szCs w:val="24"/>
          <w:highlight w:val="none"/>
        </w:rPr>
        <w:t xml:space="preserve">审查结果的</w:t>
      </w:r>
      <w:r>
        <w:rPr>
          <w:rFonts w:ascii="宋体" w:hAnsi="宋体"/>
          <w:color w:val="000000"/>
          <w:sz w:val="24"/>
          <w:szCs w:val="24"/>
          <w:highlight w:val="none"/>
        </w:rPr>
        <w:t xml:space="preserve">询问</w:t>
      </w:r>
      <w:r>
        <w:rPr>
          <w:rFonts w:hint="eastAsia" w:ascii="宋体" w:hAnsi="宋体"/>
          <w:color w:val="000000"/>
          <w:sz w:val="24"/>
          <w:szCs w:val="24"/>
          <w:highlight w:val="none"/>
        </w:rPr>
        <w:t xml:space="preserve">、质疑</w:t>
      </w:r>
      <w:r>
        <w:rPr>
          <w:rFonts w:ascii="宋体" w:hAnsi="宋体"/>
          <w:color w:val="000000"/>
          <w:sz w:val="24"/>
          <w:szCs w:val="24"/>
          <w:highlight w:val="none"/>
        </w:rPr>
        <w:t xml:space="preserve">请向</w:t>
      </w:r>
      <w:r>
        <w:rPr>
          <w:rFonts w:hint="eastAsia" w:ascii="宋体" w:hAnsi="宋体"/>
          <w:color w:val="000000"/>
          <w:sz w:val="24"/>
          <w:highlight w:val="none"/>
        </w:rPr>
        <w:t xml:space="preserve">招标</w:t>
      </w:r>
      <w:r>
        <w:rPr>
          <w:rFonts w:ascii="宋体" w:hAnsi="宋体"/>
          <w:color w:val="000000"/>
          <w:sz w:val="24"/>
          <w:szCs w:val="24"/>
          <w:highlight w:val="none"/>
        </w:rPr>
        <w:t xml:space="preserve">人提出，由</w:t>
      </w:r>
      <w:r>
        <w:rPr>
          <w:rFonts w:hint="eastAsia" w:ascii="宋体" w:hAnsi="宋体"/>
          <w:color w:val="000000"/>
          <w:sz w:val="24"/>
          <w:highlight w:val="none"/>
        </w:rPr>
        <w:t xml:space="preserve">招标</w:t>
      </w:r>
      <w:r>
        <w:rPr>
          <w:rFonts w:ascii="宋体" w:hAnsi="宋体"/>
          <w:color w:val="000000"/>
          <w:sz w:val="24"/>
          <w:szCs w:val="24"/>
          <w:highlight w:val="none"/>
        </w:rPr>
        <w:t xml:space="preserve">人负责答复。</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对</w:t>
      </w:r>
      <w:r>
        <w:rPr>
          <w:rFonts w:ascii="宋体" w:hAnsi="宋体"/>
          <w:color w:val="000000"/>
          <w:sz w:val="24"/>
          <w:szCs w:val="24"/>
          <w:highlight w:val="none"/>
        </w:rPr>
        <w:t xml:space="preserve">其他事项</w:t>
      </w:r>
      <w:r>
        <w:rPr>
          <w:rFonts w:hint="eastAsia" w:ascii="宋体" w:hAnsi="宋体"/>
          <w:color w:val="000000"/>
          <w:sz w:val="24"/>
          <w:szCs w:val="24"/>
          <w:highlight w:val="none"/>
        </w:rPr>
        <w:t xml:space="preserve">的询问</w:t>
      </w:r>
      <w:r>
        <w:rPr>
          <w:rFonts w:ascii="宋体" w:hAnsi="宋体"/>
          <w:color w:val="000000"/>
          <w:sz w:val="24"/>
          <w:szCs w:val="24"/>
          <w:highlight w:val="none"/>
        </w:rPr>
        <w:t xml:space="preserve">、质疑请向</w:t>
      </w:r>
      <w:r>
        <w:rPr>
          <w:rFonts w:hint="eastAsia" w:ascii="宋体" w:hAnsi="宋体"/>
          <w:color w:val="000000"/>
          <w:sz w:val="24"/>
          <w:szCs w:val="24"/>
          <w:highlight w:val="none"/>
        </w:rPr>
        <w:t xml:space="preserve">代理机构</w:t>
      </w:r>
      <w:r>
        <w:rPr>
          <w:rFonts w:ascii="宋体" w:hAnsi="宋体"/>
          <w:color w:val="000000"/>
          <w:sz w:val="24"/>
          <w:szCs w:val="24"/>
          <w:highlight w:val="none"/>
        </w:rPr>
        <w:t xml:space="preserve">提出，由</w:t>
      </w:r>
      <w:r>
        <w:rPr>
          <w:rFonts w:hint="eastAsia" w:ascii="宋体" w:hAnsi="宋体"/>
          <w:color w:val="000000"/>
          <w:sz w:val="24"/>
          <w:szCs w:val="24"/>
          <w:highlight w:val="none"/>
        </w:rPr>
        <w:t xml:space="preserve">代理机构负责</w:t>
      </w:r>
      <w:r>
        <w:rPr>
          <w:rFonts w:ascii="宋体" w:hAnsi="宋体"/>
          <w:color w:val="000000"/>
          <w:sz w:val="24"/>
          <w:szCs w:val="24"/>
          <w:highlight w:val="none"/>
        </w:rPr>
        <w:t xml:space="preserve">答复。</w:t>
      </w:r>
      <w:r>
        <w:rPr>
          <w:rFonts w:hint="eastAsia" w:ascii="宋体" w:hAnsi="宋体"/>
          <w:b/>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代理机构及</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人只接收以纸质原件形式送达的质疑,建议</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尽量通过邮寄方式提交质疑（</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人和代理机构不接受未填写快递运单的快件）。</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人质疑接收人及联系方式见招标文件第一章。</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 以下情形的质疑不予受理</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28.5.1 内容不符合《政府质疑和投诉办法》第十二条规定的质疑。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28.5.2 超出政府法定期限的质疑。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28.5.3 以传真、电子邮件等方式递交的非原件形式的质疑。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28.5.4 未参加投标活动的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或在投标活动中自身权益未受到损害的</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所提出的质疑。</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28.5.5</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组成联合体参加投标，联合体中任何一方或多方未按要求签字、盖章、加盖公章的质疑。</w:t>
      </w:r>
      <w:r>
        <w:rPr>
          <w:rFonts w:hint="eastAsia" w:ascii="宋体" w:hAnsi="宋体"/>
          <w:color w:val="000000"/>
          <w:sz w:val="24"/>
          <w:szCs w:val="24"/>
          <w:highlight w:val="none"/>
        </w:rPr>
      </w:r>
      <w:r/>
    </w:p>
    <w:p>
      <w:pPr>
        <w:pStyle w:val="1215"/>
        <w:ind w:firstLine="468"/>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28.6 </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提出书面质疑必须有理、有据，不得捏造事实、提供虚假材料进行恶意质疑。否则，一经查实，</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人或代理机构有权依据政府的有关规定，报请政府监管部门对该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进行相应的行政处罚和记录该</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的失信信息。</w:t>
      </w:r>
      <w:r>
        <w:rPr>
          <w:rFonts w:hint="eastAsia" w:ascii="宋体" w:hAnsi="宋体"/>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29、中标通知书</w:t>
      </w:r>
      <w:r>
        <w:rPr>
          <w:rFonts w:hint="eastAsia" w:ascii="黑体" w:hAnsi="宋体"/>
          <w:b w:val="0"/>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29.l</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中标结果确定后，代理机构将向中标人发出中标通知书。请中标人在中标结果公告届满之日起30日内,使用CA数字证书登录苏采云系统及时下载中标通知书。因系统存储空间有限，自中标结果公告届满之日起30日后，苏采云系统不再保证提供下载中标通知书服务,因未及时下载而造成的不利后果由中标人自行承担。</w:t>
      </w:r>
      <w:r>
        <w:rPr>
          <w:rFonts w:hint="eastAsia" w:ascii="宋体" w:hAnsi="宋体"/>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29.</w:t>
      </w:r>
      <w:r>
        <w:rPr>
          <w:rFonts w:ascii="宋体" w:hAnsi="宋体"/>
          <w:color w:val="000000"/>
          <w:sz w:val="24"/>
          <w:szCs w:val="24"/>
          <w:highlight w:val="none"/>
        </w:rPr>
        <w:t xml:space="preserve">2</w:t>
      </w:r>
      <w:r>
        <w:rPr>
          <w:rFonts w:hint="eastAsia" w:ascii="宋体" w:hAnsi="宋体"/>
          <w:color w:val="000000"/>
          <w:sz w:val="24"/>
          <w:szCs w:val="24"/>
          <w:highlight w:val="none"/>
        </w:rPr>
        <w:t xml:space="preserve">中标通知书将是合同的一个组成部分。对</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人和中标人均具有法律效力。中标通知书发出后，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人改变中标结果的，或者中标人放弃中标项目的，应当依法承担法律责任。</w:t>
      </w:r>
      <w:r>
        <w:rPr>
          <w:rFonts w:hint="eastAsia" w:ascii="宋体" w:hAnsi="宋体"/>
          <w:color w:val="000000"/>
          <w:sz w:val="24"/>
          <w:szCs w:val="24"/>
          <w:highlight w:val="none"/>
        </w:rPr>
      </w:r>
      <w:r/>
    </w:p>
    <w:p>
      <w:pPr>
        <w:pStyle w:val="1218"/>
        <w:ind w:firstLine="361"/>
        <w:spacing w:before="120" w:after="120" w:line="440" w:lineRule="exact"/>
        <w:rPr>
          <w:rFonts w:hint="eastAsia"/>
          <w:color w:val="000000"/>
          <w:sz w:val="24"/>
          <w:szCs w:val="24"/>
          <w:highlight w:val="none"/>
        </w:rPr>
      </w:pPr>
      <w:r/>
      <w:bookmarkStart w:id="177" w:name="_Toc120614220"/>
      <w:r/>
      <w:bookmarkStart w:id="178" w:name="_Toc16938552"/>
      <w:r/>
      <w:bookmarkStart w:id="179" w:name="_Toc20823308"/>
      <w:r/>
      <w:bookmarkStart w:id="180" w:name="_Toc513029236"/>
      <w:r>
        <w:rPr>
          <w:rFonts w:hint="eastAsia"/>
          <w:color w:val="000000"/>
          <w:sz w:val="24"/>
          <w:szCs w:val="24"/>
          <w:highlight w:val="none"/>
        </w:rPr>
        <w:t xml:space="preserve">七、授予合同</w:t>
      </w:r>
      <w:bookmarkEnd w:id="177"/>
      <w:r>
        <w:rPr>
          <w:rFonts w:hint="eastAsia"/>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bookmarkEnd w:id="178"/>
      <w:r/>
      <w:bookmarkEnd w:id="179"/>
      <w:r/>
      <w:bookmarkEnd w:id="180"/>
      <w:r/>
      <w:bookmarkStart w:id="181" w:name="_Toc16938553"/>
      <w:r/>
      <w:bookmarkStart w:id="182" w:name="_Toc20823309"/>
      <w:r/>
      <w:bookmarkStart w:id="183" w:name="_Toc513029237"/>
      <w:r>
        <w:rPr>
          <w:rFonts w:hint="eastAsia" w:ascii="黑体" w:hAnsi="宋体"/>
          <w:b w:val="0"/>
          <w:color w:val="000000"/>
          <w:sz w:val="24"/>
          <w:szCs w:val="24"/>
          <w:highlight w:val="none"/>
        </w:rPr>
        <w:t xml:space="preserve">30. 签订合同</w:t>
      </w:r>
      <w:r>
        <w:rPr>
          <w:rFonts w:hint="eastAsia" w:ascii="黑体" w:hAnsi="宋体"/>
          <w:b w:val="0"/>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bCs/>
          <w:color w:val="000000"/>
          <w:sz w:val="24"/>
          <w:szCs w:val="24"/>
          <w:highlight w:val="none"/>
        </w:rPr>
        <w:t xml:space="preserve">30</w:t>
      </w:r>
      <w:r>
        <w:rPr>
          <w:rFonts w:hint="eastAsia" w:ascii="宋体" w:hAnsi="宋体"/>
          <w:color w:val="000000"/>
          <w:sz w:val="24"/>
          <w:szCs w:val="24"/>
          <w:highlight w:val="none"/>
        </w:rPr>
        <w:t xml:space="preserve">.l中标人应当在中标通知书发出之日起十五日内，按照招标文件确定的事项与</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人签订政府合同。</w:t>
      </w:r>
      <w:r>
        <w:rPr>
          <w:rFonts w:hint="eastAsia" w:ascii="宋体" w:hAnsi="宋体"/>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30.2</w:t>
      </w:r>
      <w:r>
        <w:rPr>
          <w:rFonts w:hint="eastAsia" w:ascii="宋体" w:hAnsi="宋体"/>
          <w:b/>
          <w:color w:val="000000"/>
          <w:sz w:val="24"/>
          <w:szCs w:val="24"/>
          <w:highlight w:val="none"/>
        </w:rPr>
        <w:t xml:space="preserve"> </w:t>
      </w:r>
      <w:r>
        <w:rPr>
          <w:rFonts w:hint="eastAsia" w:ascii="宋体" w:hAnsi="宋体"/>
          <w:color w:val="000000"/>
          <w:sz w:val="24"/>
          <w:szCs w:val="24"/>
          <w:highlight w:val="none"/>
        </w:rPr>
        <w:t xml:space="preserve">招标文件、中标人的投标文件及招标过程中有关澄清、承诺文件均应作为合同附件。</w:t>
      </w:r>
      <w:r>
        <w:rPr>
          <w:rFonts w:hint="eastAsia" w:ascii="宋体" w:hAnsi="宋体"/>
          <w:color w:val="000000"/>
          <w:sz w:val="24"/>
          <w:szCs w:val="24"/>
          <w:highlight w:val="none"/>
        </w:rPr>
      </w:r>
      <w:r/>
    </w:p>
    <w:p>
      <w:pPr>
        <w:pStyle w:val="1215"/>
        <w:ind w:firstLine="6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30.3 签订合同后，</w:t>
      </w:r>
      <w:r>
        <w:rPr>
          <w:rFonts w:hint="eastAsia" w:ascii="宋体" w:hAnsi="宋体"/>
          <w:i/>
          <w:color w:val="000000"/>
          <w:sz w:val="24"/>
          <w:szCs w:val="24"/>
          <w:highlight w:val="none"/>
          <w:u w:val="single"/>
        </w:rPr>
        <w:t xml:space="preserve">中标人不得将合同标的进行转包</w:t>
      </w:r>
      <w:r>
        <w:rPr>
          <w:rFonts w:hint="eastAsia" w:ascii="宋体" w:hAnsi="宋体"/>
          <w:color w:val="000000"/>
          <w:sz w:val="24"/>
          <w:szCs w:val="24"/>
          <w:highlight w:val="none"/>
        </w:rPr>
        <w:t xml:space="preserve">。未经</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人同意，中标人也不得采用分包的形式履行合同，否则</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人有权终止合同。转包或分包造成人损失的，中标人应承担相应赔偿责任。</w:t>
      </w:r>
      <w:r>
        <w:rPr>
          <w:rFonts w:hint="eastAsia" w:ascii="宋体" w:hAnsi="宋体"/>
          <w:color w:val="000000"/>
          <w:sz w:val="24"/>
          <w:szCs w:val="24"/>
          <w:highlight w:val="none"/>
        </w:rPr>
      </w:r>
      <w:r/>
    </w:p>
    <w:p>
      <w:pPr>
        <w:pStyle w:val="1219"/>
        <w:ind w:firstLine="480"/>
        <w:spacing w:before="0" w:after="0" w:line="440" w:lineRule="exact"/>
        <w:rPr>
          <w:rFonts w:hint="eastAsia" w:ascii="黑体" w:hAnsi="宋体"/>
          <w:b w:val="0"/>
          <w:color w:val="000000"/>
          <w:sz w:val="24"/>
          <w:szCs w:val="24"/>
          <w:highlight w:val="none"/>
        </w:rPr>
      </w:pPr>
      <w:r>
        <w:rPr>
          <w:rFonts w:hint="eastAsia" w:ascii="黑体" w:hAnsi="宋体"/>
          <w:b w:val="0"/>
          <w:color w:val="000000"/>
          <w:sz w:val="24"/>
          <w:szCs w:val="24"/>
          <w:highlight w:val="none"/>
        </w:rPr>
        <w:t xml:space="preserve">31、服务（包含与服务相关的货物）的追加</w:t>
      </w:r>
      <w:r>
        <w:rPr>
          <w:rFonts w:hint="eastAsia" w:ascii="黑体" w:hAnsi="宋体"/>
          <w:b w:val="0"/>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31.1政府合同履行中，</w:t>
      </w:r>
      <w:r>
        <w:rPr>
          <w:rFonts w:hint="eastAsia" w:ascii="宋体" w:hAnsi="宋体"/>
          <w:color w:val="000000"/>
          <w:sz w:val="24"/>
          <w:highlight w:val="none"/>
        </w:rPr>
        <w:t xml:space="preserve">招标</w:t>
      </w:r>
      <w:r>
        <w:rPr>
          <w:rFonts w:hint="eastAsia" w:ascii="宋体" w:hAnsi="宋体"/>
          <w:color w:val="000000"/>
          <w:sz w:val="24"/>
          <w:szCs w:val="24"/>
          <w:highlight w:val="none"/>
        </w:rPr>
        <w:t xml:space="preserve">人需追加与合同标的相同的服务（包含与服务相关的货物），在不改变合同其他条款的前提下，可以与中标人协商签订补充合同，但所有补充合同的金额不超过原合同金额10%。</w:t>
      </w:r>
      <w:r>
        <w:rPr>
          <w:rFonts w:hint="eastAsia" w:ascii="宋体" w:hAnsi="宋体"/>
          <w:color w:val="000000"/>
          <w:sz w:val="24"/>
          <w:szCs w:val="24"/>
          <w:highlight w:val="none"/>
        </w:rPr>
      </w:r>
      <w:r/>
    </w:p>
    <w:p>
      <w:pPr>
        <w:pStyle w:val="1219"/>
        <w:ind w:firstLine="480"/>
        <w:spacing w:before="0" w:after="0" w:line="440" w:lineRule="exact"/>
        <w:rPr>
          <w:rFonts w:ascii="黑体" w:hAnsi="宋体"/>
          <w:b w:val="0"/>
          <w:color w:val="000000"/>
          <w:sz w:val="24"/>
          <w:szCs w:val="24"/>
          <w:highlight w:val="none"/>
        </w:rPr>
      </w:pPr>
      <w:r/>
      <w:bookmarkEnd w:id="181"/>
      <w:r/>
      <w:bookmarkEnd w:id="182"/>
      <w:r/>
      <w:bookmarkEnd w:id="183"/>
      <w:r/>
      <w:bookmarkStart w:id="184" w:name="_Toc16938558"/>
      <w:r/>
      <w:bookmarkStart w:id="185" w:name="_Toc20823314"/>
      <w:r/>
      <w:bookmarkStart w:id="186" w:name="_Toc120614221"/>
      <w:r/>
      <w:bookmarkStart w:id="187" w:name="_Toc513029242"/>
      <w:r/>
      <w:bookmarkStart w:id="188" w:name="_Toc479757207"/>
      <w:r>
        <w:rPr>
          <w:rFonts w:hint="eastAsia" w:ascii="黑体" w:hAnsi="宋体"/>
          <w:b w:val="0"/>
          <w:color w:val="000000"/>
          <w:sz w:val="24"/>
          <w:szCs w:val="24"/>
          <w:highlight w:val="none"/>
        </w:rPr>
        <w:t xml:space="preserve">32、政府履约资金扶持政策</w:t>
      </w:r>
      <w:r>
        <w:rPr>
          <w:rFonts w:ascii="黑体" w:hAnsi="宋体"/>
          <w:b w:val="0"/>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t xml:space="preserve">中标人可凭政府采购合同办理融资贷款，详情请查阅江苏政府采购网站“政采贷”栏目。</w:t>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rPr>
          <w:rFonts w:hint="eastAsia"/>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p>
    <w:p>
      <w:pPr>
        <w:pStyle w:val="1216"/>
        <w:spacing w:before="120" w:after="120" w:line="440" w:lineRule="exact"/>
        <w:rPr>
          <w:rFonts w:hint="eastAsia" w:ascii="黑体" w:eastAsia="黑体"/>
          <w:bCs/>
          <w:color w:val="000000"/>
          <w:sz w:val="44"/>
          <w:highlight w:val="none"/>
        </w:rPr>
      </w:pPr>
      <w:r>
        <w:rPr>
          <w:rFonts w:hint="eastAsia" w:ascii="黑体" w:eastAsia="黑体"/>
          <w:bCs/>
          <w:color w:val="000000"/>
          <w:sz w:val="32"/>
          <w:szCs w:val="32"/>
          <w:highlight w:val="none"/>
        </w:rPr>
        <w:t xml:space="preserve">第三章  合同</w:t>
      </w:r>
      <w:bookmarkEnd w:id="184"/>
      <w:r/>
      <w:bookmarkEnd w:id="185"/>
      <w:r/>
      <w:bookmarkEnd w:id="186"/>
      <w:r/>
      <w:bookmarkEnd w:id="187"/>
      <w:r/>
      <w:bookmarkEnd w:id="188"/>
      <w:r>
        <w:rPr>
          <w:rFonts w:hint="eastAsia" w:ascii="黑体" w:eastAsia="黑体"/>
          <w:bCs/>
          <w:color w:val="000000"/>
          <w:sz w:val="32"/>
          <w:szCs w:val="32"/>
          <w:highlight w:val="none"/>
        </w:rPr>
        <w:t xml:space="preserve">文本</w:t>
      </w:r>
      <w:r>
        <w:rPr>
          <w:rFonts w:hint="eastAsia" w:ascii="黑体" w:eastAsia="黑体"/>
          <w:bCs/>
          <w:color w:val="000000"/>
          <w:sz w:val="44"/>
          <w:highlight w:val="none"/>
        </w:rPr>
      </w:r>
      <w:r/>
    </w:p>
    <w:p>
      <w:pPr>
        <w:pStyle w:val="1215"/>
        <w:ind w:firstLine="480"/>
        <w:spacing w:line="440" w:lineRule="exact"/>
        <w:rPr>
          <w:rFonts w:hint="eastAsia" w:ascii="宋体" w:hAnsi="宋体"/>
          <w:bCs/>
          <w:color w:val="000000"/>
          <w:sz w:val="24"/>
          <w:highlight w:val="none"/>
        </w:rPr>
      </w:pPr>
      <w:r/>
      <w:bookmarkStart w:id="189" w:name="_Toc20823315"/>
      <w:r/>
      <w:bookmarkStart w:id="190" w:name="_Toc16938559"/>
      <w:r/>
      <w:bookmarkStart w:id="191" w:name="_Toc513029243"/>
      <w:r>
        <w:rPr>
          <w:rFonts w:hint="eastAsia" w:ascii="宋体" w:hAnsi="宋体"/>
          <w:bCs/>
          <w:color w:val="000000"/>
          <w:sz w:val="24"/>
          <w:highlight w:val="none"/>
        </w:rPr>
        <w:t xml:space="preserve">以下为中标后签定本项目合同的通用条款，中标人不得提出实质性的修改。</w:t>
      </w:r>
      <w:r>
        <w:rPr>
          <w:rFonts w:hint="eastAsia" w:ascii="宋体" w:hAnsi="宋体"/>
          <w:bCs/>
          <w:color w:val="000000"/>
          <w:sz w:val="24"/>
          <w:highlight w:val="none"/>
        </w:rPr>
      </w:r>
      <w:r/>
    </w:p>
    <w:p>
      <w:pPr>
        <w:pStyle w:val="1337"/>
        <w:jc w:val="both"/>
        <w:spacing w:before="0" w:beforeAutospacing="0" w:after="0" w:afterAutospacing="0"/>
        <w:widowControl w:val="off"/>
        <w:rPr>
          <w:rFonts w:ascii="仿宋_GB2312" w:eastAsia="仿宋_GB2312" w:cs="仿宋_GB2312"/>
          <w:b/>
          <w:bCs/>
          <w:color w:val="000000"/>
          <w:position w:val="120"/>
          <w:highlight w:val="none"/>
          <w:lang w:val="en-US" w:eastAsia="zh-CN"/>
        </w:rPr>
      </w:pPr>
      <w:r>
        <w:rPr>
          <w:rFonts w:ascii="Times New Roman" w:hAnsi="Times New Roman" w:eastAsia="宋体" w:cs="Times New Roman"/>
          <w:color w:val="000000"/>
          <w:highlight w:val="none"/>
          <w:lang w:bidi="ar"/>
        </w:rPr>
        <mc:AlternateContent>
          <mc:Choice Requires="wpg">
            <w:drawing>
              <wp:anchor xmlns:wp="http://schemas.openxmlformats.org/drawingml/2006/wordprocessingDrawing" xmlns:wp14="http://schemas.microsoft.com/office/word/2010/wordprocessingDrawing" distT="0" distB="0" distL="114300" distR="114300" simplePos="0" relativeHeight="251658241" behindDoc="0" locked="0" layoutInCell="1" allowOverlap="1">
                <wp:simplePos x="0" y="0"/>
                <wp:positionH relativeFrom="column">
                  <wp:posOffset>3642360</wp:posOffset>
                </wp:positionH>
                <wp:positionV relativeFrom="paragraph">
                  <wp:posOffset>-13969</wp:posOffset>
                </wp:positionV>
                <wp:extent cx="1952625" cy="647700"/>
                <wp:effectExtent l="0" t="0" r="0" b="0"/>
                <wp:wrapNone/>
                <wp:docPr id="14" name=""/>
                <wp:cNvGraphicFramePr/>
                <a:graphic xmlns:a="http://schemas.openxmlformats.org/drawingml/2006/main">
                  <a:graphicData uri="http://schemas.microsoft.com/office/word/2010/wordprocessingShape">
                    <wps:wsp>
                      <wps:cNvPr id="0" name=""/>
                      <wps:cNvSpPr txBox="1"/>
                      <wps:spPr bwMode="auto">
                        <a:xfrm>
                          <a:off x="0" y="0"/>
                          <a:ext cx="1952625" cy="647700"/>
                        </a:xfrm>
                        <a:prstGeom prst="rect">
                          <a:avLst/>
                        </a:prstGeom>
                        <a:solidFill>
                          <a:srgbClr val="FFFFFF"/>
                        </a:solidFill>
                        <a:ln>
                          <a:solidFill>
                            <a:srgbClr val="000000"/>
                          </a:solidFill>
                        </a:ln>
                      </wps:spPr>
                      <wps:txbx>
                        <w:txbxContent>
                          <w:p>
                            <w:pPr>
                              <w:pStyle w:val="1337"/>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3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15"/>
                            </w:pPr>
                            <w:r/>
                            <w:r/>
                          </w:p>
                        </w:txbxContent>
                      </wps:txbx>
                      <wps:bodyPr wrap="square" upright="1"/>
                    </wps:wsp>
                  </a:graphicData>
                </a:graphic>
              </wp:anchor>
            </w:drawing>
          </mc:Choice>
          <mc:Fallback>
            <w:pict>
              <v:shape id="shape 13" o:spid="_x0000_s13" o:spt="202" type="#_x0000_t202" style="position:absolute;z-index:251658241;o:allowoverlap:true;o:allowincell:true;mso-position-horizontal-relative:text;margin-left:286.8pt;mso-position-horizontal:absolute;mso-position-vertical-relative:text;margin-top:-1.1pt;mso-position-vertical:absolute;width:153.8pt;height:51.0pt;mso-wrap-distance-left:9.0pt;mso-wrap-distance-top:0.0pt;mso-wrap-distance-right:9.0pt;mso-wrap-distance-bottom:0.0pt;visibility:visible;" fillcolor="#FFFFFF" strokecolor="#000000">
                <v:textbox inset="0,0,0,0">
                  <w:txbxContent>
                    <w:p>
                      <w:pPr>
                        <w:pStyle w:val="1337"/>
                        <w:jc w:val="center"/>
                        <w:spacing w:before="0" w:beforeAutospacing="0" w:after="0" w:afterAutospacing="0"/>
                        <w:widowControl w:val="off"/>
                        <w:rPr>
                          <w:rFonts w:hint="eastAsia" w:eastAsia="宋体"/>
                        </w:rPr>
                      </w:pPr>
                      <w:r>
                        <w:rPr>
                          <w:rFonts w:hint="eastAsia" w:eastAsia="宋体"/>
                          <w:lang w:bidi="ar"/>
                        </w:rPr>
                        <w:t xml:space="preserve">合同备案章</w:t>
                      </w:r>
                      <w:r>
                        <w:rPr>
                          <w:rFonts w:hint="eastAsia" w:eastAsia="宋体"/>
                        </w:rPr>
                      </w:r>
                      <w:r/>
                    </w:p>
                    <w:p>
                      <w:pPr>
                        <w:pStyle w:val="1337"/>
                        <w:jc w:val="center"/>
                        <w:spacing w:before="0" w:beforeAutospacing="0" w:after="0" w:afterAutospacing="0"/>
                        <w:widowControl w:val="off"/>
                        <w:rPr>
                          <w:rFonts w:hint="eastAsia" w:ascii="仿宋_GB2312" w:hAnsi="Cambria" w:eastAsia="仿宋_GB2312" w:cs="仿宋_GB2312"/>
                        </w:rPr>
                      </w:pPr>
                      <w:r>
                        <w:rPr>
                          <w:rFonts w:hint="eastAsia" w:ascii="仿宋_GB2312" w:hAnsi="Cambria" w:eastAsia="仿宋_GB2312" w:cs="仿宋_GB2312"/>
                        </w:rPr>
                      </w:r>
                      <w:r/>
                    </w:p>
                    <w:p>
                      <w:pPr>
                        <w:pStyle w:val="1215"/>
                      </w:pPr>
                      <w:r/>
                      <w:r/>
                    </w:p>
                  </w:txbxContent>
                </v:textbox>
              </v:shape>
            </w:pict>
          </mc:Fallback>
        </mc:AlternateContent>
      </w:r>
      <w:r>
        <w:rPr>
          <w:rFonts w:hint="eastAsia" w:ascii="仿宋_GB2312" w:eastAsia="仿宋_GB2312" w:cs="仿宋_GB2312"/>
          <w:b/>
          <w:bCs/>
          <w:color w:val="000000"/>
          <w:position w:val="120"/>
          <w:highlight w:val="none"/>
        </w:rPr>
        <w:t xml:space="preserve">合同编号：YZCJJ</w:t>
      </w:r>
      <w:r>
        <w:rPr>
          <w:rFonts w:hint="eastAsia" w:ascii="仿宋_GB2312" w:eastAsia="仿宋_GB2312" w:cs="仿宋_GB2312"/>
          <w:b/>
          <w:bCs/>
          <w:color w:val="000000"/>
          <w:position w:val="120"/>
          <w:highlight w:val="none"/>
          <w:lang w:eastAsia="zh-CN"/>
        </w:rPr>
        <w:t xml:space="preserve">2026</w:t>
      </w:r>
      <w:r>
        <w:rPr>
          <w:rFonts w:hint="eastAsia" w:ascii="仿宋_GB2312" w:eastAsia="仿宋_GB2312" w:cs="仿宋_GB2312"/>
          <w:b/>
          <w:bCs/>
          <w:color w:val="000000"/>
          <w:position w:val="120"/>
          <w:highlight w:val="none"/>
        </w:rPr>
        <w:t xml:space="preserve">-0</w:t>
      </w:r>
      <w:r>
        <w:rPr>
          <w:rFonts w:hint="eastAsia" w:ascii="仿宋_GB2312" w:eastAsia="仿宋_GB2312" w:cs="仿宋_GB2312"/>
          <w:b/>
          <w:bCs/>
          <w:color w:val="000000"/>
          <w:position w:val="120"/>
          <w:highlight w:val="none"/>
          <w:lang w:val="en-US" w:eastAsia="zh-CN"/>
        </w:rPr>
        <w:t xml:space="preserve">x</w:t>
      </w:r>
      <w:r>
        <w:rPr>
          <w:rFonts w:hint="eastAsia" w:ascii="仿宋_GB2312" w:eastAsia="仿宋_GB2312" w:cs="仿宋_GB2312"/>
          <w:b/>
          <w:bCs/>
          <w:color w:val="000000"/>
          <w:position w:val="120"/>
          <w:highlight w:val="none"/>
          <w:lang w:val="en-US" w:eastAsia="zh-CN"/>
        </w:rPr>
        <w:t xml:space="preserve">x</w:t>
      </w:r>
      <w:r>
        <w:rPr>
          <w:rFonts w:ascii="仿宋_GB2312" w:eastAsia="仿宋_GB2312" w:cs="仿宋_GB2312"/>
          <w:b/>
          <w:bCs/>
          <w:color w:val="000000"/>
          <w:position w:val="120"/>
          <w:highlight w:val="none"/>
          <w:lang w:val="en-US" w:eastAsia="zh-CN"/>
        </w:rPr>
      </w:r>
      <w:r/>
    </w:p>
    <w:p>
      <w:pPr>
        <w:pStyle w:val="1337"/>
        <w:jc w:val="center"/>
        <w:spacing w:before="600" w:beforeAutospacing="0" w:after="1200" w:afterAutospacing="0"/>
        <w:widowControl w:val="off"/>
        <w:rPr>
          <w:rFonts w:hint="eastAsia" w:ascii="黑体" w:eastAsia="黑体" w:cs="黑体"/>
          <w:b/>
          <w:bCs/>
          <w:color w:val="000000"/>
          <w:sz w:val="72"/>
          <w:szCs w:val="72"/>
          <w:highlight w:val="none"/>
          <w:lang w:bidi="ar"/>
        </w:rPr>
      </w:pPr>
      <w:r>
        <w:rPr>
          <w:rFonts w:hint="eastAsia" w:ascii="黑体" w:eastAsia="黑体" w:cs="黑体"/>
          <w:b/>
          <w:bCs/>
          <w:color w:val="000000"/>
          <w:sz w:val="72"/>
          <w:szCs w:val="72"/>
          <w:highlight w:val="none"/>
          <w:lang w:bidi="ar"/>
        </w:rPr>
        <w:t xml:space="preserve">扬中市政府</w:t>
      </w:r>
      <w:r>
        <w:rPr>
          <w:rFonts w:hint="eastAsia" w:ascii="黑体" w:eastAsia="黑体" w:cs="黑体"/>
          <w:b/>
          <w:bCs/>
          <w:color w:val="000000"/>
          <w:sz w:val="72"/>
          <w:szCs w:val="72"/>
          <w:highlight w:val="none"/>
          <w:lang w:eastAsia="zh-CN" w:bidi="ar"/>
        </w:rPr>
        <w:t xml:space="preserve">采购</w:t>
      </w:r>
      <w:r>
        <w:rPr>
          <w:rFonts w:hint="eastAsia" w:ascii="黑体" w:eastAsia="黑体" w:cs="黑体"/>
          <w:b/>
          <w:bCs/>
          <w:color w:val="000000"/>
          <w:sz w:val="72"/>
          <w:szCs w:val="72"/>
          <w:highlight w:val="none"/>
          <w:lang w:bidi="ar"/>
        </w:rPr>
        <w:t xml:space="preserve">合同</w:t>
      </w:r>
      <w:r>
        <w:rPr>
          <w:rFonts w:hint="eastAsia" w:ascii="黑体" w:eastAsia="黑体" w:cs="黑体"/>
          <w:b/>
          <w:bCs/>
          <w:color w:val="000000"/>
          <w:sz w:val="72"/>
          <w:szCs w:val="72"/>
          <w:highlight w:val="none"/>
          <w:lang w:bidi="ar"/>
        </w:rPr>
      </w:r>
      <w:r/>
    </w:p>
    <w:p>
      <w:pPr>
        <w:pStyle w:val="1337"/>
        <w:ind w:firstLine="960"/>
        <w:jc w:val="both"/>
        <w:spacing w:before="0" w:beforeAutospacing="0" w:after="0" w:afterAutospacing="0" w:line="840" w:lineRule="auto"/>
        <w:widowControl w:val="off"/>
        <w:rPr>
          <w:rFonts w:hint="eastAsia" w:ascii="黑体" w:eastAsia="黑体" w:cs="黑体"/>
          <w:color w:val="000000"/>
          <w:sz w:val="32"/>
          <w:szCs w:val="32"/>
          <w:highlight w:val="none"/>
          <w:u w:val="single"/>
        </w:rPr>
      </w:pPr>
      <w:r>
        <w:rPr>
          <w:rFonts w:hint="eastAsia" w:ascii="黑体" w:eastAsia="黑体" w:cs="黑体"/>
          <w:color w:val="000000"/>
          <w:sz w:val="32"/>
          <w:szCs w:val="32"/>
          <w:highlight w:val="none"/>
          <w:lang w:bidi="ar"/>
        </w:rPr>
        <w:t xml:space="preserve">项目名称：</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u w:val="single"/>
        </w:rPr>
      </w:r>
      <w:r/>
    </w:p>
    <w:p>
      <w:pPr>
        <w:pStyle w:val="1337"/>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项目编号：</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37"/>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招标人：</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37"/>
        <w:ind w:firstLine="960"/>
        <w:spacing w:before="0" w:beforeAutospacing="0" w:after="0" w:afterAutospacing="0" w:line="840" w:lineRule="auto"/>
        <w:widowControl w:val="off"/>
        <w:rPr>
          <w:rFonts w:hint="eastAsia" w:ascii="黑体" w:eastAsia="黑体" w:cs="黑体"/>
          <w:color w:val="000000"/>
          <w:sz w:val="32"/>
          <w:szCs w:val="32"/>
          <w:highlight w:val="none"/>
        </w:rPr>
      </w:pPr>
      <w:r>
        <w:rPr>
          <w:rFonts w:hint="eastAsia" w:ascii="黑体" w:eastAsia="黑体" w:cs="黑体"/>
          <w:color w:val="000000"/>
          <w:sz w:val="32"/>
          <w:szCs w:val="32"/>
          <w:highlight w:val="none"/>
          <w:lang w:bidi="ar"/>
        </w:rPr>
        <w:t xml:space="preserve">中标单位：</w:t>
      </w:r>
      <w:r>
        <w:rPr>
          <w:rFonts w:hint="eastAsia" w:ascii="黑体" w:eastAsia="黑体" w:cs="黑体"/>
          <w:color w:val="000000"/>
          <w:sz w:val="32"/>
          <w:szCs w:val="32"/>
          <w:highlight w:val="none"/>
          <w:u w:val="single"/>
          <w:lang w:bidi="ar"/>
        </w:rPr>
        <w:t xml:space="preserve">                                    </w:t>
      </w:r>
      <w:r>
        <w:rPr>
          <w:rFonts w:hint="eastAsia" w:ascii="黑体" w:eastAsia="黑体" w:cs="黑体"/>
          <w:color w:val="000000"/>
          <w:sz w:val="32"/>
          <w:szCs w:val="32"/>
          <w:highlight w:val="none"/>
        </w:rPr>
      </w:r>
      <w:r/>
    </w:p>
    <w:p>
      <w:pPr>
        <w:pStyle w:val="1337"/>
        <w:jc w:val="both"/>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337"/>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r>
      <w:r/>
    </w:p>
    <w:p>
      <w:pPr>
        <w:pStyle w:val="1337"/>
        <w:jc w:val="center"/>
        <w:spacing w:before="0" w:beforeAutospacing="0" w:after="0" w:afterAutospacing="0" w:line="360" w:lineRule="auto"/>
        <w:widowControl w:val="off"/>
        <w:rPr>
          <w:rFonts w:hint="eastAsia" w:ascii="黑体" w:eastAsia="黑体" w:cs="黑体"/>
          <w:color w:val="000000"/>
          <w:sz w:val="32"/>
          <w:szCs w:val="32"/>
          <w:highlight w:val="none"/>
          <w:lang w:bidi="ar"/>
        </w:rPr>
      </w:pPr>
      <w:r>
        <w:rPr>
          <w:rFonts w:hint="eastAsia" w:ascii="黑体" w:eastAsia="黑体" w:cs="黑体"/>
          <w:color w:val="000000"/>
          <w:sz w:val="32"/>
          <w:szCs w:val="32"/>
          <w:highlight w:val="none"/>
          <w:lang w:bidi="ar"/>
        </w:rPr>
        <w:t xml:space="preserve">江苏金居工程项目管理有限公司</w:t>
      </w:r>
      <w:r>
        <w:rPr>
          <w:rFonts w:hint="eastAsia" w:ascii="黑体" w:eastAsia="黑体" w:cs="黑体"/>
          <w:color w:val="000000"/>
          <w:sz w:val="32"/>
          <w:szCs w:val="32"/>
          <w:highlight w:val="none"/>
          <w:lang w:bidi="ar"/>
        </w:rPr>
      </w:r>
      <w:r/>
    </w:p>
    <w:p>
      <w:pPr>
        <w:pStyle w:val="1337"/>
        <w:jc w:val="center"/>
        <w:spacing w:before="0" w:beforeAutospacing="0" w:after="0" w:afterAutospacing="0" w:line="360" w:lineRule="auto"/>
        <w:widowControl w:val="off"/>
        <w:rPr>
          <w:b/>
          <w:bCs/>
          <w:color w:val="000000"/>
          <w:sz w:val="32"/>
          <w:szCs w:val="32"/>
          <w:highlight w:val="none"/>
        </w:rPr>
      </w:pPr>
      <w:r>
        <w:rPr>
          <w:rFonts w:hint="eastAsia" w:ascii="黑体" w:eastAsia="黑体" w:cs="黑体"/>
          <w:color w:val="000000"/>
          <w:sz w:val="32"/>
          <w:szCs w:val="32"/>
          <w:highlight w:val="none"/>
          <w:lang w:bidi="ar"/>
        </w:rPr>
        <w:t xml:space="preserve">二○二</w:t>
      </w:r>
      <w:r>
        <w:rPr>
          <w:rFonts w:hint="eastAsia" w:ascii="黑体" w:eastAsia="黑体" w:cs="黑体"/>
          <w:color w:val="000000"/>
          <w:sz w:val="32"/>
          <w:szCs w:val="32"/>
          <w:highlight w:val="none"/>
          <w:lang w:eastAsia="zh-CN" w:bidi="ar"/>
        </w:rPr>
        <w:t xml:space="preserve">六</w:t>
      </w:r>
      <w:r>
        <w:rPr>
          <w:rFonts w:hint="eastAsia" w:ascii="黑体" w:eastAsia="黑体" w:cs="黑体"/>
          <w:color w:val="000000"/>
          <w:sz w:val="32"/>
          <w:szCs w:val="32"/>
          <w:highlight w:val="none"/>
          <w:lang w:bidi="ar"/>
        </w:rPr>
        <w:t xml:space="preserve">年  月    日</w:t>
      </w:r>
      <w:r>
        <w:rPr>
          <w:b/>
          <w:bCs/>
          <w:color w:val="000000"/>
          <w:sz w:val="32"/>
          <w:szCs w:val="32"/>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r>
      <w:r/>
    </w:p>
    <w:p>
      <w:pPr>
        <w:pStyle w:val="1253"/>
        <w:spacing w:line="440" w:lineRule="exact"/>
        <w:rPr>
          <w:rFonts w:hint="eastAsia" w:hAnsi="宋体" w:eastAsia="宋体"/>
          <w:color w:val="000000"/>
          <w:sz w:val="24"/>
          <w:szCs w:val="24"/>
          <w:highlight w:val="none"/>
          <w:lang w:eastAsia="zh-CN"/>
        </w:rPr>
      </w:pPr>
      <w:r>
        <w:rPr>
          <w:rFonts w:hAnsi="宋体"/>
          <w:color w:val="000000"/>
          <w:sz w:val="24"/>
          <w:szCs w:val="24"/>
          <w:highlight w:val="none"/>
        </w:rPr>
        <w:t xml:space="preserve">项目名称：</w:t>
      </w:r>
      <w:r>
        <w:rPr>
          <w:rFonts w:hint="eastAsia" w:hAnsi="宋体"/>
          <w:color w:val="000000"/>
          <w:sz w:val="24"/>
          <w:szCs w:val="24"/>
          <w:highlight w:val="none"/>
          <w:lang w:eastAsia="zh-CN"/>
        </w:rPr>
        <w:t xml:space="preserve">扬中市人民医院X射线计算机体层摄影设备（CT）采购项目</w:t>
      </w:r>
      <w:r>
        <w:rPr>
          <w:rFonts w:hint="eastAsia" w:hAnsi="宋体" w:eastAsia="宋体"/>
          <w:color w:val="000000"/>
          <w:sz w:val="24"/>
          <w:szCs w:val="24"/>
          <w:highlight w:val="none"/>
          <w:lang w:eastAsia="zh-CN"/>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JSZC-321182-JJGS-G2026-0015</w:t>
      </w:r>
      <w:r>
        <w:rPr>
          <w:rFonts w:hint="eastAsia" w:hAnsi="宋体"/>
          <w:color w:val="000000"/>
          <w:sz w:val="24"/>
          <w:szCs w:val="24"/>
          <w:highlight w:val="none"/>
        </w:rPr>
        <w:t xml:space="preserve">    </w:t>
      </w:r>
      <w:r>
        <w:rPr>
          <w:rFonts w:hAnsi="宋体"/>
          <w:color w:val="000000"/>
          <w:sz w:val="24"/>
          <w:szCs w:val="24"/>
          <w:highlight w:val="none"/>
        </w:rPr>
      </w:r>
      <w:r/>
    </w:p>
    <w:p>
      <w:pPr>
        <w:pStyle w:val="1253"/>
        <w:spacing w:line="440" w:lineRule="exact"/>
        <w:rPr>
          <w:rFonts w:hint="eastAsia" w:hAnsi="宋体" w:eastAsia="宋体"/>
          <w:color w:val="000000"/>
          <w:sz w:val="24"/>
          <w:szCs w:val="24"/>
          <w:highlight w:val="none"/>
          <w:u w:val="single"/>
          <w:lang w:eastAsia="zh-CN"/>
        </w:rPr>
      </w:pPr>
      <w:r>
        <w:rPr>
          <w:rFonts w:hAnsi="宋体"/>
          <w:color w:val="000000"/>
          <w:sz w:val="24"/>
          <w:szCs w:val="24"/>
          <w:highlight w:val="none"/>
        </w:rPr>
        <w:t xml:space="preserve">甲方：（买方）</w:t>
      </w:r>
      <w:r>
        <w:rPr>
          <w:rFonts w:hint="eastAsia" w:hAnsi="宋体"/>
          <w:color w:val="000000"/>
          <w:sz w:val="24"/>
          <w:szCs w:val="24"/>
          <w:highlight w:val="none"/>
          <w:u w:val="single"/>
          <w:lang w:eastAsia="zh-CN"/>
        </w:rPr>
        <w:t xml:space="preserve">扬中市人民医院</w:t>
      </w:r>
      <w:r>
        <w:rPr>
          <w:rFonts w:hint="eastAsia" w:hAnsi="宋体" w:eastAsia="宋体"/>
          <w:color w:val="000000"/>
          <w:sz w:val="24"/>
          <w:szCs w:val="24"/>
          <w:highlight w:val="none"/>
          <w:u w:val="single"/>
          <w:lang w:eastAsia="zh-CN"/>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乙方：（卖方）________</w:t>
      </w:r>
      <w:r>
        <w:rPr>
          <w:rFonts w:hAnsi="宋体"/>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   </w:t>
      </w:r>
      <w:r>
        <w:rPr>
          <w:rFonts w:hAnsi="宋体"/>
          <w:color w:val="000000"/>
          <w:sz w:val="24"/>
          <w:szCs w:val="24"/>
          <w:highlight w:val="none"/>
        </w:rPr>
        <w:t xml:space="preserve">甲、乙双方根据</w:t>
      </w:r>
      <w:r>
        <w:rPr>
          <w:rFonts w:hint="eastAsia" w:hAnsi="宋体"/>
          <w:color w:val="000000"/>
          <w:sz w:val="24"/>
          <w:szCs w:val="24"/>
          <w:highlight w:val="none"/>
          <w:u w:val="single"/>
        </w:rPr>
        <w:t xml:space="preserve"> </w:t>
      </w:r>
      <w:r>
        <w:rPr>
          <w:rFonts w:hint="eastAsia" w:hAnsi="宋体"/>
          <w:color w:val="000000"/>
          <w:sz w:val="24"/>
          <w:szCs w:val="24"/>
          <w:highlight w:val="none"/>
          <w:u w:val="single"/>
          <w:lang w:eastAsia="zh-CN"/>
        </w:rPr>
        <w:t xml:space="preserve">扬中市人民医院X射线计算机体层摄影设备（CT）采购项目</w:t>
      </w:r>
      <w:r>
        <w:rPr>
          <w:rFonts w:hint="eastAsia" w:hAnsi="宋体"/>
          <w:color w:val="000000"/>
          <w:sz w:val="24"/>
          <w:szCs w:val="24"/>
          <w:highlight w:val="none"/>
        </w:rPr>
        <w:t xml:space="preserve">（项目编号：</w:t>
      </w:r>
      <w:r>
        <w:rPr>
          <w:rFonts w:hint="eastAsia" w:hAnsi="宋体"/>
          <w:color w:val="000000"/>
          <w:sz w:val="24"/>
          <w:szCs w:val="24"/>
          <w:highlight w:val="none"/>
          <w:lang w:eastAsia="zh-CN"/>
        </w:rPr>
        <w:t xml:space="preserve">JSZC-321182-JJGS-G2026-0015</w:t>
      </w:r>
      <w:r>
        <w:rPr>
          <w:rFonts w:hint="eastAsia" w:hAnsi="宋体"/>
          <w:color w:val="000000"/>
          <w:sz w:val="24"/>
          <w:szCs w:val="24"/>
          <w:highlight w:val="none"/>
        </w:rPr>
        <w:t xml:space="preserve">）</w:t>
      </w:r>
      <w:r>
        <w:rPr>
          <w:rFonts w:hAnsi="宋体"/>
          <w:color w:val="000000"/>
          <w:sz w:val="24"/>
          <w:szCs w:val="24"/>
          <w:highlight w:val="none"/>
        </w:rPr>
        <w:t xml:space="preserve">公开招标的结果，签署本合同。</w:t>
      </w:r>
      <w:r>
        <w:rPr>
          <w:rFonts w:hAnsi="宋体"/>
          <w:b/>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一、</w:t>
      </w:r>
      <w:r>
        <w:rPr>
          <w:rFonts w:hint="eastAsia" w:hAnsi="宋体"/>
          <w:b/>
          <w:color w:val="000000"/>
          <w:sz w:val="24"/>
          <w:szCs w:val="24"/>
          <w:highlight w:val="none"/>
        </w:rPr>
        <w:t xml:space="preserve">合同</w:t>
      </w:r>
      <w:r>
        <w:rPr>
          <w:rFonts w:hAnsi="宋体"/>
          <w:b/>
          <w:color w:val="000000"/>
          <w:sz w:val="24"/>
          <w:szCs w:val="24"/>
          <w:highlight w:val="none"/>
        </w:rPr>
        <w:t xml:space="preserve">内容</w:t>
      </w:r>
      <w:r>
        <w:rPr>
          <w:rFonts w:hAnsi="宋体"/>
          <w:b/>
          <w:color w:val="000000"/>
          <w:sz w:val="24"/>
          <w:szCs w:val="24"/>
          <w:highlight w:val="none"/>
        </w:rPr>
      </w:r>
      <w:r/>
    </w:p>
    <w:p>
      <w:pPr>
        <w:pStyle w:val="1253"/>
        <w:ind w:firstLine="480"/>
        <w:spacing w:line="440" w:lineRule="exact"/>
        <w:rPr>
          <w:rFonts w:hAnsi="宋体"/>
          <w:color w:val="000000"/>
          <w:sz w:val="24"/>
          <w:szCs w:val="24"/>
          <w:highlight w:val="none"/>
        </w:rPr>
      </w:pPr>
      <w:r>
        <w:rPr>
          <w:rFonts w:hAnsi="宋体"/>
          <w:color w:val="000000"/>
          <w:sz w:val="24"/>
          <w:szCs w:val="24"/>
          <w:highlight w:val="none"/>
        </w:rPr>
        <w:t xml:space="preserve">1.1 </w:t>
      </w:r>
      <w:r>
        <w:rPr>
          <w:rFonts w:hint="eastAsia" w:hAnsi="宋体"/>
          <w:color w:val="000000"/>
          <w:sz w:val="24"/>
          <w:szCs w:val="24"/>
          <w:highlight w:val="none"/>
        </w:rPr>
        <w:t xml:space="preserve">标的</w:t>
      </w:r>
      <w:r>
        <w:rPr>
          <w:rFonts w:hAnsi="宋体"/>
          <w:color w:val="000000"/>
          <w:sz w:val="24"/>
          <w:szCs w:val="24"/>
          <w:highlight w:val="none"/>
        </w:rPr>
        <w:t xml:space="preserve">名称：</w:t>
      </w:r>
      <w:r>
        <w:rPr>
          <w:rFonts w:hint="eastAsia" w:hAnsi="宋体"/>
          <w:color w:val="000000"/>
          <w:sz w:val="24"/>
          <w:szCs w:val="24"/>
          <w:highlight w:val="none"/>
          <w:lang w:eastAsia="zh-CN"/>
        </w:rPr>
        <w:t xml:space="preserve">扬中市人民医院X射线计算机体层摄影设备（CT）采购项目</w:t>
      </w:r>
      <w:r>
        <w:rPr>
          <w:rFonts w:hint="eastAsia" w:hAnsi="宋体"/>
          <w:color w:val="000000"/>
          <w:sz w:val="24"/>
          <w:szCs w:val="24"/>
          <w:highlight w:val="none"/>
        </w:rPr>
        <w:t xml:space="preserve">；</w:t>
      </w:r>
      <w:r>
        <w:rPr>
          <w:rFonts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Ansi="宋体"/>
          <w:color w:val="000000"/>
          <w:sz w:val="24"/>
          <w:szCs w:val="24"/>
          <w:highlight w:val="none"/>
        </w:rPr>
        <w:t xml:space="preserve">1.2</w:t>
      </w:r>
      <w:r>
        <w:rPr>
          <w:rFonts w:hint="eastAsia" w:hAnsi="宋体"/>
          <w:color w:val="000000"/>
          <w:sz w:val="24"/>
          <w:szCs w:val="24"/>
          <w:highlight w:val="none"/>
        </w:rPr>
        <w:t xml:space="preserve">标的质量：合格；</w:t>
      </w:r>
      <w:r>
        <w:rPr>
          <w:rFonts w:hint="eastAsia"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1.3 标的数量（规模）：具体详见需求；</w:t>
      </w:r>
      <w:r>
        <w:rPr>
          <w:rFonts w:hint="eastAsia"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1.4 履行时间（期限）：        ；</w:t>
      </w:r>
      <w:r>
        <w:rPr>
          <w:rFonts w:hint="eastAsia" w:hAnsi="宋体"/>
          <w:color w:val="000000"/>
          <w:sz w:val="24"/>
          <w:szCs w:val="24"/>
          <w:highlight w:val="none"/>
        </w:rPr>
      </w:r>
      <w:r/>
    </w:p>
    <w:p>
      <w:pPr>
        <w:pStyle w:val="1253"/>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1.5 履行地点：扬中市；</w:t>
      </w:r>
      <w:r>
        <w:rPr>
          <w:rFonts w:hAnsi="宋体"/>
          <w:color w:val="000000"/>
          <w:sz w:val="24"/>
          <w:szCs w:val="24"/>
          <w:highlight w:val="none"/>
        </w:rPr>
      </w:r>
      <w:r/>
    </w:p>
    <w:p>
      <w:pPr>
        <w:pStyle w:val="1253"/>
        <w:ind w:firstLine="48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6质保期限：自设备验收之日起</w:t>
      </w:r>
      <w:r>
        <w:rPr>
          <w:rFonts w:hint="eastAsia" w:hAnsi="宋体"/>
          <w:color w:val="000000"/>
          <w:sz w:val="24"/>
          <w:szCs w:val="24"/>
          <w:highlight w:val="none"/>
          <w:lang w:val="en-US" w:eastAsia="zh-CN"/>
        </w:rPr>
        <w:t xml:space="preserve">    </w:t>
      </w:r>
      <w:r>
        <w:rPr>
          <w:rFonts w:hint="eastAsia" w:hAnsi="宋体"/>
          <w:color w:val="000000"/>
          <w:sz w:val="24"/>
          <w:szCs w:val="24"/>
          <w:highlight w:val="none"/>
        </w:rPr>
        <w:t xml:space="preserve">年；</w:t>
      </w:r>
      <w:r>
        <w:rPr>
          <w:rFonts w:hAnsi="宋体"/>
          <w:color w:val="000000"/>
          <w:sz w:val="24"/>
          <w:szCs w:val="24"/>
          <w:highlight w:val="none"/>
        </w:rPr>
      </w:r>
      <w:r/>
    </w:p>
    <w:p>
      <w:pPr>
        <w:pStyle w:val="1253"/>
        <w:ind w:firstLine="480"/>
        <w:spacing w:line="440" w:lineRule="exact"/>
        <w:rPr>
          <w:rFonts w:hint="eastAsia" w:hAnsi="宋体"/>
          <w:color w:val="000000"/>
          <w:sz w:val="24"/>
          <w:szCs w:val="24"/>
          <w:highlight w:val="none"/>
        </w:rPr>
      </w:pPr>
      <w:r>
        <w:rPr>
          <w:rFonts w:hint="eastAsia" w:hAnsi="宋体"/>
          <w:color w:val="000000"/>
          <w:sz w:val="24"/>
          <w:szCs w:val="24"/>
          <w:highlight w:val="none"/>
        </w:rPr>
        <w:t xml:space="preserve">1.7履行方式：详见合同、招标文件、投标文件等。</w:t>
      </w:r>
      <w:r>
        <w:rPr>
          <w:rFonts w:hint="eastAsia" w:hAnsi="宋体"/>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二、合同金额</w:t>
      </w:r>
      <w:r>
        <w:rPr>
          <w:rFonts w:hAnsi="宋体"/>
          <w:b/>
          <w:color w:val="000000"/>
          <w:sz w:val="24"/>
          <w:szCs w:val="24"/>
          <w:highlight w:val="none"/>
        </w:rPr>
      </w:r>
      <w:r/>
    </w:p>
    <w:p>
      <w:pPr>
        <w:pStyle w:val="1253"/>
        <w:ind w:left="479" w:firstLine="69"/>
        <w:spacing w:line="440" w:lineRule="exact"/>
        <w:rPr>
          <w:rFonts w:hint="eastAsia" w:hAnsi="宋体"/>
          <w:color w:val="000000"/>
          <w:sz w:val="24"/>
          <w:szCs w:val="24"/>
          <w:highlight w:val="none"/>
        </w:rPr>
      </w:pPr>
      <w:r>
        <w:rPr>
          <w:rFonts w:hAnsi="宋体"/>
          <w:color w:val="000000"/>
          <w:sz w:val="24"/>
          <w:szCs w:val="24"/>
          <w:highlight w:val="none"/>
        </w:rPr>
        <w:t xml:space="preserve">2.1 本合同金额为（大写）：____________________________________</w:t>
      </w:r>
      <w:r>
        <w:rPr>
          <w:rFonts w:hint="eastAsia" w:hAnsi="宋体"/>
          <w:color w:val="000000"/>
          <w:sz w:val="24"/>
          <w:szCs w:val="24"/>
          <w:highlight w:val="none"/>
        </w:rPr>
        <w:t xml:space="preserve">圆</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（_______________元）人民币</w:t>
      </w:r>
      <w:r>
        <w:rPr>
          <w:rFonts w:hint="eastAsia" w:hAnsi="宋体"/>
          <w:color w:val="000000"/>
          <w:sz w:val="24"/>
          <w:szCs w:val="24"/>
          <w:highlight w:val="none"/>
        </w:rPr>
        <w:t xml:space="preserve">或其他币种</w:t>
      </w:r>
      <w:r>
        <w:rPr>
          <w:rFonts w:hAnsi="宋体"/>
          <w:color w:val="000000"/>
          <w:sz w:val="24"/>
          <w:szCs w:val="24"/>
          <w:highlight w:val="none"/>
        </w:rPr>
        <w:t xml:space="preserve">。</w:t>
      </w:r>
      <w:r>
        <w:rPr>
          <w:rFonts w:hAnsi="宋体"/>
          <w:color w:val="000000"/>
          <w:sz w:val="24"/>
          <w:szCs w:val="24"/>
          <w:highlight w:val="none"/>
        </w:rPr>
      </w:r>
      <w:r/>
    </w:p>
    <w:p>
      <w:pPr>
        <w:pStyle w:val="1253"/>
        <w:ind w:firstLine="480"/>
        <w:spacing w:line="440" w:lineRule="exact"/>
        <w:rPr>
          <w:rFonts w:hAnsi="宋体"/>
          <w:color w:val="000000"/>
          <w:sz w:val="24"/>
          <w:szCs w:val="24"/>
          <w:highlight w:val="none"/>
        </w:rPr>
      </w:pPr>
      <w:r>
        <w:rPr>
          <w:rFonts w:hint="eastAsia" w:hAnsi="宋体"/>
          <w:color w:val="000000"/>
          <w:sz w:val="24"/>
          <w:szCs w:val="24"/>
          <w:highlight w:val="none"/>
        </w:rPr>
        <w:t xml:space="preserve">2.2</w:t>
      </w:r>
      <w:r>
        <w:rPr>
          <w:rFonts w:hint="eastAsia" w:hAnsi="宋体"/>
          <w:color w:val="000000"/>
          <w:sz w:val="24"/>
          <w:szCs w:val="24"/>
          <w:highlight w:val="none"/>
          <w:lang w:val="zh-TW" w:eastAsia="zh-TW"/>
        </w:rPr>
        <w:t xml:space="preserve">本合同总价中应包括设备费、配套附件费、包装费、运输费、运输过程保险费、安装及调试费、质量保险费、培训费、货物本身已支付或将支付的增值税、营业税、进口税和其他税费以及其它交付使用前的所有费用。</w:t>
      </w:r>
      <w:r>
        <w:rPr>
          <w:rFonts w:hAnsi="宋体"/>
          <w:color w:val="000000"/>
          <w:sz w:val="24"/>
          <w:szCs w:val="24"/>
          <w:highlight w:val="none"/>
        </w:rPr>
      </w:r>
      <w:r/>
    </w:p>
    <w:p>
      <w:pPr>
        <w:pStyle w:val="1215"/>
        <w:spacing w:line="440" w:lineRule="exact"/>
        <w:rPr>
          <w:rFonts w:hint="eastAsia" w:ascii="宋体" w:hAnsi="宋体" w:eastAsia="宋体" w:cs="Courier New"/>
          <w:sz w:val="24"/>
          <w:szCs w:val="24"/>
          <w:highlight w:val="none"/>
          <w:lang w:eastAsia="zh-CN"/>
        </w:rPr>
      </w:pPr>
      <w:r>
        <w:rPr>
          <w:rFonts w:hint="eastAsia" w:ascii="宋体" w:hAnsi="宋体" w:cs="Courier New"/>
          <w:b/>
          <w:sz w:val="24"/>
          <w:szCs w:val="24"/>
          <w:highlight w:val="none"/>
          <w:lang w:eastAsia="zh-CN"/>
        </w:rPr>
        <w:t xml:space="preserve">三、质量保证</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3.1乙方所提供的货物必须完全符合相关质量标准，经正确安装，正常使用和维护保养条件下，在其使用寿命周期内应具有预期的性能。</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3.2乙方在所供货物最终验收后提供</w:t>
      </w:r>
      <w:r>
        <w:rPr>
          <w:rFonts w:hint="eastAsia" w:ascii="宋体" w:hAnsi="宋体" w:eastAsia="宋体" w:cs="Courier New"/>
          <w:sz w:val="24"/>
          <w:szCs w:val="24"/>
          <w:highlight w:val="none"/>
          <w:lang w:val="en-US" w:eastAsia="zh-CN"/>
        </w:rPr>
        <w:t xml:space="preserve"> </w:t>
      </w:r>
      <w:r>
        <w:rPr>
          <w:rFonts w:hint="eastAsia" w:ascii="宋体" w:hAnsi="宋体" w:eastAsia="宋体" w:cs="Courier New"/>
          <w:sz w:val="24"/>
          <w:szCs w:val="24"/>
          <w:highlight w:val="none"/>
          <w:u w:val="single"/>
          <w:lang w:val="en-US" w:eastAsia="zh-CN"/>
        </w:rPr>
        <w:t xml:space="preserve">   </w:t>
      </w:r>
      <w:r>
        <w:rPr>
          <w:rFonts w:hint="eastAsia" w:ascii="宋体" w:hAnsi="宋体" w:eastAsia="宋体" w:cs="Courier New"/>
          <w:sz w:val="24"/>
          <w:szCs w:val="24"/>
          <w:highlight w:val="none"/>
          <w:lang w:eastAsia="zh-CN"/>
        </w:rPr>
        <w:t xml:space="preserve">年免费质量保证，在质量保证期内，乙方履行保修义务并免收材料和人工等一切费用，由于乙方原因产生的任何不足或故障，由乙方负责完善相关内容，乙方提供终身维修服务。</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3.3设备的的质量保证期从设备安装调试后无质量问题能够正常使用，双方签订安装验收报告单后开始计算。</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3.4在设备整个使用期，乙方应确保设备正常使用。在接到甲方维修请求后，应及时派人到达现场实施维修排除故障，最长周期不得超过48小时。</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3.5乙方应对甲方操作人员提供免费操作和维修培训，要求能够对设备进行熟练的操作,能排除一般性故障,能够完成设备的日常维护和保养，并提供必要的操作手册和维修资料，培训期间的相关费用由乙方承担。</w:t>
      </w:r>
      <w:r>
        <w:rPr>
          <w:rFonts w:hint="eastAsia" w:ascii="宋体" w:hAnsi="宋体" w:eastAsia="宋体" w:cs="Courier New"/>
          <w:sz w:val="24"/>
          <w:szCs w:val="24"/>
          <w:highlight w:val="none"/>
          <w:lang w:eastAsia="zh-CN"/>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四、</w:t>
      </w:r>
      <w:r>
        <w:rPr>
          <w:rFonts w:hAnsi="宋体"/>
          <w:b/>
          <w:color w:val="000000"/>
          <w:sz w:val="24"/>
          <w:szCs w:val="24"/>
          <w:highlight w:val="none"/>
        </w:rPr>
        <w:t xml:space="preserve">技术资料</w:t>
      </w:r>
      <w:r>
        <w:rPr>
          <w:rFonts w:hAnsi="宋体"/>
          <w:b/>
          <w:color w:val="000000"/>
          <w:sz w:val="24"/>
          <w:szCs w:val="24"/>
          <w:highlight w:val="none"/>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4.1乙方应按招标文件规定的时间向甲方提供与合同标的有关的技术资料，包括但不限于提供货物时必须提供设备的合格证、检测报告、原材料出厂证明以及使用及维修所需的全部技术资料。</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4.2 没有甲方事先书面同意，乙方不得将由甲方提供的有关合同或任何合同条文、规格、计划、图纸、样品或资料提供给与履行本合同无关的任何其他人。即使向履行本合同有关的人员提供，也应注意保密并限于履行合同的必需范围。</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4.3乙方提供销售的设备（包括零部件、附件、备品备件），必须符合中华人民共和国有关法律、法规，符合本行业同类产品的一般标准。经甲乙双方认可修改的相关产品规格与标准同等有效。</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4.4甲方对设备规格型号有异议的应在收货后3日内以书面形式向供方提出，未提出视为认同。</w:t>
      </w:r>
      <w:r>
        <w:rPr>
          <w:rFonts w:hint="eastAsia" w:ascii="宋体" w:hAnsi="宋体" w:eastAsia="宋体" w:cs="Courier New"/>
          <w:sz w:val="24"/>
          <w:szCs w:val="24"/>
          <w:highlight w:val="none"/>
          <w:lang w:eastAsia="zh-CN"/>
        </w:rPr>
      </w:r>
      <w:r/>
    </w:p>
    <w:p>
      <w:pPr>
        <w:pStyle w:val="1253"/>
        <w:ind w:left="410" w:hanging="410"/>
        <w:spacing w:line="440" w:lineRule="exact"/>
        <w:rPr>
          <w:rFonts w:hAnsi="宋体"/>
          <w:b/>
          <w:color w:val="000000"/>
          <w:sz w:val="24"/>
          <w:szCs w:val="24"/>
          <w:highlight w:val="none"/>
        </w:rPr>
      </w:pPr>
      <w:r>
        <w:rPr>
          <w:rFonts w:hint="eastAsia" w:hAnsi="宋体"/>
          <w:b/>
          <w:color w:val="000000"/>
          <w:sz w:val="24"/>
          <w:szCs w:val="24"/>
          <w:highlight w:val="none"/>
          <w:lang w:eastAsia="zh-CN"/>
        </w:rPr>
        <w:t xml:space="preserve">五</w:t>
      </w:r>
      <w:r>
        <w:rPr>
          <w:rFonts w:hAnsi="宋体"/>
          <w:b/>
          <w:color w:val="000000"/>
          <w:sz w:val="24"/>
          <w:szCs w:val="24"/>
          <w:highlight w:val="none"/>
        </w:rPr>
        <w:t xml:space="preserve">、知识产权</w:t>
      </w:r>
      <w:r>
        <w:rPr>
          <w:rFonts w:hint="eastAsia" w:hAnsi="宋体"/>
          <w:b/>
          <w:color w:val="000000"/>
          <w:sz w:val="24"/>
          <w:szCs w:val="24"/>
          <w:highlight w:val="none"/>
          <w:lang w:eastAsia="zh-CN"/>
        </w:rPr>
        <w:t xml:space="preserve">、</w:t>
      </w:r>
      <w:r>
        <w:rPr>
          <w:rFonts w:hAnsi="宋体"/>
          <w:b/>
          <w:color w:val="000000"/>
          <w:sz w:val="24"/>
          <w:szCs w:val="24"/>
          <w:highlight w:val="none"/>
        </w:rPr>
        <w:t xml:space="preserve">产权担保</w:t>
      </w:r>
      <w:r>
        <w:rPr>
          <w:rFonts w:hAnsi="宋体"/>
          <w:b/>
          <w:color w:val="000000"/>
          <w:sz w:val="24"/>
          <w:szCs w:val="24"/>
          <w:highlight w:val="none"/>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5.1乙方应保证甲方在使用、接受本合同标的或其任何一部分时不受第三方提出侵犯其专利权、版权、商标权和工业设计权等知识产权的起诉。一旦出现侵权，由乙方负全部责任。如果任何第三方提出侵权指控或赔偿要求，乙方必须与第三方交涉，并承担发生和可能发生的一切损失、费用和法律责任。如由于乙方不积极与第三方交涉，甲方有权应诉或进行和解，其发生的费用由乙方承担。</w:t>
      </w:r>
      <w:r>
        <w:rPr>
          <w:rFonts w:hint="eastAsia" w:ascii="宋体" w:hAnsi="宋体" w:eastAsia="宋体" w:cs="Courier New"/>
          <w:sz w:val="24"/>
          <w:szCs w:val="24"/>
          <w:highlight w:val="none"/>
          <w:lang w:eastAsia="zh-CN"/>
        </w:rPr>
      </w:r>
      <w:r/>
    </w:p>
    <w:p>
      <w:pPr>
        <w:pStyle w:val="1215"/>
        <w:ind w:firstLine="480"/>
        <w:spacing w:line="440" w:lineRule="exact"/>
        <w:rPr>
          <w:rFonts w:hint="eastAsia" w:ascii="宋体" w:hAnsi="宋体" w:eastAsia="宋体" w:cs="Courier New"/>
          <w:sz w:val="24"/>
          <w:szCs w:val="24"/>
          <w:highlight w:val="none"/>
          <w:lang w:eastAsia="zh-CN"/>
        </w:rPr>
      </w:pPr>
      <w:r>
        <w:rPr>
          <w:rFonts w:hint="eastAsia" w:ascii="宋体" w:hAnsi="宋体" w:eastAsia="宋体" w:cs="Courier New"/>
          <w:sz w:val="24"/>
          <w:szCs w:val="24"/>
          <w:highlight w:val="none"/>
          <w:lang w:eastAsia="zh-CN"/>
        </w:rPr>
        <w:t xml:space="preserve">5.2 乙方保证所交付的合同标的的所有权完全属于乙方且无任何抵押、查封等产权瑕疵。</w:t>
      </w:r>
      <w:r>
        <w:rPr>
          <w:rFonts w:hint="eastAsia" w:ascii="宋体" w:hAnsi="宋体" w:eastAsia="宋体" w:cs="Courier New"/>
          <w:sz w:val="24"/>
          <w:szCs w:val="24"/>
          <w:highlight w:val="none"/>
          <w:lang w:eastAsia="zh-CN"/>
        </w:rPr>
      </w:r>
      <w:r/>
    </w:p>
    <w:p>
      <w:pPr>
        <w:pStyle w:val="1253"/>
        <w:ind w:left="410" w:hanging="410"/>
        <w:spacing w:line="440" w:lineRule="exact"/>
        <w:rPr>
          <w:rFonts w:hAnsi="宋体"/>
          <w:b/>
          <w:color w:val="000000"/>
          <w:sz w:val="24"/>
          <w:szCs w:val="24"/>
          <w:highlight w:val="none"/>
        </w:rPr>
      </w:pPr>
      <w:r>
        <w:rPr>
          <w:rFonts w:hAnsi="宋体"/>
          <w:b/>
          <w:color w:val="000000"/>
          <w:sz w:val="24"/>
          <w:szCs w:val="24"/>
          <w:highlight w:val="none"/>
        </w:rPr>
        <w:t xml:space="preserve">六、履约保证金</w:t>
      </w:r>
      <w:r>
        <w:rPr>
          <w:rFonts w:hAnsi="宋体"/>
          <w:b/>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☑本项目不收取履约保证金。</w:t>
      </w:r>
      <w:r>
        <w:rPr>
          <w:rFonts w:hint="eastAsia" w:ascii="宋体" w:hAnsi="宋体"/>
          <w:bCs/>
          <w:color w:val="000000"/>
          <w:sz w:val="24"/>
          <w:szCs w:val="24"/>
          <w:highlight w:val="none"/>
        </w:rPr>
      </w:r>
      <w:r/>
    </w:p>
    <w:p>
      <w:pPr>
        <w:pStyle w:val="1215"/>
        <w:ind w:firstLine="480"/>
        <w:spacing w:line="440" w:lineRule="exact"/>
        <w:rPr>
          <w:rFonts w:hint="eastAsia" w:ascii="宋体" w:hAnsi="宋体"/>
          <w:bCs/>
          <w:color w:val="000000"/>
          <w:sz w:val="24"/>
          <w:szCs w:val="24"/>
          <w:highlight w:val="none"/>
        </w:rPr>
      </w:pPr>
      <w:r>
        <w:rPr>
          <w:rFonts w:hint="eastAsia" w:ascii="宋体" w:hAnsi="宋体"/>
          <w:bCs/>
          <w:color w:val="000000"/>
          <w:sz w:val="24"/>
          <w:szCs w:val="24"/>
          <w:highlight w:val="none"/>
        </w:rPr>
        <w:t xml:space="preserve">□本项目中标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应提交政府采购合同金额XX%的履约保证金(不得超过政府采购合同金额的 10%)，履约保证金应以支票、汇票、本票、保函、保险保单等非现金形式缴纳或提交。支持和鼓励中标</w:t>
      </w:r>
      <w:r>
        <w:rPr>
          <w:rFonts w:hint="eastAsia" w:ascii="宋体" w:hAnsi="宋体"/>
          <w:bCs/>
          <w:color w:val="000000"/>
          <w:sz w:val="24"/>
          <w:szCs w:val="24"/>
          <w:highlight w:val="none"/>
          <w:lang w:eastAsia="zh-CN"/>
        </w:rPr>
        <w:t xml:space="preserve">投标人</w:t>
      </w:r>
      <w:r>
        <w:rPr>
          <w:rFonts w:hint="eastAsia" w:ascii="宋体" w:hAnsi="宋体"/>
          <w:bCs/>
          <w:color w:val="000000"/>
          <w:sz w:val="24"/>
          <w:szCs w:val="24"/>
          <w:highlight w:val="none"/>
        </w:rPr>
        <w:t xml:space="preserve">自愿使用履约(保函)保险代替缴纳履约保证金。省财政厅已上线政府采购电子履约保函(保险)平台，平台可通过域名 www.jsdzbh.com 直接访问，也可通过江苏省政府采购网、“苏采云”系统链接访问。  </w:t>
      </w:r>
      <w:r>
        <w:rPr>
          <w:rFonts w:hint="eastAsia" w:ascii="宋体" w:hAnsi="宋体"/>
          <w:bCs/>
          <w:color w:val="000000"/>
          <w:sz w:val="24"/>
          <w:szCs w:val="24"/>
          <w:highlight w:val="none"/>
        </w:rPr>
      </w:r>
      <w:r/>
    </w:p>
    <w:p>
      <w:pPr>
        <w:pStyle w:val="121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七、合同转包或分包</w:t>
      </w:r>
      <w:r>
        <w:rPr>
          <w:rFonts w:ascii="宋体" w:hAnsi="宋体" w:eastAsia="仿宋_GB2312"/>
          <w:b/>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7.1乙方不得将合同标的转包给他人履行。</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7.2乙方应当按照响应文件中提供的分包意向协议履行合同。</w:t>
      </w:r>
      <w:r>
        <w:rPr>
          <w:rFonts w:hint="eastAsia" w:ascii="宋体" w:hAnsi="宋体"/>
          <w:color w:val="000000"/>
          <w:sz w:val="24"/>
          <w:szCs w:val="24"/>
          <w:highlight w:val="none"/>
        </w:rPr>
      </w:r>
      <w:r/>
    </w:p>
    <w:p>
      <w:pPr>
        <w:pStyle w:val="1215"/>
        <w:ind w:firstLine="480"/>
        <w:spacing w:line="440" w:lineRule="exact"/>
        <w:rPr>
          <w:rFonts w:ascii="宋体" w:hAnsi="宋体" w:eastAsia="仿宋_GB2312"/>
          <w:color w:val="000000"/>
          <w:sz w:val="24"/>
          <w:szCs w:val="24"/>
          <w:highlight w:val="none"/>
        </w:rPr>
      </w:pPr>
      <w:r>
        <w:rPr>
          <w:rFonts w:ascii="宋体" w:hAnsi="宋体"/>
          <w:color w:val="000000"/>
          <w:sz w:val="24"/>
          <w:szCs w:val="24"/>
          <w:highlight w:val="none"/>
        </w:rPr>
        <w:t xml:space="preserve">7.3</w:t>
      </w:r>
      <w:r>
        <w:rPr>
          <w:rFonts w:hint="eastAsia" w:ascii="宋体" w:hAnsi="宋体"/>
          <w:color w:val="000000"/>
          <w:sz w:val="24"/>
          <w:szCs w:val="24"/>
          <w:highlight w:val="none"/>
        </w:rPr>
        <w:t xml:space="preserve">乙方如有转包或未经甲方同意的分包行为，甲方有权解除合同。</w:t>
      </w:r>
      <w:r>
        <w:rPr>
          <w:rFonts w:ascii="宋体" w:hAnsi="宋体" w:eastAsia="仿宋_GB2312"/>
          <w:color w:val="000000"/>
          <w:sz w:val="24"/>
          <w:szCs w:val="24"/>
          <w:highlight w:val="none"/>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rPr>
        <w:t xml:space="preserve">八</w:t>
      </w:r>
      <w:r>
        <w:rPr>
          <w:rFonts w:hAnsi="宋体"/>
          <w:b/>
          <w:color w:val="000000"/>
          <w:sz w:val="24"/>
          <w:szCs w:val="24"/>
          <w:highlight w:val="none"/>
        </w:rPr>
        <w:t xml:space="preserve">、</w:t>
      </w:r>
      <w:r>
        <w:rPr>
          <w:rFonts w:hint="eastAsia" w:hAnsi="宋体"/>
          <w:b/>
          <w:color w:val="000000"/>
          <w:sz w:val="24"/>
          <w:szCs w:val="24"/>
          <w:highlight w:val="none"/>
        </w:rPr>
        <w:t xml:space="preserve">合同款项</w:t>
      </w:r>
      <w:r>
        <w:rPr>
          <w:rFonts w:hAnsi="宋体"/>
          <w:b/>
          <w:color w:val="000000"/>
          <w:sz w:val="24"/>
          <w:szCs w:val="24"/>
          <w:highlight w:val="none"/>
        </w:rPr>
        <w:t xml:space="preserve">支付</w:t>
      </w:r>
      <w:r>
        <w:rPr>
          <w:rFonts w:hAnsi="宋体"/>
          <w:b/>
          <w:color w:val="000000"/>
          <w:sz w:val="24"/>
          <w:szCs w:val="24"/>
          <w:highlight w:val="none"/>
        </w:rPr>
      </w:r>
      <w:r/>
    </w:p>
    <w:p>
      <w:pPr>
        <w:pStyle w:val="1215"/>
        <w:ind w:left="479"/>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8.1合同款项的支付方式及进度安排</w:t>
      </w:r>
      <w:r>
        <w:rPr>
          <w:rFonts w:hint="eastAsia" w:ascii="宋体" w:hAnsi="宋体" w:cs="Courier New"/>
          <w:bCs/>
          <w:color w:val="000000"/>
          <w:sz w:val="24"/>
          <w:szCs w:val="24"/>
          <w:highlight w:val="none"/>
        </w:rPr>
      </w:r>
      <w:r/>
    </w:p>
    <w:p>
      <w:pPr>
        <w:pStyle w:val="1215"/>
        <w:ind w:left="719" w:hanging="240"/>
        <w:jc w:val="left"/>
        <w:spacing w:before="120" w:after="120" w:line="440" w:lineRule="exact"/>
        <w:rPr>
          <w:rFonts w:hint="eastAsia" w:ascii="宋体" w:hAnsi="宋体" w:cs="Courier New"/>
          <w:bCs/>
          <w:color w:val="000000"/>
          <w:sz w:val="24"/>
          <w:szCs w:val="24"/>
          <w:highlight w:val="none"/>
        </w:rPr>
      </w:pPr>
      <w:r>
        <w:rPr>
          <w:rFonts w:hint="eastAsia" w:ascii="宋体" w:hAnsi="宋体" w:cs="Courier New"/>
          <w:bCs/>
          <w:color w:val="000000"/>
          <w:sz w:val="24"/>
          <w:szCs w:val="24"/>
          <w:highlight w:val="none"/>
        </w:rPr>
        <w:t xml:space="preserve">8.2预付款支付：乙方需要甲方支付预付款。</w:t>
      </w:r>
      <w:r>
        <w:rPr>
          <w:rFonts w:hint="eastAsia" w:ascii="宋体" w:hAnsi="宋体" w:cs="Courier New"/>
          <w:bCs/>
          <w:color w:val="000000"/>
          <w:sz w:val="24"/>
          <w:szCs w:val="24"/>
          <w:highlight w:val="none"/>
        </w:rPr>
      </w:r>
      <w:r/>
    </w:p>
    <w:p>
      <w:pPr>
        <w:pStyle w:val="1215"/>
        <w:ind w:firstLine="482"/>
        <w:jc w:val="left"/>
        <w:spacing w:before="120" w:after="120" w:line="440" w:lineRule="exact"/>
        <w:rPr>
          <w:rFonts w:hint="eastAsia" w:ascii="宋体" w:hAnsi="宋体" w:cs="Courier New"/>
          <w:b/>
          <w:bCs/>
          <w:color w:val="000000"/>
          <w:sz w:val="24"/>
          <w:szCs w:val="24"/>
          <w:highlight w:val="none"/>
          <w:shd w:val="clear" w:color="auto" w:fill="auto"/>
          <w:lang w:val="zh-TW" w:eastAsia="zh-CN"/>
        </w:rPr>
      </w:pPr>
      <w:r>
        <w:rPr>
          <w:rFonts w:hint="eastAsia" w:ascii="宋体" w:hAnsi="宋体" w:cs="Courier New"/>
          <w:b/>
          <w:bCs w:val="0"/>
          <w:color w:val="000000"/>
          <w:sz w:val="24"/>
          <w:szCs w:val="24"/>
          <w:highlight w:val="none"/>
          <w:shd w:val="clear" w:color="auto" w:fill="auto"/>
        </w:rPr>
        <w:t xml:space="preserve">8.3</w:t>
      </w:r>
      <w:r>
        <w:rPr>
          <w:rFonts w:hint="eastAsia" w:ascii="宋体" w:hAnsi="宋体" w:cs="Courier New"/>
          <w:b/>
          <w:bCs w:val="0"/>
          <w:color w:val="000000"/>
          <w:sz w:val="24"/>
          <w:szCs w:val="24"/>
          <w:highlight w:val="none"/>
          <w:shd w:val="clear" w:color="auto" w:fill="auto"/>
          <w:lang w:eastAsia="zh-CN"/>
        </w:rPr>
        <w:t xml:space="preserve">①甲方自收到发票之日起10个工作日内</w:t>
      </w:r>
      <w:r>
        <w:rPr>
          <w:rFonts w:hint="eastAsia" w:ascii="宋体" w:hAnsi="宋体" w:cs="Courier New"/>
          <w:b/>
          <w:bCs w:val="0"/>
          <w:color w:val="000000"/>
          <w:sz w:val="24"/>
          <w:szCs w:val="24"/>
          <w:highlight w:val="none"/>
          <w:shd w:val="clear" w:color="auto" w:fill="auto"/>
          <w:lang w:val="en-US" w:eastAsia="zh-CN"/>
        </w:rPr>
        <w:t xml:space="preserve">付至合同价的30%（预付款金额为    元）</w:t>
      </w:r>
      <w:r>
        <w:rPr>
          <w:rFonts w:hint="eastAsia" w:ascii="宋体" w:hAnsi="宋体" w:cs="Courier New"/>
          <w:b/>
          <w:bCs w:val="0"/>
          <w:color w:val="000000"/>
          <w:sz w:val="24"/>
          <w:szCs w:val="24"/>
          <w:highlight w:val="none"/>
          <w:shd w:val="clear" w:color="auto" w:fill="auto"/>
          <w:lang w:val="zh-TW" w:eastAsia="zh-CN"/>
        </w:rPr>
        <w:t xml:space="preserve">；</w:t>
      </w:r>
      <w:r>
        <w:rPr>
          <w:rFonts w:hint="eastAsia" w:ascii="宋体" w:hAnsi="宋体" w:cs="Courier New"/>
          <w:b/>
          <w:bCs w:val="0"/>
          <w:color w:val="000000"/>
          <w:sz w:val="24"/>
          <w:szCs w:val="24"/>
          <w:highlight w:val="none"/>
          <w:shd w:val="clear" w:color="auto" w:fill="auto"/>
          <w:lang w:val="en-US" w:eastAsia="zh-CN"/>
        </w:rPr>
        <w:t xml:space="preserve">经设备安装初步验收合格后，付至合同总价的70%；使用六个月后付至合同总价的90%；余款在使用满1年后一次性付清。</w:t>
      </w:r>
      <w:r>
        <w:rPr>
          <w:rFonts w:hint="eastAsia" w:ascii="宋体" w:hAnsi="宋体" w:cs="Courier New"/>
          <w:b/>
          <w:bCs w:val="0"/>
          <w:color w:val="000000"/>
          <w:sz w:val="24"/>
          <w:szCs w:val="24"/>
          <w:highlight w:val="none"/>
          <w:shd w:val="clear" w:color="auto" w:fill="auto"/>
          <w:lang w:val="zh-TW" w:eastAsia="zh-CN"/>
        </w:rPr>
      </w:r>
      <w:r/>
    </w:p>
    <w:p>
      <w:pPr>
        <w:ind w:firstLine="482"/>
        <w:jc w:val="left"/>
        <w:spacing w:before="120" w:after="120" w:line="440" w:lineRule="exact"/>
        <w:rPr>
          <w:rFonts w:hint="eastAsia" w:ascii="宋体" w:hAnsi="宋体" w:cs="Courier New"/>
          <w:b/>
          <w:bCs/>
          <w:color w:val="000000"/>
          <w:sz w:val="24"/>
          <w:szCs w:val="24"/>
          <w:highlight w:val="none"/>
          <w:lang w:val="zh-TW" w:eastAsia="zh-CN"/>
        </w:rPr>
      </w:pPr>
      <w:r>
        <w:rPr>
          <w:rFonts w:hint="eastAsia" w:ascii="宋体" w:hAnsi="宋体" w:cs="Courier New"/>
          <w:b/>
          <w:bCs w:val="0"/>
          <w:color w:val="000000"/>
          <w:sz w:val="24"/>
          <w:szCs w:val="24"/>
          <w:highlight w:val="none"/>
          <w:shd w:val="clear" w:color="auto" w:fill="auto"/>
          <w:lang w:val="zh-TW" w:eastAsia="zh-CN"/>
        </w:rPr>
        <w:t xml:space="preserve">②若中标单位所投产品为中小企业生产，则</w:t>
      </w:r>
      <w:r>
        <w:rPr>
          <w:rFonts w:hint="eastAsia" w:ascii="宋体" w:hAnsi="宋体" w:cs="Courier New"/>
          <w:b/>
          <w:bCs w:val="0"/>
          <w:color w:val="000000"/>
          <w:sz w:val="24"/>
          <w:szCs w:val="24"/>
          <w:highlight w:val="none"/>
          <w:shd w:val="clear" w:color="auto" w:fill="auto"/>
          <w:lang w:eastAsia="zh-CN"/>
        </w:rPr>
        <w:t xml:space="preserve">甲方自收到发票之日起10个工作日内</w:t>
      </w:r>
      <w:r>
        <w:rPr>
          <w:rFonts w:hint="eastAsia" w:ascii="宋体" w:hAnsi="宋体" w:cs="Courier New"/>
          <w:b/>
          <w:bCs w:val="0"/>
          <w:color w:val="000000"/>
          <w:sz w:val="24"/>
          <w:szCs w:val="24"/>
          <w:highlight w:val="none"/>
          <w:shd w:val="clear" w:color="auto" w:fill="auto"/>
          <w:lang w:val="en-US" w:eastAsia="zh-CN"/>
        </w:rPr>
        <w:t xml:space="preserve">付至合同价的30%（预付款金额为    元）</w:t>
      </w:r>
      <w:r>
        <w:rPr>
          <w:rFonts w:hint="eastAsia" w:ascii="宋体" w:hAnsi="宋体" w:cs="Courier New"/>
          <w:b/>
          <w:bCs w:val="0"/>
          <w:color w:val="000000"/>
          <w:sz w:val="24"/>
          <w:szCs w:val="24"/>
          <w:highlight w:val="none"/>
          <w:shd w:val="clear" w:color="auto" w:fill="auto"/>
          <w:lang w:val="zh-TW" w:eastAsia="zh-CN"/>
        </w:rPr>
        <w:t xml:space="preserve">；</w:t>
      </w:r>
      <w:r/>
      <w:r>
        <w:rPr>
          <w:rFonts w:hint="eastAsia" w:ascii="宋体" w:hAnsi="宋体" w:cs="Courier New"/>
          <w:b/>
          <w:bCs w:val="0"/>
          <w:color w:val="000000"/>
          <w:sz w:val="24"/>
          <w:szCs w:val="24"/>
          <w:highlight w:val="none"/>
          <w:shd w:val="clear" w:color="auto" w:fill="auto"/>
          <w:lang w:val="zh-TW" w:eastAsia="zh-CN"/>
        </w:rPr>
        <w:t xml:space="preserve">经设备安装、验收合格后，60日内付至合同总价的100%。</w:t>
      </w:r>
      <w:r>
        <w:rPr>
          <w:rFonts w:hint="eastAsia" w:ascii="宋体" w:hAnsi="宋体" w:cs="Courier New"/>
          <w:b/>
          <w:bCs w:val="0"/>
          <w:color w:val="000000"/>
          <w:sz w:val="24"/>
          <w:szCs w:val="24"/>
          <w:highlight w:val="none"/>
          <w:shd w:val="clear" w:color="auto" w:fill="auto"/>
          <w:lang w:val="zh-TW" w:eastAsia="zh-CN"/>
        </w:rPr>
      </w:r>
    </w:p>
    <w:p>
      <w:pPr>
        <w:pStyle w:val="1215"/>
        <w:ind w:firstLine="480"/>
        <w:jc w:val="left"/>
        <w:spacing w:before="120" w:after="120" w:line="440" w:lineRule="exact"/>
        <w:rPr>
          <w:rFonts w:hint="eastAsia" w:ascii="宋体" w:hAnsi="宋体"/>
          <w:color w:val="000000"/>
          <w:sz w:val="24"/>
          <w:szCs w:val="24"/>
          <w:highlight w:val="none"/>
        </w:rPr>
      </w:pPr>
      <w:r>
        <w:rPr>
          <w:rFonts w:hint="eastAsia" w:ascii="宋体" w:hAnsi="宋体" w:cs="Courier New"/>
          <w:bCs/>
          <w:color w:val="000000"/>
          <w:sz w:val="24"/>
          <w:szCs w:val="24"/>
          <w:highlight w:val="none"/>
        </w:rPr>
        <w:t xml:space="preserve">8.4</w:t>
      </w:r>
      <w:r>
        <w:rPr>
          <w:rFonts w:hint="eastAsia" w:ascii="宋体" w:hAnsi="宋体"/>
          <w:color w:val="000000"/>
          <w:sz w:val="24"/>
          <w:szCs w:val="24"/>
          <w:highlight w:val="none"/>
        </w:rPr>
        <w:t xml:space="preserve">乙方应当自合同签订之日起按约定开具预付款发票，甲方自收到发票之日起10个工作日内完成预付款支付。因乙方未开具预付款发票导致甲方未及时完成预付款支付的，由乙方承担相关责任。乙方需与甲方单位项目负责人确定好开具发票时间，并在发票开具后第一时间送达至甲方项目负责人手中。</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甲方开票信息：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项目负责 联系人: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乙方开票信息：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名称: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纳税号: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单位银行账号户名: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开户行: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账号: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单位地址: </w:t>
      </w:r>
      <w:r>
        <w:rPr>
          <w:rFonts w:hint="eastAsia" w:ascii="宋体" w:hAnsi="宋体"/>
          <w:color w:val="000000"/>
          <w:sz w:val="24"/>
          <w:szCs w:val="24"/>
          <w:highlight w:val="none"/>
        </w:rPr>
      </w:r>
      <w:r/>
    </w:p>
    <w:p>
      <w:pPr>
        <w:pStyle w:val="1215"/>
        <w:ind w:firstLine="669"/>
        <w:jc w:val="left"/>
        <w:spacing w:before="120" w:after="120"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联系电话: </w:t>
      </w:r>
      <w:r>
        <w:rPr>
          <w:rFonts w:hint="eastAsia" w:ascii="宋体" w:hAnsi="宋体"/>
          <w:color w:val="000000"/>
          <w:sz w:val="24"/>
          <w:szCs w:val="24"/>
          <w:highlight w:val="none"/>
        </w:rPr>
      </w:r>
      <w:r/>
    </w:p>
    <w:p>
      <w:pPr>
        <w:pStyle w:val="1215"/>
        <w:spacing w:line="440" w:lineRule="exact"/>
        <w:rPr>
          <w:rFonts w:ascii="宋体" w:hAnsi="宋体" w:eastAsia="仿宋_GB2312"/>
          <w:b/>
          <w:color w:val="000000"/>
          <w:sz w:val="24"/>
          <w:szCs w:val="24"/>
          <w:highlight w:val="none"/>
        </w:rPr>
      </w:pPr>
      <w:r>
        <w:rPr>
          <w:rFonts w:hint="eastAsia" w:ascii="宋体" w:hAnsi="宋体"/>
          <w:b/>
          <w:color w:val="000000"/>
          <w:sz w:val="24"/>
          <w:szCs w:val="24"/>
          <w:highlight w:val="none"/>
        </w:rPr>
        <w:t xml:space="preserve">九、税费</w:t>
      </w:r>
      <w:r>
        <w:rPr>
          <w:rFonts w:ascii="宋体" w:hAnsi="宋体" w:eastAsia="仿宋_GB2312"/>
          <w:b/>
          <w:color w:val="000000"/>
          <w:sz w:val="24"/>
          <w:szCs w:val="24"/>
          <w:highlight w:val="none"/>
        </w:rPr>
      </w:r>
      <w:r/>
    </w:p>
    <w:p>
      <w:pPr>
        <w:pStyle w:val="1215"/>
        <w:ind w:firstLine="480"/>
        <w:spacing w:line="440" w:lineRule="exact"/>
        <w:rPr>
          <w:rFonts w:ascii="宋体" w:hAnsi="宋体" w:eastAsia="仿宋_GB2312"/>
          <w:color w:val="000000"/>
          <w:sz w:val="24"/>
          <w:szCs w:val="24"/>
          <w:highlight w:val="none"/>
        </w:rPr>
      </w:pPr>
      <w:r>
        <w:rPr>
          <w:rFonts w:hint="eastAsia" w:ascii="宋体" w:hAnsi="宋体"/>
          <w:color w:val="000000"/>
          <w:sz w:val="24"/>
          <w:szCs w:val="24"/>
          <w:highlight w:val="none"/>
        </w:rPr>
        <w:t xml:space="preserve">9</w:t>
      </w:r>
      <w:r>
        <w:rPr>
          <w:rFonts w:ascii="宋体" w:hAnsi="宋体"/>
          <w:color w:val="000000"/>
          <w:sz w:val="24"/>
          <w:szCs w:val="24"/>
          <w:highlight w:val="none"/>
        </w:rPr>
        <w:t xml:space="preserve">.1</w:t>
      </w:r>
      <w:r>
        <w:rPr>
          <w:rFonts w:hint="eastAsia" w:ascii="宋体" w:hAnsi="宋体"/>
          <w:color w:val="000000"/>
          <w:sz w:val="24"/>
          <w:szCs w:val="24"/>
          <w:highlight w:val="none"/>
        </w:rPr>
        <w:t xml:space="preserve">本合同执行中相关的一切税费均由乙方负担。</w:t>
      </w:r>
      <w:r>
        <w:rPr>
          <w:rFonts w:ascii="宋体" w:hAnsi="宋体" w:eastAsia="仿宋_GB2312"/>
          <w:color w:val="000000"/>
          <w:sz w:val="24"/>
          <w:szCs w:val="24"/>
          <w:highlight w:val="none"/>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rPr>
        <w:t xml:space="preserve">十、货物的包装、发运及运输</w:t>
      </w:r>
      <w:r>
        <w:rPr>
          <w:rFonts w:hAnsi="宋体"/>
          <w:b/>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10.1 乙方应在货物发运前对其进行满足运输距离、防潮、防震、防锈和防破损装卸等要求包装，以保证货物安全运达甲方指定地点。乙方对货物的包装应符合《商品包装政府采购需求标准（试行）》、《快递包装政府采购需求标准（试行）》的规定。</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10.2 使用说明书、质量检验证明书、随配附件和工具以及清单一并附于货物内。</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10.3 乙方在货物发运手续办理完毕后24小时内或货到甲方48小时前通知甲方，以准备接货。</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10.4 货物在交付甲方前发生的风险均由乙方负责。</w:t>
      </w:r>
      <w:r>
        <w:rPr>
          <w:rFonts w:hint="eastAsia" w:ascii="宋体" w:hAnsi="宋体" w:eastAsia="宋体" w:cs="Times New Roman"/>
          <w:color w:val="000000"/>
          <w:sz w:val="24"/>
          <w:szCs w:val="24"/>
          <w:highlight w:val="none"/>
        </w:rPr>
      </w:r>
      <w:r/>
    </w:p>
    <w:p>
      <w:pPr>
        <w:pStyle w:val="1215"/>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10.5 货物在规定的交付期限内由乙方送达甲方指定的地点视为交付，乙方同时需通知甲方货物已送达。</w:t>
      </w:r>
      <w:r>
        <w:rPr>
          <w:rFonts w:hint="eastAsia" w:ascii="宋体" w:hAnsi="宋体" w:eastAsia="宋体" w:cs="Times New Roman"/>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lang w:eastAsia="zh-CN"/>
        </w:rPr>
        <w:t xml:space="preserve">一</w:t>
      </w:r>
      <w:r>
        <w:rPr>
          <w:rFonts w:hAnsi="宋体"/>
          <w:b/>
          <w:color w:val="000000"/>
          <w:sz w:val="24"/>
          <w:szCs w:val="24"/>
          <w:highlight w:val="none"/>
        </w:rPr>
        <w:t xml:space="preserve">、</w:t>
      </w:r>
      <w:r>
        <w:rPr>
          <w:rFonts w:hint="eastAsia" w:hAnsi="宋体"/>
          <w:b/>
          <w:color w:val="000000"/>
          <w:sz w:val="24"/>
          <w:szCs w:val="24"/>
          <w:highlight w:val="none"/>
        </w:rPr>
        <w:t xml:space="preserve">项目</w:t>
      </w:r>
      <w:r>
        <w:rPr>
          <w:rFonts w:hAnsi="宋体"/>
          <w:b/>
          <w:color w:val="000000"/>
          <w:sz w:val="24"/>
          <w:szCs w:val="24"/>
          <w:highlight w:val="none"/>
        </w:rPr>
        <w:t xml:space="preserve">验收</w:t>
      </w:r>
      <w:r>
        <w:rPr>
          <w:rFonts w:hAnsi="宋体"/>
          <w:b/>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11.1 甲方依法组织履约验收工作。</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11.2 甲方在组织履约验收前，将根据项目特点制定验收方案，明确履约验收的时间、方式、程序等内容，并可根据项目特点对服务期内的服务实施情况进行分期考核，综合考核情况和服务效果进行验收。乙方应根据验收方案内容做好相应配合工作。</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11.3 对于实际使用人和甲方分离的项目，甲方邀请实际使用人参与验收。</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11.4 如有必要，甲方邀请参加本项目的其他供应商或第三方专业机构及专家参与验收，相关意见将作为验收书的参考资料。</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11.5 甲方成立验收小组，按照采购合同的约定对乙方的履约情况进行验收。验收时,甲方按照采购合同的约定对每一项技术、服务、安全标准的履约情况进行确认。验收结束后,验收小组出具验收书,列明各项标准的验收情况及项目总体评价,由验收双方共同签署。验收结果与采购合同约定的资金支付及履约保证金返还条件挂钩。履约验收的各项资料存档备查。</w:t>
      </w:r>
      <w:r>
        <w:rPr>
          <w:rFonts w:hint="eastAsia" w:ascii="宋体" w:hAnsi="宋体" w:eastAsia="宋体" w:cs="Times New Roman"/>
          <w:color w:val="000000"/>
          <w:sz w:val="24"/>
          <w:szCs w:val="24"/>
          <w:highlight w:val="none"/>
        </w:rPr>
      </w:r>
      <w:r/>
    </w:p>
    <w:p>
      <w:pPr>
        <w:pStyle w:val="1253"/>
        <w:ind w:firstLine="480"/>
        <w:spacing w:line="440" w:lineRule="exact"/>
        <w:rPr>
          <w:rFonts w:hint="eastAsia" w:ascii="宋体" w:hAnsi="宋体" w:eastAsia="宋体" w:cs="Times New Roman"/>
          <w:color w:val="000000"/>
          <w:sz w:val="24"/>
          <w:szCs w:val="24"/>
          <w:highlight w:val="none"/>
        </w:rPr>
      </w:pPr>
      <w:r>
        <w:rPr>
          <w:rFonts w:hint="eastAsia" w:ascii="宋体" w:hAnsi="宋体" w:eastAsia="宋体" w:cs="Times New Roman"/>
          <w:color w:val="000000"/>
          <w:sz w:val="24"/>
          <w:szCs w:val="24"/>
          <w:highlight w:val="none"/>
        </w:rPr>
        <w:t xml:space="preserve">11.6 验收合格的项目,甲方根据采购合同的约定及时向乙方支付合同款项、退还履约保证金。验收不合格的项目，甲方依法及时处理。采购合同的履行、违约责任和解决争议的方式等适用《</w:t>
      </w:r>
      <w:r>
        <w:rPr>
          <w:rFonts w:hint="eastAsia" w:ascii="宋体" w:hAnsi="宋体" w:eastAsia="宋体" w:cs="Times New Roman"/>
          <w:color w:val="000000"/>
          <w:sz w:val="24"/>
          <w:szCs w:val="24"/>
          <w:highlight w:val="none"/>
          <w:lang w:eastAsia="zh-CN"/>
        </w:rPr>
        <w:t xml:space="preserve">中华人民共和国民法典</w:t>
      </w:r>
      <w:r>
        <w:rPr>
          <w:rFonts w:hint="eastAsia" w:ascii="宋体" w:hAnsi="宋体" w:eastAsia="宋体" w:cs="Times New Roman"/>
          <w:color w:val="000000"/>
          <w:sz w:val="24"/>
          <w:szCs w:val="24"/>
          <w:highlight w:val="none"/>
        </w:rPr>
        <w:t xml:space="preserve">》。乙方在履约过程中有政府采购法律法规规定的违法违规情形的,甲方将及时报告本级财政部门。</w:t>
      </w:r>
      <w:r>
        <w:rPr>
          <w:rFonts w:hint="eastAsia" w:ascii="宋体" w:hAnsi="宋体" w:eastAsia="宋体" w:cs="Times New Roman"/>
          <w:color w:val="000000"/>
          <w:sz w:val="24"/>
          <w:szCs w:val="24"/>
          <w:highlight w:val="none"/>
        </w:rPr>
      </w:r>
      <w:r/>
    </w:p>
    <w:p>
      <w:pPr>
        <w:pStyle w:val="1253"/>
        <w:spacing w:line="440" w:lineRule="exact"/>
        <w:rPr>
          <w:rFonts w:hAnsi="宋体"/>
          <w:b/>
          <w:color w:val="000000"/>
          <w:sz w:val="24"/>
          <w:szCs w:val="24"/>
          <w:highlight w:val="none"/>
        </w:rPr>
      </w:pPr>
      <w:r>
        <w:rPr>
          <w:rFonts w:hint="eastAsia" w:hAnsi="宋体"/>
          <w:b/>
          <w:color w:val="000000"/>
          <w:sz w:val="24"/>
          <w:szCs w:val="24"/>
          <w:highlight w:val="none"/>
        </w:rPr>
        <w:t xml:space="preserve">十二、</w:t>
      </w:r>
      <w:r>
        <w:rPr>
          <w:rFonts w:hAnsi="宋体"/>
          <w:b/>
          <w:color w:val="000000"/>
          <w:sz w:val="24"/>
          <w:szCs w:val="24"/>
          <w:highlight w:val="none"/>
        </w:rPr>
        <w:t xml:space="preserve">违约责任</w:t>
      </w:r>
      <w:r>
        <w:rPr>
          <w:rFonts w:hAnsi="宋体"/>
          <w:b/>
          <w:color w:val="000000"/>
          <w:sz w:val="24"/>
          <w:szCs w:val="24"/>
          <w:highlight w:val="none"/>
        </w:rPr>
      </w:r>
      <w:r/>
    </w:p>
    <w:p>
      <w:pPr>
        <w:pStyle w:val="125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12.1甲方无正当理由拒绝接受乙方提供的合同标的的，甲方向乙方偿付拒绝接受合同价款总值</w:t>
      </w:r>
      <w:r>
        <w:rPr>
          <w:rFonts w:hint="eastAsia" w:hAnsi="宋体"/>
          <w:bCs/>
          <w:color w:val="000000"/>
          <w:sz w:val="24"/>
          <w:szCs w:val="24"/>
          <w:highlight w:val="none"/>
          <w:u w:val="single"/>
        </w:rPr>
        <w:t xml:space="preserve">百分之一</w:t>
      </w:r>
      <w:r>
        <w:rPr>
          <w:rFonts w:hint="eastAsia" w:hAnsi="宋体"/>
          <w:bCs/>
          <w:color w:val="000000"/>
          <w:sz w:val="24"/>
          <w:szCs w:val="24"/>
          <w:highlight w:val="none"/>
        </w:rPr>
        <w:t xml:space="preserve">的违约金。</w:t>
      </w:r>
      <w:r>
        <w:rPr>
          <w:rFonts w:hint="eastAsia" w:hAnsi="宋体"/>
          <w:bCs/>
          <w:color w:val="000000"/>
          <w:sz w:val="24"/>
          <w:szCs w:val="24"/>
          <w:highlight w:val="none"/>
        </w:rPr>
      </w:r>
      <w:r/>
    </w:p>
    <w:p>
      <w:pPr>
        <w:pStyle w:val="125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2</w:t>
      </w:r>
      <w:r>
        <w:rPr>
          <w:rFonts w:hint="eastAsia" w:hAnsi="宋体"/>
          <w:bCs/>
          <w:color w:val="000000"/>
          <w:sz w:val="24"/>
          <w:szCs w:val="24"/>
          <w:highlight w:val="none"/>
        </w:rPr>
        <w:t xml:space="preserve"> 乙方逾期交付合同标的的，乙方应按逾期交付合同总额</w:t>
      </w:r>
      <w:r>
        <w:rPr>
          <w:rFonts w:hint="eastAsia" w:hAnsi="宋体"/>
          <w:bCs/>
          <w:color w:val="000000"/>
          <w:sz w:val="24"/>
          <w:szCs w:val="24"/>
          <w:highlight w:val="none"/>
          <w:u w:val="single"/>
        </w:rPr>
        <w:t xml:space="preserve">每日千分之六</w:t>
      </w:r>
      <w:r>
        <w:rPr>
          <w:rFonts w:hint="eastAsia" w:hAnsi="宋体"/>
          <w:bCs/>
          <w:color w:val="000000"/>
          <w:sz w:val="24"/>
          <w:szCs w:val="24"/>
          <w:highlight w:val="none"/>
        </w:rPr>
        <w:t xml:space="preserve">向甲方支付违约金，由甲方从待付合同款项中扣除。逾期超过约定日期10个工作日不能交付合同标的的，甲方可解除本合同。乙方因逾期交付合同标的或因其他违约行为导致甲方解除合同的，乙方应向甲方支付合同价款总额</w:t>
      </w:r>
      <w:r>
        <w:rPr>
          <w:rFonts w:hint="eastAsia" w:hAnsi="宋体"/>
          <w:bCs/>
          <w:color w:val="000000"/>
          <w:sz w:val="24"/>
          <w:szCs w:val="24"/>
          <w:highlight w:val="none"/>
          <w:u w:val="single"/>
        </w:rPr>
        <w:t xml:space="preserve">百分之十</w:t>
      </w:r>
      <w:r>
        <w:rPr>
          <w:rFonts w:hint="eastAsia" w:hAnsi="宋体"/>
          <w:bCs/>
          <w:color w:val="000000"/>
          <w:sz w:val="24"/>
          <w:szCs w:val="24"/>
          <w:highlight w:val="none"/>
        </w:rPr>
        <w:t xml:space="preserve">的违约金，如造成甲方损失超过违约金的，超出部分由乙方继续承担赔偿责任。 </w:t>
      </w:r>
      <w:r>
        <w:rPr>
          <w:rFonts w:hint="eastAsia" w:hAnsi="宋体"/>
          <w:bCs/>
          <w:color w:val="000000"/>
          <w:sz w:val="24"/>
          <w:szCs w:val="24"/>
          <w:highlight w:val="none"/>
        </w:rPr>
      </w:r>
      <w:r/>
    </w:p>
    <w:p>
      <w:pPr>
        <w:pStyle w:val="1253"/>
        <w:ind w:firstLine="480"/>
        <w:spacing w:line="440" w:lineRule="exact"/>
        <w:rPr>
          <w:rFonts w:hint="eastAsia" w:hAnsi="宋体"/>
          <w:bCs/>
          <w:color w:val="000000"/>
          <w:sz w:val="24"/>
          <w:szCs w:val="24"/>
          <w:highlight w:val="none"/>
        </w:rPr>
      </w:pPr>
      <w:r>
        <w:rPr>
          <w:rFonts w:hint="eastAsia" w:hAnsi="宋体"/>
          <w:bCs/>
          <w:color w:val="000000"/>
          <w:sz w:val="24"/>
          <w:szCs w:val="24"/>
          <w:highlight w:val="none"/>
        </w:rPr>
        <w:t xml:space="preserve">12.</w:t>
      </w:r>
      <w:r>
        <w:rPr>
          <w:rFonts w:hint="eastAsia" w:hAnsi="宋体"/>
          <w:bCs/>
          <w:color w:val="000000"/>
          <w:sz w:val="24"/>
          <w:szCs w:val="24"/>
          <w:highlight w:val="none"/>
          <w:lang w:val="en-US" w:eastAsia="zh-CN"/>
        </w:rPr>
        <w:t xml:space="preserve">3</w:t>
      </w:r>
      <w:r>
        <w:rPr>
          <w:rFonts w:hint="eastAsia" w:hAnsi="宋体"/>
          <w:bCs/>
          <w:color w:val="000000"/>
          <w:sz w:val="24"/>
          <w:szCs w:val="24"/>
          <w:highlight w:val="none"/>
        </w:rPr>
        <w:t xml:space="preserve"> 乙方交付合同标的的标准不符合合同规定及</w:t>
      </w:r>
      <w:r>
        <w:rPr>
          <w:rFonts w:hint="eastAsia" w:hAnsi="宋体"/>
          <w:bCs/>
          <w:color w:val="000000"/>
          <w:sz w:val="24"/>
          <w:szCs w:val="24"/>
          <w:highlight w:val="none"/>
          <w:lang w:eastAsia="zh-CN"/>
        </w:rPr>
        <w:t xml:space="preserve">招标</w:t>
      </w:r>
      <w:r>
        <w:rPr>
          <w:rFonts w:hint="eastAsia" w:hAnsi="宋体"/>
          <w:bCs/>
          <w:color w:val="000000"/>
          <w:sz w:val="24"/>
          <w:szCs w:val="24"/>
          <w:highlight w:val="none"/>
        </w:rPr>
        <w:t xml:space="preserve">文件规定标准的，甲方有权拒绝接受合同标的，并可单方面解除合同。</w:t>
      </w:r>
      <w:r>
        <w:rPr>
          <w:rFonts w:hint="eastAsia" w:hAnsi="宋体"/>
          <w:bCs/>
          <w:color w:val="000000"/>
          <w:sz w:val="24"/>
          <w:szCs w:val="24"/>
          <w:highlight w:val="none"/>
        </w:rPr>
      </w:r>
      <w:r/>
    </w:p>
    <w:p>
      <w:pPr>
        <w:pStyle w:val="1253"/>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三</w:t>
      </w:r>
      <w:r>
        <w:rPr>
          <w:rFonts w:hAnsi="宋体"/>
          <w:b/>
          <w:color w:val="000000"/>
          <w:sz w:val="24"/>
          <w:szCs w:val="24"/>
          <w:highlight w:val="none"/>
        </w:rPr>
        <w:t xml:space="preserve">、不可抗力事件处理</w:t>
      </w:r>
      <w:r>
        <w:rPr>
          <w:rFonts w:hAnsi="宋体"/>
          <w:b/>
          <w:color w:val="000000"/>
          <w:sz w:val="24"/>
          <w:szCs w:val="24"/>
          <w:highlight w:val="none"/>
        </w:rPr>
      </w:r>
      <w:r/>
    </w:p>
    <w:p>
      <w:pPr>
        <w:pStyle w:val="1253"/>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.1 在合同有效期内，任何一方因不可抗力事件导致不能履行合同，则合</w:t>
      </w:r>
      <w:r>
        <w:rPr>
          <w:rFonts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同履行期可延长，其延长期与不可抗力影响期相同。</w:t>
      </w:r>
      <w:r>
        <w:rPr>
          <w:rFonts w:hAnsi="宋体"/>
          <w:color w:val="000000"/>
          <w:sz w:val="24"/>
          <w:szCs w:val="24"/>
          <w:highlight w:val="none"/>
        </w:rPr>
      </w:r>
      <w:r/>
    </w:p>
    <w:p>
      <w:pPr>
        <w:pStyle w:val="1253"/>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.2 不可抗力事件发生后，应立即通知对方，并寄送有关权威机构出具的</w:t>
      </w:r>
      <w:r>
        <w:rPr>
          <w:rFonts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证明。</w:t>
      </w:r>
      <w:r>
        <w:rPr>
          <w:rFonts w:hAnsi="宋体"/>
          <w:color w:val="000000"/>
          <w:sz w:val="24"/>
          <w:szCs w:val="24"/>
          <w:highlight w:val="none"/>
        </w:rPr>
      </w:r>
      <w:r/>
    </w:p>
    <w:p>
      <w:pPr>
        <w:pStyle w:val="1253"/>
        <w:ind w:left="599" w:hanging="120"/>
        <w:spacing w:line="440" w:lineRule="exact"/>
        <w:rPr>
          <w:rFonts w:hAnsi="宋体"/>
          <w:color w:val="000000"/>
          <w:sz w:val="24"/>
          <w:szCs w:val="24"/>
          <w:highlight w:val="none"/>
        </w:rPr>
      </w:pPr>
      <w:r>
        <w:rPr>
          <w:rFonts w:hAnsi="宋体"/>
          <w:color w:val="000000"/>
          <w:sz w:val="24"/>
          <w:szCs w:val="24"/>
          <w:highlight w:val="none"/>
        </w:rPr>
        <w:t xml:space="preserve">1</w:t>
      </w:r>
      <w:r>
        <w:rPr>
          <w:rFonts w:hint="eastAsia" w:hAnsi="宋体"/>
          <w:color w:val="000000"/>
          <w:sz w:val="24"/>
          <w:szCs w:val="24"/>
          <w:highlight w:val="none"/>
        </w:rPr>
        <w:t xml:space="preserve">3</w:t>
      </w:r>
      <w:r>
        <w:rPr>
          <w:rFonts w:hAnsi="宋体"/>
          <w:color w:val="000000"/>
          <w:sz w:val="24"/>
          <w:szCs w:val="24"/>
          <w:highlight w:val="none"/>
        </w:rPr>
        <w:t xml:space="preserve">.3 不可抗力事件延续120天以上，双方应通过友好协商，确定是否继续</w:t>
      </w:r>
      <w:r>
        <w:rPr>
          <w:rFonts w:hAnsi="宋体"/>
          <w:color w:val="000000"/>
          <w:sz w:val="24"/>
          <w:szCs w:val="24"/>
          <w:highlight w:val="none"/>
        </w:rPr>
      </w:r>
      <w:r/>
    </w:p>
    <w:p>
      <w:pPr>
        <w:pStyle w:val="1253"/>
        <w:spacing w:line="440" w:lineRule="exact"/>
        <w:rPr>
          <w:rFonts w:hAnsi="宋体"/>
          <w:color w:val="000000"/>
          <w:sz w:val="24"/>
          <w:szCs w:val="24"/>
          <w:highlight w:val="none"/>
        </w:rPr>
      </w:pPr>
      <w:r>
        <w:rPr>
          <w:rFonts w:hAnsi="宋体"/>
          <w:color w:val="000000"/>
          <w:sz w:val="24"/>
          <w:szCs w:val="24"/>
          <w:highlight w:val="none"/>
        </w:rPr>
        <w:t xml:space="preserve">履行合同。</w:t>
      </w:r>
      <w:r>
        <w:rPr>
          <w:rFonts w:hAnsi="宋体"/>
          <w:color w:val="000000"/>
          <w:sz w:val="24"/>
          <w:szCs w:val="24"/>
          <w:highlight w:val="none"/>
        </w:rPr>
      </w:r>
      <w:r/>
    </w:p>
    <w:p>
      <w:pPr>
        <w:pStyle w:val="1253"/>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四</w:t>
      </w:r>
      <w:r>
        <w:rPr>
          <w:rFonts w:hAnsi="宋体"/>
          <w:b/>
          <w:color w:val="000000"/>
          <w:sz w:val="24"/>
          <w:szCs w:val="24"/>
          <w:highlight w:val="none"/>
        </w:rPr>
        <w:t xml:space="preserve">、</w:t>
      </w:r>
      <w:r>
        <w:rPr>
          <w:rFonts w:hint="eastAsia" w:hAnsi="宋体"/>
          <w:b/>
          <w:color w:val="000000"/>
          <w:sz w:val="24"/>
          <w:szCs w:val="24"/>
          <w:highlight w:val="none"/>
        </w:rPr>
        <w:t xml:space="preserve">解决争议的方法</w:t>
      </w:r>
      <w:r>
        <w:rPr>
          <w:rFonts w:hAnsi="宋体"/>
          <w:b/>
          <w:color w:val="000000"/>
          <w:sz w:val="24"/>
          <w:szCs w:val="24"/>
          <w:highlight w:val="none"/>
        </w:rPr>
      </w:r>
      <w:r/>
    </w:p>
    <w:p>
      <w:pPr>
        <w:pStyle w:val="1253"/>
        <w:ind w:left="839" w:hanging="360"/>
        <w:spacing w:line="440" w:lineRule="exact"/>
        <w:rPr>
          <w:rFonts w:hint="eastAsia" w:hAnsi="宋体"/>
          <w:color w:val="000000"/>
          <w:sz w:val="24"/>
          <w:szCs w:val="24"/>
          <w:highlight w:val="none"/>
        </w:rPr>
      </w:pPr>
      <w:r>
        <w:rPr>
          <w:rFonts w:hint="eastAsia" w:hAnsi="宋体"/>
          <w:color w:val="000000"/>
          <w:sz w:val="24"/>
          <w:szCs w:val="24"/>
          <w:highlight w:val="none"/>
        </w:rPr>
        <w:t xml:space="preserve">14.1双方在签订、履行合同中所发生的一切争议，应通过友好协商解决。</w:t>
      </w:r>
      <w:r>
        <w:rPr>
          <w:rFonts w:hint="eastAsia" w:hAnsi="宋体"/>
          <w:color w:val="000000"/>
          <w:sz w:val="24"/>
          <w:szCs w:val="24"/>
          <w:highlight w:val="none"/>
        </w:rPr>
      </w:r>
      <w:r/>
    </w:p>
    <w:p>
      <w:pPr>
        <w:pStyle w:val="1253"/>
        <w:spacing w:line="440" w:lineRule="exact"/>
        <w:rPr>
          <w:rFonts w:hint="eastAsia" w:hAnsi="宋体"/>
          <w:color w:val="000000"/>
          <w:sz w:val="24"/>
          <w:szCs w:val="24"/>
          <w:highlight w:val="none"/>
        </w:rPr>
      </w:pPr>
      <w:r>
        <w:rPr>
          <w:rFonts w:hint="eastAsia" w:hAnsi="宋体"/>
          <w:color w:val="000000"/>
          <w:sz w:val="24"/>
          <w:szCs w:val="24"/>
          <w:highlight w:val="none"/>
        </w:rPr>
        <w:t xml:space="preserve">如协商不成，由甲方住所地人民法院管辖。</w:t>
      </w:r>
      <w:r>
        <w:rPr>
          <w:rFonts w:hint="eastAsia" w:hAnsi="宋体"/>
          <w:color w:val="000000"/>
          <w:sz w:val="24"/>
          <w:szCs w:val="24"/>
          <w:highlight w:val="none"/>
        </w:rPr>
      </w:r>
      <w:r/>
    </w:p>
    <w:p>
      <w:pPr>
        <w:pStyle w:val="1253"/>
        <w:ind w:left="602" w:hanging="602"/>
        <w:spacing w:line="440" w:lineRule="exact"/>
        <w:rPr>
          <w:rFonts w:hAnsi="宋体"/>
          <w:b/>
          <w:color w:val="000000"/>
          <w:sz w:val="24"/>
          <w:szCs w:val="24"/>
          <w:highlight w:val="none"/>
        </w:rPr>
      </w:pPr>
      <w:r>
        <w:rPr>
          <w:rFonts w:hAnsi="宋体"/>
          <w:b/>
          <w:color w:val="000000"/>
          <w:sz w:val="24"/>
          <w:szCs w:val="24"/>
          <w:highlight w:val="none"/>
        </w:rPr>
        <w:t xml:space="preserve">十</w:t>
      </w:r>
      <w:r>
        <w:rPr>
          <w:rFonts w:hint="eastAsia" w:hAnsi="宋体"/>
          <w:b/>
          <w:color w:val="000000"/>
          <w:sz w:val="24"/>
          <w:szCs w:val="24"/>
          <w:highlight w:val="none"/>
        </w:rPr>
        <w:t xml:space="preserve">五</w:t>
      </w:r>
      <w:r>
        <w:rPr>
          <w:rFonts w:hAnsi="宋体"/>
          <w:b/>
          <w:color w:val="000000"/>
          <w:sz w:val="24"/>
          <w:szCs w:val="24"/>
          <w:highlight w:val="none"/>
        </w:rPr>
        <w:t xml:space="preserve">、合同生效及其它</w:t>
      </w:r>
      <w:r>
        <w:rPr>
          <w:rFonts w:hAnsi="宋体"/>
          <w:b/>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15.1由于非乙方的原因导致合同期延长，甲、乙双方应按约定签定补充协</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议。</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15.2若实际成交量或合同期因故发生重大变化，双方均可提出合同变更请</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求并应签订补充协议，但所有补充协议总金额不得超过原合同总金额的10%。</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15.3甲方招标文件、乙方投标文件、会议记录均为本合同的组成部分，具</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有同等法律效力。</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15.4本合同经各方签字盖章即生效，并自签订之日起七个工作日内，政府</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代理机构须将合同报政府监督管理部门备案，加盖“扬中市政府备案章”。</w:t>
      </w:r>
      <w:r>
        <w:rPr>
          <w:rFonts w:hAnsi="宋体"/>
          <w:color w:val="000000"/>
          <w:sz w:val="24"/>
          <w:szCs w:val="24"/>
          <w:highlight w:val="none"/>
        </w:rPr>
      </w:r>
      <w:r/>
    </w:p>
    <w:p>
      <w:pPr>
        <w:pStyle w:val="1253"/>
        <w:ind w:left="599" w:hanging="120"/>
        <w:spacing w:line="440" w:lineRule="exact"/>
        <w:rPr>
          <w:rFonts w:hint="eastAsia" w:hAnsi="宋体"/>
          <w:color w:val="000000"/>
          <w:sz w:val="24"/>
          <w:szCs w:val="24"/>
          <w:highlight w:val="none"/>
        </w:rPr>
      </w:pPr>
      <w:r>
        <w:rPr>
          <w:rFonts w:hint="eastAsia" w:hAnsi="宋体"/>
          <w:color w:val="000000"/>
          <w:sz w:val="24"/>
          <w:szCs w:val="24"/>
          <w:highlight w:val="none"/>
        </w:rPr>
        <w:t xml:space="preserve">15.5本合同一式陆份，甲方、乙方各执2份、政府代理机构、政府监督管</w:t>
      </w:r>
      <w:r>
        <w:rPr>
          <w:rFonts w:hint="eastAsia" w:hAnsi="宋体"/>
          <w:color w:val="000000"/>
          <w:sz w:val="24"/>
          <w:szCs w:val="24"/>
          <w:highlight w:val="none"/>
        </w:rPr>
      </w:r>
      <w:r/>
    </w:p>
    <w:p>
      <w:pPr>
        <w:pStyle w:val="1253"/>
        <w:spacing w:line="440" w:lineRule="exact"/>
        <w:rPr>
          <w:rFonts w:hAnsi="宋体"/>
          <w:color w:val="000000"/>
          <w:sz w:val="24"/>
          <w:szCs w:val="24"/>
          <w:highlight w:val="none"/>
        </w:rPr>
      </w:pPr>
      <w:r>
        <w:rPr>
          <w:rFonts w:hint="eastAsia" w:hAnsi="宋体"/>
          <w:color w:val="000000"/>
          <w:sz w:val="24"/>
          <w:szCs w:val="24"/>
          <w:highlight w:val="none"/>
        </w:rPr>
        <w:t xml:space="preserve">理部门各执1份。</w:t>
      </w:r>
      <w:r>
        <w:rPr>
          <w:rFonts w:hAnsi="宋体"/>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甲方：（盖章）　　　　   　　      乙方：（盖章）</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代表：（签字）</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地址：</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签约日期： 年 月 日</w:t>
      </w:r>
      <w:r>
        <w:rPr>
          <w:rFonts w:ascii="宋体" w:hAnsi="宋体" w:cs="Courier New"/>
          <w:color w:val="000000"/>
          <w:sz w:val="24"/>
          <w:szCs w:val="24"/>
          <w:highlight w:val="none"/>
        </w:rPr>
      </w:r>
      <w:r/>
    </w:p>
    <w:p>
      <w:pPr>
        <w:pStyle w:val="121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代理（加盖公章）： </w:t>
      </w:r>
      <w:r>
        <w:rPr>
          <w:rFonts w:ascii="宋体" w:hAnsi="宋体" w:cs="Courier New"/>
          <w:color w:val="000000"/>
          <w:sz w:val="24"/>
          <w:szCs w:val="24"/>
          <w:highlight w:val="none"/>
        </w:rPr>
      </w:r>
      <w:r/>
    </w:p>
    <w:p>
      <w:pPr>
        <w:pStyle w:val="121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代表：（签字）　</w:t>
      </w:r>
      <w:r>
        <w:rPr>
          <w:rFonts w:ascii="宋体" w:hAnsi="宋体" w:cs="Courier New"/>
          <w:color w:val="000000"/>
          <w:sz w:val="24"/>
          <w:szCs w:val="24"/>
          <w:highlight w:val="none"/>
        </w:rPr>
      </w:r>
      <w:r/>
    </w:p>
    <w:p>
      <w:pPr>
        <w:pStyle w:val="1215"/>
        <w:jc w:val="left"/>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地址：             </w:t>
      </w:r>
      <w:r>
        <w:rPr>
          <w:rFonts w:ascii="宋体" w:hAnsi="宋体" w:cs="Courier New"/>
          <w:color w:val="000000"/>
          <w:sz w:val="24"/>
          <w:szCs w:val="24"/>
          <w:highlight w:val="none"/>
        </w:rPr>
      </w:r>
      <w:r/>
    </w:p>
    <w:p>
      <w:pPr>
        <w:pStyle w:val="1215"/>
        <w:spacing w:line="440" w:lineRule="exact"/>
        <w:rPr>
          <w:rFonts w:ascii="宋体" w:hAnsi="宋体" w:cs="Courier New"/>
          <w:color w:val="000000"/>
          <w:sz w:val="24"/>
          <w:szCs w:val="24"/>
          <w:highlight w:val="none"/>
        </w:rPr>
      </w:pPr>
      <w:r>
        <w:rPr>
          <w:rFonts w:hint="eastAsia" w:ascii="宋体" w:hAnsi="宋体" w:cs="Courier New"/>
          <w:color w:val="000000"/>
          <w:sz w:val="24"/>
          <w:szCs w:val="24"/>
          <w:highlight w:val="none"/>
        </w:rPr>
        <w:t xml:space="preserve">签约日期： 年 月 日           </w:t>
      </w:r>
      <w:r>
        <w:rPr>
          <w:rFonts w:ascii="宋体" w:hAnsi="宋体" w:cs="Courier New"/>
          <w:color w:val="000000"/>
          <w:sz w:val="24"/>
          <w:szCs w:val="24"/>
          <w:highlight w:val="none"/>
        </w:rPr>
      </w:r>
      <w:r/>
    </w:p>
    <w:p>
      <w:pPr>
        <w:pStyle w:val="1215"/>
        <w:rPr>
          <w:color w:val="000000"/>
          <w:highlight w:val="none"/>
        </w:rPr>
      </w:pPr>
      <w:r>
        <w:rPr>
          <w:color w:val="000000"/>
          <w:highlight w:val="none"/>
        </w:rPr>
      </w:r>
      <w:r/>
    </w:p>
    <w:p>
      <w:pPr>
        <w:pStyle w:val="1215"/>
        <w:spacing w:line="440" w:lineRule="exact"/>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9"/>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15"/>
        <w:rPr>
          <w:rFonts w:ascii="宋体" w:hAnsi="宋体" w:cs="Courier New"/>
          <w:color w:val="000000"/>
          <w:sz w:val="24"/>
          <w:szCs w:val="24"/>
          <w:highlight w:val="none"/>
        </w:rPr>
      </w:pPr>
      <w:r>
        <w:rPr>
          <w:rFonts w:ascii="宋体" w:hAnsi="宋体" w:cs="Courier New"/>
          <w:color w:val="000000"/>
          <w:sz w:val="24"/>
          <w:szCs w:val="24"/>
          <w:highlight w:val="none"/>
        </w:rPr>
      </w:r>
      <w:r/>
    </w:p>
    <w:p>
      <w:pPr>
        <w:pStyle w:val="1253"/>
        <w:jc w:val="center"/>
        <w:spacing w:before="120" w:after="120" w:line="440" w:lineRule="exact"/>
        <w:rPr>
          <w:rFonts w:hint="eastAsia" w:ascii="黑体" w:eastAsia="黑体"/>
          <w:bCs/>
          <w:color w:val="000000"/>
          <w:sz w:val="32"/>
          <w:szCs w:val="32"/>
          <w:highlight w:val="none"/>
        </w:rPr>
      </w:pPr>
      <w:r/>
      <w:bookmarkEnd w:id="189"/>
      <w:r/>
      <w:bookmarkEnd w:id="190"/>
      <w:r/>
      <w:bookmarkEnd w:id="191"/>
      <w:r/>
      <w:bookmarkStart w:id="192" w:name="_Hlt16619350"/>
      <w:r/>
      <w:bookmarkStart w:id="193" w:name="_Toc20823346"/>
      <w:r/>
      <w:bookmarkStart w:id="194" w:name="_Toc120614244"/>
      <w:r/>
      <w:bookmarkStart w:id="195" w:name="_Toc16938590"/>
      <w:r/>
      <w:bookmarkStart w:id="196" w:name="_Toc462564139"/>
      <w:r/>
      <w:bookmarkStart w:id="197" w:name="_Toc479757211"/>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ascii="黑体" w:eastAsia="黑体"/>
          <w:bCs/>
          <w:color w:val="000000"/>
          <w:sz w:val="32"/>
          <w:szCs w:val="32"/>
          <w:highlight w:val="none"/>
        </w:rPr>
      </w:pPr>
      <w:r>
        <w:rPr>
          <w:rFonts w:hint="eastAsia" w:ascii="黑体" w:eastAsia="黑体"/>
          <w:bCs/>
          <w:color w:val="000000"/>
          <w:sz w:val="32"/>
          <w:szCs w:val="32"/>
          <w:highlight w:val="none"/>
        </w:rPr>
      </w:r>
      <w:r/>
    </w:p>
    <w:p>
      <w:pPr>
        <w:pStyle w:val="1253"/>
        <w:jc w:val="center"/>
        <w:spacing w:before="120" w:after="120" w:line="440" w:lineRule="exact"/>
        <w:rPr>
          <w:rFonts w:hint="eastAsia" w:hAnsi="宋体"/>
          <w:color w:val="000000"/>
          <w:sz w:val="24"/>
          <w:szCs w:val="24"/>
          <w:highlight w:val="none"/>
        </w:rPr>
      </w:pPr>
      <w:r>
        <w:rPr>
          <w:rFonts w:hint="eastAsia" w:ascii="黑体" w:eastAsia="黑体"/>
          <w:bCs/>
          <w:color w:val="000000"/>
          <w:sz w:val="32"/>
          <w:szCs w:val="32"/>
          <w:highlight w:val="none"/>
        </w:rPr>
        <w:t xml:space="preserve">第</w:t>
      </w:r>
      <w:bookmarkEnd w:id="192"/>
      <w:r>
        <w:rPr>
          <w:rFonts w:hint="eastAsia" w:ascii="黑体" w:eastAsia="黑体"/>
          <w:bCs/>
          <w:color w:val="000000"/>
          <w:sz w:val="32"/>
          <w:szCs w:val="32"/>
          <w:highlight w:val="none"/>
        </w:rPr>
        <w:t xml:space="preserve">四章 招标需求</w:t>
      </w:r>
      <w:bookmarkEnd w:id="193"/>
      <w:r/>
      <w:bookmarkEnd w:id="194"/>
      <w:r/>
      <w:bookmarkEnd w:id="195"/>
      <w:r>
        <w:rPr>
          <w:rFonts w:hint="eastAsia" w:hAnsi="宋体"/>
          <w:color w:val="000000"/>
          <w:sz w:val="24"/>
          <w:szCs w:val="24"/>
          <w:highlight w:val="none"/>
        </w:rPr>
      </w:r>
      <w:r/>
    </w:p>
    <w:p>
      <w:pPr>
        <w:pStyle w:val="1215"/>
        <w:spacing w:line="360" w:lineRule="auto"/>
        <w:rPr>
          <w:rFonts w:hint="eastAsia" w:ascii="宋体" w:hAnsi="宋体" w:cs="宋体"/>
          <w:color w:val="000000"/>
          <w:sz w:val="24"/>
          <w:szCs w:val="24"/>
          <w:highlight w:val="none"/>
        </w:rPr>
      </w:pPr>
      <w:r/>
      <w:bookmarkStart w:id="198" w:name="_Toc49090575"/>
      <w:r/>
      <w:bookmarkStart w:id="199" w:name="_Toc26554093"/>
      <w:r>
        <w:rPr>
          <w:rFonts w:hint="eastAsia" w:ascii="宋体" w:hAnsi="宋体" w:cs="宋体"/>
          <w:color w:val="000000"/>
          <w:sz w:val="24"/>
          <w:szCs w:val="24"/>
          <w:highlight w:val="none"/>
        </w:rPr>
        <w:t xml:space="preserve">项目属性:货物类项目。</w:t>
      </w:r>
      <w:bookmarkStart w:id="200" w:name="_Toc120614281"/>
      <w:r>
        <w:rPr>
          <w:rFonts w:hint="eastAsia" w:ascii="宋体" w:hAnsi="宋体" w:cs="宋体"/>
          <w:color w:val="000000"/>
          <w:sz w:val="24"/>
          <w:szCs w:val="24"/>
          <w:highlight w:val="none"/>
        </w:rPr>
      </w:r>
      <w:r/>
    </w:p>
    <w:p>
      <w:pPr>
        <w:pStyle w:val="1293"/>
        <w:spacing w:line="360" w:lineRule="auto"/>
        <w:tabs>
          <w:tab w:val="center" w:pos="4153" w:leader="none"/>
          <w:tab w:val="right" w:pos="8306" w:leader="none"/>
        </w:tabs>
        <w:rPr>
          <w:rFonts w:hint="eastAsia" w:ascii="宋体" w:hAnsi="宋体" w:cs="宋体"/>
          <w:bCs/>
          <w:color w:val="000000"/>
          <w:sz w:val="24"/>
          <w:szCs w:val="24"/>
          <w:highlight w:val="none"/>
        </w:rPr>
      </w:pPr>
      <w:r/>
      <w:bookmarkStart w:id="201" w:name="_Toc24651"/>
      <w:r>
        <w:rPr>
          <w:rFonts w:hint="eastAsia" w:ascii="宋体" w:hAnsi="宋体" w:cs="宋体"/>
          <w:bCs/>
          <w:color w:val="000000"/>
          <w:sz w:val="24"/>
          <w:szCs w:val="24"/>
          <w:highlight w:val="none"/>
        </w:rPr>
        <w:t xml:space="preserve">一、采购清单</w:t>
      </w:r>
      <w:bookmarkEnd w:id="201"/>
      <w:r>
        <w:rPr>
          <w:rFonts w:hint="eastAsia" w:ascii="宋体" w:hAnsi="宋体" w:cs="宋体"/>
          <w:bCs/>
          <w:color w:val="000000"/>
          <w:sz w:val="24"/>
          <w:szCs w:val="24"/>
          <w:highlight w:val="none"/>
        </w:rPr>
      </w:r>
      <w:r/>
    </w:p>
    <w:tbl>
      <w:tblPr>
        <w:tblW w:w="10238" w:type="dxa"/>
        <w:jc w:val="cente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899"/>
        <w:gridCol w:w="5619"/>
        <w:gridCol w:w="1307"/>
        <w:gridCol w:w="981"/>
        <w:gridCol w:w="1432"/>
      </w:tblGrid>
      <w:tr>
        <w:trPr>
          <w:trHeight w:val="625"/>
          <w:tblHeader/>
        </w:trPr>
        <w:tc>
          <w:tcPr>
            <w:tcW w:w="899"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bookmarkStart w:id="202" w:name="_Toc29535"/>
            <w:r>
              <w:rPr>
                <w:rFonts w:hint="eastAsia" w:ascii="宋体" w:hAnsi="宋体" w:cs="宋体"/>
                <w:bCs/>
                <w:color w:val="000000"/>
                <w:sz w:val="24"/>
                <w:szCs w:val="24"/>
                <w:highlight w:val="none"/>
              </w:rPr>
              <w:t xml:space="preserve">序号</w:t>
            </w:r>
            <w:r>
              <w:rPr>
                <w:rFonts w:hint="eastAsia" w:ascii="宋体" w:hAnsi="宋体" w:cs="宋体"/>
                <w:bCs/>
                <w:color w:val="000000"/>
                <w:sz w:val="24"/>
                <w:szCs w:val="24"/>
                <w:highlight w:val="none"/>
              </w:rPr>
            </w:r>
            <w:r/>
          </w:p>
        </w:tc>
        <w:tc>
          <w:tcPr>
            <w:tcW w:w="5619"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设备名称</w:t>
            </w:r>
            <w:r>
              <w:rPr>
                <w:rFonts w:hint="eastAsia" w:ascii="宋体" w:hAnsi="宋体" w:cs="宋体"/>
                <w:bCs/>
                <w:color w:val="000000"/>
                <w:sz w:val="24"/>
                <w:szCs w:val="24"/>
                <w:highlight w:val="none"/>
              </w:rPr>
            </w:r>
            <w:r/>
          </w:p>
        </w:tc>
        <w:tc>
          <w:tcPr>
            <w:tcW w:w="1307"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数量</w:t>
            </w:r>
            <w:r>
              <w:rPr>
                <w:rFonts w:hint="eastAsia" w:ascii="宋体" w:hAnsi="宋体" w:cs="宋体"/>
                <w:bCs/>
                <w:color w:val="000000"/>
                <w:sz w:val="24"/>
                <w:szCs w:val="24"/>
                <w:highlight w:val="none"/>
              </w:rPr>
            </w:r>
            <w:r/>
          </w:p>
        </w:tc>
        <w:tc>
          <w:tcPr>
            <w:tcW w:w="981"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备注</w:t>
            </w:r>
            <w:r>
              <w:rPr>
                <w:rFonts w:hint="eastAsia" w:ascii="宋体" w:hAnsi="宋体" w:cs="宋体"/>
                <w:bCs/>
                <w:color w:val="000000"/>
                <w:sz w:val="24"/>
                <w:szCs w:val="24"/>
                <w:highlight w:val="none"/>
              </w:rPr>
            </w:r>
            <w:r/>
          </w:p>
        </w:tc>
        <w:tc>
          <w:tcPr>
            <w:tcW w:w="1432"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是否为核心产品</w:t>
            </w:r>
            <w:r>
              <w:rPr>
                <w:rFonts w:hint="eastAsia" w:ascii="宋体" w:hAnsi="宋体" w:cs="宋体"/>
                <w:bCs/>
                <w:color w:val="000000"/>
                <w:sz w:val="24"/>
                <w:szCs w:val="24"/>
                <w:highlight w:val="none"/>
              </w:rPr>
            </w:r>
            <w:r/>
          </w:p>
        </w:tc>
      </w:tr>
      <w:tr>
        <w:trPr>
          <w:trHeight w:val="412"/>
        </w:trPr>
        <w:tc>
          <w:tcPr>
            <w:tcW w:w="899" w:type="dxa"/>
            <w:vAlign w:val="center"/>
            <w:textDirection w:val="lrTb"/>
            <w:noWrap w:val="false"/>
          </w:tcPr>
          <w:p>
            <w:pPr>
              <w:pStyle w:val="1293"/>
              <w:jc w:val="center"/>
              <w:tabs>
                <w:tab w:val="center" w:pos="4153" w:leader="none"/>
                <w:tab w:val="right" w:pos="8306" w:leader="none"/>
              </w:tabs>
              <w:rPr>
                <w:rFonts w:hint="eastAsia" w:ascii="宋体" w:hAnsi="宋体" w:eastAsia="宋体" w:cs="宋体"/>
                <w:bCs/>
                <w:color w:val="000000"/>
                <w:sz w:val="24"/>
                <w:szCs w:val="24"/>
                <w:highlight w:val="none"/>
                <w:lang w:eastAsia="zh-CN"/>
              </w:rPr>
            </w:pPr>
            <w:r>
              <w:rPr>
                <w:rFonts w:hint="eastAsia" w:ascii="宋体" w:hAnsi="宋体" w:cs="宋体"/>
                <w:bCs/>
                <w:color w:val="000000"/>
                <w:sz w:val="24"/>
                <w:szCs w:val="24"/>
                <w:highlight w:val="none"/>
                <w:lang w:eastAsia="zh-CN"/>
              </w:rPr>
              <w:t xml:space="preserve">一</w:t>
            </w:r>
            <w:r>
              <w:rPr>
                <w:rFonts w:hint="eastAsia" w:ascii="宋体" w:hAnsi="宋体" w:eastAsia="宋体" w:cs="宋体"/>
                <w:bCs/>
                <w:color w:val="000000"/>
                <w:sz w:val="24"/>
                <w:szCs w:val="24"/>
                <w:highlight w:val="none"/>
                <w:lang w:eastAsia="zh-CN"/>
              </w:rPr>
            </w:r>
            <w:r/>
          </w:p>
        </w:tc>
        <w:tc>
          <w:tcPr>
            <w:tcW w:w="5619" w:type="dxa"/>
            <w:vAlign w:val="center"/>
            <w:textDirection w:val="lrTb"/>
            <w:noWrap w:val="false"/>
          </w:tcPr>
          <w:p>
            <w:pPr>
              <w:pStyle w:val="1293"/>
              <w:jc w:val="center"/>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eastAsia="宋体" w:cs="宋体"/>
                <w:i w:val="0"/>
                <w:iCs w:val="0"/>
                <w:color w:val="000000"/>
                <w:sz w:val="22"/>
                <w:szCs w:val="22"/>
                <w:highlight w:val="none"/>
                <w:u w:val="none"/>
                <w:lang w:val="en-US" w:eastAsia="zh-CN" w:bidi="ar"/>
              </w:rPr>
              <w:t xml:space="preserve">32排及以上螺旋CT</w:t>
            </w:r>
            <w:r>
              <w:rPr>
                <w:rFonts w:ascii="宋体" w:hAnsi="宋体" w:eastAsia="宋体" w:cs="宋体"/>
                <w:bCs/>
                <w:color w:val="000000"/>
                <w:sz w:val="24"/>
                <w:szCs w:val="24"/>
                <w:highlight w:val="none"/>
                <w:lang w:val="en-US" w:eastAsia="zh-CN"/>
              </w:rPr>
            </w:r>
            <w:r/>
          </w:p>
        </w:tc>
        <w:tc>
          <w:tcPr>
            <w:tcW w:w="1307"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t xml:space="preserve">1套</w:t>
            </w:r>
            <w:r>
              <w:rPr>
                <w:rFonts w:hint="eastAsia" w:ascii="宋体" w:hAnsi="宋体" w:cs="宋体"/>
                <w:bCs/>
                <w:color w:val="000000"/>
                <w:sz w:val="24"/>
                <w:szCs w:val="24"/>
                <w:highlight w:val="none"/>
              </w:rPr>
            </w:r>
            <w:r/>
          </w:p>
        </w:tc>
        <w:tc>
          <w:tcPr>
            <w:tcW w:w="981" w:type="dxa"/>
            <w:vAlign w:val="center"/>
            <w:textDirection w:val="lrTb"/>
            <w:noWrap w:val="false"/>
          </w:tcPr>
          <w:p>
            <w:pPr>
              <w:pStyle w:val="1293"/>
              <w:jc w:val="center"/>
              <w:tabs>
                <w:tab w:val="center" w:pos="4153" w:leader="none"/>
                <w:tab w:val="right" w:pos="8306" w:leader="none"/>
              </w:tabs>
              <w:rPr>
                <w:rFonts w:hint="eastAsia" w:ascii="宋体" w:hAnsi="宋体" w:cs="宋体"/>
                <w:bCs/>
                <w:color w:val="000000"/>
                <w:sz w:val="24"/>
                <w:szCs w:val="24"/>
                <w:highlight w:val="none"/>
              </w:rPr>
            </w:pPr>
            <w:r>
              <w:rPr>
                <w:rFonts w:hint="eastAsia" w:ascii="宋体" w:hAnsi="宋体" w:cs="宋体"/>
                <w:bCs/>
                <w:color w:val="000000"/>
                <w:sz w:val="24"/>
                <w:szCs w:val="24"/>
                <w:highlight w:val="none"/>
              </w:rPr>
            </w:r>
            <w:r/>
          </w:p>
        </w:tc>
        <w:tc>
          <w:tcPr>
            <w:tcW w:w="1432" w:type="dxa"/>
            <w:vAlign w:val="center"/>
            <w:textDirection w:val="lrTb"/>
            <w:noWrap w:val="false"/>
          </w:tcPr>
          <w:p>
            <w:pPr>
              <w:pStyle w:val="1293"/>
              <w:jc w:val="center"/>
              <w:tabs>
                <w:tab w:val="center" w:pos="4153" w:leader="none"/>
                <w:tab w:val="right" w:pos="8306" w:leader="none"/>
              </w:tabs>
              <w:rPr>
                <w:rFonts w:ascii="宋体" w:hAnsi="宋体" w:eastAsia="宋体" w:cs="宋体"/>
                <w:bCs/>
                <w:color w:val="000000"/>
                <w:sz w:val="24"/>
                <w:szCs w:val="24"/>
                <w:highlight w:val="none"/>
                <w:lang w:val="en-US" w:eastAsia="zh-CN"/>
              </w:rPr>
            </w:pPr>
            <w:r>
              <w:rPr>
                <w:rFonts w:hint="eastAsia" w:ascii="宋体" w:hAnsi="宋体" w:cs="宋体"/>
                <w:bCs/>
                <w:color w:val="000000"/>
                <w:sz w:val="24"/>
                <w:szCs w:val="24"/>
                <w:highlight w:val="none"/>
              </w:rPr>
              <w:t xml:space="preserve">是</w:t>
            </w:r>
            <w:r>
              <w:rPr>
                <w:rFonts w:ascii="宋体" w:hAnsi="宋体" w:eastAsia="宋体" w:cs="宋体"/>
                <w:bCs/>
                <w:color w:val="000000"/>
                <w:sz w:val="24"/>
                <w:szCs w:val="24"/>
                <w:highlight w:val="none"/>
                <w:lang w:val="en-US" w:eastAsia="zh-CN"/>
              </w:rPr>
            </w:r>
            <w:r/>
          </w:p>
        </w:tc>
      </w:tr>
    </w:tbl>
    <w:p>
      <w:pPr>
        <w:pStyle w:val="1293"/>
        <w:ind w:firstLine="482"/>
        <w:spacing w:line="360" w:lineRule="auto"/>
        <w:tabs>
          <w:tab w:val="center" w:pos="4153" w:leader="none"/>
          <w:tab w:val="right" w:pos="8306" w:leader="none"/>
        </w:tabs>
        <w:rPr>
          <w:rFonts w:ascii="宋体" w:hAnsi="宋体" w:cs="宋体"/>
          <w:b/>
          <w:color w:val="000000"/>
          <w:sz w:val="24"/>
          <w:szCs w:val="24"/>
        </w:rPr>
      </w:pPr>
      <w:r>
        <w:rPr>
          <w:rFonts w:hint="eastAsia" w:ascii="宋体" w:hAnsi="宋体" w:cs="宋体"/>
          <w:b/>
          <w:sz w:val="24"/>
          <w:szCs w:val="24"/>
        </w:rPr>
        <w:t xml:space="preserve">注：1</w:t>
      </w:r>
      <w:r>
        <w:rPr>
          <w:rFonts w:ascii="宋体" w:hAnsi="宋体" w:cs="宋体"/>
          <w:b/>
          <w:sz w:val="24"/>
          <w:szCs w:val="24"/>
        </w:rPr>
        <w:t xml:space="preserve">.</w:t>
      </w:r>
      <w:r>
        <w:rPr>
          <w:rFonts w:hint="eastAsia" w:ascii="宋体" w:hAnsi="宋体" w:cs="宋体"/>
          <w:b/>
          <w:sz w:val="24"/>
          <w:szCs w:val="24"/>
        </w:rPr>
        <w:t xml:space="preserve">使用综合评分法的采购项目，核心产品提供相同品牌产品且通过资格审查、符合性审查的不同投标人参加同一合同项下投标的，按一家投标人计算，评审后得分最高的同品牌投标人获得中标候选人推荐资格；评审得分相同的，由采购人或者采购人委托评标委员会按照招标文件规定的方式确定一个投标人获得中标人推荐资格，招标文件未规定的采取随机抽取方式确定，其他同品牌投标人不作为中标候选人。采用最低评标价法的采购项目，提供相同品牌产品的不同投标人参加同一合同项下投标的，以其中通过资格审查、符合性审查且报价最低的参加评标；报价</w:t>
      </w:r>
      <w:r>
        <w:rPr>
          <w:rFonts w:hint="eastAsia" w:ascii="宋体" w:hAnsi="宋体" w:cs="宋体"/>
          <w:b/>
          <w:color w:val="000000"/>
          <w:sz w:val="24"/>
          <w:szCs w:val="24"/>
        </w:rPr>
        <w:t xml:space="preserve">相同的，由采购人或者采购人委托评标委员会按照招标文件规定的方式确定一个参加评标的投标人，招标文件未规定的采取随机抽取方式确定，其他投标无效。</w:t>
      </w:r>
      <w:r>
        <w:rPr>
          <w:rFonts w:ascii="宋体" w:hAnsi="宋体" w:cs="宋体"/>
          <w:b/>
          <w:color w:val="000000"/>
          <w:sz w:val="24"/>
          <w:szCs w:val="24"/>
        </w:rPr>
      </w:r>
      <w:r/>
    </w:p>
    <w:p>
      <w:pPr>
        <w:pStyle w:val="1293"/>
        <w:ind w:firstLine="482"/>
        <w:spacing w:line="360" w:lineRule="auto"/>
        <w:tabs>
          <w:tab w:val="center" w:pos="4153" w:leader="none"/>
          <w:tab w:val="right" w:pos="8306" w:leader="none"/>
        </w:tabs>
        <w:rPr>
          <w:rFonts w:ascii="宋体" w:hAnsi="宋体" w:cs="宋体"/>
          <w:b/>
          <w:color w:val="000000"/>
          <w:sz w:val="24"/>
          <w:szCs w:val="24"/>
        </w:rPr>
      </w:pPr>
      <w:r>
        <w:rPr>
          <w:rFonts w:hint="eastAsia" w:ascii="宋体" w:hAnsi="宋体" w:cs="宋体"/>
          <w:b/>
          <w:color w:val="000000"/>
          <w:sz w:val="24"/>
          <w:szCs w:val="24"/>
        </w:rPr>
        <w:t xml:space="preserve">2</w:t>
      </w:r>
      <w:r>
        <w:rPr>
          <w:rFonts w:ascii="宋体" w:hAnsi="宋体" w:cs="宋体"/>
          <w:b/>
          <w:color w:val="000000"/>
          <w:sz w:val="24"/>
          <w:szCs w:val="24"/>
        </w:rPr>
        <w:t xml:space="preserve">.</w:t>
      </w:r>
      <w:r>
        <w:rPr>
          <w:rFonts w:hint="eastAsia" w:ascii="宋体" w:hAnsi="宋体" w:cs="宋体"/>
          <w:b/>
          <w:color w:val="000000"/>
          <w:sz w:val="24"/>
          <w:szCs w:val="24"/>
        </w:rPr>
        <w:t xml:space="preserve">本项目不允许进口产品参与投标。</w:t>
      </w:r>
      <w:r>
        <w:rPr>
          <w:rFonts w:ascii="宋体" w:hAnsi="宋体" w:cs="宋体"/>
          <w:b/>
          <w:color w:val="000000"/>
          <w:sz w:val="24"/>
          <w:szCs w:val="24"/>
        </w:rPr>
      </w:r>
      <w:r/>
    </w:p>
    <w:p>
      <w:pPr>
        <w:pStyle w:val="1293"/>
        <w:ind w:firstLine="482"/>
        <w:spacing w:line="360" w:lineRule="auto"/>
        <w:tabs>
          <w:tab w:val="center" w:pos="4153" w:leader="none"/>
          <w:tab w:val="right" w:pos="8306" w:leader="none"/>
        </w:tabs>
        <w:rPr>
          <w:rFonts w:hint="eastAsia" w:ascii="宋体" w:hAnsi="宋体" w:cs="宋体"/>
          <w:b/>
          <w:bCs/>
          <w:i/>
          <w:color w:val="ff0000"/>
          <w:sz w:val="24"/>
          <w:szCs w:val="24"/>
        </w:rPr>
      </w:pPr>
      <w:r>
        <w:rPr>
          <w:rFonts w:hint="eastAsia" w:ascii="宋体" w:hAnsi="宋体" w:cs="宋体"/>
          <w:b/>
          <w:i/>
          <w:iCs/>
          <w:color w:val="ff0000"/>
          <w:sz w:val="24"/>
          <w:szCs w:val="24"/>
        </w:rPr>
        <w:t xml:space="preserve">3</w:t>
      </w:r>
      <w:r>
        <w:rPr>
          <w:rFonts w:ascii="宋体" w:hAnsi="宋体" w:cs="宋体"/>
          <w:b/>
          <w:i/>
          <w:iCs/>
          <w:color w:val="ff0000"/>
          <w:sz w:val="24"/>
          <w:szCs w:val="24"/>
        </w:rPr>
        <w:t xml:space="preserve">.</w:t>
      </w:r>
      <w:r>
        <w:rPr>
          <w:rFonts w:hint="eastAsia" w:ascii="宋体" w:hAnsi="宋体" w:cs="宋体"/>
          <w:b/>
          <w:i/>
          <w:iCs/>
          <w:color w:val="ff0000"/>
          <w:sz w:val="24"/>
          <w:szCs w:val="24"/>
        </w:rPr>
        <w:t xml:space="preserve">投标人所投设备为</w:t>
      </w:r>
      <w:r>
        <w:rPr>
          <w:rFonts w:hint="eastAsia" w:ascii="宋体" w:hAnsi="宋体" w:cs="宋体"/>
          <w:b/>
          <w:i/>
          <w:iCs/>
          <w:color w:val="ff0000"/>
          <w:sz w:val="24"/>
          <w:szCs w:val="24"/>
          <w:lang w:eastAsia="zh-CN"/>
        </w:rPr>
        <w:t xml:space="preserve">探测器物理排数</w:t>
      </w:r>
      <w:r>
        <w:rPr>
          <w:rFonts w:hint="eastAsia" w:ascii="宋体" w:hAnsi="宋体" w:cs="宋体"/>
          <w:b/>
          <w:i/>
          <w:iCs/>
          <w:color w:val="ff0000"/>
          <w:sz w:val="24"/>
          <w:szCs w:val="24"/>
        </w:rPr>
        <w:t xml:space="preserve">3</w:t>
      </w:r>
      <w:r>
        <w:rPr>
          <w:rFonts w:ascii="宋体" w:hAnsi="宋体" w:cs="宋体"/>
          <w:b/>
          <w:i/>
          <w:iCs/>
          <w:color w:val="ff0000"/>
          <w:sz w:val="24"/>
          <w:szCs w:val="24"/>
        </w:rPr>
        <w:t xml:space="preserve">2</w:t>
      </w:r>
      <w:r>
        <w:rPr>
          <w:rFonts w:hint="eastAsia" w:ascii="宋体" w:hAnsi="宋体" w:cs="宋体"/>
          <w:b/>
          <w:i/>
          <w:iCs/>
          <w:color w:val="ff0000"/>
          <w:sz w:val="24"/>
          <w:szCs w:val="24"/>
        </w:rPr>
        <w:t xml:space="preserve">排以下螺旋CT的视为无效响应。</w:t>
      </w:r>
      <w:r>
        <w:rPr>
          <w:i/>
          <w:iCs/>
        </w:rPr>
      </w:r>
      <w:r/>
    </w:p>
    <w:p>
      <w:pPr>
        <w:pStyle w:val="1293"/>
        <w:spacing w:line="360" w:lineRule="auto"/>
        <w:tabs>
          <w:tab w:val="center" w:pos="4153" w:leader="none"/>
          <w:tab w:val="right" w:pos="8306" w:leader="none"/>
        </w:tabs>
        <w:rPr>
          <w:rFonts w:ascii="宋体" w:hAnsi="宋体" w:cs="宋体"/>
          <w:bCs/>
          <w:sz w:val="24"/>
          <w:szCs w:val="24"/>
        </w:rPr>
      </w:pPr>
      <w:r/>
      <w:bookmarkEnd w:id="202"/>
      <w:r>
        <w:rPr>
          <w:rFonts w:hint="eastAsia" w:ascii="宋体" w:hAnsi="宋体" w:cs="宋体"/>
          <w:bCs/>
          <w:color w:val="000000"/>
          <w:sz w:val="24"/>
          <w:szCs w:val="24"/>
        </w:rPr>
        <w:t xml:space="preserve">二、采购设备技术参数</w:t>
      </w:r>
      <w:r>
        <w:rPr>
          <w:rFonts w:hint="eastAsia" w:ascii="宋体" w:hAnsi="宋体" w:cs="宋体"/>
          <w:b/>
          <w:color w:val="000000"/>
          <w:sz w:val="24"/>
          <w:szCs w:val="24"/>
        </w:rPr>
        <w:t xml:space="preserve">（除招标文件内有明确要求技术支撑</w:t>
      </w:r>
      <w:r>
        <w:rPr>
          <w:rFonts w:hint="eastAsia" w:ascii="宋体" w:hAnsi="宋体" w:cs="宋体"/>
          <w:b/>
          <w:sz w:val="24"/>
          <w:szCs w:val="24"/>
        </w:rPr>
        <w:t xml:space="preserve">材料以外，其他技术支撑材料为医疗器械注册证或厂家产品白皮书、彩页或有法定检测资质的检测机构出具的产品检测报告），并在技术响应表中标注对应支撑材料的内容在投标文件中的页码）</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（一）机架系统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1.1.滑环类型：低压滑环</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1.2.扫描架孔径：≥70cm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1.3.机架系统可遥控</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1.4.具备三维激光定位系统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1.5.机架冷却方式：风冷</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（二）扫描参数</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2.1.机架最快旋转扫描时间/360°：≤0.5s</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2.2.每圈扫描层数：≥32层</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2.3.最薄扫描层厚（最大准直下）：≤0.625mm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2.4.最薄图像重建层厚（最大准直下）：≤0.625mm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2.5.扫描视野：≥50cm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2.6.高清显示矩阵：≥1024×1024</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△2.7.单次螺旋连续最长扫描时间：≥100s</w:t>
      </w:r>
      <w:r>
        <w:rPr>
          <w:rFonts w:ascii="宋体" w:hAnsi="宋体" w:cs="宋体"/>
          <w:b/>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2.8.单次螺旋扫描最大范围：≥160cm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2.9.具备3D锥形束重建</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2.10.定位像长度：≥160cm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2.11.最大螺距：≥1.5</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2.12.最小螺距：≤0.5</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2.13.具备螺距自由选择</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2.14.扫描模式：包含轴扫、螺旋</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2.15.螺旋扫描最薄层厚（最大准直下）≤0.625mm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（三）探测器及数据采样系统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3.1.探测器Z轴物理排列数：≥32排</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△3.2.探测器单元Z轴最小尺寸：≤0.625mm</w:t>
      </w:r>
      <w:r>
        <w:rPr>
          <w:rFonts w:ascii="宋体" w:hAnsi="宋体" w:cs="宋体"/>
          <w:b/>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△3.3.探测器Z轴扫描覆盖总宽度（旋转中心投影）：≥16mm</w:t>
      </w:r>
      <w:r>
        <w:rPr>
          <w:rFonts w:ascii="宋体" w:hAnsi="宋体" w:cs="宋体"/>
          <w:b/>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3.4.每排探测器物理单元数：≥600个</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sz w:val="24"/>
          <w:szCs w:val="24"/>
        </w:rPr>
      </w:pPr>
      <w:r>
        <w:rPr>
          <w:rFonts w:hint="eastAsia" w:ascii="宋体" w:hAnsi="宋体" w:cs="宋体"/>
          <w:b/>
          <w:sz w:val="24"/>
          <w:szCs w:val="24"/>
        </w:rPr>
        <w:t xml:space="preserve">△3.5 探测器物理总单元数：≥19200个</w:t>
      </w:r>
      <w:r>
        <w:rPr>
          <w:rFonts w:ascii="宋体" w:hAnsi="宋体" w:cs="宋体"/>
          <w:b/>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（四）球管及高压系统</w:t>
      </w:r>
      <w:r>
        <w:rPr>
          <w:rFonts w:ascii="宋体" w:hAnsi="宋体" w:cs="宋体"/>
          <w:bCs/>
          <w:sz w:val="24"/>
          <w:szCs w:val="24"/>
        </w:rPr>
      </w:r>
      <w:r/>
    </w:p>
    <w:p>
      <w:pPr>
        <w:pStyle w:val="1293"/>
        <w:ind w:firstLine="482"/>
        <w:spacing w:line="360" w:lineRule="auto"/>
        <w:tabs>
          <w:tab w:val="center" w:pos="4153" w:leader="none"/>
          <w:tab w:val="right" w:pos="8306" w:leader="none"/>
        </w:tabs>
        <w:rPr>
          <w:rFonts w:ascii="宋体" w:hAnsi="宋体" w:cs="宋体"/>
          <w:b/>
          <w:bCs/>
          <w:color w:val="000000"/>
          <w:sz w:val="24"/>
          <w:szCs w:val="24"/>
        </w:rPr>
      </w:pPr>
      <w:r>
        <w:rPr>
          <w:rFonts w:hint="eastAsia" w:ascii="宋体" w:hAnsi="宋体" w:cs="宋体"/>
          <w:b/>
          <w:color w:val="000000"/>
          <w:sz w:val="24"/>
          <w:szCs w:val="24"/>
        </w:rPr>
        <w:t xml:space="preserve">△</w:t>
      </w:r>
      <w:r>
        <w:rPr>
          <w:rFonts w:hint="eastAsia" w:ascii="宋体" w:hAnsi="宋体" w:cs="宋体"/>
          <w:b/>
          <w:bCs/>
          <w:color w:val="000000"/>
          <w:sz w:val="24"/>
          <w:szCs w:val="24"/>
        </w:rPr>
        <w:t xml:space="preserve">4.1.球管阳极实际热容量（不含等效概念）：≥</w:t>
      </w:r>
      <w:r>
        <w:rPr>
          <w:rFonts w:ascii="宋体" w:hAnsi="宋体" w:cs="宋体"/>
          <w:b/>
          <w:bCs/>
          <w:color w:val="000000"/>
          <w:sz w:val="24"/>
          <w:szCs w:val="24"/>
        </w:rPr>
        <w:t xml:space="preserve">4</w:t>
      </w:r>
      <w:r>
        <w:rPr>
          <w:rFonts w:hint="eastAsia" w:ascii="宋体" w:hAnsi="宋体" w:cs="宋体"/>
          <w:b/>
          <w:bCs/>
          <w:color w:val="000000"/>
          <w:sz w:val="24"/>
          <w:szCs w:val="24"/>
        </w:rPr>
        <w:t xml:space="preserve">MHU</w:t>
      </w:r>
      <w:r>
        <w:rPr>
          <w:rFonts w:ascii="宋体" w:hAnsi="宋体" w:cs="宋体"/>
          <w:b/>
          <w:bCs/>
          <w:color w:val="000000"/>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4.2.冷却方法：风冷</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4.3.最大球管电压：≥140KV</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4.4.最小球管电压：≤80KV</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4.5.最大可调管电流：≥400mA</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4.6.最小可调管电流：≤10mA</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4.7.最小毫安调节范围：≤5mA</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4.8.球管小焦点≤0.72mm2</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4.9.球管大焦点≤1.8mm2</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4.10.高压发生器功率：≥50KW</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4.11.提供70KV肺部低剂量成像技术</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（五）扫描床</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5.1.最大移动范围：≥1600mm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5.2.可扫描范围：≥1600mm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5.3.床升降最高高度：≥850mm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5.4.床升降最低高度：≤600mm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5.5.最大横向进床速度：≥100mm/s</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5.6.扫描床最大载重量：≥200Kg</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5.7.具备扫描床控制脚踏开关</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（六）图像质量</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6.1.密度分辨率：≤2mm@0.3%</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6.2空间分辨率：≥20lp/cm</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（七）主控制台计算机系统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7.1内存：≥32GB</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7.2.硬盘：＞1TB</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7.3.具备显示器逐行扫描</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7.4.具备网络接口DICOM 3.0</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7.5.永久贮存刻录方式：DVD</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（八）临床应用软件</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8.1.具备图像减影功能、CT电影功能、管电流自动调节功能、模拟手术刀功能、三维容积测量评估功能、CT血管造影、一键式容积重建、血管测量功能、一键式去骨功能、一键式骨分离功能</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8.2.具备MPR/CPR/SSD/MIP/VR、三维（3D、SSD）软件、最大及最小密度投影（MIP,MinP）、容积漫游（VRT）</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8.3.具备三维肺小结节分析评估软件，用于肺肿瘤筛查；计算机辅助肺结节自动查找功能，自动探查肺结节，自动给出结节体积等定量数据；三维肺气肿分析评估软件</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8.4.具备椎间盘自动重建技术</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8.5.具备去金属伪影算法</w:t>
      </w:r>
      <w:r>
        <w:rPr>
          <w:rFonts w:ascii="宋体" w:hAnsi="宋体" w:cs="宋体"/>
          <w:bCs/>
          <w:sz w:val="24"/>
          <w:szCs w:val="24"/>
        </w:rPr>
      </w:r>
      <w:r/>
    </w:p>
    <w:p>
      <w:pPr>
        <w:pStyle w:val="1293"/>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三、基本服务要求</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1、所供的货物是全新、未使用过的产品，材质、规格型号、技术参数必须遵守国家颁布标准和有关规定。</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2、成交人应免费为采购人提供操作培训，包括但不限于货物的基本性能、保养与管理、常见故障的排除、紧急情况的处理等并提供培训手册。</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3、整机最低质保期限：3年，设备的免费质保期从设备安装调试后无质量问题能够正常使用，双方签订验收报告之日起计算。质保期内若仪器出现故障，免收任何费用。在质保期内若有更换或维修的部件，则该部件的质保期从更换修好之日起重新计算。</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4、障碍处理要求：质保期内，投标人接到保修请求，应在2小时内响应，4小时内维修人员到达现场，必要时应向采购人提供应急备用设备。</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5、所供的货物是全新、未使用过的产品，材质、规格型号、技术参数必须遵守国家规定及相关要求。厂家有同系列仪器软件升级，甲方享有免费升级的权力。</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6、投标人需根据采购需求、评分办法提供相应的往期案例分析方案、</w:t>
      </w:r>
      <w:r>
        <w:rPr>
          <w:rFonts w:hint="eastAsia" w:ascii="宋体" w:hAnsi="宋体" w:cs="宋体"/>
          <w:bCs/>
          <w:sz w:val="24"/>
          <w:szCs w:val="24"/>
          <w:lang w:val="zh-CN"/>
        </w:rPr>
        <w:t xml:space="preserve">实施方案、</w:t>
      </w:r>
      <w:r>
        <w:rPr>
          <w:rFonts w:hint="eastAsia" w:ascii="宋体" w:hAnsi="宋体" w:cs="宋体"/>
          <w:bCs/>
          <w:sz w:val="24"/>
          <w:szCs w:val="24"/>
        </w:rPr>
        <w:t xml:space="preserve">售后服务方案、</w:t>
      </w:r>
      <w:r>
        <w:rPr>
          <w:rFonts w:hint="eastAsia"/>
          <w:sz w:val="24"/>
          <w:szCs w:val="24"/>
        </w:rPr>
        <w:t xml:space="preserve">项目验收方案</w:t>
      </w:r>
      <w:r>
        <w:rPr>
          <w:rFonts w:hint="eastAsia" w:ascii="宋体" w:hAnsi="宋体" w:cs="宋体"/>
          <w:bCs/>
          <w:sz w:val="24"/>
          <w:szCs w:val="24"/>
        </w:rPr>
        <w:t xml:space="preserve">、培训方案、</w:t>
      </w:r>
      <w:r>
        <w:rPr>
          <w:rFonts w:hint="eastAsia"/>
          <w:sz w:val="24"/>
          <w:szCs w:val="24"/>
        </w:rPr>
        <w:t xml:space="preserve">应急响应方案、配件/耗材情况</w:t>
      </w:r>
      <w:r>
        <w:rPr>
          <w:rFonts w:hint="eastAsia" w:ascii="宋体" w:hAnsi="宋体" w:cs="宋体"/>
          <w:bCs/>
          <w:sz w:val="24"/>
          <w:szCs w:val="24"/>
        </w:rPr>
        <w:t xml:space="preserve">等。具体详见评分办法。</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7、投标人应严格按照招标文件的要求和国家有关标准、规定，提供全新、未经使用且技术先进的设备产品。投标人必须保证提供产品与招标文件所述的质量、规格和性能完全一致，所提供的设备及配件达到或优于采购参数要求。</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8、投标人应具备实施本次项目相应的技术能力，充分了解采购人业务需求制定详细可行的项目实施方案，对总体供货方案、项目计划与进度、项目质量风险等进行总体管控与协调，经采购人认可后方可开始实施。</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9、投标人所提供的货物开箱后，如采购人发现有任何问题(如外观有损伤)投标人必须立即以同样货号的产品在采购人商定的时间内更换，确保其使用。</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10、验收要求及标准</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10.1项目完成后，中标人须负责所涉及一切验收产生的工作费用(如验收评审专家费等)，直至货物验收合格，交付采购人之日为止。产品必须符合相关现行标准。</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10.2 中标单位提供的货物必须符合我国最新颁布的与之相关的技术规范与标准，同时须满足招标文件中所列全部规格、技术条件及要求和中标单位承诺的其它指标。在交付采购人使用之前应通过采购人的验收。</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10.3 验收包括:数量、外观、质量、产品合格证、装箱单及包装。所有产品无瑕疵和缺陷，质量为合格品，同时有明确的制造厂商。中标人对质量问题负责包退、包换和包修，因此发生的费用由中标人负责。</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10.4 到货验收包括但不限于以下内容:数量、外观、质量、随机备件备品、随机资料及包装完整无破损。</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10.5中标人应保证其货物在正常使用时，其使用寿命期内应具有良好的性能。货物最终验收后，投标人应对由于设计、工艺或材料的缺陷而发生的任何不足或质量问题负责(经法定检验机构检验)，并承担由此引起的一切后果。</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pPr>
      <w:r>
        <w:rPr>
          <w:rFonts w:hint="eastAsia" w:ascii="宋体" w:hAnsi="宋体" w:cs="宋体"/>
          <w:bCs/>
          <w:sz w:val="24"/>
          <w:szCs w:val="24"/>
        </w:rPr>
        <w:t xml:space="preserve">11、成交人在履行合同过程中，一切事故的责任由成交单位自行承担。</w:t>
      </w:r>
      <w:r>
        <w:rPr>
          <w:rFonts w:ascii="宋体" w:hAnsi="宋体" w:cs="宋体"/>
          <w:bCs/>
          <w:sz w:val="24"/>
          <w:szCs w:val="24"/>
        </w:rPr>
      </w:r>
      <w:r/>
    </w:p>
    <w:p>
      <w:pPr>
        <w:pStyle w:val="1293"/>
        <w:ind w:firstLine="480"/>
        <w:spacing w:line="360" w:lineRule="auto"/>
        <w:tabs>
          <w:tab w:val="center" w:pos="4153" w:leader="none"/>
          <w:tab w:val="right" w:pos="8306" w:leader="none"/>
        </w:tabs>
        <w:rPr>
          <w:rFonts w:ascii="宋体" w:hAnsi="宋体" w:cs="宋体"/>
          <w:bCs/>
          <w:sz w:val="24"/>
          <w:szCs w:val="24"/>
        </w:rPr>
        <w:sectPr>
          <w:headerReference w:type="default" r:id="rId9"/>
          <w:footerReference w:type="default" r:id="rId11"/>
          <w:footerReference w:type="first" r:id="rId12"/>
          <w:footnotePr/>
          <w:endnotePr/>
          <w:type w:val="nextPage"/>
          <w:pgSz w:w="11905" w:h="16837" w:orient="portrait"/>
          <w:pgMar w:top="1440" w:right="1418" w:bottom="1440" w:left="1803" w:header="851" w:footer="992" w:gutter="0"/>
          <w:cols w:num="1" w:sep="0" w:space="1701" w:equalWidth="1"/>
          <w:docGrid w:linePitch="360"/>
          <w:titlePg/>
        </w:sectPr>
      </w:pPr>
      <w:r>
        <w:rPr>
          <w:rFonts w:ascii="宋体" w:hAnsi="宋体" w:cs="宋体"/>
          <w:bCs/>
          <w:sz w:val="24"/>
          <w:szCs w:val="24"/>
        </w:rPr>
      </w:r>
      <w:r/>
    </w:p>
    <w:p>
      <w:pPr>
        <w:pStyle w:val="1216"/>
        <w:spacing w:before="145" w:after="145" w:line="440" w:lineRule="exact"/>
        <w:rPr>
          <w:rFonts w:hint="eastAsia"/>
          <w:color w:val="000000"/>
          <w:highlight w:val="none"/>
        </w:rPr>
      </w:pPr>
      <w:r>
        <w:rPr>
          <w:rFonts w:hint="eastAsia" w:ascii="黑体" w:eastAsia="黑体"/>
          <w:bCs/>
          <w:color w:val="000000"/>
          <w:sz w:val="32"/>
          <w:szCs w:val="32"/>
          <w:highlight w:val="none"/>
        </w:rPr>
        <w:t xml:space="preserve">第五章  </w:t>
      </w:r>
      <w:r>
        <w:rPr>
          <w:rFonts w:hint="eastAsia" w:ascii="黑体" w:eastAsia="黑体"/>
          <w:b/>
          <w:bCs/>
          <w:color w:val="000000"/>
          <w:sz w:val="32"/>
          <w:szCs w:val="32"/>
          <w:highlight w:val="none"/>
        </w:rPr>
        <w:t xml:space="preserve">评标方法与评标标准</w:t>
      </w:r>
      <w:r>
        <w:rPr>
          <w:rFonts w:hint="eastAsia"/>
          <w:color w:val="000000"/>
          <w:highlight w:val="none"/>
        </w:rPr>
      </w:r>
      <w:r/>
    </w:p>
    <w:p>
      <w:pPr>
        <w:pStyle w:val="1215"/>
        <w:ind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采用综合评分法的，评标结果按评审后得分由高到低顺序排列。得分相同的，按投标报价由低到高顺序排列。得分且投标报价相同的并列。投标文件满足招标文件全部实质性要求，且按照评审因素的量化指标评审得分最高的投标人为中标候选人。本项目选取1名中标候选人。</w:t>
      </w:r>
      <w:r>
        <w:rPr>
          <w:rFonts w:hint="eastAsia" w:ascii="宋体" w:hAnsi="宋体"/>
          <w:color w:val="000000"/>
          <w:sz w:val="24"/>
          <w:szCs w:val="24"/>
          <w:highlight w:val="none"/>
        </w:rPr>
      </w:r>
      <w:r/>
    </w:p>
    <w:p>
      <w:pPr>
        <w:pStyle w:val="1317"/>
        <w:ind w:firstLine="441"/>
        <w:spacing w:before="0" w:after="0" w:line="440" w:lineRule="exact"/>
        <w:rPr>
          <w:rFonts w:hint="eastAsia" w:ascii="宋体" w:hAnsi="宋体"/>
          <w:b/>
          <w:color w:val="000000"/>
          <w:highlight w:val="none"/>
        </w:rPr>
      </w:pPr>
      <w:r>
        <w:rPr>
          <w:rFonts w:hint="eastAsia" w:ascii="宋体" w:hAnsi="宋体"/>
          <w:b/>
          <w:color w:val="000000"/>
          <w:highlight w:val="none"/>
        </w:rPr>
        <w:t xml:space="preserve">政府政策功能落实</w:t>
      </w:r>
      <w:r>
        <w:rPr>
          <w:rFonts w:hint="eastAsia" w:ascii="宋体" w:hAnsi="宋体"/>
          <w:b/>
          <w:color w:val="000000"/>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1、小微型企业价格扣除</w:t>
      </w:r>
      <w:r>
        <w:rPr>
          <w:rFonts w:hint="eastAsia" w:ascii="宋体" w:hAnsi="宋体"/>
          <w:color w:val="000000"/>
          <w:sz w:val="24"/>
          <w:szCs w:val="24"/>
          <w:highlight w:val="none"/>
        </w:rPr>
      </w:r>
      <w:r/>
    </w:p>
    <w:p>
      <w:pPr>
        <w:pStyle w:val="121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（1）本项目对小型和微型企业产品给予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的扣除价格，用扣除后的价格参与评审。</w:t>
      </w:r>
      <w:r>
        <w:rPr>
          <w:rFonts w:hint="eastAsia" w:ascii="宋体" w:hAnsi="宋体"/>
          <w:color w:val="000000"/>
          <w:sz w:val="24"/>
          <w:szCs w:val="24"/>
          <w:highlight w:val="none"/>
        </w:rPr>
      </w:r>
      <w:r/>
    </w:p>
    <w:p>
      <w:pPr>
        <w:pStyle w:val="121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需按照采购文件的要求提供相应的《中小企业声明函》。</w:t>
      </w:r>
      <w:r>
        <w:rPr>
          <w:rFonts w:hint="eastAsia" w:ascii="宋体" w:hAnsi="宋体"/>
          <w:color w:val="000000"/>
          <w:sz w:val="24"/>
          <w:szCs w:val="24"/>
          <w:highlight w:val="none"/>
        </w:rPr>
      </w:r>
      <w:r/>
    </w:p>
    <w:p>
      <w:pPr>
        <w:pStyle w:val="1215"/>
        <w:ind w:left="239" w:firstLine="12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（3）企业标准请参照《关于印发中小企业划型标准规定的通知》（工信部联企业[2011]300号）文件规定自行填写。</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2、残疾人福利单位价格扣除</w:t>
      </w:r>
      <w:r>
        <w:rPr>
          <w:rFonts w:hint="eastAsia" w:ascii="宋体" w:hAnsi="宋体"/>
          <w:color w:val="000000"/>
          <w:sz w:val="24"/>
          <w:szCs w:val="24"/>
          <w:highlight w:val="none"/>
        </w:rPr>
      </w:r>
      <w:r/>
    </w:p>
    <w:p>
      <w:pPr>
        <w:pStyle w:val="121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（1）本项目对残疾人福利性单位视同小型、微型企业，给予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1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（2）残疾人福利单位需按照采购文件的要求提供《残疾人福利性单位声明函》。</w:t>
      </w:r>
      <w:r>
        <w:rPr>
          <w:rFonts w:hint="eastAsia" w:ascii="宋体" w:hAnsi="宋体"/>
          <w:color w:val="000000"/>
          <w:sz w:val="24"/>
          <w:szCs w:val="24"/>
          <w:highlight w:val="none"/>
        </w:rPr>
      </w:r>
      <w:r/>
    </w:p>
    <w:p>
      <w:pPr>
        <w:pStyle w:val="1215"/>
        <w:ind w:left="120" w:firstLine="36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（3）残疾人福利单位标准请参照《关于促进残疾人就业政府采购政策的通知》（财库〔2017〕141号）。</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3、监狱和戒毒企业价格扣除</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（1）本项目对监狱和戒毒企业（简称监狱企业）视同小型、微型企业，给予</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（2）监狱企业参加政府采购活动时，需提供由省级以上监狱管理局、戒毒管理局(含新疆生产建设兵团)出具的属于监狱企业的证明文件。</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如不提供上述证明文件，价格将不做相应扣除</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（3）监狱企业标准请参照《关于政府采购支持监狱企业发展有关问题的通知》（</w:t>
      </w:r>
      <w:r>
        <w:rPr>
          <w:rFonts w:ascii="宋体" w:hAnsi="宋体"/>
          <w:color w:val="000000"/>
          <w:sz w:val="24"/>
          <w:szCs w:val="24"/>
          <w:highlight w:val="none"/>
        </w:rPr>
        <w:t xml:space="preserve">财库[2014]68号</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4、残疾人福利单位、监狱企业属于小型、微型企业的，不重复享受政策。</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5、如本项目同意联合体参加</w:t>
      </w:r>
      <w:r>
        <w:rPr>
          <w:rFonts w:hint="eastAsia" w:ascii="宋体" w:hAnsi="宋体"/>
          <w:color w:val="000000"/>
          <w:sz w:val="24"/>
          <w:szCs w:val="24"/>
          <w:highlight w:val="none"/>
          <w:lang w:eastAsia="zh-CN"/>
        </w:rPr>
        <w:t xml:space="preserve">投标</w:t>
      </w:r>
      <w:r>
        <w:rPr>
          <w:rFonts w:hint="eastAsia" w:ascii="宋体" w:hAnsi="宋体"/>
          <w:color w:val="000000"/>
          <w:sz w:val="24"/>
          <w:szCs w:val="24"/>
          <w:highlight w:val="none"/>
        </w:rPr>
        <w:t xml:space="preserve">或同意分包履行合同的,大中型企业与小微型企业（残疾人福利单位、监狱企业）组成联合体或者大中型企业向一家或多家小微型企业分包，联合协议或者分包意向协议中约定小微型企业（残疾人福利单位、监狱企业）的合同份额占到合同总金额30%以上的，给予联合体或者大中型企业</w:t>
      </w:r>
      <w:r>
        <w:rPr>
          <w:rFonts w:hint="eastAsia" w:ascii="宋体" w:hAnsi="宋体"/>
          <w:color w:val="000000"/>
          <w:sz w:val="24"/>
          <w:szCs w:val="24"/>
          <w:highlight w:val="none"/>
          <w:u w:val="single"/>
        </w:rPr>
        <w:t xml:space="preserve">6%</w:t>
      </w:r>
      <w:r>
        <w:rPr>
          <w:rFonts w:hint="eastAsia" w:ascii="宋体" w:hAnsi="宋体"/>
          <w:color w:val="000000"/>
          <w:sz w:val="24"/>
          <w:szCs w:val="24"/>
          <w:highlight w:val="none"/>
        </w:rPr>
        <w:t xml:space="preserve">的价格扣除，用扣除后的价格参与评审。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6、联合体各方均为小型、微型企业（残疾人福利单位、监狱企业）的，联合体享受</w:t>
      </w:r>
      <w:r>
        <w:rPr>
          <w:rFonts w:hint="eastAsia" w:ascii="宋体" w:hAnsi="宋体"/>
          <w:color w:val="000000"/>
          <w:sz w:val="24"/>
          <w:szCs w:val="24"/>
          <w:highlight w:val="none"/>
          <w:u w:val="single"/>
        </w:rPr>
        <w:t xml:space="preserve">20%</w:t>
      </w:r>
      <w:r>
        <w:rPr>
          <w:rFonts w:hint="eastAsia" w:ascii="宋体" w:hAnsi="宋体"/>
          <w:color w:val="000000"/>
          <w:sz w:val="24"/>
          <w:szCs w:val="24"/>
          <w:highlight w:val="none"/>
        </w:rPr>
        <w:t xml:space="preserve">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、采购本国产品的支持政策</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1本项目对采购本国产品给予政策支持。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2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.3本项目政府采购活动中既有本国产品又有非本国产品参与竞争的，依法对本国产品给予价格评审优惠，对本国产品的报价给予20%的价格扣除，用扣除后的价格参与评审。</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4当采购项目或者采购包中含有多种产品，投标人为该采购项目或者采购包提供的符合本国产品标准的产品成本之和占该投标人提供的全部产品成本之和的比例达到80%以上时（投标人需在“投标文件格式”的“附件</w:t>
      </w:r>
      <w:r>
        <w:rPr>
          <w:rFonts w:hint="eastAsia" w:ascii="宋体" w:hAnsi="宋体"/>
          <w:color w:val="000000"/>
          <w:sz w:val="24"/>
          <w:szCs w:val="24"/>
          <w:highlight w:val="none"/>
          <w:lang w:val="en-US" w:eastAsia="zh-CN"/>
        </w:rPr>
        <w:t xml:space="preserve">:</w:t>
      </w:r>
      <w:r>
        <w:rPr>
          <w:rFonts w:hint="eastAsia" w:ascii="宋体" w:hAnsi="宋体"/>
          <w:color w:val="000000"/>
          <w:sz w:val="24"/>
          <w:szCs w:val="24"/>
          <w:highlight w:val="none"/>
        </w:rPr>
        <w:t xml:space="preserve">投标分项报价表”中填写比例数值），依法对该投标人提供的全部产品给予价格评审优惠，即对该投标人提供的全部产品的总报价给予20%的价格扣除，用扣除后的价格参与评审。投标人未填写比例数值，或比例数值未达到80%的，将不享受本国产品价格评审优惠。</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.5投标人需按照招标文件的要求提供《关于符合本国产品标准的声明函》（以下简称《声明函》），如不提供将不享受本国产品价格评审优惠。</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00"/>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6投标人需在《声明函》中逐一、准确填写产品名称、厂名、生产厂址三项信息（《声明函》中用斜线划除的地方无需填写），三项信息中任意一项未填写的视为该项产品不符合本国产品标准，不享受本国产品价格评审优惠。</w:t>
      </w:r>
      <w:r>
        <w:rPr>
          <w:rFonts w:hint="eastAsia" w:ascii="宋体" w:hAnsi="宋体"/>
          <w:color w:val="000000"/>
          <w:sz w:val="24"/>
          <w:szCs w:val="24"/>
          <w:highlight w:val="none"/>
        </w:rPr>
      </w:r>
      <w:r/>
    </w:p>
    <w:p>
      <w:pPr>
        <w:pStyle w:val="1215"/>
        <w:ind w:firstLine="480"/>
        <w:jc w:val="left"/>
        <w:spacing w:line="440" w:lineRule="exact"/>
        <w:rPr>
          <w:rFonts w:hint="eastAsia" w:ascii="宋体" w:hAnsi="宋体"/>
          <w:color w:val="0000ff"/>
          <w:sz w:val="24"/>
          <w:szCs w:val="24"/>
          <w:highlight w:val="none"/>
        </w:rPr>
      </w:pPr>
      <w:r>
        <w:rPr>
          <w:rFonts w:hint="eastAsia" w:ascii="宋体" w:hAnsi="宋体"/>
          <w:color w:val="000000"/>
          <w:sz w:val="24"/>
          <w:szCs w:val="24"/>
          <w:highlight w:val="none"/>
          <w:lang w:val="en-US" w:eastAsia="zh-CN"/>
        </w:rPr>
        <w:t xml:space="preserve">7</w:t>
      </w:r>
      <w:r>
        <w:rPr>
          <w:rFonts w:hint="eastAsia" w:ascii="宋体" w:hAnsi="宋体"/>
          <w:color w:val="000000"/>
          <w:sz w:val="24"/>
          <w:szCs w:val="24"/>
          <w:highlight w:val="none"/>
        </w:rPr>
        <w:t xml:space="preserve">.7评标过程中，如发现投标人在《声明函》内容含义不明确、同类事项与投标（响应）文件表述不一致或者有明显文字错误等情况的，评标委员会应当以书面形式要求投标人作出必要的澄清、说明或者补正。经澄清、说明或者补正的《声明函》仍然不符合《国务院办公厅关于在政府采购中实施本国产品标准及相关政策的通知》（国办发〔2025〕34号）和招标文件规定的，投标人提供的相关产品视为不符合本国产品标准。</w:t>
      </w:r>
      <w:r>
        <w:rPr>
          <w:rFonts w:hint="eastAsia" w:ascii="宋体" w:hAnsi="宋体"/>
          <w:color w:val="0000ff"/>
          <w:sz w:val="24"/>
          <w:szCs w:val="24"/>
          <w:highlight w:val="none"/>
        </w:rPr>
      </w:r>
      <w:r/>
    </w:p>
    <w:p>
      <w:pPr>
        <w:pStyle w:val="1317"/>
        <w:ind w:firstLine="482"/>
        <w:spacing w:before="0" w:after="0" w:line="440" w:lineRule="exact"/>
        <w:rPr>
          <w:rFonts w:hint="eastAsia" w:ascii="宋体" w:hAnsi="宋体"/>
          <w:b/>
          <w:color w:val="000000"/>
          <w:highlight w:val="none"/>
        </w:rPr>
      </w:pPr>
      <w:r>
        <w:rPr>
          <w:rFonts w:hint="eastAsia" w:ascii="宋体" w:hAnsi="宋体"/>
          <w:b/>
          <w:color w:val="000000"/>
          <w:highlight w:val="none"/>
        </w:rPr>
        <w:t xml:space="preserve">评标方法与评标标准</w:t>
      </w:r>
      <w:r>
        <w:rPr>
          <w:rFonts w:hint="eastAsia" w:ascii="宋体" w:hAnsi="宋体"/>
          <w:b/>
          <w:color w:val="000000"/>
          <w:highlight w:val="none"/>
        </w:rPr>
      </w:r>
      <w:r/>
    </w:p>
    <w:p>
      <w:pPr>
        <w:pStyle w:val="1215"/>
        <w:spacing w:line="440" w:lineRule="exact"/>
        <w:rPr>
          <w:sz w:val="24"/>
          <w:szCs w:val="24"/>
        </w:rPr>
      </w:pPr>
      <w:r>
        <w:rPr>
          <w:rFonts w:hint="eastAsia"/>
          <w:sz w:val="24"/>
          <w:szCs w:val="24"/>
        </w:rPr>
        <w:t xml:space="preserve">一、综合评分各因素所占分值为：</w:t>
      </w:r>
      <w:r>
        <w:rPr>
          <w:sz w:val="24"/>
          <w:szCs w:val="24"/>
        </w:rPr>
      </w:r>
      <w:r/>
    </w:p>
    <w:p>
      <w:pPr>
        <w:pStyle w:val="1215"/>
        <w:ind w:firstLine="480"/>
        <w:spacing w:line="440" w:lineRule="exact"/>
        <w:rPr>
          <w:sz w:val="24"/>
          <w:szCs w:val="24"/>
          <w:lang w:val="zh-CN"/>
        </w:rPr>
      </w:pPr>
      <w:r>
        <w:rPr>
          <w:rFonts w:hint="eastAsia"/>
          <w:sz w:val="24"/>
          <w:szCs w:val="24"/>
          <w:lang w:val="zh-CN"/>
        </w:rPr>
        <w:t xml:space="preserve">（1）最终报价                      </w:t>
      </w:r>
      <w:r>
        <w:rPr>
          <w:rFonts w:hint="eastAsia"/>
          <w:sz w:val="24"/>
          <w:szCs w:val="24"/>
        </w:rPr>
        <w:t xml:space="preserve">30</w:t>
      </w:r>
      <w:r>
        <w:rPr>
          <w:rFonts w:hint="eastAsia"/>
          <w:sz w:val="24"/>
          <w:szCs w:val="24"/>
          <w:lang w:val="zh-CN"/>
        </w:rPr>
        <w:t xml:space="preserve">分</w:t>
      </w:r>
      <w:r>
        <w:rPr>
          <w:sz w:val="24"/>
          <w:szCs w:val="24"/>
          <w:lang w:val="zh-CN"/>
        </w:rPr>
      </w:r>
      <w:r/>
    </w:p>
    <w:p>
      <w:pPr>
        <w:pStyle w:val="1215"/>
        <w:ind w:firstLine="480"/>
        <w:spacing w:line="440" w:lineRule="exact"/>
        <w:rPr>
          <w:sz w:val="24"/>
          <w:szCs w:val="24"/>
          <w:lang w:val="zh-CN"/>
        </w:rPr>
      </w:pPr>
      <w:r>
        <w:rPr>
          <w:rFonts w:hint="eastAsia"/>
          <w:sz w:val="24"/>
          <w:szCs w:val="24"/>
          <w:lang w:val="zh-CN"/>
        </w:rPr>
        <w:t xml:space="preserve">（2）质量性能  </w:t>
      </w:r>
      <w:r>
        <w:rPr>
          <w:rFonts w:hint="eastAsia"/>
          <w:sz w:val="24"/>
          <w:szCs w:val="24"/>
        </w:rPr>
        <w:t xml:space="preserve">                  </w:t>
      </w:r>
      <w:r>
        <w:rPr>
          <w:rFonts w:hint="eastAsia"/>
          <w:sz w:val="24"/>
          <w:szCs w:val="24"/>
          <w:lang w:val="zh-CN"/>
        </w:rPr>
        <w:t xml:space="preserve">  </w:t>
      </w:r>
      <w:r>
        <w:rPr>
          <w:sz w:val="24"/>
          <w:szCs w:val="24"/>
        </w:rPr>
        <w:t xml:space="preserve">40</w:t>
      </w:r>
      <w:r>
        <w:rPr>
          <w:rFonts w:hint="eastAsia"/>
          <w:sz w:val="24"/>
          <w:szCs w:val="24"/>
          <w:lang w:val="zh-CN"/>
        </w:rPr>
        <w:t xml:space="preserve">分</w:t>
      </w:r>
      <w:r>
        <w:rPr>
          <w:sz w:val="24"/>
          <w:szCs w:val="24"/>
          <w:lang w:val="zh-CN"/>
        </w:rPr>
      </w:r>
      <w:r/>
    </w:p>
    <w:p>
      <w:pPr>
        <w:pStyle w:val="1215"/>
        <w:ind w:firstLine="480"/>
        <w:spacing w:line="440" w:lineRule="exact"/>
        <w:rPr>
          <w:rFonts w:hint="eastAsia"/>
          <w:sz w:val="24"/>
          <w:szCs w:val="24"/>
          <w:lang w:val="zh-CN"/>
        </w:rPr>
      </w:pPr>
      <w:r>
        <w:rPr>
          <w:rFonts w:hint="eastAsia"/>
          <w:sz w:val="24"/>
          <w:szCs w:val="24"/>
          <w:lang w:val="zh-CN"/>
        </w:rPr>
        <w:t xml:space="preserve">（3）技术方案 </w:t>
      </w:r>
      <w:r>
        <w:rPr>
          <w:sz w:val="24"/>
          <w:szCs w:val="24"/>
          <w:lang w:val="zh-CN"/>
        </w:rPr>
        <w:t xml:space="preserve">                     30</w:t>
      </w:r>
      <w:r>
        <w:rPr>
          <w:rFonts w:hint="eastAsia"/>
          <w:sz w:val="24"/>
          <w:szCs w:val="24"/>
          <w:lang w:val="zh-CN"/>
        </w:rPr>
        <w:t xml:space="preserve">分</w:t>
      </w:r>
      <w:r>
        <w:rPr>
          <w:rFonts w:hint="eastAsia"/>
          <w:sz w:val="24"/>
          <w:szCs w:val="24"/>
          <w:lang w:val="zh-CN"/>
        </w:rPr>
      </w:r>
      <w:r/>
    </w:p>
    <w:p>
      <w:pPr>
        <w:pStyle w:val="1215"/>
        <w:spacing w:line="440" w:lineRule="exact"/>
        <w:rPr>
          <w:sz w:val="24"/>
          <w:szCs w:val="24"/>
        </w:rPr>
      </w:pPr>
      <w:r>
        <w:rPr>
          <w:rFonts w:hint="eastAsia"/>
          <w:sz w:val="24"/>
          <w:szCs w:val="24"/>
        </w:rPr>
        <w:t xml:space="preserve">二、评分办法</w:t>
      </w:r>
      <w:r>
        <w:rPr>
          <w:sz w:val="24"/>
          <w:szCs w:val="24"/>
        </w:rPr>
      </w:r>
      <w:r/>
    </w:p>
    <w:p>
      <w:pPr>
        <w:pStyle w:val="1215"/>
        <w:ind w:firstLine="480"/>
        <w:spacing w:line="440" w:lineRule="exact"/>
        <w:rPr>
          <w:sz w:val="24"/>
          <w:szCs w:val="24"/>
        </w:rPr>
      </w:pPr>
      <w:r>
        <w:rPr>
          <w:rFonts w:hint="eastAsia"/>
          <w:sz w:val="24"/>
          <w:szCs w:val="24"/>
        </w:rPr>
        <w:t xml:space="preserve">2.1报价评价（30分）</w:t>
      </w:r>
      <w:r>
        <w:rPr>
          <w:sz w:val="24"/>
          <w:szCs w:val="24"/>
        </w:rPr>
      </w:r>
      <w:r/>
    </w:p>
    <w:p>
      <w:pPr>
        <w:pStyle w:val="1215"/>
        <w:ind w:firstLine="480"/>
        <w:spacing w:line="440" w:lineRule="exact"/>
        <w:rPr>
          <w:sz w:val="24"/>
          <w:szCs w:val="24"/>
        </w:rPr>
      </w:pPr>
      <w:r>
        <w:rPr>
          <w:rFonts w:hint="eastAsia"/>
          <w:sz w:val="24"/>
          <w:szCs w:val="24"/>
        </w:rPr>
        <w:t xml:space="preserve">综合评分法中的价格分采用低价优先法计算，即满足招标文件要求且投标价格最低的投标报价为评标基准价，其价格分为满分30分。其他投标人的价格分统一按照下列公式计算：</w:t>
      </w:r>
      <w:r>
        <w:rPr>
          <w:sz w:val="24"/>
          <w:szCs w:val="24"/>
        </w:rPr>
      </w:r>
      <w:r/>
    </w:p>
    <w:p>
      <w:pPr>
        <w:pStyle w:val="1215"/>
        <w:ind w:firstLine="480"/>
        <w:spacing w:line="440" w:lineRule="exact"/>
        <w:rPr>
          <w:sz w:val="24"/>
          <w:szCs w:val="24"/>
        </w:rPr>
      </w:pPr>
      <w:r>
        <w:rPr>
          <w:rFonts w:hint="eastAsia"/>
          <w:sz w:val="24"/>
          <w:szCs w:val="24"/>
        </w:rPr>
        <w:t xml:space="preserve">投标报价得分=(评标基准价／投标报价)×30</w:t>
      </w:r>
      <w:r>
        <w:rPr>
          <w:sz w:val="24"/>
          <w:szCs w:val="24"/>
        </w:rPr>
      </w:r>
      <w:r/>
    </w:p>
    <w:p>
      <w:pPr>
        <w:pStyle w:val="1215"/>
        <w:ind w:firstLine="480"/>
        <w:spacing w:line="440" w:lineRule="exact"/>
        <w:rPr>
          <w:color w:val="000000"/>
          <w:sz w:val="24"/>
          <w:szCs w:val="24"/>
          <w:lang w:val="zh-CN"/>
        </w:rPr>
      </w:pPr>
      <w:r>
        <w:rPr>
          <w:rFonts w:hint="eastAsia"/>
          <w:color w:val="000000"/>
          <w:sz w:val="24"/>
          <w:szCs w:val="24"/>
        </w:rPr>
        <w:t xml:space="preserve">2.2</w:t>
      </w:r>
      <w:r>
        <w:rPr>
          <w:rFonts w:hint="eastAsia"/>
          <w:color w:val="000000"/>
          <w:sz w:val="24"/>
          <w:szCs w:val="24"/>
          <w:lang w:val="zh-CN"/>
        </w:rPr>
        <w:t xml:space="preserve">质量性能 （</w:t>
      </w:r>
      <w:r>
        <w:rPr>
          <w:color w:val="000000"/>
          <w:sz w:val="24"/>
          <w:szCs w:val="24"/>
        </w:rPr>
        <w:t xml:space="preserve">40</w:t>
      </w:r>
      <w:r>
        <w:rPr>
          <w:rFonts w:hint="eastAsia"/>
          <w:color w:val="000000"/>
          <w:sz w:val="24"/>
          <w:szCs w:val="24"/>
          <w:lang w:val="zh-CN"/>
        </w:rPr>
        <w:t xml:space="preserve">分）</w:t>
      </w:r>
      <w:r>
        <w:rPr>
          <w:color w:val="000000"/>
          <w:sz w:val="24"/>
          <w:szCs w:val="24"/>
          <w:lang w:val="zh-CN"/>
        </w:rPr>
      </w:r>
      <w:r/>
    </w:p>
    <w:p>
      <w:pPr>
        <w:pStyle w:val="1215"/>
        <w:ind w:firstLine="480"/>
        <w:spacing w:line="440" w:lineRule="exact"/>
        <w:rPr>
          <w:b w:val="0"/>
          <w:bCs w:val="0"/>
          <w:color w:val="000000"/>
          <w:sz w:val="24"/>
          <w:szCs w:val="24"/>
          <w:lang w:val="zh-CN"/>
        </w:rPr>
      </w:pPr>
      <w:r>
        <w:rPr>
          <w:rFonts w:hint="eastAsia"/>
          <w:b w:val="0"/>
          <w:bCs w:val="0"/>
          <w:color w:val="000000"/>
          <w:sz w:val="24"/>
          <w:szCs w:val="24"/>
          <w:lang w:val="zh-CN"/>
        </w:rPr>
        <w:t xml:space="preserve">①基础技术需求（</w:t>
      </w:r>
      <w:r>
        <w:rPr>
          <w:rFonts w:hint="eastAsia"/>
          <w:b w:val="0"/>
          <w:bCs w:val="0"/>
          <w:color w:val="000000"/>
          <w:sz w:val="24"/>
          <w:szCs w:val="24"/>
        </w:rPr>
        <w:t xml:space="preserve">25分</w:t>
      </w:r>
      <w:r>
        <w:rPr>
          <w:rFonts w:hint="eastAsia"/>
          <w:b w:val="0"/>
          <w:bCs w:val="0"/>
          <w:color w:val="000000"/>
          <w:sz w:val="24"/>
          <w:szCs w:val="24"/>
          <w:lang w:val="zh-CN"/>
        </w:rPr>
        <w:t xml:space="preserve">）：根据各投标人所投产品功能(性能)及配置、对招标文件</w:t>
      </w:r>
      <w:r>
        <w:rPr>
          <w:rFonts w:hint="eastAsia" w:ascii="Calibri"/>
          <w:b w:val="0"/>
          <w:bCs w:val="0"/>
          <w:color w:val="000000"/>
          <w:sz w:val="24"/>
          <w:szCs w:val="24"/>
          <w:lang w:val="zh-CN"/>
        </w:rPr>
        <w:t xml:space="preserve">基础技术参数</w:t>
      </w:r>
      <w:r>
        <w:rPr>
          <w:rFonts w:hint="eastAsia"/>
          <w:b w:val="0"/>
          <w:bCs w:val="0"/>
          <w:color w:val="000000"/>
          <w:sz w:val="24"/>
          <w:szCs w:val="24"/>
          <w:lang w:val="zh-CN"/>
        </w:rPr>
        <w:t xml:space="preserve">及配置要求的逐项响应情况及偏离表综合评定，投标人所投产品</w:t>
      </w:r>
      <w:r>
        <w:rPr>
          <w:rFonts w:hint="eastAsia" w:ascii="Calibri"/>
          <w:b w:val="0"/>
          <w:bCs w:val="0"/>
          <w:color w:val="000000"/>
          <w:sz w:val="24"/>
          <w:szCs w:val="24"/>
          <w:lang w:val="zh-CN"/>
        </w:rPr>
        <w:t xml:space="preserve">基础</w:t>
      </w:r>
      <w:r>
        <w:rPr>
          <w:rFonts w:hint="eastAsia"/>
          <w:b w:val="0"/>
          <w:bCs w:val="0"/>
          <w:color w:val="000000"/>
          <w:sz w:val="24"/>
          <w:szCs w:val="24"/>
          <w:lang w:val="zh-CN"/>
        </w:rPr>
        <w:t xml:space="preserve">技术参数及配置要求均满足采购需求的得满分</w:t>
      </w:r>
      <w:r>
        <w:rPr>
          <w:rFonts w:hint="eastAsia"/>
          <w:b w:val="0"/>
          <w:bCs w:val="0"/>
          <w:color w:val="000000"/>
          <w:sz w:val="24"/>
          <w:szCs w:val="24"/>
        </w:rPr>
        <w:t xml:space="preserve">25</w:t>
      </w:r>
      <w:r>
        <w:rPr>
          <w:rFonts w:hint="eastAsia"/>
          <w:b w:val="0"/>
          <w:bCs w:val="0"/>
          <w:color w:val="000000"/>
          <w:sz w:val="24"/>
          <w:szCs w:val="24"/>
          <w:lang w:val="zh-CN"/>
        </w:rPr>
        <w:t xml:space="preserve">分，有一项负偏离的扣0.</w:t>
      </w:r>
      <w:r>
        <w:rPr>
          <w:rFonts w:hint="eastAsia"/>
          <w:b w:val="0"/>
          <w:bCs w:val="0"/>
          <w:color w:val="000000"/>
          <w:sz w:val="24"/>
          <w:szCs w:val="24"/>
        </w:rPr>
        <w:t xml:space="preserve">5</w:t>
      </w:r>
      <w:r>
        <w:rPr>
          <w:rFonts w:hint="eastAsia"/>
          <w:b w:val="0"/>
          <w:bCs w:val="0"/>
          <w:color w:val="000000"/>
          <w:sz w:val="24"/>
          <w:szCs w:val="24"/>
          <w:lang w:val="zh-CN"/>
        </w:rPr>
        <w:t xml:space="preserve">分（打“△”的条款不参与本小项的扣分）；其中若是基础技术参数负偏离达到</w:t>
      </w:r>
      <w:r>
        <w:rPr>
          <w:rFonts w:hint="eastAsia"/>
          <w:b w:val="0"/>
          <w:bCs w:val="0"/>
          <w:color w:val="000000"/>
          <w:sz w:val="24"/>
          <w:szCs w:val="24"/>
        </w:rPr>
        <w:t xml:space="preserve">10</w:t>
      </w:r>
      <w:r>
        <w:rPr>
          <w:rFonts w:hint="eastAsia"/>
          <w:b w:val="0"/>
          <w:bCs w:val="0"/>
          <w:color w:val="000000"/>
          <w:sz w:val="24"/>
          <w:szCs w:val="24"/>
          <w:lang w:val="zh-CN"/>
        </w:rPr>
        <w:t xml:space="preserve">项及以上（含打“△”的条款），则本小项不得分。本项最高得</w:t>
      </w:r>
      <w:r>
        <w:rPr>
          <w:rFonts w:hint="eastAsia"/>
          <w:b w:val="0"/>
          <w:bCs w:val="0"/>
          <w:color w:val="000000"/>
          <w:sz w:val="24"/>
          <w:szCs w:val="24"/>
        </w:rPr>
        <w:t xml:space="preserve">25</w:t>
      </w:r>
      <w:r>
        <w:rPr>
          <w:rFonts w:hint="eastAsia"/>
          <w:b w:val="0"/>
          <w:bCs w:val="0"/>
          <w:color w:val="000000"/>
          <w:sz w:val="24"/>
          <w:szCs w:val="24"/>
          <w:lang w:val="zh-CN"/>
        </w:rPr>
        <w:t xml:space="preserve">分。</w:t>
      </w:r>
      <w:r>
        <w:rPr>
          <w:b w:val="0"/>
          <w:bCs w:val="0"/>
          <w:color w:val="000000"/>
          <w:sz w:val="24"/>
          <w:szCs w:val="24"/>
          <w:lang w:val="zh-CN"/>
        </w:rPr>
      </w:r>
      <w:r/>
    </w:p>
    <w:p>
      <w:pPr>
        <w:pStyle w:val="1215"/>
        <w:ind w:firstLine="480"/>
        <w:spacing w:line="440" w:lineRule="exact"/>
        <w:rPr>
          <w:b w:val="0"/>
          <w:bCs w:val="0"/>
          <w:color w:val="000000"/>
          <w:sz w:val="24"/>
          <w:szCs w:val="24"/>
          <w:lang w:val="zh-CN"/>
        </w:rPr>
      </w:pPr>
      <w:r>
        <w:rPr>
          <w:rFonts w:hint="eastAsia"/>
          <w:color w:val="000000"/>
          <w:sz w:val="24"/>
          <w:szCs w:val="24"/>
          <w:lang w:val="zh-CN"/>
        </w:rPr>
        <w:t xml:space="preserve">②设备稳定性（</w:t>
      </w:r>
      <w:r>
        <w:rPr>
          <w:rFonts w:hint="eastAsia"/>
          <w:color w:val="000000"/>
          <w:sz w:val="24"/>
          <w:szCs w:val="24"/>
        </w:rPr>
        <w:t xml:space="preserve">3分</w:t>
      </w:r>
      <w:r>
        <w:rPr>
          <w:rFonts w:hint="eastAsia"/>
          <w:color w:val="000000"/>
          <w:sz w:val="24"/>
          <w:szCs w:val="24"/>
          <w:lang w:val="zh-CN"/>
        </w:rPr>
        <w:t xml:space="preserve">）：能</w:t>
      </w:r>
      <w:r>
        <w:rPr>
          <w:rFonts w:hint="eastAsia" w:ascii="宋体" w:hAnsi="宋体" w:cs="宋体"/>
          <w:color w:val="000000"/>
          <w:sz w:val="24"/>
        </w:rPr>
        <w:t xml:space="preserve">最大程度保证图像质量的稳定性和剂量控制的精准性的，</w:t>
      </w:r>
      <w:r>
        <w:rPr>
          <w:rFonts w:hint="eastAsia"/>
          <w:color w:val="000000"/>
          <w:sz w:val="24"/>
          <w:szCs w:val="24"/>
          <w:lang w:val="zh-CN"/>
        </w:rPr>
        <w:t xml:space="preserve">投标机型的CT核心部件(球管、探测器、高压发生器)与CT整机为同一品牌的得</w:t>
      </w:r>
      <w:r>
        <w:rPr>
          <w:rFonts w:hint="eastAsia"/>
          <w:color w:val="000000"/>
          <w:sz w:val="24"/>
          <w:szCs w:val="24"/>
        </w:rPr>
        <w:t xml:space="preserve">3</w:t>
      </w:r>
      <w:r>
        <w:rPr>
          <w:rFonts w:hint="eastAsia"/>
          <w:color w:val="000000"/>
          <w:sz w:val="24"/>
          <w:szCs w:val="24"/>
          <w:lang w:val="zh-CN"/>
        </w:rPr>
        <w:t xml:space="preserve">分</w:t>
      </w:r>
      <w:r>
        <w:rPr>
          <w:rFonts w:hint="eastAsia"/>
          <w:b/>
          <w:bCs/>
          <w:color w:val="000000"/>
          <w:sz w:val="24"/>
          <w:szCs w:val="24"/>
          <w:lang w:val="zh-CN"/>
        </w:rPr>
        <w:t xml:space="preserve">，</w:t>
      </w:r>
      <w:r>
        <w:rPr>
          <w:rFonts w:hint="eastAsia"/>
          <w:b w:val="0"/>
          <w:bCs w:val="0"/>
          <w:color w:val="000000"/>
          <w:sz w:val="24"/>
          <w:szCs w:val="24"/>
          <w:lang w:val="zh-CN"/>
        </w:rPr>
        <w:t xml:space="preserve">核心部分部件与</w:t>
      </w:r>
      <w:r>
        <w:rPr>
          <w:rFonts w:hint="eastAsia"/>
          <w:b w:val="0"/>
          <w:bCs w:val="0"/>
          <w:color w:val="000000"/>
          <w:sz w:val="24"/>
          <w:szCs w:val="24"/>
        </w:rPr>
        <w:t xml:space="preserve">CT整机为同一品牌的得1分；</w:t>
      </w:r>
      <w:r>
        <w:rPr>
          <w:rFonts w:hint="eastAsia"/>
          <w:b w:val="0"/>
          <w:bCs w:val="0"/>
          <w:color w:val="000000"/>
          <w:sz w:val="24"/>
          <w:szCs w:val="24"/>
          <w:lang w:val="zh-CN"/>
        </w:rPr>
        <w:t xml:space="preserve">其他不得分。</w:t>
      </w:r>
      <w:r>
        <w:rPr>
          <w:b w:val="0"/>
          <w:bCs w:val="0"/>
          <w:color w:val="000000"/>
          <w:sz w:val="24"/>
          <w:szCs w:val="24"/>
          <w:lang w:val="zh-CN"/>
        </w:rPr>
      </w:r>
      <w:r/>
    </w:p>
    <w:p>
      <w:pPr>
        <w:pStyle w:val="1215"/>
        <w:ind w:firstLine="482"/>
        <w:spacing w:line="440" w:lineRule="exact"/>
        <w:rPr>
          <w:b/>
          <w:bCs/>
          <w:color w:val="000000"/>
          <w:sz w:val="24"/>
          <w:szCs w:val="24"/>
          <w:lang w:val="zh-CN"/>
        </w:rPr>
      </w:pPr>
      <w:r>
        <w:rPr>
          <w:rFonts w:hint="eastAsia"/>
          <w:b/>
          <w:bCs/>
          <w:color w:val="000000"/>
          <w:sz w:val="24"/>
          <w:szCs w:val="24"/>
          <w:lang w:val="zh-CN"/>
        </w:rPr>
        <w:t xml:space="preserve">注：提供检验报告等证明材料加盖公章上传至“苏采云”系统相应位置。</w:t>
      </w:r>
      <w:r>
        <w:rPr>
          <w:b/>
          <w:bCs/>
          <w:color w:val="000000"/>
          <w:sz w:val="24"/>
          <w:szCs w:val="24"/>
          <w:lang w:val="zh-CN"/>
        </w:rPr>
      </w:r>
      <w:r/>
    </w:p>
    <w:p>
      <w:pPr>
        <w:pStyle w:val="1215"/>
        <w:ind w:firstLine="480"/>
        <w:spacing w:line="440" w:lineRule="exact"/>
        <w:rPr>
          <w:b/>
          <w:bCs/>
          <w:color w:val="000000"/>
          <w:sz w:val="24"/>
          <w:szCs w:val="24"/>
          <w:lang w:val="zh-CN"/>
        </w:rPr>
      </w:pPr>
      <w:r>
        <w:rPr>
          <w:rFonts w:hint="eastAsia"/>
          <w:color w:val="000000"/>
          <w:sz w:val="24"/>
          <w:szCs w:val="24"/>
          <w:lang w:val="zh-CN"/>
        </w:rPr>
        <w:t xml:space="preserve">③为</w:t>
      </w:r>
      <w:r>
        <w:rPr>
          <w:rFonts w:hint="eastAsia" w:ascii="宋体" w:hAnsi="宋体" w:cs="宋体"/>
          <w:color w:val="000000"/>
          <w:sz w:val="24"/>
        </w:rPr>
        <w:t xml:space="preserve">保证采集的更薄层厚数据越精细，投标人所投产品的</w:t>
      </w:r>
      <w:r>
        <w:rPr>
          <w:rFonts w:hint="eastAsia"/>
          <w:color w:val="000000"/>
          <w:sz w:val="24"/>
          <w:szCs w:val="24"/>
          <w:lang w:val="zh-CN"/>
        </w:rPr>
        <w:t xml:space="preserve">探测器单元Z轴最小尺寸：＜0.6mm，得2分；0.6mm≤探测器单元Z轴最小尺寸＜0.625mm，得1分，其他不得分。</w:t>
      </w:r>
      <w:r>
        <w:rPr>
          <w:rFonts w:hint="eastAsia"/>
          <w:b/>
          <w:bCs/>
          <w:color w:val="000000"/>
          <w:sz w:val="24"/>
          <w:szCs w:val="24"/>
          <w:lang w:val="zh-CN"/>
        </w:rPr>
        <w:t xml:space="preserve">注：提供证明材料加盖公章上传至“苏采云”系统相应位置。</w:t>
      </w:r>
      <w:r>
        <w:rPr>
          <w:b/>
          <w:bCs/>
          <w:color w:val="000000"/>
          <w:sz w:val="24"/>
          <w:szCs w:val="24"/>
          <w:lang w:val="zh-CN"/>
        </w:rPr>
      </w:r>
      <w:r/>
    </w:p>
    <w:p>
      <w:pPr>
        <w:pStyle w:val="1215"/>
        <w:ind w:firstLine="480"/>
        <w:spacing w:line="440" w:lineRule="exact"/>
        <w:rPr>
          <w:rFonts w:ascii="宋体" w:hAnsi="宋体" w:cs="宋体"/>
          <w:color w:val="000000"/>
          <w:sz w:val="24"/>
          <w:lang w:val="zh-CN"/>
        </w:rPr>
      </w:pPr>
      <w:r>
        <w:rPr>
          <w:rFonts w:hint="eastAsia" w:ascii="宋体" w:hAnsi="宋体" w:cs="宋体"/>
          <w:color w:val="000000"/>
          <w:sz w:val="24"/>
          <w:lang w:val="zh-CN"/>
        </w:rPr>
        <w:t xml:space="preserve">④为</w:t>
      </w:r>
      <w:r>
        <w:rPr>
          <w:rFonts w:hint="eastAsia" w:ascii="宋体" w:hAnsi="宋体" w:cs="宋体"/>
          <w:color w:val="000000"/>
          <w:sz w:val="24"/>
        </w:rPr>
        <w:t xml:space="preserve">保证大范围灌注扫描或宽体容积成像时，依然维持足够高的像素矩阵密度，投标人所投产品的</w:t>
      </w:r>
      <w:r>
        <w:rPr>
          <w:rFonts w:hint="eastAsia" w:ascii="宋体" w:hAnsi="宋体" w:cs="宋体"/>
          <w:color w:val="000000"/>
          <w:sz w:val="24"/>
          <w:lang w:val="zh-CN"/>
        </w:rPr>
        <w:t xml:space="preserve">探测器物理总单元数：探测器物理总单元数＞</w:t>
      </w:r>
      <w:r>
        <w:rPr>
          <w:rFonts w:hint="eastAsia" w:ascii="宋体" w:hAnsi="宋体" w:cs="宋体"/>
          <w:color w:val="000000"/>
          <w:sz w:val="24"/>
          <w:lang w:val="zh-CN"/>
        </w:rPr>
        <w:t xml:space="preserve">30000个的</w:t>
      </w:r>
      <w:r>
        <w:rPr>
          <w:rFonts w:hint="eastAsia" w:ascii="宋体" w:hAnsi="宋体" w:cs="宋体"/>
          <w:color w:val="000000"/>
          <w:sz w:val="24"/>
          <w:lang w:val="zh-CN"/>
        </w:rPr>
        <w:t xml:space="preserve">，得2分；25000个＜探测器物理总单元数≤30000个，得1分；单元数≤25000个的，本项不得分。</w:t>
      </w:r>
      <w:r>
        <w:rPr>
          <w:rFonts w:hint="eastAsia"/>
          <w:b/>
          <w:bCs/>
          <w:color w:val="000000"/>
          <w:sz w:val="24"/>
          <w:szCs w:val="24"/>
          <w:lang w:val="zh-CN"/>
        </w:rPr>
        <w:t xml:space="preserve">注：提供证明材料加盖公章上传至“苏采云”系统相应位置。</w:t>
      </w:r>
      <w:r>
        <w:rPr>
          <w:rFonts w:ascii="宋体" w:hAnsi="宋体" w:cs="宋体"/>
          <w:color w:val="000000"/>
          <w:sz w:val="24"/>
          <w:lang w:val="zh-CN"/>
        </w:rPr>
      </w:r>
      <w:r/>
    </w:p>
    <w:p>
      <w:pPr>
        <w:pStyle w:val="1215"/>
        <w:ind w:firstLine="480"/>
        <w:spacing w:line="440" w:lineRule="exact"/>
        <w:rPr>
          <w:color w:val="000000"/>
          <w:sz w:val="24"/>
          <w:szCs w:val="24"/>
          <w:lang w:val="zh-CN"/>
        </w:rPr>
      </w:pPr>
      <w:r>
        <w:rPr>
          <w:rFonts w:hint="eastAsia"/>
          <w:color w:val="000000"/>
          <w:sz w:val="24"/>
          <w:szCs w:val="24"/>
          <w:lang w:val="zh-CN"/>
        </w:rPr>
        <w:t xml:space="preserve">⑤为</w:t>
      </w:r>
      <w:r>
        <w:rPr>
          <w:rFonts w:hint="eastAsia" w:ascii="宋体" w:hAnsi="宋体" w:cs="宋体"/>
          <w:color w:val="000000"/>
          <w:sz w:val="24"/>
        </w:rPr>
        <w:t xml:space="preserve">减少床面移动次数和扫描旋转圈数，从而有效缩短总扫描时间、降低因患者呼吸或运动带来的伪影风险，投标人所投产品的</w:t>
      </w:r>
      <w:r>
        <w:rPr>
          <w:rFonts w:hint="eastAsia"/>
          <w:color w:val="000000"/>
          <w:sz w:val="24"/>
          <w:szCs w:val="24"/>
          <w:lang w:val="zh-CN"/>
        </w:rPr>
        <w:t xml:space="preserve">探测器Z轴扫描覆盖总宽度（旋转中心投影）：＞20mm，得2分；20mm≥探测器Z轴扫描覆盖总宽度（旋转中心投影）＞16mm，得1分，其他不得分。</w:t>
      </w:r>
      <w:r>
        <w:rPr>
          <w:rFonts w:hint="eastAsia"/>
          <w:b/>
          <w:bCs/>
          <w:color w:val="000000"/>
          <w:sz w:val="24"/>
          <w:szCs w:val="24"/>
          <w:lang w:val="zh-CN"/>
        </w:rPr>
        <w:t xml:space="preserve">注：提供证明材料加盖公章上传至“苏采云”系统相应位置。</w:t>
      </w:r>
      <w:r>
        <w:rPr>
          <w:color w:val="000000"/>
          <w:sz w:val="24"/>
          <w:szCs w:val="24"/>
          <w:lang w:val="zh-CN"/>
        </w:rPr>
      </w:r>
      <w:r/>
    </w:p>
    <w:p>
      <w:pPr>
        <w:pStyle w:val="1215"/>
        <w:ind w:firstLine="480"/>
        <w:spacing w:line="440" w:lineRule="exact"/>
        <w:rPr>
          <w:b w:val="0"/>
          <w:bCs w:val="0"/>
          <w:color w:val="000000"/>
          <w:sz w:val="24"/>
          <w:szCs w:val="24"/>
          <w:lang w:val="zh-CN"/>
        </w:rPr>
      </w:pPr>
      <w:r>
        <w:rPr>
          <w:rFonts w:hint="eastAsia"/>
          <w:b w:val="0"/>
          <w:bCs w:val="0"/>
          <w:color w:val="000000"/>
          <w:sz w:val="24"/>
          <w:szCs w:val="24"/>
          <w:lang w:val="zh-CN"/>
        </w:rPr>
        <w:t xml:space="preserve">⑥单次螺旋连续最长扫描时间：＞100s的得</w:t>
      </w:r>
      <w:r>
        <w:rPr>
          <w:b w:val="0"/>
          <w:bCs w:val="0"/>
          <w:color w:val="000000"/>
          <w:sz w:val="24"/>
          <w:szCs w:val="24"/>
          <w:lang w:val="zh-CN"/>
        </w:rPr>
        <w:t xml:space="preserve">1</w:t>
      </w:r>
      <w:r>
        <w:rPr>
          <w:rFonts w:hint="eastAsia"/>
          <w:b w:val="0"/>
          <w:bCs w:val="0"/>
          <w:color w:val="000000"/>
          <w:sz w:val="24"/>
          <w:szCs w:val="24"/>
          <w:lang w:val="zh-CN"/>
        </w:rPr>
        <w:t xml:space="preserve">分，其他不得分。</w:t>
      </w:r>
      <w:r>
        <w:rPr>
          <w:rFonts w:hint="eastAsia"/>
          <w:b/>
          <w:bCs/>
          <w:color w:val="000000"/>
          <w:sz w:val="24"/>
          <w:szCs w:val="24"/>
          <w:lang w:val="zh-CN"/>
        </w:rPr>
        <w:t xml:space="preserve">注：提供证明材料加盖公章上传至“苏采云”系统相应位置。</w:t>
      </w:r>
      <w:r>
        <w:rPr>
          <w:b w:val="0"/>
          <w:bCs w:val="0"/>
          <w:color w:val="000000"/>
          <w:sz w:val="24"/>
          <w:szCs w:val="24"/>
          <w:lang w:val="zh-CN"/>
        </w:rPr>
      </w:r>
      <w:r/>
    </w:p>
    <w:p>
      <w:pPr>
        <w:pStyle w:val="1215"/>
        <w:ind w:firstLine="480"/>
        <w:spacing w:line="440" w:lineRule="exact"/>
        <w:rPr>
          <w:b w:val="0"/>
          <w:bCs w:val="0"/>
          <w:color w:val="000000"/>
          <w:sz w:val="24"/>
          <w:szCs w:val="24"/>
          <w:lang w:val="zh-CN"/>
        </w:rPr>
      </w:pPr>
      <w:r>
        <w:rPr>
          <w:rFonts w:hint="eastAsia"/>
          <w:b w:val="0"/>
          <w:bCs w:val="0"/>
          <w:color w:val="000000"/>
          <w:sz w:val="24"/>
          <w:szCs w:val="24"/>
          <w:lang w:val="zh-CN"/>
        </w:rPr>
        <w:t xml:space="preserve">⑦</w:t>
      </w:r>
      <w:r>
        <w:rPr>
          <w:rFonts w:hint="eastAsia" w:ascii="宋体" w:hAnsi="宋体" w:cs="宋体"/>
          <w:b w:val="0"/>
          <w:bCs w:val="0"/>
          <w:color w:val="000000"/>
          <w:sz w:val="24"/>
          <w:szCs w:val="24"/>
        </w:rPr>
        <w:t xml:space="preserve">球管阳极实际热容量（不含等效概念）＞</w:t>
      </w:r>
      <w:r>
        <w:rPr>
          <w:rFonts w:ascii="宋体" w:hAnsi="宋体" w:cs="宋体"/>
          <w:b w:val="0"/>
          <w:bCs w:val="0"/>
          <w:color w:val="000000"/>
          <w:sz w:val="24"/>
          <w:szCs w:val="24"/>
        </w:rPr>
        <w:t xml:space="preserve">5</w:t>
      </w:r>
      <w:r>
        <w:rPr>
          <w:rFonts w:hint="eastAsia" w:ascii="宋体" w:hAnsi="宋体" w:cs="宋体"/>
          <w:b w:val="0"/>
          <w:bCs w:val="0"/>
          <w:color w:val="000000"/>
          <w:sz w:val="24"/>
          <w:szCs w:val="24"/>
        </w:rPr>
        <w:t xml:space="preserve">MHU的得2分，</w:t>
      </w:r>
      <w:r>
        <w:rPr>
          <w:rFonts w:ascii="宋体" w:hAnsi="宋体" w:cs="宋体"/>
          <w:b w:val="0"/>
          <w:bCs w:val="0"/>
          <w:color w:val="000000"/>
          <w:sz w:val="24"/>
          <w:szCs w:val="24"/>
        </w:rPr>
        <w:t xml:space="preserve">5</w:t>
      </w:r>
      <w:r>
        <w:rPr>
          <w:rFonts w:hint="eastAsia" w:ascii="宋体" w:hAnsi="宋体" w:cs="宋体"/>
          <w:b w:val="0"/>
          <w:bCs w:val="0"/>
          <w:color w:val="000000"/>
          <w:sz w:val="24"/>
          <w:szCs w:val="24"/>
        </w:rPr>
        <w:t xml:space="preserve">MHU</w:t>
      </w:r>
      <w:r>
        <w:rPr>
          <w:rFonts w:hint="eastAsia"/>
          <w:b w:val="0"/>
          <w:bCs w:val="0"/>
          <w:color w:val="000000"/>
          <w:sz w:val="24"/>
          <w:szCs w:val="24"/>
          <w:lang w:val="zh-CN"/>
        </w:rPr>
        <w:t xml:space="preserve">≥</w:t>
      </w:r>
      <w:r>
        <w:rPr>
          <w:rFonts w:hint="eastAsia" w:ascii="宋体" w:hAnsi="宋体" w:cs="宋体"/>
          <w:b w:val="0"/>
          <w:bCs w:val="0"/>
          <w:color w:val="000000"/>
          <w:sz w:val="24"/>
          <w:szCs w:val="24"/>
        </w:rPr>
        <w:t xml:space="preserve">球管阳极实际热容量（不含等效概念）</w:t>
      </w:r>
      <w:r>
        <w:rPr>
          <w:rFonts w:hint="eastAsia"/>
          <w:b w:val="0"/>
          <w:bCs w:val="0"/>
          <w:color w:val="000000"/>
          <w:sz w:val="24"/>
          <w:szCs w:val="24"/>
          <w:lang w:val="zh-CN"/>
        </w:rPr>
        <w:t xml:space="preserve">＞</w:t>
      </w:r>
      <w:r>
        <w:rPr>
          <w:rFonts w:ascii="宋体" w:hAnsi="宋体" w:cs="宋体"/>
          <w:b w:val="0"/>
          <w:bCs w:val="0"/>
          <w:color w:val="000000"/>
          <w:sz w:val="24"/>
          <w:szCs w:val="24"/>
        </w:rPr>
        <w:t xml:space="preserve">4M</w:t>
      </w:r>
      <w:r>
        <w:rPr>
          <w:rFonts w:hint="eastAsia" w:ascii="宋体" w:hAnsi="宋体" w:cs="宋体"/>
          <w:b w:val="0"/>
          <w:bCs w:val="0"/>
          <w:color w:val="000000"/>
          <w:sz w:val="24"/>
          <w:szCs w:val="24"/>
        </w:rPr>
        <w:t xml:space="preserve">HU的得</w:t>
      </w:r>
      <w:r>
        <w:rPr>
          <w:rFonts w:ascii="宋体" w:hAnsi="宋体" w:cs="宋体"/>
          <w:b w:val="0"/>
          <w:bCs w:val="0"/>
          <w:color w:val="000000"/>
          <w:sz w:val="24"/>
          <w:szCs w:val="24"/>
        </w:rPr>
        <w:t xml:space="preserve">1</w:t>
      </w:r>
      <w:r>
        <w:rPr>
          <w:rFonts w:hint="eastAsia" w:ascii="宋体" w:hAnsi="宋体" w:cs="宋体"/>
          <w:b w:val="0"/>
          <w:bCs w:val="0"/>
          <w:color w:val="000000"/>
          <w:sz w:val="24"/>
          <w:szCs w:val="24"/>
        </w:rPr>
        <w:t xml:space="preserve">分，其他不得分。</w:t>
      </w:r>
      <w:r>
        <w:rPr>
          <w:rFonts w:hint="eastAsia"/>
          <w:b/>
          <w:bCs/>
          <w:color w:val="000000"/>
          <w:sz w:val="24"/>
          <w:szCs w:val="24"/>
          <w:lang w:val="zh-CN"/>
        </w:rPr>
        <w:t xml:space="preserve">注：提供证明材料加盖公章上传至“苏采云”系统相应位置。</w:t>
      </w:r>
      <w:r>
        <w:rPr>
          <w:b w:val="0"/>
          <w:bCs w:val="0"/>
          <w:color w:val="000000"/>
          <w:sz w:val="24"/>
          <w:szCs w:val="24"/>
          <w:lang w:val="zh-CN"/>
        </w:rPr>
      </w:r>
      <w:r/>
    </w:p>
    <w:p>
      <w:pPr>
        <w:pStyle w:val="1215"/>
        <w:ind w:firstLine="480"/>
        <w:spacing w:line="440" w:lineRule="exact"/>
        <w:rPr>
          <w:bCs/>
          <w:color w:val="000000"/>
          <w:sz w:val="24"/>
          <w:szCs w:val="24"/>
          <w:lang w:val="zh-CN"/>
        </w:rPr>
      </w:pPr>
      <w:r>
        <w:rPr>
          <w:rFonts w:hint="eastAsia"/>
          <w:b w:val="0"/>
          <w:bCs w:val="0"/>
          <w:color w:val="000000"/>
          <w:sz w:val="24"/>
          <w:szCs w:val="24"/>
          <w:lang w:val="zh-CN"/>
        </w:rPr>
        <w:t xml:space="preserve">⑧设备使用年限（3分）：使用年限≥30年，得3分；10＜使用年限≤20年的，</w:t>
      </w:r>
      <w:r>
        <w:rPr>
          <w:rFonts w:hint="eastAsia"/>
          <w:bCs/>
          <w:color w:val="000000"/>
          <w:sz w:val="24"/>
          <w:szCs w:val="24"/>
          <w:lang w:val="zh-CN"/>
        </w:rPr>
        <w:t xml:space="preserve">得2分；使用年限≤10年的，得1分。</w:t>
      </w:r>
      <w:r>
        <w:rPr>
          <w:rFonts w:hint="eastAsia"/>
          <w:b/>
          <w:bCs/>
          <w:color w:val="000000"/>
          <w:sz w:val="24"/>
          <w:szCs w:val="24"/>
          <w:lang w:val="zh-CN"/>
        </w:rPr>
        <w:t xml:space="preserve">（提供设备铭牌照片或使用说明书等证明材料加盖公章上传至“苏采云”系统相应位置）</w:t>
      </w:r>
      <w:r>
        <w:rPr>
          <w:bCs/>
          <w:color w:val="000000"/>
          <w:sz w:val="24"/>
          <w:szCs w:val="24"/>
          <w:lang w:val="zh-CN"/>
        </w:rPr>
      </w:r>
      <w:r/>
    </w:p>
    <w:p>
      <w:pPr>
        <w:pStyle w:val="1215"/>
        <w:ind w:firstLine="482"/>
        <w:spacing w:line="440" w:lineRule="exact"/>
        <w:rPr>
          <w:b/>
          <w:bCs/>
          <w:color w:val="000000"/>
          <w:sz w:val="24"/>
          <w:szCs w:val="24"/>
          <w:lang w:val="zh-CN"/>
        </w:rPr>
      </w:pPr>
      <w:r>
        <w:rPr>
          <w:rFonts w:hint="eastAsia"/>
          <w:b/>
          <w:bCs/>
          <w:color w:val="000000"/>
          <w:sz w:val="24"/>
          <w:szCs w:val="24"/>
          <w:lang w:val="zh-CN"/>
        </w:rPr>
        <w:t xml:space="preserve">注：①投标人在技术响应（偏离表）中必须如实表述产品技术参数是否偏离。</w:t>
      </w:r>
      <w:r>
        <w:rPr>
          <w:b/>
          <w:bCs/>
          <w:color w:val="000000"/>
          <w:sz w:val="24"/>
          <w:szCs w:val="24"/>
          <w:lang w:val="zh-CN"/>
        </w:rPr>
      </w:r>
      <w:r/>
    </w:p>
    <w:p>
      <w:pPr>
        <w:pStyle w:val="1215"/>
        <w:ind w:firstLine="482"/>
        <w:spacing w:line="440" w:lineRule="exact"/>
        <w:rPr>
          <w:b/>
          <w:bCs/>
          <w:color w:val="000000"/>
          <w:sz w:val="24"/>
          <w:szCs w:val="24"/>
          <w:lang w:val="zh-CN"/>
        </w:rPr>
      </w:pPr>
      <w:r>
        <w:rPr>
          <w:rFonts w:hint="eastAsia"/>
          <w:b/>
          <w:bCs/>
          <w:color w:val="000000"/>
          <w:sz w:val="24"/>
          <w:szCs w:val="24"/>
          <w:lang w:val="zh-CN"/>
        </w:rPr>
        <w:t xml:space="preserve">②投标人需按照本采购文件具体功能技术要求在“技术参数响应及偏离表”中如实详细填列所投产品的参数，需提供相应证明文件。包括不限于：医疗器械注册证或厂家产品白皮书、彩页或有法定检测资质的检测机构出具的产品检测报告等（如厂家的产品使用说明书为外文版，请同时提供中文版，并在响应文件技术参数偏离表备注栏中标注相应证明文件页码）。各投标人须如实描述所投产品的技术性能，若虚构产品技术参数的，将视为虚假响应，作无效投标，并追究相应的法律责任。要求提供相关证明材料但未提供则视为该功能参数响应负偏离，进行扣分或无效响应处理。</w:t>
      </w:r>
      <w:r>
        <w:rPr>
          <w:b/>
          <w:bCs/>
          <w:color w:val="000000"/>
          <w:sz w:val="24"/>
          <w:szCs w:val="24"/>
          <w:lang w:val="zh-CN"/>
        </w:rPr>
      </w:r>
      <w:r/>
    </w:p>
    <w:p>
      <w:pPr>
        <w:pStyle w:val="1215"/>
        <w:ind w:firstLine="480"/>
        <w:spacing w:line="440" w:lineRule="exact"/>
        <w:rPr>
          <w:color w:val="000000"/>
          <w:sz w:val="24"/>
          <w:szCs w:val="24"/>
        </w:rPr>
      </w:pPr>
      <w:r>
        <w:rPr>
          <w:rFonts w:hint="eastAsia"/>
          <w:color w:val="000000"/>
          <w:sz w:val="24"/>
          <w:szCs w:val="24"/>
        </w:rPr>
        <w:t xml:space="preserve">2</w:t>
      </w:r>
      <w:r>
        <w:rPr>
          <w:color w:val="000000"/>
          <w:sz w:val="24"/>
          <w:szCs w:val="24"/>
        </w:rPr>
        <w:t xml:space="preserve">.3</w:t>
      </w:r>
      <w:r>
        <w:rPr>
          <w:rFonts w:hint="eastAsia"/>
          <w:color w:val="000000"/>
          <w:sz w:val="24"/>
          <w:szCs w:val="24"/>
        </w:rPr>
        <w:t xml:space="preserve">技术方案（</w:t>
      </w:r>
      <w:r>
        <w:rPr>
          <w:color w:val="000000"/>
          <w:sz w:val="24"/>
          <w:szCs w:val="24"/>
        </w:rPr>
        <w:t xml:space="preserve">30</w:t>
      </w:r>
      <w:r>
        <w:rPr>
          <w:rFonts w:hint="eastAsia"/>
          <w:color w:val="000000"/>
          <w:sz w:val="24"/>
          <w:szCs w:val="24"/>
        </w:rPr>
        <w:t xml:space="preserve">分）</w:t>
      </w:r>
      <w:r>
        <w:rPr>
          <w:color w:val="000000"/>
          <w:sz w:val="24"/>
          <w:szCs w:val="24"/>
        </w:rPr>
      </w:r>
      <w:r/>
    </w:p>
    <w:p>
      <w:pPr>
        <w:pStyle w:val="1215"/>
        <w:ind w:firstLine="480"/>
        <w:spacing w:line="440" w:lineRule="exact"/>
        <w:rPr>
          <w:color w:val="000000"/>
          <w:sz w:val="24"/>
          <w:szCs w:val="24"/>
          <w:lang w:val="zh-CN"/>
        </w:rPr>
      </w:pPr>
      <w:r>
        <w:rPr>
          <w:rFonts w:hint="eastAsia"/>
          <w:color w:val="000000"/>
          <w:sz w:val="24"/>
          <w:szCs w:val="24"/>
        </w:rPr>
        <w:t xml:space="preserve">2</w:t>
      </w:r>
      <w:r>
        <w:rPr>
          <w:rFonts w:hint="eastAsia"/>
          <w:color w:val="000000"/>
          <w:sz w:val="24"/>
          <w:szCs w:val="24"/>
          <w:lang w:val="zh-CN"/>
        </w:rPr>
        <w:t xml:space="preserve">.</w:t>
      </w:r>
      <w:r>
        <w:rPr>
          <w:color w:val="000000"/>
          <w:sz w:val="24"/>
          <w:szCs w:val="24"/>
        </w:rPr>
        <w:t xml:space="preserve">3.1</w:t>
      </w:r>
      <w:r>
        <w:rPr>
          <w:rFonts w:hint="eastAsia"/>
          <w:color w:val="000000"/>
          <w:sz w:val="24"/>
          <w:szCs w:val="24"/>
          <w:lang w:val="zh-CN"/>
        </w:rPr>
        <w:t xml:space="preserve">实施方案（</w:t>
      </w:r>
      <w:r>
        <w:rPr>
          <w:rFonts w:hint="eastAsia"/>
          <w:color w:val="000000"/>
          <w:sz w:val="24"/>
          <w:szCs w:val="24"/>
        </w:rPr>
        <w:t xml:space="preserve">5</w:t>
      </w:r>
      <w:r>
        <w:rPr>
          <w:rFonts w:hint="eastAsia"/>
          <w:color w:val="000000"/>
          <w:sz w:val="24"/>
          <w:szCs w:val="24"/>
          <w:lang w:val="zh-CN"/>
        </w:rPr>
        <w:t xml:space="preserve">分）</w:t>
      </w:r>
      <w:r>
        <w:rPr>
          <w:color w:val="000000"/>
          <w:sz w:val="24"/>
          <w:szCs w:val="24"/>
          <w:lang w:val="zh-CN"/>
        </w:rPr>
      </w:r>
      <w:r/>
    </w:p>
    <w:p>
      <w:pPr>
        <w:pStyle w:val="1215"/>
        <w:ind w:firstLine="480"/>
        <w:spacing w:line="440" w:lineRule="exact"/>
        <w:rPr>
          <w:color w:val="000000"/>
          <w:sz w:val="24"/>
          <w:szCs w:val="24"/>
          <w:lang w:val="zh-CN"/>
        </w:rPr>
      </w:pPr>
      <w:r>
        <w:rPr>
          <w:rFonts w:hint="eastAsia"/>
          <w:color w:val="000000"/>
          <w:sz w:val="24"/>
          <w:szCs w:val="24"/>
          <w:lang w:val="zh-CN"/>
        </w:rPr>
        <w:t xml:space="preserve">根据各投标人提供的实施方案，包括供货方案（包含但不限于①货物的包装、②供货进度保证措施等）、安装、调试和验收方案（包括但不限于针对调试、验收计划及保证措施和体系）、质量和安全管理体系与措施（包括但不限于①质量体系与措施、②安全管理体系与措施等）等内容综合评定。</w:t>
      </w:r>
      <w:r>
        <w:rPr>
          <w:rFonts w:hint="eastAsia" w:ascii="Segoe UI" w:hAnsi="Segoe UI" w:cs="Segoe UI"/>
          <w:color w:val="000000"/>
          <w:sz w:val="24"/>
          <w:szCs w:val="24"/>
          <w:shd w:val="clear" w:color="auto" w:fill="ffffff"/>
        </w:rPr>
        <w:t xml:space="preserve">以上内容</w:t>
      </w:r>
      <w:r>
        <w:rPr>
          <w:rFonts w:ascii="Segoe UI" w:hAnsi="Segoe UI" w:eastAsia="Segoe UI" w:cs="Segoe UI"/>
          <w:color w:val="000000"/>
          <w:sz w:val="24"/>
          <w:szCs w:val="24"/>
          <w:shd w:val="clear" w:color="auto" w:fill="ffffff"/>
        </w:rPr>
        <w:t xml:space="preserve">全部包含，且每项均有具体可操作的落实措施</w:t>
      </w:r>
      <w:r>
        <w:rPr>
          <w:rFonts w:hint="eastAsia" w:ascii="Segoe UI" w:hAnsi="Segoe UI" w:cs="Segoe UI"/>
          <w:color w:val="000000"/>
          <w:sz w:val="24"/>
          <w:szCs w:val="24"/>
          <w:shd w:val="clear" w:color="auto" w:fill="ffffff"/>
        </w:rPr>
        <w:t xml:space="preserve">，</w:t>
      </w:r>
      <w:r>
        <w:rPr>
          <w:rFonts w:hint="eastAsia"/>
          <w:color w:val="000000"/>
          <w:sz w:val="24"/>
          <w:szCs w:val="24"/>
          <w:lang w:val="zh-CN"/>
        </w:rPr>
        <w:t xml:space="preserve">方案内容完整、合理可行、完全满足实际要求的得</w:t>
      </w:r>
      <w:r>
        <w:rPr>
          <w:rFonts w:hint="eastAsia"/>
          <w:color w:val="000000"/>
          <w:sz w:val="24"/>
          <w:szCs w:val="24"/>
        </w:rPr>
        <w:t xml:space="preserve">5</w:t>
      </w:r>
      <w:r>
        <w:rPr>
          <w:rFonts w:hint="eastAsia"/>
          <w:color w:val="000000"/>
          <w:sz w:val="24"/>
          <w:szCs w:val="24"/>
          <w:lang w:val="zh-CN"/>
        </w:rPr>
        <w:t xml:space="preserve">分；</w:t>
      </w:r>
      <w:r>
        <w:rPr>
          <w:rFonts w:hint="eastAsia" w:ascii="Segoe UI" w:hAnsi="Segoe UI" w:cs="Segoe UI"/>
          <w:color w:val="000000"/>
          <w:sz w:val="24"/>
          <w:szCs w:val="24"/>
          <w:shd w:val="clear" w:color="auto" w:fill="ffffff"/>
        </w:rPr>
        <w:t xml:space="preserve">以上内容部分包含且</w:t>
      </w:r>
      <w:r>
        <w:rPr>
          <w:rFonts w:hint="eastAsia"/>
          <w:color w:val="000000"/>
          <w:sz w:val="24"/>
          <w:szCs w:val="24"/>
          <w:lang w:val="zh-CN"/>
        </w:rPr>
        <w:t xml:space="preserve">方案内容较完整、较科学合理、基本满足实际要求，</w:t>
      </w:r>
      <w:r>
        <w:rPr>
          <w:rFonts w:ascii="Segoe UI" w:hAnsi="Segoe UI" w:eastAsia="Segoe UI" w:cs="Segoe UI"/>
          <w:color w:val="000000"/>
          <w:sz w:val="24"/>
          <w:szCs w:val="24"/>
          <w:shd w:val="clear" w:color="auto" w:fill="ffffff"/>
        </w:rPr>
        <w:t xml:space="preserve">有相应落实措施</w:t>
      </w:r>
      <w:r>
        <w:rPr>
          <w:rFonts w:hint="eastAsia"/>
          <w:color w:val="000000"/>
          <w:sz w:val="24"/>
          <w:szCs w:val="24"/>
          <w:lang w:val="zh-CN"/>
        </w:rPr>
        <w:t xml:space="preserve">的得</w:t>
      </w:r>
      <w:r>
        <w:rPr>
          <w:rFonts w:hint="eastAsia"/>
          <w:color w:val="000000"/>
          <w:sz w:val="24"/>
          <w:szCs w:val="24"/>
        </w:rPr>
        <w:t xml:space="preserve">3</w:t>
      </w:r>
      <w:r>
        <w:rPr>
          <w:rFonts w:hint="eastAsia"/>
          <w:color w:val="000000"/>
          <w:sz w:val="24"/>
          <w:szCs w:val="24"/>
          <w:lang w:val="zh-CN"/>
        </w:rPr>
        <w:t xml:space="preserve">分；</w:t>
      </w:r>
      <w:r>
        <w:rPr>
          <w:rFonts w:hint="eastAsia" w:ascii="Segoe UI" w:hAnsi="Segoe UI" w:cs="Segoe UI"/>
          <w:color w:val="000000"/>
          <w:sz w:val="24"/>
          <w:szCs w:val="24"/>
          <w:shd w:val="clear" w:color="auto" w:fill="ffffff"/>
        </w:rPr>
        <w:t xml:space="preserve">以上内容部分包含，</w:t>
      </w:r>
      <w:r>
        <w:rPr>
          <w:rFonts w:hint="eastAsia"/>
          <w:color w:val="000000"/>
          <w:sz w:val="24"/>
          <w:szCs w:val="24"/>
          <w:lang w:val="zh-CN"/>
        </w:rPr>
        <w:t xml:space="preserve">方案内容不</w:t>
      </w:r>
      <w:r>
        <w:rPr>
          <w:rFonts w:hint="eastAsia"/>
          <w:color w:val="000000"/>
          <w:sz w:val="24"/>
          <w:szCs w:val="24"/>
        </w:rPr>
        <w:t xml:space="preserve">太</w:t>
      </w:r>
      <w:r>
        <w:rPr>
          <w:rFonts w:hint="eastAsia"/>
          <w:color w:val="000000"/>
          <w:sz w:val="24"/>
          <w:szCs w:val="24"/>
          <w:lang w:val="zh-CN"/>
        </w:rPr>
        <w:t xml:space="preserve">完整、部分满足实际要求，</w:t>
      </w:r>
      <w:r>
        <w:rPr>
          <w:rFonts w:ascii="Segoe UI" w:hAnsi="Segoe UI" w:eastAsia="Segoe UI" w:cs="Segoe UI"/>
          <w:color w:val="000000"/>
          <w:sz w:val="24"/>
          <w:szCs w:val="24"/>
          <w:shd w:val="clear" w:color="auto" w:fill="ffffff"/>
        </w:rPr>
        <w:t xml:space="preserve">有简要措施</w:t>
      </w:r>
      <w:r>
        <w:rPr>
          <w:rFonts w:hint="eastAsia"/>
          <w:color w:val="000000"/>
          <w:sz w:val="24"/>
          <w:szCs w:val="24"/>
          <w:lang w:val="zh-CN"/>
        </w:rPr>
        <w:t xml:space="preserve">的得</w:t>
      </w:r>
      <w:r>
        <w:rPr>
          <w:rFonts w:hint="eastAsia"/>
          <w:color w:val="000000"/>
          <w:sz w:val="24"/>
          <w:szCs w:val="24"/>
        </w:rPr>
        <w:t xml:space="preserve">2</w:t>
      </w:r>
      <w:r>
        <w:rPr>
          <w:rFonts w:hint="eastAsia"/>
          <w:color w:val="000000"/>
          <w:sz w:val="24"/>
          <w:szCs w:val="24"/>
          <w:lang w:val="zh-CN"/>
        </w:rPr>
        <w:t xml:space="preserve">分；</w:t>
      </w:r>
      <w:r>
        <w:rPr>
          <w:rFonts w:hint="eastAsia"/>
          <w:color w:val="000000"/>
          <w:sz w:val="24"/>
          <w:szCs w:val="24"/>
        </w:rPr>
        <w:t xml:space="preserve">方案不完整、不合理、不满足实际要求的，</w:t>
      </w:r>
      <w:r>
        <w:rPr>
          <w:rFonts w:ascii="Segoe UI" w:hAnsi="Segoe UI" w:eastAsia="Segoe UI" w:cs="Segoe UI"/>
          <w:color w:val="000000"/>
          <w:sz w:val="24"/>
          <w:szCs w:val="24"/>
          <w:shd w:val="clear" w:color="auto" w:fill="ffffff"/>
        </w:rPr>
        <w:t xml:space="preserve">措施笼统无可操作性</w:t>
      </w:r>
      <w:r>
        <w:rPr>
          <w:rFonts w:hint="eastAsia"/>
          <w:color w:val="000000"/>
          <w:sz w:val="24"/>
          <w:szCs w:val="24"/>
        </w:rPr>
        <w:t xml:space="preserve">得1分；</w:t>
      </w:r>
      <w:r>
        <w:rPr>
          <w:rFonts w:hint="eastAsia"/>
          <w:color w:val="000000"/>
          <w:sz w:val="24"/>
          <w:szCs w:val="24"/>
          <w:lang w:val="zh-CN"/>
        </w:rPr>
        <w:t xml:space="preserve">未提供方案的不得分。</w:t>
      </w:r>
      <w:r>
        <w:rPr>
          <w:color w:val="000000"/>
          <w:sz w:val="24"/>
          <w:szCs w:val="24"/>
          <w:lang w:val="zh-CN"/>
        </w:rPr>
      </w:r>
      <w:r/>
    </w:p>
    <w:p>
      <w:pPr>
        <w:pStyle w:val="1215"/>
        <w:ind w:firstLine="480"/>
        <w:spacing w:line="440" w:lineRule="exact"/>
        <w:rPr>
          <w:sz w:val="24"/>
          <w:szCs w:val="24"/>
        </w:rPr>
      </w:pPr>
      <w:r>
        <w:rPr>
          <w:rFonts w:hint="eastAsia"/>
          <w:sz w:val="24"/>
          <w:szCs w:val="24"/>
        </w:rPr>
        <w:t xml:space="preserve">2.</w:t>
      </w:r>
      <w:r>
        <w:rPr>
          <w:sz w:val="24"/>
          <w:szCs w:val="24"/>
        </w:rPr>
        <w:t xml:space="preserve">3.2</w:t>
      </w:r>
      <w:r>
        <w:rPr>
          <w:rFonts w:hint="eastAsia"/>
          <w:sz w:val="24"/>
          <w:szCs w:val="24"/>
        </w:rPr>
        <w:t xml:space="preserve">项目验收方案(3分)</w:t>
      </w:r>
      <w:r>
        <w:rPr>
          <w:sz w:val="24"/>
          <w:szCs w:val="24"/>
        </w:rPr>
      </w:r>
      <w:r/>
    </w:p>
    <w:p>
      <w:pPr>
        <w:pStyle w:val="1215"/>
        <w:ind w:firstLine="480"/>
        <w:spacing w:line="440" w:lineRule="exact"/>
        <w:rPr>
          <w:sz w:val="24"/>
          <w:szCs w:val="24"/>
          <w:lang w:val="zh-CN"/>
        </w:rPr>
      </w:pPr>
      <w:r>
        <w:rPr>
          <w:rFonts w:hint="eastAsia"/>
          <w:sz w:val="24"/>
          <w:szCs w:val="24"/>
        </w:rPr>
        <w:t xml:space="preserve">根据各投标人提供的具体详实的项目验收方案</w:t>
      </w:r>
      <w:r>
        <w:rPr>
          <w:rFonts w:hint="eastAsia"/>
          <w:sz w:val="24"/>
          <w:szCs w:val="24"/>
          <w:lang w:val="zh-CN"/>
        </w:rPr>
        <w:t xml:space="preserve">等综合评定</w:t>
      </w:r>
      <w:r>
        <w:rPr>
          <w:rFonts w:hint="eastAsia"/>
          <w:sz w:val="24"/>
          <w:szCs w:val="24"/>
        </w:rPr>
        <w:t xml:space="preserve">，包括但不限于（</w:t>
      </w:r>
      <w:r>
        <w:rPr>
          <w:rFonts w:ascii="Segoe UI" w:hAnsi="Segoe UI" w:eastAsia="Segoe UI" w:cs="Segoe UI"/>
          <w:color w:val="0f1115"/>
          <w:sz w:val="24"/>
          <w:szCs w:val="24"/>
          <w:shd w:val="clear" w:color="auto" w:fill="ffffff"/>
        </w:rPr>
        <w:t xml:space="preserve">验收流程和步骤说明</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验收标准</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验收人员组成及职责分工说明</w:t>
      </w:r>
      <w:r>
        <w:rPr>
          <w:rFonts w:hint="eastAsia" w:ascii="Segoe UI" w:hAnsi="Segoe UI" w:cs="Segoe UI"/>
          <w:color w:val="0f1115"/>
          <w:sz w:val="24"/>
          <w:szCs w:val="24"/>
          <w:shd w:val="clear" w:color="auto" w:fill="ffffff"/>
        </w:rPr>
        <w:t xml:space="preserve">、</w:t>
      </w:r>
      <w:r>
        <w:rPr>
          <w:rFonts w:ascii="Segoe UI" w:hAnsi="Segoe UI" w:eastAsia="Segoe UI" w:cs="Segoe UI"/>
          <w:color w:val="0f1115"/>
          <w:sz w:val="24"/>
          <w:szCs w:val="24"/>
          <w:shd w:val="clear" w:color="auto" w:fill="ffffff"/>
        </w:rPr>
        <w:t xml:space="preserve">验收不合格时的处理方案</w:t>
      </w:r>
      <w:r>
        <w:rPr>
          <w:rFonts w:hint="eastAsia" w:ascii="Segoe UI" w:hAnsi="Segoe UI" w:cs="Segoe UI"/>
          <w:color w:val="0f1115"/>
          <w:sz w:val="24"/>
          <w:szCs w:val="24"/>
          <w:shd w:val="clear" w:color="auto" w:fill="ffffff"/>
        </w:rPr>
        <w:t xml:space="preserve">等</w:t>
      </w:r>
      <w:r>
        <w:rPr>
          <w:rFonts w:hint="eastAsia"/>
          <w:sz w:val="24"/>
          <w:szCs w:val="24"/>
        </w:rPr>
        <w:t xml:space="preserve">），</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lang w:val="zh-CN"/>
        </w:rPr>
        <w:t xml:space="preserve">方案内容完整、合理可行、完全满足实际要求的得</w:t>
      </w:r>
      <w:r>
        <w:rPr>
          <w:rFonts w:hint="eastAsia"/>
          <w:sz w:val="24"/>
          <w:szCs w:val="24"/>
        </w:rPr>
        <w:t xml:space="preserve">3</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ascii="Segoe UI" w:hAnsi="Segoe UI" w:eastAsia="Segoe UI" w:cs="Segoe UI"/>
          <w:color w:val="0f1115"/>
          <w:sz w:val="24"/>
          <w:szCs w:val="24"/>
          <w:shd w:val="clear" w:color="auto" w:fill="ffffff"/>
        </w:rPr>
        <w:t xml:space="preserve">且有相应落实措施</w:t>
      </w:r>
      <w:r>
        <w:rPr>
          <w:rFonts w:hint="eastAsia"/>
          <w:sz w:val="24"/>
          <w:szCs w:val="24"/>
          <w:lang w:val="zh-CN"/>
        </w:rPr>
        <w:t xml:space="preserve">的得</w:t>
      </w:r>
      <w:r>
        <w:rPr>
          <w:rFonts w:hint="eastAsia"/>
          <w:sz w:val="24"/>
          <w:szCs w:val="24"/>
        </w:rPr>
        <w:t xml:space="preserve">2</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方案内容不</w:t>
      </w:r>
      <w:r>
        <w:rPr>
          <w:rFonts w:hint="eastAsia"/>
          <w:sz w:val="24"/>
          <w:szCs w:val="24"/>
        </w:rPr>
        <w:t xml:space="preserve">太</w:t>
      </w:r>
      <w:r>
        <w:rPr>
          <w:rFonts w:hint="eastAsia"/>
          <w:sz w:val="24"/>
          <w:szCs w:val="24"/>
          <w:lang w:val="zh-CN"/>
        </w:rPr>
        <w:t xml:space="preserve">完整、部分满足实际要求，</w:t>
      </w:r>
      <w:r>
        <w:rPr>
          <w:rFonts w:ascii="Segoe UI" w:hAnsi="Segoe UI" w:eastAsia="Segoe UI" w:cs="Segoe UI"/>
          <w:color w:val="0f1115"/>
          <w:sz w:val="24"/>
          <w:szCs w:val="24"/>
          <w:shd w:val="clear" w:color="auto" w:fill="ffffff"/>
        </w:rPr>
        <w:t xml:space="preserve">有简要措施</w:t>
      </w:r>
      <w:r>
        <w:rPr>
          <w:rFonts w:hint="eastAsia"/>
          <w:sz w:val="24"/>
          <w:szCs w:val="24"/>
          <w:lang w:val="zh-CN"/>
        </w:rPr>
        <w:t xml:space="preserve">的得</w:t>
      </w:r>
      <w:r>
        <w:rPr>
          <w:rFonts w:hint="eastAsia"/>
          <w:sz w:val="24"/>
          <w:szCs w:val="24"/>
        </w:rPr>
        <w:t xml:space="preserve">1</w:t>
      </w:r>
      <w:r>
        <w:rPr>
          <w:rFonts w:hint="eastAsia"/>
          <w:sz w:val="24"/>
          <w:szCs w:val="24"/>
          <w:lang w:val="zh-CN"/>
        </w:rPr>
        <w:t xml:space="preserve">分；</w:t>
      </w:r>
      <w:r>
        <w:rPr>
          <w:rFonts w:hint="eastAsia"/>
          <w:sz w:val="24"/>
          <w:szCs w:val="24"/>
        </w:rPr>
        <w:t xml:space="preserve">方案不完整、不合理、不满足实际要求的，</w:t>
      </w:r>
      <w:r>
        <w:rPr>
          <w:rFonts w:ascii="Segoe UI" w:hAnsi="Segoe UI" w:eastAsia="Segoe UI" w:cs="Segoe UI"/>
          <w:color w:val="0f1115"/>
          <w:sz w:val="24"/>
          <w:szCs w:val="24"/>
          <w:shd w:val="clear" w:color="auto" w:fill="ffffff"/>
        </w:rPr>
        <w:t xml:space="preserve">措施笼统无可操作性</w:t>
      </w:r>
      <w:r>
        <w:rPr>
          <w:rFonts w:hint="eastAsia"/>
          <w:sz w:val="24"/>
          <w:szCs w:val="24"/>
        </w:rPr>
        <w:t xml:space="preserve">得0.5分；</w:t>
      </w:r>
      <w:r>
        <w:rPr>
          <w:rFonts w:hint="eastAsia"/>
          <w:sz w:val="24"/>
          <w:szCs w:val="24"/>
          <w:lang w:val="zh-CN"/>
        </w:rPr>
        <w:t xml:space="preserve">未提供方案的不得分。</w:t>
      </w:r>
      <w:r>
        <w:rPr>
          <w:sz w:val="24"/>
          <w:szCs w:val="24"/>
          <w:lang w:val="zh-CN"/>
        </w:rPr>
      </w:r>
      <w:r/>
    </w:p>
    <w:p>
      <w:pPr>
        <w:pStyle w:val="1215"/>
        <w:ind w:firstLine="480"/>
        <w:spacing w:line="440" w:lineRule="exact"/>
        <w:rPr>
          <w:sz w:val="24"/>
          <w:szCs w:val="24"/>
          <w:lang w:val="zh-CN"/>
        </w:rPr>
      </w:pPr>
      <w:r>
        <w:rPr>
          <w:rFonts w:hint="eastAsia"/>
          <w:sz w:val="24"/>
          <w:szCs w:val="24"/>
        </w:rPr>
        <w:t xml:space="preserve">2</w:t>
      </w:r>
      <w:r>
        <w:rPr>
          <w:sz w:val="24"/>
          <w:szCs w:val="24"/>
        </w:rPr>
        <w:t xml:space="preserve">.3.3</w:t>
      </w:r>
      <w:r>
        <w:rPr>
          <w:rFonts w:hint="eastAsia"/>
          <w:sz w:val="24"/>
          <w:szCs w:val="24"/>
          <w:lang w:val="zh-CN"/>
        </w:rPr>
        <w:t xml:space="preserve">售后服务方案（</w:t>
      </w:r>
      <w:r>
        <w:rPr>
          <w:sz w:val="24"/>
          <w:szCs w:val="24"/>
        </w:rPr>
        <w:t xml:space="preserve">8分）</w:t>
      </w:r>
      <w:r>
        <w:rPr>
          <w:sz w:val="24"/>
          <w:szCs w:val="24"/>
          <w:lang w:val="zh-CN"/>
        </w:rPr>
      </w:r>
      <w:r/>
    </w:p>
    <w:p>
      <w:pPr>
        <w:pStyle w:val="1215"/>
        <w:ind w:firstLine="480"/>
        <w:spacing w:line="440" w:lineRule="exact"/>
        <w:rPr>
          <w:sz w:val="24"/>
          <w:szCs w:val="24"/>
          <w:lang w:val="zh-CN"/>
        </w:rPr>
      </w:pPr>
      <w:r>
        <w:rPr>
          <w:rFonts w:hint="eastAsia"/>
          <w:sz w:val="24"/>
          <w:szCs w:val="24"/>
          <w:lang w:val="zh-CN"/>
        </w:rPr>
        <w:t xml:space="preserve">根据各投标人提供售后服务方案（</w:t>
      </w:r>
      <w:r>
        <w:rPr>
          <w:rFonts w:hint="eastAsia"/>
          <w:sz w:val="24"/>
          <w:szCs w:val="24"/>
        </w:rPr>
        <w:t xml:space="preserve">包括但不限于</w:t>
      </w:r>
      <w:r>
        <w:rPr>
          <w:rFonts w:hint="eastAsia"/>
          <w:sz w:val="24"/>
          <w:szCs w:val="24"/>
          <w:lang w:val="zh-CN"/>
        </w:rPr>
        <w:t xml:space="preserve">回访巡检方案、故障解决措施、技术人员保障、备品配件保障等）、本地化服务方案（各服务网点、维修网点设置情况以及技术人员安排情况））等综合评定，</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lang w:val="zh-CN"/>
        </w:rPr>
        <w:t xml:space="preserve">方案内容详细完整、详细，完全满足项目实际需求，有相关证明材料或证书能够支撑方案的得</w:t>
      </w:r>
      <w:r>
        <w:rPr>
          <w:sz w:val="24"/>
          <w:szCs w:val="24"/>
        </w:rPr>
        <w:t xml:space="preserve">8分；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hint="eastAsia"/>
          <w:sz w:val="24"/>
          <w:szCs w:val="24"/>
        </w:rPr>
        <w:t xml:space="preserve">内容解读具有比较可行性、合理性、能够基本满足本项目采购需求内容，完整和实用，没有相关证明材料支撑的得</w:t>
      </w:r>
      <w:r>
        <w:rPr>
          <w:sz w:val="24"/>
          <w:szCs w:val="24"/>
        </w:rPr>
        <w:t xml:space="preserve">5分；</w:t>
      </w:r>
      <w:r>
        <w:rPr>
          <w:rFonts w:hint="eastAsia" w:ascii="Segoe UI" w:hAnsi="Segoe UI" w:cs="Segoe UI"/>
          <w:color w:val="0f1115"/>
          <w:sz w:val="24"/>
          <w:szCs w:val="24"/>
          <w:shd w:val="clear" w:color="auto" w:fill="ffffff"/>
        </w:rPr>
        <w:t xml:space="preserve">以上内容部分包含，</w:t>
      </w:r>
      <w:r>
        <w:rPr>
          <w:rFonts w:hint="eastAsia"/>
          <w:sz w:val="24"/>
          <w:szCs w:val="24"/>
        </w:rPr>
        <w:t xml:space="preserve">内容基本完整、思路清晰、可行性较好，没有相关证明材料支撑的得3分</w:t>
      </w:r>
      <w:r>
        <w:rPr>
          <w:rFonts w:hint="eastAsia"/>
          <w:sz w:val="24"/>
          <w:szCs w:val="24"/>
          <w:lang w:val="zh-CN"/>
        </w:rPr>
        <w:t xml:space="preserve">；</w:t>
      </w:r>
      <w:r>
        <w:rPr>
          <w:rFonts w:hint="eastAsia"/>
          <w:sz w:val="24"/>
          <w:szCs w:val="24"/>
        </w:rPr>
        <w:t xml:space="preserve">方案不完整、不合理、不满足实际要求的，</w:t>
      </w:r>
      <w:r>
        <w:rPr>
          <w:rFonts w:ascii="Segoe UI" w:hAnsi="Segoe UI" w:eastAsia="Segoe UI" w:cs="Segoe UI"/>
          <w:color w:val="0f1115"/>
          <w:sz w:val="24"/>
          <w:szCs w:val="24"/>
          <w:shd w:val="clear" w:color="auto" w:fill="ffffff"/>
        </w:rPr>
        <w:t xml:space="preserve">措施笼统无可操作性</w:t>
      </w:r>
      <w:r>
        <w:rPr>
          <w:rFonts w:hint="eastAsia" w:ascii="Segoe UI" w:hAnsi="Segoe UI" w:cs="Segoe UI"/>
          <w:color w:val="0f1115"/>
          <w:sz w:val="24"/>
          <w:szCs w:val="24"/>
          <w:shd w:val="clear" w:color="auto" w:fill="ffffff"/>
        </w:rPr>
        <w:t xml:space="preserve">，</w:t>
      </w:r>
      <w:r>
        <w:rPr>
          <w:rFonts w:hint="eastAsia"/>
          <w:sz w:val="24"/>
          <w:szCs w:val="24"/>
        </w:rPr>
        <w:t xml:space="preserve">没有相关证明材料支撑的得1分；</w:t>
      </w:r>
      <w:r>
        <w:rPr>
          <w:rFonts w:hint="eastAsia"/>
          <w:sz w:val="24"/>
          <w:szCs w:val="24"/>
          <w:lang w:val="zh-CN"/>
        </w:rPr>
        <w:t xml:space="preserve">未提供方案的不得分。</w:t>
      </w:r>
      <w:r>
        <w:rPr>
          <w:sz w:val="24"/>
          <w:szCs w:val="24"/>
          <w:lang w:val="zh-CN"/>
        </w:rPr>
      </w:r>
      <w:r/>
    </w:p>
    <w:p>
      <w:pPr>
        <w:pStyle w:val="1215"/>
        <w:ind w:firstLine="482"/>
        <w:spacing w:line="440" w:lineRule="exact"/>
        <w:rPr>
          <w:b/>
          <w:bCs/>
          <w:sz w:val="24"/>
          <w:szCs w:val="24"/>
        </w:rPr>
      </w:pPr>
      <w:r>
        <w:rPr>
          <w:rFonts w:hint="eastAsia"/>
          <w:b/>
          <w:bCs/>
          <w:sz w:val="24"/>
          <w:szCs w:val="24"/>
        </w:rPr>
        <w:t xml:space="preserve">注：提供相关证明材料或证书支撑方案的证明加盖公章上传至“苏采云”系统相应位置。</w:t>
      </w:r>
      <w:r>
        <w:rPr>
          <w:b/>
          <w:bCs/>
          <w:sz w:val="24"/>
          <w:szCs w:val="24"/>
        </w:rPr>
      </w:r>
      <w:r/>
    </w:p>
    <w:p>
      <w:pPr>
        <w:pStyle w:val="1215"/>
        <w:ind w:firstLine="480"/>
        <w:spacing w:line="440" w:lineRule="exact"/>
        <w:rPr>
          <w:sz w:val="24"/>
          <w:szCs w:val="24"/>
        </w:rPr>
      </w:pPr>
      <w:r>
        <w:rPr>
          <w:rFonts w:hint="eastAsia"/>
          <w:sz w:val="24"/>
          <w:szCs w:val="24"/>
        </w:rPr>
        <w:t xml:space="preserve">2.</w:t>
      </w:r>
      <w:r>
        <w:rPr>
          <w:sz w:val="24"/>
          <w:szCs w:val="24"/>
        </w:rPr>
        <w:t xml:space="preserve">3.4</w:t>
      </w:r>
      <w:r>
        <w:rPr>
          <w:rFonts w:hint="eastAsia"/>
          <w:sz w:val="24"/>
          <w:szCs w:val="24"/>
        </w:rPr>
        <w:t xml:space="preserve">应急响方案（3分）</w:t>
      </w:r>
      <w:r>
        <w:rPr>
          <w:sz w:val="24"/>
          <w:szCs w:val="24"/>
        </w:rPr>
      </w:r>
      <w:r/>
    </w:p>
    <w:p>
      <w:pPr>
        <w:pStyle w:val="1215"/>
        <w:ind w:firstLine="480"/>
        <w:spacing w:line="440" w:lineRule="exact"/>
        <w:rPr>
          <w:sz w:val="24"/>
          <w:szCs w:val="24"/>
          <w:lang w:val="zh-CN"/>
        </w:rPr>
      </w:pPr>
      <w:r>
        <w:rPr>
          <w:rFonts w:hint="eastAsia"/>
          <w:sz w:val="24"/>
          <w:szCs w:val="24"/>
        </w:rPr>
        <w:t xml:space="preserve">根据对维修设备的响应和应急故障修复方案等</w:t>
      </w:r>
      <w:r>
        <w:rPr>
          <w:rFonts w:hint="eastAsia"/>
          <w:sz w:val="24"/>
          <w:szCs w:val="24"/>
          <w:lang w:val="zh-CN"/>
        </w:rPr>
        <w:t xml:space="preserve">综合评定</w:t>
      </w:r>
      <w:r>
        <w:rPr>
          <w:rFonts w:hint="eastAsia"/>
          <w:sz w:val="24"/>
          <w:szCs w:val="24"/>
        </w:rPr>
        <w:t xml:space="preserve">。</w:t>
      </w:r>
      <w:r>
        <w:rPr>
          <w:rFonts w:hint="eastAsia" w:ascii="宋体" w:hAnsi="宋体" w:cs="宋体"/>
          <w:sz w:val="24"/>
          <w:szCs w:val="20"/>
        </w:rPr>
        <w:t xml:space="preserve">方案应包含但不限于响应时间、回访巡检、故障解决、本地化服务人员构成、维修网点设置情况、备件储备情况等方面。</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rPr>
        <w:t xml:space="preserve">维修响应速度快，维修方案全面可行性强，方</w:t>
      </w:r>
      <w:r>
        <w:rPr>
          <w:rFonts w:hint="eastAsia"/>
          <w:sz w:val="24"/>
          <w:szCs w:val="24"/>
          <w:lang w:val="zh-CN"/>
        </w:rPr>
        <w:t xml:space="preserve">案内容详细完整、详细，完全满足项目实际需求</w:t>
      </w:r>
      <w:r>
        <w:rPr>
          <w:rFonts w:hint="eastAsia"/>
          <w:sz w:val="24"/>
          <w:szCs w:val="24"/>
        </w:rPr>
        <w:t xml:space="preserve">得3分；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ascii="Segoe UI" w:hAnsi="Segoe UI" w:eastAsia="Segoe UI" w:cs="Segoe UI"/>
          <w:color w:val="0f1115"/>
          <w:sz w:val="24"/>
          <w:szCs w:val="24"/>
          <w:shd w:val="clear" w:color="auto" w:fill="ffffff"/>
        </w:rPr>
        <w:t xml:space="preserve">且有相应落实措施</w:t>
      </w:r>
      <w:r>
        <w:rPr>
          <w:rFonts w:hint="eastAsia"/>
          <w:sz w:val="24"/>
          <w:szCs w:val="24"/>
          <w:lang w:val="zh-CN"/>
        </w:rPr>
        <w:t xml:space="preserve">的得</w:t>
      </w:r>
      <w:r>
        <w:rPr>
          <w:rFonts w:hint="eastAsia"/>
          <w:sz w:val="24"/>
          <w:szCs w:val="24"/>
        </w:rPr>
        <w:t xml:space="preserve">2</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方案内容不</w:t>
      </w:r>
      <w:r>
        <w:rPr>
          <w:rFonts w:hint="eastAsia"/>
          <w:sz w:val="24"/>
          <w:szCs w:val="24"/>
        </w:rPr>
        <w:t xml:space="preserve">太</w:t>
      </w:r>
      <w:r>
        <w:rPr>
          <w:rFonts w:hint="eastAsia"/>
          <w:sz w:val="24"/>
          <w:szCs w:val="24"/>
          <w:lang w:val="zh-CN"/>
        </w:rPr>
        <w:t xml:space="preserve">完整、部分满足实际要求，</w:t>
      </w:r>
      <w:r>
        <w:rPr>
          <w:rFonts w:ascii="Segoe UI" w:hAnsi="Segoe UI" w:eastAsia="Segoe UI" w:cs="Segoe UI"/>
          <w:color w:val="0f1115"/>
          <w:sz w:val="24"/>
          <w:szCs w:val="24"/>
          <w:shd w:val="clear" w:color="auto" w:fill="ffffff"/>
        </w:rPr>
        <w:t xml:space="preserve">有简要措施</w:t>
      </w:r>
      <w:r>
        <w:rPr>
          <w:rFonts w:hint="eastAsia"/>
          <w:sz w:val="24"/>
          <w:szCs w:val="24"/>
          <w:lang w:val="zh-CN"/>
        </w:rPr>
        <w:t xml:space="preserve">的得</w:t>
      </w:r>
      <w:r>
        <w:rPr>
          <w:rFonts w:hint="eastAsia"/>
          <w:sz w:val="24"/>
          <w:szCs w:val="24"/>
        </w:rPr>
        <w:t xml:space="preserve">1</w:t>
      </w:r>
      <w:r>
        <w:rPr>
          <w:rFonts w:hint="eastAsia"/>
          <w:sz w:val="24"/>
          <w:szCs w:val="24"/>
          <w:lang w:val="zh-CN"/>
        </w:rPr>
        <w:t xml:space="preserve">分；</w:t>
      </w:r>
      <w:r>
        <w:rPr>
          <w:rFonts w:hint="eastAsia"/>
          <w:sz w:val="24"/>
          <w:szCs w:val="24"/>
        </w:rPr>
        <w:t xml:space="preserve">方案不完整、不合理、不满足实际要求的，</w:t>
      </w:r>
      <w:r>
        <w:rPr>
          <w:rFonts w:ascii="Segoe UI" w:hAnsi="Segoe UI" w:eastAsia="Segoe UI" w:cs="Segoe UI"/>
          <w:color w:val="0f1115"/>
          <w:sz w:val="24"/>
          <w:szCs w:val="24"/>
          <w:shd w:val="clear" w:color="auto" w:fill="ffffff"/>
        </w:rPr>
        <w:t xml:space="preserve">措施笼统无可操作性</w:t>
      </w:r>
      <w:r>
        <w:rPr>
          <w:rFonts w:hint="eastAsia"/>
          <w:sz w:val="24"/>
          <w:szCs w:val="24"/>
        </w:rPr>
        <w:t xml:space="preserve">得0.5分；</w:t>
      </w:r>
      <w:r>
        <w:rPr>
          <w:rFonts w:hint="eastAsia"/>
          <w:sz w:val="24"/>
          <w:szCs w:val="24"/>
          <w:lang w:val="zh-CN"/>
        </w:rPr>
        <w:t xml:space="preserve">未提供方案的不得分。</w:t>
      </w:r>
      <w:r>
        <w:rPr>
          <w:sz w:val="24"/>
          <w:szCs w:val="24"/>
          <w:lang w:val="zh-CN"/>
        </w:rPr>
      </w:r>
      <w:r/>
    </w:p>
    <w:p>
      <w:pPr>
        <w:pStyle w:val="1215"/>
        <w:ind w:firstLine="480"/>
        <w:spacing w:line="440" w:lineRule="exact"/>
        <w:rPr>
          <w:sz w:val="24"/>
          <w:szCs w:val="24"/>
        </w:rPr>
      </w:pPr>
      <w:r>
        <w:rPr>
          <w:rFonts w:hint="eastAsia"/>
          <w:sz w:val="24"/>
          <w:szCs w:val="24"/>
        </w:rPr>
        <w:t xml:space="preserve">2.</w:t>
      </w:r>
      <w:r>
        <w:rPr>
          <w:sz w:val="24"/>
          <w:szCs w:val="24"/>
        </w:rPr>
        <w:t xml:space="preserve">3.5</w:t>
      </w:r>
      <w:r>
        <w:rPr>
          <w:rFonts w:hint="eastAsia"/>
          <w:sz w:val="24"/>
          <w:szCs w:val="24"/>
        </w:rPr>
        <w:t xml:space="preserve">主要配件/耗材情况（2分）：根据所投产品列出保修期外主要配件/耗材的清单和价格，根据配件/耗材的质量品质、价格等</w:t>
      </w:r>
      <w:r>
        <w:rPr>
          <w:rFonts w:hint="eastAsia"/>
          <w:sz w:val="24"/>
          <w:szCs w:val="24"/>
          <w:lang w:val="zh-CN"/>
        </w:rPr>
        <w:t xml:space="preserve">综合评定</w:t>
      </w:r>
      <w:r>
        <w:rPr>
          <w:rFonts w:hint="eastAsia"/>
          <w:sz w:val="24"/>
          <w:szCs w:val="24"/>
        </w:rPr>
        <w:t xml:space="preserve">。提供的清单完整（</w:t>
      </w:r>
      <w:r>
        <w:rPr>
          <w:rFonts w:ascii="Segoe UI" w:hAnsi="Segoe UI" w:eastAsia="Segoe UI" w:cs="Segoe UI"/>
          <w:color w:val="0f1115"/>
          <w:sz w:val="24"/>
          <w:szCs w:val="24"/>
          <w:shd w:val="clear" w:color="auto" w:fill="ffffff"/>
        </w:rPr>
        <w:t xml:space="preserve">列出保修期外所有主要配件/耗材的名称、规格型号及单价</w:t>
      </w:r>
      <w:r>
        <w:rPr>
          <w:rFonts w:hint="eastAsia"/>
          <w:sz w:val="24"/>
          <w:szCs w:val="24"/>
        </w:rPr>
        <w:t xml:space="preserve">）、适应性强、配套性高（</w:t>
      </w:r>
      <w:r>
        <w:rPr>
          <w:rFonts w:ascii="Segoe UI" w:hAnsi="Segoe UI" w:eastAsia="Segoe UI" w:cs="Segoe UI"/>
          <w:color w:val="0f1115"/>
          <w:sz w:val="24"/>
          <w:szCs w:val="24"/>
          <w:shd w:val="clear" w:color="auto" w:fill="ffffff"/>
        </w:rPr>
        <w:t xml:space="preserve">承诺保修期外配件/耗材</w:t>
      </w:r>
      <w:r>
        <w:rPr>
          <w:rFonts w:hint="eastAsia" w:ascii="Segoe UI" w:hAnsi="Segoe UI" w:cs="Segoe UI"/>
          <w:color w:val="0f1115"/>
          <w:sz w:val="24"/>
          <w:szCs w:val="24"/>
          <w:shd w:val="clear" w:color="auto" w:fill="ffffff"/>
        </w:rPr>
        <w:t xml:space="preserve">的供应</w:t>
      </w:r>
      <w:r>
        <w:rPr>
          <w:rFonts w:hint="eastAsia"/>
          <w:sz w:val="24"/>
          <w:szCs w:val="24"/>
        </w:rPr>
        <w:t xml:space="preserve">）、价格最优惠（</w:t>
      </w:r>
      <w:r>
        <w:rPr>
          <w:rFonts w:ascii="Segoe UI" w:hAnsi="Segoe UI" w:eastAsia="Segoe UI" w:cs="Segoe UI"/>
          <w:color w:val="0f1115"/>
          <w:sz w:val="24"/>
          <w:szCs w:val="24"/>
          <w:shd w:val="clear" w:color="auto" w:fill="ffffff"/>
        </w:rPr>
        <w:t xml:space="preserve">所报配件/耗材价格与市场同类产品价格相比具有竞争力</w:t>
      </w:r>
      <w:r>
        <w:rPr>
          <w:rFonts w:hint="eastAsia"/>
          <w:sz w:val="24"/>
          <w:szCs w:val="24"/>
        </w:rPr>
        <w:t xml:space="preserve">）得2分；</w:t>
      </w:r>
      <w:r>
        <w:rPr>
          <w:rFonts w:hint="eastAsia" w:ascii="Segoe UI" w:hAnsi="Segoe UI" w:cs="Segoe UI"/>
          <w:color w:val="0f1115"/>
          <w:sz w:val="24"/>
          <w:szCs w:val="24"/>
          <w:shd w:val="clear" w:color="auto" w:fill="ffffff"/>
        </w:rPr>
        <w:t xml:space="preserve">以上内容部分包含，</w:t>
      </w:r>
      <w:r>
        <w:rPr>
          <w:rFonts w:hint="eastAsia"/>
          <w:sz w:val="24"/>
          <w:szCs w:val="24"/>
        </w:rPr>
        <w:t xml:space="preserve">提供的清单完整度一般、适应性一般、配套一般、价格较优惠得1分；提供的清单笼统、配套不完善、价格优惠力度低得0.5分；未提供的不得分。</w:t>
      </w:r>
      <w:r>
        <w:rPr>
          <w:sz w:val="24"/>
          <w:szCs w:val="24"/>
        </w:rPr>
      </w:r>
      <w:r/>
    </w:p>
    <w:p>
      <w:pPr>
        <w:pStyle w:val="1215"/>
        <w:ind w:firstLine="480"/>
        <w:spacing w:line="440" w:lineRule="exact"/>
        <w:rPr>
          <w:sz w:val="24"/>
          <w:szCs w:val="24"/>
          <w:lang w:val="zh-CN"/>
        </w:rPr>
      </w:pPr>
      <w:r>
        <w:rPr>
          <w:sz w:val="24"/>
          <w:szCs w:val="24"/>
        </w:rPr>
        <w:t xml:space="preserve">2.3.6</w:t>
      </w:r>
      <w:r>
        <w:rPr>
          <w:rFonts w:hint="eastAsia"/>
          <w:sz w:val="24"/>
          <w:szCs w:val="24"/>
          <w:lang w:val="zh-CN"/>
        </w:rPr>
        <w:t xml:space="preserve">培训方案（5分）</w:t>
      </w:r>
      <w:r>
        <w:rPr>
          <w:sz w:val="24"/>
          <w:szCs w:val="24"/>
          <w:lang w:val="zh-CN"/>
        </w:rPr>
      </w:r>
      <w:r/>
    </w:p>
    <w:p>
      <w:pPr>
        <w:pStyle w:val="1215"/>
        <w:ind w:firstLine="480"/>
        <w:spacing w:line="440" w:lineRule="exact"/>
        <w:rPr>
          <w:sz w:val="24"/>
          <w:szCs w:val="24"/>
        </w:rPr>
      </w:pPr>
      <w:r>
        <w:rPr>
          <w:rFonts w:hint="eastAsia"/>
          <w:sz w:val="24"/>
          <w:szCs w:val="24"/>
          <w:lang w:val="zh-CN"/>
        </w:rPr>
        <w:t xml:space="preserve">根据各投标人提供的技术培训方案（包括但不限于对用户的操作培训、业务功能培训等相关培训计划方案，除正常操作培训外，提出其他技术培训保障方案等）进行横向比较打分，</w:t>
      </w:r>
      <w:r>
        <w:rPr>
          <w:rFonts w:hint="eastAsia" w:ascii="Segoe UI" w:hAnsi="Segoe UI" w:cs="Segoe UI"/>
          <w:color w:val="0f1115"/>
          <w:sz w:val="24"/>
          <w:szCs w:val="24"/>
          <w:shd w:val="clear" w:color="auto" w:fill="ffffff"/>
        </w:rPr>
        <w:t xml:space="preserve">以上内容</w:t>
      </w:r>
      <w:r>
        <w:rPr>
          <w:rFonts w:ascii="Segoe UI" w:hAnsi="Segoe UI" w:eastAsia="Segoe UI" w:cs="Segoe UI"/>
          <w:color w:val="0f1115"/>
          <w:sz w:val="24"/>
          <w:szCs w:val="24"/>
          <w:shd w:val="clear" w:color="auto" w:fill="ffffff"/>
        </w:rPr>
        <w:t xml:space="preserve">全部包含，且每项均有具体可操作的落实措施</w:t>
      </w:r>
      <w:r>
        <w:rPr>
          <w:rFonts w:hint="eastAsia" w:ascii="Segoe UI" w:hAnsi="Segoe UI" w:cs="Segoe UI"/>
          <w:color w:val="0f1115"/>
          <w:sz w:val="24"/>
          <w:szCs w:val="24"/>
          <w:shd w:val="clear" w:color="auto" w:fill="ffffff"/>
        </w:rPr>
        <w:t xml:space="preserve">，</w:t>
      </w:r>
      <w:r>
        <w:rPr>
          <w:rFonts w:hint="eastAsia"/>
          <w:sz w:val="24"/>
          <w:szCs w:val="24"/>
          <w:lang w:val="zh-CN"/>
        </w:rPr>
        <w:t xml:space="preserve">培训方案完整、详细、可行的得</w:t>
      </w:r>
      <w:r>
        <w:rPr>
          <w:rFonts w:hint="eastAsia"/>
          <w:sz w:val="24"/>
          <w:szCs w:val="24"/>
        </w:rPr>
        <w:t xml:space="preserve">5</w:t>
      </w:r>
      <w:r>
        <w:rPr>
          <w:rFonts w:hint="eastAsia"/>
          <w:sz w:val="24"/>
          <w:szCs w:val="24"/>
          <w:lang w:val="zh-CN"/>
        </w:rPr>
        <w:t xml:space="preserve">分；</w:t>
      </w:r>
      <w:r>
        <w:rPr>
          <w:rFonts w:hint="eastAsia" w:ascii="Segoe UI" w:hAnsi="Segoe UI" w:cs="Segoe UI"/>
          <w:color w:val="0f1115"/>
          <w:sz w:val="24"/>
          <w:szCs w:val="24"/>
          <w:shd w:val="clear" w:color="auto" w:fill="ffffff"/>
        </w:rPr>
        <w:t xml:space="preserve">以上内容部分包含，</w:t>
      </w:r>
      <w:r>
        <w:rPr>
          <w:rFonts w:hint="eastAsia"/>
          <w:sz w:val="24"/>
          <w:szCs w:val="24"/>
          <w:lang w:val="zh-CN"/>
        </w:rPr>
        <w:t xml:space="preserve">方案内容较完整、较科学合理、基本满足实际要求，</w:t>
      </w:r>
      <w:r>
        <w:rPr>
          <w:rFonts w:hint="eastAsia"/>
          <w:sz w:val="24"/>
          <w:szCs w:val="24"/>
        </w:rPr>
        <w:t xml:space="preserve">内容解读具有比较可行性、合理性、能够基本满足本项目采购需求内容的得3分；</w:t>
      </w:r>
      <w:r>
        <w:rPr>
          <w:rFonts w:hint="eastAsia" w:ascii="Segoe UI" w:hAnsi="Segoe UI" w:cs="Segoe UI"/>
          <w:color w:val="0f1115"/>
          <w:sz w:val="24"/>
          <w:szCs w:val="24"/>
          <w:shd w:val="clear" w:color="auto" w:fill="ffffff"/>
        </w:rPr>
        <w:t xml:space="preserve">以上内容部分包含，</w:t>
      </w:r>
      <w:r>
        <w:rPr>
          <w:rFonts w:hint="eastAsia"/>
          <w:sz w:val="24"/>
          <w:szCs w:val="24"/>
        </w:rPr>
        <w:t xml:space="preserve">有</w:t>
      </w:r>
      <w:r>
        <w:rPr>
          <w:rFonts w:hint="eastAsia"/>
          <w:sz w:val="24"/>
          <w:szCs w:val="24"/>
          <w:lang w:val="zh-CN"/>
        </w:rPr>
        <w:t xml:space="preserve">方案</w:t>
      </w:r>
      <w:r>
        <w:rPr>
          <w:rFonts w:hint="eastAsia"/>
          <w:sz w:val="24"/>
          <w:szCs w:val="24"/>
        </w:rPr>
        <w:t xml:space="preserve">，但方案内容模糊，没有针对本项目主要工作内容制定，内容不详实、不完整、内容不全面的2分。没有内容的不得分。</w:t>
      </w:r>
      <w:r>
        <w:rPr>
          <w:sz w:val="24"/>
          <w:szCs w:val="24"/>
        </w:rPr>
      </w:r>
      <w:r/>
    </w:p>
    <w:p>
      <w:pPr>
        <w:pStyle w:val="1215"/>
        <w:ind w:firstLine="480"/>
        <w:spacing w:line="440" w:lineRule="exact"/>
        <w:rPr>
          <w:rFonts w:hint="eastAsia"/>
          <w:color w:val="000000"/>
          <w:sz w:val="24"/>
          <w:szCs w:val="24"/>
          <w:lang w:val="zh-CN"/>
        </w:rPr>
      </w:pPr>
      <w:r>
        <w:rPr>
          <w:sz w:val="24"/>
          <w:szCs w:val="24"/>
        </w:rPr>
        <w:t xml:space="preserve">2.3.7</w:t>
      </w:r>
      <w:r>
        <w:rPr>
          <w:color w:val="000000"/>
          <w:sz w:val="24"/>
          <w:szCs w:val="24"/>
        </w:rPr>
        <w:t xml:space="preserve">往期案例分析（</w:t>
      </w:r>
      <w:r>
        <w:rPr>
          <w:rFonts w:hint="eastAsia"/>
          <w:color w:val="000000"/>
          <w:sz w:val="24"/>
          <w:szCs w:val="24"/>
        </w:rPr>
        <w:t xml:space="preserve">4分）</w:t>
      </w:r>
      <w:r>
        <w:rPr>
          <w:rFonts w:hint="eastAsia"/>
          <w:color w:val="000000"/>
          <w:sz w:val="24"/>
          <w:szCs w:val="24"/>
          <w:lang w:val="zh-CN"/>
        </w:rPr>
      </w:r>
      <w:r/>
    </w:p>
    <w:p>
      <w:pPr>
        <w:pStyle w:val="1215"/>
        <w:ind w:firstLine="480"/>
        <w:spacing w:line="440" w:lineRule="exact"/>
        <w:rPr>
          <w:color w:val="000000"/>
          <w:sz w:val="24"/>
          <w:szCs w:val="24"/>
        </w:rPr>
      </w:pPr>
      <w:r>
        <w:rPr>
          <w:rFonts w:hint="eastAsia"/>
          <w:color w:val="000000"/>
          <w:sz w:val="24"/>
          <w:szCs w:val="24"/>
        </w:rPr>
        <w:t xml:space="preserve">根据响应文件中提供的承担过2022年1月1日后与本次所投CT设备</w:t>
      </w:r>
      <w:r>
        <w:rPr>
          <w:rFonts w:hint="eastAsia"/>
          <w:b w:val="0"/>
          <w:bCs w:val="0"/>
          <w:color w:val="000000"/>
          <w:sz w:val="24"/>
          <w:szCs w:val="24"/>
        </w:rPr>
        <w:t xml:space="preserve">同类型的设备案例</w:t>
      </w:r>
      <w:r>
        <w:rPr>
          <w:rFonts w:hint="eastAsia"/>
          <w:color w:val="000000"/>
          <w:sz w:val="24"/>
          <w:szCs w:val="24"/>
        </w:rPr>
        <w:t xml:space="preserve">分析进行综合评价，对往期多个案例分析有针对性、分析详尽的，且有与本项目服务内容相关的证明材料支撑的最高得4分；仅对个别案例进行简单分析的得2分；往期做过类似案例，但针对本项目没有具体的经验分析的得1分；往期未做过类似案例，但针对本项目有经验分析的得0.5分，未提供的不得分。</w:t>
      </w:r>
      <w:r>
        <w:rPr>
          <w:color w:val="000000"/>
          <w:sz w:val="24"/>
          <w:szCs w:val="24"/>
        </w:rPr>
      </w:r>
      <w:r/>
    </w:p>
    <w:p>
      <w:pPr>
        <w:pStyle w:val="1215"/>
        <w:ind w:firstLine="482"/>
        <w:spacing w:line="440" w:lineRule="exact"/>
        <w:rPr>
          <w:b/>
          <w:bCs/>
          <w:color w:val="000000"/>
          <w:sz w:val="24"/>
          <w:szCs w:val="24"/>
        </w:rPr>
      </w:pPr>
      <w:r>
        <w:rPr>
          <w:rFonts w:hint="eastAsia"/>
          <w:b/>
          <w:bCs/>
          <w:color w:val="000000"/>
          <w:sz w:val="24"/>
          <w:szCs w:val="24"/>
        </w:rPr>
        <w:t xml:space="preserve">注：提供采购合同（所提供合同中显示的合同货物需与本次所投产品相同、甲方须为货物使用单位，乙方为生产企业或各经销商均可）加盖公章上传至“苏采云”系统相应位置。</w:t>
      </w:r>
      <w:r>
        <w:rPr>
          <w:b/>
          <w:bCs/>
          <w:color w:val="000000"/>
          <w:sz w:val="24"/>
          <w:szCs w:val="24"/>
        </w:rPr>
      </w:r>
      <w:r/>
    </w:p>
    <w:p>
      <w:pPr>
        <w:pStyle w:val="1215"/>
        <w:ind w:firstLine="480"/>
        <w:spacing w:line="440" w:lineRule="exact"/>
        <w:rPr>
          <w:sz w:val="24"/>
          <w:szCs w:val="24"/>
          <w:lang w:val="zh-CN"/>
        </w:rPr>
      </w:pPr>
      <w:r>
        <w:rPr>
          <w:rFonts w:hint="eastAsia"/>
          <w:color w:val="000000"/>
          <w:sz w:val="24"/>
          <w:szCs w:val="24"/>
          <w:lang w:val="zh-CN"/>
        </w:rPr>
        <w:t xml:space="preserve">评审后按累计得分高低顺序排名。得分相同的，按最终报价由低到高顺序排名，得分且最终报价相同的，按实施方案优劣顺序</w:t>
      </w:r>
      <w:r>
        <w:rPr>
          <w:rFonts w:hint="eastAsia"/>
          <w:sz w:val="24"/>
          <w:szCs w:val="24"/>
          <w:lang w:val="zh-CN"/>
        </w:rPr>
        <w:t xml:space="preserve">排名。实施方案的优劣顺序由评标小组按少数服从多数的原则确定。</w:t>
      </w:r>
      <w:r>
        <w:rPr>
          <w:sz w:val="24"/>
          <w:szCs w:val="24"/>
          <w:lang w:val="zh-CN"/>
        </w:rPr>
      </w:r>
      <w:r/>
    </w:p>
    <w:p>
      <w:pPr>
        <w:pStyle w:val="1215"/>
      </w:pPr>
      <w:r/>
      <w:r/>
    </w:p>
    <w:p>
      <w:pPr>
        <w:pStyle w:val="1284"/>
        <w:ind w:firstLine="640"/>
        <w:rPr>
          <w:rFonts w:hint="eastAsia"/>
          <w:color w:val="000000"/>
          <w:highlight w:val="none"/>
        </w:rPr>
      </w:pPr>
      <w:r>
        <w:rPr>
          <w:rFonts w:hint="eastAsia"/>
          <w:color w:val="000000"/>
          <w:highlight w:val="none"/>
        </w:rPr>
      </w:r>
      <w:r/>
    </w:p>
    <w:p>
      <w:pPr>
        <w:pStyle w:val="1284"/>
        <w:ind w:firstLine="640"/>
        <w:rPr>
          <w:rFonts w:hint="eastAsia"/>
          <w:color w:val="000000"/>
          <w:highlight w:val="none"/>
        </w:rPr>
      </w:pPr>
      <w:r>
        <w:rPr>
          <w:rFonts w:hint="eastAsia"/>
          <w:color w:val="000000"/>
          <w:highlight w:val="none"/>
        </w:rPr>
      </w:r>
      <w:r/>
    </w:p>
    <w:p>
      <w:pPr>
        <w:pStyle w:val="1215"/>
        <w:jc w:val="center"/>
        <w:keepNext/>
        <w:rPr>
          <w:rFonts w:hint="eastAsia" w:ascii="黑体" w:eastAsia="黑体"/>
          <w:bCs/>
          <w:color w:val="000000"/>
          <w:sz w:val="24"/>
          <w:szCs w:val="24"/>
          <w:highlight w:val="none"/>
        </w:rPr>
        <w:outlineLvl w:val="0"/>
      </w:pPr>
      <w:r>
        <w:rPr>
          <w:rFonts w:hint="eastAsia" w:ascii="黑体" w:eastAsia="黑体"/>
          <w:bCs/>
          <w:color w:val="000000"/>
          <w:sz w:val="32"/>
          <w:szCs w:val="32"/>
          <w:highlight w:val="none"/>
        </w:rPr>
        <w:t xml:space="preserve">第六章  投标文件格式 </w:t>
      </w:r>
      <w:r>
        <w:rPr>
          <w:rFonts w:hint="eastAsia" w:ascii="黑体" w:eastAsia="黑体"/>
          <w:bCs/>
          <w:color w:val="000000"/>
          <w:sz w:val="24"/>
          <w:szCs w:val="24"/>
          <w:highlight w:val="none"/>
        </w:rPr>
      </w:r>
      <w:r/>
    </w:p>
    <w:p>
      <w:pPr>
        <w:pStyle w:val="1215"/>
        <w:jc w:val="center"/>
        <w:rPr>
          <w:rFonts w:hint="eastAsia" w:ascii="宋体" w:hAnsi="宋体"/>
          <w:b/>
          <w:color w:val="000000"/>
          <w:sz w:val="24"/>
          <w:szCs w:val="24"/>
          <w:highlight w:val="none"/>
        </w:rPr>
      </w:pPr>
      <w:r>
        <w:rPr>
          <w:rFonts w:hint="eastAsia" w:ascii="宋体" w:hAnsi="宋体"/>
          <w:b/>
          <w:color w:val="000000"/>
          <w:sz w:val="24"/>
          <w:szCs w:val="24"/>
          <w:highlight w:val="none"/>
        </w:rPr>
      </w:r>
      <w:r/>
    </w:p>
    <w:p>
      <w:pPr>
        <w:pStyle w:val="1215"/>
        <w:jc w:val="center"/>
        <w:rPr>
          <w:rFonts w:hint="eastAsia" w:ascii="宋体" w:hAnsi="宋体"/>
          <w:b/>
          <w:color w:val="000000"/>
          <w:sz w:val="72"/>
          <w:szCs w:val="72"/>
          <w:highlight w:val="none"/>
        </w:rPr>
      </w:pPr>
      <w:r>
        <w:rPr>
          <w:rFonts w:hint="eastAsia" w:ascii="宋体" w:hAnsi="宋体"/>
          <w:b/>
          <w:color w:val="000000"/>
          <w:sz w:val="72"/>
          <w:szCs w:val="72"/>
          <w:highlight w:val="none"/>
        </w:rPr>
      </w:r>
      <w:r/>
    </w:p>
    <w:p>
      <w:pPr>
        <w:pStyle w:val="1215"/>
        <w:jc w:val="center"/>
        <w:rPr>
          <w:rFonts w:hint="eastAsia" w:ascii="宋体" w:hAnsi="宋体"/>
          <w:b/>
          <w:color w:val="000000"/>
          <w:sz w:val="72"/>
          <w:szCs w:val="72"/>
          <w:highlight w:val="none"/>
        </w:rPr>
      </w:pPr>
      <w:r>
        <w:rPr>
          <w:rFonts w:hint="eastAsia" w:ascii="宋体" w:hAnsi="宋体"/>
          <w:b/>
          <w:color w:val="000000"/>
          <w:sz w:val="72"/>
          <w:szCs w:val="72"/>
          <w:highlight w:val="none"/>
        </w:rPr>
        <w:t xml:space="preserve">投  标  文  件</w:t>
      </w:r>
      <w:r>
        <w:rPr>
          <w:rFonts w:hint="eastAsia" w:ascii="宋体" w:hAnsi="宋体"/>
          <w:b/>
          <w:color w:val="000000"/>
          <w:sz w:val="72"/>
          <w:szCs w:val="7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jc w:val="center"/>
        <w:rPr>
          <w:rFonts w:hint="eastAsia" w:ascii="宋体" w:hAnsi="宋体"/>
          <w:b/>
          <w:color w:val="000000"/>
          <w:sz w:val="32"/>
          <w:szCs w:val="32"/>
          <w:highlight w:val="none"/>
        </w:rPr>
      </w:pPr>
      <w:r>
        <w:rPr>
          <w:rFonts w:hint="eastAsia" w:ascii="宋体" w:hAnsi="宋体"/>
          <w:b/>
          <w:color w:val="000000"/>
          <w:sz w:val="32"/>
          <w:szCs w:val="32"/>
          <w:highlight w:val="none"/>
        </w:rPr>
      </w:r>
      <w:r/>
    </w:p>
    <w:p>
      <w:pPr>
        <w:pStyle w:val="1215"/>
        <w:ind w:firstLine="1606"/>
        <w:rPr>
          <w:rFonts w:hint="eastAsia" w:ascii="宋体" w:hAnsi="宋体" w:eastAsia="宋体"/>
          <w:b/>
          <w:color w:val="000000"/>
          <w:sz w:val="32"/>
          <w:szCs w:val="32"/>
          <w:highlight w:val="none"/>
          <w:lang w:eastAsia="zh-CN"/>
        </w:rPr>
      </w:pPr>
      <w:r>
        <w:rPr>
          <w:rFonts w:hint="eastAsia" w:ascii="宋体" w:hAnsi="宋体"/>
          <w:b/>
          <w:color w:val="000000"/>
          <w:sz w:val="32"/>
          <w:szCs w:val="32"/>
          <w:highlight w:val="none"/>
        </w:rPr>
        <w:t xml:space="preserve">项 目 名 称：</w:t>
      </w:r>
      <w:r>
        <w:rPr>
          <w:rFonts w:hint="eastAsia" w:ascii="宋体" w:hAnsi="宋体"/>
          <w:b/>
          <w:color w:val="000000"/>
          <w:sz w:val="32"/>
          <w:szCs w:val="32"/>
          <w:highlight w:val="none"/>
          <w:u w:val="single"/>
          <w:lang w:eastAsia="zh-CN"/>
        </w:rPr>
        <w:t xml:space="preserve">扬中市人民医院X射线计算机体层摄影设备（CT）采购项目</w:t>
      </w:r>
      <w:r>
        <w:rPr>
          <w:rFonts w:hint="eastAsia" w:ascii="宋体" w:hAnsi="宋体" w:eastAsia="宋体"/>
          <w:b/>
          <w:color w:val="000000"/>
          <w:sz w:val="32"/>
          <w:szCs w:val="32"/>
          <w:highlight w:val="none"/>
          <w:lang w:eastAsia="zh-CN"/>
        </w:rPr>
      </w:r>
      <w:r/>
    </w:p>
    <w:p>
      <w:pPr>
        <w:pStyle w:val="1215"/>
        <w:ind w:firstLine="1606"/>
        <w:rPr>
          <w:rFonts w:hint="eastAsia" w:ascii="宋体" w:hAnsi="宋体" w:eastAsia="宋体"/>
          <w:b/>
          <w:color w:val="000000"/>
          <w:sz w:val="32"/>
          <w:szCs w:val="32"/>
          <w:highlight w:val="none"/>
          <w:u w:val="single"/>
          <w:lang w:eastAsia="zh-CN"/>
        </w:rPr>
      </w:pPr>
      <w:r>
        <w:rPr>
          <w:rFonts w:hint="eastAsia" w:ascii="宋体" w:hAnsi="宋体"/>
          <w:b/>
          <w:color w:val="000000"/>
          <w:sz w:val="32"/>
          <w:szCs w:val="32"/>
          <w:highlight w:val="none"/>
        </w:rPr>
        <w:t xml:space="preserve">项 目 编 号：</w:t>
      </w:r>
      <w:r>
        <w:rPr>
          <w:rFonts w:hint="eastAsia" w:ascii="宋体" w:hAnsi="宋体"/>
          <w:b/>
          <w:color w:val="000000"/>
          <w:sz w:val="32"/>
          <w:szCs w:val="32"/>
          <w:highlight w:val="none"/>
          <w:u w:val="single"/>
          <w:lang w:eastAsia="zh-CN"/>
        </w:rPr>
        <w:t xml:space="preserve">JSZC-321182-JJGS-G2026-0015</w:t>
      </w:r>
      <w:r>
        <w:rPr>
          <w:rFonts w:hint="eastAsia" w:ascii="宋体" w:hAnsi="宋体" w:eastAsia="宋体"/>
          <w:b/>
          <w:color w:val="000000"/>
          <w:sz w:val="32"/>
          <w:szCs w:val="32"/>
          <w:highlight w:val="none"/>
          <w:u w:val="single"/>
          <w:lang w:eastAsia="zh-CN"/>
        </w:rPr>
      </w:r>
      <w:r/>
    </w:p>
    <w:p>
      <w:pPr>
        <w:pStyle w:val="121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w:t>
      </w:r>
      <w:r>
        <w:rPr>
          <w:rFonts w:hint="eastAsia" w:ascii="宋体" w:hAnsi="宋体"/>
          <w:b/>
          <w:color w:val="000000"/>
          <w:sz w:val="32"/>
          <w:szCs w:val="32"/>
          <w:highlight w:val="none"/>
          <w:lang w:eastAsia="zh-CN"/>
        </w:rPr>
        <w:t xml:space="preserve">投标人</w:t>
      </w:r>
      <w:r>
        <w:rPr>
          <w:rFonts w:hint="eastAsia" w:ascii="宋体" w:hAnsi="宋体"/>
          <w:b/>
          <w:color w:val="000000"/>
          <w:sz w:val="32"/>
          <w:szCs w:val="32"/>
          <w:highlight w:val="none"/>
        </w:rPr>
        <w:t xml:space="preserve">名称 ：</w:t>
      </w:r>
      <w:r>
        <w:rPr>
          <w:rFonts w:hint="eastAsia" w:ascii="宋体" w:hAnsi="宋体"/>
          <w:b/>
          <w:color w:val="000000"/>
          <w:sz w:val="32"/>
          <w:szCs w:val="32"/>
          <w:highlight w:val="none"/>
          <w:u w:val="single"/>
        </w:rPr>
        <w:t xml:space="preserve">（加盖CA电子公章）</w:t>
      </w:r>
      <w:r>
        <w:rPr>
          <w:rFonts w:hint="eastAsia" w:ascii="宋体" w:hAnsi="宋体"/>
          <w:b/>
          <w:color w:val="000000"/>
          <w:sz w:val="32"/>
          <w:szCs w:val="32"/>
          <w:highlight w:val="none"/>
          <w:u w:val="single"/>
        </w:rPr>
      </w:r>
      <w:r/>
    </w:p>
    <w:p>
      <w:pPr>
        <w:pStyle w:val="1215"/>
        <w:rPr>
          <w:rFonts w:hint="eastAsia" w:ascii="宋体" w:hAnsi="宋体"/>
          <w:b/>
          <w:color w:val="000000"/>
          <w:sz w:val="32"/>
          <w:szCs w:val="32"/>
          <w:highlight w:val="none"/>
          <w:u w:val="single"/>
        </w:rPr>
      </w:pPr>
      <w:r>
        <w:rPr>
          <w:rFonts w:hint="eastAsia" w:ascii="宋体" w:hAnsi="宋体"/>
          <w:b/>
          <w:color w:val="000000"/>
          <w:sz w:val="32"/>
          <w:szCs w:val="32"/>
          <w:highlight w:val="none"/>
        </w:rPr>
        <w:t xml:space="preserve">          日      期 ：</w:t>
      </w:r>
      <w:r>
        <w:rPr>
          <w:rFonts w:hint="eastAsia" w:ascii="宋体" w:hAnsi="宋体"/>
          <w:b/>
          <w:color w:val="000000"/>
          <w:sz w:val="32"/>
          <w:szCs w:val="32"/>
          <w:highlight w:val="none"/>
          <w:u w:val="single"/>
        </w:rPr>
        <w:t xml:space="preserve">               </w:t>
      </w:r>
      <w:r>
        <w:rPr>
          <w:rFonts w:hint="eastAsia" w:ascii="宋体" w:hAnsi="宋体"/>
          <w:b/>
          <w:color w:val="000000"/>
          <w:sz w:val="32"/>
          <w:szCs w:val="32"/>
          <w:highlight w:val="none"/>
          <w:u w:val="single"/>
        </w:rPr>
      </w:r>
      <w:r/>
    </w:p>
    <w:p>
      <w:pPr>
        <w:pStyle w:val="121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15"/>
        <w:spacing w:line="440" w:lineRule="exact"/>
        <w:rPr>
          <w:rFonts w:ascii="宋体" w:hAnsi="宋体"/>
          <w:color w:val="000000"/>
          <w:sz w:val="32"/>
          <w:szCs w:val="32"/>
          <w:highlight w:val="none"/>
        </w:rPr>
      </w:pPr>
      <w:r>
        <w:rPr>
          <w:rFonts w:ascii="宋体" w:hAnsi="宋体"/>
          <w:color w:val="000000"/>
          <w:sz w:val="32"/>
          <w:szCs w:val="32"/>
          <w:highlight w:val="none"/>
        </w:rPr>
      </w:r>
      <w:r/>
    </w:p>
    <w:p>
      <w:pPr>
        <w:pStyle w:val="1215"/>
        <w:rPr>
          <w:rFonts w:ascii="宋体" w:hAnsi="宋体"/>
          <w:b/>
          <w:bCs/>
          <w:color w:val="000000"/>
          <w:sz w:val="24"/>
          <w:szCs w:val="24"/>
          <w:highlight w:val="none"/>
        </w:rPr>
      </w:pPr>
      <w:r>
        <w:rPr>
          <w:rFonts w:ascii="宋体" w:hAnsi="宋体"/>
          <w:b/>
          <w:bCs/>
          <w:color w:val="000000"/>
          <w:sz w:val="24"/>
          <w:szCs w:val="24"/>
          <w:highlight w:val="none"/>
        </w:rPr>
      </w:r>
      <w:r/>
    </w:p>
    <w:p>
      <w:pPr>
        <w:pStyle w:val="1215"/>
        <w:spacing w:line="440" w:lineRule="exact"/>
        <w:rPr>
          <w:rFonts w:hint="eastAsia"/>
          <w:color w:val="000000"/>
          <w:highlight w:val="none"/>
        </w:rPr>
      </w:pPr>
      <w:r>
        <w:rPr>
          <w:rFonts w:hint="eastAsia"/>
          <w:color w:val="000000"/>
          <w:highlight w:val="none"/>
        </w:rPr>
      </w:r>
      <w:r/>
    </w:p>
    <w:p>
      <w:pPr>
        <w:pStyle w:val="1215"/>
        <w:spacing w:line="440" w:lineRule="exact"/>
        <w:rPr>
          <w:rFonts w:hint="eastAsia"/>
          <w:color w:val="000000"/>
          <w:highlight w:val="none"/>
        </w:rPr>
      </w:pPr>
      <w:r>
        <w:rPr>
          <w:rFonts w:hint="eastAsia"/>
          <w:color w:val="000000"/>
          <w:highlight w:val="none"/>
        </w:rPr>
      </w:r>
      <w:r/>
    </w:p>
    <w:p>
      <w:pPr>
        <w:pStyle w:val="1215"/>
        <w:spacing w:line="440" w:lineRule="exact"/>
        <w:rPr>
          <w:rFonts w:ascii="宋体" w:hAnsi="宋体"/>
          <w:b/>
          <w:bCs/>
          <w:color w:val="000000"/>
          <w:sz w:val="32"/>
          <w:szCs w:val="32"/>
          <w:highlight w:val="none"/>
        </w:rPr>
      </w:pPr>
      <w:r/>
      <w:bookmarkEnd w:id="198"/>
      <w:r/>
      <w:bookmarkEnd w:id="199"/>
      <w:r/>
      <w:bookmarkEnd w:id="200"/>
      <w:r/>
      <w:bookmarkStart w:id="203" w:name="_Toc26554094"/>
      <w:r/>
      <w:bookmarkStart w:id="204" w:name="_Toc120614282"/>
      <w:r/>
      <w:bookmarkStart w:id="205" w:name="_Toc49090576"/>
      <w:r>
        <w:rPr>
          <w:rFonts w:ascii="宋体" w:hAnsi="宋体"/>
          <w:b/>
          <w:bCs/>
          <w:color w:val="000000"/>
          <w:sz w:val="32"/>
          <w:szCs w:val="32"/>
          <w:highlight w:val="none"/>
        </w:rPr>
        <w:br w:type="page" w:clear="all"/>
      </w:r>
      <w:r>
        <w:rPr>
          <w:rFonts w:ascii="宋体" w:hAnsi="宋体"/>
          <w:b/>
          <w:bCs/>
          <w:color w:val="000000"/>
          <w:sz w:val="32"/>
          <w:szCs w:val="32"/>
          <w:highlight w:val="none"/>
        </w:rPr>
      </w:r>
      <w:r/>
    </w:p>
    <w:p>
      <w:pPr>
        <w:pStyle w:val="121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t xml:space="preserve">投标文件目录</w:t>
      </w:r>
      <w:r>
        <w:rPr>
          <w:rFonts w:hint="eastAsia" w:ascii="宋体" w:hAnsi="宋体"/>
          <w:b/>
          <w:bCs/>
          <w:color w:val="000000"/>
          <w:sz w:val="32"/>
          <w:szCs w:val="32"/>
          <w:highlight w:val="none"/>
        </w:rPr>
      </w:r>
      <w:r/>
    </w:p>
    <w:p>
      <w:pPr>
        <w:pStyle w:val="1215"/>
        <w:jc w:val="center"/>
        <w:spacing w:line="440" w:lineRule="exact"/>
        <w:rPr>
          <w:rFonts w:hint="eastAsia" w:ascii="宋体" w:hAnsi="宋体"/>
          <w:b/>
          <w:bCs/>
          <w:color w:val="000000"/>
          <w:sz w:val="32"/>
          <w:szCs w:val="32"/>
          <w:highlight w:val="none"/>
        </w:rPr>
      </w:pPr>
      <w:r>
        <w:rPr>
          <w:rFonts w:hint="eastAsia" w:ascii="宋体" w:hAnsi="宋体"/>
          <w:b/>
          <w:bCs/>
          <w:color w:val="000000"/>
          <w:sz w:val="32"/>
          <w:szCs w:val="32"/>
          <w:highlight w:val="non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一、具有独立承担民事责任的能力</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二、具有良好的商业信誉和健全的财务会计制度</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三、具有履行合同所必需的设备和专业技术能力</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四、提供参加本次政府活动前三年内，在经营活动中没有重大违法记录的承诺函</w:t>
      </w:r>
      <w:r>
        <w:rPr>
          <w:rFonts w:hint="eastAsia" w:ascii="宋体" w:hAnsi="宋体"/>
          <w:i/>
          <w:color w:val="000000"/>
          <w:sz w:val="24"/>
          <w:highlight w:val="none"/>
          <w:u w:val="single"/>
        </w:rPr>
      </w:r>
      <w:r/>
    </w:p>
    <w:p>
      <w:pPr>
        <w:pStyle w:val="1215"/>
        <w:ind w:left="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五、依法缴纳税收和社会保障资金的相关材料</w:t>
      </w:r>
      <w:r>
        <w:rPr>
          <w:rFonts w:hint="eastAsia" w:ascii="宋体" w:hAnsi="宋体"/>
          <w:i/>
          <w:color w:val="000000"/>
          <w:sz w:val="24"/>
          <w:highlight w:val="none"/>
          <w:u w:val="single"/>
        </w:rPr>
      </w:r>
      <w:r/>
    </w:p>
    <w:p>
      <w:pPr>
        <w:pStyle w:val="121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六、特定资格要求的证明文件（如果本项目设置特定资格要求，则需要提供）</w:t>
      </w:r>
      <w:r>
        <w:rPr>
          <w:rFonts w:hint="eastAsia" w:ascii="宋体" w:hAnsi="宋体"/>
          <w:i/>
          <w:color w:val="000000"/>
          <w:sz w:val="24"/>
          <w:highlight w:val="none"/>
          <w:u w:val="single"/>
        </w:rPr>
      </w:r>
      <w:r/>
    </w:p>
    <w:p>
      <w:pPr>
        <w:pStyle w:val="121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七、法人授权书</w:t>
      </w:r>
      <w:r>
        <w:rPr>
          <w:rFonts w:hint="eastAsia" w:ascii="宋体" w:hAnsi="宋体"/>
          <w:i/>
          <w:color w:val="000000"/>
          <w:sz w:val="24"/>
          <w:highlight w:val="none"/>
          <w:u w:val="single"/>
        </w:rPr>
      </w:r>
      <w:r/>
    </w:p>
    <w:p>
      <w:pPr>
        <w:pStyle w:val="1215"/>
        <w:ind w:firstLine="480"/>
        <w:spacing w:line="440" w:lineRule="exact"/>
        <w:rPr>
          <w:rFonts w:hint="eastAsia" w:ascii="宋体" w:hAnsi="宋体"/>
          <w:i/>
          <w:color w:val="000000"/>
          <w:sz w:val="24"/>
          <w:highlight w:val="none"/>
          <w:u w:val="single"/>
        </w:rPr>
      </w:pPr>
      <w:r>
        <w:rPr>
          <w:rFonts w:hint="eastAsia" w:ascii="宋体" w:hAnsi="宋体"/>
          <w:i/>
          <w:color w:val="000000"/>
          <w:sz w:val="24"/>
          <w:highlight w:val="none"/>
          <w:u w:val="single"/>
        </w:rPr>
        <w:t xml:space="preserve">八、投标函</w:t>
      </w:r>
      <w:r>
        <w:rPr>
          <w:rFonts w:hint="eastAsia" w:ascii="宋体" w:hAnsi="宋体"/>
          <w:i/>
          <w:color w:val="000000"/>
          <w:sz w:val="24"/>
          <w:highlight w:val="none"/>
          <w:u w:val="singl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九、中小企业声明函</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十、残疾人福利性单位声明函</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十一、联合体协议</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十二、投标分项报价表</w:t>
      </w:r>
      <w:r>
        <w:rPr>
          <w:rFonts w:hint="eastAsia" w:ascii="宋体" w:hAnsi="宋体"/>
          <w:iCs/>
          <w:color w:val="000000"/>
          <w:sz w:val="24"/>
          <w:highlight w:val="none"/>
        </w:rPr>
      </w:r>
      <w:r/>
    </w:p>
    <w:p>
      <w:pPr>
        <w:pStyle w:val="1215"/>
        <w:ind w:firstLine="480"/>
        <w:spacing w:line="440" w:lineRule="exact"/>
        <w:rPr>
          <w:rFonts w:hint="eastAsia" w:ascii="宋体" w:hAnsi="宋体"/>
          <w:iCs/>
          <w:color w:val="000000"/>
          <w:sz w:val="24"/>
          <w:highlight w:val="none"/>
        </w:rPr>
      </w:pPr>
      <w:r>
        <w:rPr>
          <w:rFonts w:hint="eastAsia" w:ascii="宋体" w:hAnsi="宋体"/>
          <w:iCs/>
          <w:color w:val="000000"/>
          <w:sz w:val="24"/>
          <w:highlight w:val="none"/>
        </w:rPr>
        <w:t xml:space="preserve">十三、技术要求响应及偏离表</w:t>
      </w:r>
      <w:r>
        <w:rPr>
          <w:rFonts w:hint="eastAsia" w:ascii="宋体" w:hAnsi="宋体"/>
          <w:iCs/>
          <w:color w:val="000000"/>
          <w:sz w:val="24"/>
          <w:highlight w:val="none"/>
        </w:rPr>
      </w:r>
      <w:r/>
    </w:p>
    <w:p>
      <w:pPr>
        <w:pStyle w:val="121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十四、商务要求响应及偏离表</w:t>
      </w:r>
      <w:r>
        <w:rPr>
          <w:rFonts w:ascii="宋体" w:hAnsi="宋体"/>
          <w:iCs/>
          <w:color w:val="000000"/>
          <w:sz w:val="24"/>
          <w:highlight w:val="none"/>
        </w:rPr>
      </w:r>
      <w:r/>
    </w:p>
    <w:p>
      <w:pPr>
        <w:pStyle w:val="1215"/>
        <w:ind w:firstLine="480"/>
        <w:spacing w:line="440" w:lineRule="exact"/>
        <w:rPr>
          <w:rFonts w:ascii="宋体" w:hAnsi="宋体"/>
          <w:i/>
          <w:color w:val="000000"/>
          <w:sz w:val="24"/>
          <w:highlight w:val="none"/>
          <w:u w:val="single"/>
        </w:rPr>
      </w:pPr>
      <w:r>
        <w:rPr>
          <w:rFonts w:hint="eastAsia" w:ascii="宋体" w:hAnsi="宋体"/>
          <w:i/>
          <w:color w:val="000000"/>
          <w:sz w:val="24"/>
          <w:highlight w:val="none"/>
          <w:u w:val="single"/>
        </w:rPr>
        <w:t xml:space="preserve">十五、开标一览表</w:t>
      </w:r>
      <w:r>
        <w:rPr>
          <w:rFonts w:ascii="宋体" w:hAnsi="宋体"/>
          <w:i/>
          <w:color w:val="000000"/>
          <w:sz w:val="24"/>
          <w:highlight w:val="none"/>
          <w:u w:val="single"/>
        </w:rPr>
      </w:r>
      <w:r/>
    </w:p>
    <w:p>
      <w:pPr>
        <w:pStyle w:val="1215"/>
        <w:ind w:firstLine="480"/>
        <w:spacing w:line="440" w:lineRule="exact"/>
        <w:rPr>
          <w:rFonts w:ascii="宋体" w:hAnsi="宋体"/>
          <w:iCs/>
          <w:color w:val="000000"/>
          <w:sz w:val="24"/>
          <w:highlight w:val="none"/>
        </w:rPr>
      </w:pPr>
      <w:r>
        <w:rPr>
          <w:rFonts w:hint="eastAsia" w:ascii="宋体" w:hAnsi="宋体"/>
          <w:iCs/>
          <w:color w:val="000000"/>
          <w:sz w:val="24"/>
          <w:highlight w:val="none"/>
        </w:rPr>
        <w:t xml:space="preserve">十六、资格承诺函</w:t>
      </w:r>
      <w:r>
        <w:rPr>
          <w:rFonts w:ascii="宋体" w:hAnsi="宋体"/>
          <w:iCs/>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ascii="宋体" w:hAnsi="宋体"/>
          <w:color w:val="000000"/>
          <w:sz w:val="24"/>
          <w:highlight w:val="none"/>
        </w:rPr>
      </w:r>
      <w:r/>
    </w:p>
    <w:p>
      <w:pPr>
        <w:pStyle w:val="1215"/>
        <w:spacing w:line="440" w:lineRule="exact"/>
        <w:rPr>
          <w:rFonts w:hint="eastAsia" w:ascii="黑体" w:hAnsi="黑体" w:eastAsia="黑体"/>
          <w:i/>
          <w:color w:val="000000"/>
          <w:sz w:val="32"/>
          <w:szCs w:val="32"/>
          <w:highlight w:val="none"/>
          <w:u w:val="single"/>
        </w:rPr>
      </w:pPr>
      <w:r>
        <w:rPr>
          <w:rFonts w:hint="eastAsia" w:ascii="黑体" w:hAnsi="黑体" w:eastAsia="黑体"/>
          <w:i/>
          <w:color w:val="000000"/>
          <w:sz w:val="32"/>
          <w:szCs w:val="32"/>
          <w:highlight w:val="none"/>
          <w:u w:val="singl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br w:type="page" w:clear="all"/>
      </w:r>
      <w:r>
        <w:rPr>
          <w:rFonts w:hint="eastAsia" w:ascii="宋体" w:hAnsi="宋体"/>
          <w:color w:val="000000"/>
          <w:sz w:val="24"/>
          <w:szCs w:val="24"/>
          <w:highlight w:val="none"/>
        </w:rPr>
        <w:t xml:space="preserve">一、具有独立承担民事责任的能力</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提供法人或者其他组织的营业执照等证明文件，自然人的身份证明；如</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为事业单位，请提供事业单位法人证书</w:t>
      </w: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二、具有良好的商业信誉和健全的财务会计制度</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w:t>
      </w:r>
      <w:r>
        <w:rPr>
          <w:rFonts w:hint="eastAsia" w:ascii="宋体" w:hAnsi="宋体"/>
          <w:color w:val="000000"/>
          <w:sz w:val="24"/>
          <w:szCs w:val="24"/>
          <w:highlight w:val="none"/>
          <w:lang w:val="en-US" w:eastAsia="zh-CN"/>
        </w:rPr>
        <w:t xml:space="preserve">2025</w:t>
      </w:r>
      <w:r>
        <w:rPr>
          <w:rFonts w:hint="eastAsia" w:ascii="宋体" w:hAnsi="宋体"/>
          <w:color w:val="000000"/>
          <w:sz w:val="24"/>
          <w:szCs w:val="24"/>
          <w:highlight w:val="none"/>
        </w:rPr>
        <w:t xml:space="preserve">年度财务报告（成立不满一年的提供至少一个月财务报告），或银行出具的资信证明，或财政部门认可的政府专业担保机构出具的投标担保函。</w:t>
      </w:r>
      <w:r>
        <w:rPr>
          <w:rFonts w:hint="eastAsia" w:ascii="宋体" w:hAnsi="宋体"/>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三、具有履行合同所必需的设备和专业技术能力</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投标单位相关信息一览表（见投标文件格式）。</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四、提供参加本次政府活动前三年内，在经营活动中没有重大违法记录的承诺函</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见投标函第7条。</w:t>
      </w:r>
      <w:r>
        <w:rPr>
          <w:rFonts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五、依法缴纳税收和社会保障资金的相关材料</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提供提交响应文件截止时间前一年内至少一个月依法缴纳税收及缴纳社会保障资金的证明材料。</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依法享受缓缴、免缴税收、社会保障资金的提供证明材料。</w:t>
      </w:r>
      <w:r>
        <w:rPr>
          <w:rFonts w:hint="eastAsia" w:ascii="宋体" w:hAnsi="宋体"/>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注：①按扬财购〔202</w:t>
      </w:r>
      <w:r>
        <w:rPr>
          <w:rFonts w:hint="eastAsia" w:ascii="宋体" w:hAnsi="宋体"/>
          <w:bCs/>
          <w:color w:val="000000"/>
          <w:sz w:val="24"/>
          <w:szCs w:val="24"/>
          <w:highlight w:val="none"/>
          <w:lang w:val="en-US" w:eastAsia="zh-CN"/>
        </w:rPr>
        <w:t xml:space="preserve">2</w:t>
      </w:r>
      <w:r>
        <w:rPr>
          <w:rFonts w:ascii="宋体" w:hAnsi="宋体"/>
          <w:bCs/>
          <w:color w:val="000000"/>
          <w:sz w:val="24"/>
          <w:szCs w:val="24"/>
          <w:highlight w:val="none"/>
        </w:rPr>
        <w:t xml:space="preserve">〕17号《关于进一步降低政府活动成本减轻政府</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负担的通知》本项目申请人的资格条件采取“信用承诺制”，</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可选择提供资格承诺函</w:t>
      </w:r>
      <w:r>
        <w:rPr>
          <w:rFonts w:hint="eastAsia" w:ascii="宋体" w:hAnsi="宋体"/>
          <w:color w:val="000000"/>
          <w:sz w:val="24"/>
          <w:szCs w:val="24"/>
          <w:highlight w:val="none"/>
        </w:rPr>
        <w:t xml:space="preserve">（见投标文件格式）</w:t>
      </w:r>
      <w:r>
        <w:rPr>
          <w:rFonts w:ascii="宋体" w:hAnsi="宋体"/>
          <w:bCs/>
          <w:color w:val="000000"/>
          <w:sz w:val="24"/>
          <w:szCs w:val="24"/>
          <w:highlight w:val="none"/>
        </w:rPr>
        <w:t xml:space="preserve">，在</w:t>
      </w:r>
      <w:r>
        <w:rPr>
          <w:rFonts w:hint="eastAsia" w:ascii="宋体" w:hAnsi="宋体"/>
          <w:bCs/>
          <w:color w:val="000000"/>
          <w:sz w:val="24"/>
          <w:szCs w:val="24"/>
          <w:highlight w:val="none"/>
        </w:rPr>
        <w:t xml:space="preserve">投标</w:t>
      </w:r>
      <w:r>
        <w:rPr>
          <w:rFonts w:ascii="宋体" w:hAnsi="宋体"/>
          <w:bCs/>
          <w:color w:val="000000"/>
          <w:sz w:val="24"/>
          <w:szCs w:val="24"/>
          <w:highlight w:val="none"/>
        </w:rPr>
        <w:t xml:space="preserve">文件中无需再提供与</w:t>
      </w:r>
      <w:r>
        <w:rPr>
          <w:rFonts w:hint="eastAsia" w:ascii="宋体" w:hAnsi="宋体"/>
          <w:bCs/>
          <w:color w:val="000000"/>
          <w:sz w:val="24"/>
          <w:szCs w:val="24"/>
          <w:highlight w:val="none"/>
        </w:rPr>
        <w:t xml:space="preserve">上述</w:t>
      </w:r>
      <w:r>
        <w:rPr>
          <w:rFonts w:ascii="宋体" w:hAnsi="宋体"/>
          <w:bCs/>
          <w:color w:val="000000"/>
          <w:sz w:val="24"/>
          <w:szCs w:val="24"/>
          <w:highlight w:val="none"/>
        </w:rPr>
        <w:t xml:space="preserve">第</w:t>
      </w:r>
      <w:r>
        <w:rPr>
          <w:rFonts w:hint="eastAsia" w:ascii="宋体" w:hAnsi="宋体"/>
          <w:bCs/>
          <w:color w:val="000000"/>
          <w:sz w:val="24"/>
          <w:szCs w:val="24"/>
          <w:highlight w:val="none"/>
        </w:rPr>
        <w:t xml:space="preserve">二</w:t>
      </w:r>
      <w:r>
        <w:rPr>
          <w:rFonts w:ascii="宋体" w:hAnsi="宋体"/>
          <w:bCs/>
          <w:color w:val="000000"/>
          <w:sz w:val="24"/>
          <w:szCs w:val="24"/>
          <w:highlight w:val="none"/>
        </w:rPr>
        <w:t xml:space="preserve">至第</w:t>
      </w:r>
      <w:r>
        <w:rPr>
          <w:rFonts w:hint="eastAsia" w:ascii="宋体" w:hAnsi="宋体"/>
          <w:bCs/>
          <w:color w:val="000000"/>
          <w:sz w:val="24"/>
          <w:szCs w:val="24"/>
          <w:highlight w:val="none"/>
        </w:rPr>
        <w:t xml:space="preserve">五</w:t>
      </w:r>
      <w:r>
        <w:rPr>
          <w:rFonts w:ascii="宋体" w:hAnsi="宋体"/>
          <w:bCs/>
          <w:color w:val="000000"/>
          <w:sz w:val="24"/>
          <w:szCs w:val="24"/>
          <w:highlight w:val="none"/>
        </w:rPr>
        <w:t xml:space="preserve">项相关的证明材料即可参加活动。</w:t>
      </w:r>
      <w:r>
        <w:rPr>
          <w:rFonts w:ascii="宋体" w:hAnsi="宋体"/>
          <w:bCs/>
          <w:color w:val="000000"/>
          <w:sz w:val="24"/>
          <w:szCs w:val="24"/>
          <w:highlight w:val="none"/>
        </w:rPr>
      </w:r>
      <w:r/>
    </w:p>
    <w:p>
      <w:pPr>
        <w:pStyle w:val="1215"/>
        <w:ind w:firstLine="480"/>
        <w:spacing w:line="440" w:lineRule="exact"/>
        <w:rPr>
          <w:rFonts w:ascii="宋体" w:hAnsi="宋体"/>
          <w:bCs/>
          <w:color w:val="000000"/>
          <w:sz w:val="24"/>
          <w:szCs w:val="24"/>
          <w:highlight w:val="none"/>
        </w:rPr>
      </w:pPr>
      <w:r>
        <w:rPr>
          <w:rFonts w:ascii="宋体" w:hAnsi="宋体"/>
          <w:bCs/>
          <w:color w:val="000000"/>
          <w:sz w:val="24"/>
          <w:szCs w:val="24"/>
          <w:highlight w:val="none"/>
        </w:rPr>
        <w:t xml:space="preserve">②</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可自行选择是否提供承诺函，若不提供承诺函的，应按</w:t>
      </w:r>
      <w:r>
        <w:rPr>
          <w:rFonts w:hint="eastAsia" w:ascii="宋体" w:hAnsi="宋体"/>
          <w:bCs/>
          <w:color w:val="000000"/>
          <w:sz w:val="24"/>
          <w:szCs w:val="24"/>
          <w:highlight w:val="none"/>
        </w:rPr>
        <w:t xml:space="preserve">招标</w:t>
      </w:r>
      <w:r>
        <w:rPr>
          <w:rFonts w:ascii="宋体" w:hAnsi="宋体"/>
          <w:bCs/>
          <w:color w:val="000000"/>
          <w:sz w:val="24"/>
          <w:szCs w:val="24"/>
          <w:highlight w:val="none"/>
        </w:rPr>
        <w:t xml:space="preserve">文件要求提供相应的证明材料。</w:t>
      </w:r>
      <w:r>
        <w:rPr>
          <w:rFonts w:ascii="宋体" w:hAnsi="宋体"/>
          <w:bCs/>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ascii="宋体" w:hAnsi="宋体"/>
          <w:bCs/>
          <w:color w:val="000000"/>
          <w:sz w:val="24"/>
          <w:szCs w:val="24"/>
          <w:highlight w:val="none"/>
        </w:rPr>
        <w:t xml:space="preserve">③</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应当遵循诚实信用原则，不得作虚假承诺。</w:t>
      </w:r>
      <w:r>
        <w:rPr>
          <w:rFonts w:hint="eastAsia" w:ascii="宋体" w:hAnsi="宋体"/>
          <w:bCs/>
          <w:color w:val="000000"/>
          <w:sz w:val="24"/>
          <w:szCs w:val="24"/>
          <w:highlight w:val="none"/>
          <w:lang w:eastAsia="zh-CN"/>
        </w:rPr>
        <w:t xml:space="preserve">投标人</w:t>
      </w:r>
      <w:r>
        <w:rPr>
          <w:rFonts w:ascii="宋体" w:hAnsi="宋体"/>
          <w:bCs/>
          <w:color w:val="000000"/>
          <w:sz w:val="24"/>
          <w:szCs w:val="24"/>
          <w:highlight w:val="none"/>
        </w:rPr>
        <w:t xml:space="preserve">承诺不实的，属于提供虚假材料谋取中标、成交，应承担相应的法律责任。</w:t>
      </w:r>
      <w:r>
        <w:rPr>
          <w:rFonts w:hint="eastAsia" w:ascii="宋体" w:hAnsi="宋体"/>
          <w:color w:val="000000"/>
          <w:sz w:val="24"/>
          <w:szCs w:val="24"/>
          <w:highlight w:val="none"/>
        </w:rPr>
      </w:r>
      <w:r/>
    </w:p>
    <w:p>
      <w:pPr>
        <w:pStyle w:val="1215"/>
        <w:numPr>
          <w:ilvl w:val="0"/>
          <w:numId w:val="6"/>
        </w:numPr>
        <w:ind w:firstLine="480"/>
        <w:spacing w:line="440" w:lineRule="exact"/>
        <w:rPr>
          <w:rFonts w:hint="eastAsia"/>
          <w:lang w:val="en-US" w:eastAsia="zh-CN"/>
        </w:rPr>
      </w:pPr>
      <w:r>
        <w:rPr>
          <w:rFonts w:hint="eastAsia" w:ascii="宋体" w:hAnsi="宋体"/>
          <w:color w:val="000000"/>
          <w:sz w:val="24"/>
          <w:szCs w:val="24"/>
          <w:highlight w:val="none"/>
        </w:rPr>
        <w:t xml:space="preserve">特定资格要求的证明文件</w:t>
      </w:r>
      <w:r>
        <w:rPr>
          <w:rFonts w:hint="eastAsia" w:ascii="宋体" w:hAnsi="宋体"/>
          <w:color w:val="000000"/>
          <w:sz w:val="24"/>
          <w:szCs w:val="24"/>
          <w:highlight w:val="none"/>
          <w:lang w:val="en-US" w:eastAsia="zh-CN"/>
        </w:rPr>
        <w:t xml:space="preserve">:详见采购公告</w:t>
      </w:r>
      <w:r>
        <w:rPr>
          <w:rFonts w:hint="eastAsia"/>
          <w:lang w:val="en-US" w:eastAsia="zh-CN"/>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如果本项目申请人的特定资格要求中要求提供的，必须提供。</w:t>
      </w:r>
      <w:r>
        <w:rPr>
          <w:rFonts w:hint="eastAsia" w:ascii="宋体" w:hAnsi="宋体"/>
          <w:color w:val="000000"/>
          <w:sz w:val="24"/>
          <w:szCs w:val="24"/>
          <w:highlight w:val="none"/>
        </w:rPr>
      </w:r>
      <w:r/>
    </w:p>
    <w:p>
      <w:pPr>
        <w:pStyle w:val="1215"/>
        <w:jc w:val="center"/>
        <w:spacing w:before="145" w:after="145" w:line="440" w:lineRule="exact"/>
        <w:rPr>
          <w:rFonts w:hint="eastAsia" w:ascii="黑体" w:hAnsi="黑体" w:eastAsia="黑体"/>
          <w:i/>
          <w:color w:val="000000"/>
          <w:sz w:val="32"/>
          <w:szCs w:val="32"/>
          <w:highlight w:val="none"/>
          <w:u w:val="single"/>
        </w:rPr>
      </w:pPr>
      <w:r>
        <w:rPr>
          <w:rFonts w:hint="eastAsia" w:ascii="宋体" w:hAnsi="宋体"/>
          <w:color w:val="000000"/>
          <w:sz w:val="24"/>
          <w:szCs w:val="24"/>
          <w:highlight w:val="none"/>
        </w:rPr>
        <w:br w:type="page" w:clear="all"/>
      </w:r>
      <w:bookmarkEnd w:id="203"/>
      <w:r/>
      <w:bookmarkEnd w:id="204"/>
      <w:r/>
      <w:bookmarkEnd w:id="205"/>
      <w:r/>
      <w:bookmarkStart w:id="206" w:name="_Toc120614284"/>
      <w:r>
        <w:rPr>
          <w:rFonts w:hint="eastAsia" w:ascii="黑体" w:hAnsi="黑体" w:eastAsia="黑体"/>
          <w:i/>
          <w:color w:val="000000"/>
          <w:sz w:val="32"/>
          <w:szCs w:val="32"/>
          <w:highlight w:val="none"/>
          <w:u w:val="single"/>
        </w:rPr>
        <w:t xml:space="preserve">七、法人授权书</w:t>
      </w:r>
      <w:r>
        <w:rPr>
          <w:rFonts w:hint="eastAsia" w:ascii="黑体" w:hAnsi="黑体" w:eastAsia="黑体"/>
          <w:i/>
          <w:color w:val="000000"/>
          <w:sz w:val="32"/>
          <w:szCs w:val="32"/>
          <w:highlight w:val="none"/>
          <w:u w:val="single"/>
        </w:rPr>
      </w:r>
      <w:r/>
    </w:p>
    <w:p>
      <w:pPr>
        <w:pStyle w:val="1313"/>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本授权书声明：____________（投标人名称）授权________________（被授权人的姓名）为我方就</w:t>
      </w:r>
      <w:r>
        <w:rPr>
          <w:rFonts w:hint="eastAsia"/>
          <w:color w:val="000000"/>
          <w:sz w:val="24"/>
          <w:szCs w:val="24"/>
          <w:highlight w:val="none"/>
          <w:u w:val="single"/>
        </w:rPr>
        <w:t xml:space="preserve"> </w:t>
      </w:r>
      <w:r>
        <w:rPr>
          <w:rFonts w:hint="eastAsia"/>
          <w:color w:val="000000"/>
          <w:sz w:val="24"/>
          <w:szCs w:val="24"/>
          <w:highlight w:val="none"/>
          <w:u w:val="single"/>
          <w:lang w:eastAsia="zh-CN"/>
        </w:rPr>
        <w:t xml:space="preserve">扬中市人民医院X射线计算机体层摄影设备（CT）采购项目</w:t>
      </w:r>
      <w:r>
        <w:rPr>
          <w:rFonts w:hint="eastAsia"/>
          <w:color w:val="000000"/>
          <w:sz w:val="24"/>
          <w:szCs w:val="24"/>
          <w:highlight w:val="none"/>
        </w:rPr>
        <w:t xml:space="preserve">活动的合法代理人，以本单位名义全权处理一切与该项目有关的事务。</w:t>
      </w:r>
      <w:r>
        <w:rPr>
          <w:rFonts w:hint="eastAsia"/>
          <w:color w:val="000000"/>
          <w:sz w:val="24"/>
          <w:szCs w:val="24"/>
          <w:highlight w:val="none"/>
        </w:rPr>
      </w:r>
      <w:r/>
    </w:p>
    <w:p>
      <w:pPr>
        <w:pStyle w:val="1313"/>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本授权书于______年____月____日起生效，特此声明。</w:t>
      </w:r>
      <w:r>
        <w:rPr>
          <w:rFonts w:hint="eastAsia"/>
          <w:color w:val="000000"/>
          <w:sz w:val="24"/>
          <w:szCs w:val="24"/>
          <w:highlight w:val="none"/>
        </w:rPr>
      </w:r>
      <w:r/>
    </w:p>
    <w:p>
      <w:pPr>
        <w:pStyle w:val="1313"/>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被授权人身份证号码：</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13"/>
        <w:ind w:firstLine="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被授权人联系电话：（手机）</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13"/>
        <w:ind w:firstLine="120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授权单位名称：</w:t>
      </w:r>
      <w:r>
        <w:rPr>
          <w:rFonts w:hint="eastAsia"/>
          <w:color w:val="000000"/>
          <w:sz w:val="24"/>
          <w:szCs w:val="24"/>
          <w:highlight w:val="none"/>
          <w:u w:val="single"/>
        </w:rPr>
        <w:t xml:space="preserve">（加盖CA电子公章）</w:t>
      </w:r>
      <w:r>
        <w:rPr>
          <w:rFonts w:hint="eastAsia"/>
          <w:color w:val="000000"/>
          <w:sz w:val="24"/>
          <w:szCs w:val="24"/>
          <w:highlight w:val="none"/>
        </w:rPr>
      </w:r>
      <w:r/>
    </w:p>
    <w:p>
      <w:pPr>
        <w:pStyle w:val="1313"/>
        <w:ind w:firstLine="480"/>
        <w:spacing w:line="440" w:lineRule="exact"/>
        <w:tabs>
          <w:tab w:val="left" w:pos="360" w:leader="none"/>
        </w:tabs>
        <w:rPr>
          <w:rFonts w:hint="eastAsia"/>
          <w:color w:val="000000"/>
          <w:sz w:val="24"/>
          <w:szCs w:val="24"/>
          <w:highlight w:val="none"/>
          <w:u w:val="single"/>
        </w:rPr>
      </w:pPr>
      <w:r>
        <w:rPr>
          <w:rFonts w:hint="eastAsia"/>
          <w:color w:val="000000"/>
          <w:sz w:val="24"/>
          <w:szCs w:val="24"/>
          <w:highlight w:val="none"/>
        </w:rPr>
        <w:t xml:space="preserve">      单位地址：</w:t>
      </w:r>
      <w:r>
        <w:rPr>
          <w:rFonts w:hint="eastAsia"/>
          <w:color w:val="000000"/>
          <w:sz w:val="24"/>
          <w:szCs w:val="24"/>
          <w:highlight w:val="none"/>
          <w:u w:val="single"/>
        </w:rPr>
        <w:t xml:space="preserve">                                         </w:t>
      </w:r>
      <w:r>
        <w:rPr>
          <w:rFonts w:hint="eastAsia"/>
          <w:color w:val="000000"/>
          <w:sz w:val="24"/>
          <w:szCs w:val="24"/>
          <w:highlight w:val="none"/>
          <w:u w:val="single"/>
        </w:rPr>
      </w:r>
      <w:r/>
    </w:p>
    <w:p>
      <w:pPr>
        <w:pStyle w:val="1313"/>
        <w:ind w:firstLine="480"/>
        <w:spacing w:line="440" w:lineRule="exact"/>
        <w:tabs>
          <w:tab w:val="left" w:pos="360" w:leader="none"/>
        </w:tabs>
        <w:rPr>
          <w:rFonts w:hint="eastAsia"/>
          <w:color w:val="000000"/>
          <w:sz w:val="24"/>
          <w:szCs w:val="24"/>
          <w:highlight w:val="none"/>
        </w:rPr>
      </w:pPr>
      <w:r>
        <w:rPr>
          <w:rFonts w:hint="eastAsia"/>
          <w:color w:val="000000"/>
          <w:sz w:val="24"/>
          <w:szCs w:val="24"/>
          <w:highlight w:val="none"/>
        </w:rPr>
        <w:t xml:space="preserve">      日期：</w:t>
      </w:r>
      <w:bookmarkStart w:id="207" w:name="_格式3__银行出具的资信证明"/>
      <w:r/>
      <w:bookmarkEnd w:id="207"/>
      <w:r/>
      <w:bookmarkStart w:id="208" w:name="_Hlt26955070"/>
      <w:r/>
      <w:bookmarkEnd w:id="208"/>
      <w:r/>
      <w:bookmarkStart w:id="209" w:name="_Hlt26671380"/>
      <w:r/>
      <w:bookmarkEnd w:id="209"/>
      <w:r>
        <w:rPr>
          <w:rFonts w:hint="eastAsia"/>
          <w:color w:val="000000"/>
          <w:sz w:val="24"/>
          <w:szCs w:val="24"/>
          <w:highlight w:val="none"/>
          <w:u w:val="single"/>
        </w:rPr>
        <w:t xml:space="preserve">                                         </w:t>
      </w:r>
      <w:r>
        <w:rPr>
          <w:rFonts w:hint="eastAsia"/>
          <w:color w:val="000000"/>
          <w:sz w:val="24"/>
          <w:szCs w:val="24"/>
          <w:highlight w:val="none"/>
        </w:rPr>
      </w:r>
      <w:r/>
    </w:p>
    <w:p>
      <w:pPr>
        <w:pStyle w:val="1230"/>
        <w:spacing w:line="440" w:lineRule="exact"/>
        <w:rPr>
          <w:rFonts w:hint="eastAsia"/>
          <w:i/>
          <w:color w:val="000000"/>
          <w:sz w:val="24"/>
          <w:szCs w:val="24"/>
          <w:highlight w:val="none"/>
          <w:u w:val="single"/>
        </w:rPr>
      </w:pPr>
      <w:r>
        <w:rPr>
          <w:rFonts w:hint="eastAsia"/>
          <w:i/>
          <w:color w:val="000000"/>
          <w:sz w:val="24"/>
          <w:szCs w:val="24"/>
          <w:highlight w:val="none"/>
          <w:u w:val="single"/>
        </w:rPr>
      </w:r>
      <w:r/>
    </w:p>
    <w:p>
      <w:pPr>
        <w:pStyle w:val="1230"/>
        <w:ind w:firstLine="0"/>
        <w:spacing w:line="440" w:lineRule="exact"/>
        <w:rPr>
          <w:rFonts w:hint="eastAsia"/>
          <w:color w:val="000000"/>
          <w:highlight w:val="none"/>
        </w:rPr>
      </w:pPr>
      <w:r>
        <w:rPr>
          <w:rFonts w:hint="eastAsia"/>
          <w:color w:val="000000"/>
          <w:highlight w:val="none"/>
        </w:rPr>
      </w:r>
      <w:r/>
    </w:p>
    <w:p>
      <w:pPr>
        <w:pStyle w:val="1215"/>
        <w:spacing w:line="440" w:lineRule="exact"/>
        <w:rPr>
          <w:rFonts w:hint="eastAsia"/>
          <w:color w:val="000000"/>
          <w:highlight w:val="none"/>
        </w:rPr>
      </w:pPr>
      <w:r>
        <w:rPr>
          <w:rFonts w:hint="eastAsia"/>
          <w:color w:val="000000"/>
          <w:highlight w:val="none"/>
        </w:rPr>
      </w:r>
      <w:r/>
    </w:p>
    <w:p>
      <w:pPr>
        <w:pStyle w:val="1215"/>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7"/>
        <w:ind w:firstLine="3390"/>
        <w:jc w:val="both"/>
        <w:spacing w:before="145" w:after="145" w:line="440" w:lineRule="exact"/>
        <w:rPr>
          <w:rFonts w:ascii="黑体" w:hAnsi="黑体" w:eastAsia="黑体"/>
          <w:bCs w:val="0"/>
          <w:i/>
          <w:color w:val="000000"/>
          <w:sz w:val="32"/>
          <w:szCs w:val="32"/>
          <w:highlight w:val="none"/>
          <w:u w:val="single"/>
        </w:rPr>
      </w:pPr>
      <w:r>
        <w:rPr>
          <w:rFonts w:ascii="宋体" w:hAnsi="宋体"/>
          <w:bCs w:val="0"/>
          <w:color w:val="000000"/>
          <w:sz w:val="24"/>
          <w:highlight w:val="none"/>
        </w:rPr>
        <w:br w:type="page" w:clear="all"/>
      </w:r>
      <w:r>
        <w:rPr>
          <w:rFonts w:hint="eastAsia" w:ascii="黑体" w:hAnsi="黑体" w:eastAsia="黑体"/>
          <w:bCs w:val="0"/>
          <w:i/>
          <w:color w:val="000000"/>
          <w:sz w:val="32"/>
          <w:szCs w:val="32"/>
          <w:highlight w:val="none"/>
          <w:u w:val="single"/>
        </w:rPr>
        <w:t xml:space="preserve">八、投标函</w:t>
      </w:r>
      <w:r>
        <w:rPr>
          <w:rFonts w:ascii="黑体" w:hAnsi="黑体" w:eastAsia="黑体"/>
          <w:bCs w:val="0"/>
          <w:i/>
          <w:color w:val="000000"/>
          <w:sz w:val="32"/>
          <w:szCs w:val="32"/>
          <w:highlight w:val="none"/>
          <w:u w:val="single"/>
        </w:rPr>
      </w:r>
      <w:r/>
    </w:p>
    <w:p>
      <w:pPr>
        <w:pStyle w:val="1317"/>
        <w:ind w:firstLine="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致：代理机构</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根据贵方的</w:t>
      </w:r>
      <w:r>
        <w:rPr>
          <w:rFonts w:hint="eastAsia" w:ascii="宋体" w:hAnsi="宋体"/>
          <w:b/>
          <w:bCs/>
          <w:color w:val="000000"/>
          <w:szCs w:val="21"/>
          <w:highlight w:val="none"/>
          <w:u w:val="single"/>
          <w:lang w:eastAsia="zh-CN"/>
        </w:rPr>
        <w:t xml:space="preserve">扬中市人民医院X射线计算机体层摄影设备（CT）采购项目</w:t>
      </w:r>
      <w:r>
        <w:rPr>
          <w:rFonts w:hint="eastAsia" w:ascii="宋体" w:hAnsi="宋体"/>
          <w:color w:val="000000"/>
          <w:szCs w:val="21"/>
          <w:highlight w:val="none"/>
        </w:rPr>
        <w:t xml:space="preserve">招标文件，正式授权下述签字人______(姓名)代表我方_____（投标人的名称），全权处理本次项目投标的有关事宜。</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据此函，__________签字人兹宣布同意如下：</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1.按招标文件规定的各项要求，向买方提供所需服务（包含与服务相关的货物）。</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2.我们完全理解贵方不一定将合同授予最低报价的投标人。</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3.我们已详细审核全部招标文件及其有效补充文件，我们知道必须放弃提出含糊不清或误解问题的权利。</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4.我们同意从规定的开标日期起遵循本投标文件，并在规定的投标有效期期满之前均具有约束力。</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5</w:t>
      </w:r>
      <w:r>
        <w:rPr>
          <w:rFonts w:hint="eastAsia" w:ascii="宋体" w:hAnsi="宋体"/>
          <w:color w:val="000000"/>
          <w:szCs w:val="21"/>
          <w:highlight w:val="none"/>
        </w:rPr>
        <w:t xml:space="preserve">.同意向贵方提供贵方可能另外要求的与投标有关的任何证据或资料，并保证我方已提供和将要提供的文件是真实的、准确的。</w:t>
      </w:r>
      <w:r>
        <w:rPr>
          <w:rFonts w:hint="eastAsia"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ascii="宋体" w:hAnsi="宋体"/>
          <w:color w:val="000000"/>
          <w:szCs w:val="21"/>
          <w:highlight w:val="none"/>
        </w:rPr>
        <w:t xml:space="preserve">6</w:t>
      </w:r>
      <w:r>
        <w:rPr>
          <w:rFonts w:hint="eastAsia" w:ascii="宋体" w:hAnsi="宋体"/>
          <w:color w:val="000000"/>
          <w:szCs w:val="21"/>
          <w:highlight w:val="none"/>
        </w:rPr>
        <w:t xml:space="preserve">.一旦我方中标,我方将根据招标文件的规定，严格履行合同的责任和义务,并保证在招标文件规定的时间完成项目，交付买方验收、使用。</w:t>
      </w:r>
      <w:r>
        <w:rPr>
          <w:rFonts w:hint="eastAsia" w:ascii="宋体" w:hAnsi="宋体"/>
          <w:color w:val="000000"/>
          <w:szCs w:val="21"/>
          <w:highlight w:val="none"/>
        </w:rPr>
      </w:r>
      <w:r/>
    </w:p>
    <w:p>
      <w:pPr>
        <w:pStyle w:val="1317"/>
        <w:spacing w:before="0" w:after="0" w:line="440" w:lineRule="exact"/>
        <w:rPr>
          <w:rFonts w:ascii="宋体" w:hAnsi="宋体"/>
          <w:color w:val="000000"/>
          <w:szCs w:val="21"/>
          <w:highlight w:val="none"/>
        </w:rPr>
      </w:pPr>
      <w:r>
        <w:rPr>
          <w:rFonts w:hint="eastAsia" w:ascii="宋体" w:hAnsi="宋体"/>
          <w:color w:val="000000"/>
          <w:szCs w:val="21"/>
          <w:highlight w:val="none"/>
        </w:rPr>
        <w:t xml:space="preserve">7.</w:t>
      </w:r>
      <w:r>
        <w:rPr>
          <w:rFonts w:hint="eastAsia" w:ascii="宋体" w:hAnsi="宋体"/>
          <w:color w:val="000000"/>
          <w:szCs w:val="21"/>
          <w:highlight w:val="none"/>
        </w:rPr>
        <w:t xml:space="preserve">我公司郑重声明：参加本次政府活动前三年内，在经营活动中没有重大违法记录。</w:t>
      </w:r>
      <w:r>
        <w:rPr>
          <w:rFonts w:ascii="宋体" w:hAnsi="宋体"/>
          <w:color w:val="000000"/>
          <w:szCs w:val="21"/>
          <w:highlight w:val="none"/>
        </w:rPr>
      </w:r>
      <w:r/>
    </w:p>
    <w:p>
      <w:pPr>
        <w:pStyle w:val="1317"/>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8.与本投标有关的正式通讯地址为：</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地          址：</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邮          编：</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电          话：</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传          真：</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投标人开户行：</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账          号： </w:t>
      </w:r>
      <w:r>
        <w:rPr>
          <w:rFonts w:hint="eastAsia" w:ascii="宋体" w:hAnsi="宋体"/>
          <w:color w:val="000000"/>
          <w:szCs w:val="21"/>
          <w:highlight w:val="none"/>
        </w:rPr>
      </w:r>
      <w:r/>
    </w:p>
    <w:p>
      <w:pPr>
        <w:pStyle w:val="1317"/>
        <w:ind w:left="420"/>
        <w:spacing w:before="0" w:after="0" w:line="440" w:lineRule="exact"/>
        <w:rPr>
          <w:rFonts w:hint="eastAsia" w:ascii="宋体" w:hAnsi="宋体"/>
          <w:color w:val="000000"/>
          <w:szCs w:val="21"/>
          <w:highlight w:val="none"/>
        </w:rPr>
      </w:pPr>
      <w:r>
        <w:rPr>
          <w:rFonts w:hint="eastAsia" w:ascii="宋体" w:hAnsi="宋体"/>
          <w:color w:val="000000"/>
          <w:szCs w:val="21"/>
          <w:highlight w:val="none"/>
        </w:rPr>
        <w:t xml:space="preserve">日          期：_____年____月____日</w:t>
      </w:r>
      <w:r>
        <w:rPr>
          <w:rFonts w:hint="eastAsia" w:ascii="宋体" w:hAnsi="宋体"/>
          <w:color w:val="000000"/>
          <w:szCs w:val="21"/>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ind w:firstLine="240"/>
        <w:jc w:val="center"/>
        <w:spacing w:line="440" w:lineRule="exact"/>
        <w:rPr>
          <w:rFonts w:hint="eastAsia" w:ascii="宋体" w:hAnsi="宋体"/>
          <w:bCs/>
          <w:color w:val="000000"/>
          <w:sz w:val="24"/>
          <w:highlight w:val="none"/>
        </w:rPr>
      </w:pPr>
      <w:r>
        <w:rPr>
          <w:rFonts w:hint="eastAsia" w:ascii="宋体" w:hAnsi="宋体"/>
          <w:bCs/>
          <w:color w:val="000000"/>
          <w:sz w:val="24"/>
          <w:highlight w:val="none"/>
        </w:rPr>
      </w:r>
      <w:r/>
    </w:p>
    <w:p>
      <w:pPr>
        <w:pStyle w:val="1215"/>
        <w:jc w:val="center"/>
        <w:spacing w:line="440" w:lineRule="exact"/>
        <w:rPr>
          <w:rFonts w:ascii="黑体" w:hAnsi="黑体" w:eastAsia="黑体"/>
          <w:b/>
          <w:color w:val="000000"/>
          <w:sz w:val="32"/>
          <w:szCs w:val="32"/>
          <w:highlight w:val="none"/>
        </w:rPr>
      </w:pPr>
      <w:r>
        <w:rPr>
          <w:rFonts w:ascii="黑体" w:hAnsi="黑体" w:eastAsia="黑体"/>
          <w:b/>
          <w:color w:val="000000"/>
          <w:sz w:val="32"/>
          <w:szCs w:val="32"/>
          <w:highlight w:val="none"/>
        </w:rPr>
      </w:r>
      <w:r/>
    </w:p>
    <w:p>
      <w:pPr>
        <w:pStyle w:val="1215"/>
        <w:jc w:val="center"/>
        <w:spacing w:before="145" w:after="145"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t xml:space="preserve">九、中小企业声明函（货物）（分包号：**）</w:t>
      </w:r>
      <w:r>
        <w:rPr>
          <w:rFonts w:hint="eastAsia" w:ascii="黑体" w:hAnsi="黑体" w:eastAsia="黑体"/>
          <w:b/>
          <w:color w:val="000000"/>
          <w:sz w:val="32"/>
          <w:szCs w:val="32"/>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本公司（联合体）郑重声明</w:t>
      </w:r>
      <w:r>
        <w:rPr>
          <w:rFonts w:hint="eastAsia" w:ascii="宋体" w:hAnsi="宋体"/>
          <w:color w:val="000000"/>
          <w:sz w:val="24"/>
          <w:szCs w:val="24"/>
          <w:highlight w:val="none"/>
        </w:rPr>
        <w:t xml:space="preserve">，根据《政府促进中小企业发展管理办法》(财库[2020]46号)的规定，本公司（联合体）参加江苏金居工程项目管理有限公司代理机构组织的</w:t>
      </w:r>
      <w:r>
        <w:rPr>
          <w:rFonts w:hint="eastAsia" w:ascii="宋体" w:hAnsi="宋体"/>
          <w:color w:val="000000"/>
          <w:sz w:val="24"/>
          <w:szCs w:val="24"/>
          <w:highlight w:val="none"/>
          <w:lang w:eastAsia="zh-CN"/>
        </w:rPr>
        <w:t xml:space="preserve">扬中市人民医院</w:t>
      </w:r>
      <w:r>
        <w:rPr>
          <w:rFonts w:hint="eastAsia" w:ascii="宋体" w:hAnsi="宋体"/>
          <w:color w:val="000000"/>
          <w:sz w:val="24"/>
          <w:szCs w:val="24"/>
          <w:highlight w:val="none"/>
        </w:rPr>
        <w:t xml:space="preserve">编号为</w:t>
      </w:r>
      <w:r>
        <w:rPr>
          <w:rFonts w:hint="eastAsia" w:ascii="宋体" w:hAnsi="宋体"/>
          <w:color w:val="000000"/>
          <w:sz w:val="24"/>
          <w:szCs w:val="24"/>
          <w:highlight w:val="none"/>
          <w:u w:val="single"/>
          <w:lang w:eastAsia="zh-CN"/>
        </w:rPr>
        <w:t xml:space="preserve">JSZC-321182-JJGS-G2026-0015</w:t>
      </w:r>
      <w:r>
        <w:rPr>
          <w:rFonts w:hint="eastAsia" w:ascii="宋体" w:hAnsi="宋体"/>
          <w:color w:val="000000"/>
          <w:sz w:val="24"/>
          <w:szCs w:val="24"/>
          <w:highlight w:val="none"/>
        </w:rPr>
        <w:t xml:space="preserve">，</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u w:val="single"/>
        </w:rPr>
        <w:t xml:space="preserve">）（分包号：**）</w:t>
      </w:r>
      <w:r>
        <w:rPr>
          <w:rFonts w:hint="eastAsia" w:ascii="宋体" w:hAnsi="宋体"/>
          <w:color w:val="000000"/>
          <w:sz w:val="24"/>
          <w:szCs w:val="24"/>
          <w:highlight w:val="none"/>
        </w:rPr>
        <w:t xml:space="preserve">的活动，提供的货物全部由符合政策要求的中小企业制造。根据《工业和信息化部、国家统计局、国家发展和改革委员会、财政部关于印发中小企业划型标准规定的通知》(工信部联企业[2011]300号)的规定，相关企业（含联合体中的中小企业、签订分包意向</w:t>
      </w:r>
      <w:r>
        <w:rPr>
          <w:rFonts w:hint="eastAsia" w:ascii="宋体" w:hAnsi="宋体"/>
          <w:color w:val="000000"/>
          <w:sz w:val="24"/>
          <w:szCs w:val="24"/>
          <w:highlight w:val="none"/>
        </w:rPr>
        <w:t xml:space="preserve">协议的中小企业）的具体情况如下：</w:t>
      </w:r>
      <w:r>
        <w:rPr>
          <w:rFonts w:hint="eastAsia" w:ascii="宋体" w:hAnsi="宋体"/>
          <w:color w:val="000000"/>
          <w:sz w:val="24"/>
          <w:szCs w:val="24"/>
          <w:highlight w:val="none"/>
        </w:rPr>
      </w:r>
      <w:r/>
    </w:p>
    <w:p>
      <w:pPr>
        <w:pStyle w:val="121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15"/>
        <w:ind w:firstLine="360"/>
        <w:spacing w:line="440" w:lineRule="exact"/>
        <w:rPr>
          <w:rFonts w:hint="eastAsia" w:ascii="宋体" w:hAnsi="宋体"/>
          <w:i/>
          <w:color w:val="000000"/>
          <w:sz w:val="24"/>
          <w:szCs w:val="24"/>
          <w:highlight w:val="none"/>
          <w:u w:val="singl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u w:val="single"/>
        </w:rPr>
        <w:t xml:space="preserve">（</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szCs w:val="24"/>
          <w:highlight w:val="none"/>
          <w:u w:val="single"/>
        </w:rPr>
        <w:t xml:space="preserve">）</w:t>
      </w:r>
      <w:r>
        <w:rPr>
          <w:rFonts w:hint="eastAsia" w:ascii="宋体" w:hAnsi="宋体"/>
          <w:i/>
          <w:color w:val="000000"/>
          <w:sz w:val="24"/>
          <w:szCs w:val="24"/>
          <w:highlight w:val="none"/>
        </w:rPr>
        <w:t xml:space="preserve">，</w:t>
      </w:r>
      <w:r>
        <w:rPr>
          <w:rFonts w:hint="eastAsia" w:ascii="宋体" w:hAnsi="宋体"/>
          <w:color w:val="000000"/>
          <w:sz w:val="24"/>
          <w:szCs w:val="24"/>
          <w:highlight w:val="none"/>
        </w:rPr>
        <w:t xml:space="preserve">属于</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u w:val="single"/>
          <w:lang w:eastAsia="zh-CN"/>
        </w:rPr>
        <w:t xml:space="preserve">工业</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行业；制造商为</w:t>
      </w:r>
      <w:r>
        <w:rPr>
          <w:rFonts w:hint="eastAsia" w:ascii="宋体" w:hAnsi="宋体"/>
          <w:color w:val="000000"/>
          <w:sz w:val="24"/>
          <w:szCs w:val="24"/>
          <w:highlight w:val="none"/>
          <w:u w:val="single"/>
        </w:rPr>
        <w:t xml:space="preserve">（企业名称）</w:t>
      </w:r>
      <w:r>
        <w:rPr>
          <w:rFonts w:hint="eastAsia" w:ascii="宋体" w:hAnsi="宋体"/>
          <w:color w:val="000000"/>
          <w:sz w:val="24"/>
          <w:szCs w:val="24"/>
          <w:highlight w:val="none"/>
        </w:rPr>
        <w:t xml:space="preserve">，从业人员</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人，营业收入为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万元，资产总额为</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万元，属于</w:t>
      </w:r>
      <w:r>
        <w:rPr>
          <w:rFonts w:hint="eastAsia" w:ascii="宋体" w:hAnsi="宋体"/>
          <w:color w:val="000000"/>
          <w:sz w:val="24"/>
          <w:szCs w:val="24"/>
          <w:highlight w:val="none"/>
          <w:u w:val="single"/>
        </w:rPr>
        <w:t xml:space="preserve">（中型企业、小型企业、微型企业）；</w:t>
      </w:r>
      <w:r>
        <w:rPr>
          <w:rFonts w:hint="eastAsia" w:ascii="宋体" w:hAnsi="宋体"/>
          <w:i/>
          <w:color w:val="000000"/>
          <w:sz w:val="24"/>
          <w:szCs w:val="24"/>
          <w:highlight w:val="none"/>
          <w:u w:val="singl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以上企业，不属于大企业的分支机构，不存在控股股东为大企业的情形，也不存在与大企业的负责人为同一人的情形。</w:t>
      </w:r>
      <w:r>
        <w:rPr>
          <w:rFonts w:hint="eastAsia" w:ascii="宋体" w:hAnsi="宋体"/>
          <w:color w:val="000000"/>
          <w:sz w:val="24"/>
          <w:szCs w:val="24"/>
          <w:highlight w:val="none"/>
        </w:rPr>
      </w:r>
      <w:r/>
    </w:p>
    <w:p>
      <w:pPr>
        <w:pStyle w:val="1215"/>
        <w:ind w:firstLine="36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本企业对上述声明内容的真实性负责。如有虚假，将依法承担相应责任</w:t>
      </w:r>
      <w:r>
        <w:rPr>
          <w:rFonts w:hint="eastAsia" w:ascii="宋体" w:hAnsi="宋体"/>
          <w:color w:val="000000"/>
          <w:sz w:val="24"/>
          <w:szCs w:val="24"/>
          <w:highlight w:val="none"/>
        </w:rPr>
      </w:r>
      <w:r/>
    </w:p>
    <w:p>
      <w:pPr>
        <w:pStyle w:val="1215"/>
        <w:ind w:right="72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ind w:right="180" w:firstLine="360"/>
        <w:jc w:val="right"/>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企业名称（加盖CA电子公章）：</w:t>
      </w:r>
      <w:r>
        <w:rPr>
          <w:rFonts w:hint="eastAsia" w:ascii="宋体" w:hAnsi="宋体"/>
          <w:color w:val="000000"/>
          <w:sz w:val="24"/>
          <w:szCs w:val="24"/>
          <w:highlight w:val="none"/>
        </w:rPr>
      </w:r>
      <w:r/>
    </w:p>
    <w:p>
      <w:pPr>
        <w:pStyle w:val="1215"/>
        <w:ind w:right="480" w:firstLine="540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日  期：</w:t>
      </w:r>
      <w:r>
        <w:rPr>
          <w:rFonts w:hint="eastAsia" w:ascii="宋体" w:hAnsi="宋体"/>
          <w:color w:val="000000"/>
          <w:sz w:val="24"/>
          <w:szCs w:val="24"/>
          <w:highlight w:val="none"/>
        </w:rPr>
      </w:r>
      <w:r/>
    </w:p>
    <w:p>
      <w:pPr>
        <w:pStyle w:val="1215"/>
        <w:ind w:firstLine="24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备注1：从业人员、营业收入、资产总额填报上一年度数据，无上一年度数据的新成立企业可不填报。</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备注2：</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如不提供此声明函，价格将不做相应扣除。</w:t>
      </w:r>
      <w:r>
        <w:rPr>
          <w:rFonts w:hint="eastAsia" w:ascii="宋体" w:hAnsi="宋体"/>
          <w:color w:val="000000"/>
          <w:sz w:val="24"/>
          <w:szCs w:val="24"/>
          <w:highlight w:val="none"/>
        </w:rPr>
      </w:r>
      <w:r/>
    </w:p>
    <w:p>
      <w:pPr>
        <w:pStyle w:val="1215"/>
        <w:jc w:val="center"/>
        <w:spacing w:before="145" w:after="145" w:line="440" w:lineRule="exact"/>
        <w:rPr>
          <w:rFonts w:hint="eastAsia" w:ascii="黑体" w:hAnsi="黑体" w:eastAsia="黑体"/>
          <w:b/>
          <w:color w:val="000000"/>
          <w:sz w:val="32"/>
          <w:szCs w:val="32"/>
          <w:highlight w:val="none"/>
        </w:rPr>
      </w:pPr>
      <w:r>
        <w:rPr>
          <w:rFonts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十、残疾人福利性单位声明函（分包号：**）</w:t>
      </w:r>
      <w:r>
        <w:rPr>
          <w:rFonts w:hint="eastAsia" w:ascii="黑体" w:hAnsi="黑体" w:eastAsia="黑体"/>
          <w:b/>
          <w:color w:val="000000"/>
          <w:sz w:val="32"/>
          <w:szCs w:val="32"/>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t xml:space="preserve">本单位郑重声明，根据《财政部 民政部 中国残疾人联合会关于促进残疾人就业政府政策的通知》（财库〔2017〕 141号）的规定，本单位为符合条件的残疾人福利性单位，且本单位参加_</w:t>
      </w:r>
      <w:r>
        <w:rPr>
          <w:rFonts w:hint="eastAsia" w:ascii="宋体" w:hAnsi="宋体"/>
          <w:color w:val="000000"/>
          <w:sz w:val="24"/>
          <w:highlight w:val="none"/>
          <w:lang w:eastAsia="zh-CN"/>
        </w:rPr>
        <w:t xml:space="preserve">扬中市人民医院</w:t>
      </w:r>
      <w:r>
        <w:rPr>
          <w:rFonts w:hint="eastAsia" w:ascii="宋体" w:hAnsi="宋体"/>
          <w:color w:val="000000"/>
          <w:sz w:val="24"/>
          <w:highlight w:val="none"/>
        </w:rPr>
        <w:t xml:space="preserve">单位的文件编号为_</w:t>
      </w:r>
      <w:r>
        <w:rPr>
          <w:rFonts w:hint="eastAsia" w:ascii="宋体" w:hAnsi="宋体"/>
          <w:color w:val="000000"/>
          <w:sz w:val="24"/>
          <w:szCs w:val="24"/>
          <w:highlight w:val="none"/>
          <w:u w:val="single"/>
          <w:lang w:eastAsia="zh-CN"/>
        </w:rPr>
        <w:t xml:space="preserve">扬中市人民医院X射线计算机体层摄影设备（CT）采购项目</w:t>
      </w:r>
      <w:r>
        <w:rPr>
          <w:rFonts w:hint="eastAsia" w:ascii="宋体" w:hAnsi="宋体"/>
          <w:color w:val="000000"/>
          <w:sz w:val="24"/>
          <w:highlight w:val="none"/>
        </w:rPr>
        <w:t xml:space="preserve">_（分包号：**）活动由本单位提供服务。</w:t>
      </w:r>
      <w:r>
        <w:rPr>
          <w:rFonts w:hint="eastAsia"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本单位对上述声明的真实性负责。如有虚假，将依法承担相应责任。</w:t>
      </w:r>
      <w:r>
        <w:rPr>
          <w:rFonts w:ascii="宋体" w:hAnsi="宋体"/>
          <w:color w:val="000000"/>
          <w:sz w:val="24"/>
          <w:highlight w:val="none"/>
        </w:rPr>
      </w:r>
      <w:r/>
    </w:p>
    <w:p>
      <w:pPr>
        <w:pStyle w:val="1215"/>
        <w:ind w:firstLine="480"/>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15"/>
        <w:ind w:firstLine="480"/>
        <w:spacing w:line="440" w:lineRule="exact"/>
        <w:rPr>
          <w:rFonts w:ascii="宋体" w:hAnsi="宋体"/>
          <w:color w:val="000000"/>
          <w:sz w:val="24"/>
          <w:highlight w:val="none"/>
        </w:rPr>
      </w:pPr>
      <w:r>
        <w:rPr>
          <w:rFonts w:hint="eastAsia" w:ascii="宋体" w:hAnsi="宋体"/>
          <w:color w:val="000000"/>
          <w:sz w:val="24"/>
          <w:highlight w:val="none"/>
        </w:rPr>
        <w:t xml:space="preserve">（备注：1、</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如不提供此声明函，价格将不做相应扣除。2、中标人为残疾人福利单位的，此声明函将随中标结果同时公告，接受社会监督）</w:t>
      </w:r>
      <w:r>
        <w:rPr>
          <w:rFonts w:ascii="宋体" w:hAnsi="宋体"/>
          <w:color w:val="000000"/>
          <w:sz w:val="24"/>
          <w:highlight w:val="none"/>
        </w:rPr>
      </w:r>
      <w:r/>
    </w:p>
    <w:p>
      <w:pPr>
        <w:pStyle w:val="1215"/>
        <w:ind w:firstLine="624"/>
        <w:spacing w:line="440" w:lineRule="exact"/>
        <w:rPr>
          <w:rFonts w:ascii="仿宋_GB2312" w:eastAsia="仿宋_GB2312"/>
          <w:color w:val="000000"/>
          <w:spacing w:val="6"/>
          <w:sz w:val="30"/>
          <w:szCs w:val="30"/>
          <w:highlight w:val="none"/>
        </w:rPr>
      </w:pPr>
      <w:r>
        <w:rPr>
          <w:rFonts w:ascii="仿宋_GB2312" w:eastAsia="仿宋_GB2312"/>
          <w:color w:val="000000"/>
          <w:spacing w:val="6"/>
          <w:sz w:val="30"/>
          <w:szCs w:val="30"/>
          <w:highlight w:val="none"/>
        </w:rPr>
      </w:r>
      <w:r/>
    </w:p>
    <w:p>
      <w:pPr>
        <w:pStyle w:val="1215"/>
        <w:ind w:right="1560" w:firstLine="624"/>
        <w:jc w:val="center"/>
        <w:spacing w:line="440" w:lineRule="exact"/>
        <w:tabs>
          <w:tab w:val="left" w:pos="4860" w:leader="none"/>
        </w:tabs>
        <w:rPr>
          <w:rFonts w:ascii="宋体" w:hAnsi="宋体"/>
          <w:color w:val="000000"/>
          <w:sz w:val="24"/>
          <w:highlight w:val="none"/>
        </w:rPr>
      </w:pPr>
      <w:r>
        <w:rPr>
          <w:rFonts w:hint="eastAsia" w:ascii="仿宋_GB2312" w:eastAsia="仿宋_GB2312"/>
          <w:color w:val="000000"/>
          <w:spacing w:val="6"/>
          <w:sz w:val="30"/>
          <w:szCs w:val="30"/>
          <w:highlight w:val="none"/>
        </w:rPr>
        <w:t xml:space="preserve">             </w:t>
      </w:r>
      <w:r>
        <w:rPr>
          <w:rFonts w:hint="eastAsia" w:ascii="宋体" w:hAnsi="宋体"/>
          <w:color w:val="000000"/>
          <w:sz w:val="24"/>
          <w:highlight w:val="none"/>
        </w:rPr>
        <w:t xml:space="preserve">       </w:t>
      </w:r>
      <w:r>
        <w:rPr>
          <w:rFonts w:hint="eastAsia" w:ascii="宋体" w:hAnsi="宋体"/>
          <w:color w:val="000000"/>
          <w:sz w:val="24"/>
          <w:highlight w:val="none"/>
          <w:lang w:eastAsia="zh-CN"/>
        </w:rPr>
        <w:t xml:space="preserve">投标人</w:t>
      </w:r>
      <w:r>
        <w:rPr>
          <w:rFonts w:hint="eastAsia" w:ascii="宋体" w:hAnsi="宋体"/>
          <w:color w:val="000000"/>
          <w:sz w:val="24"/>
          <w:highlight w:val="none"/>
        </w:rPr>
        <w:t xml:space="preserve">全称（加盖CA电子公章）：</w:t>
      </w:r>
      <w:r>
        <w:rPr>
          <w:rFonts w:ascii="宋体" w:hAnsi="宋体"/>
          <w:color w:val="000000"/>
          <w:sz w:val="24"/>
          <w:highlight w:val="none"/>
        </w:rPr>
      </w:r>
      <w:r/>
    </w:p>
    <w:p>
      <w:pPr>
        <w:pStyle w:val="1215"/>
        <w:ind w:right="1560" w:firstLine="480"/>
        <w:jc w:val="center"/>
        <w:spacing w:line="440" w:lineRule="exact"/>
        <w:tabs>
          <w:tab w:val="left" w:pos="4860" w:leader="none"/>
        </w:tabs>
        <w:rPr>
          <w:rFonts w:ascii="宋体" w:hAnsi="宋体"/>
          <w:color w:val="000000"/>
          <w:sz w:val="24"/>
          <w:highlight w:val="none"/>
        </w:rPr>
      </w:pPr>
      <w:r>
        <w:rPr>
          <w:rFonts w:hint="eastAsia" w:ascii="宋体" w:hAnsi="宋体"/>
          <w:color w:val="000000"/>
          <w:sz w:val="24"/>
          <w:highlight w:val="none"/>
        </w:rPr>
        <w:t xml:space="preserve">        日  期：</w:t>
      </w:r>
      <w:r>
        <w:rPr>
          <w:rFonts w:ascii="宋体" w:hAnsi="宋体"/>
          <w:color w:val="000000"/>
          <w:sz w:val="24"/>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十一、关于符合本国产品标准的声明函</w:t>
      </w: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r>
      <w:r/>
    </w:p>
    <w:p>
      <w:pPr>
        <w:pStyle w:val="1215"/>
        <w:ind w:firstLine="420"/>
        <w:spacing w:line="360" w:lineRule="auto"/>
        <w:rPr>
          <w:rFonts w:hint="eastAsia" w:hAnsi="宋体" w:cs="方正魏碑_GBK"/>
          <w:b w:val="0"/>
          <w:position w:val="0"/>
          <w:sz w:val="21"/>
          <w:szCs w:val="21"/>
        </w:rPr>
      </w:pPr>
      <w:r>
        <w:rPr>
          <w:rFonts w:hint="eastAsia" w:hAnsi="宋体" w:cs="方正魏碑_GBK"/>
          <w:b w:val="0"/>
          <w:position w:val="0"/>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2" behindDoc="0" locked="0" layoutInCell="1" allowOverlap="1">
                <wp:simplePos x="0" y="0"/>
                <wp:positionH relativeFrom="column">
                  <wp:posOffset>2524760</wp:posOffset>
                </wp:positionH>
                <wp:positionV relativeFrom="paragraph">
                  <wp:posOffset>406400</wp:posOffset>
                </wp:positionV>
                <wp:extent cx="816610" cy="76200"/>
                <wp:effectExtent l="0" t="0" r="0" b="0"/>
                <wp:wrapNone/>
                <wp:docPr id="15" name=""/>
                <wp:cNvGraphicFramePr/>
                <a:graphic xmlns:a="http://schemas.openxmlformats.org/drawingml/2006/main">
                  <a:graphicData uri="http://schemas.microsoft.com/office/word/2010/wordprocessingShape">
                    <wps:wsp>
                      <wps:cNvPr id="0" name=""/>
                      <wps:cNvSpPr/>
                      <wps:spPr bwMode="auto">
                        <a:xfrm flipV="1">
                          <a:off x="0" y="0"/>
                          <a:ext cx="816610" cy="7620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4" o:spid="_x0000_s14" style="position:absolute;z-index:251658242;o:allowoverlap:true;o:allowincell:true;mso-position-horizontal-relative:text;margin-left:198.8pt;mso-position-horizontal:absolute;mso-position-vertical-relative:text;margin-top:32.0pt;mso-position-vertical:absolute;width:64.3pt;height:6.0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3" behindDoc="0" locked="0" layoutInCell="1" allowOverlap="1">
                <wp:simplePos x="0" y="0"/>
                <wp:positionH relativeFrom="column">
                  <wp:posOffset>3587115</wp:posOffset>
                </wp:positionH>
                <wp:positionV relativeFrom="paragraph">
                  <wp:posOffset>456565</wp:posOffset>
                </wp:positionV>
                <wp:extent cx="816610" cy="103505"/>
                <wp:effectExtent l="0" t="0" r="0" b="0"/>
                <wp:wrapNone/>
                <wp:docPr id="16" name=""/>
                <wp:cNvGraphicFramePr/>
                <a:graphic xmlns:a="http://schemas.openxmlformats.org/drawingml/2006/main">
                  <a:graphicData uri="http://schemas.microsoft.com/office/word/2010/wordprocessingShape">
                    <wps:wsp>
                      <wps:cNvPr id="0" name=""/>
                      <wps:cNvSpPr/>
                      <wps:spPr bwMode="auto">
                        <a:xfrm flipV="1">
                          <a:off x="0" y="0"/>
                          <a:ext cx="816610" cy="10350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5" o:spid="_x0000_s15" style="position:absolute;z-index:251658243;o:allowoverlap:true;o:allowincell:true;mso-position-horizontal-relative:text;margin-left:282.4pt;mso-position-horizontal:absolute;mso-position-vertical-relative:text;margin-top:35.9pt;mso-position-vertical:absolute;width:64.3pt;height:8.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4" behindDoc="0" locked="0" layoutInCell="1" allowOverlap="1">
                <wp:simplePos x="0" y="0"/>
                <wp:positionH relativeFrom="column">
                  <wp:posOffset>1564005</wp:posOffset>
                </wp:positionH>
                <wp:positionV relativeFrom="paragraph">
                  <wp:posOffset>398145</wp:posOffset>
                </wp:positionV>
                <wp:extent cx="876300" cy="120015"/>
                <wp:effectExtent l="0" t="0" r="0" b="0"/>
                <wp:wrapNone/>
                <wp:docPr id="17" name=""/>
                <wp:cNvGraphicFramePr/>
                <a:graphic xmlns:a="http://schemas.openxmlformats.org/drawingml/2006/main">
                  <a:graphicData uri="http://schemas.microsoft.com/office/word/2010/wordprocessingShape">
                    <wps:wsp>
                      <wps:cNvPr id="0" name=""/>
                      <wps:cNvSpPr/>
                      <wps:spPr bwMode="auto">
                        <a:xfrm flipV="1">
                          <a:off x="0" y="0"/>
                          <a:ext cx="876299" cy="12001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6" o:spid="_x0000_s16" style="position:absolute;z-index:251658244;o:allowoverlap:true;o:allowincell:true;mso-position-horizontal-relative:text;margin-left:123.1pt;mso-position-horizontal:absolute;mso-position-vertical-relative:text;margin-top:31.3pt;mso-position-vertical:absolute;width:69.0pt;height:9.4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column">
                  <wp:posOffset>4233545</wp:posOffset>
                </wp:positionH>
                <wp:positionV relativeFrom="paragraph">
                  <wp:posOffset>96520</wp:posOffset>
                </wp:positionV>
                <wp:extent cx="577215" cy="92075"/>
                <wp:effectExtent l="0" t="0" r="0" b="0"/>
                <wp:wrapNone/>
                <wp:docPr id="18" name=""/>
                <wp:cNvGraphicFramePr/>
                <a:graphic xmlns:a="http://schemas.openxmlformats.org/drawingml/2006/main">
                  <a:graphicData uri="http://schemas.microsoft.com/office/word/2010/wordprocessingShape">
                    <wps:wsp>
                      <wps:cNvPr id="0" name=""/>
                      <wps:cNvSpPr/>
                      <wps:spPr bwMode="auto">
                        <a:xfrm flipV="1">
                          <a:off x="0" y="0"/>
                          <a:ext cx="577215" cy="9207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7" o:spid="_x0000_s17" style="position:absolute;z-index:251658249;o:allowoverlap:true;o:allowincell:true;mso-position-horizontal-relative:text;margin-left:333.3pt;mso-position-horizontal:absolute;mso-position-vertical-relative:text;margin-top:7.6pt;mso-position-vertical:absolute;width:45.4pt;height:7.2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3" behindDoc="0" locked="0" layoutInCell="1" allowOverlap="1">
                <wp:simplePos x="0" y="0"/>
                <wp:positionH relativeFrom="column">
                  <wp:posOffset>-8889</wp:posOffset>
                </wp:positionH>
                <wp:positionV relativeFrom="paragraph">
                  <wp:posOffset>511175</wp:posOffset>
                </wp:positionV>
                <wp:extent cx="565785" cy="130810"/>
                <wp:effectExtent l="0" t="0" r="0" b="0"/>
                <wp:wrapNone/>
                <wp:docPr id="19" name=""/>
                <wp:cNvGraphicFramePr/>
                <a:graphic xmlns:a="http://schemas.openxmlformats.org/drawingml/2006/main">
                  <a:graphicData uri="http://schemas.microsoft.com/office/word/2010/wordprocessingShape">
                    <wps:wsp>
                      <wps:cNvPr id="0" name=""/>
                      <wps:cNvSpPr/>
                      <wps:spPr bwMode="auto">
                        <a:xfrm flipV="1">
                          <a:off x="0" y="0"/>
                          <a:ext cx="565785" cy="13081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18" o:spid="_x0000_s18" style="position:absolute;z-index:251658253;o:allowoverlap:true;o:allowincell:true;mso-position-horizontal-relative:text;margin-left:-0.7pt;mso-position-horizontal:absolute;mso-position-vertical-relative:text;margin-top:40.2pt;mso-position-vertical:absolute;width:44.5pt;height:10.3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2" behindDoc="0" locked="0" layoutInCell="1" allowOverlap="1">
                <wp:simplePos x="0" y="0"/>
                <wp:positionH relativeFrom="column">
                  <wp:posOffset>4976495</wp:posOffset>
                </wp:positionH>
                <wp:positionV relativeFrom="paragraph">
                  <wp:posOffset>309880</wp:posOffset>
                </wp:positionV>
                <wp:extent cx="196215" cy="97790"/>
                <wp:effectExtent l="0" t="0" r="0" b="0"/>
                <wp:wrapNone/>
                <wp:docPr id="20" name=""/>
                <wp:cNvGraphicFramePr/>
                <a:graphic xmlns:a="http://schemas.openxmlformats.org/drawingml/2006/main">
                  <a:graphicData uri="http://schemas.microsoft.com/office/word/2010/wordprocessingShape">
                    <wps:wsp>
                      <wps:cNvPr id="0" name=""/>
                      <wps:cNvSpPr/>
                      <wps:spPr bwMode="auto">
                        <a:xfrm flipV="1">
                          <a:off x="0" y="0"/>
                          <a:ext cx="19621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miter/>
                        </a:ln>
                      </wps:spPr>
                      <wps:bodyPr rot="0">
                        <a:prstTxWarp prst="textNoShape">
                          <a:avLst/>
                        </a:prstTxWarp>
                        <a:noAutofit/>
                      </wps:bodyPr>
                    </wps:wsp>
                  </a:graphicData>
                </a:graphic>
              </wp:anchor>
            </w:drawing>
          </mc:Choice>
          <mc:Fallback>
            <w:pict>
              <v:shape id="shape 19" o:spid="_x0000_s19" style="position:absolute;z-index:251658252;o:allowoverlap:true;o:allowincell:true;mso-position-horizontal-relative:text;margin-left:391.8pt;mso-position-horizontal:absolute;mso-position-vertical-relative:text;margin-top:24.4pt;mso-position-vertical:absolute;width:15.4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column">
                  <wp:posOffset>29210</wp:posOffset>
                </wp:positionH>
                <wp:positionV relativeFrom="paragraph">
                  <wp:posOffset>309880</wp:posOffset>
                </wp:positionV>
                <wp:extent cx="364490" cy="97790"/>
                <wp:effectExtent l="0" t="0" r="0" b="0"/>
                <wp:wrapNone/>
                <wp:docPr id="21" name=""/>
                <wp:cNvGraphicFramePr/>
                <a:graphic xmlns:a="http://schemas.openxmlformats.org/drawingml/2006/main">
                  <a:graphicData uri="http://schemas.microsoft.com/office/word/2010/wordprocessingShape">
                    <wps:wsp>
                      <wps:cNvPr id="0" name=""/>
                      <wps:cNvSpPr/>
                      <wps:spPr bwMode="auto">
                        <a:xfrm flipV="1">
                          <a:off x="0" y="0"/>
                          <a:ext cx="364490"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0" o:spid="_x0000_s20" style="position:absolute;z-index:251658250;o:allowoverlap:true;o:allowincell:true;mso-position-horizontal-relative:text;margin-left:2.3pt;mso-position-horizontal:absolute;mso-position-vertical-relative:text;margin-top:24.4pt;mso-position-vertical:absolute;width:28.7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shd w:val="clear" w:color="auto" w:fill="ffffff"/>
        </w:rPr>
        <w:t xml:space="preserve">1.</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vertAlign w:val="superscript"/>
        </w:rPr>
        <w:t xml:space="preserve">1</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vertAlign w:val="superscript"/>
        </w:rPr>
        <w:t xml:space="preserve">2</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 （产品名称1） </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3</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vertAlign w:val="superscript"/>
        </w:rPr>
        <w:t xml:space="preserve">4</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vertAlign w:val="superscript"/>
        </w:rPr>
        <w:t xml:space="preserve">5</w:t>
      </w:r>
      <w:r>
        <w:rPr>
          <w:rFonts w:hint="eastAsia" w:hAnsi="宋体" w:cs="方正魏碑_GBK"/>
          <w:b w:val="0"/>
          <w:position w:val="0"/>
          <w:sz w:val="21"/>
          <w:szCs w:val="21"/>
          <w:shd w:val="clear" w:color="auto" w:fill="ffffff"/>
        </w:rPr>
        <w:t xml:space="preserve">在中国境内完成。</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column">
                  <wp:posOffset>3528695</wp:posOffset>
                </wp:positionH>
                <wp:positionV relativeFrom="paragraph">
                  <wp:posOffset>420370</wp:posOffset>
                </wp:positionV>
                <wp:extent cx="793750" cy="123825"/>
                <wp:effectExtent l="0" t="0" r="0" b="0"/>
                <wp:wrapNone/>
                <wp:docPr id="22" name=""/>
                <wp:cNvGraphicFramePr/>
                <a:graphic xmlns:a="http://schemas.openxmlformats.org/drawingml/2006/main">
                  <a:graphicData uri="http://schemas.microsoft.com/office/word/2010/wordprocessingShape">
                    <wps:wsp>
                      <wps:cNvPr id="0" name=""/>
                      <wps:cNvSpPr/>
                      <wps:spPr bwMode="auto">
                        <a:xfrm flipV="1">
                          <a:off x="0" y="0"/>
                          <a:ext cx="793750" cy="12382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1" o:spid="_x0000_s21" style="position:absolute;z-index:251658246;o:allowoverlap:true;o:allowincell:true;mso-position-horizontal-relative:text;margin-left:277.8pt;mso-position-horizontal:absolute;mso-position-vertical-relative:text;margin-top:33.1pt;mso-position-vertical:absolute;width:62.5pt;height:9.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column">
                  <wp:posOffset>2154555</wp:posOffset>
                </wp:positionH>
                <wp:positionV relativeFrom="paragraph">
                  <wp:posOffset>405130</wp:posOffset>
                </wp:positionV>
                <wp:extent cx="843915" cy="125730"/>
                <wp:effectExtent l="0" t="0" r="0" b="0"/>
                <wp:wrapNone/>
                <wp:docPr id="23" name=""/>
                <wp:cNvGraphicFramePr/>
                <a:graphic xmlns:a="http://schemas.openxmlformats.org/drawingml/2006/main">
                  <a:graphicData uri="http://schemas.microsoft.com/office/word/2010/wordprocessingShape">
                    <wps:wsp>
                      <wps:cNvPr id="0" name=""/>
                      <wps:cNvSpPr/>
                      <wps:spPr bwMode="auto">
                        <a:xfrm flipV="1">
                          <a:off x="0" y="0"/>
                          <a:ext cx="843915" cy="12573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2" o:spid="_x0000_s22" style="position:absolute;z-index:251658245;o:allowoverlap:true;o:allowincell:true;mso-position-horizontal-relative:text;margin-left:169.7pt;mso-position-horizontal:absolute;mso-position-vertical-relative:text;margin-top:31.9pt;mso-position-vertical:absolute;width:66.5pt;height:9.9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column">
                  <wp:posOffset>1191260</wp:posOffset>
                </wp:positionH>
                <wp:positionV relativeFrom="paragraph">
                  <wp:posOffset>407035</wp:posOffset>
                </wp:positionV>
                <wp:extent cx="908685" cy="140970"/>
                <wp:effectExtent l="0" t="0" r="0" b="0"/>
                <wp:wrapNone/>
                <wp:docPr id="24" name=""/>
                <wp:cNvGraphicFramePr/>
                <a:graphic xmlns:a="http://schemas.openxmlformats.org/drawingml/2006/main">
                  <a:graphicData uri="http://schemas.microsoft.com/office/word/2010/wordprocessingShape">
                    <wps:wsp>
                      <wps:cNvPr id="0" name=""/>
                      <wps:cNvSpPr/>
                      <wps:spPr bwMode="auto">
                        <a:xfrm flipV="1">
                          <a:off x="0" y="0"/>
                          <a:ext cx="908685" cy="1409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3" o:spid="_x0000_s23" style="position:absolute;z-index:251658247;o:allowoverlap:true;o:allowincell:true;mso-position-horizontal-relative:text;margin-left:93.8pt;mso-position-horizontal:absolute;mso-position-vertical-relative:text;margin-top:32.0pt;mso-position-vertical:absolute;width:71.5pt;height:11.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column">
                  <wp:posOffset>2742565</wp:posOffset>
                </wp:positionH>
                <wp:positionV relativeFrom="paragraph">
                  <wp:posOffset>407035</wp:posOffset>
                </wp:positionV>
                <wp:extent cx="821690" cy="102870"/>
                <wp:effectExtent l="0" t="0" r="0" b="0"/>
                <wp:wrapNone/>
                <wp:docPr id="25" name=""/>
                <wp:cNvGraphicFramePr/>
                <a:graphic xmlns:a="http://schemas.openxmlformats.org/drawingml/2006/main">
                  <a:graphicData uri="http://schemas.microsoft.com/office/word/2010/wordprocessingShape">
                    <wps:wsp>
                      <wps:cNvPr id="0" name=""/>
                      <wps:cNvSpPr/>
                      <wps:spPr bwMode="auto">
                        <a:xfrm flipV="1">
                          <a:off x="0" y="0"/>
                          <a:ext cx="821689" cy="10287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4" o:spid="_x0000_s24" style="position:absolute;z-index:251658248;o:allowoverlap:true;o:allowincell:true;mso-position-horizontal-relative:text;margin-left:215.9pt;mso-position-horizontal:absolute;mso-position-vertical-relative:text;margin-top:32.0pt;mso-position-vertical:absolute;width:64.7pt;height:8.1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column">
                  <wp:posOffset>347345</wp:posOffset>
                </wp:positionH>
                <wp:positionV relativeFrom="paragraph">
                  <wp:posOffset>673100</wp:posOffset>
                </wp:positionV>
                <wp:extent cx="816610" cy="147320"/>
                <wp:effectExtent l="0" t="0" r="0" b="0"/>
                <wp:wrapNone/>
                <wp:docPr id="26" name=""/>
                <wp:cNvGraphicFramePr/>
                <a:graphic xmlns:a="http://schemas.openxmlformats.org/drawingml/2006/main">
                  <a:graphicData uri="http://schemas.microsoft.com/office/word/2010/wordprocessingShape">
                    <wps:wsp>
                      <wps:cNvPr id="0" name=""/>
                      <wps:cNvSpPr/>
                      <wps:spPr bwMode="auto">
                        <a:xfrm flipV="1">
                          <a:off x="0" y="0"/>
                          <a:ext cx="81661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5" o:spid="_x0000_s25" style="position:absolute;z-index:251658251;o:allowoverlap:true;o:allowincell:true;mso-position-horizontal-relative:text;margin-left:27.3pt;mso-position-horizontal:absolute;mso-position-vertical-relative:text;margin-top:53.0pt;mso-position-vertical:absolute;width:64.3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6" behindDoc="0" locked="0" layoutInCell="1" allowOverlap="1">
                <wp:simplePos x="0" y="0"/>
                <wp:positionH relativeFrom="column">
                  <wp:posOffset>4780915</wp:posOffset>
                </wp:positionH>
                <wp:positionV relativeFrom="paragraph">
                  <wp:posOffset>271780</wp:posOffset>
                </wp:positionV>
                <wp:extent cx="462280" cy="147320"/>
                <wp:effectExtent l="0" t="0" r="0" b="0"/>
                <wp:wrapNone/>
                <wp:docPr id="27" name=""/>
                <wp:cNvGraphicFramePr/>
                <a:graphic xmlns:a="http://schemas.openxmlformats.org/drawingml/2006/main">
                  <a:graphicData uri="http://schemas.microsoft.com/office/word/2010/wordprocessingShape">
                    <wps:wsp>
                      <wps:cNvPr id="0" name=""/>
                      <wps:cNvSpPr/>
                      <wps:spPr bwMode="auto">
                        <a:xfrm flipV="1">
                          <a:off x="0" y="0"/>
                          <a:ext cx="462280" cy="14732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6" o:spid="_x0000_s26" style="position:absolute;z-index:251658256;o:allowoverlap:true;o:allowincell:true;mso-position-horizontal-relative:text;margin-left:376.4pt;mso-position-horizontal:absolute;mso-position-vertical-relative:text;margin-top:21.4pt;mso-position-vertical:absolute;width:36.4pt;height:11.6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7" behindDoc="0" locked="0" layoutInCell="1" allowOverlap="1">
                <wp:simplePos x="0" y="0"/>
                <wp:positionH relativeFrom="column">
                  <wp:posOffset>12700</wp:posOffset>
                </wp:positionH>
                <wp:positionV relativeFrom="paragraph">
                  <wp:posOffset>511810</wp:posOffset>
                </wp:positionV>
                <wp:extent cx="424815" cy="112395"/>
                <wp:effectExtent l="0" t="0" r="0" b="0"/>
                <wp:wrapNone/>
                <wp:docPr id="28" name=""/>
                <wp:cNvGraphicFramePr/>
                <a:graphic xmlns:a="http://schemas.openxmlformats.org/drawingml/2006/main">
                  <a:graphicData uri="http://schemas.microsoft.com/office/word/2010/wordprocessingShape">
                    <wps:wsp>
                      <wps:cNvPr id="0" name=""/>
                      <wps:cNvSpPr/>
                      <wps:spPr bwMode="auto">
                        <a:xfrm flipV="1">
                          <a:off x="0" y="0"/>
                          <a:ext cx="424815" cy="1123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7" o:spid="_x0000_s27" style="position:absolute;z-index:251658257;o:allowoverlap:true;o:allowincell:true;mso-position-horizontal-relative:text;margin-left:1.0pt;mso-position-horizontal:absolute;mso-position-vertical-relative:text;margin-top:40.3pt;mso-position-vertical:absolute;width:33.4pt;height:8.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5" behindDoc="0" locked="0" layoutInCell="1" allowOverlap="1">
                <wp:simplePos x="0" y="0"/>
                <wp:positionH relativeFrom="column">
                  <wp:posOffset>-25399</wp:posOffset>
                </wp:positionH>
                <wp:positionV relativeFrom="paragraph">
                  <wp:posOffset>288290</wp:posOffset>
                </wp:positionV>
                <wp:extent cx="234315" cy="86995"/>
                <wp:effectExtent l="0" t="0" r="0" b="0"/>
                <wp:wrapNone/>
                <wp:docPr id="29" name=""/>
                <wp:cNvGraphicFramePr/>
                <a:graphic xmlns:a="http://schemas.openxmlformats.org/drawingml/2006/main">
                  <a:graphicData uri="http://schemas.microsoft.com/office/word/2010/wordprocessingShape">
                    <wps:wsp>
                      <wps:cNvPr id="0" name=""/>
                      <wps:cNvSpPr/>
                      <wps:spPr bwMode="auto">
                        <a:xfrm flipV="1">
                          <a:off x="0" y="0"/>
                          <a:ext cx="234315" cy="86995"/>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8" o:spid="_x0000_s28" style="position:absolute;z-index:251658255;o:allowoverlap:true;o:allowincell:true;mso-position-horizontal-relative:text;margin-left:-2.0pt;mso-position-horizontal:absolute;mso-position-vertical-relative:text;margin-top:22.7pt;mso-position-vertical:absolute;width:18.4pt;height:6.8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58254" behindDoc="0" locked="0" layoutInCell="1" allowOverlap="1">
                <wp:simplePos x="0" y="0"/>
                <wp:positionH relativeFrom="column">
                  <wp:posOffset>4476115</wp:posOffset>
                </wp:positionH>
                <wp:positionV relativeFrom="paragraph">
                  <wp:posOffset>59690</wp:posOffset>
                </wp:positionV>
                <wp:extent cx="718185" cy="97790"/>
                <wp:effectExtent l="0" t="0" r="0" b="0"/>
                <wp:wrapNone/>
                <wp:docPr id="30" name=""/>
                <wp:cNvGraphicFramePr/>
                <a:graphic xmlns:a="http://schemas.openxmlformats.org/drawingml/2006/main">
                  <a:graphicData uri="http://schemas.microsoft.com/office/word/2010/wordprocessingShape">
                    <wps:wsp>
                      <wps:cNvPr id="0" name=""/>
                      <wps:cNvSpPr/>
                      <wps:spPr bwMode="auto">
                        <a:xfrm flipV="1">
                          <a:off x="0" y="0"/>
                          <a:ext cx="718185" cy="97790"/>
                        </a:xfrm>
                        <a:custGeom>
                          <a:avLst/>
                          <a:gdLst>
                            <a:gd name="gd0" fmla="val 65536"/>
                            <a:gd name="gd1" fmla="val 0"/>
                            <a:gd name="gd2" fmla="val 0"/>
                            <a:gd name="gd3" fmla="val 0"/>
                            <a:gd name="gd4" fmla="val 21600"/>
                            <a:gd name="gd5" fmla="+- gd3 21600 0"/>
                            <a:gd name="gd6" fmla="+- gd4 0 0"/>
                            <a:gd name="gd7" fmla="val 21600"/>
                            <a:gd name="gd8" fmla="val 0"/>
                            <a:gd name="gd9" fmla="*/ w 0 21600"/>
                            <a:gd name="gd10" fmla="*/ h 0 21600"/>
                            <a:gd name="gd11" fmla="*/ w 21600 21600"/>
                            <a:gd name="gd12" fmla="*/ h 21600 21600"/>
                          </a:gdLst>
                          <a:ahLst/>
                          <a:cxnLst/>
                          <a:rect l="gd9" t="gd10" r="gd11" b="gd12"/>
                          <a:pathLst>
                            <a:path w="21600" h="21600" fill="norm" stroke="1" extrusionOk="0">
                              <a:moveTo>
                                <a:pt x="gd1" y="gd2"/>
                              </a:moveTo>
                              <a:lnTo>
                                <a:pt x="gd3" y="gd4"/>
                              </a:lnTo>
                              <a:lnTo>
                                <a:pt x="gd5" y="gd6"/>
                              </a:lnTo>
                              <a:lnTo>
                                <a:pt x="gd7" y="gd8"/>
                              </a:lnTo>
                              <a:close/>
                            </a:path>
                            <a:path w="21600" h="21600" fill="norm" stroke="1" extrusionOk="0"/>
                          </a:pathLst>
                        </a:custGeom>
                        <a:noFill/>
                        <a:ln>
                          <a:solidFill>
                            <a:srgbClr val="000000"/>
                          </a:solidFill>
                        </a:ln>
                      </wps:spPr>
                      <wps:bodyPr rot="0">
                        <a:prstTxWarp prst="textNoShape">
                          <a:avLst/>
                        </a:prstTxWarp>
                        <a:noAutofit/>
                      </wps:bodyPr>
                    </wps:wsp>
                  </a:graphicData>
                </a:graphic>
              </wp:anchor>
            </w:drawing>
          </mc:Choice>
          <mc:Fallback>
            <w:pict>
              <v:shape id="shape 29" o:spid="_x0000_s29" style="position:absolute;z-index:251658254;o:allowoverlap:true;o:allowincell:true;mso-position-horizontal-relative:text;margin-left:352.4pt;mso-position-horizontal:absolute;mso-position-vertical-relative:text;margin-top:4.7pt;mso-position-vertical:absolute;width:56.5pt;height:7.7pt;mso-wrap-distance-left:9.0pt;mso-wrap-distance-top:0.0pt;mso-wrap-distance-right:9.0pt;mso-wrap-distance-bottom:0.0pt;flip:y;visibility:visible;" path="m0,0l0,100000l100000,100000l100000,0xee" coordsize="100000,100000" filled="f" strokecolor="#000000">
                <v:path textboxrect="0,0,100000,100000"/>
              </v:shape>
            </w:pict>
          </mc:Fallback>
        </mc:AlternateContent>
      </w:r>
      <w:r>
        <w:rPr>
          <w:rFonts w:hint="eastAsia" w:hAnsi="宋体" w:cs="方正魏碑_GBK"/>
          <w:b w:val="0"/>
          <w:position w:val="0"/>
          <w:sz w:val="21"/>
          <w:szCs w:val="21"/>
          <w:shd w:val="clear" w:color="auto" w:fill="ffffff"/>
        </w:rPr>
        <w:t xml:space="preserve">2.</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，生产厂为</w:t>
      </w:r>
      <w:r>
        <w:rPr>
          <w:rFonts w:hint="eastAsia" w:hAnsi="宋体" w:cs="方正魏碑_GBK"/>
          <w:b w:val="0"/>
          <w:position w:val="0"/>
          <w:sz w:val="21"/>
          <w:szCs w:val="21"/>
          <w:u w:val="single"/>
          <w:shd w:val="clear" w:color="auto" w:fill="ffffff"/>
        </w:rPr>
        <w:t xml:space="preserve">（厂名）</w:t>
      </w:r>
      <w:r>
        <w:rPr>
          <w:rFonts w:hint="eastAsia" w:hAnsi="宋体" w:cs="方正魏碑_GBK"/>
          <w:b w:val="0"/>
          <w:position w:val="0"/>
          <w:sz w:val="21"/>
          <w:szCs w:val="21"/>
          <w:shd w:val="clear" w:color="auto" w:fill="ffffff"/>
        </w:rPr>
        <w:t xml:space="preserve">，厂址为</w:t>
      </w:r>
      <w:r>
        <w:rPr>
          <w:rFonts w:hint="eastAsia" w:hAnsi="宋体" w:cs="方正魏碑_GBK"/>
          <w:b w:val="0"/>
          <w:position w:val="0"/>
          <w:sz w:val="21"/>
          <w:szCs w:val="21"/>
          <w:u w:val="single"/>
          <w:shd w:val="clear" w:color="auto" w:fill="ffffff"/>
        </w:rPr>
        <w:t xml:space="preserve">（生产厂址）</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的中国境内生产的组件成本占比≥</w:t>
      </w:r>
      <w:r>
        <w:rPr>
          <w:rFonts w:hint="eastAsia" w:hAnsi="宋体" w:cs="方正魏碑_GBK"/>
          <w:b w:val="0"/>
          <w:position w:val="0"/>
          <w:sz w:val="21"/>
          <w:szCs w:val="21"/>
          <w:u w:val="single"/>
          <w:shd w:val="clear" w:color="auto" w:fill="ffffff"/>
        </w:rPr>
        <w:t xml:space="preserve">（规定</w:t>
      </w:r>
      <w:r>
        <w:rPr>
          <w:rFonts w:hAnsi="宋体" w:cs="方正魏碑_GBK"/>
          <w:b w:val="0"/>
          <w:position w:val="0"/>
          <w:sz w:val="21"/>
          <w:szCs w:val="21"/>
          <w:u w:val="single"/>
          <w:shd w:val="clear" w:color="auto" w:fill="ffffff"/>
        </w:rPr>
        <w:t xml:space="preserve">比例</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u w:val="single"/>
          <w:shd w:val="clear" w:color="auto" w:fill="ffffff"/>
        </w:rPr>
        <w:t xml:space="preserve">（产品名称2）</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w:t>
      </w:r>
      <w:r>
        <w:rPr>
          <w:rFonts w:hAnsi="宋体" w:cs="方正魏碑_GBK"/>
          <w:b w:val="0"/>
          <w:position w:val="0"/>
          <w:sz w:val="21"/>
          <w:szCs w:val="21"/>
          <w:u w:val="single"/>
          <w:shd w:val="clear" w:color="auto" w:fill="ffffff"/>
        </w:rPr>
        <w:t xml:space="preserve">组件</w:t>
      </w:r>
      <w:r>
        <w:rPr>
          <w:rFonts w:hint="eastAsia" w:hAnsi="宋体" w:cs="方正魏碑_GBK"/>
          <w:b w:val="0"/>
          <w:position w:val="0"/>
          <w:sz w:val="21"/>
          <w:szCs w:val="21"/>
          <w:u w:val="single"/>
          <w:shd w:val="clear" w:color="auto" w:fill="ffffff"/>
        </w:rPr>
        <w:t xml:space="preserve">）</w:t>
      </w:r>
      <w:r>
        <w:rPr>
          <w:rFonts w:hint="eastAsia" w:hAnsi="宋体" w:cs="方正魏碑_GBK"/>
          <w:b w:val="0"/>
          <w:position w:val="0"/>
          <w:sz w:val="21"/>
          <w:szCs w:val="21"/>
          <w:shd w:val="clear" w:color="auto" w:fill="ffffff"/>
        </w:rPr>
        <w:t xml:space="preserve">在中国境内生产。</w:t>
      </w:r>
      <w:r>
        <w:rPr>
          <w:rFonts w:hint="eastAsia" w:hAnsi="宋体" w:cs="方正魏碑_GBK"/>
          <w:b w:val="0"/>
          <w:position w:val="0"/>
          <w:sz w:val="21"/>
          <w:szCs w:val="21"/>
          <w:u w:val="single"/>
          <w:shd w:val="clear" w:color="auto" w:fill="ffffff"/>
        </w:rPr>
        <w:t xml:space="preserve">（产品名称1）</w:t>
      </w:r>
      <w:r>
        <w:rPr>
          <w:rFonts w:hint="eastAsia" w:hAnsi="宋体" w:cs="方正魏碑_GBK"/>
          <w:b w:val="0"/>
          <w:position w:val="0"/>
          <w:sz w:val="21"/>
          <w:szCs w:val="21"/>
          <w:shd w:val="clear" w:color="auto" w:fill="ffffff"/>
        </w:rPr>
        <w:t xml:space="preserve">的</w:t>
      </w:r>
      <w:r>
        <w:rPr>
          <w:rFonts w:hint="eastAsia" w:hAnsi="宋体" w:cs="方正魏碑_GBK"/>
          <w:b w:val="0"/>
          <w:position w:val="0"/>
          <w:sz w:val="21"/>
          <w:szCs w:val="21"/>
          <w:u w:val="single"/>
          <w:shd w:val="clear" w:color="auto" w:fill="ffffff"/>
        </w:rPr>
        <w:t xml:space="preserve">（关键工序）</w:t>
      </w:r>
      <w:r>
        <w:rPr>
          <w:rFonts w:hint="eastAsia" w:hAnsi="宋体" w:cs="方正魏碑_GBK"/>
          <w:b w:val="0"/>
          <w:position w:val="0"/>
          <w:sz w:val="21"/>
          <w:szCs w:val="21"/>
          <w:shd w:val="clear" w:color="auto" w:fill="ffffff"/>
        </w:rPr>
        <w:t xml:space="preserve">在中国境内完成。</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w:t>
      </w:r>
      <w:r>
        <w:rPr>
          <w:rFonts w:hint="eastAsia" w:hAnsi="宋体" w:cs="方正魏碑_GBK"/>
          <w:b w:val="0"/>
          <w:position w:val="0"/>
          <w:sz w:val="21"/>
          <w:szCs w:val="21"/>
        </w:rPr>
      </w:r>
      <w:r/>
    </w:p>
    <w:p>
      <w:pPr>
        <w:pStyle w:val="1215"/>
        <w:ind w:firstLine="420"/>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本公司（单位）对上述声明内容的真实性负责。如有虚假，愿承担相应法律责任。</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rPr>
      </w:r>
      <w:r/>
    </w:p>
    <w:p>
      <w:pPr>
        <w:pStyle w:val="1215"/>
        <w:ind w:right="1560" w:firstLine="444"/>
        <w:jc w:val="center"/>
        <w:spacing w:line="360" w:lineRule="auto"/>
        <w:tabs>
          <w:tab w:val="left" w:pos="4860" w:leader="none"/>
        </w:tabs>
        <w:rPr>
          <w:rFonts w:hint="eastAsia" w:hAnsi="宋体"/>
          <w:b w:val="0"/>
          <w:position w:val="0"/>
          <w:sz w:val="21"/>
          <w:szCs w:val="21"/>
        </w:rPr>
      </w:pPr>
      <w:r>
        <w:rPr>
          <w:rFonts w:hint="eastAsia" w:hAnsi="宋体"/>
          <w:b w:val="0"/>
          <w:spacing w:val="6"/>
          <w:position w:val="0"/>
          <w:sz w:val="21"/>
          <w:szCs w:val="21"/>
        </w:rPr>
        <w:t xml:space="preserve">           </w:t>
      </w:r>
      <w:r>
        <w:rPr>
          <w:rFonts w:hint="eastAsia" w:hAnsi="宋体"/>
          <w:b w:val="0"/>
          <w:position w:val="0"/>
          <w:sz w:val="21"/>
          <w:szCs w:val="21"/>
        </w:rPr>
        <w:t xml:space="preserve">               投标人名称（盖章）：</w:t>
      </w:r>
      <w:r>
        <w:rPr>
          <w:rFonts w:hint="eastAsia" w:hAnsi="宋体"/>
          <w:b w:val="0"/>
          <w:position w:val="0"/>
          <w:sz w:val="21"/>
          <w:szCs w:val="21"/>
        </w:rPr>
      </w:r>
      <w:r/>
    </w:p>
    <w:p>
      <w:pPr>
        <w:pStyle w:val="1215"/>
        <w:ind w:right="1560" w:firstLine="420"/>
        <w:jc w:val="center"/>
        <w:spacing w:line="360" w:lineRule="auto"/>
        <w:tabs>
          <w:tab w:val="left" w:pos="4860" w:leader="none"/>
        </w:tabs>
        <w:rPr>
          <w:rFonts w:hint="eastAsia" w:hAnsi="宋体"/>
          <w:b w:val="0"/>
          <w:position w:val="0"/>
          <w:sz w:val="21"/>
          <w:szCs w:val="21"/>
        </w:rPr>
      </w:pPr>
      <w:r>
        <w:rPr>
          <w:rFonts w:hint="eastAsia" w:hAnsi="宋体"/>
          <w:b w:val="0"/>
          <w:position w:val="0"/>
          <w:sz w:val="21"/>
          <w:szCs w:val="21"/>
        </w:rPr>
        <w:t xml:space="preserve">                              日  期：</w:t>
      </w:r>
      <w:r>
        <w:rPr>
          <w:rFonts w:hint="eastAsia" w:hAnsi="宋体"/>
          <w:b w:val="0"/>
          <w:position w:val="0"/>
          <w:sz w:val="21"/>
          <w:szCs w:val="21"/>
        </w:rPr>
      </w:r>
      <w:r/>
    </w:p>
    <w:p>
      <w:pPr>
        <w:pStyle w:val="1215"/>
        <w:jc w:val="center"/>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   </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__________________</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1.产品如有型号，请在“产品名称”栏一并填写。</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2.生产厂名与厂址应与生产厂营业执照载明的相关信息保持一致。</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3.该产品的中国境内生产的组件成本占比相关要求实施前，“规定比例”栏可不填，下同。</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rPr>
      </w:pPr>
      <w:r>
        <w:rPr>
          <w:rFonts w:hint="eastAsia" w:hAnsi="宋体" w:cs="方正魏碑_GBK"/>
          <w:b w:val="0"/>
          <w:position w:val="0"/>
          <w:sz w:val="21"/>
          <w:szCs w:val="21"/>
          <w:shd w:val="clear" w:color="auto" w:fill="ffffff"/>
        </w:rPr>
        <w:t xml:space="preserve">4.该产品的关键组件要求实施前，“关键组件”栏可不填，下同。</w:t>
      </w:r>
      <w:r>
        <w:rPr>
          <w:rFonts w:hint="eastAsia" w:hAnsi="宋体" w:cs="方正魏碑_GBK"/>
          <w:b w:val="0"/>
          <w:position w:val="0"/>
          <w:sz w:val="21"/>
          <w:szCs w:val="21"/>
        </w:rPr>
      </w:r>
      <w:r/>
    </w:p>
    <w:p>
      <w:pPr>
        <w:pStyle w:val="1215"/>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5.该产品的关键工序要求实施前，“关键工序”栏可不填，下同。</w:t>
      </w:r>
      <w:r>
        <w:rPr>
          <w:rFonts w:hint="eastAsia" w:hAnsi="宋体" w:cs="方正魏碑_GBK"/>
          <w:b w:val="0"/>
          <w:position w:val="0"/>
          <w:sz w:val="21"/>
          <w:szCs w:val="21"/>
          <w:shd w:val="clear" w:color="auto" w:fill="ffffff"/>
        </w:rPr>
      </w:r>
      <w:r/>
    </w:p>
    <w:p>
      <w:pPr>
        <w:pStyle w:val="1215"/>
        <w:spacing w:before="30" w:after="30" w:line="360" w:lineRule="auto"/>
        <w:rPr>
          <w:rFonts w:hint="eastAsia" w:hAnsi="宋体" w:cs="方正魏碑_GBK"/>
          <w:b w:val="0"/>
          <w:position w:val="0"/>
          <w:sz w:val="21"/>
          <w:szCs w:val="21"/>
          <w:shd w:val="clear" w:color="auto" w:fill="ffffff"/>
        </w:rPr>
      </w:pPr>
      <w:r>
        <w:rPr>
          <w:rFonts w:hint="eastAsia" w:hAnsi="宋体" w:cs="方正魏碑_GBK"/>
          <w:b w:val="0"/>
          <w:position w:val="0"/>
          <w:sz w:val="21"/>
          <w:szCs w:val="21"/>
          <w:shd w:val="clear" w:color="auto" w:fill="ffffff"/>
        </w:rPr>
        <w:t xml:space="preserve">6.用斜线划除的地方无需填写。</w:t>
      </w:r>
      <w:r>
        <w:rPr>
          <w:rFonts w:hint="eastAsia" w:hAnsi="宋体" w:cs="方正魏碑_GBK"/>
          <w:b w:val="0"/>
          <w:position w:val="0"/>
          <w:sz w:val="21"/>
          <w:szCs w:val="21"/>
          <w:shd w:val="clear" w:color="auto" w:fill="ffffff"/>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rPr>
          <w:rFonts w:hint="eastAsia" w:ascii="黑体" w:hAnsi="黑体" w:eastAsia="黑体"/>
          <w:b/>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jc w:val="center"/>
        <w:rPr>
          <w:rFonts w:hint="eastAsia" w:ascii="黑体" w:hAnsi="黑体" w:eastAsia="黑体"/>
          <w:b/>
          <w:bCs/>
          <w:color w:val="000000"/>
          <w:sz w:val="32"/>
          <w:szCs w:val="32"/>
          <w:highlight w:val="none"/>
        </w:rPr>
      </w:pPr>
      <w:r>
        <w:rPr>
          <w:rFonts w:hint="eastAsia" w:ascii="黑体" w:hAnsi="黑体" w:eastAsia="黑体"/>
          <w:b/>
          <w:bCs/>
          <w:color w:val="000000"/>
          <w:sz w:val="32"/>
          <w:szCs w:val="32"/>
          <w:highlight w:val="none"/>
        </w:rPr>
      </w:r>
      <w:r>
        <w:rPr>
          <w:rFonts w:hint="eastAsia" w:ascii="黑体" w:hAnsi="黑体" w:eastAsia="黑体"/>
          <w:b/>
          <w:bCs/>
          <w:color w:val="000000"/>
          <w:sz w:val="32"/>
          <w:szCs w:val="32"/>
          <w:highlight w:val="none"/>
        </w:rPr>
      </w:r>
      <w:r/>
    </w:p>
    <w:p>
      <w:pPr>
        <w:pStyle w:val="1215"/>
        <w:jc w:val="center"/>
        <w:rPr>
          <w:rFonts w:hint="eastAsia" w:ascii="黑体" w:hAnsi="黑体" w:eastAsia="黑体"/>
          <w:b/>
          <w:bCs/>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lang w:eastAsia="zh-CN"/>
        </w:rPr>
        <w:t xml:space="preserve">十二、</w:t>
      </w:r>
      <w:r>
        <w:rPr>
          <w:rFonts w:hint="eastAsia" w:ascii="黑体" w:hAnsi="黑体" w:eastAsia="黑体"/>
          <w:b/>
          <w:color w:val="000000"/>
          <w:sz w:val="32"/>
          <w:szCs w:val="32"/>
          <w:highlight w:val="none"/>
        </w:rPr>
        <w:t xml:space="preserve">投标分项报价表（分包号：***）</w:t>
      </w:r>
      <w:r>
        <w:rPr>
          <w:rFonts w:hint="eastAsia" w:ascii="黑体" w:hAnsi="黑体" w:eastAsia="黑体"/>
          <w:b/>
          <w:color w:val="000000"/>
          <w:sz w:val="32"/>
          <w:szCs w:val="32"/>
          <w:highlight w:val="none"/>
        </w:rPr>
      </w:r>
      <w:r/>
    </w:p>
    <w:tbl>
      <w:tblPr>
        <w:tblW w:w="908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56"/>
        <w:gridCol w:w="1036"/>
        <w:gridCol w:w="966"/>
        <w:gridCol w:w="1414"/>
        <w:gridCol w:w="784"/>
        <w:gridCol w:w="980"/>
        <w:gridCol w:w="727"/>
        <w:gridCol w:w="1372"/>
        <w:gridCol w:w="1246"/>
      </w:tblGrid>
      <w:tr>
        <w:trPr>
          <w:cantSplit/>
          <w:trHeight w:val="544"/>
        </w:trPr>
        <w:tc>
          <w:tcPr>
            <w:tcW w:w="556" w:type="dxa"/>
            <w:vAlign w:val="top"/>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103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96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41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78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980"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5</w:t>
            </w:r>
            <w:r>
              <w:rPr>
                <w:rFonts w:hint="eastAsia" w:ascii="宋体" w:hAnsi="宋体"/>
                <w:color w:val="000000"/>
                <w:sz w:val="24"/>
                <w:szCs w:val="24"/>
                <w:highlight w:val="none"/>
              </w:rPr>
            </w:r>
            <w:r/>
          </w:p>
        </w:tc>
        <w:tc>
          <w:tcPr>
            <w:tcW w:w="727"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6</w:t>
            </w:r>
            <w:r>
              <w:rPr>
                <w:rFonts w:hint="eastAsia" w:ascii="宋体" w:hAnsi="宋体"/>
                <w:color w:val="000000"/>
                <w:sz w:val="24"/>
                <w:szCs w:val="24"/>
                <w:highlight w:val="none"/>
              </w:rPr>
            </w:r>
            <w:r/>
          </w:p>
        </w:tc>
        <w:tc>
          <w:tcPr>
            <w:tcW w:w="1372"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7</w:t>
            </w:r>
            <w:r>
              <w:rPr>
                <w:rFonts w:hint="eastAsia" w:ascii="宋体" w:hAnsi="宋体"/>
                <w:color w:val="000000"/>
                <w:sz w:val="24"/>
                <w:szCs w:val="24"/>
                <w:highlight w:val="none"/>
              </w:rPr>
            </w:r>
            <w:r/>
          </w:p>
        </w:tc>
        <w:tc>
          <w:tcPr>
            <w:tcW w:w="124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8</w:t>
            </w:r>
            <w:r>
              <w:rPr>
                <w:rFonts w:hint="eastAsia" w:ascii="宋体" w:hAnsi="宋体"/>
                <w:color w:val="000000"/>
                <w:sz w:val="24"/>
                <w:szCs w:val="24"/>
                <w:highlight w:val="none"/>
              </w:rPr>
            </w:r>
            <w:r/>
          </w:p>
        </w:tc>
      </w:tr>
      <w:tr>
        <w:trPr>
          <w:cantSplit/>
          <w:trHeight w:val="294"/>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rPr>
            </w:r>
            <w:r/>
          </w:p>
        </w:tc>
        <w:tc>
          <w:tcPr>
            <w:tcW w:w="103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产品</w:t>
            </w:r>
            <w:r>
              <w:rPr>
                <w:rFonts w:hint="eastAsia" w:ascii="宋体" w:hAnsi="宋体"/>
                <w:color w:val="000000"/>
                <w:sz w:val="24"/>
                <w:szCs w:val="24"/>
                <w:highlight w:val="none"/>
              </w:rPr>
            </w:r>
            <w:r/>
          </w:p>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名称</w:t>
            </w:r>
            <w:r>
              <w:rPr>
                <w:rFonts w:hint="eastAsia" w:ascii="宋体" w:hAnsi="宋体"/>
                <w:color w:val="000000"/>
                <w:sz w:val="24"/>
                <w:szCs w:val="24"/>
                <w:highlight w:val="none"/>
              </w:rPr>
            </w:r>
            <w:r/>
          </w:p>
        </w:tc>
        <w:tc>
          <w:tcPr>
            <w:tcW w:w="96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品牌</w:t>
            </w:r>
            <w:r>
              <w:rPr>
                <w:rFonts w:hint="eastAsia" w:ascii="宋体" w:hAnsi="宋体"/>
                <w:color w:val="000000"/>
                <w:sz w:val="24"/>
                <w:szCs w:val="24"/>
                <w:highlight w:val="none"/>
              </w:rPr>
            </w:r>
            <w:r/>
          </w:p>
        </w:tc>
        <w:tc>
          <w:tcPr>
            <w:tcW w:w="141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规格</w:t>
            </w:r>
            <w:r>
              <w:rPr>
                <w:rFonts w:hint="eastAsia" w:ascii="宋体" w:hAnsi="宋体"/>
                <w:color w:val="000000"/>
                <w:sz w:val="24"/>
                <w:szCs w:val="24"/>
                <w:highlight w:val="none"/>
              </w:rPr>
            </w:r>
            <w:r/>
          </w:p>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型号</w:t>
            </w:r>
            <w:r>
              <w:rPr>
                <w:rFonts w:hint="eastAsia" w:ascii="宋体" w:hAnsi="宋体"/>
                <w:color w:val="000000"/>
                <w:sz w:val="24"/>
                <w:szCs w:val="24"/>
                <w:highlight w:val="none"/>
              </w:rPr>
            </w:r>
            <w:r/>
          </w:p>
        </w:tc>
        <w:tc>
          <w:tcPr>
            <w:tcW w:w="784"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产地</w:t>
            </w:r>
            <w:r>
              <w:rPr>
                <w:rFonts w:hint="eastAsia" w:ascii="宋体" w:hAnsi="宋体"/>
                <w:color w:val="000000"/>
                <w:sz w:val="24"/>
                <w:szCs w:val="24"/>
                <w:highlight w:val="none"/>
              </w:rPr>
            </w:r>
            <w:r/>
          </w:p>
        </w:tc>
        <w:tc>
          <w:tcPr>
            <w:tcW w:w="980"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交付期</w:t>
            </w:r>
            <w:r>
              <w:rPr>
                <w:rFonts w:hint="eastAsia" w:ascii="宋体" w:hAnsi="宋体"/>
                <w:color w:val="000000"/>
                <w:sz w:val="24"/>
                <w:szCs w:val="24"/>
                <w:highlight w:val="none"/>
              </w:rPr>
            </w:r>
            <w:r/>
          </w:p>
        </w:tc>
        <w:tc>
          <w:tcPr>
            <w:tcW w:w="727"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数量</w:t>
            </w:r>
            <w:r>
              <w:rPr>
                <w:rFonts w:hint="eastAsia" w:ascii="宋体" w:hAnsi="宋体"/>
                <w:color w:val="000000"/>
                <w:sz w:val="24"/>
                <w:szCs w:val="24"/>
                <w:highlight w:val="none"/>
              </w:rPr>
            </w:r>
            <w:r/>
          </w:p>
        </w:tc>
        <w:tc>
          <w:tcPr>
            <w:tcW w:w="1372"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分项单价</w:t>
            </w:r>
            <w:r>
              <w:rPr>
                <w:rFonts w:hint="eastAsia" w:ascii="宋体" w:hAnsi="宋体"/>
                <w:color w:val="000000"/>
                <w:sz w:val="24"/>
                <w:szCs w:val="24"/>
                <w:highlight w:val="none"/>
              </w:rPr>
            </w:r>
            <w:r/>
          </w:p>
        </w:tc>
        <w:tc>
          <w:tcPr>
            <w:tcW w:w="124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分项总价</w:t>
            </w:r>
            <w:r>
              <w:rPr>
                <w:rFonts w:hint="eastAsia" w:ascii="宋体" w:hAnsi="宋体"/>
                <w:color w:val="000000"/>
                <w:sz w:val="24"/>
                <w:szCs w:val="24"/>
                <w:highlight w:val="none"/>
              </w:rPr>
            </w:r>
            <w:r/>
          </w:p>
        </w:tc>
      </w:tr>
      <w:tr>
        <w:trPr>
          <w:cantSplit/>
          <w:trHeight w:val="696"/>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2</w:t>
            </w:r>
            <w:r>
              <w:rPr>
                <w:rFonts w:hint="eastAsia"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724"/>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3</w:t>
            </w:r>
            <w:r>
              <w:rPr>
                <w:rFonts w:hint="eastAsia"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56" w:type="dxa"/>
            <w:vAlign w:val="center"/>
            <w:textDirection w:val="lrTb"/>
            <w:noWrap w:val="false"/>
          </w:tcPr>
          <w:p>
            <w:pPr>
              <w:pStyle w:val="1215"/>
              <w:jc w:val="center"/>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t xml:space="preserve">4</w:t>
            </w:r>
            <w:r>
              <w:rPr>
                <w:rFonts w:hint="eastAsia"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580"/>
        </w:trPr>
        <w:tc>
          <w:tcPr>
            <w:tcW w:w="556" w:type="dxa"/>
            <w:vAlign w:val="center"/>
            <w:textDirection w:val="lrTb"/>
            <w:noWrap w:val="false"/>
          </w:tcPr>
          <w:p>
            <w:pPr>
              <w:pStyle w:val="1215"/>
              <w:jc w:val="center"/>
              <w:spacing w:line="0" w:lineRule="atLeast"/>
              <w:rPr>
                <w:rFonts w:ascii="宋体" w:hAnsi="宋体"/>
                <w:color w:val="000000"/>
                <w:sz w:val="24"/>
                <w:szCs w:val="24"/>
                <w:highlight w:val="none"/>
              </w:rPr>
            </w:pPr>
            <w:r>
              <w:rPr>
                <w:rFonts w:ascii="宋体" w:hAnsi="宋体"/>
                <w:color w:val="000000"/>
                <w:sz w:val="24"/>
                <w:szCs w:val="24"/>
                <w:highlight w:val="none"/>
              </w:rPr>
              <w:t xml:space="preserve">…</w:t>
            </w:r>
            <w:r>
              <w:rPr>
                <w:rFonts w:ascii="宋体" w:hAnsi="宋体"/>
                <w:color w:val="000000"/>
                <w:sz w:val="24"/>
                <w:szCs w:val="24"/>
                <w:highlight w:val="none"/>
              </w:rPr>
            </w:r>
            <w:r/>
          </w:p>
        </w:tc>
        <w:tc>
          <w:tcPr>
            <w:tcW w:w="1036" w:type="dxa"/>
            <w:vAlign w:val="center"/>
            <w:textDirection w:val="lrTb"/>
            <w:noWrap w:val="false"/>
          </w:tcPr>
          <w:p>
            <w:pPr>
              <w:pStyle w:val="1215"/>
              <w:spacing w:line="0" w:lineRule="atLeas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96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41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84"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980"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727"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72"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246" w:type="dxa"/>
            <w:vAlign w:val="center"/>
            <w:textDirection w:val="lrTb"/>
            <w:noWrap w:val="false"/>
          </w:tcPr>
          <w:p>
            <w:pPr>
              <w:pStyle w:val="1215"/>
              <w:spacing w:line="0" w:lineRule="atLeas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1215"/>
              <w:jc w:val="center"/>
              <w:rPr>
                <w:rFonts w:hint="eastAsia" w:ascii="宋体" w:hAnsi="宋体"/>
                <w:color w:val="000000"/>
                <w:sz w:val="24"/>
                <w:szCs w:val="24"/>
                <w:highlight w:val="none"/>
              </w:rPr>
            </w:pPr>
            <w:r>
              <w:rPr>
                <w:rFonts w:hint="eastAsia" w:ascii="宋体" w:hAnsi="宋体"/>
                <w:color w:val="000000"/>
                <w:sz w:val="24"/>
                <w:szCs w:val="24"/>
                <w:highlight w:val="none"/>
              </w:rPr>
              <w:t xml:space="preserve">投标总报价（人民币：元）</w:t>
            </w:r>
            <w:r>
              <w:rPr>
                <w:rFonts w:hint="eastAsia" w:ascii="宋体" w:hAnsi="宋体"/>
                <w:color w:val="000000"/>
                <w:sz w:val="24"/>
                <w:szCs w:val="24"/>
                <w:highlight w:val="none"/>
              </w:rPr>
            </w:r>
            <w:r/>
          </w:p>
        </w:tc>
        <w:tc>
          <w:tcPr>
            <w:tcW w:w="1246" w:type="dxa"/>
            <w:vAlign w:val="top"/>
            <w:textDirection w:val="lrTb"/>
            <w:noWrap w:val="false"/>
          </w:tcPr>
          <w:p>
            <w:pPr>
              <w:pStyle w:val="1215"/>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1030"/>
        </w:trPr>
        <w:tc>
          <w:tcPr>
            <w:gridSpan w:val="8"/>
            <w:tcW w:w="7835" w:type="dxa"/>
            <w:vAlign w:val="center"/>
            <w:textDirection w:val="lrTb"/>
            <w:noWrap w:val="false"/>
          </w:tcPr>
          <w:p>
            <w:pPr>
              <w:pStyle w:val="1215"/>
              <w:jc w:val="center"/>
              <w:rPr>
                <w:rFonts w:hint="eastAsia" w:ascii="宋体" w:hAnsi="宋体"/>
                <w:color w:val="000000"/>
                <w:sz w:val="24"/>
                <w:szCs w:val="24"/>
                <w:highlight w:val="none"/>
              </w:rPr>
            </w:pPr>
            <w:r>
              <w:rPr>
                <w:rFonts w:hint="eastAsia" w:hAnsi="宋体"/>
                <w:b w:val="0"/>
                <w:position w:val="0"/>
                <w:sz w:val="21"/>
                <w:szCs w:val="21"/>
              </w:rPr>
              <w:t xml:space="preserve">本采购包中提供的符合本国产品标准的产品成本之和占该采购包提供的全部产品成本之和的比例为</w:t>
            </w:r>
            <w:r>
              <w:rPr>
                <w:rFonts w:hint="eastAsia" w:hAnsi="宋体"/>
                <w:b w:val="0"/>
                <w:position w:val="0"/>
                <w:sz w:val="21"/>
                <w:szCs w:val="21"/>
                <w:u w:val="single"/>
              </w:rPr>
              <w:t xml:space="preserve">      </w:t>
            </w:r>
            <w:r>
              <w:rPr>
                <w:rFonts w:hint="eastAsia" w:hAnsi="宋体"/>
                <w:b w:val="0"/>
                <w:position w:val="0"/>
                <w:sz w:val="21"/>
                <w:szCs w:val="21"/>
              </w:rPr>
              <w:t xml:space="preserve">%。</w:t>
            </w:r>
            <w:r>
              <w:rPr>
                <w:rFonts w:hint="eastAsia" w:ascii="宋体" w:hAnsi="宋体"/>
                <w:color w:val="000000"/>
                <w:sz w:val="24"/>
                <w:szCs w:val="24"/>
                <w:highlight w:val="none"/>
              </w:rPr>
            </w:r>
            <w:r/>
          </w:p>
        </w:tc>
        <w:tc>
          <w:tcPr>
            <w:tcW w:w="1246" w:type="dxa"/>
            <w:vAlign w:val="top"/>
            <w:textDirection w:val="lrTb"/>
            <w:noWrap w:val="false"/>
          </w:tcPr>
          <w:p>
            <w:pPr>
              <w:pStyle w:val="1215"/>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15"/>
        <w:spacing w:line="440" w:lineRule="exact"/>
        <w:rPr>
          <w:rFonts w:hint="eastAsia" w:ascii="宋体" w:hAnsi="宋体"/>
          <w:color w:val="000000"/>
          <w:sz w:val="24"/>
          <w:highlight w:val="none"/>
        </w:rPr>
      </w:pPr>
      <w:r>
        <w:rPr>
          <w:rFonts w:hint="eastAsia" w:ascii="宋体" w:hAnsi="宋体"/>
          <w:color w:val="000000"/>
          <w:sz w:val="24"/>
          <w:szCs w:val="24"/>
          <w:highlight w:val="none"/>
        </w:rPr>
        <w:t xml:space="preserve">备注：1.投标报价</w:t>
      </w:r>
      <w:r>
        <w:rPr>
          <w:rFonts w:hint="eastAsia" w:ascii="宋体" w:hAnsi="宋体"/>
          <w:color w:val="000000"/>
          <w:sz w:val="24"/>
          <w:highlight w:val="none"/>
        </w:rPr>
        <w:t xml:space="preserve">采用总承包方式，“投标总报价”应包括所投货物（包含与货物相关的服务）费用、安装调试费、测试验收费、培训费、运行维护费用、税金、国际国内运输保险、报关清关、开证、办理全套免税手续费用及其他有关的为完成本项目发生的所有费用，招标文件中另有规定的除外。</w:t>
      </w:r>
      <w:r>
        <w:rPr>
          <w:rFonts w:hint="eastAsia" w:ascii="宋体" w:hAnsi="宋体"/>
          <w:color w:val="000000"/>
          <w:sz w:val="24"/>
          <w:highlight w:val="none"/>
        </w:rPr>
      </w:r>
      <w:r/>
    </w:p>
    <w:p>
      <w:pPr>
        <w:pStyle w:val="121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2. “投标分项报价表”中“投标总报价”数额应当与“开标一览表”中“投标总报价”数额一致。</w:t>
      </w:r>
      <w:r>
        <w:rPr>
          <w:rFonts w:hint="eastAsia" w:ascii="宋体" w:hAnsi="宋体" w:eastAsia="宋体" w:cs="Times New Roman"/>
          <w:color w:val="000000"/>
          <w:sz w:val="24"/>
          <w:highlight w:val="none"/>
        </w:rPr>
      </w:r>
      <w:r/>
    </w:p>
    <w:p>
      <w:pPr>
        <w:pStyle w:val="121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3.本采购包中含有多种产品时，供应商未填写本采购包中提供的符合本国产品标准的产品成本之和占该采购包提供的全部产品成本之和的比例数值的，或比例数值未达到80%的，将不享受本国产品价格评审优惠。</w:t>
      </w:r>
      <w:r>
        <w:rPr>
          <w:rFonts w:hint="eastAsia" w:ascii="宋体" w:hAnsi="宋体" w:eastAsia="宋体" w:cs="Times New Roman"/>
          <w:color w:val="000000"/>
          <w:sz w:val="24"/>
          <w:highlight w:val="none"/>
        </w:rPr>
      </w:r>
      <w:r/>
    </w:p>
    <w:p>
      <w:pPr>
        <w:pStyle w:val="1215"/>
        <w:spacing w:line="440" w:lineRule="exact"/>
        <w:rPr>
          <w:rFonts w:hint="eastAsia" w:ascii="宋体" w:hAnsi="宋体" w:eastAsia="宋体" w:cs="Times New Roman"/>
          <w:color w:val="000000"/>
          <w:sz w:val="24"/>
          <w:highlight w:val="none"/>
        </w:rPr>
      </w:pPr>
      <w:r>
        <w:rPr>
          <w:rFonts w:hint="eastAsia" w:ascii="宋体" w:hAnsi="宋体" w:eastAsia="宋体" w:cs="Times New Roman"/>
          <w:color w:val="000000"/>
          <w:sz w:val="24"/>
          <w:highlight w:val="none"/>
        </w:rPr>
        <w:t xml:space="preserve">4.投标人需认真填写本报价表，尤其注意规格型号的准确填写。</w:t>
      </w:r>
      <w:r>
        <w:rPr>
          <w:rFonts w:hint="eastAsia" w:ascii="宋体" w:hAnsi="宋体" w:eastAsia="宋体" w:cs="Times New Roman"/>
          <w:color w:val="000000"/>
          <w:sz w:val="24"/>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宋体" w:hAnsi="宋体" w:eastAsia="宋体" w:cs="Times New Roman"/>
          <w:color w:val="000000"/>
          <w:sz w:val="24"/>
          <w:highlight w:val="none"/>
        </w:rPr>
        <w:t xml:space="preserve">5.涉及小型、微型、节能产品、环境标志等享受政府采购扶持政策的项目，需在备注中分别明确注明</w:t>
      </w:r>
      <w:r>
        <w:rPr>
          <w:b w:val="0"/>
          <w:position w:val="0"/>
          <w:szCs w:val="24"/>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三</w:t>
      </w:r>
      <w:r>
        <w:rPr>
          <w:rFonts w:hint="eastAsia" w:ascii="黑体" w:hAnsi="黑体" w:eastAsia="黑体"/>
          <w:b/>
          <w:color w:val="000000"/>
          <w:sz w:val="32"/>
          <w:szCs w:val="32"/>
          <w:highlight w:val="none"/>
        </w:rPr>
        <w:t xml:space="preserve">、技术要求响应及偏离表（分包号：**）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45"/>
        <w:gridCol w:w="3291"/>
        <w:gridCol w:w="2852"/>
        <w:gridCol w:w="1308"/>
        <w:gridCol w:w="1173"/>
      </w:tblGrid>
      <w:tr>
        <w:trPr>
          <w:cantSplit/>
        </w:trPr>
        <w:tc>
          <w:tcPr>
            <w:tcW w:w="545"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3291"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52"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8"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173"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545"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3291"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ascii="宋体" w:hAnsi="宋体"/>
                <w:color w:val="000000"/>
                <w:sz w:val="24"/>
                <w:szCs w:val="24"/>
                <w:highlight w:val="none"/>
              </w:rPr>
              <w:t xml:space="preserve">……</w:t>
            </w:r>
            <w:r>
              <w:rPr>
                <w:rFonts w:hint="eastAsia" w:ascii="宋体" w:hAnsi="宋体"/>
                <w:color w:val="000000"/>
                <w:sz w:val="24"/>
                <w:szCs w:val="24"/>
                <w:highlight w:val="none"/>
              </w:rPr>
            </w:r>
            <w:r/>
          </w:p>
        </w:tc>
        <w:tc>
          <w:tcPr>
            <w:tcW w:w="285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17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1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jc w:val="center"/>
        <w:spacing w:line="440" w:lineRule="exact"/>
        <w:rPr>
          <w:rFonts w:hint="eastAsia" w:ascii="黑体" w:hAnsi="Arial" w:eastAsia="黑体"/>
          <w:b/>
          <w:color w:val="000000"/>
          <w:sz w:val="36"/>
          <w:highlight w:val="none"/>
        </w:rPr>
      </w:pPr>
      <w:r>
        <w:rPr>
          <w:rFonts w:hint="eastAsia" w:ascii="黑体" w:hAnsi="Arial" w:eastAsia="黑体"/>
          <w:b/>
          <w:color w:val="000000"/>
          <w:sz w:val="36"/>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spacing w:line="440" w:lineRule="exact"/>
        <w:rPr>
          <w:rFonts w:hint="eastAsia" w:ascii="黑体" w:hAnsi="Arial" w:eastAsia="黑体"/>
          <w:color w:val="000000"/>
          <w:sz w:val="32"/>
          <w:highlight w:val="none"/>
        </w:rPr>
      </w:pPr>
      <w:r>
        <w:rPr>
          <w:rFonts w:hint="eastAsia" w:ascii="黑体" w:hAnsi="Arial" w:eastAsia="黑体"/>
          <w:color w:val="000000"/>
          <w:sz w:val="32"/>
          <w:highlight w:val="none"/>
        </w:rPr>
      </w:r>
      <w:r/>
    </w:p>
    <w:p>
      <w:pPr>
        <w:pStyle w:val="1215"/>
        <w:jc w:val="center"/>
        <w:spacing w:before="145" w:after="145" w:line="440" w:lineRule="exact"/>
        <w:rPr>
          <w:rFonts w:hint="eastAsia" w:ascii="黑体" w:hAnsi="黑体" w:eastAsia="黑体"/>
          <w:b/>
          <w:color w:val="000000"/>
          <w:sz w:val="32"/>
          <w:szCs w:val="32"/>
          <w:highlight w:val="none"/>
        </w:rPr>
      </w:pPr>
      <w:r/>
      <w:bookmarkEnd w:id="206"/>
      <w:r/>
      <w:bookmarkStart w:id="210" w:name="_Hlt26955054"/>
      <w:r/>
      <w:bookmarkEnd w:id="210"/>
      <w:r>
        <w:rPr>
          <w:rFonts w:hint="eastAsia" w:ascii="黑体" w:hAnsi="黑体" w:eastAsia="黑体"/>
          <w:b/>
          <w:color w:val="000000"/>
          <w:sz w:val="32"/>
          <w:szCs w:val="32"/>
          <w:highlight w:val="none"/>
        </w:rPr>
        <w:br w:type="page" w:clear="all"/>
      </w:r>
      <w:r>
        <w:rPr>
          <w:rFonts w:hint="eastAsia" w:ascii="黑体" w:hAnsi="黑体" w:eastAsia="黑体"/>
          <w:b/>
          <w:color w:val="000000"/>
          <w:sz w:val="32"/>
          <w:szCs w:val="32"/>
          <w:highlight w:val="none"/>
        </w:rPr>
        <w:t xml:space="preserve">十</w:t>
      </w:r>
      <w:r>
        <w:rPr>
          <w:rFonts w:hint="eastAsia" w:ascii="黑体" w:hAnsi="黑体" w:eastAsia="黑体"/>
          <w:b/>
          <w:color w:val="000000"/>
          <w:sz w:val="32"/>
          <w:szCs w:val="32"/>
          <w:highlight w:val="none"/>
          <w:lang w:eastAsia="zh-CN"/>
        </w:rPr>
        <w:t xml:space="preserve">四</w:t>
      </w:r>
      <w:r>
        <w:rPr>
          <w:rFonts w:hint="eastAsia" w:ascii="黑体" w:hAnsi="黑体" w:eastAsia="黑体"/>
          <w:b/>
          <w:color w:val="000000"/>
          <w:sz w:val="32"/>
          <w:szCs w:val="32"/>
          <w:highlight w:val="none"/>
        </w:rPr>
        <w:t xml:space="preserve">、商务要求响应及偏离表（分包号：**）</w:t>
      </w:r>
      <w:r>
        <w:rPr>
          <w:rFonts w:hint="eastAsia" w:ascii="黑体" w:hAnsi="黑体" w:eastAsia="黑体"/>
          <w:b/>
          <w:color w:val="000000"/>
          <w:sz w:val="32"/>
          <w:szCs w:val="32"/>
          <w:highlight w:val="none"/>
        </w:rPr>
      </w:r>
      <w:r/>
    </w:p>
    <w:tbl>
      <w:tblPr>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682"/>
        <w:gridCol w:w="2688"/>
        <w:gridCol w:w="2883"/>
        <w:gridCol w:w="1302"/>
        <w:gridCol w:w="1614"/>
      </w:tblGrid>
      <w:tr>
        <w:trPr>
          <w:cantSplit/>
        </w:trPr>
        <w:tc>
          <w:tcPr>
            <w:tcW w:w="682" w:type="dxa"/>
            <w:vAlign w:val="center"/>
            <w:textDirection w:val="lrTb"/>
            <w:noWrap w:val="false"/>
          </w:tcPr>
          <w:p>
            <w:pPr>
              <w:pStyle w:val="1215"/>
              <w:jc w:val="center"/>
              <w:spacing w:line="440" w:lineRule="exact"/>
              <w:rPr>
                <w:rFonts w:hint="eastAsia" w:ascii="宋体" w:hAnsi="宋体"/>
                <w:color w:val="000000"/>
                <w:sz w:val="24"/>
                <w:szCs w:val="24"/>
                <w:highlight w:val="none"/>
              </w:rPr>
            </w:pPr>
            <w:r/>
            <w:bookmarkStart w:id="211" w:name="_Hlt26782999"/>
            <w:r/>
            <w:bookmarkEnd w:id="211"/>
            <w:r/>
            <w:bookmarkStart w:id="212" w:name="_Hlt26609391"/>
            <w:r/>
            <w:bookmarkEnd w:id="212"/>
            <w:r/>
            <w:bookmarkStart w:id="213" w:name="_Hlt26671372"/>
            <w:r/>
            <w:bookmarkEnd w:id="213"/>
            <w:r/>
            <w:bookmarkStart w:id="214" w:name="_Hlt26955064"/>
            <w:r/>
            <w:bookmarkEnd w:id="214"/>
            <w:r/>
            <w:bookmarkStart w:id="215" w:name="_Hlt26671343"/>
            <w:r/>
            <w:bookmarkEnd w:id="215"/>
            <w:r/>
            <w:bookmarkStart w:id="216" w:name="_Hlt26580838"/>
            <w:r/>
            <w:bookmarkEnd w:id="216"/>
            <w:r/>
            <w:bookmarkStart w:id="217" w:name="_Hlt24879081"/>
            <w:r/>
            <w:bookmarkEnd w:id="217"/>
            <w:r/>
            <w:bookmarkStart w:id="218" w:name="_Hlt26955056"/>
            <w:r/>
            <w:bookmarkEnd w:id="218"/>
            <w:r>
              <w:rPr>
                <w:rFonts w:hint="eastAsia" w:ascii="宋体" w:hAnsi="宋体"/>
                <w:color w:val="000000"/>
                <w:sz w:val="24"/>
                <w:szCs w:val="24"/>
                <w:highlight w:val="none"/>
              </w:rPr>
              <w:t xml:space="preserve">序号</w:t>
            </w:r>
            <w:r>
              <w:rPr>
                <w:rFonts w:hint="eastAsia" w:ascii="宋体" w:hAnsi="宋体"/>
                <w:color w:val="000000"/>
                <w:sz w:val="24"/>
                <w:szCs w:val="24"/>
                <w:highlight w:val="none"/>
              </w:rPr>
            </w:r>
            <w:r/>
          </w:p>
        </w:tc>
        <w:tc>
          <w:tcPr>
            <w:tcW w:w="2688"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招标文件要求</w:t>
            </w:r>
            <w:r>
              <w:rPr>
                <w:rFonts w:hint="eastAsia" w:ascii="宋体" w:hAnsi="宋体"/>
                <w:color w:val="000000"/>
                <w:sz w:val="24"/>
                <w:szCs w:val="24"/>
                <w:highlight w:val="none"/>
              </w:rPr>
            </w:r>
            <w:r/>
          </w:p>
        </w:tc>
        <w:tc>
          <w:tcPr>
            <w:tcW w:w="2883"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投标响应情况</w:t>
            </w:r>
            <w:r>
              <w:rPr>
                <w:rFonts w:hint="eastAsia" w:ascii="宋体" w:hAnsi="宋体"/>
                <w:color w:val="000000"/>
                <w:sz w:val="24"/>
                <w:szCs w:val="24"/>
                <w:highlight w:val="none"/>
              </w:rPr>
            </w:r>
            <w:r/>
          </w:p>
        </w:tc>
        <w:tc>
          <w:tcPr>
            <w:tcW w:w="1302"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超出、符合或偏离</w:t>
            </w:r>
            <w:r>
              <w:rPr>
                <w:rFonts w:hint="eastAsia" w:ascii="宋体" w:hAnsi="宋体"/>
                <w:color w:val="000000"/>
                <w:sz w:val="24"/>
                <w:szCs w:val="24"/>
                <w:highlight w:val="none"/>
              </w:rPr>
            </w:r>
            <w:r/>
          </w:p>
        </w:tc>
        <w:tc>
          <w:tcPr>
            <w:tcW w:w="1614" w:type="dxa"/>
            <w:vAlign w:val="center"/>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证明</w:t>
            </w:r>
            <w:r>
              <w:rPr>
                <w:rFonts w:hint="eastAsia" w:ascii="宋体" w:hAnsi="宋体"/>
                <w:color w:val="000000"/>
                <w:sz w:val="24"/>
                <w:szCs w:val="24"/>
                <w:highlight w:val="none"/>
              </w:rPr>
            </w:r>
            <w:r/>
          </w:p>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材料</w:t>
            </w: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r>
        <w:trPr>
          <w:cantSplit/>
          <w:trHeight w:val="640"/>
        </w:trPr>
        <w:tc>
          <w:tcPr>
            <w:tcW w:w="68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688"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2883"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302"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c>
          <w:tcPr>
            <w:tcW w:w="1614" w:type="dxa"/>
            <w:vAlign w:val="top"/>
            <w:textDirection w:val="lrTb"/>
            <w:noWrap w:val="false"/>
          </w:tcPr>
          <w:p>
            <w:pPr>
              <w:pStyle w:val="1215"/>
              <w:jc w:val="center"/>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tc>
      </w:tr>
    </w:tbl>
    <w:p>
      <w:pPr>
        <w:pStyle w:val="1215"/>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注： 行数不够，可自行添加。</w:t>
      </w:r>
      <w:r>
        <w:rPr>
          <w:rFonts w:hint="eastAsia" w:ascii="宋体" w:hAnsi="宋体"/>
          <w:color w:val="000000"/>
          <w:sz w:val="24"/>
          <w:szCs w:val="24"/>
          <w:highlight w:val="none"/>
        </w:rPr>
      </w:r>
      <w:r/>
    </w:p>
    <w:p>
      <w:pPr>
        <w:pStyle w:val="1215"/>
        <w:spacing w:line="440" w:lineRule="exact"/>
        <w:rPr>
          <w:rFonts w:hint="eastAsia" w:ascii="宋体" w:hAnsi="宋体"/>
          <w:color w:val="000000"/>
          <w:sz w:val="24"/>
          <w:highlight w:val="none"/>
        </w:rPr>
      </w:pPr>
      <w:r>
        <w:rPr>
          <w:rFonts w:hint="eastAsia" w:ascii="宋体" w:hAnsi="宋体"/>
          <w:color w:val="000000"/>
          <w:sz w:val="24"/>
          <w:highlight w:val="none"/>
        </w:rPr>
      </w:r>
      <w:r/>
    </w:p>
    <w:p>
      <w:pPr>
        <w:pStyle w:val="1215"/>
        <w:spacing w:line="440" w:lineRule="exact"/>
        <w:rPr>
          <w:rFonts w:hint="eastAsia" w:ascii="仿宋_GB2312" w:hAnsi="Arial"/>
          <w:color w:val="000000"/>
          <w:sz w:val="30"/>
          <w:highlight w:val="none"/>
        </w:rPr>
      </w:pPr>
      <w:r>
        <w:rPr>
          <w:rFonts w:hint="eastAsia" w:ascii="仿宋_GB2312" w:hAnsi="Arial"/>
          <w:color w:val="000000"/>
          <w:sz w:val="30"/>
          <w:highlight w:val="none"/>
        </w:rPr>
      </w:r>
      <w:r/>
    </w:p>
    <w:p>
      <w:pPr>
        <w:pStyle w:val="1230"/>
        <w:ind w:firstLine="0"/>
        <w:spacing w:line="440" w:lineRule="exact"/>
        <w:rPr>
          <w:rFonts w:hint="eastAsia" w:ascii="宋体" w:hAnsi="宋体"/>
          <w:color w:val="000000"/>
          <w:sz w:val="24"/>
          <w:highlight w:val="none"/>
        </w:rPr>
      </w:pPr>
      <w:r/>
      <w:bookmarkStart w:id="219" w:name="_Hlt26609389"/>
      <w:r/>
      <w:bookmarkEnd w:id="219"/>
      <w:r/>
      <w:bookmarkStart w:id="220" w:name="_Hlt26955066"/>
      <w:r/>
      <w:bookmarkEnd w:id="220"/>
      <w:r/>
      <w:bookmarkStart w:id="221" w:name="_Hlt26671374"/>
      <w:r/>
      <w:bookmarkEnd w:id="221"/>
      <w:r/>
      <w:bookmarkStart w:id="222" w:name="_Toc462564146"/>
      <w:r>
        <w:rPr>
          <w:rFonts w:hint="eastAsia" w:ascii="宋体" w:hAnsi="宋体"/>
          <w:color w:val="000000"/>
          <w:sz w:val="24"/>
          <w:highlight w:val="none"/>
        </w:rPr>
      </w:r>
      <w:r/>
    </w:p>
    <w:p>
      <w:pPr>
        <w:pStyle w:val="1215"/>
        <w:jc w:val="center"/>
        <w:spacing w:line="440" w:lineRule="exact"/>
        <w:rPr>
          <w:rFonts w:hint="eastAsia" w:ascii="黑体" w:hAnsi="黑体" w:eastAsia="黑体"/>
          <w:b/>
          <w:color w:val="000000"/>
          <w:sz w:val="32"/>
          <w:szCs w:val="32"/>
          <w:highlight w:val="none"/>
        </w:rPr>
      </w:pPr>
      <w:r/>
      <w:bookmarkEnd w:id="196"/>
      <w:r/>
      <w:bookmarkEnd w:id="197"/>
      <w:r/>
      <w:bookmarkEnd w:id="222"/>
      <w:r/>
      <w:bookmarkStart w:id="223" w:name="_格式2__法定代表人授权书"/>
      <w:r/>
      <w:bookmarkEnd w:id="223"/>
      <w:r>
        <w:rPr>
          <w:rFonts w:hint="eastAsia" w:ascii="黑体" w:hAnsi="黑体" w:eastAsia="黑体"/>
          <w:b/>
          <w:color w:val="000000"/>
          <w:sz w:val="32"/>
          <w:szCs w:val="32"/>
          <w:highlight w:val="none"/>
        </w:rPr>
      </w:r>
      <w:r/>
    </w:p>
    <w:p>
      <w:pPr>
        <w:pStyle w:val="1215"/>
        <w:jc w:val="center"/>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spacing w:line="440" w:lineRule="exact"/>
        <w:rPr>
          <w:rFonts w:hint="eastAsia" w:ascii="黑体" w:hAnsi="黑体" w:eastAsia="黑体"/>
          <w:b/>
          <w:color w:val="000000"/>
          <w:sz w:val="32"/>
          <w:szCs w:val="32"/>
          <w:highlight w:val="none"/>
        </w:rPr>
      </w:pPr>
      <w:r>
        <w:rPr>
          <w:rFonts w:hint="eastAsia" w:ascii="黑体" w:hAnsi="黑体" w:eastAsia="黑体"/>
          <w:b/>
          <w:color w:val="000000"/>
          <w:sz w:val="32"/>
          <w:szCs w:val="32"/>
          <w:highlight w:val="none"/>
        </w:rPr>
      </w:r>
      <w:r/>
    </w:p>
    <w:p>
      <w:pPr>
        <w:pStyle w:val="1215"/>
        <w:jc w:val="center"/>
        <w:spacing w:before="145" w:after="145" w:line="440" w:lineRule="exact"/>
        <w:rPr>
          <w:rFonts w:hint="eastAsia" w:eastAsia="仿宋_GB2312"/>
          <w:color w:val="000000"/>
          <w:sz w:val="24"/>
          <w:szCs w:val="20"/>
          <w:highlight w:val="none"/>
        </w:rPr>
      </w:pPr>
      <w:r>
        <w:rPr>
          <w:rFonts w:hint="eastAsia" w:ascii="黑体" w:hAnsi="黑体" w:eastAsia="黑体"/>
          <w:b/>
          <w:i/>
          <w:color w:val="000000"/>
          <w:sz w:val="32"/>
          <w:szCs w:val="32"/>
          <w:highlight w:val="none"/>
          <w:u w:val="single"/>
        </w:rPr>
        <w:br w:type="page" w:clear="all"/>
      </w:r>
      <w:r>
        <w:rPr>
          <w:rFonts w:hint="eastAsia" w:ascii="黑体" w:hAnsi="黑体" w:eastAsia="黑体"/>
          <w:b/>
          <w:i/>
          <w:color w:val="000000"/>
          <w:sz w:val="32"/>
          <w:szCs w:val="32"/>
          <w:highlight w:val="none"/>
          <w:u w:val="single"/>
        </w:rPr>
        <w:t xml:space="preserve">十</w:t>
      </w:r>
      <w:r>
        <w:rPr>
          <w:rFonts w:hint="eastAsia" w:ascii="黑体" w:hAnsi="黑体" w:eastAsia="黑体"/>
          <w:b/>
          <w:i/>
          <w:color w:val="000000"/>
          <w:sz w:val="32"/>
          <w:szCs w:val="32"/>
          <w:highlight w:val="none"/>
          <w:u w:val="single"/>
          <w:lang w:eastAsia="zh-CN"/>
        </w:rPr>
        <w:t xml:space="preserve">五</w:t>
      </w:r>
      <w:r>
        <w:rPr>
          <w:rFonts w:hint="eastAsia" w:ascii="黑体" w:hAnsi="黑体" w:eastAsia="黑体"/>
          <w:b/>
          <w:i/>
          <w:color w:val="000000"/>
          <w:sz w:val="32"/>
          <w:szCs w:val="32"/>
          <w:highlight w:val="none"/>
          <w:u w:val="single"/>
        </w:rPr>
        <w:t xml:space="preserve">、开标一览表</w:t>
      </w:r>
      <w:r>
        <w:rPr>
          <w:rFonts w:hint="eastAsia" w:eastAsia="仿宋_GB2312"/>
          <w:color w:val="000000"/>
          <w:sz w:val="24"/>
          <w:szCs w:val="20"/>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投标人全称（加盖CA电子签章）：</w:t>
      </w:r>
      <w:r>
        <w:rPr>
          <w:rFonts w:hint="eastAsia" w:ascii="宋体" w:hAnsi="宋体"/>
          <w:color w:val="000000"/>
          <w:sz w:val="24"/>
          <w:szCs w:val="24"/>
          <w:highlight w:val="none"/>
        </w:rPr>
      </w:r>
      <w:r/>
    </w:p>
    <w:p>
      <w:pPr>
        <w:pStyle w:val="1215"/>
        <w:ind w:firstLine="480"/>
        <w:spacing w:line="440" w:lineRule="exact"/>
        <w:rPr>
          <w:rFonts w:hint="eastAsia" w:eastAsia="宋体"/>
          <w:color w:val="000000"/>
          <w:sz w:val="24"/>
          <w:szCs w:val="24"/>
          <w:highlight w:val="none"/>
          <w:lang w:eastAsia="zh-CN"/>
        </w:rPr>
      </w:pPr>
      <w:r>
        <w:rPr>
          <w:rFonts w:hint="eastAsia" w:ascii="宋体" w:hAnsi="宋体"/>
          <w:color w:val="000000"/>
          <w:sz w:val="24"/>
          <w:szCs w:val="24"/>
          <w:highlight w:val="none"/>
        </w:rPr>
        <w:t xml:space="preserve">项目名称：</w:t>
      </w:r>
      <w:r>
        <w:rPr>
          <w:rFonts w:hint="eastAsia" w:ascii="宋体" w:hAnsi="宋体"/>
          <w:color w:val="000000"/>
          <w:sz w:val="24"/>
          <w:szCs w:val="24"/>
          <w:highlight w:val="none"/>
          <w:lang w:eastAsia="zh-CN"/>
        </w:rPr>
        <w:t xml:space="preserve">扬中市人民医院X射线计算机体层摄影设备（CT）采购项目</w:t>
      </w:r>
      <w:r>
        <w:rPr>
          <w:rFonts w:hint="eastAsia" w:eastAsia="宋体"/>
          <w:color w:val="000000"/>
          <w:sz w:val="24"/>
          <w:szCs w:val="24"/>
          <w:highlight w:val="none"/>
          <w:lang w:eastAsia="zh-CN"/>
        </w:rPr>
      </w:r>
      <w:r/>
    </w:p>
    <w:p>
      <w:pPr>
        <w:pStyle w:val="1215"/>
        <w:ind w:firstLine="480"/>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招标编号：                                   分包号：</w:t>
      </w:r>
      <w:r>
        <w:rPr>
          <w:rFonts w:ascii="宋体" w:hAnsi="宋体"/>
          <w:color w:val="000000"/>
          <w:sz w:val="24"/>
          <w:szCs w:val="24"/>
          <w:highlight w:val="none"/>
        </w:rPr>
      </w:r>
      <w:r/>
    </w:p>
    <w:tbl>
      <w:tblPr>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06"/>
      </w:tblGrid>
      <w:tr>
        <w:trPr>
          <w:cantSplit/>
          <w:trHeight w:val="725"/>
        </w:trPr>
        <w:tc>
          <w:tcPr>
            <w:tcW w:w="8206" w:type="dxa"/>
            <w:vAlign w:val="center"/>
            <w:textDirection w:val="lrTb"/>
            <w:noWrap w:val="false"/>
          </w:tcPr>
          <w:p>
            <w:pPr>
              <w:pStyle w:val="1215"/>
              <w:spacing w:line="440" w:lineRule="exact"/>
              <w:rPr>
                <w:rFonts w:hint="eastAsia" w:ascii="宋体" w:hAnsi="宋体"/>
                <w:color w:val="000000"/>
                <w:sz w:val="24"/>
                <w:szCs w:val="24"/>
                <w:highlight w:val="none"/>
              </w:rPr>
            </w:pPr>
            <w:r>
              <w:rPr>
                <w:rFonts w:hint="eastAsia" w:ascii="宋体" w:hAnsi="宋体" w:cs="宋体"/>
                <w:color w:val="000000"/>
                <w:sz w:val="24"/>
                <w:szCs w:val="24"/>
                <w:highlight w:val="none"/>
              </w:rPr>
              <w:t xml:space="preserve">                      </w:t>
            </w:r>
            <w:r>
              <w:rPr>
                <w:rFonts w:hint="eastAsia" w:ascii="宋体" w:hAnsi="宋体"/>
                <w:color w:val="000000"/>
                <w:sz w:val="24"/>
                <w:szCs w:val="24"/>
                <w:highlight w:val="none"/>
              </w:rPr>
              <w:t xml:space="preserve">投标总报价</w:t>
            </w:r>
            <w:r>
              <w:rPr>
                <w:rFonts w:hint="eastAsia" w:ascii="宋体" w:hAnsi="宋体"/>
                <w:color w:val="000000"/>
                <w:sz w:val="24"/>
                <w:szCs w:val="24"/>
                <w:highlight w:val="none"/>
              </w:rPr>
            </w:r>
            <w:r/>
          </w:p>
        </w:tc>
      </w:tr>
      <w:tr>
        <w:trPr>
          <w:cantSplit/>
          <w:trHeight w:val="612"/>
        </w:trPr>
        <w:tc>
          <w:tcPr>
            <w:tcW w:w="8206" w:type="dxa"/>
            <w:vAlign w:val="center"/>
            <w:textDirection w:val="lrTb"/>
            <w:noWrap w:val="false"/>
          </w:tcPr>
          <w:p>
            <w:pPr>
              <w:pStyle w:val="1317"/>
              <w:ind w:firstLine="0"/>
              <w:spacing w:before="0" w:after="0" w:line="440" w:lineRule="exact"/>
              <w:rPr>
                <w:rFonts w:hint="eastAsia" w:ascii="宋体" w:hAnsi="宋体"/>
                <w:color w:val="000000"/>
                <w:szCs w:val="21"/>
                <w:highlight w:val="none"/>
              </w:rPr>
            </w:pPr>
            <w:r>
              <w:rPr>
                <w:rFonts w:hint="eastAsia" w:ascii="宋体" w:hAnsi="宋体" w:cs="宋体"/>
                <w:color w:val="000000"/>
                <w:highlight w:val="none"/>
              </w:rPr>
              <w:t xml:space="preserve">小写：                             （人民币：元）</w:t>
            </w:r>
            <w:r>
              <w:rPr>
                <w:rFonts w:hint="eastAsia" w:ascii="宋体" w:hAnsi="宋体"/>
                <w:color w:val="000000"/>
                <w:szCs w:val="21"/>
                <w:highlight w:val="none"/>
              </w:rPr>
            </w:r>
            <w:r/>
          </w:p>
        </w:tc>
      </w:tr>
    </w:tbl>
    <w:p>
      <w:pPr>
        <w:pStyle w:val="1215"/>
        <w:spacing w:line="440" w:lineRule="exact"/>
        <w:rPr>
          <w:rFonts w:ascii="宋体" w:hAnsi="宋体"/>
          <w:color w:val="000000"/>
          <w:sz w:val="24"/>
          <w:szCs w:val="24"/>
          <w:highlight w:val="none"/>
        </w:rPr>
      </w:pPr>
      <w:r>
        <w:rPr>
          <w:rFonts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t xml:space="preserve">                                              日期：  </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年</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月</w:t>
      </w:r>
      <w:r>
        <w:rPr>
          <w:rFonts w:hint="eastAsia" w:ascii="宋体" w:hAnsi="宋体"/>
          <w:color w:val="000000"/>
          <w:sz w:val="24"/>
          <w:szCs w:val="24"/>
          <w:highlight w:val="none"/>
          <w:u w:val="single"/>
        </w:rPr>
        <w:t xml:space="preserve">   </w:t>
      </w:r>
      <w:r>
        <w:rPr>
          <w:rFonts w:hint="eastAsia" w:ascii="宋体" w:hAnsi="宋体"/>
          <w:color w:val="000000"/>
          <w:sz w:val="24"/>
          <w:szCs w:val="24"/>
          <w:highlight w:val="none"/>
        </w:rPr>
        <w:t xml:space="preserve">日</w:t>
      </w:r>
      <w:r>
        <w:rPr>
          <w:rFonts w:hint="eastAsia" w:ascii="宋体" w:hAnsi="宋体"/>
          <w:color w:val="000000"/>
          <w:sz w:val="24"/>
          <w:szCs w:val="24"/>
          <w:highlight w:val="none"/>
        </w:rPr>
      </w:r>
      <w:r/>
    </w:p>
    <w:p>
      <w:pPr>
        <w:pStyle w:val="1215"/>
        <w:ind w:firstLine="480"/>
        <w:spacing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ind w:firstLine="480"/>
        <w:spacing w:line="440" w:lineRule="exact"/>
        <w:rPr>
          <w:rFonts w:ascii="宋体" w:hAnsi="宋体" w:eastAsia="宋体" w:cs="Times New Roman"/>
          <w:b w:val="0"/>
          <w:bCs/>
          <w:color w:val="000000"/>
          <w:sz w:val="24"/>
          <w:szCs w:val="24"/>
          <w:lang w:val="en-US" w:eastAsia="zh-CN"/>
        </w:rPr>
      </w:pPr>
      <w:r>
        <w:rPr>
          <w:rFonts w:hint="eastAsia" w:ascii="宋体" w:hAnsi="宋体"/>
          <w:color w:val="000000"/>
          <w:sz w:val="24"/>
          <w:lang w:val="en-US" w:eastAsia="zh-CN"/>
        </w:rPr>
        <w:t xml:space="preserve">1.</w:t>
      </w:r>
      <w:r>
        <w:rPr>
          <w:rFonts w:ascii="宋体" w:hAnsi="宋体" w:eastAsia="宋体" w:cs="Times New Roman"/>
          <w:b w:val="0"/>
          <w:bCs/>
          <w:color w:val="000000"/>
          <w:sz w:val="24"/>
          <w:szCs w:val="24"/>
          <w:lang w:val="en-US" w:eastAsia="zh-CN"/>
        </w:rPr>
        <w:t xml:space="preserve">评审小组认为供应商的报价明显低于其他通过符合性审查供应商的报价，有可能影响服务质量或者不能诚信履约的，应当要求其在评审现场合理的时间内提供书面说明，必要时提交相关证明材料。供应商不能证明其报价合理性的，评审小组应当将其作为无效响应处理。</w:t>
      </w:r>
      <w:r>
        <w:rPr>
          <w:rFonts w:ascii="宋体" w:hAnsi="宋体" w:eastAsia="宋体" w:cs="Times New Roman"/>
          <w:b w:val="0"/>
          <w:bCs/>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（一）评标委员会启动异常低价投标(响应)审查的情形和具体要求:</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政府采购评审中出现下列情形之一的，评审委员会应当启动异常低价投标（响应）审查程序： </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（1）投标报价低于全部通过符合性审查供应商投标报价平均值65%的，即投标报价&lt;全部通过符合性审查供应商投标报价平均值×65%；</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（2）投标报价低于通过符合性审查的次低报价供应商投标报价65%的，即投标报价&lt;通过符合性审查的次低报价供应商投标报价×65%；</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（3）投标报价低于采购项目最高限价65%的，即投标报价&lt;采购项目最高限价×65%；</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（4）评委会基于专业判断，认为供应商报价过低，有可能影响产品质量或者不能诚信履约的其他情形。</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lang w:val="en-US" w:eastAsia="zh-CN"/>
        </w:rPr>
      </w:pPr>
      <w:r>
        <w:rPr>
          <w:rFonts w:hint="eastAsia" w:ascii="宋体" w:hAnsi="宋体"/>
          <w:color w:val="000000"/>
          <w:sz w:val="24"/>
          <w:szCs w:val="24"/>
          <w:lang w:val="en-US" w:eastAsia="zh-CN"/>
        </w:rPr>
        <w:t xml:space="preserve">(二)启动异常低价投标(响应)审查后，评标委员会应</w:t>
      </w:r>
      <w:r>
        <w:rPr>
          <w:rFonts w:hint="eastAsia" w:ascii="宋体" w:hAnsi="宋体"/>
          <w:color w:val="000000"/>
          <w:sz w:val="24"/>
          <w:szCs w:val="24"/>
          <w:lang w:val="en-US" w:eastAsia="zh-CN"/>
        </w:rPr>
        <w:t xml:space="preserve">当要求相关供应商在评标现场合理的时间内，提供项目具体成本测算等与报价合理性相关的书面说明及相关证明材料，对投标(响应)价格作出解释，包括但不限于原材料成本、人工成本、制造费用等，给予相关供应商的合理时间一般不少于30分钟，由评标委员会结合同类产品在主要电商平台的价格、该行业当地薪资水平等情况，依据专业经验对供应商报价合理性进行判断。投标(响应)供应商不提供书面说明、证明材料，或者提供的书面说明、证明材料不能证明其报价合理性的，评标委员会应当将其作为无效投标(响应)处理。审查相关情况应当在评审报告中进行记录。</w:t>
      </w:r>
      <w:r>
        <w:rPr>
          <w:rFonts w:hint="eastAsia" w:ascii="宋体" w:hAnsi="宋体"/>
          <w:color w:val="000000"/>
          <w:sz w:val="24"/>
          <w:szCs w:val="24"/>
          <w:lang w:val="en-US" w:eastAsia="zh-CN"/>
        </w:rPr>
      </w:r>
      <w:r/>
    </w:p>
    <w:p>
      <w:pPr>
        <w:pStyle w:val="1215"/>
        <w:ind w:firstLine="480"/>
        <w:spacing w:line="440" w:lineRule="exact"/>
        <w:rPr>
          <w:rFonts w:hint="eastAsia" w:ascii="宋体" w:hAnsi="宋体"/>
          <w:color w:val="000000"/>
          <w:sz w:val="24"/>
          <w:szCs w:val="24"/>
        </w:rPr>
      </w:pPr>
      <w:r>
        <w:rPr>
          <w:rFonts w:hint="eastAsia" w:ascii="宋体" w:hAnsi="宋体"/>
          <w:color w:val="000000"/>
          <w:sz w:val="24"/>
          <w:szCs w:val="24"/>
        </w:rPr>
      </w:r>
      <w:r/>
    </w:p>
    <w:p>
      <w:pPr>
        <w:pStyle w:val="1215"/>
        <w:jc w:val="center"/>
        <w:spacing w:before="145" w:after="145" w:line="440" w:lineRule="exact"/>
        <w:rPr>
          <w:rFonts w:ascii="宋体" w:hAnsi="宋体"/>
          <w:color w:val="000000"/>
          <w:sz w:val="28"/>
          <w:szCs w:val="28"/>
          <w:highlight w:val="none"/>
        </w:rPr>
        <w:outlineLvl w:val="2"/>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十</w:t>
      </w:r>
      <w:r>
        <w:rPr>
          <w:rFonts w:hint="eastAsia" w:ascii="宋体" w:hAnsi="宋体" w:cs="仿宋"/>
          <w:b/>
          <w:bCs/>
          <w:color w:val="000000"/>
          <w:sz w:val="32"/>
          <w:szCs w:val="32"/>
          <w:highlight w:val="none"/>
          <w:lang w:eastAsia="zh-CN"/>
        </w:rPr>
        <w:t xml:space="preserve">六</w:t>
      </w:r>
      <w:r>
        <w:rPr>
          <w:rFonts w:hint="eastAsia" w:ascii="宋体" w:hAnsi="宋体" w:cs="仿宋"/>
          <w:b/>
          <w:bCs/>
          <w:color w:val="000000"/>
          <w:sz w:val="32"/>
          <w:szCs w:val="32"/>
          <w:highlight w:val="none"/>
        </w:rPr>
        <w:t xml:space="preserve">、</w:t>
      </w:r>
      <w:r>
        <w:rPr>
          <w:rFonts w:ascii="宋体" w:hAnsi="宋体"/>
          <w:b/>
          <w:bCs/>
          <w:color w:val="000000"/>
          <w:sz w:val="36"/>
          <w:szCs w:val="36"/>
          <w:highlight w:val="none"/>
        </w:rPr>
        <w:t xml:space="preserve">资格承诺函（格式）</w:t>
      </w:r>
      <w:r>
        <w:rPr>
          <w:rFonts w:ascii="宋体" w:hAnsi="宋体"/>
          <w:color w:val="000000"/>
          <w:sz w:val="28"/>
          <w:szCs w:val="28"/>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致：（</w:t>
      </w:r>
      <w:r>
        <w:rPr>
          <w:rFonts w:hint="eastAsia" w:ascii="宋体" w:hAnsi="宋体"/>
          <w:color w:val="000000"/>
          <w:sz w:val="24"/>
          <w:highlight w:val="none"/>
        </w:rPr>
        <w:t xml:space="preserve">招标</w:t>
      </w:r>
      <w:r>
        <w:rPr>
          <w:rFonts w:ascii="宋体" w:hAnsi="宋体"/>
          <w:color w:val="000000"/>
          <w:sz w:val="24"/>
          <w:szCs w:val="24"/>
          <w:highlight w:val="none"/>
        </w:rPr>
        <w:t xml:space="preserve">人、代理机构）   </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我单位参与</w:t>
      </w:r>
      <w:r>
        <w:rPr>
          <w:rFonts w:ascii="宋体" w:hAnsi="宋体"/>
          <w:color w:val="000000"/>
          <w:sz w:val="24"/>
          <w:szCs w:val="24"/>
          <w:highlight w:val="none"/>
          <w:u w:val="single"/>
        </w:rPr>
        <w:t xml:space="preserve"> （项目名称）  （项目编号：）   项目</w:t>
      </w:r>
      <w:r>
        <w:rPr>
          <w:rFonts w:ascii="宋体" w:hAnsi="宋体"/>
          <w:color w:val="000000"/>
          <w:sz w:val="24"/>
          <w:szCs w:val="24"/>
          <w:highlight w:val="none"/>
        </w:rPr>
        <w:t xml:space="preserve">的</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政府活动，现承诺如下：</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1.我方具有良好的商业信誉和健全的财务会计制度。</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2.我方具有履行合同所必需的设备和专业技术能力。</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3.我方具有依法缴纳税收和社会保障资金的良好记录。</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4.我方参加本项目活动前三年内，在经营活动中没有重大违法记录。</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若我单位承诺不实，自愿承担提供虚假材料谋取中标、成交的法律责任。</w:t>
      </w: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15"/>
        <w:ind w:left="560" w:hanging="560"/>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投标（响应）</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（全称并盖章）：</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outlineLvl w:val="2"/>
      </w:pP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法定代表人或授权代表（签字或签章）：</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日期：</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outlineLvl w:val="2"/>
      </w:pPr>
      <w:r>
        <w:rPr>
          <w:rFonts w:ascii="宋体" w:hAnsi="宋体"/>
          <w:color w:val="000000"/>
          <w:sz w:val="24"/>
          <w:szCs w:val="24"/>
          <w:highlight w:val="none"/>
        </w:rPr>
      </w:r>
      <w:r/>
    </w:p>
    <w:p>
      <w:pPr>
        <w:pStyle w:val="121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说明：1.</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可自行选择是否提供本承诺函，若不提供本承诺函的，应按文件要求提供相应的证明材料。</w:t>
      </w:r>
      <w:r>
        <w:rPr>
          <w:rFonts w:ascii="宋体" w:hAnsi="宋体"/>
          <w:color w:val="000000"/>
          <w:sz w:val="24"/>
          <w:szCs w:val="24"/>
          <w:highlight w:val="none"/>
        </w:rPr>
      </w:r>
      <w:r/>
    </w:p>
    <w:p>
      <w:pPr>
        <w:pStyle w:val="1215"/>
        <w:ind w:firstLine="482"/>
        <w:spacing w:line="440" w:lineRule="exact"/>
        <w:rPr>
          <w:rFonts w:ascii="宋体" w:hAnsi="宋体"/>
          <w:color w:val="000000"/>
          <w:sz w:val="24"/>
          <w:szCs w:val="24"/>
          <w:highlight w:val="none"/>
        </w:rPr>
        <w:outlineLvl w:val="2"/>
      </w:pPr>
      <w:r>
        <w:rPr>
          <w:rFonts w:ascii="宋体" w:hAnsi="宋体"/>
          <w:color w:val="000000"/>
          <w:sz w:val="24"/>
          <w:szCs w:val="24"/>
          <w:highlight w:val="none"/>
        </w:rPr>
        <w:t xml:space="preserve">2.</w:t>
      </w:r>
      <w:r>
        <w:rPr>
          <w:rFonts w:hint="eastAsia" w:ascii="宋体" w:hAnsi="宋体"/>
          <w:color w:val="000000"/>
          <w:sz w:val="24"/>
          <w:szCs w:val="24"/>
          <w:highlight w:val="none"/>
          <w:lang w:eastAsia="zh-CN"/>
        </w:rPr>
        <w:t xml:space="preserve">投标人</w:t>
      </w:r>
      <w:r>
        <w:rPr>
          <w:rFonts w:ascii="宋体" w:hAnsi="宋体"/>
          <w:color w:val="000000"/>
          <w:sz w:val="24"/>
          <w:szCs w:val="24"/>
          <w:highlight w:val="none"/>
        </w:rPr>
        <w:t xml:space="preserve">可删减承诺事项，删减的承诺事项须按文件要求提供相应的证明材料。比如删去本承诺函第3项的，则应按文件要求提供依法缴纳税收和社会保障资金的良好记录。</w:t>
      </w:r>
      <w:r>
        <w:rPr>
          <w:rFonts w:ascii="宋体" w:hAnsi="宋体"/>
          <w:color w:val="000000"/>
          <w:sz w:val="24"/>
          <w:szCs w:val="24"/>
          <w:highlight w:val="none"/>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both"/>
        <w:spacing w:line="440" w:lineRule="exact"/>
        <w:rPr>
          <w:rFonts w:hint="eastAsia" w:ascii="宋体" w:hAnsi="宋体" w:cs="仿宋"/>
          <w:b/>
          <w:bCs/>
          <w:color w:val="000000"/>
          <w:sz w:val="32"/>
          <w:szCs w:val="32"/>
          <w:highlight w:val="none"/>
          <w:lang w:eastAsia="zh-CN"/>
        </w:rPr>
      </w:pPr>
      <w:r>
        <w:rPr>
          <w:rFonts w:hint="eastAsia" w:ascii="宋体" w:hAnsi="宋体" w:cs="仿宋"/>
          <w:b/>
          <w:bCs/>
          <w:color w:val="000000"/>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sectPr>
          <w:headerReference w:type="default" r:id="rId10"/>
          <w:footerReference w:type="default" r:id="rId13"/>
          <w:footerReference w:type="first" r:id="rId14"/>
          <w:footnotePr/>
          <w:endnotePr/>
          <w:type w:val="nextPage"/>
          <w:pgSz w:w="11906" w:h="16838" w:orient="portrait"/>
          <w:pgMar w:top="1418" w:right="1588" w:bottom="1418" w:left="1365" w:header="851" w:footer="907" w:gutter="0"/>
          <w:pgNumType w:start="63"/>
          <w:cols w:num="1" w:sep="0" w:space="1701" w:equalWidth="1"/>
          <w:docGrid w:linePitch="360"/>
          <w:titlePg/>
        </w:sect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color w:val="000000"/>
          <w:sz w:val="32"/>
          <w:szCs w:val="32"/>
          <w:highlight w:val="none"/>
          <w:lang w:eastAsia="zh-CN"/>
        </w:rPr>
      </w:pPr>
      <w:r>
        <w:rPr>
          <w:rFonts w:hint="eastAsia" w:ascii="黑体" w:hAnsi="黑体" w:eastAsia="黑体" w:cs="Times New Roman"/>
          <w:b/>
          <w:color w:val="000000"/>
          <w:sz w:val="32"/>
          <w:szCs w:val="32"/>
          <w:highlight w:val="none"/>
          <w:lang w:eastAsia="zh-CN"/>
        </w:rPr>
        <w:t xml:space="preserve">十七、单位负责人为同一人或者存在直接控股、管理关系的不同供应商，不得参加同一合同项下的政府采购活动的承诺函（格式自拟）</w:t>
      </w:r>
      <w:r>
        <w:rPr>
          <w:rFonts w:hint="eastAsia" w:ascii="黑体" w:hAnsi="黑体" w:eastAsia="黑体" w:cs="Times New Roman"/>
          <w:b/>
          <w:color w:val="000000"/>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color w:val="0000ff"/>
          <w:sz w:val="32"/>
          <w:szCs w:val="32"/>
          <w:highlight w:val="none"/>
        </w:rPr>
      </w:pPr>
      <w:r>
        <w:rPr>
          <w:rFonts w:hint="eastAsia" w:ascii="黑体" w:hAnsi="黑体" w:eastAsia="黑体" w:cs="Times New Roman"/>
          <w:b/>
          <w:color w:val="0000ff"/>
          <w:sz w:val="32"/>
          <w:szCs w:val="32"/>
          <w:highlight w:val="none"/>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cs="Times New Roman"/>
          <w:b/>
          <w:sz w:val="32"/>
          <w:szCs w:val="32"/>
          <w:highlight w:val="none"/>
          <w:lang w:eastAsia="zh-CN"/>
        </w:rPr>
      </w:pPr>
      <w:r>
        <w:rPr>
          <w:rFonts w:hint="eastAsia" w:ascii="黑体" w:hAnsi="黑体" w:eastAsia="黑体" w:cs="Times New Roman"/>
          <w:b/>
          <w:sz w:val="32"/>
          <w:szCs w:val="32"/>
          <w:highlight w:val="none"/>
          <w:lang w:eastAsia="zh-CN"/>
        </w:rPr>
      </w:r>
      <w:r/>
    </w:p>
    <w:p>
      <w:pPr>
        <w:pStyle w:val="1215"/>
        <w:numPr>
          <w:ilvl w:val="0"/>
          <w:numId w:val="0"/>
        </w:numPr>
        <w:jc w:val="center"/>
        <w:spacing w:line="440" w:lineRule="exact"/>
        <w:rPr>
          <w:rFonts w:hint="eastAsia" w:ascii="黑体" w:hAnsi="黑体" w:eastAsia="黑体"/>
          <w:b/>
          <w:sz w:val="32"/>
          <w:szCs w:val="32"/>
          <w:highlight w:val="none"/>
        </w:rPr>
      </w:pPr>
      <w:r>
        <w:rPr>
          <w:rFonts w:hint="eastAsia" w:ascii="黑体" w:hAnsi="黑体" w:eastAsia="黑体" w:cs="Times New Roman"/>
          <w:b/>
          <w:sz w:val="32"/>
          <w:szCs w:val="32"/>
          <w:highlight w:val="none"/>
          <w:lang w:eastAsia="zh-CN"/>
        </w:rPr>
        <w:t xml:space="preserve">十八、</w:t>
      </w:r>
      <w:r>
        <w:rPr>
          <w:rFonts w:hint="eastAsia" w:ascii="黑体" w:hAnsi="黑体" w:eastAsia="黑体" w:cs="Times New Roman"/>
          <w:b/>
          <w:sz w:val="32"/>
          <w:szCs w:val="32"/>
          <w:highlight w:val="none"/>
        </w:rPr>
        <w:t xml:space="preserve">分</w:t>
      </w:r>
      <w:r>
        <w:rPr>
          <w:rFonts w:hint="eastAsia" w:ascii="黑体" w:hAnsi="黑体" w:eastAsia="黑体"/>
          <w:b/>
          <w:sz w:val="32"/>
          <w:szCs w:val="32"/>
          <w:highlight w:val="none"/>
        </w:rPr>
        <w:t xml:space="preserve">包意向协议（参考格式）</w:t>
      </w:r>
      <w:r>
        <w:rPr>
          <w:rFonts w:hint="eastAsia" w:ascii="黑体" w:hAnsi="黑体" w:eastAsia="黑体"/>
          <w:b/>
          <w:sz w:val="32"/>
          <w:szCs w:val="32"/>
          <w:highlight w:val="none"/>
        </w:rPr>
      </w:r>
      <w:r/>
    </w:p>
    <w:p>
      <w:pPr>
        <w:pStyle w:val="1215"/>
        <w:jc w:val="center"/>
        <w:spacing w:line="440" w:lineRule="exact"/>
        <w:rPr>
          <w:rFonts w:hint="eastAsia" w:ascii="黑体" w:hAnsi="黑体" w:eastAsia="黑体"/>
          <w:b/>
          <w:sz w:val="32"/>
          <w:szCs w:val="32"/>
          <w:highlight w:val="none"/>
        </w:rPr>
      </w:pPr>
      <w:r>
        <w:rPr>
          <w:rFonts w:hint="eastAsia" w:ascii="黑体" w:hAnsi="黑体" w:eastAsia="黑体"/>
          <w:b/>
          <w:sz w:val="32"/>
          <w:szCs w:val="32"/>
          <w:highlight w:val="none"/>
        </w:rPr>
        <w:t xml:space="preserve">本项目允许</w:t>
      </w:r>
      <w:r>
        <w:rPr>
          <w:rFonts w:hint="eastAsia" w:ascii="黑体" w:hAnsi="黑体" w:eastAsia="黑体"/>
          <w:b/>
          <w:sz w:val="32"/>
          <w:szCs w:val="32"/>
          <w:highlight w:val="none"/>
          <w:lang w:eastAsia="zh-CN"/>
        </w:rPr>
        <w:t xml:space="preserve">中标</w:t>
      </w:r>
      <w:r>
        <w:rPr>
          <w:rFonts w:hint="eastAsia" w:ascii="黑体" w:hAnsi="黑体" w:eastAsia="黑体"/>
          <w:b/>
          <w:sz w:val="32"/>
          <w:szCs w:val="32"/>
          <w:highlight w:val="none"/>
        </w:rPr>
        <w:t xml:space="preserve">供应商分包履行合同（若有，请提供）</w:t>
      </w:r>
      <w:r>
        <w:rPr>
          <w:rFonts w:hint="eastAsia" w:ascii="黑体" w:hAnsi="黑体" w:eastAsia="黑体"/>
          <w:b/>
          <w:sz w:val="32"/>
          <w:szCs w:val="32"/>
          <w:highlight w:val="none"/>
        </w:rPr>
      </w:r>
      <w:r/>
    </w:p>
    <w:p>
      <w:pPr>
        <w:pStyle w:val="1215"/>
        <w:spacing w:line="440" w:lineRule="exact"/>
        <w:rPr>
          <w:rFonts w:ascii="宋体" w:hAnsi="宋体"/>
          <w:sz w:val="24"/>
          <w:szCs w:val="24"/>
          <w:highlight w:val="none"/>
        </w:rPr>
      </w:pPr>
      <w:r>
        <w:rPr>
          <w:rFonts w:hint="eastAsia" w:ascii="宋体" w:hAnsi="宋体"/>
          <w:sz w:val="24"/>
          <w:szCs w:val="24"/>
          <w:highlight w:val="none"/>
        </w:rPr>
        <w:t xml:space="preserve">致采购人：</w:t>
      </w:r>
      <w:r>
        <w:rPr>
          <w:rFonts w:ascii="宋体" w:hAnsi="宋体"/>
          <w:sz w:val="24"/>
          <w:szCs w:val="24"/>
          <w:highlight w:val="none"/>
        </w:rPr>
      </w:r>
      <w:r/>
    </w:p>
    <w:p>
      <w:pPr>
        <w:pStyle w:val="1215"/>
        <w:ind w:firstLine="645"/>
        <w:spacing w:line="440" w:lineRule="exact"/>
        <w:rPr>
          <w:rFonts w:ascii="宋体" w:hAnsi="宋体"/>
          <w:sz w:val="24"/>
          <w:szCs w:val="24"/>
          <w:highlight w:val="none"/>
        </w:rPr>
      </w:pPr>
      <w:r>
        <w:rPr>
          <w:rFonts w:ascii="宋体" w:hAnsi="宋体"/>
          <w:sz w:val="24"/>
          <w:szCs w:val="24"/>
          <w:highlight w:val="none"/>
        </w:rPr>
        <w:t xml:space="preserve">1</w:t>
      </w:r>
      <w:r>
        <w:rPr>
          <w:rFonts w:hint="eastAsia" w:ascii="宋体" w:hAnsi="宋体"/>
          <w:sz w:val="24"/>
          <w:szCs w:val="24"/>
          <w:highlight w:val="none"/>
        </w:rPr>
        <w:t xml:space="preserve">、我们</w:t>
      </w:r>
      <w:r>
        <w:rPr>
          <w:rFonts w:hint="eastAsia" w:ascii="宋体" w:hAnsi="宋体"/>
          <w:sz w:val="24"/>
          <w:szCs w:val="24"/>
          <w:highlight w:val="none"/>
          <w:u w:val="single"/>
        </w:rPr>
        <w:t xml:space="preserve"> （供应商  ）      </w:t>
      </w:r>
      <w:r>
        <w:rPr>
          <w:rFonts w:hint="eastAsia" w:ascii="宋体" w:hAnsi="宋体"/>
          <w:sz w:val="24"/>
          <w:szCs w:val="24"/>
          <w:highlight w:val="none"/>
        </w:rPr>
        <w:t xml:space="preserve">参加江苏金居工程项目管理有限公司采购代理机构组织的采购编号为</w:t>
      </w:r>
      <w:r>
        <w:rPr>
          <w:rFonts w:hint="eastAsia" w:ascii="宋体" w:hAnsi="宋体"/>
          <w:sz w:val="24"/>
          <w:szCs w:val="24"/>
          <w:highlight w:val="none"/>
          <w:u w:val="single"/>
        </w:rPr>
        <w:t xml:space="preserve">（编号全称），（项目</w:t>
      </w:r>
      <w:r>
        <w:rPr>
          <w:rFonts w:hint="eastAsia" w:ascii="宋体" w:hAnsi="宋体"/>
          <w:sz w:val="24"/>
          <w:szCs w:val="24"/>
          <w:highlight w:val="none"/>
          <w:u w:val="single"/>
          <w:lang w:eastAsia="zh-CN"/>
        </w:rPr>
        <w:t xml:space="preserve">名称</w:t>
      </w:r>
      <w:r>
        <w:rPr>
          <w:rFonts w:hint="eastAsia" w:ascii="宋体" w:hAnsi="宋体"/>
          <w:sz w:val="24"/>
          <w:szCs w:val="24"/>
          <w:highlight w:val="none"/>
          <w:u w:val="single"/>
        </w:rPr>
        <w:t xml:space="preserve">）</w:t>
      </w:r>
      <w:r>
        <w:rPr>
          <w:rFonts w:hint="eastAsia" w:ascii="宋体" w:hAnsi="宋体"/>
          <w:sz w:val="24"/>
          <w:szCs w:val="24"/>
          <w:highlight w:val="none"/>
        </w:rPr>
        <w:t xml:space="preserve">项目的政府采购活动，我公司指定</w:t>
      </w:r>
      <w:r>
        <w:rPr>
          <w:rFonts w:hint="eastAsia" w:ascii="宋体" w:hAnsi="宋体"/>
          <w:sz w:val="24"/>
          <w:szCs w:val="24"/>
          <w:highlight w:val="none"/>
          <w:u w:val="single"/>
        </w:rPr>
        <w:t xml:space="preserve">（供应商1  ）</w:t>
      </w:r>
      <w:r>
        <w:rPr>
          <w:rFonts w:hint="eastAsia" w:ascii="宋体" w:hAnsi="宋体"/>
          <w:sz w:val="24"/>
          <w:szCs w:val="24"/>
          <w:highlight w:val="none"/>
        </w:rPr>
        <w:t xml:space="preserve">为分包单位。</w:t>
      </w:r>
      <w:r>
        <w:rPr>
          <w:rFonts w:ascii="宋体" w:hAnsi="宋体"/>
          <w:sz w:val="24"/>
          <w:szCs w:val="24"/>
          <w:highlight w:val="none"/>
        </w:rPr>
      </w:r>
      <w:r/>
    </w:p>
    <w:p>
      <w:pPr>
        <w:pStyle w:val="1215"/>
        <w:ind w:firstLine="645"/>
        <w:spacing w:line="440" w:lineRule="exact"/>
        <w:rPr>
          <w:rFonts w:ascii="宋体" w:hAnsi="宋体"/>
          <w:sz w:val="24"/>
          <w:szCs w:val="24"/>
          <w:highlight w:val="none"/>
        </w:rPr>
      </w:pPr>
      <w:r>
        <w:rPr>
          <w:rFonts w:ascii="宋体" w:hAnsi="宋体"/>
          <w:sz w:val="24"/>
          <w:szCs w:val="24"/>
          <w:highlight w:val="none"/>
        </w:rPr>
        <w:t xml:space="preserve">2</w:t>
      </w:r>
      <w:r>
        <w:rPr>
          <w:rFonts w:hint="eastAsia" w:ascii="宋体" w:hAnsi="宋体"/>
          <w:sz w:val="24"/>
          <w:szCs w:val="24"/>
          <w:highlight w:val="none"/>
        </w:rPr>
        <w:t xml:space="preserve">、若我公司成交，（供应商单位</w:t>
      </w:r>
      <w:r>
        <w:rPr>
          <w:rFonts w:ascii="宋体" w:hAnsi="宋体"/>
          <w:sz w:val="24"/>
          <w:szCs w:val="24"/>
          <w:highlight w:val="none"/>
        </w:rPr>
        <w:t xml:space="preserve">1</w:t>
      </w:r>
      <w:r>
        <w:rPr>
          <w:rFonts w:hint="eastAsia" w:ascii="宋体" w:hAnsi="宋体"/>
          <w:sz w:val="24"/>
          <w:szCs w:val="24"/>
          <w:highlight w:val="none"/>
        </w:rPr>
        <w:t xml:space="preserve">全称）实施项目中（工作内容）部分工作，并承担相应的责任。（供应商单位</w:t>
      </w:r>
      <w:r>
        <w:rPr>
          <w:rFonts w:ascii="宋体" w:hAnsi="宋体"/>
          <w:sz w:val="24"/>
          <w:szCs w:val="24"/>
          <w:highlight w:val="none"/>
        </w:rPr>
        <w:t xml:space="preserve">2</w:t>
      </w:r>
      <w:r>
        <w:rPr>
          <w:rFonts w:hint="eastAsia" w:ascii="宋体" w:hAnsi="宋体"/>
          <w:sz w:val="24"/>
          <w:szCs w:val="24"/>
          <w:highlight w:val="none"/>
        </w:rPr>
        <w:t xml:space="preserve">全称）实施项目中（工作内容）部分工作，并承担相应的责任……。（注：各供应商都应明示所承担的工作和相应的责任）。</w:t>
      </w:r>
      <w:r>
        <w:rPr>
          <w:rFonts w:ascii="宋体" w:hAnsi="宋体"/>
          <w:sz w:val="24"/>
          <w:szCs w:val="24"/>
          <w:highlight w:val="none"/>
        </w:rPr>
      </w:r>
      <w:r/>
    </w:p>
    <w:p>
      <w:pPr>
        <w:pStyle w:val="1215"/>
        <w:ind w:firstLine="645"/>
        <w:spacing w:line="440" w:lineRule="exact"/>
        <w:rPr>
          <w:rFonts w:hint="eastAsia" w:ascii="宋体" w:hAnsi="宋体"/>
          <w:b/>
          <w:bCs/>
          <w:sz w:val="24"/>
          <w:szCs w:val="24"/>
          <w:highlight w:val="none"/>
        </w:rPr>
      </w:pPr>
      <w:r>
        <w:rPr>
          <w:rFonts w:ascii="宋体" w:hAnsi="宋体"/>
          <w:sz w:val="24"/>
          <w:szCs w:val="24"/>
          <w:highlight w:val="none"/>
        </w:rPr>
        <w:t xml:space="preserve">3</w:t>
      </w:r>
      <w:r>
        <w:rPr>
          <w:rFonts w:hint="eastAsia" w:ascii="宋体" w:hAnsi="宋体"/>
          <w:sz w:val="24"/>
          <w:szCs w:val="24"/>
          <w:highlight w:val="none"/>
        </w:rPr>
        <w:t xml:space="preserve">、其中</w:t>
      </w:r>
      <w:r>
        <w:rPr>
          <w:rFonts w:ascii="宋体" w:hAnsi="宋体"/>
          <w:sz w:val="24"/>
          <w:szCs w:val="24"/>
          <w:highlight w:val="none"/>
          <w:u w:val="single"/>
        </w:rPr>
        <w:t xml:space="preserve">      </w:t>
      </w:r>
      <w:r>
        <w:rPr>
          <w:rFonts w:hint="eastAsia" w:ascii="宋体" w:hAnsi="宋体"/>
          <w:sz w:val="24"/>
          <w:szCs w:val="24"/>
          <w:highlight w:val="none"/>
        </w:rPr>
        <w:t xml:space="preserve">（小型、微型企业/残疾人福利性单位/监狱企业全称）为</w:t>
      </w:r>
      <w:r>
        <w:rPr>
          <w:rFonts w:ascii="宋体" w:hAnsi="宋体"/>
          <w:sz w:val="24"/>
          <w:szCs w:val="24"/>
          <w:highlight w:val="none"/>
          <w:u w:val="single"/>
        </w:rPr>
        <w:t xml:space="preserve">    </w:t>
      </w:r>
      <w:r>
        <w:rPr>
          <w:rFonts w:hint="eastAsia" w:ascii="宋体" w:hAnsi="宋体"/>
          <w:sz w:val="24"/>
          <w:szCs w:val="24"/>
          <w:highlight w:val="none"/>
        </w:rPr>
        <w:t xml:space="preserve">（小型、微型企业/残疾人福利性单位/监狱企业）企业，且我们约定该公司/单位所承担的合同金额将占本项目合同总金额的</w:t>
      </w:r>
      <w:r>
        <w:rPr>
          <w:rFonts w:ascii="宋体" w:hAnsi="宋体"/>
          <w:sz w:val="24"/>
          <w:szCs w:val="24"/>
          <w:highlight w:val="none"/>
          <w:u w:val="single"/>
        </w:rPr>
        <w:t xml:space="preserve">  </w:t>
      </w:r>
      <w:r>
        <w:rPr>
          <w:rFonts w:ascii="宋体" w:hAnsi="宋体"/>
          <w:sz w:val="24"/>
          <w:szCs w:val="24"/>
          <w:highlight w:val="none"/>
        </w:rPr>
        <w:t xml:space="preserve"> %</w:t>
      </w:r>
      <w:r>
        <w:rPr>
          <w:rFonts w:hint="eastAsia" w:ascii="宋体" w:hAnsi="宋体"/>
          <w:b/>
          <w:bCs/>
          <w:sz w:val="24"/>
          <w:szCs w:val="24"/>
          <w:highlight w:val="none"/>
        </w:rPr>
        <w:t xml:space="preserve">（注：1。若供应商为大型企业，需将采购项目中的一定比例分包给一家或者多家中小企业。2. 预留给中小企业采购的比例为预算总额的40%及以上，其中预留给小微企业的比例不低于60%。3.若分包单位为小型、微型企业/残疾人福利性单位/监狱企业需提供该单位的中小企业声明函或残疾人福利性单位声明函或提供监狱企业的证明材料并加盖该单位公章与分包协议同时上传）。</w:t>
      </w:r>
      <w:r>
        <w:rPr>
          <w:rFonts w:hint="eastAsia" w:ascii="宋体" w:hAnsi="宋体"/>
          <w:b/>
          <w:bCs/>
          <w:sz w:val="24"/>
          <w:szCs w:val="24"/>
          <w:highlight w:val="none"/>
        </w:rPr>
      </w:r>
      <w:r/>
    </w:p>
    <w:p>
      <w:pPr>
        <w:pStyle w:val="1215"/>
        <w:ind w:firstLine="645"/>
        <w:spacing w:line="440" w:lineRule="exact"/>
        <w:rPr>
          <w:rFonts w:hint="eastAsia" w:ascii="宋体" w:hAnsi="宋体"/>
          <w:sz w:val="24"/>
          <w:szCs w:val="24"/>
          <w:highlight w:val="none"/>
        </w:rPr>
      </w:pPr>
      <w:r>
        <w:rPr>
          <w:rFonts w:hint="eastAsia" w:ascii="宋体" w:hAnsi="宋体"/>
          <w:sz w:val="24"/>
          <w:szCs w:val="24"/>
          <w:highlight w:val="none"/>
        </w:rPr>
      </w:r>
      <w:r/>
    </w:p>
    <w:p>
      <w:pPr>
        <w:pStyle w:val="1215"/>
        <w:ind w:firstLine="645"/>
        <w:spacing w:line="440" w:lineRule="exact"/>
        <w:rPr>
          <w:rFonts w:hint="eastAsia"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w:t>
      </w:r>
      <w:r>
        <w:rPr>
          <w:rFonts w:hint="eastAsia" w:ascii="宋体" w:hAnsi="宋体"/>
          <w:sz w:val="24"/>
          <w:szCs w:val="24"/>
          <w:highlight w:val="none"/>
        </w:rPr>
      </w:r>
      <w:r/>
    </w:p>
    <w:p>
      <w:pPr>
        <w:pStyle w:val="1215"/>
        <w:ind w:firstLine="645"/>
        <w:jc w:val="right"/>
        <w:spacing w:line="440" w:lineRule="exact"/>
        <w:rPr>
          <w:rFonts w:ascii="宋体" w:hAnsi="宋体"/>
          <w:sz w:val="24"/>
          <w:szCs w:val="24"/>
          <w:highlight w:val="none"/>
        </w:rPr>
      </w:pPr>
      <w:r>
        <w:rPr>
          <w:rFonts w:hint="eastAsia" w:ascii="宋体" w:hAnsi="宋体"/>
          <w:sz w:val="24"/>
          <w:szCs w:val="24"/>
          <w:highlight w:val="none"/>
        </w:rPr>
        <w:t xml:space="preserve">分包1供应商全称（公章）（若有，请盖章）：</w:t>
      </w:r>
      <w:r>
        <w:rPr>
          <w:rFonts w:ascii="宋体" w:hAnsi="宋体"/>
          <w:sz w:val="24"/>
          <w:szCs w:val="24"/>
          <w:highlight w:val="none"/>
        </w:rPr>
        <w:t xml:space="preserve">     </w:t>
      </w:r>
      <w:r>
        <w:rPr>
          <w:rFonts w:ascii="宋体" w:hAnsi="宋体"/>
          <w:sz w:val="24"/>
          <w:szCs w:val="24"/>
          <w:highlight w:val="none"/>
        </w:rPr>
      </w:r>
      <w:r/>
    </w:p>
    <w:p>
      <w:pPr>
        <w:pStyle w:val="1215"/>
        <w:ind w:firstLine="645"/>
        <w:jc w:val="right"/>
        <w:spacing w:line="440" w:lineRule="exact"/>
        <w:rPr>
          <w:rFonts w:ascii="宋体" w:hAnsi="宋体"/>
          <w:sz w:val="24"/>
          <w:szCs w:val="24"/>
          <w:highlight w:val="none"/>
        </w:rPr>
      </w:pPr>
      <w:r>
        <w:rPr>
          <w:rFonts w:hint="eastAsia" w:ascii="宋体" w:hAnsi="宋体"/>
          <w:sz w:val="24"/>
          <w:szCs w:val="24"/>
          <w:highlight w:val="none"/>
        </w:rPr>
        <w:t xml:space="preserve">分包2供应商全称（公章）（若有，请盖章）：</w:t>
      </w:r>
      <w:r>
        <w:rPr>
          <w:rFonts w:ascii="宋体" w:hAnsi="宋体"/>
          <w:sz w:val="24"/>
          <w:szCs w:val="24"/>
          <w:highlight w:val="none"/>
        </w:rPr>
        <w:t xml:space="preserve">     </w:t>
      </w:r>
      <w:r>
        <w:rPr>
          <w:rFonts w:ascii="宋体" w:hAnsi="宋体"/>
          <w:sz w:val="24"/>
          <w:szCs w:val="24"/>
          <w:highlight w:val="none"/>
        </w:rPr>
      </w:r>
      <w:r/>
    </w:p>
    <w:p>
      <w:pPr>
        <w:pStyle w:val="1293"/>
        <w:tabs>
          <w:tab w:val="center" w:pos="4153" w:leader="none"/>
          <w:tab w:val="right" w:pos="8306" w:leader="none"/>
        </w:tabs>
        <w:rPr>
          <w:highlight w:val="none"/>
        </w:rPr>
      </w:pPr>
      <w:r>
        <w:rPr>
          <w:highlight w:val="none"/>
        </w:rPr>
      </w:r>
      <w:r/>
    </w:p>
    <w:p>
      <w:pPr>
        <w:pStyle w:val="1215"/>
        <w:ind w:firstLine="645"/>
        <w:spacing w:line="440" w:lineRule="exact"/>
        <w:rPr>
          <w:rFonts w:ascii="宋体" w:hAnsi="宋体"/>
          <w:sz w:val="24"/>
          <w:szCs w:val="24"/>
          <w:highlight w:val="none"/>
        </w:rPr>
      </w:pPr>
      <w:r>
        <w:rPr>
          <w:rFonts w:ascii="宋体" w:hAnsi="宋体"/>
          <w:sz w:val="24"/>
          <w:szCs w:val="24"/>
          <w:highlight w:val="none"/>
        </w:rPr>
        <w:t xml:space="preserve">                   </w:t>
      </w:r>
      <w:r>
        <w:rPr>
          <w:rFonts w:hint="eastAsia" w:ascii="宋体" w:hAnsi="宋体"/>
          <w:sz w:val="24"/>
          <w:szCs w:val="24"/>
          <w:highlight w:val="none"/>
        </w:rPr>
        <w:t xml:space="preserve">                     日期：</w:t>
      </w:r>
      <w:r>
        <w:rPr>
          <w:rFonts w:ascii="宋体" w:hAnsi="宋体"/>
          <w:sz w:val="24"/>
          <w:szCs w:val="24"/>
          <w:highlight w:val="none"/>
        </w:rPr>
      </w:r>
      <w:r/>
    </w:p>
    <w:p>
      <w:pPr>
        <w:pStyle w:val="1215"/>
        <w:jc w:val="center"/>
        <w:spacing w:line="440" w:lineRule="exact"/>
        <w:rPr>
          <w:rFonts w:hint="eastAsia" w:ascii="黑体" w:hAnsi="黑体" w:eastAsia="黑体"/>
          <w:b/>
          <w:sz w:val="28"/>
          <w:szCs w:val="28"/>
          <w:highlight w:val="none"/>
        </w:rPr>
      </w:pPr>
      <w:r>
        <w:rPr>
          <w:rFonts w:hint="eastAsia" w:ascii="黑体" w:hAnsi="黑体" w:eastAsia="黑体"/>
          <w:b/>
          <w:sz w:val="28"/>
          <w:szCs w:val="28"/>
          <w:highlight w:val="none"/>
        </w:rPr>
      </w:r>
      <w:r/>
    </w:p>
    <w:p>
      <w:pPr>
        <w:pStyle w:val="1215"/>
        <w:rPr>
          <w:rFonts w:hint="eastAsia"/>
        </w:rPr>
      </w:pPr>
      <w:r>
        <w:rPr>
          <w:rFonts w:hint="eastAsia"/>
        </w:rPr>
      </w:r>
      <w:r/>
    </w:p>
    <w:p>
      <w:pPr>
        <w:pStyle w:val="1215"/>
        <w:rPr>
          <w:rFonts w:hint="eastAsia"/>
        </w:rPr>
      </w:pPr>
      <w:r>
        <w:rPr>
          <w:rFonts w:hint="eastAsia"/>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olor w:val="000000"/>
          <w:sz w:val="24"/>
          <w:szCs w:val="24"/>
          <w:highlight w:val="none"/>
        </w:rPr>
      </w:pPr>
      <w:r>
        <w:rPr>
          <w:rFonts w:hint="eastAsia" w:ascii="宋体" w:hAnsi="宋体"/>
          <w:color w:val="000000"/>
          <w:sz w:val="24"/>
          <w:szCs w:val="24"/>
          <w:highlight w:val="none"/>
        </w:rPr>
      </w:r>
      <w:r/>
    </w:p>
    <w:p>
      <w:pPr>
        <w:pStyle w:val="1215"/>
        <w:jc w:val="center"/>
        <w:spacing w:before="145" w:after="145" w:line="440" w:lineRule="exact"/>
        <w:rPr>
          <w:rFonts w:hint="eastAsia" w:ascii="宋体" w:hAnsi="宋体" w:cs="仿宋"/>
          <w:b/>
          <w:bCs/>
          <w:color w:val="000000"/>
          <w:sz w:val="32"/>
          <w:szCs w:val="32"/>
          <w:highlight w:val="none"/>
        </w:rPr>
      </w:pPr>
      <w:r>
        <w:rPr>
          <w:rFonts w:hint="eastAsia" w:ascii="宋体" w:hAnsi="宋体"/>
          <w:color w:val="000000"/>
          <w:sz w:val="24"/>
          <w:szCs w:val="24"/>
          <w:highlight w:val="none"/>
        </w:rPr>
        <w:t xml:space="preserve">投标单位相关信息一览表</w:t>
      </w:r>
      <w:r>
        <w:rPr>
          <w:rFonts w:hint="eastAsia" w:ascii="宋体" w:hAnsi="宋体" w:cs="仿宋"/>
          <w:b/>
          <w:bCs/>
          <w:color w:val="000000"/>
          <w:sz w:val="32"/>
          <w:szCs w:val="32"/>
          <w:highlight w:val="none"/>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1128"/>
        <w:gridCol w:w="1352"/>
        <w:gridCol w:w="1502"/>
        <w:gridCol w:w="394"/>
        <w:gridCol w:w="383"/>
        <w:gridCol w:w="757"/>
        <w:gridCol w:w="1076"/>
        <w:gridCol w:w="284"/>
        <w:gridCol w:w="924"/>
        <w:gridCol w:w="1369"/>
      </w:tblGrid>
      <w:tr>
        <w:trPr>
          <w:trHeight w:val="506"/>
        </w:trPr>
        <w:tc>
          <w:tcPr>
            <w:shd w:val="clear" w:color="auto" w:fill="d9d9d9"/>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公司基本信息</w:t>
            </w:r>
            <w:r>
              <w:rPr>
                <w:rFonts w:ascii="宋体" w:hAnsi="宋体"/>
                <w:b/>
                <w:color w:val="000000"/>
                <w:sz w:val="24"/>
                <w:szCs w:val="20"/>
                <w:highlight w:val="none"/>
              </w:rPr>
            </w:r>
            <w:r/>
          </w:p>
        </w:tc>
      </w:tr>
      <w:tr>
        <w:trPr>
          <w:trHeight w:val="506"/>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336"/>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公司名称</w:t>
            </w:r>
            <w:r>
              <w:rPr>
                <w:rFonts w:ascii="宋体" w:hAnsi="宋体"/>
                <w:color w:val="000000"/>
                <w:sz w:val="24"/>
                <w:szCs w:val="20"/>
                <w:highlight w:val="none"/>
              </w:rPr>
            </w:r>
            <w:r/>
          </w:p>
        </w:tc>
        <w:tc>
          <w:tcPr>
            <w:gridSpan w:val="8"/>
            <w:tcW w:w="668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55"/>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注册资金</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公司地址</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0"/>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从业人数</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法定代表人</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开户银行</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账号</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项目联系人</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9</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联系电话</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467"/>
        </w:trPr>
        <w:tc>
          <w:tcPr>
            <w:shd w:val="clear" w:color="auto" w:fill="d9d9d9"/>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二</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公司财务状况</w:t>
            </w:r>
            <w:r>
              <w:rPr>
                <w:rFonts w:ascii="宋体" w:hAnsi="宋体"/>
                <w:b/>
                <w:color w:val="000000"/>
                <w:sz w:val="24"/>
                <w:szCs w:val="20"/>
                <w:highlight w:val="none"/>
              </w:rPr>
            </w:r>
            <w:r/>
          </w:p>
        </w:tc>
      </w:tr>
      <w:tr>
        <w:trPr>
          <w:trHeight w:val="467"/>
        </w:trPr>
        <w:tc>
          <w:tcPr>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（一）</w:t>
            </w:r>
            <w:r>
              <w:rPr>
                <w:rFonts w:ascii="宋体" w:hAnsi="宋体"/>
                <w:b/>
                <w:color w:val="000000"/>
                <w:sz w:val="24"/>
                <w:szCs w:val="20"/>
                <w:highlight w:val="none"/>
              </w:rPr>
            </w:r>
            <w:r/>
          </w:p>
        </w:tc>
        <w:tc>
          <w:tcPr>
            <w:gridSpan w:val="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u w:val="single"/>
              </w:rPr>
              <w:t xml:space="preserve">××××</w:t>
            </w:r>
            <w:r>
              <w:rPr>
                <w:rFonts w:hint="eastAsia" w:ascii="宋体" w:hAnsi="宋体"/>
                <w:b/>
                <w:color w:val="000000"/>
                <w:sz w:val="24"/>
                <w:szCs w:val="20"/>
                <w:highlight w:val="none"/>
              </w:rPr>
              <w:t xml:space="preserve">年度财务状况</w:t>
            </w:r>
            <w:r>
              <w:rPr>
                <w:rFonts w:ascii="宋体" w:hAnsi="宋体"/>
                <w:b/>
                <w:color w:val="000000"/>
                <w:sz w:val="24"/>
                <w:szCs w:val="20"/>
                <w:highlight w:val="none"/>
              </w:rPr>
            </w:r>
            <w:r/>
          </w:p>
        </w:tc>
      </w:tr>
      <w:tr>
        <w:trPr>
          <w:trHeight w:val="682"/>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1</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营业收入（万）：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2</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利润总额（万）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3"/>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3</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年末“固定资产合计”（万）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4</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年末“流动资产”余额（万）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72"/>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5</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年末“短期负债”余额（万）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6</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年末“长期负债”余额（万）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768"/>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7</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年末“资产总计”余额（万）</w:t>
            </w:r>
            <w:r>
              <w:rPr>
                <w:rFonts w:ascii="宋体" w:hAnsi="宋体"/>
                <w:color w:val="000000"/>
                <w:sz w:val="24"/>
                <w:szCs w:val="20"/>
                <w:highlight w:val="none"/>
              </w:rPr>
            </w:r>
            <w:r/>
          </w:p>
        </w:tc>
        <w:tc>
          <w:tcPr>
            <w:tcW w:w="81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c>
          <w:tcPr>
            <w:gridSpan w:val="2"/>
            <w:tcW w:w="77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8</w:t>
            </w:r>
            <w:r>
              <w:rPr>
                <w:rFonts w:ascii="宋体" w:hAnsi="宋体"/>
                <w:color w:val="000000"/>
                <w:sz w:val="24"/>
                <w:szCs w:val="20"/>
                <w:highlight w:val="none"/>
              </w:rPr>
            </w:r>
            <w:r/>
          </w:p>
        </w:tc>
        <w:tc>
          <w:tcPr>
            <w:gridSpan w:val="3"/>
            <w:tcW w:w="211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年末“货币资金”余额（万）</w:t>
            </w:r>
            <w:r>
              <w:rPr>
                <w:rFonts w:ascii="宋体" w:hAnsi="宋体"/>
                <w:color w:val="000000"/>
                <w:sz w:val="24"/>
                <w:szCs w:val="20"/>
                <w:highlight w:val="none"/>
              </w:rPr>
            </w:r>
            <w:r/>
          </w:p>
        </w:tc>
        <w:tc>
          <w:tcPr>
            <w:gridSpan w:val="2"/>
            <w:tcW w:w="2293"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47"/>
        </w:trPr>
        <w:tc>
          <w:tcPr>
            <w:shd w:val="clear" w:color="auto" w:fill="d9d9d9"/>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三</w:t>
            </w:r>
            <w:r>
              <w:rPr>
                <w:rFonts w:ascii="宋体" w:hAnsi="宋体"/>
                <w:b/>
                <w:color w:val="000000"/>
                <w:sz w:val="24"/>
                <w:szCs w:val="20"/>
                <w:highlight w:val="none"/>
              </w:rPr>
            </w:r>
            <w:r/>
          </w:p>
        </w:tc>
        <w:tc>
          <w:tcPr>
            <w:gridSpan w:val="9"/>
            <w:shd w:val="clear" w:color="auto" w:fill="d9d9d9"/>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lang w:eastAsia="zh-CN"/>
              </w:rPr>
              <w:t xml:space="preserve">投标人</w:t>
            </w:r>
            <w:r>
              <w:rPr>
                <w:rFonts w:hint="eastAsia" w:ascii="宋体" w:hAnsi="宋体"/>
                <w:b/>
                <w:color w:val="000000"/>
                <w:sz w:val="24"/>
                <w:szCs w:val="20"/>
                <w:highlight w:val="none"/>
              </w:rPr>
              <w:t xml:space="preserve">其他信息</w:t>
            </w:r>
            <w:r>
              <w:rPr>
                <w:rFonts w:ascii="宋体" w:hAnsi="宋体"/>
                <w:b/>
                <w:color w:val="000000"/>
                <w:sz w:val="24"/>
                <w:szCs w:val="20"/>
                <w:highlight w:val="none"/>
              </w:rPr>
            </w:r>
            <w:r/>
          </w:p>
        </w:tc>
      </w:tr>
      <w:tr>
        <w:trPr>
          <w:trHeight w:val="1015"/>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（一）</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公司取得的相关资质及等级：</w:t>
            </w:r>
            <w:r>
              <w:rPr>
                <w:rFonts w:ascii="宋体" w:hAnsi="宋体"/>
                <w:color w:val="000000"/>
                <w:sz w:val="24"/>
                <w:szCs w:val="20"/>
                <w:highlight w:val="none"/>
              </w:rPr>
            </w:r>
            <w:r/>
          </w:p>
        </w:tc>
        <w:tc>
          <w:tcPr>
            <w:gridSpan w:val="8"/>
            <w:tcW w:w="668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1086"/>
        </w:trPr>
        <w:tc>
          <w:tcPr>
            <w:tcW w:w="615"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（二）</w:t>
            </w:r>
            <w:r>
              <w:rPr>
                <w:rFonts w:ascii="宋体" w:hAnsi="宋体"/>
                <w:color w:val="000000"/>
                <w:sz w:val="24"/>
                <w:szCs w:val="20"/>
                <w:highlight w:val="none"/>
              </w:rPr>
            </w:r>
            <w:r/>
          </w:p>
        </w:tc>
        <w:tc>
          <w:tcPr>
            <w:tcW w:w="737" w:type="dxa"/>
            <w:vAlign w:val="center"/>
            <w:textDirection w:val="lrTb"/>
            <w:noWrap w:val="false"/>
          </w:tcPr>
          <w:p>
            <w:pPr>
              <w:pStyle w:val="1336"/>
              <w:jc w:val="center"/>
              <w:spacing w:line="440" w:lineRule="exact"/>
              <w:rPr>
                <w:rFonts w:ascii="宋体" w:hAnsi="宋体"/>
                <w:color w:val="000000"/>
                <w:sz w:val="24"/>
                <w:szCs w:val="20"/>
                <w:highlight w:val="none"/>
              </w:rPr>
            </w:pPr>
            <w:r>
              <w:rPr>
                <w:rFonts w:hint="eastAsia" w:ascii="宋体" w:hAnsi="宋体"/>
                <w:color w:val="000000"/>
                <w:sz w:val="24"/>
                <w:szCs w:val="20"/>
                <w:highlight w:val="none"/>
              </w:rPr>
              <w:t xml:space="preserve">公司</w:t>
            </w:r>
            <w:r>
              <w:rPr>
                <w:rFonts w:hint="eastAsia" w:ascii="宋体" w:hAnsi="宋体"/>
                <w:b/>
                <w:color w:val="000000"/>
                <w:sz w:val="24"/>
                <w:szCs w:val="20"/>
                <w:highlight w:val="none"/>
                <w:u w:val="single"/>
              </w:rPr>
              <w:t xml:space="preserve">××××</w:t>
            </w:r>
            <w:r>
              <w:rPr>
                <w:rFonts w:hint="eastAsia" w:ascii="宋体" w:hAnsi="宋体"/>
                <w:color w:val="000000"/>
                <w:sz w:val="24"/>
                <w:szCs w:val="20"/>
                <w:highlight w:val="none"/>
              </w:rPr>
              <w:t xml:space="preserve">年度后获得的荣誉及表彰情况</w:t>
            </w:r>
            <w:r>
              <w:rPr>
                <w:rFonts w:ascii="宋体" w:hAnsi="宋体"/>
                <w:color w:val="000000"/>
                <w:sz w:val="24"/>
                <w:szCs w:val="20"/>
                <w:highlight w:val="none"/>
              </w:rPr>
            </w:r>
            <w:r/>
          </w:p>
        </w:tc>
        <w:tc>
          <w:tcPr>
            <w:gridSpan w:val="8"/>
            <w:tcW w:w="6689" w:type="dxa"/>
            <w:vAlign w:val="center"/>
            <w:textDirection w:val="lrTb"/>
            <w:noWrap w:val="false"/>
          </w:tcPr>
          <w:p>
            <w:pPr>
              <w:pStyle w:val="1336"/>
              <w:jc w:val="center"/>
              <w:spacing w:line="440" w:lineRule="exact"/>
              <w:rPr>
                <w:rFonts w:ascii="宋体" w:hAnsi="宋体"/>
                <w:color w:val="000000"/>
                <w:sz w:val="24"/>
                <w:szCs w:val="20"/>
                <w:highlight w:val="none"/>
              </w:rPr>
            </w:pPr>
            <w:r>
              <w:rPr>
                <w:rFonts w:ascii="宋体" w:hAnsi="宋体"/>
                <w:color w:val="000000"/>
                <w:sz w:val="24"/>
                <w:szCs w:val="20"/>
                <w:highlight w:val="none"/>
              </w:rPr>
            </w:r>
            <w:r/>
          </w:p>
        </w:tc>
      </w:tr>
      <w:tr>
        <w:trPr>
          <w:trHeight w:val="557"/>
        </w:trPr>
        <w:tc>
          <w:tcPr>
            <w:shd w:val="clear" w:color="auto" w:fill="bfbfb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四</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提供本项目服务所必须的专业设备一览表 </w:t>
            </w:r>
            <w:r>
              <w:rPr>
                <w:rFonts w:ascii="宋体" w:hAnsi="宋体"/>
                <w:b/>
                <w:color w:val="000000"/>
                <w:sz w:val="24"/>
                <w:szCs w:val="20"/>
                <w:highlight w:val="none"/>
              </w:rPr>
            </w:r>
            <w:r/>
          </w:p>
        </w:tc>
      </w:tr>
      <w:tr>
        <w:trPr>
          <w:trHeight w:val="459"/>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序号</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品牌、型号及主要参数配置简述</w:t>
            </w: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购置年份</w:t>
            </w: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价格</w:t>
            </w: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数量</w:t>
            </w: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用途</w:t>
            </w:r>
            <w:r>
              <w:rPr>
                <w:rFonts w:ascii="宋体" w:hAnsi="宋体"/>
                <w:b/>
                <w:color w:val="000000"/>
                <w:sz w:val="24"/>
                <w:szCs w:val="20"/>
                <w:highlight w:val="none"/>
              </w:rPr>
            </w:r>
            <w:r/>
          </w:p>
        </w:tc>
      </w:tr>
      <w:tr>
        <w:trPr>
          <w:trHeight w:val="483"/>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1</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46"/>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2</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60"/>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3</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53"/>
        </w:trPr>
        <w:tc>
          <w:tcPr>
            <w:shd w:val="clear" w:color="auto" w:fill="fffff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t xml:space="preserve">…</w:t>
            </w:r>
            <w:r>
              <w:rPr>
                <w:rFonts w:ascii="宋体" w:hAnsi="宋体"/>
                <w:b/>
                <w:color w:val="000000"/>
                <w:sz w:val="24"/>
                <w:szCs w:val="20"/>
                <w:highlight w:val="none"/>
              </w:rPr>
            </w:r>
            <w:r/>
          </w:p>
        </w:tc>
        <w:tc>
          <w:tcPr>
            <w:gridSpan w:val="3"/>
            <w:shd w:val="clear" w:color="auto" w:fill="ffffff"/>
            <w:tcW w:w="324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140"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587"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gridSpan w:val="2"/>
            <w:shd w:val="clear" w:color="auto" w:fill="ffffff"/>
            <w:tcW w:w="1208"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c>
          <w:tcPr>
            <w:shd w:val="clear" w:color="auto" w:fill="ffffff"/>
            <w:tcW w:w="743"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r>
        <w:trPr>
          <w:trHeight w:val="575"/>
        </w:trPr>
        <w:tc>
          <w:tcPr>
            <w:shd w:val="clear" w:color="auto" w:fill="bfbfbf"/>
            <w:tcW w:w="615"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五</w:t>
            </w:r>
            <w:r>
              <w:rPr>
                <w:rFonts w:ascii="宋体" w:hAnsi="宋体"/>
                <w:b/>
                <w:color w:val="000000"/>
                <w:sz w:val="24"/>
                <w:szCs w:val="20"/>
                <w:highlight w:val="none"/>
              </w:rPr>
            </w:r>
            <w:r/>
          </w:p>
        </w:tc>
        <w:tc>
          <w:tcPr>
            <w:gridSpan w:val="9"/>
            <w:shd w:val="clear" w:color="auto" w:fill="bfbfbf"/>
            <w:tcW w:w="8041"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hint="eastAsia" w:ascii="宋体" w:hAnsi="宋体"/>
                <w:b/>
                <w:color w:val="000000"/>
                <w:sz w:val="24"/>
                <w:szCs w:val="20"/>
                <w:highlight w:val="none"/>
              </w:rPr>
              <w:t xml:space="preserve">提供本项目服务所必须的专业技术能力</w:t>
            </w:r>
            <w:r>
              <w:rPr>
                <w:rFonts w:ascii="宋体" w:hAnsi="宋体"/>
                <w:b/>
                <w:color w:val="000000"/>
                <w:sz w:val="24"/>
                <w:szCs w:val="20"/>
                <w:highlight w:val="none"/>
              </w:rPr>
            </w:r>
            <w:r/>
          </w:p>
        </w:tc>
      </w:tr>
      <w:tr>
        <w:trPr>
          <w:trHeight w:val="1630"/>
        </w:trPr>
        <w:tc>
          <w:tcPr>
            <w:gridSpan w:val="10"/>
            <w:shd w:val="clear" w:color="auto" w:fill="ffffff"/>
            <w:tcW w:w="9169" w:type="dxa"/>
            <w:vAlign w:val="center"/>
            <w:textDirection w:val="lrTb"/>
            <w:noWrap w:val="false"/>
          </w:tcPr>
          <w:p>
            <w:pPr>
              <w:pStyle w:val="1336"/>
              <w:jc w:val="center"/>
              <w:spacing w:line="440" w:lineRule="exact"/>
              <w:rPr>
                <w:rFonts w:ascii="宋体" w:hAnsi="宋体"/>
                <w:b/>
                <w:color w:val="000000"/>
                <w:sz w:val="24"/>
                <w:szCs w:val="20"/>
                <w:highlight w:val="none"/>
              </w:rPr>
            </w:pPr>
            <w:r>
              <w:rPr>
                <w:rFonts w:ascii="宋体" w:hAnsi="宋体"/>
                <w:b/>
                <w:color w:val="000000"/>
                <w:sz w:val="24"/>
                <w:szCs w:val="20"/>
                <w:highlight w:val="none"/>
              </w:rPr>
            </w:r>
            <w:r/>
          </w:p>
        </w:tc>
      </w:tr>
    </w:tbl>
    <w:p>
      <w:pPr>
        <w:pStyle w:val="1336"/>
        <w:jc w:val="left"/>
        <w:spacing w:line="440" w:lineRule="exact"/>
        <w:widowControl/>
        <w:rPr>
          <w:rFonts w:ascii="宋体" w:hAnsi="宋体"/>
          <w:b/>
          <w:bCs/>
          <w:color w:val="000000"/>
          <w:sz w:val="32"/>
          <w:szCs w:val="32"/>
          <w:highlight w:val="none"/>
        </w:rPr>
      </w:pPr>
      <w:r>
        <w:rPr>
          <w:rFonts w:ascii="宋体" w:hAnsi="宋体"/>
          <w:b/>
          <w:bCs/>
          <w:color w:val="000000"/>
          <w:sz w:val="32"/>
          <w:szCs w:val="32"/>
          <w:highlight w:val="none"/>
        </w:rPr>
      </w:r>
      <w:r/>
    </w:p>
    <w:p>
      <w:pPr>
        <w:pStyle w:val="1336"/>
        <w:spacing w:line="440" w:lineRule="exact"/>
        <w:rPr>
          <w:rFonts w:ascii="宋体" w:hAnsi="宋体"/>
          <w:color w:val="000000"/>
          <w:sz w:val="24"/>
          <w:highlight w:val="none"/>
          <w:u w:val="single"/>
        </w:rPr>
      </w:pPr>
      <w:r>
        <w:rPr>
          <w:rFonts w:hint="eastAsia" w:ascii="宋体" w:hAnsi="宋体"/>
          <w:color w:val="000000"/>
          <w:sz w:val="24"/>
          <w:highlight w:val="none"/>
        </w:rPr>
        <w:t xml:space="preserve">注：1、</w:t>
      </w:r>
      <w:r>
        <w:rPr>
          <w:rFonts w:hint="eastAsia" w:ascii="宋体" w:hAnsi="宋体"/>
          <w:color w:val="000000"/>
          <w:sz w:val="24"/>
          <w:highlight w:val="none"/>
          <w:u w:val="single"/>
        </w:rPr>
        <w:t xml:space="preserve">如行数不够请自行添加。</w:t>
      </w:r>
      <w:r>
        <w:rPr>
          <w:rFonts w:ascii="宋体" w:hAnsi="宋体"/>
          <w:color w:val="000000"/>
          <w:sz w:val="24"/>
          <w:highlight w:val="none"/>
          <w:u w:val="single"/>
        </w:rPr>
      </w:r>
      <w:r/>
    </w:p>
    <w:p>
      <w:pPr>
        <w:pStyle w:val="1215"/>
        <w:jc w:val="center"/>
        <w:spacing w:line="440" w:lineRule="exact"/>
        <w:rPr>
          <w:rFonts w:ascii="宋体" w:hAnsi="宋体" w:cs="仿宋"/>
          <w:b/>
          <w:bCs/>
          <w:color w:val="000000"/>
          <w:sz w:val="32"/>
          <w:szCs w:val="32"/>
          <w:highlight w:val="none"/>
        </w:rPr>
      </w:pPr>
      <w:r>
        <w:rPr>
          <w:rFonts w:hint="eastAsia" w:ascii="宋体" w:hAnsi="宋体" w:cs="仿宋"/>
          <w:b/>
          <w:bCs/>
          <w:color w:val="000000"/>
          <w:sz w:val="32"/>
          <w:szCs w:val="32"/>
          <w:highlight w:val="none"/>
        </w:rPr>
        <w:br w:type="page" w:clear="all"/>
      </w:r>
      <w:r>
        <w:rPr>
          <w:rFonts w:hint="eastAsia" w:ascii="宋体" w:hAnsi="宋体" w:cs="仿宋"/>
          <w:b/>
          <w:bCs/>
          <w:color w:val="000000"/>
          <w:sz w:val="32"/>
          <w:szCs w:val="32"/>
          <w:highlight w:val="none"/>
        </w:rPr>
        <w:t xml:space="preserve">质疑函范本</w:t>
      </w:r>
      <w:r>
        <w:rPr>
          <w:rFonts w:ascii="宋体" w:hAnsi="宋体" w:cs="仿宋"/>
          <w:b/>
          <w:bCs/>
          <w:color w:val="000000"/>
          <w:sz w:val="32"/>
          <w:szCs w:val="32"/>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一、质疑</w:t>
      </w:r>
      <w:r>
        <w:rPr>
          <w:rFonts w:hint="eastAsia" w:ascii="宋体" w:hAnsi="宋体" w:cs="仿宋"/>
          <w:bCs/>
          <w:color w:val="000000"/>
          <w:sz w:val="24"/>
          <w:szCs w:val="24"/>
          <w:highlight w:val="none"/>
          <w:lang w:eastAsia="zh-CN"/>
        </w:rPr>
        <w:t xml:space="preserve">投标人</w:t>
      </w:r>
      <w:r>
        <w:rPr>
          <w:rFonts w:hint="eastAsia" w:ascii="宋体" w:hAnsi="宋体" w:cs="仿宋"/>
          <w:bCs/>
          <w:color w:val="000000"/>
          <w:sz w:val="24"/>
          <w:szCs w:val="24"/>
          <w:highlight w:val="none"/>
        </w:rPr>
        <w:t xml:space="preserve">基本信息</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w:t>
      </w:r>
      <w:r>
        <w:rPr>
          <w:rFonts w:hint="eastAsia" w:ascii="宋体" w:hAnsi="宋体" w:cs="仿宋"/>
          <w:color w:val="000000"/>
          <w:sz w:val="24"/>
          <w:szCs w:val="24"/>
          <w:highlight w:val="none"/>
          <w:lang w:eastAsia="zh-CN"/>
        </w:rPr>
        <w:t xml:space="preserve">投标人</w:t>
      </w:r>
      <w:r>
        <w:rPr>
          <w:rFonts w:hint="eastAsia" w:ascii="宋体" w:hAnsi="宋体" w:cs="仿宋"/>
          <w:color w:val="000000"/>
          <w:sz w:val="24"/>
          <w:szCs w:val="24"/>
          <w:highlight w:val="none"/>
        </w:rPr>
        <w:t xml:space="preserve">：</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联系人：</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授权代表：</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联系电话：</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地址：</w:t>
      </w:r>
      <w:r>
        <w:rPr>
          <w:rFonts w:ascii="宋体" w:hAnsi="宋体" w:cs="仿宋"/>
          <w:color w:val="000000"/>
          <w:sz w:val="24"/>
          <w:szCs w:val="24"/>
          <w:highlight w:val="none"/>
        </w:rPr>
        <w:t xml:space="preserve"> </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邮编：</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二、质疑项目基本情况</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质疑项目的编号：</w:t>
      </w:r>
      <w:r>
        <w:rPr>
          <w:rFonts w:hint="eastAsia" w:ascii="宋体" w:hAnsi="宋体" w:cs="仿宋"/>
          <w:color w:val="000000"/>
          <w:sz w:val="24"/>
          <w:szCs w:val="24"/>
          <w:highlight w:val="none"/>
          <w:u w:val="single"/>
        </w:rPr>
        <w:t xml:space="preserve">                         </w:t>
      </w:r>
      <w:r>
        <w:rPr>
          <w:rFonts w:hint="eastAsia" w:ascii="宋体" w:hAnsi="宋体" w:cs="仿宋"/>
          <w:color w:val="000000"/>
          <w:sz w:val="24"/>
          <w:szCs w:val="24"/>
          <w:highlight w:val="none"/>
        </w:rPr>
        <w:t xml:space="preserve">包号：</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olor w:val="000000"/>
          <w:sz w:val="24"/>
          <w:highlight w:val="none"/>
        </w:rPr>
        <w:t xml:space="preserve">招标</w:t>
      </w:r>
      <w:r>
        <w:rPr>
          <w:rFonts w:hint="eastAsia" w:ascii="宋体" w:hAnsi="宋体" w:cs="仿宋"/>
          <w:color w:val="000000"/>
          <w:sz w:val="24"/>
          <w:szCs w:val="24"/>
          <w:highlight w:val="none"/>
        </w:rPr>
        <w:t xml:space="preserve">人名称：</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文件获取日期：</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三、质疑事项具体内容</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质疑事项1：</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事实依据：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法律依据：</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质疑事项2</w:t>
      </w:r>
      <w:r>
        <w:rPr>
          <w:rFonts w:ascii="宋体" w:hAnsi="宋体" w:cs="仿宋"/>
          <w:color w:val="000000"/>
          <w:sz w:val="24"/>
          <w:szCs w:val="24"/>
          <w:highlight w:val="none"/>
          <w:u w:val="single"/>
        </w:rPr>
      </w:r>
      <w:r/>
    </w:p>
    <w:p>
      <w:pPr>
        <w:pStyle w:val="1215"/>
        <w:spacing w:line="440" w:lineRule="exact"/>
        <w:rPr>
          <w:rFonts w:ascii="宋体" w:hAnsi="宋体" w:cs="仿宋"/>
          <w:color w:val="000000"/>
          <w:sz w:val="24"/>
          <w:szCs w:val="24"/>
          <w:highlight w:val="none"/>
        </w:rPr>
      </w:pPr>
      <w:r>
        <w:rPr>
          <w:rFonts w:hint="eastAsia" w:ascii="宋体" w:hAnsi="宋体" w:cs="仿宋"/>
          <w:color w:val="000000"/>
          <w:sz w:val="24"/>
          <w:szCs w:val="24"/>
          <w:highlight w:val="none"/>
        </w:rPr>
        <w:t xml:space="preserve">……</w:t>
      </w:r>
      <w:r>
        <w:rPr>
          <w:rFonts w:ascii="宋体" w:hAnsi="宋体" w:cs="仿宋"/>
          <w:color w:val="000000"/>
          <w:sz w:val="24"/>
          <w:szCs w:val="24"/>
          <w:highlight w:val="none"/>
        </w:rPr>
      </w:r>
      <w:r/>
    </w:p>
    <w:p>
      <w:pPr>
        <w:pStyle w:val="1215"/>
        <w:spacing w:line="440" w:lineRule="exact"/>
        <w:rPr>
          <w:rFonts w:ascii="宋体" w:hAnsi="宋体" w:cs="仿宋"/>
          <w:bCs/>
          <w:color w:val="000000"/>
          <w:sz w:val="24"/>
          <w:szCs w:val="24"/>
          <w:highlight w:val="none"/>
        </w:rPr>
      </w:pPr>
      <w:r>
        <w:rPr>
          <w:rFonts w:hint="eastAsia" w:ascii="宋体" w:hAnsi="宋体" w:cs="仿宋"/>
          <w:bCs/>
          <w:color w:val="000000"/>
          <w:sz w:val="24"/>
          <w:szCs w:val="24"/>
          <w:highlight w:val="none"/>
        </w:rPr>
        <w:t xml:space="preserve">四、与质疑事项相关的质疑请求</w:t>
      </w:r>
      <w:r>
        <w:rPr>
          <w:rFonts w:ascii="宋体" w:hAnsi="宋体" w:cs="仿宋"/>
          <w:bCs/>
          <w:color w:val="000000"/>
          <w:sz w:val="24"/>
          <w:szCs w:val="24"/>
          <w:highlight w:val="none"/>
        </w:rPr>
      </w:r>
      <w:r/>
    </w:p>
    <w:p>
      <w:pPr>
        <w:pStyle w:val="1215"/>
        <w:spacing w:line="440" w:lineRule="exact"/>
        <w:rPr>
          <w:rFonts w:ascii="宋体" w:hAnsi="宋体" w:cs="仿宋"/>
          <w:color w:val="000000"/>
          <w:sz w:val="24"/>
          <w:szCs w:val="24"/>
          <w:highlight w:val="none"/>
          <w:u w:val="single"/>
        </w:rPr>
      </w:pPr>
      <w:r>
        <w:rPr>
          <w:rFonts w:hint="eastAsia" w:ascii="宋体" w:hAnsi="宋体" w:cs="仿宋"/>
          <w:color w:val="000000"/>
          <w:sz w:val="24"/>
          <w:szCs w:val="24"/>
          <w:highlight w:val="none"/>
        </w:rPr>
        <w:t xml:space="preserve">请求：</w:t>
      </w:r>
      <w:r>
        <w:rPr>
          <w:rFonts w:hint="eastAsia" w:ascii="宋体" w:hAnsi="宋体" w:cs="仿宋"/>
          <w:color w:val="000000"/>
          <w:sz w:val="24"/>
          <w:szCs w:val="24"/>
          <w:highlight w:val="none"/>
          <w:u w:val="single"/>
        </w:rPr>
        <w:t xml:space="preserve">                                                                     </w:t>
      </w:r>
      <w:r>
        <w:rPr>
          <w:rFonts w:ascii="宋体" w:hAnsi="宋体" w:cs="仿宋"/>
          <w:color w:val="000000"/>
          <w:sz w:val="24"/>
          <w:szCs w:val="24"/>
          <w:highlight w:val="none"/>
          <w:u w:val="single"/>
        </w:rPr>
      </w:r>
      <w:r/>
    </w:p>
    <w:p>
      <w:pPr>
        <w:pStyle w:val="121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签字(签章)：                   公章：                      </w:t>
      </w:r>
      <w:r>
        <w:rPr>
          <w:rFonts w:ascii="宋体" w:hAnsi="宋体"/>
          <w:color w:val="000000"/>
          <w:sz w:val="24"/>
          <w:szCs w:val="24"/>
          <w:highlight w:val="none"/>
        </w:rPr>
      </w:r>
      <w:r/>
    </w:p>
    <w:p>
      <w:pPr>
        <w:pStyle w:val="1215"/>
        <w:spacing w:line="440" w:lineRule="exact"/>
        <w:rPr>
          <w:rFonts w:ascii="宋体" w:hAnsi="宋体"/>
          <w:color w:val="000000"/>
          <w:sz w:val="24"/>
          <w:szCs w:val="24"/>
          <w:highlight w:val="none"/>
        </w:rPr>
      </w:pPr>
      <w:r>
        <w:rPr>
          <w:rFonts w:hint="eastAsia" w:ascii="宋体" w:hAnsi="宋体"/>
          <w:color w:val="000000"/>
          <w:sz w:val="24"/>
          <w:szCs w:val="24"/>
          <w:highlight w:val="none"/>
        </w:rPr>
        <w:t xml:space="preserve">日期：    </w:t>
      </w:r>
      <w:r>
        <w:rPr>
          <w:rFonts w:ascii="宋体" w:hAnsi="宋体"/>
          <w:color w:val="000000"/>
          <w:sz w:val="24"/>
          <w:szCs w:val="24"/>
          <w:highlight w:val="none"/>
        </w:rPr>
      </w:r>
      <w:r/>
    </w:p>
    <w:p>
      <w:pPr>
        <w:pStyle w:val="1215"/>
        <w:spacing w:line="440" w:lineRule="exact"/>
        <w:rPr>
          <w:rFonts w:ascii="宋体" w:hAnsi="宋体"/>
          <w:b/>
          <w:color w:val="000000"/>
          <w:sz w:val="24"/>
          <w:szCs w:val="24"/>
          <w:highlight w:val="none"/>
        </w:rPr>
      </w:pPr>
      <w:r>
        <w:rPr>
          <w:rFonts w:hint="eastAsia" w:ascii="宋体" w:hAnsi="宋体"/>
          <w:b/>
          <w:color w:val="000000"/>
          <w:sz w:val="24"/>
          <w:szCs w:val="24"/>
          <w:highlight w:val="none"/>
        </w:rPr>
        <w:t xml:space="preserve">质疑函制作说明：</w:t>
      </w:r>
      <w:r>
        <w:rPr>
          <w:rFonts w:ascii="宋体" w:hAnsi="宋体"/>
          <w:b/>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1.</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提出质疑时，应提交质疑函和必要的证明材料。</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2.质疑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若委托代理人进行质疑的，质疑函应按要求列明“授权代表”的有关内容，并在附件中提交由质疑</w:t>
      </w:r>
      <w:r>
        <w:rPr>
          <w:rFonts w:hint="eastAsia" w:ascii="宋体" w:hAnsi="宋体" w:cs="宋体"/>
          <w:color w:val="000000"/>
          <w:sz w:val="24"/>
          <w:szCs w:val="24"/>
          <w:highlight w:val="none"/>
          <w:lang w:eastAsia="zh-CN"/>
        </w:rPr>
        <w:t xml:space="preserve">投标人</w:t>
      </w:r>
      <w:r>
        <w:rPr>
          <w:rFonts w:hint="eastAsia" w:ascii="宋体" w:hAnsi="宋体" w:cs="宋体"/>
          <w:color w:val="000000"/>
          <w:sz w:val="24"/>
          <w:szCs w:val="24"/>
          <w:highlight w:val="none"/>
        </w:rPr>
        <w:t xml:space="preserve">签署的授权委托书。授权委托书应载明代理人的姓名或者名称、代理事项、具体权限、期限和相关事项。</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3.质疑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若对项目的某一分包进行质疑，质疑函中应列明具体分包号。</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4.质疑函的质疑事项应具体、明确，并有必要的事实依据和法律依据。</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5.质疑函的质疑请求应与质疑事项相关。</w:t>
      </w:r>
      <w:r>
        <w:rPr>
          <w:rFonts w:ascii="宋体" w:hAnsi="宋体"/>
          <w:color w:val="000000"/>
          <w:sz w:val="24"/>
          <w:szCs w:val="24"/>
          <w:highlight w:val="none"/>
        </w:rPr>
      </w:r>
      <w:r/>
    </w:p>
    <w:p>
      <w:pPr>
        <w:pStyle w:val="1215"/>
        <w:ind w:firstLine="480"/>
        <w:jc w:val="left"/>
        <w:spacing w:line="440" w:lineRule="exact"/>
        <w:widowControl/>
        <w:rPr>
          <w:rFonts w:ascii="宋体" w:hAnsi="宋体"/>
          <w:color w:val="000000"/>
          <w:sz w:val="24"/>
          <w:szCs w:val="24"/>
          <w:highlight w:val="none"/>
        </w:rPr>
      </w:pPr>
      <w:r>
        <w:rPr>
          <w:rFonts w:hint="eastAsia" w:ascii="宋体" w:hAnsi="宋体"/>
          <w:color w:val="000000"/>
          <w:sz w:val="24"/>
          <w:szCs w:val="24"/>
          <w:highlight w:val="none"/>
        </w:rPr>
        <w:t xml:space="preserve">6.质疑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为自然人的，质疑函应由本人签字；质疑</w:t>
      </w:r>
      <w:r>
        <w:rPr>
          <w:rFonts w:hint="eastAsia" w:ascii="宋体" w:hAnsi="宋体"/>
          <w:color w:val="000000"/>
          <w:sz w:val="24"/>
          <w:szCs w:val="24"/>
          <w:highlight w:val="none"/>
          <w:lang w:eastAsia="zh-CN"/>
        </w:rPr>
        <w:t xml:space="preserve">投标人</w:t>
      </w:r>
      <w:r>
        <w:rPr>
          <w:rFonts w:hint="eastAsia" w:ascii="宋体" w:hAnsi="宋体"/>
          <w:color w:val="000000"/>
          <w:sz w:val="24"/>
          <w:szCs w:val="24"/>
          <w:highlight w:val="none"/>
        </w:rPr>
        <w:t xml:space="preserve">为法人或者其他组织的，质疑函应由法定代表人、主要负责人，或者其授权代表签字或者盖章，并加盖公章。</w:t>
      </w:r>
      <w:r>
        <w:rPr>
          <w:rFonts w:ascii="宋体" w:hAnsi="宋体"/>
          <w:color w:val="000000"/>
          <w:sz w:val="24"/>
          <w:szCs w:val="24"/>
          <w:highlight w:val="none"/>
        </w:rPr>
      </w:r>
      <w:r/>
    </w:p>
    <w:p>
      <w:pPr>
        <w:pStyle w:val="1230"/>
        <w:spacing w:line="440" w:lineRule="exact"/>
        <w:rPr>
          <w:rFonts w:hint="eastAsia"/>
          <w:color w:val="000000"/>
          <w:sz w:val="24"/>
          <w:szCs w:val="24"/>
          <w:highlight w:val="none"/>
        </w:rPr>
      </w:pPr>
      <w:r>
        <w:rPr>
          <w:rFonts w:hint="eastAsia"/>
          <w:color w:val="000000"/>
          <w:sz w:val="24"/>
          <w:szCs w:val="24"/>
          <w:highlight w:val="none"/>
        </w:rPr>
      </w:r>
      <w:r/>
    </w:p>
    <w:p>
      <w:pPr>
        <w:pStyle w:val="1230"/>
        <w:spacing w:line="440" w:lineRule="exact"/>
        <w:rPr>
          <w:color w:val="000000"/>
          <w:sz w:val="24"/>
          <w:szCs w:val="24"/>
          <w:highlight w:val="none"/>
        </w:rPr>
      </w:pPr>
      <w:r>
        <w:rPr>
          <w:color w:val="000000"/>
          <w:sz w:val="24"/>
          <w:szCs w:val="24"/>
          <w:highlight w:val="none"/>
        </w:rPr>
      </w:r>
      <w:r/>
    </w:p>
    <w:sectPr>
      <w:footerReference w:type="default" r:id="rId15"/>
      <w:footerReference w:type="first" r:id="rId16"/>
      <w:footnotePr/>
      <w:endnotePr/>
      <w:type w:val="nextPage"/>
      <w:pgSz w:w="11906" w:h="16838" w:orient="portrait"/>
      <w:pgMar w:top="1418" w:right="1588" w:bottom="1418" w:left="1365" w:header="851" w:footer="907" w:gutter="0"/>
      <w:pgNumType w:start="63"/>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魏碑_GBK">
    <w:panose1 w:val="020B0503020202020204"/>
  </w:font>
  <w:font w:name="Segoe UI">
    <w:panose1 w:val="020B0502040204020203"/>
  </w:font>
  <w:font w:name="Cambria">
    <w:panose1 w:val="02040503050406030204"/>
  </w:font>
  <w:font w:name="华文新魏">
    <w:panose1 w:val="02010800040101010101"/>
  </w:font>
  <w:font w:name="Showcard Gothic">
    <w:panose1 w:val="04020904020102020604"/>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微软雅黑">
    <w:panose1 w:val="020B0503020204020204"/>
  </w:font>
  <w:font w:name="Calibri">
    <w:panose1 w:val="020F0502020204030204"/>
  </w:font>
  <w:font w:name="Courier New">
    <w:panose1 w:val="02070309020205020404"/>
  </w:font>
  <w:font w:name="仿宋_GB2312">
    <w:panose1 w:val="02010609060101010101"/>
  </w:font>
  <w:font w:name="Verdana">
    <w:panose1 w:val="020B0604030504040204"/>
  </w:font>
  <w:font w:name="幼圆">
    <w:panose1 w:val="02010509060101010101"/>
  </w:font>
  <w:font w:name="黑体">
    <w:panose1 w:val="02010609060101010101"/>
  </w:font>
  <w:font w:name="楷体_GB2312">
    <w:panose1 w:val="02010609060101010101"/>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39"/>
      <w:ind w:firstLine="0"/>
      <w:spacing w:line="0" w:lineRule="atLeast"/>
      <w:widowControl w:val="off"/>
      <w:tabs>
        <w:tab w:val="left" w:pos="4138" w:leader="none"/>
        <w:tab w:val="left" w:pos="8005" w:leader="none"/>
      </w:tabs>
    </w:pPr>
    <w:r>
      <mc:AlternateContent>
        <mc:Choice Requires="wpg">
          <w:drawing>
            <wp:anchor xmlns:wp="http://schemas.openxmlformats.org/drawingml/2006/wordprocessingDrawing" xmlns:wp14="http://schemas.microsoft.com/office/word/2010/wordprocessingDrawing" distT="0" distB="0" distL="114300" distR="114300" simplePos="0" relativeHeight="251658250"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1215"/>
                          </w:pPr>
                          <w:r/>
                          <w:r/>
                        </w:p>
                      </w:txbxContent>
                    </wps:txbx>
                    <wps:bodyPr wrap="none" lIns="0" tIns="0" rIns="0" bIns="0" upright="1">
                      <a:spAutoFit/>
                    </wps:bodyPr>
                  </wps:wsp>
                </a:graphicData>
              </a:graphic>
            </wp:anchor>
          </w:drawing>
        </mc:Choice>
        <mc:Fallback>
          <w:pict>
            <v:shape id="shape 4" o:spid="_x0000_s4" o:spt="202" type="#_x0000_t202" style="position:absolute;z-index:251658250;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10</w:t>
                    </w:r>
                    <w:r>
                      <w:fldChar w:fldCharType="end"/>
                    </w:r>
                    <w:r/>
                  </w:p>
                  <w:p>
                    <w:pPr>
                      <w:pStyle w:val="12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0" behindDoc="1" locked="0" layoutInCell="0" allowOverlap="1">
              <wp:simplePos x="0" y="0"/>
              <wp:positionH relativeFrom="page">
                <wp:posOffset>899795</wp:posOffset>
              </wp:positionH>
              <wp:positionV relativeFrom="page">
                <wp:posOffset>9928225</wp:posOffset>
              </wp:positionV>
              <wp:extent cx="5759450" cy="132715"/>
              <wp:effectExtent l="0" t="0" r="0" b="0"/>
              <wp:wrapNone/>
              <wp:docPr id="6" name=""/>
              <wp:cNvGraphicFramePr/>
              <a:graphic xmlns:a="http://schemas.openxmlformats.org/drawingml/2006/main">
                <a:graphicData uri="http://schemas.microsoft.com/office/word/2010/wordprocessingShape">
                  <wps:wsp>
                    <wps:cNvPr id="0" name=""/>
                    <wps:cNvSpPr txBox="1"/>
                    <wps:spPr bwMode="auto">
                      <a:xfrm>
                        <a:off x="0" y="0"/>
                        <a:ext cx="5759450" cy="132715"/>
                      </a:xfrm>
                      <a:prstGeom prst="rect">
                        <a:avLst/>
                      </a:prstGeom>
                      <a:noFill/>
                      <a:ln>
                        <a:noFill/>
                      </a:ln>
                    </wps:spPr>
                    <wps:bodyPr rot="0">
                      <a:prstTxWarp prst="textNoShape">
                        <a:avLst/>
                      </a:prstTxWarp>
                      <a:noAutofit/>
                    </wps:bodyPr>
                  </wps:wsp>
                </a:graphicData>
              </a:graphic>
            </wp:anchor>
          </w:drawing>
        </mc:Choice>
        <mc:Fallback>
          <w:pict>
            <v:shape id="shape 5" o:spid="_x0000_s5" o:spt="202" type="#_x0000_t202" style="position:absolute;z-index:-250609660;o:allowoverlap:true;o:allowincell:false;mso-position-horizontal-relative:page;margin-left:70.8pt;mso-position-horizontal:absolute;mso-position-vertical-relative:page;margin-top:781.8pt;mso-position-vertical:absolute;width:453.5pt;height:10.4pt;mso-wrap-distance-left:9.0pt;mso-wrap-distance-top:0.0pt;mso-wrap-distance-right:9.0pt;mso-wrap-distance-bottom:0.0pt;visibility:visible;" filled="f" stroked="f"/>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58251" behindDoc="0" locked="0" layoutInCell="1" allowOverlap="1">
              <wp:simplePos x="0" y="0"/>
              <wp:positionH relativeFrom="margin">
                <wp:align>center</wp:align>
              </wp:positionH>
              <wp:positionV relativeFrom="paragraph">
                <wp:posOffset>0</wp:posOffset>
              </wp:positionV>
              <wp:extent cx="1828800" cy="1828800"/>
              <wp:effectExtent l="0" t="0" r="0" b="0"/>
              <wp:wrapNone/>
              <wp:docPr id="7"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5"/>
                          </w:pPr>
                          <w:r/>
                          <w:r/>
                        </w:p>
                      </w:txbxContent>
                    </wps:txbx>
                    <wps:bodyPr wrap="none" lIns="0" tIns="0" rIns="0" bIns="0" upright="1">
                      <a:spAutoFit/>
                    </wps:bodyPr>
                  </wps:wsp>
                </a:graphicData>
              </a:graphic>
            </wp:anchor>
          </w:drawing>
        </mc:Choice>
        <mc:Fallback>
          <w:pict>
            <v:shape id="shape 6" o:spid="_x0000_s6" o:spt="202" type="#_x0000_t202" style="position:absolute;z-index:251658251;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1</w:t>
                    </w:r>
                    <w:r>
                      <w:fldChar w:fldCharType="end"/>
                    </w:r>
                    <w:r/>
                  </w:p>
                  <w:p>
                    <w:pPr>
                      <w:pStyle w:val="1215"/>
                    </w:pPr>
                    <w:r/>
                    <w:r/>
                  </w:p>
                </w:txbxContent>
              </v:textbox>
            </v:shape>
          </w:pict>
        </mc:Fallback>
      </mc:AlternateConten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7" behindDoc="0" locked="0" layoutInCell="1" allowOverlap="1">
              <wp:simplePos x="0" y="0"/>
              <wp:positionH relativeFrom="margin">
                <wp:align>center</wp:align>
              </wp:positionH>
              <wp:positionV relativeFrom="paragraph">
                <wp:posOffset>0</wp:posOffset>
              </wp:positionV>
              <wp:extent cx="1828800" cy="1828800"/>
              <wp:effectExtent l="0" t="0" r="0" b="0"/>
              <wp:wrapNone/>
              <wp:docPr id="8"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5"/>
                          </w:pPr>
                          <w:r/>
                          <w:r/>
                        </w:p>
                      </w:txbxContent>
                    </wps:txbx>
                    <wps:bodyPr wrap="none" lIns="0" tIns="0" rIns="0" bIns="0" upright="1">
                      <a:spAutoFit/>
                    </wps:bodyPr>
                  </wps:wsp>
                </a:graphicData>
              </a:graphic>
            </wp:anchor>
          </w:drawing>
        </mc:Choice>
        <mc:Fallback>
          <w:pict>
            <v:shape id="shape 7" o:spid="_x0000_s7" o:spt="202" type="#_x0000_t202" style="position:absolute;z-index:251658247;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64</w:t>
                    </w:r>
                    <w:r>
                      <w:fldChar w:fldCharType="end"/>
                    </w:r>
                    <w:r/>
                  </w:p>
                  <w:p>
                    <w:pPr>
                      <w:pStyle w:val="1215"/>
                    </w:pPr>
                    <w:r/>
                    <w:r/>
                  </w:p>
                </w:txbxContent>
              </v:textbox>
            </v:shape>
          </w:pict>
        </mc:Fallback>
      </mc:AlternateContent>
    </w:r>
    <w:r>
      <w:rPr>
        <w:rFonts w:eastAsia="宋体"/>
        <w:b/>
        <w:i/>
        <w:lang w:val="en-US" w:eastAsia="zh-CN"/>
      </w:r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rPr>
        <w:rFonts w:eastAsia="宋体"/>
        <w:lang w:val="en-US" w:eastAsia="zh-CN"/>
      </w:rP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8" behindDoc="0" locked="0" layoutInCell="1" allowOverlap="1">
              <wp:simplePos x="0" y="0"/>
              <wp:positionH relativeFrom="margin">
                <wp:align>center</wp:align>
              </wp:positionH>
              <wp:positionV relativeFrom="paragraph">
                <wp:posOffset>0</wp:posOffset>
              </wp:positionV>
              <wp:extent cx="1828800" cy="1828800"/>
              <wp:effectExtent l="0" t="0" r="0" b="0"/>
              <wp:wrapNone/>
              <wp:docPr id="9"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wps:txbx>
                    <wps:bodyPr wrap="none" lIns="0" tIns="0" rIns="0" bIns="0" upright="1">
                      <a:spAutoFit/>
                    </wps:bodyPr>
                  </wps:wsp>
                </a:graphicData>
              </a:graphic>
            </wp:anchor>
          </w:drawing>
        </mc:Choice>
        <mc:Fallback>
          <w:pict>
            <v:shape id="shape 8" o:spid="_x0000_s8" o:spt="202" type="#_x0000_t202" style="position:absolute;z-index:25165824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v:textbox>
            </v:shape>
          </w:pict>
        </mc:Fallback>
      </mc:AlternateContent>
    </w:r>
    <w:r>
      <w:rPr>
        <w:sz w:val="21"/>
        <w:lang w:val="en-US"/>
      </w:rPr>
      <mc:AlternateContent>
        <mc:Choice Requires="wpg">
          <w:drawing>
            <wp:anchor xmlns:wp="http://schemas.openxmlformats.org/drawingml/2006/wordprocessingDrawing" xmlns:wp14="http://schemas.microsoft.com/office/word/2010/wordprocessingDrawing" distT="0" distB="0" distL="114300" distR="114300" simplePos="0" relativeHeight="251658246" behindDoc="0" locked="0" layoutInCell="1" allowOverlap="1">
              <wp:simplePos x="0" y="0"/>
              <wp:positionH relativeFrom="margin">
                <wp:align>center</wp:align>
              </wp:positionH>
              <wp:positionV relativeFrom="paragraph">
                <wp:posOffset>0</wp:posOffset>
              </wp:positionV>
              <wp:extent cx="1828800" cy="1828800"/>
              <wp:effectExtent l="0" t="0" r="0" b="0"/>
              <wp:wrapNone/>
              <wp:docPr id="10"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15"/>
                          </w:pPr>
                          <w:r/>
                          <w:r/>
                        </w:p>
                        <w:p>
                          <w:pPr>
                            <w:pStyle w:val="1215"/>
                          </w:pPr>
                          <w:r/>
                          <w:r/>
                        </w:p>
                      </w:txbxContent>
                    </wps:txbx>
                    <wps:bodyPr wrap="none" lIns="0" tIns="0" rIns="0" bIns="0" upright="1">
                      <a:spAutoFit/>
                    </wps:bodyPr>
                  </wps:wsp>
                </a:graphicData>
              </a:graphic>
            </wp:anchor>
          </w:drawing>
        </mc:Choice>
        <mc:Fallback>
          <w:pict>
            <v:shape id="shape 9" o:spid="_x0000_s9" o:spt="202" type="#_x0000_t202" style="position:absolute;z-index:25165824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15"/>
                    </w:pPr>
                    <w:r/>
                    <w:r/>
                  </w:p>
                  <w:p>
                    <w:pPr>
                      <w:pStyle w:val="1215"/>
                    </w:pPr>
                    <w:r/>
                    <w:r/>
                  </w:p>
                </w:txbxContent>
              </v:textbox>
            </v:shape>
          </w:pict>
        </mc:Fallback>
      </mc:AlternateContent>
    </w:r>
    <w:r>
      <w:rPr>
        <w:rFonts w:eastAsia="宋体"/>
        <w:lang w:val="en-US" w:eastAsia="zh-CN"/>
      </w:r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2"/>
      <w:jc w:val="center"/>
      <w:tabs>
        <w:tab w:val="center" w:pos="4153" w:leader="none"/>
        <w:tab w:val="right" w:pos="8306" w:leader="none"/>
      </w:tabs>
      <w:rPr>
        <w:rFonts w:eastAsia="宋体"/>
        <w:b/>
        <w:i/>
        <w:lang w:val="en-US" w:eastAsia="zh-C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58249" behindDoc="0" locked="0" layoutInCell="1" allowOverlap="1">
              <wp:simplePos x="0" y="0"/>
              <wp:positionH relativeFrom="margin">
                <wp:align>center</wp:align>
              </wp:positionH>
              <wp:positionV relativeFrom="paragraph">
                <wp:posOffset>0</wp:posOffset>
              </wp:positionV>
              <wp:extent cx="1828800" cy="1828800"/>
              <wp:effectExtent l="0" t="0" r="0" b="0"/>
              <wp:wrapNone/>
              <wp:docPr id="1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wps:txbx>
                    <wps:bodyPr wrap="none" lIns="0" tIns="0" rIns="0" bIns="0" upright="1">
                      <a:spAutoFit/>
                    </wps:bodyPr>
                  </wps:wsp>
                </a:graphicData>
              </a:graphic>
            </wp:anchor>
          </w:drawing>
        </mc:Choice>
        <mc:Fallback>
          <w:pict>
            <v:shape id="shape 10" o:spid="_x0000_s10" o:spt="202" type="#_x0000_t202" style="position:absolute;z-index:251658249;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v:textbox>
            </v:shape>
          </w:pict>
        </mc:Fallback>
      </mc:AlternateContent>
    </w:r>
    <w:r>
      <w:rPr>
        <w:rFonts w:eastAsia="宋体"/>
        <w:b/>
        <w:i/>
        <w:lang w:val="en-US" w:eastAsia="zh-CN"/>
      </w:r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jc w:val="center"/>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58245" behindDoc="0" locked="0" layoutInCell="1" allowOverlap="1">
              <wp:simplePos x="0" y="0"/>
              <wp:positionH relativeFrom="margin">
                <wp:align>center</wp:align>
              </wp:positionH>
              <wp:positionV relativeFrom="paragraph">
                <wp:posOffset>0</wp:posOffset>
              </wp:positionV>
              <wp:extent cx="1828800" cy="1828800"/>
              <wp:effectExtent l="0" t="0" r="0" b="0"/>
              <wp:wrapNone/>
              <wp:docPr id="12"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wps:txbx>
                    <wps:bodyPr wrap="none" lIns="0" tIns="0" rIns="0" bIns="0" upright="1">
                      <a:spAutoFit/>
                    </wps:bodyPr>
                  </wps:wsp>
                </a:graphicData>
              </a:graphic>
            </wp:anchor>
          </w:drawing>
        </mc:Choice>
        <mc:Fallback>
          <w:pict>
            <v:shape id="shape 11" o:spid="_x0000_s11" o:spt="202" type="#_x0000_t202" style="position:absolute;z-index:251658245;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262"/>
                      <w:tabs>
                        <w:tab w:val="clear" w:pos="4153" w:leader="none"/>
                        <w:tab w:val="clear" w:pos="8306" w:leader="none"/>
                      </w:tabs>
                    </w:pPr>
                    <w:r>
                      <w:fldChar w:fldCharType="begin"/>
                    </w:r>
                    <w:r>
                      <w:instrText xml:space="preserve"> PAGE  \* MERGEFORMAT </w:instrText>
                    </w:r>
                    <w:r>
                      <w:fldChar w:fldCharType="separate"/>
                    </w:r>
                    <w:r>
                      <w:t xml:space="preserve">63</w:t>
                    </w:r>
                    <w:r>
                      <w:fldChar w:fldCharType="end"/>
                    </w:r>
                    <w:r/>
                  </w:p>
                  <w:p>
                    <w:pPr>
                      <w:pStyle w:val="1215"/>
                    </w:pPr>
                    <w:r/>
                    <w:r/>
                  </w:p>
                </w:txbxContent>
              </v:textbox>
            </v:shape>
          </w:pict>
        </mc:Fallback>
      </mc:AlternateContent>
    </w:r>
    <w:r>
      <w:rPr>
        <w:rFonts w:hint="eastAsia"/>
      </w:rPr>
      <w:t xml:space="preserve">97</w: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96"/>
      <w:spacing w:line="240" w:lineRule="auto"/>
      <w:widowControl w:val="off"/>
    </w:pPr>
    <w:r>
      <mc:AlternateContent>
        <mc:Choice Requires="wpg">
          <w:drawing>
            <wp:anchor xmlns:wp="http://schemas.openxmlformats.org/drawingml/2006/wordprocessingDrawing" xmlns:wp14="http://schemas.microsoft.com/office/word/2010/wordprocessingDrawing" distT="0" distB="0" distL="114300" distR="114300" simplePos="0" relativeHeight="524288" behindDoc="1" locked="0" layoutInCell="0" allowOverlap="1">
              <wp:simplePos x="0" y="0"/>
              <wp:positionH relativeFrom="page">
                <wp:posOffset>899795</wp:posOffset>
              </wp:positionH>
              <wp:positionV relativeFrom="page">
                <wp:posOffset>539750</wp:posOffset>
              </wp:positionV>
              <wp:extent cx="5759450" cy="14732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5759450" cy="147320"/>
                      </a:xfrm>
                      <a:prstGeom prst="rect">
                        <a:avLst/>
                      </a:prstGeom>
                      <a:noFill/>
                      <a:ln>
                        <a:noFill/>
                      </a:ln>
                    </wps:spPr>
                    <wps:bodyPr rot="0">
                      <a:prstTxWarp prst="textNoShape">
                        <a:avLst/>
                      </a:prstTxWarp>
                      <a:noAutofit/>
                    </wps:bodyPr>
                  </wps:wsp>
                </a:graphicData>
              </a:graphic>
            </wp:anchor>
          </w:drawing>
        </mc:Choice>
        <mc:Fallback>
          <w:pict>
            <v:shape id="shape 0" o:spid="_x0000_s0" o:spt="202" type="#_x0000_t202" style="position:absolute;z-index:-524288;o:allowoverlap:true;o:allowincell:false;mso-position-horizontal-relative:page;margin-left:70.8pt;mso-position-horizontal:absolute;mso-position-vertical-relative:page;margin-top:42.5pt;mso-position-vertical:absolute;width:453.5pt;height:11.6pt;mso-wrap-distance-left:9.0pt;mso-wrap-distance-top:0.0pt;mso-wrap-distance-right:9.0pt;mso-wrap-distance-bottom:0.0pt;visibility:visible;" filled="f" stroked="f"/>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3" behindDoc="1" locked="0" layoutInCell="0" allowOverlap="1">
              <wp:simplePos x="0" y="0"/>
              <wp:positionH relativeFrom="page">
                <wp:posOffset>899795</wp:posOffset>
              </wp:positionH>
              <wp:positionV relativeFrom="page">
                <wp:posOffset>539750</wp:posOffset>
              </wp:positionV>
              <wp:extent cx="5756275" cy="147320"/>
              <wp:effectExtent l="0" t="0" r="0" b="0"/>
              <wp:wrapNone/>
              <wp:docPr id="2" name=""/>
              <wp:cNvGraphicFramePr/>
              <a:graphic xmlns:a="http://schemas.openxmlformats.org/drawingml/2006/main">
                <a:graphicData uri="http://schemas.microsoft.com/office/word/2010/wordprocessingShape">
                  <wps:wsp>
                    <wps:cNvPr id="0" name=""/>
                    <wps:cNvSpPr txBox="1"/>
                    <wps:spPr bwMode="auto">
                      <a:xfrm>
                        <a:off x="0" y="0"/>
                        <a:ext cx="5756275" cy="147320"/>
                      </a:xfrm>
                      <a:prstGeom prst="rect">
                        <a:avLst/>
                      </a:prstGeom>
                      <a:noFill/>
                      <a:ln>
                        <a:noFill/>
                      </a:ln>
                    </wps:spPr>
                    <wps:txbx>
                      <w:txbxContent>
                        <w:p>
                          <w:pPr>
                            <w:pStyle w:val="1296"/>
                            <w:spacing w:line="844" w:lineRule="atLeast"/>
                            <w:widowControl w:val="off"/>
                          </w:pPr>
                          <w:r/>
                          <w:r/>
                        </w:p>
                        <w:p>
                          <w:pPr>
                            <w:pStyle w:val="1296"/>
                          </w:pPr>
                          <w:r/>
                          <w:r/>
                        </w:p>
                        <w:p>
                          <w:pPr>
                            <w:pStyle w:val="1215"/>
                          </w:pPr>
                          <w:r/>
                          <w:r/>
                        </w:p>
                      </w:txbxContent>
                    </wps:txbx>
                    <wps:bodyPr wrap="square" lIns="35999" tIns="0" rIns="35999" bIns="17999" upright="1"/>
                  </wps:wsp>
                </a:graphicData>
              </a:graphic>
            </wp:anchor>
          </w:drawing>
        </mc:Choice>
        <mc:Fallback>
          <w:pict>
            <v:shape id="shape 1" o:spid="_x0000_s1" o:spt="202" type="#_x0000_t202" style="position:absolute;z-index:-250609663;o:allowoverlap:true;o:allowincell:false;mso-position-horizontal-relative:page;margin-left:70.8pt;mso-position-horizontal:absolute;mso-position-vertical-relative:page;margin-top:42.5pt;mso-position-vertical:absolute;width:453.2pt;height:11.6pt;mso-wrap-distance-left:9.0pt;mso-wrap-distance-top:0.0pt;mso-wrap-distance-right:9.0pt;mso-wrap-distance-bottom:0.0pt;visibility:visible;" filled="f" stroked="f">
              <v:textbox inset="0,0,0,0">
                <w:txbxContent>
                  <w:p>
                    <w:pPr>
                      <w:pStyle w:val="1296"/>
                      <w:spacing w:line="844" w:lineRule="atLeast"/>
                      <w:widowControl w:val="off"/>
                    </w:pPr>
                    <w:r/>
                    <w:r/>
                  </w:p>
                  <w:p>
                    <w:pPr>
                      <w:pStyle w:val="1296"/>
                    </w:pPr>
                    <w:r/>
                    <w:r/>
                  </w:p>
                  <w:p>
                    <w:pPr>
                      <w:pStyle w:val="12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2" behindDoc="1" locked="0" layoutInCell="0" allowOverlap="1">
              <wp:simplePos x="0" y="0"/>
              <wp:positionH relativeFrom="page">
                <wp:posOffset>899795</wp:posOffset>
              </wp:positionH>
              <wp:positionV relativeFrom="page">
                <wp:posOffset>539750</wp:posOffset>
              </wp:positionV>
              <wp:extent cx="5752465" cy="359410"/>
              <wp:effectExtent l="0" t="0" r="0" b="0"/>
              <wp:wrapNone/>
              <wp:docPr id="3" name=""/>
              <wp:cNvGraphicFramePr/>
              <a:graphic xmlns:a="http://schemas.openxmlformats.org/drawingml/2006/main">
                <a:graphicData uri="http://schemas.microsoft.com/office/word/2010/wordprocessingShape">
                  <wps:wsp>
                    <wps:cNvPr id="0" name=""/>
                    <wps:cNvSpPr txBox="1"/>
                    <wps:spPr bwMode="auto">
                      <a:xfrm>
                        <a:off x="0" y="0"/>
                        <a:ext cx="5752465" cy="359410"/>
                      </a:xfrm>
                      <a:prstGeom prst="rect">
                        <a:avLst/>
                      </a:prstGeom>
                      <a:noFill/>
                      <a:ln>
                        <a:noFill/>
                      </a:ln>
                    </wps:spPr>
                    <wps:txbx>
                      <w:txbxContent>
                        <w:p>
                          <w:pPr>
                            <w:pStyle w:val="1296"/>
                            <w:spacing w:line="595" w:lineRule="atLeast"/>
                            <w:widowControl w:val="off"/>
                          </w:pPr>
                          <w:r/>
                          <w:r/>
                        </w:p>
                        <w:p>
                          <w:pPr>
                            <w:pStyle w:val="1296"/>
                            <w:spacing w:line="606" w:lineRule="atLeast"/>
                            <w:widowControl w:val="off"/>
                          </w:pPr>
                          <w:r/>
                          <w:r/>
                        </w:p>
                        <w:p>
                          <w:pPr>
                            <w:pStyle w:val="1296"/>
                          </w:pPr>
                          <w:r/>
                          <w:r/>
                        </w:p>
                        <w:p>
                          <w:pPr>
                            <w:pStyle w:val="1215"/>
                          </w:pPr>
                          <w:r/>
                          <w:r/>
                        </w:p>
                      </w:txbxContent>
                    </wps:txbx>
                    <wps:bodyPr wrap="square" lIns="35999" tIns="0" rIns="35999" bIns="17999" upright="1"/>
                  </wps:wsp>
                </a:graphicData>
              </a:graphic>
            </wp:anchor>
          </w:drawing>
        </mc:Choice>
        <mc:Fallback>
          <w:pict>
            <v:shape id="shape 2" o:spid="_x0000_s2" o:spt="202" type="#_x0000_t202" style="position:absolute;z-index:-250609662;o:allowoverlap:true;o:allowincell:false;mso-position-horizontal-relative:page;margin-left:70.8pt;mso-position-horizontal:absolute;mso-position-vertical-relative:page;margin-top:42.5pt;mso-position-vertical:absolute;width:452.9pt;height:28.3pt;mso-wrap-distance-left:9.0pt;mso-wrap-distance-top:0.0pt;mso-wrap-distance-right:9.0pt;mso-wrap-distance-bottom:0.0pt;visibility:visible;" filled="f" stroked="f">
              <v:textbox inset="0,0,0,0">
                <w:txbxContent>
                  <w:p>
                    <w:pPr>
                      <w:pStyle w:val="1296"/>
                      <w:spacing w:line="595" w:lineRule="atLeast"/>
                      <w:widowControl w:val="off"/>
                    </w:pPr>
                    <w:r/>
                    <w:r/>
                  </w:p>
                  <w:p>
                    <w:pPr>
                      <w:pStyle w:val="1296"/>
                      <w:spacing w:line="606" w:lineRule="atLeast"/>
                      <w:widowControl w:val="off"/>
                    </w:pPr>
                    <w:r/>
                    <w:r/>
                  </w:p>
                  <w:p>
                    <w:pPr>
                      <w:pStyle w:val="1296"/>
                    </w:pPr>
                    <w:r/>
                    <w:r/>
                  </w:p>
                  <w:p>
                    <w:pPr>
                      <w:pStyle w:val="1215"/>
                    </w:pPr>
                    <w:r/>
                    <w:r/>
                  </w:p>
                </w:txbxContent>
              </v:textbox>
            </v:shape>
          </w:pict>
        </mc:Fallback>
      </mc:AlternateContent>
    </w:r>
    <w:r>
      <mc:AlternateContent>
        <mc:Choice Requires="wpg">
          <w:drawing>
            <wp:anchor xmlns:wp="http://schemas.openxmlformats.org/drawingml/2006/wordprocessingDrawing" xmlns:wp14="http://schemas.microsoft.com/office/word/2010/wordprocessingDrawing" distT="0" distB="0" distL="114300" distR="114300" simplePos="0" relativeHeight="250609661" behindDoc="1" locked="0" layoutInCell="0" allowOverlap="1">
              <wp:simplePos x="0" y="0"/>
              <wp:positionH relativeFrom="page">
                <wp:posOffset>899795</wp:posOffset>
              </wp:positionH>
              <wp:positionV relativeFrom="page">
                <wp:posOffset>9921240</wp:posOffset>
              </wp:positionV>
              <wp:extent cx="5756275" cy="132715"/>
              <wp:effectExtent l="0" t="0" r="0" b="0"/>
              <wp:wrapNone/>
              <wp:docPr id="4" name=""/>
              <wp:cNvGraphicFramePr/>
              <a:graphic xmlns:a="http://schemas.openxmlformats.org/drawingml/2006/main">
                <a:graphicData uri="http://schemas.microsoft.com/office/word/2010/wordprocessingShape">
                  <wps:wsp>
                    <wps:cNvPr id="0" name=""/>
                    <wps:cNvSpPr txBox="1"/>
                    <wps:spPr bwMode="auto">
                      <a:xfrm>
                        <a:off x="0" y="0"/>
                        <a:ext cx="5756275" cy="132715"/>
                      </a:xfrm>
                      <a:prstGeom prst="rect">
                        <a:avLst/>
                      </a:prstGeom>
                      <a:noFill/>
                      <a:ln>
                        <a:noFill/>
                      </a:ln>
                    </wps:spPr>
                    <wps:txbx>
                      <w:txbxContent>
                        <w:p>
                          <w:pPr>
                            <w:pStyle w:val="1296"/>
                            <w:spacing w:line="844" w:lineRule="atLeast"/>
                            <w:widowControl w:val="off"/>
                          </w:pPr>
                          <w:r/>
                          <w:r/>
                        </w:p>
                        <w:p>
                          <w:pPr>
                            <w:pStyle w:val="1296"/>
                          </w:pPr>
                          <w:r/>
                          <w:r/>
                        </w:p>
                        <w:p>
                          <w:pPr>
                            <w:pStyle w:val="1215"/>
                          </w:pPr>
                          <w:r/>
                          <w:r/>
                        </w:p>
                      </w:txbxContent>
                    </wps:txbx>
                    <wps:bodyPr wrap="square" lIns="35999" tIns="0" rIns="35999" bIns="17999" upright="1"/>
                  </wps:wsp>
                </a:graphicData>
              </a:graphic>
            </wp:anchor>
          </w:drawing>
        </mc:Choice>
        <mc:Fallback>
          <w:pict>
            <v:shape id="shape 3" o:spid="_x0000_s3" o:spt="202" type="#_x0000_t202" style="position:absolute;z-index:-250609661;o:allowoverlap:true;o:allowincell:false;mso-position-horizontal-relative:page;margin-left:70.8pt;mso-position-horizontal:absolute;mso-position-vertical-relative:page;margin-top:781.2pt;mso-position-vertical:absolute;width:453.2pt;height:10.4pt;mso-wrap-distance-left:9.0pt;mso-wrap-distance-top:0.0pt;mso-wrap-distance-right:9.0pt;mso-wrap-distance-bottom:0.0pt;visibility:visible;" filled="f" stroked="f">
              <v:textbox inset="0,0,0,0">
                <w:txbxContent>
                  <w:p>
                    <w:pPr>
                      <w:pStyle w:val="1296"/>
                      <w:spacing w:line="844" w:lineRule="atLeast"/>
                      <w:widowControl w:val="off"/>
                    </w:pPr>
                    <w:r/>
                    <w:r/>
                  </w:p>
                  <w:p>
                    <w:pPr>
                      <w:pStyle w:val="1296"/>
                    </w:pPr>
                    <w:r/>
                    <w:r/>
                  </w:p>
                  <w:p>
                    <w:pPr>
                      <w:pStyle w:val="1215"/>
                    </w:pPr>
                    <w:r/>
                    <w:r/>
                  </w:p>
                </w:txbxContent>
              </v:textbox>
            </v:shape>
          </w:pict>
        </mc:Fallback>
      </mc:AlternateContent>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265"/>
      <w:tabs>
        <w:tab w:val="center" w:pos="4153" w:leader="none"/>
        <w:tab w:val="right" w:pos="8306" w:leader="none"/>
      </w:tabs>
      <w:pBdr>
        <w:bottom w:val="none" w:color="000000" w:sz="0" w:space="0"/>
      </w:pBdr>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7"/>
      <w:numFmt w:val="chineseCounting"/>
      <w:isLgl w:val="false"/>
      <w:suff w:val="nothing"/>
      <w:lvlText w:val="%1、"/>
      <w:lvlJc w:val="left"/>
      <w:pPr>
        <w:pStyle w:val="12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upperLetter"/>
      <w:pStyle w:val="1300"/>
      <w:isLgl w:val="false"/>
      <w:suff w:val="tab"/>
      <w:lvlText w:val="附录%1."/>
      <w:lvlJc w:val="left"/>
      <w:pPr>
        <w:pStyle w:val="1215"/>
        <w:ind w:left="907" w:hanging="907"/>
        <w:tabs>
          <w:tab w:val="num"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decimal"/>
      <w:pStyle w:val="1323"/>
      <w:isLgl w:val="false"/>
      <w:suff w:val="tab"/>
      <w:lvlText w:val="%1."/>
      <w:lvlJc w:val="left"/>
      <w:pPr>
        <w:pStyle w:val="1215"/>
        <w:ind w:left="709" w:hanging="709"/>
        <w:tabs>
          <w:tab w:val="num" w:pos="709" w:leader="none"/>
        </w:tabs>
      </w:pPr>
      <w:rPr>
        <w:rFonts w:hint="eastAsia"/>
      </w:rPr>
    </w:lvl>
    <w:lvl w:ilvl="1">
      <w:start w:val="1"/>
      <w:numFmt w:val="decimal"/>
      <w:isLgl w:val="false"/>
      <w:suff w:val="tab"/>
      <w:lvlText w:val="%1.%2"/>
      <w:lvlJc w:val="left"/>
      <w:pPr>
        <w:pStyle w:val="1215"/>
        <w:ind w:left="709" w:hanging="709"/>
        <w:tabs>
          <w:tab w:val="num" w:pos="709" w:leader="none"/>
        </w:tabs>
      </w:pPr>
      <w:rPr>
        <w:rFonts w:hint="eastAsia"/>
      </w:rPr>
    </w:lvl>
    <w:lvl w:ilvl="2">
      <w:start w:val="1"/>
      <w:numFmt w:val="decimal"/>
      <w:isLgl w:val="false"/>
      <w:suff w:val="tab"/>
      <w:lvlText w:val="%1.%2.%3."/>
      <w:lvlJc w:val="left"/>
      <w:pPr>
        <w:pStyle w:val="1215"/>
        <w:ind w:left="425" w:hanging="425"/>
        <w:tabs>
          <w:tab w:val="num" w:pos="425" w:leader="none"/>
        </w:tabs>
      </w:pPr>
      <w:rPr>
        <w:rFonts w:hint="eastAsia"/>
      </w:rPr>
    </w:lvl>
    <w:lvl w:ilvl="3">
      <w:start w:val="1"/>
      <w:numFmt w:val="decimal"/>
      <w:isLgl w:val="false"/>
      <w:suff w:val="tab"/>
      <w:lvlText w:val="%1.%2.%3.%4."/>
      <w:lvlJc w:val="left"/>
      <w:pPr>
        <w:pStyle w:val="1215"/>
        <w:ind w:left="851" w:hanging="851"/>
        <w:tabs>
          <w:tab w:val="num" w:pos="851" w:leader="none"/>
        </w:tabs>
      </w:pPr>
      <w:rPr>
        <w:rFonts w:hint="eastAsia"/>
      </w:rPr>
    </w:lvl>
    <w:lvl w:ilvl="4">
      <w:start w:val="1"/>
      <w:numFmt w:val="decimal"/>
      <w:isLgl w:val="false"/>
      <w:suff w:val="tab"/>
      <w:lvlText w:val="%1.%2.%3.%4.%5."/>
      <w:lvlJc w:val="left"/>
      <w:pPr>
        <w:pStyle w:val="1215"/>
        <w:ind w:left="992" w:hanging="992"/>
        <w:tabs>
          <w:tab w:val="num" w:pos="992" w:leader="none"/>
        </w:tabs>
      </w:pPr>
      <w:rPr>
        <w:rFonts w:hint="eastAsia"/>
      </w:rPr>
    </w:lvl>
    <w:lvl w:ilvl="5">
      <w:start w:val="1"/>
      <w:numFmt w:val="decimal"/>
      <w:isLgl w:val="false"/>
      <w:suff w:val="tab"/>
      <w:lvlText w:val="%1.%2.%3.%4.%5.%6."/>
      <w:lvlJc w:val="left"/>
      <w:pPr>
        <w:pStyle w:val="1215"/>
        <w:ind w:left="1134" w:hanging="1134"/>
        <w:tabs>
          <w:tab w:val="num" w:pos="1134" w:leader="none"/>
        </w:tabs>
      </w:pPr>
      <w:rPr>
        <w:rFonts w:hint="eastAsia"/>
      </w:rPr>
    </w:lvl>
    <w:lvl w:ilvl="6">
      <w:start w:val="1"/>
      <w:numFmt w:val="decimal"/>
      <w:isLgl w:val="false"/>
      <w:suff w:val="tab"/>
      <w:lvlText w:val="%1.%2.%3.%4.%5.%6.%7."/>
      <w:lvlJc w:val="left"/>
      <w:pPr>
        <w:pStyle w:val="1215"/>
        <w:ind w:left="1276" w:hanging="1276"/>
        <w:tabs>
          <w:tab w:val="num" w:pos="1276" w:leader="none"/>
        </w:tabs>
      </w:pPr>
      <w:rPr>
        <w:rFonts w:hint="eastAsia"/>
      </w:rPr>
    </w:lvl>
    <w:lvl w:ilvl="7">
      <w:start w:val="1"/>
      <w:numFmt w:val="decimal"/>
      <w:isLgl w:val="false"/>
      <w:suff w:val="tab"/>
      <w:lvlText w:val="%1.%2.%3.%4.%5.%6.%7.%8."/>
      <w:lvlJc w:val="left"/>
      <w:pPr>
        <w:pStyle w:val="1215"/>
        <w:ind w:left="1418" w:hanging="1418"/>
        <w:tabs>
          <w:tab w:val="num" w:pos="1418" w:leader="none"/>
        </w:tabs>
      </w:pPr>
      <w:rPr>
        <w:rFonts w:hint="eastAsia"/>
      </w:rPr>
    </w:lvl>
    <w:lvl w:ilvl="8">
      <w:start w:val="1"/>
      <w:numFmt w:val="decimal"/>
      <w:isLgl w:val="false"/>
      <w:suff w:val="tab"/>
      <w:lvlText w:val="%1.%2.%3.%4.%5.%6.%7.%8.%9."/>
      <w:lvlJc w:val="left"/>
      <w:pPr>
        <w:pStyle w:val="1215"/>
        <w:ind w:left="1559" w:hanging="1559"/>
        <w:tabs>
          <w:tab w:val="num" w:pos="1559" w:leader="none"/>
        </w:tabs>
      </w:pPr>
      <w:rPr>
        <w:rFonts w:hint="eastAsia"/>
      </w:rPr>
    </w:lvl>
  </w:abstractNum>
  <w:abstractNum w:abstractNumId="3">
    <w:multiLevelType w:val="hybridMultilevel"/>
    <w:lvl w:ilvl="0">
      <w:start w:val="6"/>
      <w:numFmt w:val="chineseCounting"/>
      <w:isLgl w:val="false"/>
      <w:suff w:val="nothing"/>
      <w:lvlText w:val="%1、"/>
      <w:lvlJc w:val="left"/>
      <w:pPr>
        <w:pStyle w:val="1215"/>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pStyle w:val="1215"/>
        <w:ind w:left="0" w:firstLine="0"/>
      </w:pPr>
      <w:rPr>
        <w:rFonts w:hint="eastAsia"/>
      </w:rPr>
    </w:lvl>
    <w:lvl w:ilvl="1">
      <w:start w:val="1"/>
      <w:numFmt w:val="decimal"/>
      <w:isLgl w:val="false"/>
      <w:suff w:val="nothing"/>
      <w:lvlText w:val="%2、"/>
      <w:lvlJc w:val="left"/>
      <w:pPr>
        <w:pStyle w:val="1215"/>
        <w:ind w:left="0" w:firstLine="0"/>
      </w:pPr>
      <w:rPr>
        <w:rFonts w:hint="eastAsia"/>
      </w:rPr>
    </w:lvl>
    <w:lvl w:ilvl="2">
      <w:start w:val="1"/>
      <w:numFmt w:val="decimal"/>
      <w:isLgl w:val="false"/>
      <w:suff w:val="nothing"/>
      <w:lvlText w:val="%2.%3 "/>
      <w:lvlJc w:val="left"/>
      <w:pPr>
        <w:pStyle w:val="1215"/>
        <w:ind w:left="0" w:firstLine="0"/>
      </w:pPr>
      <w:rPr>
        <w:rFonts w:hint="eastAsia"/>
      </w:rPr>
    </w:lvl>
    <w:lvl w:ilvl="3">
      <w:start w:val="1"/>
      <w:numFmt w:val="decimal"/>
      <w:isLgl w:val="false"/>
      <w:suff w:val="nothing"/>
      <w:lvlText w:val="%2.%3.%4 "/>
      <w:lvlJc w:val="left"/>
      <w:pPr>
        <w:pStyle w:val="1215"/>
        <w:ind w:left="0" w:firstLine="0"/>
      </w:pPr>
      <w:rPr>
        <w:rFonts w:hint="eastAsia"/>
      </w:rPr>
    </w:lvl>
    <w:lvl w:ilvl="4">
      <w:start w:val="1"/>
      <w:numFmt w:val="decimal"/>
      <w:isLgl w:val="false"/>
      <w:suff w:val="nothing"/>
      <w:lvlText w:val="%2.%3.%4.%5 "/>
      <w:lvlJc w:val="left"/>
      <w:pPr>
        <w:pStyle w:val="1215"/>
        <w:ind w:left="0" w:firstLine="0"/>
      </w:pPr>
      <w:rPr>
        <w:rFonts w:hint="eastAsia"/>
      </w:rPr>
    </w:lvl>
    <w:lvl w:ilvl="5">
      <w:start w:val="1"/>
      <w:numFmt w:val="decimal"/>
      <w:pStyle w:val="1221"/>
      <w:isLgl w:val="false"/>
      <w:suff w:val="nothing"/>
      <w:lvlText w:val=""/>
      <w:lvlJc w:val="left"/>
      <w:pPr>
        <w:pStyle w:val="1215"/>
        <w:ind w:left="0" w:firstLine="0"/>
      </w:pPr>
      <w:rPr>
        <w:rFonts w:hint="eastAsia"/>
      </w:rPr>
    </w:lvl>
    <w:lvl w:ilvl="6">
      <w:start w:val="1"/>
      <w:numFmt w:val="decimal"/>
      <w:pStyle w:val="1222"/>
      <w:isLgl w:val="false"/>
      <w:suff w:val="nothing"/>
      <w:lvlText w:val=""/>
      <w:lvlJc w:val="left"/>
      <w:pPr>
        <w:pStyle w:val="1215"/>
        <w:ind w:left="0" w:firstLine="0"/>
      </w:pPr>
      <w:rPr>
        <w:rFonts w:hint="eastAsia"/>
      </w:rPr>
    </w:lvl>
    <w:lvl w:ilvl="7">
      <w:start w:val="1"/>
      <w:numFmt w:val="decimal"/>
      <w:pStyle w:val="1223"/>
      <w:isLgl w:val="false"/>
      <w:suff w:val="nothing"/>
      <w:lvlText w:val=""/>
      <w:lvlJc w:val="left"/>
      <w:pPr>
        <w:pStyle w:val="1215"/>
        <w:ind w:left="0" w:firstLine="0"/>
      </w:pPr>
      <w:rPr>
        <w:rFonts w:hint="eastAsia"/>
      </w:rPr>
    </w:lvl>
    <w:lvl w:ilvl="8">
      <w:start w:val="1"/>
      <w:numFmt w:val="decimal"/>
      <w:pStyle w:val="1224"/>
      <w:isLgl w:val="false"/>
      <w:suff w:val="nothing"/>
      <w:lvlText w:val=""/>
      <w:lvlJc w:val="left"/>
      <w:pPr>
        <w:pStyle w:val="1215"/>
        <w:ind w:left="0" w:firstLine="0"/>
      </w:pPr>
      <w:rPr>
        <w:rFonts w:hint="eastAsia"/>
      </w:rPr>
    </w:lvl>
  </w:abstractNum>
  <w:abstractNum w:abstractNumId="5">
    <w:multiLevelType w:val="hybridMultilevel"/>
    <w:lvl w:ilvl="0">
      <w:start w:val="1"/>
      <w:numFmt w:val="japaneseCounting"/>
      <w:isLgl w:val="false"/>
      <w:suff w:val="tab"/>
      <w:lvlText w:val="第%1章"/>
      <w:lvlJc w:val="left"/>
      <w:pPr>
        <w:pStyle w:val="1215"/>
        <w:ind w:left="1440" w:hanging="1440"/>
        <w:tabs>
          <w:tab w:val="num"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1"/>
  </w:num>
  <w:num w:numId="3">
    <w:abstractNumId w:val="2"/>
  </w:num>
  <w:num w:numId="4">
    <w:abstractNumId w:val="5"/>
  </w:num>
  <w:num w:numId="5">
    <w:abstractNumId w:val="0"/>
  </w:num>
  <w:num w:numId="6">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037">
    <w:name w:val="Heading 1"/>
    <w:basedOn w:val="1215"/>
    <w:next w:val="1215"/>
    <w:link w:val="1038"/>
    <w:uiPriority w:val="9"/>
    <w:qFormat/>
    <w:pPr>
      <w:keepLines/>
      <w:keepNext/>
      <w:spacing w:before="480" w:after="200"/>
      <w:outlineLvl w:val="0"/>
    </w:pPr>
    <w:rPr>
      <w:rFonts w:ascii="Arial" w:hAnsi="Arial" w:eastAsia="Arial" w:cs="Arial"/>
      <w:sz w:val="40"/>
      <w:szCs w:val="40"/>
    </w:rPr>
  </w:style>
  <w:style w:type="character" w:styleId="1038">
    <w:name w:val="Heading 1 Char"/>
    <w:link w:val="1037"/>
    <w:uiPriority w:val="9"/>
    <w:rPr>
      <w:rFonts w:ascii="Arial" w:hAnsi="Arial" w:eastAsia="Arial" w:cs="Arial"/>
      <w:sz w:val="40"/>
      <w:szCs w:val="40"/>
    </w:rPr>
  </w:style>
  <w:style w:type="paragraph" w:styleId="1039">
    <w:name w:val="Heading 2"/>
    <w:basedOn w:val="1215"/>
    <w:next w:val="1215"/>
    <w:link w:val="1040"/>
    <w:uiPriority w:val="9"/>
    <w:unhideWhenUsed/>
    <w:qFormat/>
    <w:pPr>
      <w:keepLines/>
      <w:keepNext/>
      <w:spacing w:before="360" w:after="200"/>
      <w:outlineLvl w:val="1"/>
    </w:pPr>
    <w:rPr>
      <w:rFonts w:ascii="Arial" w:hAnsi="Arial" w:eastAsia="Arial" w:cs="Arial"/>
      <w:sz w:val="34"/>
    </w:rPr>
  </w:style>
  <w:style w:type="character" w:styleId="1040">
    <w:name w:val="Heading 2 Char"/>
    <w:link w:val="1039"/>
    <w:uiPriority w:val="9"/>
    <w:rPr>
      <w:rFonts w:ascii="Arial" w:hAnsi="Arial" w:eastAsia="Arial" w:cs="Arial"/>
      <w:sz w:val="34"/>
    </w:rPr>
  </w:style>
  <w:style w:type="paragraph" w:styleId="1041">
    <w:name w:val="Heading 3"/>
    <w:basedOn w:val="1215"/>
    <w:next w:val="1215"/>
    <w:link w:val="1042"/>
    <w:uiPriority w:val="9"/>
    <w:unhideWhenUsed/>
    <w:qFormat/>
    <w:pPr>
      <w:keepLines/>
      <w:keepNext/>
      <w:spacing w:before="320" w:after="200"/>
      <w:outlineLvl w:val="2"/>
    </w:pPr>
    <w:rPr>
      <w:rFonts w:ascii="Arial" w:hAnsi="Arial" w:eastAsia="Arial" w:cs="Arial"/>
      <w:sz w:val="30"/>
      <w:szCs w:val="30"/>
    </w:rPr>
  </w:style>
  <w:style w:type="character" w:styleId="1042">
    <w:name w:val="Heading 3 Char"/>
    <w:link w:val="1041"/>
    <w:uiPriority w:val="9"/>
    <w:rPr>
      <w:rFonts w:ascii="Arial" w:hAnsi="Arial" w:eastAsia="Arial" w:cs="Arial"/>
      <w:sz w:val="30"/>
      <w:szCs w:val="30"/>
    </w:rPr>
  </w:style>
  <w:style w:type="paragraph" w:styleId="1043">
    <w:name w:val="Heading 4"/>
    <w:basedOn w:val="1215"/>
    <w:next w:val="1215"/>
    <w:link w:val="1044"/>
    <w:uiPriority w:val="9"/>
    <w:unhideWhenUsed/>
    <w:qFormat/>
    <w:pPr>
      <w:keepLines/>
      <w:keepNext/>
      <w:spacing w:before="320" w:after="200"/>
      <w:outlineLvl w:val="3"/>
    </w:pPr>
    <w:rPr>
      <w:rFonts w:ascii="Arial" w:hAnsi="Arial" w:eastAsia="Arial" w:cs="Arial"/>
      <w:b/>
      <w:bCs/>
      <w:sz w:val="26"/>
      <w:szCs w:val="26"/>
    </w:rPr>
  </w:style>
  <w:style w:type="character" w:styleId="1044">
    <w:name w:val="Heading 4 Char"/>
    <w:link w:val="1043"/>
    <w:uiPriority w:val="9"/>
    <w:rPr>
      <w:rFonts w:ascii="Arial" w:hAnsi="Arial" w:eastAsia="Arial" w:cs="Arial"/>
      <w:b/>
      <w:bCs/>
      <w:sz w:val="26"/>
      <w:szCs w:val="26"/>
    </w:rPr>
  </w:style>
  <w:style w:type="paragraph" w:styleId="1045">
    <w:name w:val="Heading 5"/>
    <w:basedOn w:val="1215"/>
    <w:next w:val="1215"/>
    <w:link w:val="1046"/>
    <w:uiPriority w:val="9"/>
    <w:unhideWhenUsed/>
    <w:qFormat/>
    <w:pPr>
      <w:keepLines/>
      <w:keepNext/>
      <w:spacing w:before="320" w:after="200"/>
      <w:outlineLvl w:val="4"/>
    </w:pPr>
    <w:rPr>
      <w:rFonts w:ascii="Arial" w:hAnsi="Arial" w:eastAsia="Arial" w:cs="Arial"/>
      <w:b/>
      <w:bCs/>
      <w:sz w:val="24"/>
      <w:szCs w:val="24"/>
    </w:rPr>
  </w:style>
  <w:style w:type="character" w:styleId="1046">
    <w:name w:val="Heading 5 Char"/>
    <w:link w:val="1045"/>
    <w:uiPriority w:val="9"/>
    <w:rPr>
      <w:rFonts w:ascii="Arial" w:hAnsi="Arial" w:eastAsia="Arial" w:cs="Arial"/>
      <w:b/>
      <w:bCs/>
      <w:sz w:val="24"/>
      <w:szCs w:val="24"/>
    </w:rPr>
  </w:style>
  <w:style w:type="paragraph" w:styleId="1047">
    <w:name w:val="Heading 6"/>
    <w:basedOn w:val="1215"/>
    <w:next w:val="1215"/>
    <w:link w:val="1048"/>
    <w:uiPriority w:val="9"/>
    <w:unhideWhenUsed/>
    <w:qFormat/>
    <w:pPr>
      <w:keepLines/>
      <w:keepNext/>
      <w:spacing w:before="320" w:after="200"/>
      <w:outlineLvl w:val="5"/>
    </w:pPr>
    <w:rPr>
      <w:rFonts w:ascii="Arial" w:hAnsi="Arial" w:eastAsia="Arial" w:cs="Arial"/>
      <w:b/>
      <w:bCs/>
      <w:sz w:val="22"/>
      <w:szCs w:val="22"/>
    </w:rPr>
  </w:style>
  <w:style w:type="character" w:styleId="1048">
    <w:name w:val="Heading 6 Char"/>
    <w:link w:val="1047"/>
    <w:uiPriority w:val="9"/>
    <w:rPr>
      <w:rFonts w:ascii="Arial" w:hAnsi="Arial" w:eastAsia="Arial" w:cs="Arial"/>
      <w:b/>
      <w:bCs/>
      <w:sz w:val="22"/>
      <w:szCs w:val="22"/>
    </w:rPr>
  </w:style>
  <w:style w:type="paragraph" w:styleId="1049">
    <w:name w:val="Heading 7"/>
    <w:basedOn w:val="1215"/>
    <w:next w:val="1215"/>
    <w:link w:val="1050"/>
    <w:uiPriority w:val="9"/>
    <w:unhideWhenUsed/>
    <w:qFormat/>
    <w:pPr>
      <w:keepLines/>
      <w:keepNext/>
      <w:spacing w:before="320" w:after="200"/>
      <w:outlineLvl w:val="6"/>
    </w:pPr>
    <w:rPr>
      <w:rFonts w:ascii="Arial" w:hAnsi="Arial" w:eastAsia="Arial" w:cs="Arial"/>
      <w:b/>
      <w:bCs/>
      <w:i/>
      <w:iCs/>
      <w:sz w:val="22"/>
      <w:szCs w:val="22"/>
    </w:rPr>
  </w:style>
  <w:style w:type="character" w:styleId="1050">
    <w:name w:val="Heading 7 Char"/>
    <w:link w:val="1049"/>
    <w:uiPriority w:val="9"/>
    <w:rPr>
      <w:rFonts w:ascii="Arial" w:hAnsi="Arial" w:eastAsia="Arial" w:cs="Arial"/>
      <w:b/>
      <w:bCs/>
      <w:i/>
      <w:iCs/>
      <w:sz w:val="22"/>
      <w:szCs w:val="22"/>
    </w:rPr>
  </w:style>
  <w:style w:type="paragraph" w:styleId="1051">
    <w:name w:val="Heading 8"/>
    <w:basedOn w:val="1215"/>
    <w:next w:val="1215"/>
    <w:link w:val="1052"/>
    <w:uiPriority w:val="9"/>
    <w:unhideWhenUsed/>
    <w:qFormat/>
    <w:pPr>
      <w:keepLines/>
      <w:keepNext/>
      <w:spacing w:before="320" w:after="200"/>
      <w:outlineLvl w:val="7"/>
    </w:pPr>
    <w:rPr>
      <w:rFonts w:ascii="Arial" w:hAnsi="Arial" w:eastAsia="Arial" w:cs="Arial"/>
      <w:i/>
      <w:iCs/>
      <w:sz w:val="22"/>
      <w:szCs w:val="22"/>
    </w:rPr>
  </w:style>
  <w:style w:type="character" w:styleId="1052">
    <w:name w:val="Heading 8 Char"/>
    <w:link w:val="1051"/>
    <w:uiPriority w:val="9"/>
    <w:rPr>
      <w:rFonts w:ascii="Arial" w:hAnsi="Arial" w:eastAsia="Arial" w:cs="Arial"/>
      <w:i/>
      <w:iCs/>
      <w:sz w:val="22"/>
      <w:szCs w:val="22"/>
    </w:rPr>
  </w:style>
  <w:style w:type="paragraph" w:styleId="1053">
    <w:name w:val="Heading 9"/>
    <w:basedOn w:val="1215"/>
    <w:next w:val="1215"/>
    <w:link w:val="1054"/>
    <w:uiPriority w:val="9"/>
    <w:unhideWhenUsed/>
    <w:qFormat/>
    <w:pPr>
      <w:keepLines/>
      <w:keepNext/>
      <w:spacing w:before="320" w:after="200"/>
      <w:outlineLvl w:val="8"/>
    </w:pPr>
    <w:rPr>
      <w:rFonts w:ascii="Arial" w:hAnsi="Arial" w:eastAsia="Arial" w:cs="Arial"/>
      <w:i/>
      <w:iCs/>
      <w:sz w:val="21"/>
      <w:szCs w:val="21"/>
    </w:rPr>
  </w:style>
  <w:style w:type="character" w:styleId="1054">
    <w:name w:val="Heading 9 Char"/>
    <w:link w:val="1053"/>
    <w:uiPriority w:val="9"/>
    <w:rPr>
      <w:rFonts w:ascii="Arial" w:hAnsi="Arial" w:eastAsia="Arial" w:cs="Arial"/>
      <w:i/>
      <w:iCs/>
      <w:sz w:val="21"/>
      <w:szCs w:val="21"/>
    </w:rPr>
  </w:style>
  <w:style w:type="paragraph" w:styleId="1055">
    <w:name w:val="List Paragraph"/>
    <w:basedOn w:val="1215"/>
    <w:uiPriority w:val="34"/>
    <w:qFormat/>
    <w:pPr>
      <w:contextualSpacing/>
      <w:ind w:left="720"/>
    </w:pPr>
  </w:style>
  <w:style w:type="paragraph" w:styleId="1056">
    <w:name w:val="No Spacing"/>
    <w:uiPriority w:val="1"/>
    <w:qFormat/>
    <w:pPr>
      <w:spacing w:before="0" w:after="0" w:line="240" w:lineRule="auto"/>
    </w:pPr>
  </w:style>
  <w:style w:type="paragraph" w:styleId="1057">
    <w:name w:val="Title"/>
    <w:basedOn w:val="1215"/>
    <w:next w:val="1215"/>
    <w:link w:val="1058"/>
    <w:uiPriority w:val="10"/>
    <w:qFormat/>
    <w:pPr>
      <w:contextualSpacing/>
      <w:spacing w:before="300" w:after="200"/>
    </w:pPr>
    <w:rPr>
      <w:sz w:val="48"/>
      <w:szCs w:val="48"/>
    </w:rPr>
  </w:style>
  <w:style w:type="character" w:styleId="1058">
    <w:name w:val="Title Char"/>
    <w:link w:val="1057"/>
    <w:uiPriority w:val="10"/>
    <w:rPr>
      <w:sz w:val="48"/>
      <w:szCs w:val="48"/>
    </w:rPr>
  </w:style>
  <w:style w:type="paragraph" w:styleId="1059">
    <w:name w:val="Subtitle"/>
    <w:basedOn w:val="1215"/>
    <w:next w:val="1215"/>
    <w:link w:val="1060"/>
    <w:uiPriority w:val="11"/>
    <w:qFormat/>
    <w:pPr>
      <w:spacing w:before="200" w:after="200"/>
    </w:pPr>
    <w:rPr>
      <w:sz w:val="24"/>
      <w:szCs w:val="24"/>
    </w:rPr>
  </w:style>
  <w:style w:type="character" w:styleId="1060">
    <w:name w:val="Subtitle Char"/>
    <w:link w:val="1059"/>
    <w:uiPriority w:val="11"/>
    <w:rPr>
      <w:sz w:val="24"/>
      <w:szCs w:val="24"/>
    </w:rPr>
  </w:style>
  <w:style w:type="paragraph" w:styleId="1061">
    <w:name w:val="Quote"/>
    <w:basedOn w:val="1215"/>
    <w:next w:val="1215"/>
    <w:link w:val="1062"/>
    <w:uiPriority w:val="29"/>
    <w:qFormat/>
    <w:pPr>
      <w:ind w:left="720" w:right="720"/>
    </w:pPr>
    <w:rPr>
      <w:i/>
    </w:rPr>
  </w:style>
  <w:style w:type="character" w:styleId="1062">
    <w:name w:val="Quote Char"/>
    <w:link w:val="1061"/>
    <w:uiPriority w:val="29"/>
    <w:rPr>
      <w:i/>
    </w:rPr>
  </w:style>
  <w:style w:type="paragraph" w:styleId="1063">
    <w:name w:val="Intense Quote"/>
    <w:basedOn w:val="1215"/>
    <w:next w:val="1215"/>
    <w:link w:val="1064"/>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1064">
    <w:name w:val="Intense Quote Char"/>
    <w:link w:val="1063"/>
    <w:uiPriority w:val="30"/>
    <w:rPr>
      <w:i/>
    </w:rPr>
  </w:style>
  <w:style w:type="paragraph" w:styleId="1065">
    <w:name w:val="Header"/>
    <w:basedOn w:val="1215"/>
    <w:link w:val="1066"/>
    <w:uiPriority w:val="99"/>
    <w:unhideWhenUsed/>
    <w:pPr>
      <w:spacing w:after="0" w:line="240" w:lineRule="auto"/>
      <w:tabs>
        <w:tab w:val="center" w:pos="7143" w:leader="none"/>
        <w:tab w:val="right" w:pos="14287" w:leader="none"/>
      </w:tabs>
    </w:pPr>
  </w:style>
  <w:style w:type="character" w:styleId="1066">
    <w:name w:val="Header Char"/>
    <w:link w:val="1065"/>
    <w:uiPriority w:val="99"/>
  </w:style>
  <w:style w:type="paragraph" w:styleId="1067">
    <w:name w:val="Footer"/>
    <w:basedOn w:val="1215"/>
    <w:link w:val="1070"/>
    <w:uiPriority w:val="99"/>
    <w:unhideWhenUsed/>
    <w:pPr>
      <w:spacing w:after="0" w:line="240" w:lineRule="auto"/>
      <w:tabs>
        <w:tab w:val="center" w:pos="7143" w:leader="none"/>
        <w:tab w:val="right" w:pos="14287" w:leader="none"/>
      </w:tabs>
    </w:pPr>
  </w:style>
  <w:style w:type="character" w:styleId="1068">
    <w:name w:val="Footer Char"/>
    <w:link w:val="1067"/>
    <w:uiPriority w:val="99"/>
  </w:style>
  <w:style w:type="paragraph" w:styleId="1069">
    <w:name w:val="Caption"/>
    <w:basedOn w:val="1215"/>
    <w:next w:val="1215"/>
    <w:uiPriority w:val="35"/>
    <w:semiHidden/>
    <w:unhideWhenUsed/>
    <w:qFormat/>
    <w:pPr>
      <w:spacing w:line="276" w:lineRule="auto"/>
    </w:pPr>
    <w:rPr>
      <w:b/>
      <w:bCs/>
      <w:color w:val="4f81bd" w:themeColor="accent1"/>
      <w:sz w:val="18"/>
      <w:szCs w:val="18"/>
    </w:rPr>
  </w:style>
  <w:style w:type="character" w:styleId="1070">
    <w:name w:val="Caption Char"/>
    <w:basedOn w:val="1069"/>
    <w:link w:val="1067"/>
    <w:uiPriority w:val="99"/>
  </w:style>
  <w:style w:type="table" w:styleId="1071">
    <w:name w:val="Table Grid"/>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1072">
    <w:name w:val="Table Grid Light"/>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1073">
    <w:name w:val="Plain Table 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1074">
    <w:name w:val="Plain Table 2"/>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1075">
    <w:name w:val="Plain Table 3"/>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1076">
    <w:name w:val="Plain Table 4"/>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1077">
    <w:name w:val="Plain Table 5"/>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1078">
    <w:name w:val="Grid Table 1 Light"/>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1079">
    <w:name w:val="Grid Table 1 Light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1080">
    <w:name w:val="Grid Table 1 Light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1081">
    <w:name w:val="Grid Table 1 Light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1082">
    <w:name w:val="Grid Table 1 Light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1083">
    <w:name w:val="Grid Table 1 Light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1084">
    <w:name w:val="Grid Table 1 Light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1085">
    <w:name w:val="Grid Table 2"/>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1086">
    <w:name w:val="Grid Table 2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1087">
    <w:name w:val="Grid Table 2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1088">
    <w:name w:val="Grid Table 2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1089">
    <w:name w:val="Grid Table 2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1090">
    <w:name w:val="Grid Table 2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1091">
    <w:name w:val="Grid Table 2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1092">
    <w:name w:val="Grid Table 3"/>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3">
    <w:name w:val="Grid Table 3 - Accent 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4">
    <w:name w:val="Grid Table 3 - Accent 2"/>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5">
    <w:name w:val="Grid Table 3 - Accent 3"/>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6">
    <w:name w:val="Grid Table 3 - Accent 4"/>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7">
    <w:name w:val="Grid Table 3 - Accent 5"/>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8">
    <w:name w:val="Grid Table 3 - Accent 6"/>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val="clear"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1099">
    <w:name w:val="Grid Table 4"/>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1100">
    <w:name w:val="Grid Table 4 - Accent 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1101">
    <w:name w:val="Grid Table 4 - Accent 2"/>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1102">
    <w:name w:val="Grid Table 4 - Accent 3"/>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1103">
    <w:name w:val="Grid Table 4 - Accent 4"/>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1104">
    <w:name w:val="Grid Table 4 - Accent 5"/>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1105">
    <w:name w:val="Grid Table 4 - Accent 6"/>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1106">
    <w:name w:val="Grid Table 5 Dark"/>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1107">
    <w:name w:val="Grid Table 5 Dark- Accent 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1108">
    <w:name w:val="Grid Table 5 Dark - Accent 2"/>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1109">
    <w:name w:val="Grid Table 5 Dark - Accent 3"/>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1110">
    <w:name w:val="Grid Table 5 Dark- Accent 4"/>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1111">
    <w:name w:val="Grid Table 5 Dark - Accent 5"/>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1112">
    <w:name w:val="Grid Table 5 Dark - Accent 6"/>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1113">
    <w:name w:val="Grid Table 6 Colorful"/>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1114">
    <w:name w:val="Grid Table 6 Colorful - Accent 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1115">
    <w:name w:val="Grid Table 6 Colorful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1116">
    <w:name w:val="Grid Table 6 Colorful - Accent 3"/>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1117">
    <w:name w:val="Grid Table 6 Colorful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1118">
    <w:name w:val="Grid Table 6 Colorful - Accent 5"/>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19">
    <w:name w:val="Grid Table 6 Colorful - Accent 6"/>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1120">
    <w:name w:val="Grid Table 7 Colorful"/>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style>
  <w:style w:type="table" w:styleId="1121">
    <w:name w:val="Grid Table 7 Colorful - Accent 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color="000000" w:sz="4" w:space="0"/>
          <w:left w:val="none" w:color="000000" w:sz="4" w:space="0"/>
          <w:bottom w:val="single" w:color="000000" w:themeColor="accent1" w:themeTint="80" w:sz="4" w:space="0"/>
          <w:right w:val="none" w:color="000000" w:sz="4" w:space="0"/>
        </w:tcBorders>
      </w:tcPr>
    </w:tblStylePr>
    <w:tblStylePr w:type="lastCol">
      <w:rPr>
        <w:rFonts w:ascii="Arial" w:hAnsi="Arial"/>
        <w:i/>
        <w:color w:val="3e70a3" w:themeColor="accent1" w:themeTint="80" w:themeShade="95"/>
        <w:sz w:val="22"/>
      </w:rPr>
      <w:tcPr>
        <w:shd w:val="clear" w:color="ffffff"/>
        <w:tcBorders>
          <w:top w:val="none" w:color="000000" w:sz="4" w:space="0"/>
          <w:left w:val="single" w:color="000000" w:themeColor="accent1" w:themeTint="80" w:sz="4" w:space="0"/>
          <w:bottom w:val="none" w:color="000000" w:sz="4" w:space="0"/>
          <w:right w:val="none" w:color="000000" w:sz="4" w:space="0"/>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color="000000" w:sz="4" w:space="0"/>
          <w:bottom w:val="none" w:color="000000" w:sz="4" w:space="0"/>
          <w:right w:val="none" w:color="000000" w:sz="4" w:space="0"/>
        </w:tcBorders>
      </w:tcPr>
    </w:tblStylePr>
  </w:style>
  <w:style w:type="table" w:styleId="1122">
    <w:name w:val="Grid Table 7 Colorful - Accent 2"/>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style>
  <w:style w:type="table" w:styleId="1123">
    <w:name w:val="Grid Table 7 Colorful - Accent 3"/>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color="000000" w:sz="4" w:space="0"/>
          <w:left w:val="none" w:color="000000" w:sz="4" w:space="0"/>
          <w:bottom w:val="single" w:color="000000" w:themeColor="accent3" w:themeTint="FE" w:sz="4" w:space="0"/>
          <w:right w:val="none" w:color="000000" w:sz="4" w:space="0"/>
        </w:tcBorders>
      </w:tcPr>
    </w:tblStylePr>
    <w:tblStylePr w:type="lastCol">
      <w:rPr>
        <w:rFonts w:ascii="Arial" w:hAnsi="Arial"/>
        <w:i/>
        <w:color w:val="5c702f" w:themeColor="accent3" w:themeTint="FE" w:themeShade="95"/>
        <w:sz w:val="22"/>
      </w:rPr>
      <w:tcPr>
        <w:shd w:val="clear" w:color="ffffff"/>
        <w:tcBorders>
          <w:top w:val="none" w:color="000000" w:sz="4" w:space="0"/>
          <w:left w:val="single" w:color="000000" w:themeColor="accent3" w:themeTint="FE" w:sz="4" w:space="0"/>
          <w:bottom w:val="none" w:color="000000" w:sz="4" w:space="0"/>
          <w:right w:val="none" w:color="000000" w:sz="4" w:space="0"/>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color="000000" w:sz="4" w:space="0"/>
          <w:bottom w:val="none" w:color="000000" w:sz="4" w:space="0"/>
          <w:right w:val="none" w:color="000000" w:sz="4" w:space="0"/>
        </w:tcBorders>
      </w:tcPr>
    </w:tblStylePr>
  </w:style>
  <w:style w:type="table" w:styleId="1124">
    <w:name w:val="Grid Table 7 Colorful - Accent 4"/>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style>
  <w:style w:type="table" w:styleId="1125">
    <w:name w:val="Grid Table 7 Colorful - Accent 5"/>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color="000000" w:sz="4" w:space="0"/>
          <w:left w:val="none" w:color="000000" w:sz="4" w:space="0"/>
          <w:bottom w:val="single" w:color="000000" w:themeColor="accent5" w:themeTint="90" w:sz="4" w:space="0"/>
          <w:right w:val="none" w:color="000000" w:sz="4" w:space="0"/>
        </w:tcBorders>
      </w:tcPr>
    </w:tblStylePr>
    <w:tblStylePr w:type="lastCol">
      <w:rPr>
        <w:rFonts w:ascii="Arial" w:hAnsi="Arial"/>
        <w:i/>
        <w:color w:val="266777" w:themeColor="accent5" w:themeShade="95"/>
        <w:sz w:val="22"/>
      </w:rPr>
      <w:tcPr>
        <w:shd w:val="clear" w:color="ffffff"/>
        <w:tcBorders>
          <w:top w:val="none" w:color="000000" w:sz="4" w:space="0"/>
          <w:left w:val="single" w:color="000000" w:themeColor="accent5" w:themeTint="90" w:sz="4" w:space="0"/>
          <w:bottom w:val="none" w:color="000000" w:sz="4" w:space="0"/>
          <w:right w:val="none" w:color="000000" w:sz="4" w:space="0"/>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color="000000" w:sz="4" w:space="0"/>
          <w:bottom w:val="none" w:color="000000" w:sz="4" w:space="0"/>
          <w:right w:val="none" w:color="000000" w:sz="4" w:space="0"/>
        </w:tcBorders>
      </w:tcPr>
    </w:tblStylePr>
  </w:style>
  <w:style w:type="table" w:styleId="1126">
    <w:name w:val="Grid Table 7 Colorful - Accent 6"/>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color="000000" w:sz="4" w:space="0"/>
          <w:left w:val="none" w:color="000000" w:sz="4" w:space="0"/>
          <w:bottom w:val="single" w:color="000000" w:themeColor="accent6" w:themeTint="90" w:sz="4" w:space="0"/>
          <w:right w:val="none" w:color="000000" w:sz="4" w:space="0"/>
        </w:tcBorders>
      </w:tcPr>
    </w:tblStylePr>
    <w:tblStylePr w:type="lastCol">
      <w:rPr>
        <w:rFonts w:ascii="Arial" w:hAnsi="Arial"/>
        <w:i/>
        <w:color w:val="b05307" w:themeColor="accent6" w:themeShade="95"/>
        <w:sz w:val="22"/>
      </w:rPr>
      <w:tcPr>
        <w:shd w:val="clear" w:color="ffffff"/>
        <w:tcBorders>
          <w:top w:val="none" w:color="000000" w:sz="4" w:space="0"/>
          <w:left w:val="single" w:color="000000" w:themeColor="accent6" w:themeTint="90" w:sz="4" w:space="0"/>
          <w:bottom w:val="none" w:color="000000" w:sz="4" w:space="0"/>
          <w:right w:val="none" w:color="000000" w:sz="4" w:space="0"/>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color="000000" w:sz="4" w:space="0"/>
          <w:bottom w:val="none" w:color="000000" w:sz="4" w:space="0"/>
          <w:right w:val="none" w:color="000000" w:sz="4" w:space="0"/>
        </w:tcBorders>
      </w:tcPr>
    </w:tblStylePr>
  </w:style>
  <w:style w:type="table" w:styleId="1127">
    <w:name w:val="List Table 1 Light"/>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128">
    <w:name w:val="List Table 1 Light - Accent 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129">
    <w:name w:val="List Table 1 Light - Accent 2"/>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130">
    <w:name w:val="List Table 1 Light - Accent 3"/>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131">
    <w:name w:val="List Table 1 Light - Accent 4"/>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132">
    <w:name w:val="List Table 1 Light - Accent 5"/>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133">
    <w:name w:val="List Table 1 Light - Accent 6"/>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34">
    <w:name w:val="List Table 2"/>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35">
    <w:name w:val="List Table 2 - Accent 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36">
    <w:name w:val="List Table 2 - Accent 2"/>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7">
    <w:name w:val="List Table 2 - Accent 3"/>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38">
    <w:name w:val="List Table 2 - Accent 4"/>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39">
    <w:name w:val="List Table 2 - Accent 5"/>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40">
    <w:name w:val="List Table 2 - Accent 6"/>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41">
    <w:name w:val="List Table 3"/>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2">
    <w:name w:val="List Table 3 - Accent 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43">
    <w:name w:val="List Table 3 - Accent 2"/>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144">
    <w:name w:val="List Table 3 - Accent 3"/>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145">
    <w:name w:val="List Table 3 - Accent 4"/>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146">
    <w:name w:val="List Table 3 - Accent 5"/>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147">
    <w:name w:val="List Table 3 - Accent 6"/>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148">
    <w:name w:val="List Table 4"/>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49">
    <w:name w:val="List Table 4 - Accent 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50">
    <w:name w:val="List Table 4 - Accent 2"/>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151">
    <w:name w:val="List Table 4 - Accent 3"/>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152">
    <w:name w:val="List Table 4 - Accent 4"/>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153">
    <w:name w:val="List Table 4 - Accent 5"/>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154">
    <w:name w:val="List Table 4 - Accent 6"/>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155">
    <w:name w:val="List Table 5 Dark"/>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6">
    <w:name w:val="List Table 5 Dark - Accent 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7">
    <w:name w:val="List Table 5 Dark - Accent 2"/>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8">
    <w:name w:val="List Table 5 Dark - Accent 3"/>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59">
    <w:name w:val="List Table 5 Dark - Accent 4"/>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0">
    <w:name w:val="List Table 5 Dark - Accent 5"/>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1">
    <w:name w:val="List Table 5 Dark - Accent 6"/>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162">
    <w:name w:val="List Table 6 Colorful"/>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163">
    <w:name w:val="List Table 6 Colorful - Accent 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164">
    <w:name w:val="List Table 6 Colorful - Accent 2"/>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165">
    <w:name w:val="List Table 6 Colorful - Accent 3"/>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166">
    <w:name w:val="List Table 6 Colorful - Accent 4"/>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167">
    <w:name w:val="List Table 6 Colorful - Accent 5"/>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168">
    <w:name w:val="List Table 6 Colorful - Accent 6"/>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169">
    <w:name w:val="List Table 7 Colorful"/>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val="clear" w:color="ffffff"/>
        <w:tcBorders>
          <w:top w:val="none" w:color="000000" w:sz="4" w:space="0"/>
          <w:left w:val="none" w:color="000000" w:sz="4" w:space="0"/>
          <w:bottom w:val="none" w:color="000000" w:sz="4" w:space="0"/>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color="000000" w:sz="4" w:space="0"/>
          <w:left w:val="none" w:color="000000" w:sz="4" w:space="0"/>
          <w:bottom w:val="single" w:color="000000" w:themeColor="text1" w:themeTint="80" w:sz="4" w:space="0"/>
          <w:right w:val="none" w:color="000000" w:sz="4" w:space="0"/>
        </w:tcBorders>
      </w:tcPr>
    </w:tblStylePr>
    <w:tblStylePr w:type="lastCol">
      <w:rPr>
        <w:rFonts w:ascii="Arial" w:hAnsi="Arial"/>
        <w:i/>
        <w:color w:val="4a4a4a" w:themeColor="text1" w:themeTint="80" w:themeShade="95"/>
        <w:sz w:val="22"/>
      </w:rPr>
      <w:tcPr>
        <w:shd w:val="clear" w:color="ffffff"/>
        <w:tcBorders>
          <w:top w:val="none" w:color="000000" w:sz="4" w:space="0"/>
          <w:left w:val="single" w:color="000000" w:themeColor="text1" w:themeTint="80" w:sz="4" w:space="0"/>
          <w:bottom w:val="none" w:color="000000" w:sz="4" w:space="0"/>
          <w:right w:val="none" w:color="000000" w:sz="4" w:space="0"/>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color="000000" w:sz="4" w:space="0"/>
          <w:bottom w:val="none" w:color="000000" w:sz="4" w:space="0"/>
          <w:right w:val="none" w:color="000000" w:sz="4" w:space="0"/>
        </w:tcBorders>
      </w:tcPr>
    </w:tblStylePr>
    <w:tblStylePr w:type="wholeTable">
      <w:rPr>
        <w:rFonts w:ascii="Arial" w:hAnsi="Arial"/>
        <w:color w:val="4a4a4a" w:themeColor="text1" w:themeTint="80" w:themeShade="95"/>
        <w:sz w:val="22"/>
      </w:rPr>
    </w:tblStylePr>
  </w:style>
  <w:style w:type="table" w:styleId="1170">
    <w:name w:val="List Table 7 Colorful - Accent 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val="clear" w:color="ffffff"/>
        <w:tcBorders>
          <w:top w:val="none" w:color="000000" w:sz="4" w:space="0"/>
          <w:left w:val="none" w:color="000000" w:sz="4" w:space="0"/>
          <w:bottom w:val="none" w:color="000000" w:sz="4" w:space="0"/>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color="000000" w:sz="4" w:space="0"/>
          <w:left w:val="none" w:color="000000" w:sz="4" w:space="0"/>
          <w:bottom w:val="single" w:color="000000" w:themeColor="accent1" w:sz="4" w:space="0"/>
          <w:right w:val="none" w:color="000000" w:sz="4" w:space="0"/>
        </w:tcBorders>
      </w:tcPr>
    </w:tblStylePr>
    <w:tblStylePr w:type="lastCol">
      <w:rPr>
        <w:rFonts w:ascii="Arial" w:hAnsi="Arial"/>
        <w:i/>
        <w:color w:val="2a4b71" w:themeColor="accent1" w:themeShade="95"/>
        <w:sz w:val="22"/>
      </w:rPr>
      <w:tcPr>
        <w:shd w:val="clear" w:color="ffffff"/>
        <w:tcBorders>
          <w:top w:val="none" w:color="000000" w:sz="4" w:space="0"/>
          <w:left w:val="single" w:color="000000" w:themeColor="accent1" w:sz="4" w:space="0"/>
          <w:bottom w:val="none" w:color="000000" w:sz="4" w:space="0"/>
          <w:right w:val="none" w:color="000000" w:sz="4" w:space="0"/>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color="000000" w:sz="4" w:space="0"/>
          <w:bottom w:val="none" w:color="000000" w:sz="4" w:space="0"/>
          <w:right w:val="none" w:color="000000" w:sz="4" w:space="0"/>
        </w:tcBorders>
      </w:tcPr>
    </w:tblStylePr>
    <w:tblStylePr w:type="wholeTable">
      <w:rPr>
        <w:rFonts w:ascii="Arial" w:hAnsi="Arial"/>
        <w:color w:val="2a4b71" w:themeColor="accent1" w:themeShade="95"/>
        <w:sz w:val="22"/>
      </w:rPr>
    </w:tblStylePr>
  </w:style>
  <w:style w:type="table" w:styleId="1171">
    <w:name w:val="List Table 7 Colorful - Accent 2"/>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val="clear" w:color="ffffff"/>
        <w:tcBorders>
          <w:top w:val="none" w:color="000000" w:sz="4" w:space="0"/>
          <w:left w:val="none" w:color="000000" w:sz="4" w:space="0"/>
          <w:bottom w:val="none" w:color="000000" w:sz="4" w:space="0"/>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color="000000" w:sz="4" w:space="0"/>
          <w:left w:val="none" w:color="000000" w:sz="4" w:space="0"/>
          <w:bottom w:val="single" w:color="000000" w:themeColor="accent2" w:themeTint="97" w:sz="4" w:space="0"/>
          <w:right w:val="none" w:color="000000" w:sz="4" w:space="0"/>
        </w:tcBorders>
      </w:tcPr>
    </w:tblStylePr>
    <w:tblStylePr w:type="lastCol">
      <w:rPr>
        <w:rFonts w:ascii="Arial" w:hAnsi="Arial"/>
        <w:i/>
        <w:color w:val="9c3a37" w:themeColor="accent2" w:themeTint="97" w:themeShade="95"/>
        <w:sz w:val="22"/>
      </w:rPr>
      <w:tcPr>
        <w:shd w:val="clear" w:color="ffffff"/>
        <w:tcBorders>
          <w:top w:val="none" w:color="000000" w:sz="4" w:space="0"/>
          <w:left w:val="single" w:color="000000" w:themeColor="accent2" w:themeTint="97" w:sz="4" w:space="0"/>
          <w:bottom w:val="none" w:color="000000" w:sz="4" w:space="0"/>
          <w:right w:val="none" w:color="000000" w:sz="4" w:space="0"/>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color="000000" w:sz="4" w:space="0"/>
          <w:bottom w:val="none" w:color="000000" w:sz="4" w:space="0"/>
          <w:right w:val="none" w:color="000000" w:sz="4" w:space="0"/>
        </w:tcBorders>
      </w:tcPr>
    </w:tblStylePr>
    <w:tblStylePr w:type="wholeTable">
      <w:rPr>
        <w:rFonts w:ascii="Arial" w:hAnsi="Arial"/>
        <w:color w:val="9c3a37" w:themeColor="accent2" w:themeTint="97" w:themeShade="95"/>
        <w:sz w:val="22"/>
      </w:rPr>
    </w:tblStylePr>
  </w:style>
  <w:style w:type="table" w:styleId="1172">
    <w:name w:val="List Table 7 Colorful - Accent 3"/>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color="000000" w:sz="4" w:space="0"/>
          <w:left w:val="none" w:color="000000" w:sz="4" w:space="0"/>
          <w:bottom w:val="single" w:color="000000" w:themeColor="accent3" w:themeTint="98" w:sz="4" w:space="0"/>
          <w:right w:val="none" w:color="000000" w:sz="4" w:space="0"/>
        </w:tcBorders>
      </w:tcPr>
    </w:tblStylePr>
    <w:tblStylePr w:type="lastCol">
      <w:rPr>
        <w:rFonts w:ascii="Arial" w:hAnsi="Arial"/>
        <w:i/>
        <w:color w:val="7c983f" w:themeColor="accent3" w:themeTint="98" w:themeShade="95"/>
        <w:sz w:val="22"/>
      </w:rPr>
      <w:tcPr>
        <w:shd w:val="clear" w:color="ffffff"/>
        <w:tcBorders>
          <w:top w:val="none" w:color="000000" w:sz="4" w:space="0"/>
          <w:left w:val="single" w:color="000000" w:themeColor="accent3" w:themeTint="98" w:sz="4" w:space="0"/>
          <w:bottom w:val="none" w:color="000000" w:sz="4" w:space="0"/>
          <w:right w:val="none" w:color="000000" w:sz="4" w:space="0"/>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color="000000" w:sz="4" w:space="0"/>
          <w:bottom w:val="none" w:color="000000" w:sz="4" w:space="0"/>
          <w:right w:val="none" w:color="000000" w:sz="4" w:space="0"/>
        </w:tcBorders>
      </w:tcPr>
    </w:tblStylePr>
    <w:tblStylePr w:type="wholeTable">
      <w:rPr>
        <w:rFonts w:ascii="Arial" w:hAnsi="Arial"/>
        <w:color w:val="7c983f" w:themeColor="accent3" w:themeTint="98" w:themeShade="95"/>
        <w:sz w:val="22"/>
      </w:rPr>
    </w:tblStylePr>
  </w:style>
  <w:style w:type="table" w:styleId="1173">
    <w:name w:val="List Table 7 Colorful - Accent 4"/>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color="000000" w:sz="4" w:space="0"/>
          <w:left w:val="none" w:color="000000" w:sz="4" w:space="0"/>
          <w:bottom w:val="single" w:color="000000" w:themeColor="accent4" w:themeTint="9A" w:sz="4" w:space="0"/>
          <w:right w:val="none" w:color="000000" w:sz="4" w:space="0"/>
        </w:tcBorders>
      </w:tcPr>
    </w:tblStylePr>
    <w:tblStylePr w:type="lastCol">
      <w:rPr>
        <w:rFonts w:ascii="Arial" w:hAnsi="Arial"/>
        <w:i/>
        <w:color w:val="664f82" w:themeColor="accent4" w:themeTint="9A" w:themeShade="95"/>
        <w:sz w:val="22"/>
      </w:rPr>
      <w:tcPr>
        <w:shd w:val="clear" w:color="ffffff"/>
        <w:tcBorders>
          <w:top w:val="none" w:color="000000" w:sz="4" w:space="0"/>
          <w:left w:val="single" w:color="000000" w:themeColor="accent4" w:themeTint="9A" w:sz="4" w:space="0"/>
          <w:bottom w:val="none" w:color="000000" w:sz="4" w:space="0"/>
          <w:right w:val="none" w:color="000000" w:sz="4" w:space="0"/>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color="000000" w:sz="4" w:space="0"/>
          <w:bottom w:val="none" w:color="000000" w:sz="4" w:space="0"/>
          <w:right w:val="none" w:color="000000" w:sz="4" w:space="0"/>
        </w:tcBorders>
      </w:tcPr>
    </w:tblStylePr>
    <w:tblStylePr w:type="wholeTable">
      <w:rPr>
        <w:rFonts w:ascii="Arial" w:hAnsi="Arial"/>
        <w:color w:val="664f82" w:themeColor="accent4" w:themeTint="9A" w:themeShade="95"/>
        <w:sz w:val="22"/>
      </w:rPr>
    </w:tblStylePr>
  </w:style>
  <w:style w:type="table" w:styleId="1174">
    <w:name w:val="List Table 7 Colorful - Accent 5"/>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val="clear" w:color="ffffff"/>
        <w:tcBorders>
          <w:top w:val="none" w:color="000000" w:sz="4" w:space="0"/>
          <w:left w:val="none" w:color="000000" w:sz="4" w:space="0"/>
          <w:bottom w:val="none" w:color="000000" w:sz="4" w:space="0"/>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color="000000" w:sz="4" w:space="0"/>
          <w:left w:val="none" w:color="000000" w:sz="4" w:space="0"/>
          <w:bottom w:val="single" w:color="000000" w:themeColor="accent5" w:themeTint="9A" w:sz="4" w:space="0"/>
          <w:right w:val="none" w:color="000000" w:sz="4" w:space="0"/>
        </w:tcBorders>
      </w:tcPr>
    </w:tblStylePr>
    <w:tblStylePr w:type="lastCol">
      <w:rPr>
        <w:rFonts w:ascii="Arial" w:hAnsi="Arial"/>
        <w:i/>
        <w:color w:val="338aa0" w:themeColor="accent5" w:themeTint="9A" w:themeShade="95"/>
        <w:sz w:val="22"/>
      </w:rPr>
      <w:tcPr>
        <w:shd w:val="clear" w:color="ffffff"/>
        <w:tcBorders>
          <w:top w:val="none" w:color="000000" w:sz="4" w:space="0"/>
          <w:left w:val="single" w:color="000000" w:themeColor="accent5" w:themeTint="9A" w:sz="4" w:space="0"/>
          <w:bottom w:val="none" w:color="000000" w:sz="4" w:space="0"/>
          <w:right w:val="none" w:color="000000" w:sz="4" w:space="0"/>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color="000000" w:sz="4" w:space="0"/>
          <w:bottom w:val="none" w:color="000000" w:sz="4" w:space="0"/>
          <w:right w:val="none" w:color="000000" w:sz="4" w:space="0"/>
        </w:tcBorders>
      </w:tcPr>
    </w:tblStylePr>
    <w:tblStylePr w:type="wholeTable">
      <w:rPr>
        <w:rFonts w:ascii="Arial" w:hAnsi="Arial"/>
        <w:color w:val="338aa0" w:themeColor="accent5" w:themeTint="9A" w:themeShade="95"/>
        <w:sz w:val="22"/>
      </w:rPr>
    </w:tblStylePr>
  </w:style>
  <w:style w:type="table" w:styleId="1175">
    <w:name w:val="List Table 7 Colorful - Accent 6"/>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val="clear" w:color="ffffff"/>
        <w:tcBorders>
          <w:top w:val="none" w:color="000000" w:sz="4" w:space="0"/>
          <w:left w:val="none" w:color="000000" w:sz="4" w:space="0"/>
          <w:bottom w:val="none" w:color="000000" w:sz="4" w:space="0"/>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color="000000" w:sz="4" w:space="0"/>
          <w:left w:val="none" w:color="000000" w:sz="4" w:space="0"/>
          <w:bottom w:val="single" w:color="000000" w:themeColor="accent6" w:themeTint="98" w:sz="4" w:space="0"/>
          <w:right w:val="none" w:color="000000" w:sz="4" w:space="0"/>
        </w:tcBorders>
      </w:tcPr>
    </w:tblStylePr>
    <w:tblStylePr w:type="lastCol">
      <w:rPr>
        <w:rFonts w:ascii="Arial" w:hAnsi="Arial"/>
        <w:i/>
        <w:color w:val="d9680c" w:themeColor="accent6" w:themeTint="98" w:themeShade="95"/>
        <w:sz w:val="22"/>
      </w:rPr>
      <w:tcPr>
        <w:shd w:val="clear" w:color="ffffff"/>
        <w:tcBorders>
          <w:top w:val="none" w:color="000000" w:sz="4" w:space="0"/>
          <w:left w:val="single" w:color="000000" w:themeColor="accent6" w:themeTint="98" w:sz="4" w:space="0"/>
          <w:bottom w:val="none" w:color="000000" w:sz="4" w:space="0"/>
          <w:right w:val="none" w:color="000000" w:sz="4" w:space="0"/>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color="000000" w:sz="4" w:space="0"/>
          <w:bottom w:val="none" w:color="000000" w:sz="4" w:space="0"/>
          <w:right w:val="none" w:color="000000" w:sz="4" w:space="0"/>
        </w:tcBorders>
      </w:tcPr>
    </w:tblStylePr>
    <w:tblStylePr w:type="wholeTable">
      <w:rPr>
        <w:rFonts w:ascii="Arial" w:hAnsi="Arial"/>
        <w:color w:val="d9680c" w:themeColor="accent6" w:themeTint="98" w:themeShade="95"/>
        <w:sz w:val="22"/>
      </w:rPr>
    </w:tblStylePr>
  </w:style>
  <w:style w:type="table" w:styleId="1176">
    <w:name w:val="Lined - Accent"/>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77">
    <w:name w:val="Lined - Accent 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78">
    <w:name w:val="Lined - Accent 2"/>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79">
    <w:name w:val="Lined - Accent 3"/>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0">
    <w:name w:val="Lined - Accent 4"/>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1">
    <w:name w:val="Lined - Accent 5"/>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2">
    <w:name w:val="Lined - Accent 6"/>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83">
    <w:name w:val="Bordered &amp; Lined - Accent"/>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184">
    <w:name w:val="Bordered &amp; Lined - Accent 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185">
    <w:name w:val="Bordered &amp; Lined - Accent 2"/>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186">
    <w:name w:val="Bordered &amp; Lined - Accent 3"/>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187">
    <w:name w:val="Bordered &amp; Lined - Accent 4"/>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188">
    <w:name w:val="Bordered &amp; Lined - Accent 5"/>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189">
    <w:name w:val="Bordered &amp; Lined - Accent 6"/>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190">
    <w:name w:val="Bordered"/>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191">
    <w:name w:val="Bordered - Accent 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192">
    <w:name w:val="Bordered - Accent 2"/>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193">
    <w:name w:val="Bordered - Accent 3"/>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194">
    <w:name w:val="Bordered - Accent 4"/>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195">
    <w:name w:val="Bordered - Accent 5"/>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196">
    <w:name w:val="Bordered - Accent 6"/>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197">
    <w:name w:val="Hyperlink"/>
    <w:uiPriority w:val="99"/>
    <w:unhideWhenUsed/>
    <w:rPr>
      <w:color w:val="0000ff" w:themeColor="hyperlink"/>
      <w:u w:val="single"/>
    </w:rPr>
  </w:style>
  <w:style w:type="paragraph" w:styleId="1198">
    <w:name w:val="footnote text"/>
    <w:basedOn w:val="1215"/>
    <w:link w:val="1199"/>
    <w:uiPriority w:val="99"/>
    <w:semiHidden/>
    <w:unhideWhenUsed/>
    <w:pPr>
      <w:spacing w:after="40" w:line="240" w:lineRule="auto"/>
    </w:pPr>
    <w:rPr>
      <w:sz w:val="18"/>
    </w:rPr>
  </w:style>
  <w:style w:type="character" w:styleId="1199">
    <w:name w:val="Footnote Text Char"/>
    <w:link w:val="1198"/>
    <w:uiPriority w:val="99"/>
    <w:rPr>
      <w:sz w:val="18"/>
    </w:rPr>
  </w:style>
  <w:style w:type="character" w:styleId="1200">
    <w:name w:val="footnote reference"/>
    <w:uiPriority w:val="99"/>
    <w:unhideWhenUsed/>
    <w:rPr>
      <w:vertAlign w:val="superscript"/>
    </w:rPr>
  </w:style>
  <w:style w:type="paragraph" w:styleId="1201">
    <w:name w:val="endnote text"/>
    <w:basedOn w:val="1215"/>
    <w:link w:val="1202"/>
    <w:uiPriority w:val="99"/>
    <w:semiHidden/>
    <w:unhideWhenUsed/>
    <w:pPr>
      <w:spacing w:after="0" w:line="240" w:lineRule="auto"/>
    </w:pPr>
    <w:rPr>
      <w:sz w:val="20"/>
    </w:rPr>
  </w:style>
  <w:style w:type="character" w:styleId="1202">
    <w:name w:val="Endnote Text Char"/>
    <w:link w:val="1201"/>
    <w:uiPriority w:val="99"/>
    <w:rPr>
      <w:sz w:val="20"/>
    </w:rPr>
  </w:style>
  <w:style w:type="character" w:styleId="1203">
    <w:name w:val="endnote reference"/>
    <w:uiPriority w:val="99"/>
    <w:semiHidden/>
    <w:unhideWhenUsed/>
    <w:rPr>
      <w:vertAlign w:val="superscript"/>
    </w:rPr>
  </w:style>
  <w:style w:type="paragraph" w:styleId="1204">
    <w:name w:val="toc 1"/>
    <w:basedOn w:val="1215"/>
    <w:next w:val="1215"/>
    <w:uiPriority w:val="39"/>
    <w:unhideWhenUsed/>
    <w:pPr>
      <w:ind w:left="0" w:right="0" w:firstLine="0"/>
      <w:spacing w:after="57"/>
    </w:pPr>
  </w:style>
  <w:style w:type="paragraph" w:styleId="1205">
    <w:name w:val="toc 2"/>
    <w:basedOn w:val="1215"/>
    <w:next w:val="1215"/>
    <w:uiPriority w:val="39"/>
    <w:unhideWhenUsed/>
    <w:pPr>
      <w:ind w:left="283" w:right="0" w:firstLine="0"/>
      <w:spacing w:after="57"/>
    </w:pPr>
  </w:style>
  <w:style w:type="paragraph" w:styleId="1206">
    <w:name w:val="toc 3"/>
    <w:basedOn w:val="1215"/>
    <w:next w:val="1215"/>
    <w:uiPriority w:val="39"/>
    <w:unhideWhenUsed/>
    <w:pPr>
      <w:ind w:left="567" w:right="0" w:firstLine="0"/>
      <w:spacing w:after="57"/>
    </w:pPr>
  </w:style>
  <w:style w:type="paragraph" w:styleId="1207">
    <w:name w:val="toc 4"/>
    <w:basedOn w:val="1215"/>
    <w:next w:val="1215"/>
    <w:uiPriority w:val="39"/>
    <w:unhideWhenUsed/>
    <w:pPr>
      <w:ind w:left="850" w:right="0" w:firstLine="0"/>
      <w:spacing w:after="57"/>
    </w:pPr>
  </w:style>
  <w:style w:type="paragraph" w:styleId="1208">
    <w:name w:val="toc 5"/>
    <w:basedOn w:val="1215"/>
    <w:next w:val="1215"/>
    <w:uiPriority w:val="39"/>
    <w:unhideWhenUsed/>
    <w:pPr>
      <w:ind w:left="1134" w:right="0" w:firstLine="0"/>
      <w:spacing w:after="57"/>
    </w:pPr>
  </w:style>
  <w:style w:type="paragraph" w:styleId="1209">
    <w:name w:val="toc 6"/>
    <w:basedOn w:val="1215"/>
    <w:next w:val="1215"/>
    <w:uiPriority w:val="39"/>
    <w:unhideWhenUsed/>
    <w:pPr>
      <w:ind w:left="1417" w:right="0" w:firstLine="0"/>
      <w:spacing w:after="57"/>
    </w:pPr>
  </w:style>
  <w:style w:type="paragraph" w:styleId="1210">
    <w:name w:val="toc 7"/>
    <w:basedOn w:val="1215"/>
    <w:next w:val="1215"/>
    <w:uiPriority w:val="39"/>
    <w:unhideWhenUsed/>
    <w:pPr>
      <w:ind w:left="1701" w:right="0" w:firstLine="0"/>
      <w:spacing w:after="57"/>
    </w:pPr>
  </w:style>
  <w:style w:type="paragraph" w:styleId="1211">
    <w:name w:val="toc 8"/>
    <w:basedOn w:val="1215"/>
    <w:next w:val="1215"/>
    <w:uiPriority w:val="39"/>
    <w:unhideWhenUsed/>
    <w:pPr>
      <w:ind w:left="1984" w:right="0" w:firstLine="0"/>
      <w:spacing w:after="57"/>
    </w:pPr>
  </w:style>
  <w:style w:type="paragraph" w:styleId="1212">
    <w:name w:val="toc 9"/>
    <w:basedOn w:val="1215"/>
    <w:next w:val="1215"/>
    <w:uiPriority w:val="39"/>
    <w:unhideWhenUsed/>
    <w:pPr>
      <w:ind w:left="2268" w:right="0" w:firstLine="0"/>
      <w:spacing w:after="57"/>
    </w:pPr>
  </w:style>
  <w:style w:type="paragraph" w:styleId="1213">
    <w:name w:val="TOC Heading"/>
    <w:uiPriority w:val="39"/>
    <w:unhideWhenUsed/>
  </w:style>
  <w:style w:type="paragraph" w:styleId="1214">
    <w:name w:val="table of figures"/>
    <w:basedOn w:val="1215"/>
    <w:next w:val="1215"/>
    <w:uiPriority w:val="99"/>
    <w:unhideWhenUsed/>
    <w:pPr>
      <w:spacing w:after="0" w:afterAutospacing="0"/>
    </w:pPr>
  </w:style>
  <w:style w:type="paragraph" w:styleId="1215" w:default="1">
    <w:name w:val="Normal"/>
    <w:next w:val="1215"/>
    <w:link w:val="1215"/>
    <w:qFormat/>
    <w:pPr>
      <w:jc w:val="both"/>
      <w:widowControl w:val="off"/>
    </w:pPr>
    <w:rPr>
      <w:sz w:val="21"/>
      <w:szCs w:val="21"/>
      <w:lang w:val="en-US" w:eastAsia="zh-CN" w:bidi="ar-SA"/>
    </w:rPr>
  </w:style>
  <w:style w:type="paragraph" w:styleId="1216">
    <w:name w:val="标题 1"/>
    <w:basedOn w:val="1215"/>
    <w:next w:val="1215"/>
    <w:link w:val="1227"/>
    <w:qFormat/>
    <w:pPr>
      <w:jc w:val="center"/>
      <w:keepNext/>
      <w:outlineLvl w:val="0"/>
    </w:pPr>
    <w:rPr>
      <w:rFonts w:ascii="楷体_GB2312" w:eastAsia="楷体_GB2312"/>
      <w:sz w:val="28"/>
      <w:szCs w:val="28"/>
    </w:rPr>
  </w:style>
  <w:style w:type="paragraph" w:styleId="1217">
    <w:name w:val="标题 2"/>
    <w:basedOn w:val="1215"/>
    <w:next w:val="1215"/>
    <w:link w:val="1228"/>
    <w:qFormat/>
    <w:pPr>
      <w:jc w:val="center"/>
      <w:keepLines/>
      <w:keepNext/>
      <w:spacing w:before="260" w:after="260" w:line="416" w:lineRule="auto"/>
      <w:outlineLvl w:val="1"/>
    </w:pPr>
    <w:rPr>
      <w:rFonts w:ascii="Arial" w:hAnsi="Arial" w:eastAsia="幼圆"/>
      <w:b/>
      <w:bCs/>
      <w:sz w:val="44"/>
      <w:szCs w:val="44"/>
    </w:rPr>
  </w:style>
  <w:style w:type="paragraph" w:styleId="1218">
    <w:name w:val="标题 3"/>
    <w:basedOn w:val="1215"/>
    <w:next w:val="1230"/>
    <w:link w:val="1229"/>
    <w:qFormat/>
    <w:pPr>
      <w:keepLines/>
      <w:keepNext/>
      <w:spacing w:before="260" w:after="260" w:line="416" w:lineRule="auto"/>
      <w:outlineLvl w:val="2"/>
    </w:pPr>
    <w:rPr>
      <w:b/>
      <w:bCs/>
      <w:sz w:val="32"/>
      <w:szCs w:val="32"/>
    </w:rPr>
  </w:style>
  <w:style w:type="paragraph" w:styleId="1219">
    <w:name w:val="标题 4"/>
    <w:basedOn w:val="1215"/>
    <w:next w:val="1215"/>
    <w:link w:val="1232"/>
    <w:qFormat/>
    <w:pPr>
      <w:keepLines/>
      <w:keepNext/>
      <w:spacing w:before="280" w:after="290" w:line="376" w:lineRule="auto"/>
      <w:outlineLvl w:val="3"/>
    </w:pPr>
    <w:rPr>
      <w:rFonts w:ascii="Arial" w:hAnsi="Arial" w:eastAsia="黑体"/>
      <w:b/>
      <w:bCs/>
      <w:sz w:val="28"/>
      <w:szCs w:val="28"/>
    </w:rPr>
  </w:style>
  <w:style w:type="paragraph" w:styleId="1220">
    <w:name w:val="标题 5"/>
    <w:basedOn w:val="1215"/>
    <w:next w:val="1230"/>
    <w:link w:val="1233"/>
    <w:qFormat/>
    <w:pPr>
      <w:keepNext/>
      <w:outlineLvl w:val="4"/>
    </w:pPr>
    <w:rPr>
      <w:rFonts w:ascii="宋体"/>
      <w:color w:val="000000"/>
      <w:sz w:val="28"/>
      <w:szCs w:val="28"/>
    </w:rPr>
  </w:style>
  <w:style w:type="paragraph" w:styleId="1221">
    <w:name w:val="标题 6"/>
    <w:basedOn w:val="1215"/>
    <w:next w:val="1215"/>
    <w:link w:val="1234"/>
    <w:qFormat/>
    <w:pPr>
      <w:numPr>
        <w:ilvl w:val="5"/>
        <w:numId w:val="1"/>
      </w:numPr>
      <w:keepLines/>
      <w:keepNext/>
      <w:spacing w:before="240" w:after="64" w:line="320" w:lineRule="auto"/>
      <w:outlineLvl w:val="5"/>
    </w:pPr>
    <w:rPr>
      <w:rFonts w:ascii="Arial" w:hAnsi="Arial" w:eastAsia="黑体"/>
      <w:b/>
      <w:bCs/>
      <w:sz w:val="24"/>
      <w:szCs w:val="24"/>
    </w:rPr>
  </w:style>
  <w:style w:type="paragraph" w:styleId="1222">
    <w:name w:val="标题 7"/>
    <w:basedOn w:val="1215"/>
    <w:next w:val="1215"/>
    <w:link w:val="1235"/>
    <w:qFormat/>
    <w:pPr>
      <w:numPr>
        <w:ilvl w:val="6"/>
        <w:numId w:val="1"/>
      </w:numPr>
      <w:keepLines/>
      <w:keepNext/>
      <w:spacing w:before="240" w:after="64" w:line="320" w:lineRule="auto"/>
      <w:outlineLvl w:val="6"/>
    </w:pPr>
    <w:rPr>
      <w:b/>
      <w:bCs/>
      <w:sz w:val="24"/>
      <w:szCs w:val="24"/>
    </w:rPr>
  </w:style>
  <w:style w:type="paragraph" w:styleId="1223">
    <w:name w:val="标题 8"/>
    <w:basedOn w:val="1215"/>
    <w:next w:val="1215"/>
    <w:link w:val="1236"/>
    <w:qFormat/>
    <w:pPr>
      <w:numPr>
        <w:ilvl w:val="7"/>
        <w:numId w:val="1"/>
      </w:numPr>
      <w:keepLines/>
      <w:keepNext/>
      <w:spacing w:before="240" w:after="64" w:line="320" w:lineRule="auto"/>
      <w:outlineLvl w:val="7"/>
    </w:pPr>
    <w:rPr>
      <w:rFonts w:ascii="Arial" w:hAnsi="Arial" w:eastAsia="黑体"/>
      <w:sz w:val="24"/>
      <w:szCs w:val="24"/>
    </w:rPr>
  </w:style>
  <w:style w:type="paragraph" w:styleId="1224">
    <w:name w:val="标题 9"/>
    <w:basedOn w:val="1215"/>
    <w:next w:val="1215"/>
    <w:link w:val="1237"/>
    <w:qFormat/>
    <w:pPr>
      <w:numPr>
        <w:ilvl w:val="8"/>
        <w:numId w:val="1"/>
      </w:numPr>
      <w:keepLines/>
      <w:keepNext/>
      <w:spacing w:before="240" w:after="64" w:line="320" w:lineRule="auto"/>
      <w:outlineLvl w:val="8"/>
    </w:pPr>
    <w:rPr>
      <w:rFonts w:ascii="Arial" w:hAnsi="Arial" w:eastAsia="黑体"/>
      <w:sz w:val="20"/>
    </w:rPr>
  </w:style>
  <w:style w:type="character" w:styleId="1225">
    <w:name w:val="默认段落字体"/>
    <w:next w:val="1225"/>
    <w:link w:val="1215"/>
    <w:uiPriority w:val="1"/>
    <w:unhideWhenUsed/>
  </w:style>
  <w:style w:type="table" w:styleId="1226">
    <w:name w:val="普通表格"/>
    <w:next w:val="1226"/>
    <w:link w:val="1215"/>
    <w:uiPriority w:val="99"/>
    <w:unhideWhenUsed/>
    <w:tblPr/>
  </w:style>
  <w:style w:type="character" w:styleId="1227">
    <w:name w:val="标题 1 Char"/>
    <w:next w:val="1227"/>
    <w:link w:val="1216"/>
    <w:rPr>
      <w:rFonts w:ascii="楷体_GB2312" w:hAnsi="Times New Roman" w:eastAsia="楷体_GB2312" w:cs="Times New Roman"/>
      <w:sz w:val="28"/>
      <w:szCs w:val="28"/>
    </w:rPr>
  </w:style>
  <w:style w:type="character" w:styleId="1228">
    <w:name w:val="标题 2 Char"/>
    <w:next w:val="1228"/>
    <w:link w:val="1217"/>
    <w:rPr>
      <w:rFonts w:ascii="Arial" w:hAnsi="Arial" w:eastAsia="幼圆" w:cs="Arial"/>
      <w:b/>
      <w:bCs/>
      <w:sz w:val="44"/>
      <w:szCs w:val="44"/>
    </w:rPr>
  </w:style>
  <w:style w:type="character" w:styleId="1229">
    <w:name w:val="标题 3 Char"/>
    <w:next w:val="1229"/>
    <w:link w:val="1218"/>
    <w:rPr>
      <w:rFonts w:ascii="Times New Roman" w:hAnsi="Times New Roman" w:eastAsia="宋体" w:cs="Times New Roman"/>
      <w:b/>
      <w:bCs/>
      <w:sz w:val="32"/>
      <w:szCs w:val="32"/>
    </w:rPr>
  </w:style>
  <w:style w:type="paragraph" w:styleId="1230">
    <w:name w:val="正文缩进"/>
    <w:basedOn w:val="1215"/>
    <w:next w:val="1230"/>
    <w:link w:val="1231"/>
    <w:pPr>
      <w:ind w:firstLine="420"/>
    </w:pPr>
    <w:rPr>
      <w:sz w:val="20"/>
    </w:rPr>
  </w:style>
  <w:style w:type="character" w:styleId="1231">
    <w:name w:val="正文缩进 Char"/>
    <w:next w:val="1231"/>
    <w:link w:val="1230"/>
    <w:rPr>
      <w:rFonts w:ascii="Times New Roman" w:hAnsi="Times New Roman" w:eastAsia="宋体" w:cs="Times New Roman"/>
      <w:szCs w:val="21"/>
    </w:rPr>
  </w:style>
  <w:style w:type="character" w:styleId="1232">
    <w:name w:val="标题 4 Char"/>
    <w:next w:val="1232"/>
    <w:link w:val="1219"/>
    <w:rPr>
      <w:rFonts w:ascii="Arial" w:hAnsi="Arial" w:eastAsia="黑体" w:cs="Arial"/>
      <w:b/>
      <w:bCs/>
      <w:sz w:val="28"/>
      <w:szCs w:val="28"/>
    </w:rPr>
  </w:style>
  <w:style w:type="character" w:styleId="1233">
    <w:name w:val="标题 5 Char"/>
    <w:next w:val="1233"/>
    <w:link w:val="1220"/>
    <w:rPr>
      <w:rFonts w:ascii="宋体" w:hAnsi="Times New Roman" w:eastAsia="宋体" w:cs="Times New Roman"/>
      <w:color w:val="000000"/>
      <w:sz w:val="28"/>
      <w:szCs w:val="28"/>
    </w:rPr>
  </w:style>
  <w:style w:type="character" w:styleId="1234">
    <w:name w:val="标题 6 Char"/>
    <w:next w:val="1234"/>
    <w:link w:val="1221"/>
    <w:rPr>
      <w:rFonts w:ascii="Arial" w:hAnsi="Arial" w:eastAsia="黑体" w:cs="Times New Roman"/>
      <w:b/>
      <w:bCs/>
      <w:sz w:val="24"/>
      <w:szCs w:val="24"/>
    </w:rPr>
  </w:style>
  <w:style w:type="character" w:styleId="1235">
    <w:name w:val="标题 7 Char"/>
    <w:next w:val="1235"/>
    <w:link w:val="1222"/>
    <w:rPr>
      <w:rFonts w:ascii="Times New Roman" w:hAnsi="Times New Roman" w:eastAsia="宋体" w:cs="Times New Roman"/>
      <w:b/>
      <w:bCs/>
      <w:sz w:val="24"/>
      <w:szCs w:val="24"/>
    </w:rPr>
  </w:style>
  <w:style w:type="character" w:styleId="1236">
    <w:name w:val="标题 8 Char"/>
    <w:next w:val="1236"/>
    <w:link w:val="1223"/>
    <w:rPr>
      <w:rFonts w:ascii="Arial" w:hAnsi="Arial" w:eastAsia="黑体" w:cs="Times New Roman"/>
      <w:sz w:val="24"/>
      <w:szCs w:val="24"/>
    </w:rPr>
  </w:style>
  <w:style w:type="character" w:styleId="1237">
    <w:name w:val="标题 9 Char"/>
    <w:next w:val="1237"/>
    <w:link w:val="1224"/>
    <w:rPr>
      <w:rFonts w:ascii="Arial" w:hAnsi="Arial" w:eastAsia="黑体" w:cs="Times New Roman"/>
      <w:szCs w:val="21"/>
    </w:rPr>
  </w:style>
  <w:style w:type="paragraph" w:styleId="1238">
    <w:name w:val="列表 3"/>
    <w:basedOn w:val="1215"/>
    <w:next w:val="1238"/>
    <w:link w:val="1215"/>
    <w:pPr>
      <w:ind w:left="100" w:hanging="200"/>
    </w:pPr>
  </w:style>
  <w:style w:type="paragraph" w:styleId="1239">
    <w:name w:val="目录 7"/>
    <w:basedOn w:val="1215"/>
    <w:next w:val="1215"/>
    <w:link w:val="1215"/>
    <w:semiHidden/>
    <w:pPr>
      <w:ind w:left="1260"/>
      <w:jc w:val="left"/>
    </w:pPr>
  </w:style>
  <w:style w:type="paragraph" w:styleId="1240">
    <w:name w:val="文档结构图"/>
    <w:basedOn w:val="1215"/>
    <w:next w:val="1240"/>
    <w:link w:val="1241"/>
    <w:semiHidden/>
    <w:pPr>
      <w:shd w:val="clear" w:color="auto" w:fill="000080"/>
    </w:pPr>
    <w:rPr>
      <w:sz w:val="20"/>
    </w:rPr>
  </w:style>
  <w:style w:type="character" w:styleId="1241">
    <w:name w:val="文档结构图 Char"/>
    <w:next w:val="1241"/>
    <w:link w:val="1240"/>
    <w:semiHidden/>
    <w:rPr>
      <w:rFonts w:ascii="Times New Roman" w:hAnsi="Times New Roman" w:eastAsia="宋体" w:cs="Times New Roman"/>
      <w:szCs w:val="21"/>
      <w:shd w:val="clear" w:color="auto" w:fill="000080"/>
    </w:rPr>
  </w:style>
  <w:style w:type="paragraph" w:styleId="1242">
    <w:name w:val="批注文字"/>
    <w:basedOn w:val="1215"/>
    <w:next w:val="1242"/>
    <w:link w:val="1243"/>
    <w:semiHidden/>
    <w:pPr>
      <w:jc w:val="left"/>
    </w:pPr>
    <w:rPr>
      <w:sz w:val="20"/>
    </w:rPr>
  </w:style>
  <w:style w:type="character" w:styleId="1243">
    <w:name w:val="批注文字 Char"/>
    <w:next w:val="1243"/>
    <w:link w:val="1242"/>
    <w:semiHidden/>
    <w:rPr>
      <w:rFonts w:ascii="Times New Roman" w:hAnsi="Times New Roman" w:eastAsia="宋体" w:cs="Times New Roman"/>
      <w:szCs w:val="21"/>
    </w:rPr>
  </w:style>
  <w:style w:type="paragraph" w:styleId="1244">
    <w:name w:val="正文文本 3"/>
    <w:basedOn w:val="1215"/>
    <w:next w:val="1244"/>
    <w:link w:val="1245"/>
    <w:rPr>
      <w:rFonts w:ascii="仿宋_GB2312" w:hAnsi="Arial" w:eastAsia="仿宋_GB2312"/>
      <w:sz w:val="32"/>
      <w:szCs w:val="32"/>
    </w:rPr>
  </w:style>
  <w:style w:type="character" w:styleId="1245">
    <w:name w:val="正文文本 3 Char"/>
    <w:next w:val="1245"/>
    <w:link w:val="1244"/>
    <w:rPr>
      <w:rFonts w:ascii="仿宋_GB2312" w:hAnsi="Arial" w:eastAsia="仿宋_GB2312" w:cs="Times New Roman"/>
      <w:sz w:val="32"/>
      <w:szCs w:val="32"/>
    </w:rPr>
  </w:style>
  <w:style w:type="paragraph" w:styleId="1246">
    <w:name w:val="正文文本"/>
    <w:basedOn w:val="1215"/>
    <w:next w:val="1246"/>
    <w:link w:val="1247"/>
    <w:rPr>
      <w:rFonts w:ascii="楷体_GB2312" w:hAnsi="Arial" w:eastAsia="楷体_GB2312"/>
      <w:sz w:val="28"/>
      <w:szCs w:val="28"/>
    </w:rPr>
  </w:style>
  <w:style w:type="character" w:styleId="1247">
    <w:name w:val="正文文本 Char"/>
    <w:next w:val="1247"/>
    <w:link w:val="1246"/>
    <w:rPr>
      <w:rFonts w:ascii="楷体_GB2312" w:hAnsi="Arial" w:eastAsia="楷体_GB2312" w:cs="Times New Roman"/>
      <w:sz w:val="28"/>
      <w:szCs w:val="28"/>
    </w:rPr>
  </w:style>
  <w:style w:type="paragraph" w:styleId="1248">
    <w:name w:val="正文文本缩进"/>
    <w:basedOn w:val="1215"/>
    <w:next w:val="1215"/>
    <w:link w:val="1249"/>
    <w:pPr>
      <w:ind w:firstLine="645"/>
    </w:pPr>
    <w:rPr>
      <w:rFonts w:ascii="楷体_GB2312" w:eastAsia="楷体_GB2312"/>
      <w:sz w:val="32"/>
      <w:szCs w:val="32"/>
    </w:rPr>
  </w:style>
  <w:style w:type="character" w:styleId="1249">
    <w:name w:val="正文文本缩进 Char"/>
    <w:next w:val="1249"/>
    <w:link w:val="1248"/>
    <w:rPr>
      <w:rFonts w:ascii="楷体_GB2312" w:hAnsi="Times New Roman" w:eastAsia="楷体_GB2312" w:cs="Times New Roman"/>
      <w:sz w:val="32"/>
      <w:szCs w:val="32"/>
    </w:rPr>
  </w:style>
  <w:style w:type="paragraph" w:styleId="1250">
    <w:name w:val="列表 2"/>
    <w:basedOn w:val="1215"/>
    <w:next w:val="1250"/>
    <w:link w:val="1215"/>
    <w:pPr>
      <w:ind w:left="100" w:hanging="200"/>
    </w:pPr>
  </w:style>
  <w:style w:type="paragraph" w:styleId="1251">
    <w:name w:val="目录 5"/>
    <w:basedOn w:val="1215"/>
    <w:next w:val="1215"/>
    <w:link w:val="1215"/>
    <w:semiHidden/>
    <w:pPr>
      <w:ind w:left="840"/>
      <w:jc w:val="left"/>
    </w:pPr>
  </w:style>
  <w:style w:type="paragraph" w:styleId="1252">
    <w:name w:val="目录 3"/>
    <w:basedOn w:val="1215"/>
    <w:next w:val="1215"/>
    <w:link w:val="1215"/>
    <w:semiHidden/>
    <w:pPr>
      <w:ind w:left="420"/>
      <w:jc w:val="left"/>
    </w:pPr>
    <w:rPr>
      <w:i/>
      <w:iCs/>
      <w:szCs w:val="24"/>
    </w:rPr>
  </w:style>
  <w:style w:type="paragraph" w:styleId="1253">
    <w:name w:val="纯文本"/>
    <w:basedOn w:val="1215"/>
    <w:next w:val="1253"/>
    <w:link w:val="1254"/>
    <w:rPr>
      <w:rFonts w:ascii="宋体" w:hAnsi="Courier New"/>
      <w:sz w:val="20"/>
    </w:rPr>
  </w:style>
  <w:style w:type="character" w:styleId="1254">
    <w:name w:val="纯文本 Char"/>
    <w:next w:val="1254"/>
    <w:link w:val="1253"/>
    <w:rPr>
      <w:rFonts w:ascii="宋体" w:hAnsi="Courier New" w:eastAsia="宋体" w:cs="Courier New"/>
      <w:szCs w:val="21"/>
    </w:rPr>
  </w:style>
  <w:style w:type="paragraph" w:styleId="1255">
    <w:name w:val="目录 8"/>
    <w:basedOn w:val="1215"/>
    <w:next w:val="1215"/>
    <w:link w:val="1215"/>
    <w:semiHidden/>
    <w:pPr>
      <w:ind w:left="1470"/>
      <w:jc w:val="left"/>
    </w:pPr>
  </w:style>
  <w:style w:type="paragraph" w:styleId="1256">
    <w:name w:val="日期"/>
    <w:basedOn w:val="1215"/>
    <w:next w:val="1215"/>
    <w:link w:val="1257"/>
    <w:rPr>
      <w:sz w:val="24"/>
      <w:szCs w:val="24"/>
    </w:rPr>
  </w:style>
  <w:style w:type="character" w:styleId="1257">
    <w:name w:val="日期 Char"/>
    <w:next w:val="1257"/>
    <w:link w:val="1256"/>
    <w:rPr>
      <w:rFonts w:ascii="Times New Roman" w:hAnsi="Times New Roman" w:eastAsia="宋体" w:cs="Times New Roman"/>
      <w:sz w:val="24"/>
      <w:szCs w:val="24"/>
    </w:rPr>
  </w:style>
  <w:style w:type="paragraph" w:styleId="1258">
    <w:name w:val="正文文本缩进 2"/>
    <w:basedOn w:val="1215"/>
    <w:next w:val="1258"/>
    <w:link w:val="1259"/>
    <w:pPr>
      <w:ind w:left="630" w:firstLine="645"/>
    </w:pPr>
    <w:rPr>
      <w:rFonts w:ascii="Arial" w:hAnsi="Arial" w:eastAsia="仿宋_GB2312"/>
      <w:sz w:val="32"/>
      <w:szCs w:val="32"/>
    </w:rPr>
  </w:style>
  <w:style w:type="character" w:styleId="1259">
    <w:name w:val="正文文本缩进 2 Char"/>
    <w:next w:val="1259"/>
    <w:link w:val="1258"/>
    <w:rPr>
      <w:rFonts w:ascii="Arial" w:hAnsi="Arial" w:eastAsia="仿宋_GB2312" w:cs="Arial"/>
      <w:sz w:val="32"/>
      <w:szCs w:val="32"/>
    </w:rPr>
  </w:style>
  <w:style w:type="paragraph" w:styleId="1260">
    <w:name w:val="批注框文本"/>
    <w:basedOn w:val="1215"/>
    <w:next w:val="1260"/>
    <w:link w:val="1261"/>
    <w:semiHidden/>
    <w:rPr>
      <w:sz w:val="18"/>
      <w:szCs w:val="18"/>
    </w:rPr>
  </w:style>
  <w:style w:type="character" w:styleId="1261">
    <w:name w:val="批注框文本 Char"/>
    <w:next w:val="1261"/>
    <w:link w:val="1260"/>
    <w:semiHidden/>
    <w:rPr>
      <w:rFonts w:ascii="Times New Roman" w:hAnsi="Times New Roman" w:eastAsia="宋体" w:cs="Times New Roman"/>
      <w:sz w:val="18"/>
      <w:szCs w:val="18"/>
    </w:rPr>
  </w:style>
  <w:style w:type="paragraph" w:styleId="1262">
    <w:name w:val="页脚"/>
    <w:basedOn w:val="1215"/>
    <w:next w:val="1262"/>
    <w:link w:val="1263"/>
    <w:pPr>
      <w:jc w:val="left"/>
      <w:tabs>
        <w:tab w:val="center" w:pos="4153" w:leader="none"/>
        <w:tab w:val="right" w:pos="8306" w:leader="none"/>
      </w:tabs>
    </w:pPr>
    <w:rPr>
      <w:sz w:val="18"/>
      <w:szCs w:val="18"/>
    </w:rPr>
  </w:style>
  <w:style w:type="character" w:styleId="1263">
    <w:name w:val="页脚 Char"/>
    <w:next w:val="1263"/>
    <w:link w:val="1262"/>
    <w:rPr>
      <w:rFonts w:ascii="Times New Roman" w:hAnsi="Times New Roman" w:eastAsia="宋体" w:cs="Times New Roman"/>
      <w:sz w:val="18"/>
      <w:szCs w:val="18"/>
    </w:rPr>
  </w:style>
  <w:style w:type="paragraph" w:styleId="1264">
    <w:name w:val="寄信人地址"/>
    <w:basedOn w:val="1215"/>
    <w:next w:val="1264"/>
    <w:link w:val="1215"/>
    <w:uiPriority w:val="99"/>
    <w:unhideWhenUsed/>
    <w:qFormat/>
    <w:rPr>
      <w:rFonts w:ascii="Arial" w:hAnsi="Arial" w:eastAsia="宋体" w:cs="Times New Roman"/>
      <w:szCs w:val="24"/>
    </w:rPr>
  </w:style>
  <w:style w:type="paragraph" w:styleId="1265">
    <w:name w:val="页眉"/>
    <w:basedOn w:val="1215"/>
    <w:next w:val="1265"/>
    <w:link w:val="1266"/>
    <w:pPr>
      <w:jc w:val="center"/>
      <w:tabs>
        <w:tab w:val="center" w:pos="4153" w:leader="none"/>
        <w:tab w:val="right" w:pos="8306" w:leader="none"/>
      </w:tabs>
      <w:pBdr>
        <w:bottom w:val="single" w:color="000000" w:sz="6" w:space="1"/>
      </w:pBdr>
    </w:pPr>
    <w:rPr>
      <w:sz w:val="18"/>
      <w:szCs w:val="18"/>
    </w:rPr>
  </w:style>
  <w:style w:type="character" w:styleId="1266">
    <w:name w:val="页眉 Char"/>
    <w:next w:val="1266"/>
    <w:link w:val="1265"/>
    <w:rPr>
      <w:rFonts w:ascii="Times New Roman" w:hAnsi="Times New Roman" w:eastAsia="宋体" w:cs="Times New Roman"/>
      <w:sz w:val="18"/>
      <w:szCs w:val="18"/>
    </w:rPr>
  </w:style>
  <w:style w:type="paragraph" w:styleId="1267">
    <w:name w:val="目录 1"/>
    <w:basedOn w:val="1215"/>
    <w:next w:val="1215"/>
    <w:link w:val="1215"/>
    <w:semiHidden/>
    <w:pPr>
      <w:jc w:val="left"/>
      <w:spacing w:before="120" w:after="120" w:line="400" w:lineRule="exact"/>
      <w:tabs>
        <w:tab w:val="right" w:pos="8720" w:leader="dot"/>
      </w:tabs>
    </w:pPr>
    <w:rPr>
      <w:rFonts w:ascii="宋体" w:hAnsi="宋体"/>
      <w:caps/>
      <w:sz w:val="24"/>
      <w:szCs w:val="24"/>
    </w:rPr>
  </w:style>
  <w:style w:type="paragraph" w:styleId="1268">
    <w:name w:val="目录 4"/>
    <w:basedOn w:val="1215"/>
    <w:next w:val="1215"/>
    <w:link w:val="1215"/>
    <w:semiHidden/>
    <w:pPr>
      <w:ind w:left="630"/>
      <w:jc w:val="left"/>
    </w:pPr>
  </w:style>
  <w:style w:type="paragraph" w:styleId="1269">
    <w:name w:val="列表"/>
    <w:basedOn w:val="1215"/>
    <w:next w:val="1269"/>
    <w:link w:val="1215"/>
    <w:pPr>
      <w:ind w:left="200" w:hanging="200"/>
    </w:pPr>
  </w:style>
  <w:style w:type="paragraph" w:styleId="1270">
    <w:name w:val="目录 6"/>
    <w:basedOn w:val="1215"/>
    <w:next w:val="1215"/>
    <w:link w:val="1215"/>
    <w:semiHidden/>
    <w:pPr>
      <w:ind w:left="1050"/>
      <w:jc w:val="left"/>
    </w:pPr>
  </w:style>
  <w:style w:type="paragraph" w:styleId="1271">
    <w:name w:val="正文文本缩进 3"/>
    <w:basedOn w:val="1215"/>
    <w:next w:val="1271"/>
    <w:link w:val="1272"/>
    <w:pPr>
      <w:ind w:left="645" w:firstLine="645"/>
    </w:pPr>
    <w:rPr>
      <w:rFonts w:ascii="Arial" w:hAnsi="Arial" w:eastAsia="仿宋_GB2312"/>
      <w:color w:val="ffff00"/>
      <w:sz w:val="32"/>
      <w:szCs w:val="32"/>
    </w:rPr>
  </w:style>
  <w:style w:type="character" w:styleId="1272">
    <w:name w:val="正文文本缩进 3 Char"/>
    <w:next w:val="1272"/>
    <w:link w:val="1271"/>
    <w:rPr>
      <w:rFonts w:ascii="Arial" w:hAnsi="Arial" w:eastAsia="仿宋_GB2312" w:cs="Arial"/>
      <w:color w:val="ffff00"/>
      <w:sz w:val="32"/>
      <w:szCs w:val="32"/>
    </w:rPr>
  </w:style>
  <w:style w:type="paragraph" w:styleId="1273">
    <w:name w:val="图表目录"/>
    <w:basedOn w:val="1215"/>
    <w:next w:val="1215"/>
    <w:link w:val="1215"/>
    <w:semiHidden/>
    <w:pPr>
      <w:ind w:left="840" w:hanging="420"/>
    </w:pPr>
  </w:style>
  <w:style w:type="paragraph" w:styleId="1274">
    <w:name w:val="目录 2"/>
    <w:basedOn w:val="1215"/>
    <w:next w:val="1215"/>
    <w:link w:val="1215"/>
    <w:semiHidden/>
    <w:pPr>
      <w:ind w:left="210"/>
      <w:jc w:val="left"/>
    </w:pPr>
    <w:rPr>
      <w:smallCaps/>
      <w:szCs w:val="24"/>
    </w:rPr>
  </w:style>
  <w:style w:type="paragraph" w:styleId="1275">
    <w:name w:val="目录 9"/>
    <w:basedOn w:val="1215"/>
    <w:next w:val="1215"/>
    <w:link w:val="1215"/>
    <w:semiHidden/>
    <w:pPr>
      <w:ind w:left="1680"/>
      <w:jc w:val="left"/>
    </w:pPr>
  </w:style>
  <w:style w:type="paragraph" w:styleId="1276">
    <w:name w:val="正文文本 2"/>
    <w:basedOn w:val="1215"/>
    <w:next w:val="1276"/>
    <w:link w:val="1277"/>
    <w:pPr>
      <w:jc w:val="center"/>
      <w:widowControl/>
    </w:pPr>
    <w:rPr>
      <w:rFonts w:ascii="楷体_GB2312" w:eastAsia="楷体_GB2312"/>
      <w:sz w:val="28"/>
      <w:szCs w:val="28"/>
    </w:rPr>
  </w:style>
  <w:style w:type="character" w:styleId="1277">
    <w:name w:val="正文文本 2 Char"/>
    <w:next w:val="1277"/>
    <w:link w:val="1276"/>
    <w:rPr>
      <w:rFonts w:ascii="楷体_GB2312" w:hAnsi="Times New Roman" w:eastAsia="楷体_GB2312" w:cs="Times New Roman"/>
      <w:sz w:val="28"/>
      <w:szCs w:val="28"/>
    </w:rPr>
  </w:style>
  <w:style w:type="paragraph" w:styleId="1278">
    <w:name w:val="普通(网站)"/>
    <w:basedOn w:val="1215"/>
    <w:next w:val="1278"/>
    <w:link w:val="1215"/>
    <w:uiPriority w:val="99"/>
    <w:pPr>
      <w:jc w:val="left"/>
      <w:spacing w:before="100" w:beforeAutospacing="1" w:after="100" w:afterAutospacing="1"/>
      <w:widowControl/>
    </w:pPr>
    <w:rPr>
      <w:rFonts w:ascii="宋体" w:hAnsi="宋体" w:cs="宋体"/>
      <w:sz w:val="24"/>
      <w:szCs w:val="24"/>
    </w:rPr>
  </w:style>
  <w:style w:type="paragraph" w:styleId="1279">
    <w:name w:val="索引 1"/>
    <w:basedOn w:val="1215"/>
    <w:next w:val="1215"/>
    <w:link w:val="1215"/>
    <w:semiHidden/>
    <w:pPr>
      <w:spacing w:line="240" w:lineRule="atLeast"/>
    </w:pPr>
    <w:rPr>
      <w:b/>
      <w:bCs/>
    </w:rPr>
  </w:style>
  <w:style w:type="paragraph" w:styleId="1280">
    <w:name w:val="批注主题"/>
    <w:basedOn w:val="1242"/>
    <w:next w:val="1242"/>
    <w:link w:val="1281"/>
    <w:semiHidden/>
    <w:rPr>
      <w:b/>
      <w:bCs/>
      <w:sz w:val="20"/>
    </w:rPr>
  </w:style>
  <w:style w:type="character" w:styleId="1281">
    <w:name w:val="批注主题 Char"/>
    <w:next w:val="1281"/>
    <w:link w:val="1280"/>
    <w:semiHidden/>
    <w:rPr>
      <w:rFonts w:ascii="Times New Roman" w:hAnsi="Times New Roman" w:eastAsia="宋体" w:cs="Times New Roman"/>
      <w:b/>
      <w:bCs/>
      <w:szCs w:val="21"/>
    </w:rPr>
  </w:style>
  <w:style w:type="paragraph" w:styleId="1282">
    <w:name w:val="正文首行缩进"/>
    <w:basedOn w:val="1246"/>
    <w:next w:val="1215"/>
    <w:link w:val="1283"/>
    <w:pPr>
      <w:ind w:firstLine="200"/>
      <w:spacing w:line="360" w:lineRule="auto"/>
    </w:pPr>
    <w:rPr>
      <w:rFonts w:ascii="仿宋_GB2312" w:hAnsi="Times New Roman" w:eastAsia="仿宋_GB2312"/>
      <w:sz w:val="30"/>
      <w:szCs w:val="30"/>
    </w:rPr>
  </w:style>
  <w:style w:type="character" w:styleId="1283">
    <w:name w:val="正文首行缩进 Char"/>
    <w:next w:val="1283"/>
    <w:link w:val="1282"/>
    <w:rPr>
      <w:rFonts w:ascii="仿宋_GB2312" w:hAnsi="Times New Roman" w:eastAsia="仿宋_GB2312" w:cs="Times New Roman"/>
      <w:sz w:val="30"/>
      <w:szCs w:val="30"/>
    </w:rPr>
  </w:style>
  <w:style w:type="paragraph" w:styleId="1284">
    <w:name w:val="正文首行缩进 2"/>
    <w:basedOn w:val="1248"/>
    <w:next w:val="1284"/>
    <w:link w:val="1285"/>
    <w:pPr>
      <w:ind w:firstLine="420"/>
      <w:spacing w:line="360" w:lineRule="auto"/>
    </w:pPr>
    <w:rPr>
      <w:rFonts w:ascii="宋体" w:hAnsi="宋体" w:eastAsia="宋体"/>
      <w:szCs w:val="20"/>
    </w:rPr>
  </w:style>
  <w:style w:type="character" w:styleId="1285">
    <w:name w:val="正文首行缩进 2 Char"/>
    <w:next w:val="1285"/>
    <w:link w:val="1284"/>
    <w:rPr>
      <w:rFonts w:ascii="宋体" w:hAnsi="宋体" w:eastAsia="宋体" w:cs="Times New Roman"/>
      <w:sz w:val="32"/>
      <w:szCs w:val="20"/>
    </w:rPr>
  </w:style>
  <w:style w:type="table" w:styleId="1286">
    <w:name w:val="网格型"/>
    <w:basedOn w:val="1226"/>
    <w:next w:val="1286"/>
    <w:link w:val="1215"/>
    <w:pPr>
      <w:jc w:val="both"/>
      <w:widowControl w:val="off"/>
    </w:pPr>
    <w:rPr>
      <w:rFonts w:ascii="Times New Roman" w:hAnsi="Times New Roman" w:eastAsia="宋体" w:cs="Times New Roman"/>
      <w:sz w:val="20"/>
      <w:szCs w:val="20"/>
    </w:rPr>
    <w:tblPr/>
  </w:style>
  <w:style w:type="character" w:styleId="1287">
    <w:name w:val="要点"/>
    <w:next w:val="1287"/>
    <w:link w:val="1215"/>
    <w:qFormat/>
    <w:rPr>
      <w:b/>
      <w:bCs/>
    </w:rPr>
  </w:style>
  <w:style w:type="character" w:styleId="1288">
    <w:name w:val="页码"/>
    <w:next w:val="1288"/>
    <w:link w:val="1215"/>
  </w:style>
  <w:style w:type="character" w:styleId="1289">
    <w:name w:val="已访问的超链接"/>
    <w:next w:val="1289"/>
    <w:link w:val="1215"/>
    <w:rPr>
      <w:color w:val="800080"/>
      <w:u w:val="single"/>
    </w:rPr>
  </w:style>
  <w:style w:type="character" w:styleId="1290">
    <w:name w:val="超链接"/>
    <w:next w:val="1290"/>
    <w:link w:val="1215"/>
    <w:rPr>
      <w:color w:val="0000ff"/>
      <w:u w:val="single"/>
    </w:rPr>
  </w:style>
  <w:style w:type="character" w:styleId="1291">
    <w:name w:val="批注引用"/>
    <w:next w:val="1291"/>
    <w:link w:val="1215"/>
    <w:semiHidden/>
    <w:rPr>
      <w:sz w:val="21"/>
      <w:szCs w:val="21"/>
    </w:rPr>
  </w:style>
  <w:style w:type="paragraph" w:styleId="1292">
    <w:name w:val="正文文本1"/>
    <w:basedOn w:val="1215"/>
    <w:next w:val="1215"/>
    <w:link w:val="1215"/>
    <w:qFormat/>
    <w:rPr>
      <w:rFonts w:ascii="楷体_GB2312" w:hAnsi="Arial" w:eastAsia="楷体_GB2312"/>
      <w:sz w:val="28"/>
      <w:szCs w:val="28"/>
    </w:rPr>
  </w:style>
  <w:style w:type="paragraph" w:styleId="1293">
    <w:name w:val="footer1"/>
    <w:basedOn w:val="1294"/>
    <w:next w:val="1293"/>
    <w:link w:val="1215"/>
    <w:qFormat/>
    <w:pPr>
      <w:jc w:val="left"/>
      <w:tabs>
        <w:tab w:val="center" w:pos="4153" w:leader="none"/>
        <w:tab w:val="right" w:pos="8306" w:leader="none"/>
      </w:tabs>
    </w:pPr>
    <w:rPr>
      <w:sz w:val="18"/>
    </w:rPr>
  </w:style>
  <w:style w:type="paragraph" w:styleId="1294">
    <w:name w:val="正文111"/>
    <w:next w:val="1295"/>
    <w:link w:val="1215"/>
    <w:qFormat/>
    <w:pPr>
      <w:jc w:val="both"/>
      <w:widowControl w:val="off"/>
    </w:pPr>
    <w:rPr>
      <w:sz w:val="21"/>
      <w:szCs w:val="22"/>
      <w:lang w:val="en-US" w:eastAsia="zh-CN" w:bidi="ar-SA"/>
    </w:rPr>
  </w:style>
  <w:style w:type="paragraph" w:styleId="1295">
    <w:name w:val="标题 41"/>
    <w:basedOn w:val="1296"/>
    <w:next w:val="1294"/>
    <w:link w:val="1215"/>
    <w:qFormat/>
    <w:pPr>
      <w:ind w:left="864" w:hanging="864"/>
      <w:keepLines/>
      <w:keepNext/>
      <w:spacing w:before="280" w:after="290" w:line="376" w:lineRule="auto"/>
      <w:tabs>
        <w:tab w:val="left" w:pos="864" w:leader="none"/>
      </w:tabs>
      <w:outlineLvl w:val="3"/>
    </w:pPr>
    <w:rPr>
      <w:rFonts w:ascii="Arial" w:hAnsi="Arial" w:eastAsia="黑体"/>
      <w:b/>
      <w:bCs/>
      <w:sz w:val="28"/>
      <w:szCs w:val="28"/>
    </w:rPr>
  </w:style>
  <w:style w:type="paragraph" w:styleId="1296">
    <w:name w:val="正文11"/>
    <w:next w:val="1293"/>
    <w:link w:val="1215"/>
    <w:qFormat/>
    <w:pPr>
      <w:jc w:val="both"/>
      <w:spacing w:line="856" w:lineRule="atLeast"/>
    </w:pPr>
    <w:rPr>
      <w:color w:val="000000"/>
      <w:sz w:val="21"/>
      <w:lang w:val="en-US" w:eastAsia="zh-CN" w:bidi="ar-SA"/>
    </w:rPr>
  </w:style>
  <w:style w:type="character" w:styleId="1297">
    <w:name w:val="列出段落 Char,Bullet List Char,numbered Char,FooterText Char,List Paragraph1 Char,Paragraphe de liste1 Char"/>
    <w:next w:val="1297"/>
    <w:link w:val="1298"/>
    <w:rPr>
      <w:rFonts w:ascii="Calibri" w:hAnsi="Calibri"/>
      <w:sz w:val="24"/>
      <w:szCs w:val="24"/>
      <w:lang w:eastAsia="en-US" w:bidi="en-US"/>
    </w:rPr>
  </w:style>
  <w:style w:type="paragraph" w:styleId="1298">
    <w:name w:val="列出段落1"/>
    <w:basedOn w:val="1215"/>
    <w:next w:val="1298"/>
    <w:link w:val="1297"/>
    <w:qFormat/>
    <w:pPr>
      <w:contextualSpacing/>
      <w:ind w:left="720"/>
      <w:jc w:val="left"/>
      <w:widowControl/>
    </w:pPr>
    <w:rPr>
      <w:rFonts w:ascii="Calibri" w:hAnsi="Calibri"/>
      <w:sz w:val="24"/>
      <w:szCs w:val="24"/>
      <w:lang w:eastAsia="en-US" w:bidi="en-US"/>
    </w:rPr>
  </w:style>
  <w:style w:type="character" w:styleId="1299">
    <w:name w:val="二级目录 Char"/>
    <w:next w:val="1299"/>
    <w:link w:val="1300"/>
    <w:rPr>
      <w:b/>
      <w:sz w:val="30"/>
      <w:szCs w:val="28"/>
      <w:lang w:val="en-US" w:eastAsia="zh-CN" w:bidi="ar-SA"/>
    </w:rPr>
  </w:style>
  <w:style w:type="paragraph" w:styleId="1300">
    <w:name w:val="二级目录"/>
    <w:next w:val="1215"/>
    <w:link w:val="1299"/>
    <w:pPr>
      <w:numPr>
        <w:ilvl w:val="0"/>
        <w:numId w:val="2"/>
      </w:numPr>
      <w:tabs>
        <w:tab w:val="left" w:pos="907" w:leader="none"/>
        <w:tab w:val="left" w:pos="1145" w:leader="none"/>
      </w:tabs>
      <w:outlineLvl w:val="1"/>
    </w:pPr>
    <w:rPr>
      <w:b/>
      <w:sz w:val="30"/>
      <w:szCs w:val="28"/>
      <w:lang w:val="en-US" w:eastAsia="zh-CN" w:bidi="ar-SA"/>
    </w:rPr>
  </w:style>
  <w:style w:type="character" w:styleId="1301">
    <w:name w:val="NormalCharacter1"/>
    <w:next w:val="1301"/>
    <w:link w:val="1215"/>
    <w:semiHidden/>
    <w:qFormat/>
    <w:rPr>
      <w:color w:val="000000"/>
      <w:sz w:val="21"/>
      <w:u w:val="none"/>
      <w:lang w:val="en-US" w:eastAsia="zh-CN" w:bidi="ar-SA"/>
    </w:rPr>
  </w:style>
  <w:style w:type="character" w:styleId="1302">
    <w:name w:val="font5 Char"/>
    <w:next w:val="1302"/>
    <w:link w:val="1215"/>
    <w:rPr>
      <w:rFonts w:ascii="宋体" w:hAnsi="宋体" w:eastAsia="宋体"/>
      <w:sz w:val="28"/>
      <w:szCs w:val="28"/>
      <w:lang w:val="en-US" w:eastAsia="zh-CN" w:bidi="ar-SA"/>
    </w:rPr>
  </w:style>
  <w:style w:type="paragraph" w:styleId="1303">
    <w:name w:val="附录1"/>
    <w:next w:val="1303"/>
    <w:link w:val="1215"/>
    <w:pPr>
      <w:numPr>
        <w:ilvl w:val="0"/>
        <w:numId w:val="2"/>
      </w:numPr>
      <w:spacing w:before="240" w:line="600" w:lineRule="atLeast"/>
      <w:tabs>
        <w:tab w:val="left" w:pos="907" w:leader="none"/>
      </w:tabs>
    </w:pPr>
    <w:rPr>
      <w:b/>
      <w:i/>
      <w:sz w:val="28"/>
      <w:lang w:val="en-US" w:eastAsia="zh-CN" w:bidi="ar-SA"/>
    </w:rPr>
  </w:style>
  <w:style w:type="paragraph" w:styleId="1304">
    <w:name w:val=" Char"/>
    <w:basedOn w:val="1240"/>
    <w:next w:val="1304"/>
    <w:link w:val="1215"/>
    <w:rPr>
      <w:rFonts w:ascii="Tahoma" w:hAnsi="Tahoma"/>
      <w:sz w:val="24"/>
      <w:szCs w:val="24"/>
    </w:rPr>
  </w:style>
  <w:style w:type="paragraph" w:styleId="1305">
    <w:name w:val="table_1stline"/>
    <w:basedOn w:val="1215"/>
    <w:next w:val="1305"/>
    <w:link w:val="1215"/>
    <w:pPr>
      <w:jc w:val="left"/>
      <w:spacing w:before="120"/>
      <w:widowControl/>
    </w:pPr>
    <w:rPr>
      <w:bCs/>
      <w:sz w:val="20"/>
      <w:szCs w:val="20"/>
      <w:lang w:val="de-DE" w:eastAsia="de-DE"/>
    </w:rPr>
  </w:style>
  <w:style w:type="paragraph" w:styleId="1306">
    <w:name w:val="Body Text(ch)"/>
    <w:basedOn w:val="1215"/>
    <w:next w:val="1246"/>
    <w:link w:val="1215"/>
    <w:pPr>
      <w:spacing w:after="120"/>
    </w:pPr>
    <w:rPr>
      <w:rFonts w:ascii="宋体" w:hAnsi="Arial"/>
      <w:bCs/>
      <w:iCs/>
      <w:szCs w:val="24"/>
    </w:rPr>
  </w:style>
  <w:style w:type="paragraph" w:styleId="1307">
    <w:name w:val="标题 2_0"/>
    <w:basedOn w:val="1308"/>
    <w:next w:val="1308"/>
    <w:link w:val="1215"/>
    <w:qFormat/>
    <w:pPr>
      <w:jc w:val="center"/>
      <w:keepLines/>
      <w:keepNext/>
      <w:spacing w:before="260" w:after="260" w:line="416" w:lineRule="auto"/>
      <w:outlineLvl w:val="1"/>
    </w:pPr>
    <w:rPr>
      <w:rFonts w:ascii="幼圆" w:hAnsi="Arial" w:eastAsia="楷体_GB2312"/>
      <w:b/>
      <w:sz w:val="44"/>
      <w:szCs w:val="20"/>
    </w:rPr>
  </w:style>
  <w:style w:type="paragraph" w:styleId="1308">
    <w:name w:val="正文_0"/>
    <w:next w:val="1307"/>
    <w:link w:val="1215"/>
    <w:qFormat/>
    <w:pPr>
      <w:jc w:val="both"/>
      <w:widowControl w:val="off"/>
    </w:pPr>
    <w:rPr>
      <w:sz w:val="21"/>
      <w:szCs w:val="24"/>
      <w:lang w:val="en-US" w:eastAsia="zh-CN" w:bidi="ar-SA"/>
    </w:rPr>
  </w:style>
  <w:style w:type="paragraph" w:styleId="1309">
    <w:name w:val="font7"/>
    <w:basedOn w:val="1215"/>
    <w:next w:val="1309"/>
    <w:link w:val="1215"/>
    <w:pPr>
      <w:jc w:val="left"/>
      <w:spacing w:before="100" w:beforeAutospacing="1" w:after="100" w:afterAutospacing="1"/>
      <w:widowControl/>
    </w:pPr>
    <w:rPr>
      <w:rFonts w:hint="eastAsia" w:ascii="宋体" w:hAnsi="宋体"/>
      <w:sz w:val="18"/>
      <w:szCs w:val="18"/>
    </w:rPr>
  </w:style>
  <w:style w:type="paragraph" w:styleId="1310">
    <w:name w:val="table_lines"/>
    <w:basedOn w:val="1215"/>
    <w:next w:val="1310"/>
    <w:link w:val="1215"/>
    <w:pPr>
      <w:jc w:val="left"/>
      <w:widowControl/>
    </w:pPr>
    <w:rPr>
      <w:sz w:val="20"/>
      <w:szCs w:val="20"/>
      <w:lang w:val="de-DE" w:eastAsia="de-DE"/>
    </w:rPr>
  </w:style>
  <w:style w:type="paragraph" w:styleId="1311">
    <w:name w:val="xl28"/>
    <w:basedOn w:val="1215"/>
    <w:next w:val="1311"/>
    <w:link w:val="1215"/>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312">
    <w:name w:val=" Char Char Char Char Char Char Char Char"/>
    <w:basedOn w:val="1215"/>
    <w:next w:val="1312"/>
    <w:link w:val="1215"/>
    <w:pPr>
      <w:jc w:val="left"/>
      <w:spacing w:after="160" w:line="240" w:lineRule="exact"/>
      <w:widowControl/>
    </w:pPr>
    <w:rPr>
      <w:rFonts w:ascii="Verdana" w:hAnsi="Verdana"/>
      <w:sz w:val="20"/>
      <w:szCs w:val="20"/>
      <w:lang w:eastAsia="en-US"/>
    </w:rPr>
  </w:style>
  <w:style w:type="paragraph" w:styleId="1313">
    <w:name w:val="Char"/>
    <w:basedOn w:val="1215"/>
    <w:next w:val="1313"/>
    <w:link w:val="1215"/>
    <w:pPr>
      <w:ind w:firstLine="200"/>
      <w:tabs>
        <w:tab w:val="left" w:pos="360" w:leader="none"/>
      </w:tabs>
    </w:pPr>
    <w:rPr>
      <w:sz w:val="28"/>
      <w:szCs w:val="30"/>
    </w:rPr>
  </w:style>
  <w:style w:type="paragraph" w:styleId="1314">
    <w:name w:val="xl27"/>
    <w:basedOn w:val="1215"/>
    <w:next w:val="1314"/>
    <w:link w:val="12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5">
    <w:name w:val="xl24"/>
    <w:basedOn w:val="1215"/>
    <w:next w:val="1315"/>
    <w:link w:val="1215"/>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316">
    <w:name w:val="xl26"/>
    <w:basedOn w:val="1215"/>
    <w:next w:val="1316"/>
    <w:link w:val="1215"/>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317">
    <w:name w:val="普通正文"/>
    <w:basedOn w:val="1215"/>
    <w:next w:val="1317"/>
    <w:link w:val="1215"/>
    <w:pPr>
      <w:ind w:firstLine="480"/>
      <w:jc w:val="left"/>
      <w:spacing w:before="120" w:after="120" w:line="360" w:lineRule="auto"/>
    </w:pPr>
    <w:rPr>
      <w:rFonts w:ascii="Arial" w:hAnsi="Arial"/>
      <w:sz w:val="24"/>
      <w:szCs w:val="24"/>
    </w:rPr>
  </w:style>
  <w:style w:type="paragraph" w:styleId="1318">
    <w:name w:val=" Char Char Char Char"/>
    <w:basedOn w:val="1240"/>
    <w:next w:val="1318"/>
    <w:link w:val="1215"/>
    <w:pPr>
      <w:spacing w:line="360" w:lineRule="auto"/>
    </w:pPr>
    <w:rPr>
      <w:rFonts w:ascii="Tahoma" w:hAnsi="Tahoma"/>
      <w:sz w:val="24"/>
      <w:szCs w:val="24"/>
    </w:rPr>
  </w:style>
  <w:style w:type="paragraph" w:styleId="1319">
    <w:name w:val="列出段落"/>
    <w:basedOn w:val="1215"/>
    <w:next w:val="1319"/>
    <w:link w:val="1215"/>
    <w:qFormat/>
    <w:pPr>
      <w:contextualSpacing/>
      <w:ind w:left="720"/>
      <w:jc w:val="left"/>
      <w:widowControl/>
    </w:pPr>
    <w:rPr>
      <w:rFonts w:ascii="Calibri" w:hAnsi="Calibri"/>
      <w:sz w:val="24"/>
      <w:szCs w:val="24"/>
      <w:lang w:eastAsia="en-US" w:bidi="en-US"/>
    </w:rPr>
  </w:style>
  <w:style w:type="paragraph" w:styleId="1320">
    <w:name w:val="4"/>
    <w:basedOn w:val="1215"/>
    <w:next w:val="1271"/>
    <w:link w:val="1215"/>
    <w:pPr>
      <w:ind w:firstLine="420"/>
      <w:spacing w:line="360" w:lineRule="auto"/>
    </w:pPr>
    <w:rPr>
      <w:color w:val="ff0000"/>
      <w:sz w:val="24"/>
      <w:szCs w:val="24"/>
    </w:rPr>
  </w:style>
  <w:style w:type="paragraph" w:styleId="1321">
    <w:name w:val="普通 (Web)"/>
    <w:basedOn w:val="1215"/>
    <w:next w:val="1321"/>
    <w:link w:val="1215"/>
    <w:pPr>
      <w:jc w:val="left"/>
      <w:spacing w:before="100" w:beforeAutospacing="1" w:after="100" w:afterAutospacing="1"/>
      <w:widowControl/>
    </w:pPr>
    <w:rPr>
      <w:rFonts w:ascii="宋体" w:hAnsi="宋体"/>
      <w:sz w:val="24"/>
      <w:szCs w:val="24"/>
    </w:rPr>
  </w:style>
  <w:style w:type="paragraph" w:styleId="1322">
    <w:name w:val=" Char Char Char Char Char Char Char Char Char Char"/>
    <w:basedOn w:val="1215"/>
    <w:next w:val="1322"/>
    <w:link w:val="1215"/>
    <w:pPr>
      <w:spacing w:line="360" w:lineRule="auto"/>
    </w:pPr>
    <w:rPr>
      <w:sz w:val="24"/>
      <w:szCs w:val="20"/>
    </w:rPr>
  </w:style>
  <w:style w:type="paragraph" w:styleId="1323">
    <w:name w:val="样式1"/>
    <w:basedOn w:val="1215"/>
    <w:next w:val="1323"/>
    <w:link w:val="1215"/>
    <w:pPr>
      <w:numPr>
        <w:ilvl w:val="0"/>
        <w:numId w:val="3"/>
      </w:numPr>
      <w:tabs>
        <w:tab w:val="left" w:pos="709" w:leader="none"/>
      </w:tabs>
    </w:pPr>
    <w:rPr>
      <w:rFonts w:ascii="宋体" w:hAnsi="宋体"/>
    </w:rPr>
  </w:style>
  <w:style w:type="paragraph" w:styleId="1324">
    <w:name w:val="font6"/>
    <w:basedOn w:val="1215"/>
    <w:next w:val="1324"/>
    <w:link w:val="1215"/>
    <w:pPr>
      <w:jc w:val="left"/>
      <w:spacing w:before="100" w:beforeAutospacing="1" w:after="100" w:afterAutospacing="1"/>
      <w:widowControl/>
    </w:pPr>
    <w:rPr>
      <w:rFonts w:hint="eastAsia" w:ascii="宋体" w:hAnsi="宋体"/>
      <w:sz w:val="28"/>
      <w:szCs w:val="28"/>
      <w:u w:val="single"/>
    </w:rPr>
  </w:style>
  <w:style w:type="paragraph" w:styleId="1325">
    <w:name w:val="xl25"/>
    <w:basedOn w:val="1215"/>
    <w:next w:val="1325"/>
    <w:link w:val="1215"/>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326">
    <w:name w:val="图标"/>
    <w:basedOn w:val="1215"/>
    <w:next w:val="1215"/>
    <w:link w:val="1215"/>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327">
    <w:name w:val="标题3"/>
    <w:basedOn w:val="1215"/>
    <w:next w:val="1215"/>
    <w:link w:val="1215"/>
    <w:pPr>
      <w:ind w:firstLine="624"/>
      <w:spacing w:line="590" w:lineRule="atLeast"/>
    </w:pPr>
    <w:rPr>
      <w:rFonts w:ascii="方正黑体_GBK" w:eastAsia="方正黑体_GBK"/>
      <w:sz w:val="32"/>
      <w:szCs w:val="32"/>
    </w:rPr>
  </w:style>
  <w:style w:type="paragraph" w:styleId="1328">
    <w:name w:val="xl29"/>
    <w:basedOn w:val="1215"/>
    <w:next w:val="1328"/>
    <w:link w:val="1215"/>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329">
    <w:name w:val="Char Char Char Char Char Char Char Char"/>
    <w:basedOn w:val="1215"/>
    <w:next w:val="1329"/>
    <w:link w:val="1215"/>
    <w:pPr>
      <w:jc w:val="left"/>
      <w:spacing w:after="160" w:line="240" w:lineRule="exact"/>
      <w:widowControl/>
    </w:pPr>
    <w:rPr>
      <w:rFonts w:ascii="Verdana" w:hAnsi="Verdana"/>
      <w:sz w:val="20"/>
      <w:szCs w:val="20"/>
      <w:lang w:eastAsia="en-US"/>
    </w:rPr>
  </w:style>
  <w:style w:type="paragraph" w:styleId="1330">
    <w:name w:val="xl30"/>
    <w:basedOn w:val="1215"/>
    <w:next w:val="1330"/>
    <w:link w:val="1215"/>
    <w:pPr>
      <w:jc w:val="center"/>
      <w:spacing w:before="100" w:beforeAutospacing="1" w:after="100" w:afterAutospacing="1"/>
      <w:widowControl/>
    </w:pPr>
    <w:rPr>
      <w:rFonts w:ascii="宋体" w:hAnsi="宋体"/>
      <w:b/>
      <w:bCs/>
      <w:sz w:val="36"/>
      <w:szCs w:val="36"/>
    </w:rPr>
  </w:style>
  <w:style w:type="paragraph" w:styleId="1331">
    <w:name w:val="Char Char Char Char"/>
    <w:basedOn w:val="1240"/>
    <w:next w:val="1331"/>
    <w:link w:val="1215"/>
    <w:pPr>
      <w:spacing w:line="360" w:lineRule="auto"/>
    </w:pPr>
    <w:rPr>
      <w:rFonts w:ascii="Tahoma" w:hAnsi="Tahoma"/>
      <w:sz w:val="24"/>
      <w:szCs w:val="24"/>
    </w:rPr>
  </w:style>
  <w:style w:type="paragraph" w:styleId="1332">
    <w:name w:val="font5"/>
    <w:basedOn w:val="1215"/>
    <w:next w:val="1332"/>
    <w:link w:val="1215"/>
    <w:pPr>
      <w:jc w:val="left"/>
      <w:spacing w:before="100" w:beforeAutospacing="1" w:after="100" w:afterAutospacing="1"/>
      <w:widowControl/>
    </w:pPr>
    <w:rPr>
      <w:rFonts w:hint="eastAsia" w:ascii="宋体" w:hAnsi="宋体"/>
      <w:sz w:val="28"/>
      <w:szCs w:val="28"/>
    </w:rPr>
  </w:style>
  <w:style w:type="paragraph" w:styleId="1333">
    <w:name w:val="标题1"/>
    <w:basedOn w:val="1215"/>
    <w:next w:val="1215"/>
    <w:link w:val="1215"/>
    <w:pPr>
      <w:jc w:val="center"/>
      <w:spacing w:line="700" w:lineRule="atLeast"/>
      <w:tabs>
        <w:tab w:val="left" w:pos="9193" w:leader="none"/>
        <w:tab w:val="left" w:pos="9827" w:leader="none"/>
      </w:tabs>
    </w:pPr>
    <w:rPr>
      <w:rFonts w:ascii="方正小标宋_GBK" w:eastAsia="方正小标宋_GBK"/>
      <w:sz w:val="44"/>
      <w:szCs w:val="20"/>
    </w:rPr>
  </w:style>
  <w:style w:type="paragraph" w:styleId="1334">
    <w:name w:val="修订"/>
    <w:next w:val="1334"/>
    <w:link w:val="1215"/>
    <w:uiPriority w:val="99"/>
    <w:semiHidden/>
    <w:rPr>
      <w:sz w:val="21"/>
      <w:szCs w:val="21"/>
      <w:lang w:val="en-US" w:eastAsia="zh-CN" w:bidi="ar-SA"/>
    </w:rPr>
  </w:style>
  <w:style w:type="paragraph" w:styleId="1335">
    <w:name w:val="无间隔"/>
    <w:next w:val="1335"/>
    <w:link w:val="1215"/>
    <w:uiPriority w:val="99"/>
    <w:qFormat/>
    <w:pPr>
      <w:jc w:val="both"/>
      <w:widowControl w:val="off"/>
    </w:pPr>
    <w:rPr>
      <w:sz w:val="21"/>
      <w:szCs w:val="21"/>
      <w:lang w:val="en-US" w:eastAsia="zh-CN" w:bidi="ar-SA"/>
    </w:rPr>
  </w:style>
  <w:style w:type="paragraph" w:styleId="1336">
    <w:name w:val="正文_1_0"/>
    <w:next w:val="1336"/>
    <w:link w:val="1215"/>
    <w:qFormat/>
    <w:pPr>
      <w:jc w:val="both"/>
      <w:widowControl w:val="off"/>
    </w:pPr>
    <w:rPr>
      <w:sz w:val="21"/>
      <w:szCs w:val="22"/>
      <w:lang w:val="en-US" w:eastAsia="zh-CN" w:bidi="ar-SA"/>
    </w:rPr>
  </w:style>
  <w:style w:type="paragraph" w:styleId="1337">
    <w:name w:val="普通(网站)_0"/>
    <w:basedOn w:val="1308"/>
    <w:next w:val="1337"/>
    <w:link w:val="1215"/>
    <w:qFormat/>
    <w:pPr>
      <w:jc w:val="left"/>
      <w:spacing w:before="100" w:beforeAutospacing="1" w:after="100" w:afterAutospacing="1"/>
      <w:widowControl/>
    </w:pPr>
    <w:rPr>
      <w:rFonts w:ascii="宋体" w:hAnsi="宋体" w:eastAsia="等线" w:cs="宋体"/>
      <w:color w:val="000000"/>
      <w:sz w:val="24"/>
    </w:rPr>
  </w:style>
  <w:style w:type="paragraph" w:styleId="1338">
    <w:name w:val="Table Text"/>
    <w:basedOn w:val="1215"/>
    <w:next w:val="1338"/>
    <w:link w:val="1215"/>
    <w:semiHidden/>
    <w:qFormat/>
    <w:rPr>
      <w:rFonts w:ascii="宋体" w:hAnsi="宋体" w:eastAsia="宋体" w:cs="宋体"/>
      <w:sz w:val="16"/>
      <w:szCs w:val="16"/>
      <w:lang w:val="en-US" w:eastAsia="en-US" w:bidi="ar-SA"/>
    </w:rPr>
  </w:style>
  <w:style w:type="paragraph" w:styleId="1339">
    <w:name w:val="页脚1"/>
    <w:basedOn w:val="1296"/>
    <w:next w:val="1339"/>
    <w:link w:val="1215"/>
    <w:qFormat/>
    <w:pPr>
      <w:ind w:firstLine="419"/>
      <w:jc w:val="left"/>
      <w:spacing w:line="714" w:lineRule="atLeast"/>
      <w:tabs>
        <w:tab w:val="left" w:pos="4138" w:leader="none"/>
        <w:tab w:val="left" w:pos="8005" w:leader="none"/>
      </w:tabs>
    </w:pPr>
    <w:rPr>
      <w:sz w:val="18"/>
    </w:rPr>
  </w:style>
  <w:style w:type="table" w:styleId="1340">
    <w:name w:val="网格型1"/>
    <w:basedOn w:val="1341"/>
    <w:next w:val="1340"/>
    <w:link w:val="1215"/>
    <w:pPr>
      <w:jc w:val="both"/>
      <w:widowControl w:val="off"/>
    </w:pPr>
    <w:tblPr/>
  </w:style>
  <w:style w:type="table" w:styleId="1341">
    <w:name w:val="普通表格1"/>
    <w:next w:val="1341"/>
    <w:link w:val="1215"/>
    <w:semiHidden/>
    <w:qFormat/>
    <w:rPr>
      <w:lang w:val="en-US" w:eastAsia="zh-CN" w:bidi="ar-SA"/>
    </w:rPr>
    <w:tblPr/>
  </w:style>
  <w:style w:type="paragraph" w:styleId="1342">
    <w:name w:val="AONormal"/>
    <w:next w:val="1342"/>
    <w:link w:val="1215"/>
    <w:qFormat/>
    <w:pPr>
      <w:ind w:firstLine="440"/>
      <w:spacing w:line="400" w:lineRule="exact"/>
    </w:pPr>
    <w:rPr>
      <w:rFonts w:ascii="华文楷体" w:hAnsi="华文楷体" w:eastAsia="华文楷体" w:cs="华文楷体"/>
      <w:sz w:val="22"/>
      <w:szCs w:val="21"/>
      <w:lang w:val="en-US" w:eastAsia="zh-CN" w:bidi="ar-SA"/>
    </w:rPr>
  </w:style>
  <w:style w:type="paragraph" w:styleId="1343">
    <w:name w:val="正文文本缩进1"/>
    <w:basedOn w:val="1215"/>
    <w:next w:val="1343"/>
    <w:link w:val="1215"/>
    <w:qFormat/>
    <w:pPr>
      <w:ind w:left="200"/>
      <w:spacing w:after="120"/>
    </w:pPr>
    <w:rPr>
      <w:rFonts w:ascii="Times New Roman" w:hAnsi="Times New Roman" w:eastAsia="宋体" w:cs="Times New Roman"/>
      <w:szCs w:val="24"/>
    </w:rPr>
  </w:style>
  <w:style w:type="character" w:styleId="1344">
    <w:name w:val="font61"/>
    <w:basedOn w:val="1225"/>
    <w:next w:val="1344"/>
    <w:link w:val="1215"/>
    <w:rPr>
      <w:rFonts w:hint="eastAsia" w:ascii="微软雅黑" w:hAnsi="微软雅黑" w:eastAsia="微软雅黑" w:cs="微软雅黑"/>
      <w:i w:val="0"/>
      <w:iCs w:val="0"/>
      <w:color w:val="000000"/>
      <w:sz w:val="22"/>
      <w:szCs w:val="22"/>
      <w:u w:val="none"/>
    </w:rPr>
  </w:style>
  <w:style w:type="paragraph" w:styleId="1345">
    <w:name w:val="普通(网站)1"/>
    <w:basedOn w:val="1215"/>
    <w:next w:val="1345"/>
    <w:link w:val="1215"/>
    <w:uiPriority w:val="99"/>
    <w:qFormat/>
    <w:pPr>
      <w:jc w:val="left"/>
      <w:spacing w:before="100" w:beforeAutospacing="1" w:after="100" w:afterAutospacing="1"/>
      <w:widowControl/>
    </w:pPr>
    <w:rPr>
      <w:rFonts w:ascii="宋体" w:hAnsi="宋体" w:cs="宋体"/>
      <w:sz w:val="24"/>
      <w:szCs w:val="24"/>
    </w:rPr>
  </w:style>
  <w:style w:type="paragraph" w:styleId="1346">
    <w:name w:val="批注框文本1"/>
    <w:basedOn w:val="1215"/>
    <w:next w:val="1346"/>
    <w:link w:val="1215"/>
    <w:uiPriority w:val="99"/>
    <w:unhideWhenUsed/>
    <w:qFormat/>
    <w:rPr>
      <w:sz w:val="18"/>
      <w:szCs w:val="18"/>
    </w:rPr>
  </w:style>
  <w:style w:type="character" w:styleId="1347">
    <w:name w:val="font31"/>
    <w:basedOn w:val="1225"/>
    <w:next w:val="1347"/>
    <w:link w:val="1215"/>
    <w:qFormat/>
    <w:rPr>
      <w:rFonts w:hint="eastAsia" w:ascii="宋体" w:hAnsi="宋体" w:eastAsia="宋体" w:cs="宋体"/>
      <w:color w:val="000000"/>
      <w:sz w:val="21"/>
      <w:szCs w:val="21"/>
      <w:u w:val="none"/>
    </w:rPr>
  </w:style>
  <w:style w:type="character" w:styleId="1348">
    <w:name w:val="font41"/>
    <w:basedOn w:val="1225"/>
    <w:next w:val="1348"/>
    <w:link w:val="1215"/>
    <w:qFormat/>
    <w:rPr>
      <w:rFonts w:hint="eastAsia" w:ascii="宋体" w:hAnsi="宋体" w:eastAsia="宋体" w:cs="宋体"/>
      <w:color w:val="000000"/>
      <w:sz w:val="21"/>
      <w:szCs w:val="21"/>
      <w:u w:val="none"/>
    </w:rPr>
  </w:style>
  <w:style w:type="character" w:styleId="1349">
    <w:name w:val="font21"/>
    <w:basedOn w:val="1225"/>
    <w:next w:val="1349"/>
    <w:link w:val="1215"/>
    <w:qFormat/>
    <w:rPr>
      <w:rFonts w:hint="eastAsia" w:ascii="宋体" w:hAnsi="宋体" w:eastAsia="宋体" w:cs="宋体"/>
      <w:b/>
      <w:bCs/>
      <w:color w:val="000000"/>
      <w:sz w:val="21"/>
      <w:szCs w:val="21"/>
      <w:u w:val="none"/>
    </w:rPr>
  </w:style>
  <w:style w:type="character" w:styleId="1350">
    <w:name w:val="font51"/>
    <w:basedOn w:val="1225"/>
    <w:next w:val="1350"/>
    <w:link w:val="1215"/>
    <w:qFormat/>
    <w:rPr>
      <w:rFonts w:hint="eastAsia" w:ascii="宋体" w:hAnsi="宋体" w:eastAsia="宋体" w:cs="宋体"/>
      <w:color w:val="000000"/>
      <w:sz w:val="21"/>
      <w:szCs w:val="21"/>
      <w:u w:val="none"/>
      <w:vertAlign w:val="superscript"/>
    </w:rPr>
  </w:style>
  <w:style w:type="character" w:styleId="1351" w:default="1">
    <w:name w:val="Default Paragraph Font"/>
    <w:uiPriority w:val="1"/>
    <w:semiHidden/>
    <w:unhideWhenUsed/>
  </w:style>
  <w:style w:type="numbering" w:styleId="1352" w:default="1">
    <w:name w:val="No List"/>
    <w:uiPriority w:val="99"/>
    <w:semiHidden/>
    <w:unhideWhenUsed/>
  </w:style>
  <w:style w:type="table" w:styleId="1353"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 Id="rId16" Type="http://schemas.openxmlformats.org/officeDocument/2006/relationships/footer" Target="footer6.xml" /><Relationship Id="rId17" Type="http://schemas.openxmlformats.org/officeDocument/2006/relationships/image" Target="media/image1.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Micro</Company>
  <DocSecurity>0</DocSecurity>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dc:creator>
  <cp:lastModifiedBy>张梦雅</cp:lastModifiedBy>
  <cp:revision>10</cp:revision>
  <dcterms:created xsi:type="dcterms:W3CDTF">2023-03-16T02:16:00Z</dcterms:created>
  <dcterms:modified xsi:type="dcterms:W3CDTF">2026-09-17T04:02:08Z</dcterms:modified>
</cp:coreProperties>
</file>