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jc w:val="center"/>
        <w:rPr>
          <w:rFonts w:hint="eastAsia" w:ascii="宋体" w:hAnsi="宋体" w:eastAsia="宋体" w:cs="Times New Roman"/>
          <w:b/>
          <w:color w:val="000000"/>
          <w:spacing w:val="40"/>
          <w:sz w:val="72"/>
          <w:szCs w:val="72"/>
          <w:highlight w:val="none"/>
        </w:rPr>
      </w:pPr>
      <w:r>
        <w:rPr>
          <w:rFonts w:hint="eastAsia" w:ascii="宋体" w:hAnsi="宋体" w:eastAsia="宋体" w:cs="Times New Roman"/>
          <w:b/>
          <w:color w:val="000000"/>
          <w:spacing w:val="40"/>
          <w:sz w:val="72"/>
          <w:szCs w:val="72"/>
          <w:highlight w:val="none"/>
        </w:rPr>
      </w:r>
      <w:r/>
    </w:p>
    <w:p>
      <w:pPr>
        <w:pStyle w:val="1008"/>
        <w:jc w:val="center"/>
        <w:rPr>
          <w:rFonts w:hint="eastAsia" w:ascii="宋体" w:hAnsi="宋体" w:eastAsia="宋体" w:cs="Times New Roman"/>
          <w:b/>
          <w:color w:val="000000"/>
          <w:spacing w:val="40"/>
          <w:sz w:val="72"/>
          <w:szCs w:val="72"/>
          <w:highlight w:val="none"/>
        </w:rPr>
      </w:pPr>
      <w:r>
        <w:rPr>
          <w:rFonts w:hint="eastAsia" w:ascii="宋体" w:hAnsi="宋体" w:eastAsia="宋体" w:cs="Times New Roman"/>
          <w:b/>
          <w:color w:val="000000"/>
          <w:spacing w:val="40"/>
          <w:sz w:val="72"/>
          <w:szCs w:val="72"/>
          <w:highlight w:val="none"/>
        </w:rPr>
        <w:t xml:space="preserve">苏州市吴江区政府政府采购招标文件</w:t>
      </w:r>
      <w:r>
        <w:rPr>
          <w:rFonts w:hint="eastAsia" w:ascii="宋体" w:hAnsi="宋体" w:eastAsia="宋体" w:cs="Times New Roman"/>
          <w:b/>
          <w:color w:val="000000"/>
          <w:spacing w:val="40"/>
          <w:sz w:val="72"/>
          <w:szCs w:val="72"/>
          <w:highlight w:val="none"/>
        </w:rPr>
      </w:r>
      <w:r/>
    </w:p>
    <w:p>
      <w:pPr>
        <w:pStyle w:val="1008"/>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86"/>
        <w:ind w:firstLine="420"/>
        <w:rPr>
          <w:rFonts w:hint="eastAsia"/>
          <w:color w:val="000000"/>
          <w:highlight w:val="none"/>
        </w:rPr>
      </w:pPr>
      <w:r>
        <w:rPr>
          <w:rFonts w:hint="eastAsia"/>
          <w:color w:val="000000"/>
          <w:highlight w:val="none"/>
        </w:rPr>
      </w:r>
      <w:r/>
    </w:p>
    <w:p>
      <w:pPr>
        <w:pStyle w:val="1008"/>
        <w:rPr>
          <w:rFonts w:hint="eastAsia"/>
          <w:color w:val="000000"/>
          <w:highlight w:val="none"/>
        </w:rPr>
      </w:pPr>
      <w:r>
        <w:rPr>
          <w:rFonts w:hint="eastAsia"/>
          <w:color w:val="000000"/>
          <w:highlight w:val="none"/>
        </w:rPr>
      </w:r>
      <w:r/>
    </w:p>
    <w:p>
      <w:pPr>
        <w:pStyle w:val="1008"/>
        <w:tabs>
          <w:tab w:val="left" w:pos="2578"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r>
      <w:r/>
    </w:p>
    <w:p>
      <w:pPr>
        <w:pStyle w:val="1008"/>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08"/>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08"/>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08"/>
        <w:ind w:firstLine="64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采购编号：</w:t>
      </w:r>
      <w:r>
        <w:rPr>
          <w:rFonts w:hint="eastAsia" w:ascii="宋体" w:hAnsi="宋体" w:cs="宋体"/>
          <w:color w:val="000000"/>
          <w:sz w:val="32"/>
          <w:szCs w:val="32"/>
          <w:highlight w:val="none"/>
          <w:lang w:eastAsia="zh-CN"/>
        </w:rPr>
        <w:t xml:space="preserve">JSZC-320509-ZHXM-G2026-0001</w:t>
      </w:r>
      <w:r>
        <w:rPr>
          <w:rFonts w:hint="eastAsia" w:ascii="宋体" w:hAnsi="宋体" w:cs="宋体"/>
          <w:color w:val="000000"/>
          <w:sz w:val="32"/>
          <w:szCs w:val="32"/>
          <w:highlight w:val="none"/>
        </w:rPr>
      </w:r>
      <w:r/>
    </w:p>
    <w:p>
      <w:pPr>
        <w:pStyle w:val="1008"/>
        <w:ind w:firstLine="64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采购项目：</w:t>
      </w:r>
      <w:r>
        <w:rPr>
          <w:rFonts w:hint="eastAsia" w:ascii="宋体" w:hAnsi="宋体" w:cs="宋体"/>
          <w:color w:val="000000"/>
          <w:sz w:val="32"/>
          <w:szCs w:val="32"/>
          <w:highlight w:val="none"/>
          <w:lang w:eastAsia="zh-CN"/>
        </w:rPr>
        <w:t xml:space="preserve">运西消防站配套设施项目</w:t>
      </w:r>
      <w:r>
        <w:rPr>
          <w:rFonts w:hint="eastAsia" w:ascii="宋体" w:hAnsi="宋体" w:eastAsia="宋体" w:cs="宋体"/>
          <w:color w:val="000000"/>
          <w:sz w:val="32"/>
          <w:szCs w:val="32"/>
          <w:highlight w:val="none"/>
          <w:lang w:eastAsia="zh-CN"/>
        </w:rPr>
      </w:r>
      <w:r/>
    </w:p>
    <w:p>
      <w:pPr>
        <w:pStyle w:val="1008"/>
        <w:ind w:firstLine="64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采购类别：货物类</w:t>
      </w:r>
      <w:r>
        <w:rPr>
          <w:rFonts w:hint="eastAsia" w:ascii="宋体" w:hAnsi="宋体" w:cs="宋体"/>
          <w:color w:val="000000"/>
          <w:sz w:val="32"/>
          <w:szCs w:val="32"/>
          <w:highlight w:val="none"/>
        </w:rPr>
      </w:r>
      <w:r/>
    </w:p>
    <w:p>
      <w:pPr>
        <w:pStyle w:val="1008"/>
        <w:ind w:firstLine="640"/>
        <w:jc w:val="both"/>
        <w:spacing w:line="400" w:lineRule="exact"/>
        <w:widowControl w:val="off"/>
        <w:tabs>
          <w:tab w:val="left" w:pos="3600"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采购单位：</w:t>
      </w:r>
      <w:r>
        <w:rPr>
          <w:rFonts w:hint="eastAsia" w:ascii="宋体" w:hAnsi="宋体" w:cs="宋体"/>
          <w:color w:val="000000"/>
          <w:sz w:val="32"/>
          <w:szCs w:val="32"/>
          <w:highlight w:val="none"/>
          <w:lang w:eastAsia="zh-CN"/>
        </w:rPr>
        <w:t xml:space="preserve">吴江经济技术开发区建设局</w:t>
      </w:r>
      <w:r>
        <w:rPr>
          <w:rFonts w:hint="eastAsia" w:ascii="宋体" w:hAnsi="宋体" w:cs="宋体"/>
          <w:color w:val="000000"/>
          <w:sz w:val="32"/>
          <w:szCs w:val="32"/>
          <w:highlight w:val="none"/>
        </w:rPr>
      </w:r>
      <w:r/>
    </w:p>
    <w:p>
      <w:pPr>
        <w:pStyle w:val="1008"/>
        <w:ind w:right="-159" w:firstLine="3680"/>
        <w:spacing w:line="48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1087"/>
        <w:rPr>
          <w:color w:val="000000"/>
          <w:highlight w:val="none"/>
        </w:rPr>
      </w:pPr>
      <w:r>
        <w:rPr>
          <w:color w:val="000000"/>
          <w:highlight w:val="none"/>
        </w:rPr>
      </w:r>
      <w:r/>
    </w:p>
    <w:p>
      <w:pPr>
        <w:pStyle w:val="1008"/>
        <w:jc w:val="center"/>
        <w:spacing w:line="480" w:lineRule="auto"/>
        <w:rPr>
          <w:rFonts w:hint="eastAsia" w:ascii="宋体" w:hAnsi="宋体"/>
          <w:b/>
          <w:color w:val="000000"/>
          <w:sz w:val="32"/>
          <w:szCs w:val="28"/>
          <w:highlight w:val="none"/>
        </w:rPr>
      </w:pPr>
      <w:r>
        <w:rPr>
          <w:rFonts w:hint="eastAsia" w:ascii="宋体" w:hAnsi="宋体"/>
          <w:b/>
          <w:color w:val="000000"/>
          <w:sz w:val="32"/>
          <w:szCs w:val="28"/>
          <w:highlight w:val="none"/>
        </w:rPr>
        <mc:AlternateContent>
          <mc:Choice Requires="wpg">
            <w:drawing>
              <wp:inline xmlns:wp="http://schemas.openxmlformats.org/drawingml/2006/wordprocessingDrawing" distT="0" distB="0" distL="0" distR="0">
                <wp:extent cx="1575016" cy="101563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75016" cy="10156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4.0pt;height:80.0pt;mso-wrap-distance-left:0.0pt;mso-wrap-distance-top:0.0pt;mso-wrap-distance-right:0.0pt;mso-wrap-distance-bottom:0.0pt;" stroked="f">
                <v:path textboxrect="0,0,0,0"/>
                <v:imagedata r:id="rId15" o:title=""/>
              </v:shape>
            </w:pict>
          </mc:Fallback>
        </mc:AlternateContent>
      </w:r>
      <w:r>
        <w:rPr>
          <w:rFonts w:hint="eastAsia" w:ascii="宋体" w:hAnsi="宋体"/>
          <w:b/>
          <w:color w:val="000000"/>
          <w:sz w:val="32"/>
          <w:szCs w:val="28"/>
          <w:highlight w:val="none"/>
        </w:rPr>
      </w:r>
      <w:r/>
    </w:p>
    <w:p>
      <w:pPr>
        <w:pStyle w:val="1008"/>
        <w:jc w:val="center"/>
        <w:spacing w:line="480" w:lineRule="auto"/>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1008"/>
        <w:ind w:firstLine="640"/>
        <w:jc w:val="center"/>
        <w:spacing w:line="360" w:lineRule="auto"/>
        <w:widowControl w:val="off"/>
        <w:tabs>
          <w:tab w:val="left" w:pos="3600" w:leader="none"/>
        </w:tabs>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苏州中海工程项目管理有限公司</w:t>
      </w:r>
      <w:r>
        <w:rPr>
          <w:rFonts w:hint="eastAsia" w:ascii="宋体" w:hAnsi="宋体" w:eastAsia="宋体" w:cs="宋体"/>
          <w:color w:val="000000"/>
          <w:sz w:val="32"/>
          <w:szCs w:val="32"/>
          <w:highlight w:val="none"/>
          <w:lang w:eastAsia="zh-CN"/>
        </w:rPr>
      </w:r>
      <w:r/>
    </w:p>
    <w:p>
      <w:pPr>
        <w:pStyle w:val="1008"/>
        <w:ind w:firstLine="640"/>
        <w:jc w:val="center"/>
        <w:spacing w:line="360" w:lineRule="auto"/>
        <w:widowControl w:val="off"/>
        <w:tabs>
          <w:tab w:val="left" w:pos="3600" w:leader="none"/>
        </w:tabs>
        <w:rPr>
          <w:rFonts w:hint="eastAsia" w:ascii="宋体" w:hAnsi="宋体" w:eastAsia="宋体" w:cs="宋体"/>
          <w:color w:val="000000"/>
          <w:sz w:val="32"/>
          <w:szCs w:val="32"/>
          <w:highlight w:val="none"/>
          <w:lang w:eastAsia="zh-CN"/>
        </w:rPr>
        <w:sectPr>
          <w:headerReference w:type="default" r:id="rId9"/>
          <w:headerReference w:type="first" r:id="rId10"/>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eastAsia="宋体" w:cs="宋体"/>
          <w:color w:val="000000"/>
          <w:sz w:val="32"/>
          <w:szCs w:val="32"/>
          <w:highlight w:val="none"/>
          <w:lang w:eastAsia="zh-CN"/>
        </w:rPr>
        <w:t xml:space="preserve">二〇二</w:t>
      </w:r>
      <w:r>
        <w:rPr>
          <w:rFonts w:hint="eastAsia" w:ascii="宋体" w:hAnsi="宋体" w:eastAsia="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lang w:eastAsia="zh-CN"/>
        </w:rPr>
        <w:t xml:space="preserve">年</w:t>
      </w:r>
      <w:r>
        <w:rPr>
          <w:rFonts w:hint="eastAsia" w:ascii="宋体" w:hAnsi="宋体" w:eastAsia="宋体" w:cs="宋体"/>
          <w:color w:val="000000"/>
          <w:sz w:val="32"/>
          <w:szCs w:val="32"/>
          <w:highlight w:val="none"/>
          <w:lang w:val="en-US" w:eastAsia="zh-CN"/>
        </w:rPr>
        <w:t xml:space="preserve">十</w:t>
      </w:r>
      <w:r>
        <w:rPr>
          <w:rFonts w:hint="eastAsia" w:ascii="宋体" w:hAnsi="宋体" w:eastAsia="宋体" w:cs="宋体"/>
          <w:color w:val="000000"/>
          <w:sz w:val="32"/>
          <w:szCs w:val="32"/>
          <w:highlight w:val="none"/>
          <w:lang w:eastAsia="zh-CN"/>
        </w:rPr>
        <w:t xml:space="preserve">月</w:t>
      </w:r>
      <w:r>
        <w:rPr>
          <w:rFonts w:hint="eastAsia" w:ascii="宋体" w:hAnsi="宋体" w:eastAsia="宋体" w:cs="宋体"/>
          <w:color w:val="000000"/>
          <w:sz w:val="32"/>
          <w:szCs w:val="32"/>
          <w:highlight w:val="none"/>
          <w:lang w:eastAsia="zh-CN"/>
        </w:rPr>
      </w:r>
      <w:r/>
    </w:p>
    <w:p>
      <w:pPr>
        <w:pStyle w:val="1008"/>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目   录</w:t>
      </w:r>
      <w:r>
        <w:rPr>
          <w:rFonts w:hint="eastAsia" w:ascii="宋体" w:hAnsi="宋体" w:cs="宋体"/>
          <w:b/>
          <w:color w:val="000000"/>
          <w:sz w:val="36"/>
          <w:szCs w:val="36"/>
          <w:highlight w:val="none"/>
        </w:rPr>
      </w:r>
      <w:r/>
    </w:p>
    <w:p>
      <w:pPr>
        <w:pStyle w:val="1060"/>
        <w:tabs>
          <w:tab w:val="right" w:pos="8256" w:leader="dot"/>
        </w:tabs>
        <w:rPr>
          <w:color w:val="000000"/>
          <w:highlight w:val="none"/>
        </w:rPr>
      </w:pP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TOC \o "1-3" \h \z \u </w:instrText>
      </w:r>
      <w:r>
        <w:rPr>
          <w:rFonts w:ascii="宋体" w:hAnsi="宋体" w:eastAsia="宋体"/>
          <w:color w:val="000000"/>
          <w:sz w:val="32"/>
          <w:szCs w:val="32"/>
          <w:highlight w:val="none"/>
        </w:rPr>
        <w:fldChar w:fldCharType="separate"/>
      </w:r>
      <w:r>
        <w:rPr>
          <w:rFonts w:ascii="宋体" w:hAnsi="宋体" w:eastAsia="宋体"/>
          <w:color w:val="000000"/>
          <w:szCs w:val="32"/>
          <w:highlight w:val="none"/>
        </w:rPr>
        <w:fldChar w:fldCharType="begin"/>
      </w:r>
      <w:r>
        <w:rPr>
          <w:rFonts w:ascii="宋体" w:hAnsi="宋体" w:eastAsia="宋体"/>
          <w:color w:val="000000"/>
          <w:szCs w:val="32"/>
          <w:highlight w:val="none"/>
        </w:rPr>
        <w:instrText xml:space="preserve"> HYPERLINK \l _Toc14643 </w:instrText>
      </w:r>
      <w:r>
        <w:rPr>
          <w:rFonts w:ascii="宋体" w:hAnsi="宋体" w:eastAsia="宋体"/>
          <w:color w:val="000000"/>
          <w:szCs w:val="32"/>
          <w:highlight w:val="none"/>
        </w:rPr>
        <w:fldChar w:fldCharType="separate"/>
      </w:r>
      <w:r>
        <w:rPr>
          <w:rFonts w:hint="eastAsia"/>
          <w:color w:val="000000"/>
          <w:highlight w:val="none"/>
        </w:rPr>
        <w:t xml:space="preserve">第一章  投标邀请函</w:t>
      </w:r>
      <w:r>
        <w:rPr>
          <w:color w:val="000000"/>
          <w:highlight w:val="none"/>
        </w:rPr>
        <w:tab/>
      </w:r>
      <w:r>
        <w:rPr>
          <w:color w:val="000000"/>
          <w:highlight w:val="none"/>
        </w:rPr>
        <w:fldChar w:fldCharType="begin"/>
      </w:r>
      <w:r>
        <w:rPr>
          <w:color w:val="000000"/>
          <w:highlight w:val="none"/>
        </w:rPr>
        <w:instrText xml:space="preserve"> PAGEREF _Toc14643 \h </w:instrText>
      </w:r>
      <w:r>
        <w:rPr>
          <w:color w:val="000000"/>
          <w:highlight w:val="none"/>
        </w:rPr>
        <w:fldChar w:fldCharType="separate"/>
      </w:r>
      <w:r>
        <w:rPr>
          <w:color w:val="000000"/>
          <w:highlight w:val="none"/>
        </w:rPr>
        <w:t xml:space="preserve">2</w:t>
      </w:r>
      <w:r>
        <w:rPr>
          <w:color w:val="000000"/>
          <w:highlight w:val="none"/>
        </w:rPr>
        <w:fldChar w:fldCharType="end"/>
      </w:r>
      <w:r>
        <w:rPr>
          <w:rFonts w:ascii="宋体" w:hAnsi="宋体" w:eastAsia="宋体"/>
          <w:color w:val="000000"/>
          <w:szCs w:val="32"/>
          <w:highlight w:val="none"/>
        </w:rPr>
        <w:fldChar w:fldCharType="end"/>
      </w:r>
      <w:r>
        <w:rPr>
          <w:color w:val="000000"/>
          <w:highlight w:val="none"/>
        </w:rPr>
      </w:r>
      <w:r/>
    </w:p>
    <w:p>
      <w:pPr>
        <w:pStyle w:val="1060"/>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_Toc17344 </w:instrText>
      </w:r>
      <w:r>
        <w:rPr>
          <w:rFonts w:ascii="宋体" w:hAnsi="宋体"/>
          <w:color w:val="000000"/>
          <w:szCs w:val="32"/>
          <w:highlight w:val="none"/>
        </w:rPr>
        <w:fldChar w:fldCharType="separate"/>
      </w:r>
      <w:r>
        <w:rPr>
          <w:rFonts w:hint="eastAsia"/>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_Toc17344 \h </w:instrText>
      </w:r>
      <w:r>
        <w:rPr>
          <w:color w:val="000000"/>
          <w:highlight w:val="none"/>
        </w:rPr>
        <w:fldChar w:fldCharType="separate"/>
      </w:r>
      <w:r>
        <w:rPr>
          <w:color w:val="000000"/>
          <w:highlight w:val="none"/>
        </w:rPr>
        <w:t xml:space="preserve">7</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060"/>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_Toc7258 </w:instrText>
      </w:r>
      <w:r>
        <w:rPr>
          <w:rFonts w:ascii="宋体" w:hAnsi="宋体"/>
          <w:color w:val="000000"/>
          <w:szCs w:val="32"/>
          <w:highlight w:val="none"/>
        </w:rPr>
        <w:fldChar w:fldCharType="separate"/>
      </w:r>
      <w:r>
        <w:rPr>
          <w:rFonts w:hint="eastAsia"/>
          <w:color w:val="000000"/>
          <w:highlight w:val="none"/>
        </w:rPr>
        <w:t xml:space="preserve">第三章  投标文件格式</w:t>
      </w:r>
      <w:r>
        <w:rPr>
          <w:color w:val="000000"/>
          <w:highlight w:val="none"/>
        </w:rPr>
        <w:tab/>
      </w:r>
      <w:r>
        <w:rPr>
          <w:color w:val="000000"/>
          <w:highlight w:val="none"/>
        </w:rPr>
        <w:fldChar w:fldCharType="begin"/>
      </w:r>
      <w:r>
        <w:rPr>
          <w:color w:val="000000"/>
          <w:highlight w:val="none"/>
        </w:rPr>
        <w:instrText xml:space="preserve"> PAGEREF _Toc7258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060"/>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_Toc14716 </w:instrText>
      </w:r>
      <w:r>
        <w:rPr>
          <w:rFonts w:ascii="宋体" w:hAnsi="宋体"/>
          <w:color w:val="000000"/>
          <w:szCs w:val="32"/>
          <w:highlight w:val="none"/>
        </w:rPr>
        <w:fldChar w:fldCharType="separate"/>
      </w:r>
      <w:r>
        <w:rPr>
          <w:rFonts w:hint="eastAsia"/>
          <w:color w:val="000000"/>
          <w:highlight w:val="none"/>
        </w:rPr>
        <w:t xml:space="preserve">第四章  招标书</w:t>
      </w:r>
      <w:r>
        <w:rPr>
          <w:color w:val="000000"/>
          <w:highlight w:val="none"/>
        </w:rPr>
        <w:tab/>
      </w:r>
      <w:r>
        <w:rPr>
          <w:color w:val="000000"/>
          <w:highlight w:val="none"/>
        </w:rPr>
        <w:fldChar w:fldCharType="begin"/>
      </w:r>
      <w:r>
        <w:rPr>
          <w:color w:val="000000"/>
          <w:highlight w:val="none"/>
        </w:rPr>
        <w:instrText xml:space="preserve"> PAGEREF _Toc14716 \h </w:instrText>
      </w:r>
      <w:r>
        <w:rPr>
          <w:color w:val="000000"/>
          <w:highlight w:val="none"/>
        </w:rPr>
        <w:fldChar w:fldCharType="separate"/>
      </w:r>
      <w:r>
        <w:rPr>
          <w:color w:val="000000"/>
          <w:highlight w:val="none"/>
        </w:rPr>
        <w:t xml:space="preserve">49</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060"/>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_Toc32310 </w:instrText>
      </w:r>
      <w:r>
        <w:rPr>
          <w:rFonts w:ascii="宋体" w:hAnsi="宋体"/>
          <w:color w:val="000000"/>
          <w:szCs w:val="32"/>
          <w:highlight w:val="none"/>
        </w:rPr>
        <w:fldChar w:fldCharType="separate"/>
      </w:r>
      <w:r>
        <w:rPr>
          <w:rFonts w:hint="eastAsia"/>
          <w:color w:val="000000"/>
          <w:highlight w:val="none"/>
        </w:rPr>
        <w:t xml:space="preserve">第五章  合同的主要条款</w:t>
      </w:r>
      <w:r>
        <w:rPr>
          <w:color w:val="000000"/>
          <w:highlight w:val="none"/>
        </w:rPr>
        <w:tab/>
      </w:r>
      <w:r>
        <w:rPr>
          <w:color w:val="000000"/>
          <w:highlight w:val="none"/>
        </w:rPr>
        <w:fldChar w:fldCharType="begin"/>
      </w:r>
      <w:r>
        <w:rPr>
          <w:color w:val="000000"/>
          <w:highlight w:val="none"/>
        </w:rPr>
        <w:instrText xml:space="preserve"> PAGEREF _Toc32310 \h </w:instrText>
      </w:r>
      <w:r>
        <w:rPr>
          <w:color w:val="000000"/>
          <w:highlight w:val="none"/>
        </w:rPr>
        <w:fldChar w:fldCharType="separate"/>
      </w:r>
      <w:r>
        <w:rPr>
          <w:color w:val="000000"/>
          <w:highlight w:val="none"/>
        </w:rPr>
        <w:t xml:space="preserve">140</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060"/>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_Toc26836 </w:instrText>
      </w:r>
      <w:r>
        <w:rPr>
          <w:rFonts w:ascii="宋体" w:hAnsi="宋体"/>
          <w:color w:val="000000"/>
          <w:szCs w:val="32"/>
          <w:highlight w:val="none"/>
        </w:rPr>
        <w:fldChar w:fldCharType="separate"/>
      </w:r>
      <w:r>
        <w:rPr>
          <w:rFonts w:hint="eastAsia"/>
          <w:color w:val="000000"/>
          <w:highlight w:val="none"/>
        </w:rPr>
        <w:t xml:space="preserve">第</w:t>
      </w:r>
      <w:r>
        <w:rPr>
          <w:rFonts w:hint="eastAsia"/>
          <w:color w:val="000000"/>
          <w:highlight w:val="none"/>
          <w:lang w:val="en-US" w:eastAsia="zh-CN"/>
        </w:rPr>
        <w:t xml:space="preserve">六</w:t>
      </w:r>
      <w:r>
        <w:rPr>
          <w:rFonts w:hint="eastAsia"/>
          <w:color w:val="000000"/>
          <w:highlight w:val="none"/>
        </w:rPr>
        <w:t xml:space="preserve">章 </w:t>
      </w:r>
      <w:r>
        <w:rPr>
          <w:rFonts w:hint="eastAsia"/>
          <w:color w:val="000000"/>
          <w:highlight w:val="none"/>
          <w:lang w:val="en-US" w:eastAsia="zh-CN"/>
        </w:rPr>
        <w:t xml:space="preserve"> </w:t>
      </w:r>
      <w:r>
        <w:rPr>
          <w:rFonts w:hint="eastAsia"/>
          <w:color w:val="000000"/>
          <w:highlight w:val="none"/>
        </w:rPr>
        <w:t xml:space="preserve">评标方法、评分标准</w:t>
      </w:r>
      <w:r>
        <w:rPr>
          <w:color w:val="000000"/>
          <w:highlight w:val="none"/>
        </w:rPr>
        <w:tab/>
      </w:r>
      <w:r>
        <w:rPr>
          <w:color w:val="000000"/>
          <w:highlight w:val="none"/>
        </w:rPr>
        <w:fldChar w:fldCharType="begin"/>
      </w:r>
      <w:r>
        <w:rPr>
          <w:color w:val="000000"/>
          <w:highlight w:val="none"/>
        </w:rPr>
        <w:instrText xml:space="preserve"> PAGEREF _Toc26836 \h </w:instrText>
      </w:r>
      <w:r>
        <w:rPr>
          <w:color w:val="000000"/>
          <w:highlight w:val="none"/>
        </w:rPr>
        <w:fldChar w:fldCharType="separate"/>
      </w:r>
      <w:r>
        <w:rPr>
          <w:color w:val="000000"/>
          <w:highlight w:val="none"/>
        </w:rPr>
        <w:t xml:space="preserve">147</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008"/>
        <w:jc w:val="center"/>
        <w:spacing w:line="360" w:lineRule="auto"/>
        <w:rPr>
          <w:rFonts w:ascii="宋体" w:hAnsi="宋体"/>
          <w:color w:val="000000"/>
          <w:szCs w:val="32"/>
          <w:highlight w:val="none"/>
        </w:rPr>
      </w:pPr>
      <w:r>
        <w:rPr>
          <w:rFonts w:ascii="宋体" w:hAnsi="宋体"/>
          <w:color w:val="000000"/>
          <w:szCs w:val="32"/>
          <w:highlight w:val="none"/>
        </w:rPr>
        <w:fldChar w:fldCharType="end"/>
      </w:r>
      <w:r>
        <w:rPr>
          <w:rFonts w:ascii="宋体" w:hAnsi="宋体"/>
          <w:color w:val="000000"/>
          <w:szCs w:val="32"/>
          <w:highlight w:val="none"/>
        </w:rPr>
      </w:r>
      <w:r/>
    </w:p>
    <w:p>
      <w:pPr>
        <w:pStyle w:val="1009"/>
        <w:jc w:val="center"/>
        <w:rPr>
          <w:rFonts w:hint="eastAsia"/>
          <w:color w:val="000000"/>
          <w:highlight w:val="none"/>
        </w:rPr>
      </w:pPr>
      <w:r>
        <w:rPr>
          <w:rFonts w:hint="eastAsia"/>
          <w:color w:val="000000"/>
          <w:szCs w:val="28"/>
          <w:highlight w:val="none"/>
        </w:rPr>
        <w:br w:type="page" w:clear="all"/>
      </w:r>
      <w:bookmarkStart w:id="0" w:name="_Toc14643"/>
      <w:r>
        <w:rPr>
          <w:rFonts w:hint="eastAsia"/>
          <w:color w:val="000000"/>
          <w:highlight w:val="none"/>
        </w:rPr>
        <w:t xml:space="preserve">第一章  投标邀请函</w:t>
      </w:r>
      <w:bookmarkEnd w:id="0"/>
      <w:r/>
      <w:bookmarkStart w:id="1" w:name="OLE_LINK4"/>
      <w:r/>
      <w:bookmarkStart w:id="2" w:name="OLE_LINK7"/>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2"/>
      </w:tblGrid>
      <w:tr>
        <w:trPr/>
        <w:tc>
          <w:tcPr>
            <w:tcW w:w="9287" w:type="dxa"/>
            <w:vAlign w:val="top"/>
            <w:textDirection w:val="lrTb"/>
            <w:noWrap w:val="false"/>
          </w:tcPr>
          <w:p>
            <w:pPr>
              <w:pStyle w:val="1101"/>
              <w:ind w:firstLine="420"/>
              <w:rPr>
                <w:rFonts w:hint="eastAsia" w:ascii="宋体" w:hAnsi="宋体"/>
                <w:color w:val="000000"/>
                <w:sz w:val="21"/>
                <w:szCs w:val="21"/>
                <w:highlight w:val="none"/>
              </w:rPr>
            </w:pPr>
            <w:r/>
            <w:bookmarkStart w:id="3" w:name="OLE_LINK2"/>
            <w:r>
              <w:rPr>
                <w:rFonts w:hint="eastAsia" w:ascii="宋体" w:hAnsi="宋体"/>
                <w:color w:val="000000"/>
                <w:sz w:val="21"/>
                <w:szCs w:val="21"/>
                <w:highlight w:val="none"/>
              </w:rPr>
              <w:t xml:space="preserve">项目概况</w:t>
            </w:r>
            <w:r>
              <w:rPr>
                <w:rFonts w:hint="eastAsia" w:ascii="宋体" w:hAnsi="宋体"/>
                <w:color w:val="000000"/>
                <w:sz w:val="21"/>
                <w:szCs w:val="21"/>
                <w:highlight w:val="none"/>
              </w:rPr>
            </w:r>
            <w:r/>
          </w:p>
          <w:p>
            <w:pPr>
              <w:pStyle w:val="1101"/>
              <w:ind w:firstLine="420"/>
              <w:rPr>
                <w:rFonts w:hint="eastAsia" w:ascii="宋体" w:hAnsi="宋体"/>
                <w:color w:val="000000"/>
                <w:sz w:val="21"/>
                <w:szCs w:val="21"/>
                <w:highlight w:val="none"/>
                <w:u w:val="single"/>
              </w:rPr>
            </w:pPr>
            <w:r>
              <w:rPr>
                <w:rFonts w:hint="eastAsia" w:ascii="宋体" w:hAnsi="宋体" w:cs="宋体"/>
                <w:bCs/>
                <w:color w:val="000000"/>
                <w:sz w:val="21"/>
                <w:szCs w:val="21"/>
                <w:highlight w:val="none"/>
                <w:u w:val="none"/>
                <w:lang w:eastAsia="zh-CN"/>
              </w:rPr>
              <w:t xml:space="preserve">运西消防站配套设施项目</w:t>
            </w:r>
            <w:r>
              <w:rPr>
                <w:rFonts w:hint="eastAsia" w:ascii="宋体" w:hAnsi="宋体" w:cs="宋体"/>
                <w:bCs/>
                <w:color w:val="000000"/>
                <w:sz w:val="21"/>
                <w:szCs w:val="21"/>
                <w:highlight w:val="none"/>
                <w:u w:val="none"/>
              </w:rPr>
              <w:t xml:space="preserve">招标项目的潜在投标人应在</w:t>
            </w:r>
            <w:r>
              <w:rPr>
                <w:rFonts w:hint="eastAsia"/>
                <w:color w:val="000000"/>
                <w:sz w:val="21"/>
                <w:szCs w:val="21"/>
                <w:highlight w:val="none"/>
                <w:u w:val="none"/>
                <w:shd w:val="clear" w:color="auto" w:fill="ffffff"/>
                <w:lang w:eastAsia="zh-CN"/>
              </w:rPr>
              <w:t xml:space="preserve">苏采云</w:t>
            </w:r>
            <w:r>
              <w:rPr>
                <w:rFonts w:hint="eastAsia"/>
                <w:color w:val="000000"/>
                <w:sz w:val="21"/>
                <w:szCs w:val="21"/>
                <w:highlight w:val="none"/>
                <w:u w:val="none"/>
                <w:shd w:val="clear" w:color="auto" w:fill="ffffff"/>
                <w:lang w:val="en-US" w:eastAsia="zh-CN"/>
              </w:rPr>
              <w:t xml:space="preserve">系统</w:t>
            </w:r>
            <w:r>
              <w:rPr>
                <w:rFonts w:hint="eastAsia"/>
                <w:color w:val="000000"/>
                <w:sz w:val="21"/>
                <w:szCs w:val="21"/>
                <w:highlight w:val="none"/>
                <w:u w:val="none"/>
                <w:shd w:val="clear" w:color="auto" w:fill="ffffff"/>
              </w:rPr>
              <w:t xml:space="preserve">获取采购文件，并于</w:t>
            </w:r>
            <w:r>
              <w:rPr>
                <w:rFonts w:hint="eastAsia"/>
                <w:color w:val="000000"/>
                <w:sz w:val="21"/>
                <w:szCs w:val="21"/>
                <w:highlight w:val="none"/>
                <w:u w:val="none"/>
                <w:shd w:val="clear" w:color="auto" w:fill="ffffff"/>
                <w:lang w:eastAsia="zh-CN"/>
              </w:rPr>
              <w:t xml:space="preserve">2026年10月30日09</w:t>
            </w:r>
            <w:r>
              <w:rPr>
                <w:rFonts w:hint="eastAsia"/>
                <w:color w:val="000000"/>
                <w:sz w:val="21"/>
                <w:szCs w:val="21"/>
                <w:highlight w:val="none"/>
                <w:u w:val="none"/>
                <w:shd w:val="clear" w:color="auto" w:fill="ffffff"/>
                <w:lang w:val="en-US" w:eastAsia="zh-CN"/>
              </w:rPr>
              <w:t xml:space="preserve">:30</w:t>
            </w:r>
            <w:r>
              <w:rPr>
                <w:rFonts w:hint="eastAsia"/>
                <w:color w:val="000000"/>
                <w:sz w:val="21"/>
                <w:szCs w:val="21"/>
                <w:highlight w:val="none"/>
                <w:u w:val="none"/>
                <w:shd w:val="clear" w:color="auto" w:fill="ffffff"/>
              </w:rPr>
              <w:t xml:space="preserve">（北京时间）前提交投标文件。</w:t>
            </w:r>
            <w:r>
              <w:rPr>
                <w:rFonts w:hint="eastAsia" w:ascii="宋体" w:hAnsi="宋体"/>
                <w:color w:val="000000"/>
                <w:sz w:val="21"/>
                <w:szCs w:val="21"/>
                <w:highlight w:val="none"/>
                <w:u w:val="single"/>
              </w:rPr>
            </w:r>
            <w:r/>
          </w:p>
        </w:tc>
      </w:tr>
    </w:tbl>
    <w:p>
      <w:pPr>
        <w:pStyle w:val="1008"/>
        <w:ind w:firstLine="422"/>
        <w:spacing w:line="360" w:lineRule="auto"/>
        <w:rPr>
          <w:rFonts w:hint="eastAsia" w:ascii="宋体" w:hAnsi="宋体" w:cs="宋体"/>
          <w:b/>
          <w:color w:val="000000"/>
          <w:sz w:val="21"/>
          <w:szCs w:val="21"/>
          <w:highlight w:val="none"/>
        </w:rPr>
      </w:pPr>
      <w:r/>
      <w:bookmarkStart w:id="4" w:name="OLE_LINK3"/>
      <w:r/>
      <w:bookmarkStart w:id="5" w:name="OLE_LINK1"/>
      <w:r>
        <w:rPr>
          <w:rFonts w:hint="eastAsia" w:ascii="宋体" w:hAnsi="宋体" w:cs="宋体"/>
          <w:b/>
          <w:color w:val="000000"/>
          <w:sz w:val="21"/>
          <w:szCs w:val="21"/>
          <w:highlight w:val="none"/>
        </w:rPr>
        <w:t xml:space="preserve">一、项目基本情况</w:t>
      </w:r>
      <w:r>
        <w:rPr>
          <w:rFonts w:hint="eastAsia" w:ascii="宋体" w:hAnsi="宋体" w:cs="宋体"/>
          <w:b/>
          <w:color w:val="000000"/>
          <w:sz w:val="21"/>
          <w:szCs w:val="21"/>
          <w:highlight w:val="none"/>
        </w:rPr>
      </w:r>
      <w:r/>
    </w:p>
    <w:p>
      <w:pPr>
        <w:pStyle w:val="1086"/>
        <w:ind w:firstLine="422"/>
        <w:spacing w:line="360" w:lineRule="auto"/>
        <w:rPr>
          <w:rFonts w:hint="eastAsia" w:hAnsi="宋体" w:eastAsia="宋体" w:cs="宋体"/>
          <w:b w:val="0"/>
          <w:bCs w:val="0"/>
          <w:color w:val="000000"/>
          <w:szCs w:val="21"/>
          <w:highlight w:val="none"/>
          <w:lang w:eastAsia="zh-CN"/>
        </w:rPr>
      </w:pPr>
      <w:r>
        <w:rPr>
          <w:rFonts w:hint="eastAsia" w:eastAsia="宋体"/>
          <w:b w:val="0"/>
          <w:bCs w:val="0"/>
          <w:color w:val="000000"/>
          <w:highlight w:val="none"/>
          <w:lang w:val="en-US" w:eastAsia="zh-CN"/>
        </w:rPr>
        <w:t xml:space="preserve">1.</w:t>
      </w:r>
      <w:r>
        <w:rPr>
          <w:rFonts w:hint="eastAsia" w:eastAsia="宋体"/>
          <w:b w:val="0"/>
          <w:bCs w:val="0"/>
          <w:color w:val="000000"/>
          <w:highlight w:val="none"/>
        </w:rPr>
        <w:t xml:space="preserve">项目编号：</w:t>
      </w:r>
      <w:r>
        <w:rPr>
          <w:rFonts w:hint="eastAsia" w:hAnsi="宋体" w:eastAsia="宋体" w:cs="宋体"/>
          <w:b w:val="0"/>
          <w:bCs w:val="0"/>
          <w:color w:val="000000"/>
          <w:szCs w:val="21"/>
          <w:highlight w:val="none"/>
          <w:lang w:eastAsia="zh-CN"/>
        </w:rPr>
        <w:t xml:space="preserve">JSZC-320509-ZHXM-G2026-0001</w:t>
      </w:r>
      <w:r>
        <w:rPr>
          <w:rFonts w:hint="eastAsia" w:hAnsi="宋体" w:eastAsia="宋体" w:cs="宋体"/>
          <w:b w:val="0"/>
          <w:bCs w:val="0"/>
          <w:color w:val="000000"/>
          <w:szCs w:val="21"/>
          <w:highlight w:val="none"/>
          <w:lang w:eastAsia="zh-CN"/>
        </w:rPr>
      </w:r>
      <w:r/>
    </w:p>
    <w:p>
      <w:pPr>
        <w:pStyle w:val="1086"/>
        <w:ind w:firstLine="422"/>
        <w:spacing w:line="360" w:lineRule="auto"/>
        <w:tabs>
          <w:tab w:val="left" w:pos="6242" w:leader="none"/>
        </w:tabs>
        <w:rPr>
          <w:rFonts w:hint="eastAsia" w:ascii="宋体" w:hAnsi="Times New Roman" w:eastAsia="宋体" w:cs="Times New Roman"/>
          <w:b w:val="0"/>
          <w:bCs w:val="0"/>
          <w:color w:val="000000"/>
          <w:highlight w:val="none"/>
          <w:lang w:eastAsia="zh-CN"/>
        </w:rPr>
      </w:pPr>
      <w:r>
        <w:rPr>
          <w:rFonts w:hint="eastAsia" w:eastAsia="宋体"/>
          <w:b w:val="0"/>
          <w:bCs w:val="0"/>
          <w:color w:val="000000"/>
          <w:highlight w:val="none"/>
          <w:lang w:val="en-US" w:eastAsia="zh-CN"/>
        </w:rPr>
        <w:t xml:space="preserve">2.</w:t>
      </w:r>
      <w:r>
        <w:rPr>
          <w:rFonts w:hint="eastAsia" w:eastAsia="宋体"/>
          <w:b w:val="0"/>
          <w:bCs w:val="0"/>
          <w:color w:val="000000"/>
          <w:highlight w:val="none"/>
        </w:rPr>
        <w:t xml:space="preserve">项目名称：</w:t>
      </w:r>
      <w:r>
        <w:rPr>
          <w:rFonts w:hint="eastAsia" w:eastAsia="宋体"/>
          <w:b w:val="0"/>
          <w:bCs w:val="0"/>
          <w:color w:val="000000"/>
          <w:highlight w:val="none"/>
          <w:lang w:eastAsia="zh-CN"/>
        </w:rPr>
        <w:t xml:space="preserve">运西消防站配套设施项目</w:t>
      </w:r>
      <w:r>
        <w:rPr>
          <w:rFonts w:hint="eastAsia" w:eastAsia="宋体"/>
          <w:b w:val="0"/>
          <w:bCs w:val="0"/>
          <w:color w:val="000000"/>
          <w:highlight w:val="none"/>
          <w:lang w:eastAsia="zh-CN"/>
        </w:rPr>
        <w:tab/>
      </w:r>
      <w:r>
        <w:rPr>
          <w:rFonts w:hint="eastAsia" w:ascii="宋体" w:hAnsi="Times New Roman" w:eastAsia="宋体" w:cs="Times New Roman"/>
          <w:b w:val="0"/>
          <w:bCs w:val="0"/>
          <w:color w:val="000000"/>
          <w:highlight w:val="none"/>
          <w:lang w:eastAsia="zh-CN"/>
        </w:rPr>
      </w:r>
      <w:r/>
    </w:p>
    <w:p>
      <w:pPr>
        <w:pStyle w:val="1086"/>
        <w:ind w:firstLine="422"/>
        <w:spacing w:line="360" w:lineRule="auto"/>
        <w:rPr>
          <w:rFonts w:hint="eastAsia" w:eastAsia="宋体"/>
          <w:b w:val="0"/>
          <w:bCs w:val="0"/>
          <w:color w:val="000000"/>
          <w:highlight w:val="none"/>
          <w:lang w:val="en-US" w:eastAsia="zh-CN"/>
        </w:rPr>
      </w:pPr>
      <w:r>
        <w:rPr>
          <w:rFonts w:hint="eastAsia" w:eastAsia="宋体"/>
          <w:b w:val="0"/>
          <w:bCs w:val="0"/>
          <w:color w:val="000000"/>
          <w:highlight w:val="none"/>
          <w:lang w:val="en-US" w:eastAsia="zh-CN"/>
        </w:rPr>
        <w:t xml:space="preserve">3.采购方式：公开招标</w:t>
      </w:r>
      <w:r>
        <w:rPr>
          <w:rFonts w:hint="eastAsia" w:eastAsia="宋体"/>
          <w:b w:val="0"/>
          <w:bCs w:val="0"/>
          <w:color w:val="000000"/>
          <w:highlight w:val="none"/>
          <w:lang w:val="en-US" w:eastAsia="zh-CN"/>
        </w:rPr>
      </w:r>
      <w:r/>
    </w:p>
    <w:p>
      <w:pPr>
        <w:pStyle w:val="1086"/>
        <w:ind w:firstLine="422"/>
        <w:spacing w:line="360" w:lineRule="auto"/>
        <w:rPr>
          <w:rFonts w:hint="eastAsia" w:eastAsia="宋体"/>
          <w:b w:val="0"/>
          <w:bCs w:val="0"/>
          <w:color w:val="000000"/>
          <w:highlight w:val="none"/>
          <w:lang w:val="en-US" w:eastAsia="zh-CN"/>
        </w:rPr>
      </w:pPr>
      <w:r>
        <w:rPr>
          <w:rFonts w:hint="eastAsia" w:eastAsia="宋体"/>
          <w:b w:val="0"/>
          <w:bCs w:val="0"/>
          <w:color w:val="000000"/>
          <w:highlight w:val="none"/>
          <w:lang w:val="en-US" w:eastAsia="zh-CN"/>
        </w:rPr>
        <w:t xml:space="preserve">4.采购标的所属行业：工业</w:t>
      </w:r>
      <w:r>
        <w:rPr>
          <w:rFonts w:hint="eastAsia" w:eastAsia="宋体"/>
          <w:b w:val="0"/>
          <w:bCs w:val="0"/>
          <w:color w:val="000000"/>
          <w:highlight w:val="none"/>
          <w:lang w:val="en-US" w:eastAsia="zh-CN"/>
        </w:rPr>
      </w:r>
      <w:r/>
    </w:p>
    <w:p>
      <w:pPr>
        <w:pStyle w:val="1086"/>
        <w:ind w:firstLine="422"/>
        <w:spacing w:line="360" w:lineRule="auto"/>
        <w:rPr>
          <w:rFonts w:hint="eastAsia" w:ascii="宋体" w:hAnsi="Times New Roman" w:eastAsia="宋体" w:cs="Times New Roman"/>
          <w:b w:val="0"/>
          <w:bCs w:val="0"/>
          <w:color w:val="000000"/>
          <w:highlight w:val="none"/>
          <w:lang w:val="en-US" w:eastAsia="zh-CN"/>
        </w:rPr>
      </w:pPr>
      <w:r>
        <w:rPr>
          <w:rFonts w:hint="eastAsia" w:ascii="宋体" w:hAnsi="Times New Roman" w:eastAsia="宋体" w:cs="Times New Roman"/>
          <w:b w:val="0"/>
          <w:bCs w:val="0"/>
          <w:color w:val="000000"/>
          <w:highlight w:val="none"/>
          <w:lang w:val="en-US" w:eastAsia="zh-CN"/>
        </w:rPr>
        <w:t xml:space="preserve">5.预算金额（最高限价）：人民币壹佰玖拾万元整（￥1900000.00）</w:t>
      </w:r>
      <w:r>
        <w:rPr>
          <w:rFonts w:hint="eastAsia" w:ascii="宋体" w:hAnsi="Times New Roman" w:eastAsia="宋体" w:cs="Times New Roman"/>
          <w:b w:val="0"/>
          <w:bCs w:val="0"/>
          <w:color w:val="000000"/>
          <w:highlight w:val="none"/>
          <w:lang w:val="en-US" w:eastAsia="zh-CN"/>
        </w:rPr>
      </w:r>
      <w:r/>
    </w:p>
    <w:tbl>
      <w:tblPr>
        <w:tblW w:w="8403" w:type="dxa"/>
        <w:jc w:val="center"/>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1"/>
        <w:gridCol w:w="2374"/>
        <w:gridCol w:w="1380"/>
        <w:gridCol w:w="3008"/>
      </w:tblGrid>
      <w:tr>
        <w:trPr>
          <w:trHeight w:val="568"/>
        </w:trPr>
        <w:tc>
          <w:tcPr>
            <w:tcW w:w="1641"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标段号</w:t>
            </w:r>
            <w:r>
              <w:rPr>
                <w:rFonts w:hint="eastAsia" w:ascii="宋体" w:hAnsi="宋体" w:eastAsia="宋体" w:cs="宋体"/>
                <w:b/>
                <w:bCs w:val="0"/>
                <w:color w:val="000000"/>
                <w:sz w:val="21"/>
                <w:szCs w:val="21"/>
                <w:highlight w:val="none"/>
              </w:rPr>
            </w:r>
            <w:r/>
          </w:p>
        </w:tc>
        <w:tc>
          <w:tcPr>
            <w:tcW w:w="2374"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标段名称</w:t>
            </w:r>
            <w:r>
              <w:rPr>
                <w:rFonts w:hint="eastAsia" w:ascii="宋体" w:hAnsi="宋体" w:eastAsia="宋体" w:cs="宋体"/>
                <w:b/>
                <w:bCs w:val="0"/>
                <w:color w:val="000000"/>
                <w:sz w:val="21"/>
                <w:szCs w:val="21"/>
                <w:highlight w:val="none"/>
                <w:lang w:val="en-US" w:eastAsia="zh-CN"/>
              </w:rPr>
            </w:r>
            <w:r/>
          </w:p>
        </w:tc>
        <w:tc>
          <w:tcPr>
            <w:tcW w:w="1380"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数量/单位</w:t>
            </w:r>
            <w:r>
              <w:rPr>
                <w:rFonts w:hint="eastAsia" w:ascii="宋体" w:hAnsi="宋体" w:eastAsia="宋体" w:cs="宋体"/>
                <w:b/>
                <w:bCs w:val="0"/>
                <w:color w:val="000000"/>
                <w:sz w:val="21"/>
                <w:szCs w:val="21"/>
                <w:highlight w:val="none"/>
              </w:rPr>
            </w:r>
            <w:r/>
          </w:p>
        </w:tc>
        <w:tc>
          <w:tcPr>
            <w:tcW w:w="3008"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各标段采购预算（最高限价）</w:t>
            </w:r>
            <w:r>
              <w:rPr>
                <w:rFonts w:hint="eastAsia" w:ascii="宋体" w:hAnsi="宋体" w:eastAsia="宋体" w:cs="宋体"/>
                <w:b/>
                <w:bCs w:val="0"/>
                <w:color w:val="000000"/>
                <w:sz w:val="21"/>
                <w:szCs w:val="21"/>
                <w:highlight w:val="none"/>
              </w:rPr>
            </w:r>
            <w:r/>
          </w:p>
        </w:tc>
      </w:tr>
      <w:tr>
        <w:trPr>
          <w:trHeight w:val="624"/>
        </w:trPr>
        <w:tc>
          <w:tcPr>
            <w:tcW w:w="1641"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第一标段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运西消防站配套设施项目-接警系统采购（一标段）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1批</w:t>
            </w:r>
            <w:r>
              <w:rPr>
                <w:rFonts w:hint="eastAsia" w:ascii="宋体" w:hAnsi="宋体" w:eastAsia="宋体" w:cs="宋体"/>
                <w:color w:val="000000"/>
                <w:sz w:val="21"/>
                <w:szCs w:val="21"/>
                <w:highlight w:val="none"/>
              </w:rPr>
            </w:r>
            <w:r/>
          </w:p>
        </w:tc>
        <w:tc>
          <w:tcPr>
            <w:tcW w:w="3008"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人民币柒拾捌万叁仟贰佰肆拾贰元贰角玖分（￥783242.29）</w:t>
            </w:r>
            <w:r>
              <w:rPr>
                <w:rFonts w:hint="eastAsia" w:ascii="宋体" w:hAnsi="宋体" w:eastAsia="宋体" w:cs="宋体"/>
                <w:bCs/>
                <w:color w:val="000000"/>
                <w:sz w:val="21"/>
                <w:szCs w:val="21"/>
                <w:highlight w:val="none"/>
                <w:lang w:val="en-US" w:eastAsia="zh-CN"/>
              </w:rPr>
            </w:r>
            <w:r/>
          </w:p>
        </w:tc>
      </w:tr>
      <w:tr>
        <w:trPr>
          <w:trHeight w:val="592"/>
        </w:trPr>
        <w:tc>
          <w:tcPr>
            <w:tcW w:w="1641"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第二标段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运西消防站配套设施项目-接警系统采购（二标段）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1批</w:t>
            </w:r>
            <w:r>
              <w:rPr>
                <w:rFonts w:hint="eastAsia" w:ascii="宋体" w:hAnsi="宋体" w:eastAsia="宋体" w:cs="宋体"/>
                <w:color w:val="000000"/>
                <w:sz w:val="21"/>
                <w:szCs w:val="21"/>
                <w:highlight w:val="none"/>
              </w:rPr>
            </w:r>
            <w:r/>
          </w:p>
        </w:tc>
        <w:tc>
          <w:tcPr>
            <w:tcW w:w="3008"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人民币壹拾伍万壹仟贰佰柒拾柒元贰角陆分（￥151277.26）</w:t>
            </w:r>
            <w:r>
              <w:rPr>
                <w:rFonts w:hint="eastAsia" w:ascii="宋体" w:hAnsi="宋体" w:eastAsia="宋体" w:cs="宋体"/>
                <w:bCs/>
                <w:color w:val="000000"/>
                <w:sz w:val="21"/>
                <w:szCs w:val="21"/>
                <w:highlight w:val="none"/>
                <w:lang w:val="en-US" w:eastAsia="zh-CN"/>
              </w:rPr>
            </w:r>
            <w:r/>
          </w:p>
        </w:tc>
      </w:tr>
      <w:tr>
        <w:trPr>
          <w:trHeight w:val="669"/>
        </w:trPr>
        <w:tc>
          <w:tcPr>
            <w:tcW w:w="1641"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第三标段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运西消防站配套设施项目-厨房设备采购（三标段）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1批</w:t>
            </w:r>
            <w:r>
              <w:rPr>
                <w:rFonts w:hint="eastAsia" w:ascii="宋体" w:hAnsi="宋体" w:eastAsia="宋体" w:cs="宋体"/>
                <w:color w:val="000000"/>
                <w:sz w:val="21"/>
                <w:szCs w:val="21"/>
                <w:highlight w:val="none"/>
              </w:rPr>
            </w:r>
            <w:r/>
          </w:p>
        </w:tc>
        <w:tc>
          <w:tcPr>
            <w:tcW w:w="3008"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人民币贰拾陆万贰仟玖佰玖拾叁元伍角贰分（￥262993.52）</w:t>
            </w:r>
            <w:r>
              <w:rPr>
                <w:rFonts w:hint="eastAsia" w:ascii="宋体" w:hAnsi="宋体" w:eastAsia="宋体" w:cs="宋体"/>
                <w:bCs/>
                <w:color w:val="000000"/>
                <w:sz w:val="21"/>
                <w:szCs w:val="21"/>
                <w:highlight w:val="none"/>
                <w:lang w:val="en-US" w:eastAsia="zh-CN"/>
              </w:rPr>
            </w:r>
            <w:r/>
          </w:p>
        </w:tc>
      </w:tr>
      <w:tr>
        <w:trPr>
          <w:trHeight w:val="709"/>
        </w:trPr>
        <w:tc>
          <w:tcPr>
            <w:tcW w:w="1641"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第四标段</w:t>
            </w:r>
            <w:r>
              <w:rPr>
                <w:rFonts w:hint="eastAsia" w:ascii="宋体" w:hAnsi="宋体" w:eastAsia="宋体" w:cs="宋体"/>
                <w:bCs/>
                <w:color w:val="000000"/>
                <w:sz w:val="21"/>
                <w:szCs w:val="21"/>
                <w:highlight w:val="none"/>
                <w:lang w:val="en-US" w:eastAsia="zh-CN"/>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运西消防站配套设施项目-家具采购（四标段）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1批</w:t>
            </w:r>
            <w:r>
              <w:rPr>
                <w:rFonts w:hint="eastAsia" w:ascii="宋体" w:hAnsi="宋体" w:eastAsia="宋体" w:cs="宋体"/>
                <w:color w:val="000000"/>
                <w:sz w:val="21"/>
                <w:szCs w:val="21"/>
                <w:highlight w:val="none"/>
                <w:lang w:val="en-US" w:eastAsia="zh-CN"/>
              </w:rPr>
            </w:r>
            <w:r/>
          </w:p>
        </w:tc>
        <w:tc>
          <w:tcPr>
            <w:tcW w:w="3008"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人民币柒拾万贰仟肆佰捌拾陆元玖角叁分（￥702486.93）</w:t>
            </w:r>
            <w:r>
              <w:rPr>
                <w:rFonts w:hint="eastAsia" w:ascii="宋体" w:hAnsi="宋体" w:eastAsia="宋体" w:cs="宋体"/>
                <w:bCs/>
                <w:color w:val="000000"/>
                <w:sz w:val="21"/>
                <w:szCs w:val="21"/>
                <w:highlight w:val="none"/>
                <w:lang w:val="en-US" w:eastAsia="zh-CN"/>
              </w:rPr>
            </w:r>
            <w:r/>
          </w:p>
        </w:tc>
      </w:tr>
    </w:tbl>
    <w:p>
      <w:pPr>
        <w:pStyle w:val="1174"/>
        <w:ind w:firstLine="480"/>
        <w:spacing w:line="360" w:lineRule="auto"/>
        <w:rPr>
          <w:rFonts w:hint="eastAsia" w:eastAsia="宋体" w:cs="宋体"/>
          <w:color w:val="000000"/>
          <w:sz w:val="21"/>
          <w:szCs w:val="21"/>
          <w:highlight w:val="none"/>
          <w:u w:val="none"/>
          <w:lang w:val="en-US" w:eastAsia="zh-CN"/>
        </w:rPr>
      </w:pPr>
      <w:r>
        <w:rPr>
          <w:rFonts w:hint="eastAsia" w:eastAsia="宋体" w:cs="宋体"/>
          <w:color w:val="000000"/>
          <w:sz w:val="21"/>
          <w:szCs w:val="21"/>
          <w:highlight w:val="none"/>
          <w:u w:val="none"/>
          <w:lang w:val="en-US" w:eastAsia="zh-CN"/>
        </w:rPr>
        <w:t xml:space="preserve">★各标段核心产品一览表</w:t>
      </w:r>
      <w:r>
        <w:rPr>
          <w:rFonts w:hint="eastAsia" w:eastAsia="宋体" w:cs="宋体"/>
          <w:color w:val="000000"/>
          <w:sz w:val="21"/>
          <w:szCs w:val="21"/>
          <w:highlight w:val="none"/>
          <w:u w:val="none"/>
          <w:lang w:val="en-US" w:eastAsia="zh-CN"/>
        </w:rPr>
      </w:r>
      <w:r/>
    </w:p>
    <w:tbl>
      <w:tblPr>
        <w:tblW w:w="8357" w:type="dxa"/>
        <w:jc w:val="center"/>
        <w:tblInd w:w="-11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5"/>
        <w:gridCol w:w="2374"/>
        <w:gridCol w:w="3718"/>
      </w:tblGrid>
      <w:tr>
        <w:trPr>
          <w:trHeight w:val="568"/>
        </w:trPr>
        <w:tc>
          <w:tcPr>
            <w:tcW w:w="2265"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标段号</w:t>
            </w:r>
            <w:r>
              <w:rPr>
                <w:rFonts w:hint="eastAsia" w:ascii="宋体" w:hAnsi="宋体" w:eastAsia="宋体" w:cs="宋体"/>
                <w:b/>
                <w:bCs w:val="0"/>
                <w:color w:val="000000"/>
                <w:sz w:val="21"/>
                <w:szCs w:val="21"/>
                <w:highlight w:val="none"/>
              </w:rPr>
            </w:r>
            <w:r/>
          </w:p>
        </w:tc>
        <w:tc>
          <w:tcPr>
            <w:tcW w:w="2374"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标段名称</w:t>
            </w:r>
            <w:r>
              <w:rPr>
                <w:rFonts w:hint="eastAsia" w:ascii="宋体" w:hAnsi="宋体" w:eastAsia="宋体" w:cs="宋体"/>
                <w:b/>
                <w:bCs w:val="0"/>
                <w:color w:val="000000"/>
                <w:sz w:val="21"/>
                <w:szCs w:val="21"/>
                <w:highlight w:val="none"/>
                <w:lang w:val="en-US" w:eastAsia="zh-CN"/>
              </w:rPr>
            </w:r>
            <w:r/>
          </w:p>
        </w:tc>
        <w:tc>
          <w:tcPr>
            <w:tcW w:w="3718"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rPr>
            </w:pPr>
            <w:r>
              <w:rPr>
                <w:rFonts w:hint="eastAsia" w:eastAsia="宋体" w:cs="宋体"/>
                <w:b/>
                <w:bCs w:val="0"/>
                <w:color w:val="000000"/>
                <w:sz w:val="21"/>
                <w:szCs w:val="21"/>
                <w:highlight w:val="none"/>
                <w:u w:val="none"/>
                <w:lang w:val="en-US" w:eastAsia="zh-CN"/>
              </w:rPr>
              <w:t xml:space="preserve">本标段核心产品</w:t>
            </w:r>
            <w:r>
              <w:rPr>
                <w:rFonts w:hint="eastAsia" w:ascii="宋体" w:hAnsi="宋体" w:eastAsia="宋体" w:cs="宋体"/>
                <w:b/>
                <w:bCs w:val="0"/>
                <w:color w:val="000000"/>
                <w:sz w:val="21"/>
                <w:szCs w:val="21"/>
                <w:highlight w:val="none"/>
              </w:rPr>
            </w:r>
            <w:r/>
          </w:p>
        </w:tc>
      </w:tr>
      <w:tr>
        <w:trPr>
          <w:trHeight w:val="624"/>
        </w:trPr>
        <w:tc>
          <w:tcPr>
            <w:tcW w:w="2265"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第一标段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运西消防站配套设施项目-接警系统采购（一标段）</w:t>
            </w:r>
            <w:r>
              <w:rPr>
                <w:rFonts w:hint="eastAsia" w:ascii="宋体" w:hAnsi="宋体" w:eastAsia="宋体" w:cs="宋体"/>
                <w:color w:val="000000"/>
                <w:sz w:val="21"/>
                <w:szCs w:val="21"/>
                <w:highlight w:val="none"/>
              </w:rPr>
            </w:r>
            <w:r/>
          </w:p>
        </w:tc>
        <w:tc>
          <w:tcPr>
            <w:tcW w:w="3718"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高清视频会议终端、119接处警联动控制设备</w:t>
            </w:r>
            <w:r>
              <w:rPr>
                <w:rFonts w:hint="eastAsia" w:ascii="宋体" w:hAnsi="宋体" w:eastAsia="宋体" w:cs="宋体"/>
                <w:color w:val="000000"/>
                <w:sz w:val="21"/>
                <w:szCs w:val="21"/>
                <w:highlight w:val="none"/>
                <w:lang w:val="en-US" w:eastAsia="zh-CN"/>
              </w:rPr>
            </w:r>
            <w:r/>
          </w:p>
        </w:tc>
      </w:tr>
      <w:tr>
        <w:trPr>
          <w:trHeight w:val="672"/>
        </w:trPr>
        <w:tc>
          <w:tcPr>
            <w:tcW w:w="2265"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第二标段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运西消防站配套设施项目-接警系统采购（二标段）</w:t>
            </w:r>
            <w:r>
              <w:rPr>
                <w:rFonts w:hint="eastAsia" w:ascii="宋体" w:hAnsi="宋体" w:eastAsia="宋体" w:cs="宋体"/>
                <w:color w:val="000000"/>
                <w:sz w:val="21"/>
                <w:szCs w:val="21"/>
                <w:highlight w:val="none"/>
              </w:rPr>
            </w:r>
            <w:r/>
          </w:p>
        </w:tc>
        <w:tc>
          <w:tcPr>
            <w:tcW w:w="3718"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智能119联动快速滑升式消防车库门（成套）</w:t>
            </w:r>
            <w:r>
              <w:rPr>
                <w:rFonts w:hint="eastAsia" w:ascii="宋体" w:hAnsi="宋体" w:eastAsia="宋体" w:cs="宋体"/>
                <w:color w:val="000000"/>
                <w:sz w:val="21"/>
                <w:szCs w:val="21"/>
                <w:highlight w:val="none"/>
                <w:lang w:val="en-US" w:eastAsia="zh-CN"/>
              </w:rPr>
            </w:r>
            <w:r/>
          </w:p>
        </w:tc>
      </w:tr>
      <w:tr>
        <w:trPr>
          <w:trHeight w:val="669"/>
        </w:trPr>
        <w:tc>
          <w:tcPr>
            <w:tcW w:w="2265"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第三标段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运西消防站配套设施项目-厨房设备采购（三标段）</w:t>
            </w:r>
            <w:r>
              <w:rPr>
                <w:rFonts w:hint="eastAsia" w:ascii="宋体" w:hAnsi="宋体" w:eastAsia="宋体" w:cs="宋体"/>
                <w:color w:val="000000"/>
                <w:sz w:val="21"/>
                <w:szCs w:val="21"/>
                <w:highlight w:val="none"/>
              </w:rPr>
            </w:r>
            <w:r/>
          </w:p>
        </w:tc>
        <w:tc>
          <w:tcPr>
            <w:tcW w:w="3718"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电磁双眼大锅灶、油烟净化一体机</w:t>
            </w:r>
            <w:r>
              <w:rPr>
                <w:rFonts w:hint="eastAsia" w:ascii="宋体" w:hAnsi="宋体" w:eastAsia="宋体" w:cs="宋体"/>
                <w:color w:val="000000"/>
                <w:sz w:val="21"/>
                <w:szCs w:val="21"/>
                <w:highlight w:val="none"/>
                <w:lang w:val="en-US" w:eastAsia="zh-CN"/>
              </w:rPr>
            </w:r>
            <w:r/>
          </w:p>
        </w:tc>
      </w:tr>
      <w:tr>
        <w:trPr>
          <w:trHeight w:val="709"/>
        </w:trPr>
        <w:tc>
          <w:tcPr>
            <w:tcW w:w="2265"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第四标段</w:t>
            </w:r>
            <w:r>
              <w:rPr>
                <w:rFonts w:hint="eastAsia" w:ascii="宋体" w:hAnsi="宋体" w:eastAsia="宋体" w:cs="宋体"/>
                <w:bCs/>
                <w:color w:val="000000"/>
                <w:sz w:val="21"/>
                <w:szCs w:val="21"/>
                <w:highlight w:val="none"/>
                <w:lang w:val="en-US" w:eastAsia="zh-CN"/>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运西消防站配套设施项目-家具采购（四标段）</w:t>
            </w:r>
            <w:r>
              <w:rPr>
                <w:rFonts w:hint="eastAsia" w:ascii="宋体" w:hAnsi="宋体" w:eastAsia="宋体" w:cs="宋体"/>
                <w:color w:val="000000"/>
                <w:sz w:val="21"/>
                <w:szCs w:val="21"/>
                <w:highlight w:val="none"/>
              </w:rPr>
            </w:r>
            <w:r/>
          </w:p>
        </w:tc>
        <w:tc>
          <w:tcPr>
            <w:tcW w:w="3718"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餐椅、单兵战备管理仓、多功能单人床</w:t>
            </w:r>
            <w:r>
              <w:rPr>
                <w:rFonts w:hint="eastAsia" w:ascii="宋体" w:hAnsi="宋体" w:eastAsia="宋体" w:cs="宋体"/>
                <w:color w:val="000000"/>
                <w:sz w:val="21"/>
                <w:szCs w:val="21"/>
                <w:highlight w:val="none"/>
                <w:lang w:val="en-US" w:eastAsia="zh-CN"/>
              </w:rPr>
            </w:r>
            <w:r/>
          </w:p>
        </w:tc>
      </w:tr>
    </w:tbl>
    <w:p>
      <w:pPr>
        <w:pStyle w:val="1174"/>
        <w:ind w:firstLine="480"/>
        <w:spacing w:line="360" w:lineRule="auto"/>
        <w:rPr>
          <w:rFonts w:hint="eastAsia" w:ascii="宋体" w:hAnsi="宋体" w:eastAsia="宋体" w:cs="宋体"/>
          <w:color w:val="000000"/>
          <w:sz w:val="21"/>
          <w:szCs w:val="21"/>
          <w:highlight w:val="none"/>
          <w:lang w:eastAsia="zh-CN"/>
        </w:rPr>
      </w:pPr>
      <w:r>
        <w:rPr>
          <w:rFonts w:hint="eastAsia" w:eastAsia="宋体" w:cs="宋体"/>
          <w:color w:val="000000"/>
          <w:sz w:val="21"/>
          <w:szCs w:val="21"/>
          <w:highlight w:val="none"/>
          <w:u w:val="none"/>
          <w:lang w:val="en-US" w:eastAsia="zh-CN"/>
        </w:rPr>
        <w:t xml:space="preserve">6</w:t>
      </w:r>
      <w:r>
        <w:rPr>
          <w:rFonts w:hint="eastAsia" w:ascii="宋体" w:hAnsi="宋体" w:eastAsia="宋体" w:cs="宋体"/>
          <w:color w:val="000000"/>
          <w:sz w:val="21"/>
          <w:szCs w:val="21"/>
          <w:highlight w:val="none"/>
          <w:u w:val="none"/>
          <w:lang w:val="en-US" w:eastAsia="zh-CN"/>
        </w:rPr>
        <w:t xml:space="preserve">.</w:t>
      </w:r>
      <w:r>
        <w:rPr>
          <w:rFonts w:hint="eastAsia" w:cs="宋体"/>
          <w:color w:val="000000"/>
          <w:sz w:val="21"/>
          <w:szCs w:val="21"/>
          <w:highlight w:val="none"/>
          <w:u w:val="none"/>
          <w:lang w:val="en-US" w:eastAsia="zh-CN"/>
        </w:rPr>
        <w:t xml:space="preserve">采购</w:t>
      </w:r>
      <w:r>
        <w:rPr>
          <w:rFonts w:hint="eastAsia" w:ascii="宋体" w:hAnsi="宋体" w:eastAsia="宋体" w:cs="宋体"/>
          <w:color w:val="000000"/>
          <w:sz w:val="21"/>
          <w:szCs w:val="21"/>
          <w:highlight w:val="none"/>
          <w:u w:val="none"/>
        </w:rPr>
        <w:t xml:space="preserve">需求：</w:t>
      </w:r>
      <w:r>
        <w:rPr>
          <w:rFonts w:hint="eastAsia" w:ascii="宋体" w:hAnsi="宋体" w:eastAsia="宋体" w:cs="宋体"/>
          <w:color w:val="000000"/>
          <w:sz w:val="21"/>
          <w:szCs w:val="21"/>
          <w:highlight w:val="none"/>
          <w:u w:val="none"/>
          <w:lang w:val="en-US" w:eastAsia="zh-CN"/>
        </w:rPr>
        <w:t xml:space="preserve">详见招标文件</w:t>
      </w:r>
      <w:r>
        <w:rPr>
          <w:rFonts w:hint="eastAsia" w:ascii="宋体" w:hAnsi="宋体" w:eastAsia="宋体" w:cs="宋体"/>
          <w:color w:val="000000"/>
          <w:sz w:val="21"/>
          <w:szCs w:val="21"/>
          <w:highlight w:val="none"/>
          <w:u w:val="none"/>
        </w:rPr>
        <w:t xml:space="preserve">第四章</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lang w:eastAsia="zh-CN"/>
        </w:rPr>
      </w:r>
      <w:r/>
    </w:p>
    <w:p>
      <w:pPr>
        <w:pStyle w:val="1174"/>
        <w:ind w:firstLine="482"/>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eastAsia="宋体" w:cs="宋体"/>
          <w:color w:val="000000"/>
          <w:sz w:val="21"/>
          <w:szCs w:val="21"/>
          <w:highlight w:val="none"/>
          <w:u w:val="none"/>
          <w:lang w:val="en-US" w:eastAsia="zh-CN"/>
        </w:rPr>
        <w:t xml:space="preserve">7</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none"/>
        </w:rPr>
        <w:t xml:space="preserve">合同履行期限：</w:t>
      </w:r>
      <w:r>
        <w:rPr>
          <w:rFonts w:hint="eastAsia" w:ascii="宋体" w:hAnsi="宋体" w:eastAsia="宋体" w:cs="宋体"/>
          <w:color w:val="000000"/>
          <w:sz w:val="21"/>
          <w:szCs w:val="21"/>
          <w:highlight w:val="none"/>
          <w:u w:val="none"/>
        </w:rPr>
      </w:r>
      <w:r/>
    </w:p>
    <w:p>
      <w:pPr>
        <w:pStyle w:val="1174"/>
        <w:ind w:firstLine="482"/>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7.1 第一、二、三标段（运西消防站配套设施项目-接警系统采购、联动消防门采购、厨房设备采购）：自合同签订生效后30天内完成全部采购内容的供货安装调试并交付正常使用，所有产品免费质保期为验收合格之日起二年。</w:t>
      </w:r>
      <w:r>
        <w:rPr>
          <w:rFonts w:hint="eastAsia" w:ascii="宋体" w:hAnsi="宋体" w:eastAsia="宋体" w:cs="宋体"/>
          <w:color w:val="000000"/>
          <w:sz w:val="21"/>
          <w:szCs w:val="21"/>
          <w:highlight w:val="none"/>
          <w:u w:val="none"/>
          <w:lang w:val="en-US" w:eastAsia="zh-CN"/>
        </w:rPr>
      </w:r>
      <w:r/>
    </w:p>
    <w:p>
      <w:pPr>
        <w:pStyle w:val="1174"/>
        <w:ind w:firstLine="482"/>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7.2 第四标段（运西消防站配套设施项目-家具采购（四标段））：自合同签订生效后40天内完成全部采购内容的供货安装调试并交付正常使用，所有产品免费质保期为验收合格之日起二年。</w:t>
      </w:r>
      <w:r>
        <w:rPr>
          <w:rFonts w:hint="eastAsia" w:ascii="宋体" w:hAnsi="宋体" w:eastAsia="宋体" w:cs="宋体"/>
          <w:color w:val="000000"/>
          <w:sz w:val="21"/>
          <w:szCs w:val="21"/>
          <w:highlight w:val="none"/>
          <w:u w:val="none"/>
          <w:lang w:val="en-US" w:eastAsia="zh-CN"/>
        </w:rPr>
      </w:r>
      <w:r/>
    </w:p>
    <w:p>
      <w:pPr>
        <w:pStyle w:val="1008"/>
        <w:ind w:firstLine="420"/>
        <w:spacing w:line="360" w:lineRule="auto"/>
        <w:rPr>
          <w:rFonts w:hint="eastAsia" w:ascii="宋体" w:hAnsi="宋体"/>
          <w:b w:val="0"/>
          <w:bCs/>
          <w:color w:val="000000"/>
          <w:sz w:val="21"/>
          <w:szCs w:val="21"/>
          <w:highlight w:val="none"/>
        </w:rPr>
      </w:pPr>
      <w:r>
        <w:rPr>
          <w:rFonts w:hint="eastAsia" w:ascii="宋体" w:hAnsi="宋体"/>
          <w:b w:val="0"/>
          <w:bCs/>
          <w:color w:val="000000"/>
          <w:sz w:val="21"/>
          <w:szCs w:val="21"/>
          <w:highlight w:val="none"/>
          <w:lang w:val="en-US" w:eastAsia="zh-CN"/>
        </w:rPr>
        <w:t xml:space="preserve">8.</w:t>
      </w:r>
      <w:r>
        <w:rPr>
          <w:rFonts w:hint="eastAsia" w:ascii="宋体" w:hAnsi="宋体"/>
          <w:b w:val="0"/>
          <w:bCs/>
          <w:color w:val="000000"/>
          <w:sz w:val="21"/>
          <w:szCs w:val="21"/>
          <w:highlight w:val="none"/>
        </w:rPr>
        <w:t xml:space="preserve">本项目（是/否）接受联合体投标：不接受联合体</w:t>
      </w:r>
      <w:r>
        <w:rPr>
          <w:rFonts w:hint="eastAsia" w:ascii="宋体" w:hAnsi="宋体"/>
          <w:b w:val="0"/>
          <w:bCs/>
          <w:color w:val="000000"/>
          <w:sz w:val="21"/>
          <w:szCs w:val="21"/>
          <w:highlight w:val="none"/>
        </w:rPr>
      </w:r>
      <w:r/>
    </w:p>
    <w:p>
      <w:pPr>
        <w:pStyle w:val="1008"/>
        <w:ind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二、申请人的资格要求：</w:t>
      </w:r>
      <w:r>
        <w:rPr>
          <w:rFonts w:hint="eastAsia" w:ascii="宋体" w:hAnsi="宋体"/>
          <w:b/>
          <w:color w:val="000000"/>
          <w:sz w:val="21"/>
          <w:szCs w:val="21"/>
          <w:highlight w:val="none"/>
        </w:rPr>
      </w:r>
      <w:r/>
    </w:p>
    <w:p>
      <w:pPr>
        <w:pStyle w:val="100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一</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满足《中华人民共和国政府采购法》第二十二条规定；</w:t>
      </w:r>
      <w:r>
        <w:rPr>
          <w:rFonts w:hint="eastAsia" w:ascii="宋体" w:hAnsi="宋体"/>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具有独立承担民事责任的能力；</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具有良好的商业信誉和健全的财务会计制度；</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具有履行合同所必需的设备和专业技术能力；</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有依法缴纳税收和社会保障资金的良好记录；</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参加政府采购活动前三年内，在经营活动中没有重大违法记录；</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6.法律、行政法规规定的其他条件。</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二</w:t>
      </w:r>
      <w:r>
        <w:rPr>
          <w:rFonts w:hint="eastAsia" w:ascii="宋体" w:hAnsi="宋体"/>
          <w:color w:val="000000"/>
          <w:sz w:val="21"/>
          <w:szCs w:val="21"/>
          <w:highlight w:val="none"/>
          <w:lang w:eastAsia="zh-CN"/>
        </w:rPr>
        <w:t xml:space="preserve">）落实政府采购政策需满足的资格要求：</w:t>
      </w:r>
      <w:r>
        <w:rPr>
          <w:rFonts w:hint="eastAsia" w:ascii="宋体" w:hAnsi="宋体"/>
          <w:color w:val="000000"/>
          <w:sz w:val="21"/>
          <w:szCs w:val="21"/>
          <w:highlight w:val="none"/>
          <w:lang w:eastAsia="zh-CN"/>
        </w:rPr>
      </w:r>
      <w:r/>
    </w:p>
    <w:p>
      <w:pPr>
        <w:pStyle w:val="1008"/>
        <w:ind w:firstLine="420"/>
        <w:spacing w:line="360" w:lineRule="auto"/>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本项目专门面向中小企业采购，残疾人福利性单位、监狱企业视同小型、微型企业。</w:t>
      </w:r>
      <w:r>
        <w:rPr>
          <w:rFonts w:hint="eastAsia" w:ascii="宋体" w:hAnsi="宋体"/>
          <w:color w:val="000000"/>
          <w:sz w:val="21"/>
          <w:szCs w:val="21"/>
          <w:highlight w:val="none"/>
          <w:u w:val="none"/>
          <w:lang w:val="en-US" w:eastAsia="zh-CN"/>
        </w:rPr>
        <w:t xml:space="preserve">投标</w:t>
      </w:r>
      <w:r>
        <w:rPr>
          <w:rFonts w:hint="eastAsia" w:ascii="宋体" w:hAnsi="宋体"/>
          <w:color w:val="000000"/>
          <w:sz w:val="21"/>
          <w:szCs w:val="21"/>
          <w:highlight w:val="none"/>
          <w:u w:val="none"/>
        </w:rPr>
        <w:t xml:space="preserve">单位必须在响应文件中提供相关声明函或监狱企业证明文件，否则为无效投标。项目所属行业为工业。</w:t>
      </w:r>
      <w:r>
        <w:rPr>
          <w:rFonts w:hint="eastAsia" w:ascii="宋体" w:hAnsi="宋体"/>
          <w:color w:val="000000"/>
          <w:sz w:val="21"/>
          <w:szCs w:val="21"/>
          <w:highlight w:val="none"/>
          <w:u w:val="none"/>
        </w:rPr>
      </w:r>
      <w:r/>
    </w:p>
    <w:p>
      <w:pPr>
        <w:pStyle w:val="100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三</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本项目的特定资格要求：</w:t>
      </w:r>
      <w:r>
        <w:rPr>
          <w:rFonts w:hint="eastAsia" w:ascii="宋体" w:hAnsi="宋体"/>
          <w:color w:val="000000"/>
          <w:sz w:val="21"/>
          <w:szCs w:val="21"/>
          <w:highlight w:val="none"/>
        </w:rPr>
      </w:r>
      <w:r/>
    </w:p>
    <w:p>
      <w:pPr>
        <w:pStyle w:val="100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1.未被“信用中国”网站（www.creditchina.gov.cn）列入失信被执行人、重大税收违法案件当事人名单、政府采购严重失信行为记录名单。</w:t>
      </w:r>
      <w:r>
        <w:rPr>
          <w:rFonts w:hint="eastAsia" w:ascii="宋体" w:hAnsi="宋体"/>
          <w:color w:val="000000"/>
          <w:sz w:val="21"/>
          <w:szCs w:val="21"/>
          <w:highlight w:val="none"/>
        </w:rPr>
      </w:r>
      <w:r/>
    </w:p>
    <w:p>
      <w:pPr>
        <w:pStyle w:val="100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2.本项目不接受联合体投标。</w:t>
      </w:r>
      <w:r>
        <w:rPr>
          <w:rFonts w:hint="eastAsia" w:ascii="宋体" w:hAnsi="宋体"/>
          <w:color w:val="000000"/>
          <w:sz w:val="21"/>
          <w:szCs w:val="21"/>
          <w:highlight w:val="none"/>
        </w:rPr>
      </w:r>
      <w:r/>
    </w:p>
    <w:p>
      <w:pPr>
        <w:pStyle w:val="100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000000"/>
          <w:sz w:val="21"/>
          <w:szCs w:val="21"/>
          <w:highlight w:val="none"/>
        </w:rPr>
      </w:r>
      <w:r/>
    </w:p>
    <w:p>
      <w:pPr>
        <w:pStyle w:val="100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4.法人的分支机构不得参加本项目的采购活动</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除银行、保险、石油石化、电力、电信等行业特殊情况外</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1008"/>
        <w:ind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三、获取招标文件</w:t>
      </w:r>
      <w:r>
        <w:rPr>
          <w:rFonts w:hint="eastAsia" w:ascii="宋体" w:hAnsi="宋体"/>
          <w:b/>
          <w:color w:val="000000"/>
          <w:sz w:val="21"/>
          <w:szCs w:val="21"/>
          <w:highlight w:val="none"/>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bookmarkStart w:id="6" w:name="_Toc28359092"/>
      <w:r/>
      <w:bookmarkStart w:id="7" w:name="_Toc35393632"/>
      <w:r/>
      <w:bookmarkStart w:id="8" w:name="_Toc28359015"/>
      <w:r/>
      <w:bookmarkStart w:id="9" w:name="_Toc35393801"/>
      <w:r>
        <w:rPr>
          <w:rFonts w:hint="eastAsia" w:ascii="宋体" w:hAnsi="宋体" w:eastAsia="宋体" w:cs="Times New Roman"/>
          <w:b w:val="0"/>
          <w:bCs/>
          <w:color w:val="000000"/>
          <w:sz w:val="21"/>
          <w:szCs w:val="21"/>
          <w:highlight w:val="none"/>
          <w:lang w:val="en-US" w:eastAsia="zh-CN"/>
        </w:rPr>
        <w:t xml:space="preserve">时间：自招标文件公告发布之日起5个工作日。</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地点：“苏采云”系统 </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方式：“苏采云”系统线上获取 </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售价：0.00元 </w:t>
      </w:r>
      <w:r>
        <w:rPr>
          <w:rFonts w:hint="eastAsia" w:ascii="宋体" w:hAnsi="宋体" w:eastAsia="宋体" w:cs="Times New Roman"/>
          <w:b w:val="0"/>
          <w:bCs/>
          <w:color w:val="000000"/>
          <w:sz w:val="21"/>
          <w:szCs w:val="21"/>
          <w:highlight w:val="none"/>
          <w:lang w:val="en-US" w:eastAsia="zh-CN"/>
        </w:rPr>
      </w:r>
      <w:r/>
    </w:p>
    <w:p>
      <w:pPr>
        <w:pStyle w:val="1008"/>
        <w:ind w:firstLine="422"/>
        <w:spacing w:line="360" w:lineRule="auto"/>
        <w:rPr>
          <w:rFonts w:hint="eastAsia" w:ascii="宋体" w:hAnsi="宋体"/>
          <w:b/>
          <w:bCs w:val="0"/>
          <w:color w:val="000000"/>
          <w:sz w:val="21"/>
          <w:szCs w:val="21"/>
          <w:highlight w:val="none"/>
        </w:rPr>
      </w:pPr>
      <w:r>
        <w:rPr>
          <w:rFonts w:hint="eastAsia" w:ascii="宋体" w:hAnsi="宋体"/>
          <w:b/>
          <w:bCs w:val="0"/>
          <w:color w:val="000000"/>
          <w:sz w:val="21"/>
          <w:szCs w:val="21"/>
          <w:highlight w:val="none"/>
        </w:rPr>
        <w:t xml:space="preserve">四、提交投标文件截止时间、开标时间和地点</w:t>
      </w:r>
      <w:r>
        <w:rPr>
          <w:rFonts w:hint="eastAsia" w:ascii="宋体" w:hAnsi="宋体"/>
          <w:b/>
          <w:bCs w:val="0"/>
          <w:color w:val="000000"/>
          <w:sz w:val="21"/>
          <w:szCs w:val="21"/>
          <w:highlight w:val="none"/>
        </w:rPr>
      </w:r>
      <w:r/>
    </w:p>
    <w:p>
      <w:pPr>
        <w:pStyle w:val="1008"/>
        <w:ind w:firstLine="420"/>
        <w:spacing w:line="360" w:lineRule="auto"/>
        <w:rPr>
          <w:rFonts w:hint="eastAsia" w:ascii="宋体" w:hAnsi="宋体" w:eastAsia="宋体" w:cs="Times New Roman"/>
          <w:b w:val="0"/>
          <w:bCs/>
          <w:color w:val="000000"/>
          <w:sz w:val="21"/>
          <w:szCs w:val="21"/>
          <w:highlight w:val="none"/>
          <w:lang w:val="zh-CN" w:eastAsia="zh-CN"/>
        </w:rPr>
      </w:pPr>
      <w:r>
        <w:rPr>
          <w:rFonts w:hint="eastAsia" w:ascii="宋体" w:hAnsi="宋体" w:eastAsia="宋体" w:cs="Times New Roman"/>
          <w:b w:val="0"/>
          <w:bCs/>
          <w:color w:val="000000"/>
          <w:sz w:val="21"/>
          <w:szCs w:val="21"/>
          <w:highlight w:val="none"/>
          <w:lang w:val="zh-CN" w:eastAsia="zh-CN"/>
        </w:rPr>
        <w:t xml:space="preserve">时间：2026年10月30日09:30（北京时间）</w:t>
      </w:r>
      <w:r>
        <w:rPr>
          <w:rFonts w:hint="eastAsia" w:ascii="宋体" w:hAnsi="宋体" w:eastAsia="宋体" w:cs="Times New Roman"/>
          <w:b w:val="0"/>
          <w:bCs/>
          <w:color w:val="000000"/>
          <w:sz w:val="21"/>
          <w:szCs w:val="21"/>
          <w:highlight w:val="none"/>
          <w:lang w:val="zh-CN" w:eastAsia="zh-CN"/>
        </w:rPr>
      </w:r>
      <w:r/>
    </w:p>
    <w:p>
      <w:pPr>
        <w:pStyle w:val="1008"/>
        <w:ind w:firstLine="420"/>
        <w:spacing w:line="360" w:lineRule="auto"/>
        <w:rPr>
          <w:rFonts w:hint="eastAsia" w:ascii="宋体" w:hAnsi="宋体" w:eastAsia="宋体" w:cs="Times New Roman"/>
          <w:b w:val="0"/>
          <w:bCs/>
          <w:color w:val="000000"/>
          <w:sz w:val="21"/>
          <w:szCs w:val="21"/>
          <w:highlight w:val="none"/>
          <w:lang w:val="zh-CN" w:eastAsia="zh-CN"/>
        </w:rPr>
      </w:pPr>
      <w:r>
        <w:rPr>
          <w:rFonts w:hint="eastAsia" w:ascii="宋体" w:hAnsi="宋体" w:eastAsia="宋体" w:cs="Times New Roman"/>
          <w:b w:val="0"/>
          <w:bCs/>
          <w:color w:val="000000"/>
          <w:sz w:val="21"/>
          <w:szCs w:val="21"/>
          <w:highlight w:val="none"/>
          <w:lang w:val="zh-CN" w:eastAsia="zh-CN"/>
        </w:rPr>
        <w:t xml:space="preserve">地点：“苏采云”系统（网址：http://jszfcg.jsczt.cn/） </w:t>
      </w:r>
      <w:r>
        <w:rPr>
          <w:rFonts w:hint="eastAsia" w:ascii="宋体" w:hAnsi="宋体" w:eastAsia="宋体" w:cs="Times New Roman"/>
          <w:b w:val="0"/>
          <w:bCs/>
          <w:color w:val="000000"/>
          <w:sz w:val="21"/>
          <w:szCs w:val="21"/>
          <w:highlight w:val="none"/>
          <w:lang w:val="zh-CN" w:eastAsia="zh-CN"/>
        </w:rPr>
      </w:r>
      <w:r/>
    </w:p>
    <w:p>
      <w:pPr>
        <w:pStyle w:val="1008"/>
        <w:ind w:firstLine="422"/>
        <w:spacing w:line="360" w:lineRule="auto"/>
        <w:rPr>
          <w:rFonts w:hint="eastAsia" w:ascii="宋体" w:hAnsi="宋体"/>
          <w:b/>
          <w:bCs w:val="0"/>
          <w:color w:val="000000"/>
          <w:sz w:val="21"/>
          <w:szCs w:val="21"/>
          <w:highlight w:val="none"/>
        </w:rPr>
      </w:pPr>
      <w:r/>
      <w:bookmarkEnd w:id="6"/>
      <w:r/>
      <w:bookmarkEnd w:id="7"/>
      <w:r/>
      <w:bookmarkEnd w:id="8"/>
      <w:r/>
      <w:bookmarkEnd w:id="9"/>
      <w:r/>
      <w:bookmarkStart w:id="10" w:name="_Toc35393803"/>
      <w:r/>
      <w:bookmarkStart w:id="11" w:name="_Toc28359094"/>
      <w:r/>
      <w:bookmarkStart w:id="12" w:name="_Toc28359017"/>
      <w:r/>
      <w:bookmarkStart w:id="13" w:name="_Toc35393634"/>
      <w:r>
        <w:rPr>
          <w:rFonts w:hint="eastAsia" w:ascii="宋体" w:hAnsi="宋体"/>
          <w:b/>
          <w:bCs w:val="0"/>
          <w:color w:val="000000"/>
          <w:sz w:val="21"/>
          <w:szCs w:val="21"/>
          <w:highlight w:val="none"/>
        </w:rPr>
        <w:t xml:space="preserve">五、公告期限</w:t>
      </w:r>
      <w:bookmarkEnd w:id="10"/>
      <w:r/>
      <w:bookmarkEnd w:id="11"/>
      <w:r/>
      <w:bookmarkEnd w:id="12"/>
      <w:r/>
      <w:bookmarkEnd w:id="13"/>
      <w:r>
        <w:rPr>
          <w:rFonts w:hint="eastAsia" w:ascii="宋体" w:hAnsi="宋体"/>
          <w:b/>
          <w:bCs w:val="0"/>
          <w:color w:val="000000"/>
          <w:sz w:val="21"/>
          <w:szCs w:val="21"/>
          <w:highlight w:val="none"/>
        </w:rPr>
      </w:r>
      <w:r/>
    </w:p>
    <w:p>
      <w:pPr>
        <w:pStyle w:val="1008"/>
        <w:ind w:firstLine="420"/>
        <w:spacing w:line="360" w:lineRule="auto"/>
        <w:rPr>
          <w:rFonts w:hint="eastAsia" w:ascii="宋体" w:hAnsi="宋体"/>
          <w:b w:val="0"/>
          <w:bCs/>
          <w:color w:val="000000"/>
          <w:sz w:val="21"/>
          <w:szCs w:val="21"/>
          <w:highlight w:val="none"/>
        </w:rPr>
      </w:pPr>
      <w:r>
        <w:rPr>
          <w:rFonts w:hint="eastAsia" w:ascii="宋体" w:hAnsi="宋体"/>
          <w:b w:val="0"/>
          <w:bCs/>
          <w:color w:val="000000"/>
          <w:sz w:val="21"/>
          <w:szCs w:val="21"/>
          <w:highlight w:val="none"/>
        </w:rPr>
        <w:t xml:space="preserve">自本公告发布之日起</w:t>
      </w:r>
      <w:r>
        <w:rPr>
          <w:rFonts w:hint="eastAsia" w:ascii="宋体" w:hAnsi="宋体"/>
          <w:b w:val="0"/>
          <w:bCs/>
          <w:color w:val="000000"/>
          <w:sz w:val="21"/>
          <w:szCs w:val="21"/>
          <w:highlight w:val="none"/>
          <w:lang w:val="en-US" w:eastAsia="zh-CN"/>
        </w:rPr>
        <w:t xml:space="preserve">5</w:t>
      </w:r>
      <w:r>
        <w:rPr>
          <w:rFonts w:hint="eastAsia" w:ascii="宋体" w:hAnsi="宋体"/>
          <w:b w:val="0"/>
          <w:bCs/>
          <w:color w:val="000000"/>
          <w:sz w:val="21"/>
          <w:szCs w:val="21"/>
          <w:highlight w:val="none"/>
        </w:rPr>
        <w:t xml:space="preserve">个工作日。</w:t>
      </w:r>
      <w:r>
        <w:rPr>
          <w:rFonts w:hint="eastAsia" w:ascii="宋体" w:hAnsi="宋体"/>
          <w:b w:val="0"/>
          <w:bCs/>
          <w:color w:val="000000"/>
          <w:sz w:val="21"/>
          <w:szCs w:val="21"/>
          <w:highlight w:val="none"/>
        </w:rPr>
      </w:r>
      <w:r/>
    </w:p>
    <w:p>
      <w:pPr>
        <w:pStyle w:val="1008"/>
        <w:ind w:firstLine="422"/>
        <w:spacing w:line="360" w:lineRule="auto"/>
        <w:rPr>
          <w:rFonts w:hint="eastAsia" w:ascii="宋体" w:hAnsi="宋体"/>
          <w:b/>
          <w:bCs w:val="0"/>
          <w:color w:val="000000"/>
          <w:sz w:val="21"/>
          <w:szCs w:val="21"/>
          <w:highlight w:val="none"/>
        </w:rPr>
      </w:pPr>
      <w:r>
        <w:rPr>
          <w:rFonts w:hint="eastAsia" w:ascii="宋体" w:hAnsi="宋体"/>
          <w:b/>
          <w:bCs w:val="0"/>
          <w:color w:val="000000"/>
          <w:sz w:val="21"/>
          <w:szCs w:val="21"/>
          <w:highlight w:val="none"/>
        </w:rPr>
        <w:t xml:space="preserve">六、其他补充事宜</w:t>
      </w:r>
      <w:r>
        <w:rPr>
          <w:rFonts w:hint="eastAsia" w:ascii="宋体" w:hAnsi="宋体"/>
          <w:b/>
          <w:bCs w:val="0"/>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1.本次采购的相关信息刊登在苏州市政府采购网、江苏省政府采购网、中国政府采购网。</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2.凡为采购项目提供整体设计、规范编制或者项目管理、监理、检测等服务的供应商，不得再参加本项目的采购活动。</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3.采购文件获取方式：   </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（1）CA证书办理</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0512-65737699。</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（2）参与采购活动</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（3）电子投标准备</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供应商在“苏采云”系统中操作参与项目后，必须在“已参与项目”界面中下载电子采购文件（后缀名为</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注册咨询：18261002950；</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CA技术咨询电话：400-608-6099；</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签章使用问题：025-83633811、025-83633812、15380932027、15371015030；</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系统使用指导与咨询：联系电话：18261002950；QQ：3048755361、1315179389、895706745。</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w:t>
      </w:r>
      <w:r>
        <w:rPr>
          <w:rFonts w:hint="eastAsia" w:ascii="宋体" w:hAnsi="宋体" w:eastAsia="宋体" w:cs="Times New Roman"/>
          <w:color w:val="000000"/>
          <w:sz w:val="21"/>
          <w:szCs w:val="21"/>
          <w:highlight w:val="none"/>
          <w:lang w:eastAsia="zh-CN"/>
        </w:rPr>
        <w:t xml:space="preserve">响应文件</w:t>
      </w:r>
      <w:r>
        <w:rPr>
          <w:rFonts w:hint="eastAsia" w:ascii="宋体" w:hAnsi="宋体" w:eastAsia="宋体" w:cs="Times New Roman"/>
          <w:color w:val="000000"/>
          <w:sz w:val="21"/>
          <w:szCs w:val="21"/>
          <w:highlight w:val="none"/>
        </w:rPr>
        <w:t xml:space="preserve">，如在系统规定的解密时间内（投标/响应文件提交截止时间后30分钟）未能完成解密的视为放弃投标。</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5.有关本项目电子投标具体操作方法详见苏采云系统中的客户端使用说明和供应商《操作手册》。</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质疑按《中华人民共和国财政部令第94号—政府采购质疑和投诉办法》中相关规定提出，供应商应在法定质疑期内一次性提出针对同一采购程序环节的质疑，质疑函（必须附政府采购投标报名确认单、质疑格式按照苏州市政府采购网《</w:t>
      </w:r>
      <w:r>
        <w:rPr>
          <w:rFonts w:hint="eastAsia" w:ascii="宋体" w:hAnsi="宋体" w:eastAsia="宋体" w:cs="Times New Roman"/>
          <w:color w:val="000000"/>
          <w:sz w:val="21"/>
          <w:szCs w:val="21"/>
          <w:highlight w:val="none"/>
        </w:rPr>
        <w:fldChar w:fldCharType="begin"/>
      </w:r>
      <w:r>
        <w:rPr>
          <w:rFonts w:hint="eastAsia" w:ascii="宋体" w:hAnsi="宋体" w:eastAsia="宋体" w:cs="Times New Roman"/>
          <w:color w:val="000000"/>
          <w:sz w:val="21"/>
          <w:szCs w:val="21"/>
          <w:highlight w:val="none"/>
        </w:rPr>
        <w:instrText xml:space="preserve"> HYPERLINK "https://czju.suzhou.gov.cn/zfcg/html/content/20180305093615738.shtml" \o "政府采购供应商质疑函范本" </w:instrText>
      </w:r>
      <w:r>
        <w:rPr>
          <w:rFonts w:hint="eastAsia" w:ascii="宋体" w:hAnsi="宋体" w:eastAsia="宋体" w:cs="Times New Roman"/>
          <w:color w:val="000000"/>
          <w:sz w:val="21"/>
          <w:szCs w:val="21"/>
          <w:highlight w:val="none"/>
        </w:rPr>
        <w:fldChar w:fldCharType="separate"/>
      </w:r>
      <w:r>
        <w:rPr>
          <w:rFonts w:hint="eastAsia" w:ascii="宋体" w:hAnsi="宋体" w:eastAsia="宋体" w:cs="Times New Roman"/>
          <w:color w:val="000000"/>
          <w:sz w:val="21"/>
          <w:szCs w:val="21"/>
          <w:highlight w:val="none"/>
        </w:rPr>
        <w:t xml:space="preserve">政府采购供应商质疑函范本</w:t>
      </w:r>
      <w:r>
        <w:rPr>
          <w:rFonts w:hint="eastAsia" w:ascii="宋体" w:hAnsi="宋体" w:eastAsia="宋体" w:cs="Times New Roman"/>
          <w:color w:val="000000"/>
          <w:sz w:val="21"/>
          <w:szCs w:val="21"/>
          <w:highlight w:val="none"/>
        </w:rPr>
        <w:fldChar w:fldCharType="end"/>
      </w:r>
      <w:r>
        <w:rPr>
          <w:rFonts w:hint="eastAsia" w:ascii="宋体" w:hAnsi="宋体" w:eastAsia="宋体" w:cs="Times New Roman"/>
          <w:color w:val="000000"/>
          <w:sz w:val="21"/>
          <w:szCs w:val="21"/>
          <w:highlight w:val="none"/>
        </w:rPr>
        <w:t xml:space="preserve">》）现场提交或邮寄至本公司（不接收到付快递）。接收质疑函的联系信息如下：</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采购代理机构：</w:t>
      </w:r>
      <w:r>
        <w:rPr>
          <w:rFonts w:hint="eastAsia" w:ascii="宋体" w:hAnsi="宋体" w:eastAsia="宋体" w:cs="Times New Roman"/>
          <w:color w:val="000000"/>
          <w:sz w:val="21"/>
          <w:szCs w:val="21"/>
          <w:highlight w:val="none"/>
          <w:lang w:eastAsia="zh-CN"/>
        </w:rPr>
        <w:t xml:space="preserve">苏州中海工程项目管理有限公司</w:t>
      </w:r>
      <w:r>
        <w:rPr>
          <w:rFonts w:hint="eastAsia" w:ascii="宋体" w:hAnsi="宋体" w:eastAsia="宋体" w:cs="Times New Roman"/>
          <w:color w:val="000000"/>
          <w:sz w:val="21"/>
          <w:szCs w:val="21"/>
          <w:highlight w:val="none"/>
          <w:lang w:eastAsia="zh-CN"/>
        </w:rPr>
      </w:r>
      <w:r/>
    </w:p>
    <w:p>
      <w:pPr>
        <w:pStyle w:val="1008"/>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地址：</w:t>
      </w:r>
      <w:r>
        <w:rPr>
          <w:rFonts w:hint="eastAsia" w:ascii="宋体" w:hAnsi="宋体" w:eastAsia="宋体" w:cs="Times New Roman"/>
          <w:color w:val="000000"/>
          <w:sz w:val="21"/>
          <w:szCs w:val="21"/>
          <w:highlight w:val="none"/>
          <w:lang w:eastAsia="zh-CN"/>
        </w:rPr>
        <w:t xml:space="preserve">苏州市吴中区吴中大道70号6楼</w:t>
      </w:r>
      <w:r>
        <w:rPr>
          <w:rFonts w:hint="eastAsia" w:ascii="宋体" w:hAnsi="宋体" w:eastAsia="宋体" w:cs="Times New Roman"/>
          <w:color w:val="000000"/>
          <w:sz w:val="21"/>
          <w:szCs w:val="21"/>
          <w:highlight w:val="none"/>
          <w:lang w:eastAsia="zh-CN"/>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联系人：</w:t>
      </w:r>
      <w:r>
        <w:rPr>
          <w:rFonts w:hint="eastAsia" w:ascii="宋体" w:hAnsi="宋体" w:eastAsia="宋体" w:cs="Times New Roman"/>
          <w:color w:val="000000"/>
          <w:sz w:val="21"/>
          <w:szCs w:val="21"/>
          <w:highlight w:val="none"/>
          <w:lang w:eastAsia="zh-CN"/>
        </w:rPr>
        <w:t xml:space="preserve">王新东</w:t>
      </w:r>
      <w:r>
        <w:rPr>
          <w:rFonts w:hint="eastAsia"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联系电话：</w:t>
      </w:r>
      <w:r>
        <w:rPr>
          <w:rFonts w:hint="eastAsia" w:ascii="宋体" w:hAnsi="宋体" w:eastAsia="宋体" w:cs="Times New Roman"/>
          <w:color w:val="000000"/>
          <w:sz w:val="21"/>
          <w:szCs w:val="21"/>
          <w:highlight w:val="none"/>
          <w:lang w:eastAsia="zh-CN"/>
        </w:rPr>
        <w:t xml:space="preserve">0512-</w:t>
      </w:r>
      <w:r>
        <w:rPr>
          <w:rFonts w:hint="eastAsia" w:ascii="宋体" w:hAnsi="宋体" w:eastAsia="宋体" w:cs="Times New Roman"/>
          <w:color w:val="000000"/>
          <w:sz w:val="21"/>
          <w:szCs w:val="21"/>
          <w:highlight w:val="none"/>
          <w:lang w:eastAsia="zh-CN"/>
        </w:rPr>
        <w:t xml:space="preserve">67087921</w:t>
      </w:r>
      <w:r>
        <w:rPr>
          <w:rFonts w:hint="eastAsia" w:ascii="宋体" w:hAnsi="宋体" w:eastAsia="宋体" w:cs="Times New Roman"/>
          <w:color w:val="000000"/>
          <w:sz w:val="21"/>
          <w:szCs w:val="21"/>
          <w:highlight w:val="none"/>
          <w:lang w:eastAsia="zh-CN"/>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响应单位提出书面质疑必须有理、有据，不得恶意质疑或提交虚假质疑。否则，一经查实，招标采购人有权依据政府采购的有关规定，报请政府采购监管部门对该响应单位进行相应的行政处罚。</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7.根据苏州市财政局《关于深入开展苏州市政府采购合同信用融资业务的通知》相关要求，本项目支持政府采购合同信用融资。</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8.标段划分说明：</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（1）标段划分说明：本项目分标段采购，共分为四个标段，每个标段中标（成交）单位为一名。</w:t>
      </w:r>
      <w:r>
        <w:rPr>
          <w:rFonts w:hint="eastAsia" w:ascii="宋体" w:hAnsi="宋体" w:eastAsia="宋体" w:cs="Times New Roman"/>
          <w:color w:val="000000"/>
          <w:sz w:val="21"/>
          <w:szCs w:val="21"/>
          <w:highlight w:val="none"/>
          <w:lang w:val="en-US" w:eastAsia="zh-CN"/>
        </w:rPr>
        <w:t xml:space="preserve">评标委员会按标段编号由小到大的顺序依次开展各标段评审工作。投标单位可选择其中一个或多个标段投标，但最多只能中标1个标段。已递交某标段投标文件且实质性响应采购需求的投标供应商，均可进入该标段的评审；如投标人已经在前面标段被推荐为中标候选人（达到本项目中标标段数量上限），则不再具备后续其他标段的得标权，且不再参与剩余标段的评审。进入每个标段评审的实质性响应且具有得标权的供应商不得少于三家，如不足三家，认定该标段采购失败。在合同签订之前，若某标段因质疑、投诉等事项导致中标结果改变的，不影响其它任何标段的中标结果。</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（2）投标人投标时，仅可在其报名时选择确定的标段范围内进行投标，超报名时确定的标段范围的投标视为投标无效。</w:t>
      </w:r>
      <w:r>
        <w:rPr>
          <w:rFonts w:hint="eastAsia" w:ascii="宋体" w:hAnsi="宋体" w:eastAsia="宋体" w:cs="Times New Roman"/>
          <w:color w:val="000000"/>
          <w:sz w:val="21"/>
          <w:szCs w:val="21"/>
          <w:highlight w:val="none"/>
          <w:lang w:val="en-US" w:eastAsia="zh-CN"/>
        </w:rPr>
      </w:r>
      <w:r/>
    </w:p>
    <w:p>
      <w:pPr>
        <w:pStyle w:val="1008"/>
        <w:ind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七、对本次招标提出询问，请按以下方式联系</w:t>
      </w:r>
      <w:bookmarkStart w:id="14" w:name="_Toc7788"/>
      <w:r/>
      <w:bookmarkStart w:id="15" w:name="_Hlk533436111"/>
      <w:r>
        <w:rPr>
          <w:rFonts w:hint="eastAsia" w:ascii="宋体" w:hAnsi="宋体"/>
          <w:b/>
          <w:color w:val="000000"/>
          <w:sz w:val="21"/>
          <w:szCs w:val="21"/>
          <w:highlight w:val="none"/>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bookmarkEnd w:id="14"/>
      <w:r>
        <w:rPr>
          <w:rFonts w:hint="eastAsia" w:ascii="宋体" w:hAnsi="宋体" w:eastAsia="宋体" w:cs="Times New Roman"/>
          <w:b w:val="0"/>
          <w:bCs/>
          <w:color w:val="000000"/>
          <w:sz w:val="21"/>
          <w:szCs w:val="21"/>
          <w:highlight w:val="none"/>
          <w:lang w:val="en-US" w:eastAsia="zh-CN"/>
        </w:rPr>
        <w:t xml:space="preserve">1.采购人信息 </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单位名称：吴江经济技术开发区建设局</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单位地址：苏州市吴江区云梨路1688号</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联系人：李</w:t>
      </w:r>
      <w:r>
        <w:rPr>
          <w:rFonts w:hint="eastAsia" w:ascii="宋体" w:hAnsi="宋体" w:eastAsia="宋体" w:cs="Times New Roman"/>
          <w:b w:val="0"/>
          <w:bCs/>
          <w:color w:val="000000"/>
          <w:sz w:val="21"/>
          <w:szCs w:val="21"/>
          <w:highlight w:val="none"/>
          <w:lang w:val="en-US" w:eastAsia="zh-CN"/>
        </w:rPr>
        <w:t xml:space="preserve">岗</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联系方式：</w:t>
      </w:r>
      <w:bookmarkEnd w:id="15"/>
      <w:r>
        <w:rPr>
          <w:rFonts w:hint="eastAsia" w:ascii="宋体" w:hAnsi="宋体" w:eastAsia="宋体" w:cs="Times New Roman"/>
          <w:b w:val="0"/>
          <w:bCs/>
          <w:color w:val="000000"/>
          <w:sz w:val="21"/>
          <w:szCs w:val="21"/>
          <w:highlight w:val="none"/>
          <w:lang w:val="en-US" w:eastAsia="zh-CN"/>
        </w:rPr>
        <w:t xml:space="preserve">0512-</w:t>
      </w:r>
      <w:r>
        <w:rPr>
          <w:rFonts w:hint="eastAsia" w:ascii="宋体" w:hAnsi="宋体" w:eastAsia="宋体" w:cs="Times New Roman"/>
          <w:b w:val="0"/>
          <w:bCs/>
          <w:color w:val="000000"/>
          <w:sz w:val="21"/>
          <w:szCs w:val="21"/>
          <w:highlight w:val="none"/>
          <w:lang w:val="en-US" w:eastAsia="zh-CN"/>
        </w:rPr>
        <w:t xml:space="preserve">63960757</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zh-CN"/>
        </w:rPr>
      </w:pPr>
      <w:r/>
      <w:bookmarkEnd w:id="1"/>
      <w:r/>
      <w:bookmarkEnd w:id="2"/>
      <w:r/>
      <w:bookmarkEnd w:id="4"/>
      <w:r/>
      <w:bookmarkEnd w:id="5"/>
      <w:r/>
      <w:bookmarkStart w:id="16" w:name="_Toc30403"/>
      <w:r>
        <w:rPr>
          <w:rFonts w:hint="eastAsia" w:ascii="宋体" w:hAnsi="宋体" w:eastAsia="宋体" w:cs="Times New Roman"/>
          <w:b w:val="0"/>
          <w:bCs/>
          <w:color w:val="000000"/>
          <w:sz w:val="21"/>
          <w:szCs w:val="21"/>
          <w:highlight w:val="none"/>
          <w:lang w:val="zh-CN"/>
        </w:rPr>
        <w:t xml:space="preserve">2.采购代理机构信息</w:t>
      </w:r>
      <w:bookmarkEnd w:id="16"/>
      <w:r>
        <w:rPr>
          <w:rFonts w:hint="eastAsia" w:ascii="宋体" w:hAnsi="宋体" w:eastAsia="宋体" w:cs="Times New Roman"/>
          <w:b w:val="0"/>
          <w:bCs/>
          <w:color w:val="000000"/>
          <w:sz w:val="21"/>
          <w:szCs w:val="21"/>
          <w:highlight w:val="none"/>
          <w:lang w:val="zh-CN"/>
        </w:rPr>
      </w:r>
      <w:r/>
    </w:p>
    <w:p>
      <w:pPr>
        <w:pStyle w:val="1008"/>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单位</w:t>
      </w:r>
      <w:r>
        <w:rPr>
          <w:rFonts w:hint="eastAsia" w:ascii="宋体" w:hAnsi="宋体" w:eastAsia="宋体" w:cs="Times New Roman"/>
          <w:b w:val="0"/>
          <w:bCs/>
          <w:color w:val="000000"/>
          <w:sz w:val="21"/>
          <w:szCs w:val="21"/>
          <w:highlight w:val="none"/>
          <w:lang w:val="zh-CN"/>
        </w:rPr>
        <w:t xml:space="preserve">名称：苏州中海工程项目管理有限公司</w:t>
      </w:r>
      <w:r>
        <w:rPr>
          <w:rFonts w:hint="eastAsia" w:ascii="宋体" w:hAnsi="宋体" w:eastAsia="宋体" w:cs="Times New Roman"/>
          <w:b w:val="0"/>
          <w:bCs/>
          <w:color w:val="000000"/>
          <w:sz w:val="21"/>
          <w:szCs w:val="21"/>
          <w:highlight w:val="none"/>
          <w:lang w:val="zh-CN"/>
        </w:rPr>
      </w:r>
      <w:r/>
    </w:p>
    <w:p>
      <w:pPr>
        <w:pStyle w:val="1008"/>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单位</w:t>
      </w:r>
      <w:r>
        <w:rPr>
          <w:rFonts w:hint="eastAsia" w:ascii="宋体" w:hAnsi="宋体" w:eastAsia="宋体" w:cs="Times New Roman"/>
          <w:b w:val="0"/>
          <w:bCs/>
          <w:color w:val="000000"/>
          <w:sz w:val="21"/>
          <w:szCs w:val="21"/>
          <w:highlight w:val="none"/>
          <w:lang w:val="zh-CN"/>
        </w:rPr>
        <w:t xml:space="preserve">地址：苏州市吴中区吴中大道70号6楼</w:t>
      </w:r>
      <w:r>
        <w:rPr>
          <w:rFonts w:hint="eastAsia" w:ascii="宋体" w:hAnsi="宋体" w:eastAsia="宋体" w:cs="Times New Roman"/>
          <w:b w:val="0"/>
          <w:bCs/>
          <w:color w:val="000000"/>
          <w:sz w:val="21"/>
          <w:szCs w:val="21"/>
          <w:highlight w:val="none"/>
          <w:lang w:val="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zh-CN" w:eastAsia="zh-CN"/>
        </w:rPr>
        <w:t xml:space="preserve">联系人</w:t>
      </w:r>
      <w:r>
        <w:rPr>
          <w:rFonts w:hint="eastAsia" w:ascii="宋体" w:hAnsi="宋体" w:eastAsia="宋体" w:cs="Times New Roman"/>
          <w:b w:val="0"/>
          <w:bCs/>
          <w:color w:val="000000"/>
          <w:sz w:val="21"/>
          <w:szCs w:val="21"/>
          <w:highlight w:val="none"/>
          <w:lang w:val="zh-CN"/>
        </w:rPr>
        <w:t xml:space="preserve">：王新东</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联系方式：0512-</w:t>
      </w:r>
      <w:r>
        <w:rPr>
          <w:rFonts w:hint="eastAsia" w:ascii="宋体" w:hAnsi="宋体" w:eastAsia="宋体" w:cs="Times New Roman"/>
          <w:b w:val="0"/>
          <w:bCs/>
          <w:color w:val="000000"/>
          <w:sz w:val="21"/>
          <w:szCs w:val="21"/>
          <w:highlight w:val="none"/>
          <w:lang w:val="zh-CN"/>
        </w:rPr>
        <w:t xml:space="preserve">67087921</w:t>
      </w:r>
      <w:r>
        <w:rPr>
          <w:rFonts w:hint="eastAsia" w:ascii="宋体" w:hAnsi="宋体" w:eastAsia="宋体" w:cs="Times New Roman"/>
          <w:b w:val="0"/>
          <w:bCs/>
          <w:color w:val="000000"/>
          <w:sz w:val="21"/>
          <w:szCs w:val="21"/>
          <w:highlight w:val="none"/>
          <w:lang w:val="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3.项目联系方式</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项目联系人：</w:t>
      </w:r>
      <w:r>
        <w:rPr>
          <w:rFonts w:hint="eastAsia" w:ascii="宋体" w:hAnsi="宋体" w:eastAsia="宋体" w:cs="Times New Roman"/>
          <w:b w:val="0"/>
          <w:bCs/>
          <w:color w:val="000000"/>
          <w:sz w:val="21"/>
          <w:szCs w:val="21"/>
          <w:highlight w:val="none"/>
          <w:lang w:val="zh-CN" w:eastAsia="zh-CN"/>
        </w:rPr>
        <w:t xml:space="preserve">王新东</w:t>
      </w:r>
      <w:r>
        <w:rPr>
          <w:rFonts w:hint="eastAsia" w:ascii="宋体" w:hAnsi="宋体" w:eastAsia="宋体" w:cs="Times New Roman"/>
          <w:b w:val="0"/>
          <w:bCs/>
          <w:color w:val="000000"/>
          <w:sz w:val="21"/>
          <w:szCs w:val="21"/>
          <w:highlight w:val="none"/>
          <w:lang w:val="zh-CN"/>
        </w:rPr>
      </w:r>
      <w:r/>
    </w:p>
    <w:p>
      <w:pPr>
        <w:pStyle w:val="1008"/>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val="0"/>
          <w:bCs/>
          <w:color w:val="000000"/>
          <w:sz w:val="21"/>
          <w:szCs w:val="21"/>
          <w:highlight w:val="none"/>
          <w:lang w:val="en-US" w:eastAsia="zh-CN"/>
        </w:rPr>
        <w:t xml:space="preserve">电话</w:t>
      </w:r>
      <w:r>
        <w:rPr>
          <w:rFonts w:hint="eastAsia" w:ascii="宋体" w:hAnsi="宋体" w:eastAsia="宋体" w:cs="Times New Roman"/>
          <w:b w:val="0"/>
          <w:bCs/>
          <w:color w:val="000000"/>
          <w:sz w:val="21"/>
          <w:szCs w:val="21"/>
          <w:highlight w:val="none"/>
          <w:lang w:val="zh-CN"/>
        </w:rPr>
        <w:t xml:space="preserve">：0512-</w:t>
      </w:r>
      <w:r>
        <w:rPr>
          <w:rFonts w:hint="eastAsia" w:ascii="宋体" w:hAnsi="宋体" w:eastAsia="宋体" w:cs="Times New Roman"/>
          <w:b w:val="0"/>
          <w:bCs/>
          <w:color w:val="000000"/>
          <w:sz w:val="21"/>
          <w:szCs w:val="21"/>
          <w:highlight w:val="none"/>
          <w:lang w:val="zh-CN"/>
        </w:rPr>
        <w:t xml:space="preserve">67087921</w:t>
      </w:r>
      <w:r>
        <w:rPr>
          <w:rFonts w:hint="eastAsia" w:ascii="宋体" w:hAnsi="宋体" w:eastAsia="宋体" w:cs="Times New Roman"/>
          <w:b w:val="0"/>
          <w:bCs/>
          <w:color w:val="000000"/>
          <w:sz w:val="21"/>
          <w:szCs w:val="21"/>
          <w:highlight w:val="none"/>
          <w:lang w:val="zh-CN"/>
        </w:rPr>
      </w:r>
      <w:r>
        <w:rPr>
          <w:rFonts w:hint="eastAsia" w:ascii="宋体" w:hAnsi="宋体" w:eastAsia="宋体" w:cs="Times New Roman"/>
          <w:b w:val="0"/>
          <w:bCs/>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9"/>
        <w:jc w:val="center"/>
        <w:rPr>
          <w:rFonts w:hint="eastAsia"/>
          <w:color w:val="000000"/>
          <w:highlight w:val="none"/>
          <w:lang w:val="zh-CN"/>
        </w:rPr>
      </w:pPr>
      <w:r/>
      <w:bookmarkEnd w:id="3"/>
      <w:r>
        <w:rPr>
          <w:rFonts w:hint="eastAsia" w:ascii="宋体" w:hAnsi="宋体" w:cs="宋体"/>
          <w:color w:val="000000"/>
          <w:szCs w:val="21"/>
          <w:highlight w:val="none"/>
        </w:rPr>
        <w:br w:type="page" w:clear="all"/>
      </w:r>
      <w:bookmarkStart w:id="17" w:name="_Toc17344"/>
      <w:r>
        <w:rPr>
          <w:rFonts w:hint="eastAsia"/>
          <w:color w:val="000000"/>
          <w:highlight w:val="none"/>
        </w:rPr>
        <w:t xml:space="preserve">第二章  投标人须知</w:t>
      </w:r>
      <w:bookmarkEnd w:id="17"/>
      <w:r>
        <w:rPr>
          <w:rFonts w:hint="eastAsia"/>
          <w:color w:val="000000"/>
          <w:highlight w:val="none"/>
          <w:lang w:val="zh-CN"/>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一、说明和释义</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 说明</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1.1本招标文件仅适用于</w:t>
      </w:r>
      <w:r>
        <w:rPr>
          <w:rFonts w:hint="eastAsia" w:ascii="宋体" w:hAnsi="宋体" w:cs="宋体"/>
          <w:color w:val="000000"/>
          <w:sz w:val="21"/>
          <w:szCs w:val="21"/>
          <w:highlight w:val="none"/>
          <w:lang w:eastAsia="zh-CN"/>
        </w:rPr>
        <w:t xml:space="preserve">苏州中海工程项目管理有限公司</w:t>
      </w:r>
      <w:r>
        <w:rPr>
          <w:rFonts w:hint="eastAsia" w:ascii="宋体" w:hAnsi="宋体" w:cs="宋体"/>
          <w:color w:val="000000"/>
          <w:sz w:val="21"/>
          <w:szCs w:val="21"/>
          <w:highlight w:val="none"/>
        </w:rPr>
        <w:t xml:space="preserve">组织的招标活动。</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1.2本次招标活动及因本次招标产生的合同受中国法律制约和保护。</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1.3本招标文件的解释权属于</w:t>
      </w:r>
      <w:r>
        <w:rPr>
          <w:rFonts w:hint="eastAsia" w:ascii="宋体" w:hAnsi="宋体" w:cs="宋体"/>
          <w:color w:val="000000"/>
          <w:sz w:val="21"/>
          <w:szCs w:val="21"/>
          <w:highlight w:val="none"/>
          <w:lang w:eastAsia="zh-CN"/>
        </w:rPr>
        <w:t xml:space="preserve">苏州中海工程项目管理有限公司</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 词语释义</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2.1招标代理机构：具体组织实施招标活动的法人。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2.2投标单位（人）：经认定有资格响应招标，参加投标竞争的法人或其他组织和自然人。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2.3响应：投标单位根据招标代理机构或招标代理机构发布的招标文件，编制投标文件并按规定投标的行为。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2.5甲方（采购单位）：合同中明确规定的实际购买货物和服务的法人或其他组织和自然人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2.6乙方（供应商）：合同中规定的向采购方提供货物和服务的法人或其他组织和自然人。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2.7货物：系指乙方按招标文件规定，应向甲方提供的一切设备及其备品、备件、工具、手册及其它有关技术资料和材料。</w:t>
      </w:r>
      <w:r>
        <w:rPr>
          <w:rFonts w:hint="eastAsia" w:ascii="宋体" w:hAnsi="宋体" w:cs="宋体"/>
          <w:color w:val="000000"/>
          <w:sz w:val="21"/>
          <w:szCs w:val="21"/>
          <w:highlight w:val="none"/>
          <w:lang w:val="en-US" w:eastAsia="zh-CN"/>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服务：</w:t>
      </w:r>
      <w:r>
        <w:rPr>
          <w:rFonts w:hint="eastAsia" w:ascii="宋体" w:hAnsi="宋体" w:cs="宋体"/>
          <w:color w:val="000000"/>
          <w:sz w:val="21"/>
          <w:szCs w:val="21"/>
          <w:highlight w:val="none"/>
          <w:lang w:val="zh-CN"/>
        </w:rPr>
        <w:t xml:space="preserve">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.9知识产权：指专利权、商标权、著作权等无形财产专有权的统称。</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.10天：日历日。</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.11交货地点：合同中明确约定的乙方提交的货物和服务最终交付地点。</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.12合同价款：根据合同规定，乙方在正确地履行合同义务后甲方应支付乙方的价款。</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.13产地：货物开采、生长、生产、最终制造、加工或提供服务的来源地。</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.14 不可抗力：不能预见、不能避免并且不能克服的客观情况。</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.16进口产品：指通过中国海关报关验收进入中国境内且产自境外的产品，具体按照苏财购〔2008〕14号江苏省财政厅转发财政部办公厅关于政府采购进口产品管理有关问题的通知的规定。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.17书面形式：指书面文字、合同书、信件和数据电文（包括传真、电子数据交换和电子邮件）等可以有形地表现所载内容的形式。</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二、投标单位</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 合格投标单位的一般条件</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3.1具有独立承担民事责任的能力；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3.2具有良好的商业信誉和健全的财务会计制度；</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3.3具有履行合同所必需的设备和专业技术能力；</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3.4有依法缴纳税收和社会保障资金的良好记录；</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3.5参加政府采购活动前三年内，在经营活动中没有重大违法记录；</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3.6法律、行政法规规定的其他条件。</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3.7投标邀请函中规定的其他条件。</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4. 投标单位代表</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4.1指全权代表投标单位参加投标活动并签署投标文件的人，如果投标单位代表不是法定代表人，须持有《法定代表人授权委托书》（详见统一格式）。 </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5. 投标费用 </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5.1无论投标过程中的做法和结果如何，投标单位自行承担所有与参加投标有关的全部费用。</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6. 联合投标及分包转包</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6.1本次招标不接受联合投标的方式；</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6.2本次招标不接受转包；不接受分包。</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 招标文件的说明</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7. 招标文件</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招标文件由招标文件总目录所列内容组成。投标单位应详细阅读招标文件的全部内容。不按招标文件的要求提供的投标文件和资料，可能导致投标被拒绝。</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8. 招标文件的澄清</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8.1</w:t>
      </w:r>
      <w:r>
        <w:rPr>
          <w:rFonts w:hint="eastAsia" w:ascii="宋体" w:hAnsi="宋体" w:cs="宋体"/>
          <w:color w:val="000000"/>
          <w:sz w:val="21"/>
          <w:szCs w:val="21"/>
          <w:highlight w:val="none"/>
          <w:lang w:val="zh-CN"/>
        </w:rPr>
        <w:t xml:space="preserve">投标人在收到招标文件后，若有问题需要澄清，</w:t>
      </w:r>
      <w:r>
        <w:rPr>
          <w:rFonts w:hint="eastAsia" w:ascii="宋体" w:hAnsi="宋体" w:cs="宋体"/>
          <w:color w:val="000000"/>
          <w:sz w:val="21"/>
          <w:szCs w:val="21"/>
          <w:highlight w:val="none"/>
        </w:rPr>
        <w:t xml:space="preserve">应在项目采购交易系统中提出，招标代理机构将以网上答复的方式予以解答（包括对询问的解释，但不说明来源），答复将通知相关的投标人。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2投标人的询问通知不得迟于招标文件规定时间。</w:t>
      </w:r>
      <w:r>
        <w:rPr>
          <w:rFonts w:hint="eastAsia" w:ascii="宋体" w:hAnsi="宋体" w:cs="宋体"/>
          <w:color w:val="000000"/>
          <w:sz w:val="21"/>
          <w:szCs w:val="21"/>
          <w:highlight w:val="none"/>
        </w:rPr>
      </w:r>
      <w:r/>
    </w:p>
    <w:p>
      <w:pPr>
        <w:pStyle w:val="1008"/>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9.招标文件的询问</w:t>
      </w:r>
      <w:r>
        <w:rPr>
          <w:rFonts w:hint="eastAsia" w:ascii="宋体" w:hAnsi="宋体" w:eastAsia="宋体" w:cs="宋体"/>
          <w:b/>
          <w:bCs/>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网上询问。报名成功的供应商在下载采购文件后，对采购文件有疑问的，可在“苏采云系统”中进行询问，询问信息不显示询问人的相关资料。代理机构通过网上交易系统收到询问后应在三个工作日内以网上答复的方式予以解答，由系统回复给询问人。</w:t>
      </w:r>
      <w:r>
        <w:rPr>
          <w:rFonts w:hint="eastAsia" w:ascii="宋体" w:hAnsi="宋体" w:eastAsia="宋体" w:cs="宋体"/>
          <w:color w:val="000000"/>
          <w:sz w:val="21"/>
          <w:szCs w:val="21"/>
          <w:highlight w:val="none"/>
          <w:lang w:val="zh-CN"/>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招标文件的质疑</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9.2本次采购文件要求供应商在法定质疑期内一次性提出针对同一采购程序环节的质疑。</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9.3采购人、采购代理机构收到质疑供应商在法定质疑期内发出的质疑函，应当在收到质疑函后7个工作日内作出答复，并以书面形式通知质疑供应商和其他有关供应商。</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9.4供应商提出质疑应当提交质疑函和必要的证明材料。质疑函应当包括下列内容：</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9.4.1供应商的姓名或者名称、地址、邮编、联系人及联系电话；</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9.4.2质疑项目的名称、编号；</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9.4.3具体、明确的质疑事项和与质疑事项相关的请求；</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9.4.4事实依据；</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9.4.5必要的法律依据；</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9.4.6提出质疑的日期。</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9.5质疑接收人：</w:t>
      </w:r>
      <w:r>
        <w:rPr>
          <w:rFonts w:hint="eastAsia" w:ascii="宋体" w:hAnsi="宋体" w:eastAsia="宋体" w:cs="宋体"/>
          <w:color w:val="000000"/>
          <w:sz w:val="21"/>
          <w:szCs w:val="21"/>
          <w:highlight w:val="none"/>
          <w:lang w:eastAsia="zh-CN"/>
        </w:rPr>
        <w:t xml:space="preserve">苏州中海工程项目管理有限公司</w:t>
      </w:r>
      <w:r>
        <w:rPr>
          <w:rFonts w:hint="eastAsia" w:ascii="宋体" w:hAnsi="宋体" w:eastAsia="宋体" w:cs="宋体"/>
          <w:color w:val="000000"/>
          <w:sz w:val="21"/>
          <w:szCs w:val="21"/>
          <w:highlight w:val="none"/>
        </w:rPr>
      </w:r>
      <w:r/>
    </w:p>
    <w:p>
      <w:pPr>
        <w:pStyle w:val="1008"/>
        <w:ind w:firstLine="48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王新东</w:t>
      </w:r>
      <w:r>
        <w:rPr>
          <w:rFonts w:ascii="宋体" w:hAnsi="宋体" w:eastAsia="宋体" w:cs="宋体"/>
          <w:color w:val="000000"/>
          <w:sz w:val="21"/>
          <w:szCs w:val="21"/>
          <w:highlight w:val="none"/>
          <w:lang w:val="en-US" w:eastAsia="zh-CN"/>
        </w:rPr>
      </w:r>
      <w:r/>
    </w:p>
    <w:p>
      <w:pPr>
        <w:pStyle w:val="1008"/>
        <w:ind w:firstLine="48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质疑接收方式：现场或邮寄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不支持到付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8"/>
        <w:ind w:firstLine="48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zh-CN"/>
        </w:rPr>
        <w:t xml:space="preserve">0512-</w:t>
      </w:r>
      <w:r>
        <w:rPr>
          <w:rFonts w:hint="eastAsia" w:ascii="宋体" w:hAnsi="宋体" w:eastAsia="宋体" w:cs="宋体"/>
          <w:color w:val="000000"/>
          <w:sz w:val="21"/>
          <w:szCs w:val="21"/>
          <w:highlight w:val="none"/>
          <w:lang w:val="zh-CN"/>
        </w:rPr>
        <w:t xml:space="preserve">67087921</w:t>
      </w:r>
      <w:r>
        <w:rPr>
          <w:rFonts w:hint="eastAsia" w:ascii="宋体" w:hAnsi="宋体" w:eastAsia="宋体" w:cs="宋体"/>
          <w:color w:val="000000"/>
          <w:sz w:val="21"/>
          <w:szCs w:val="21"/>
          <w:highlight w:val="none"/>
          <w:lang w:val="zh-CN"/>
        </w:rPr>
      </w:r>
      <w:r/>
    </w:p>
    <w:p>
      <w:pPr>
        <w:pStyle w:val="1008"/>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val="zh-CN"/>
        </w:rPr>
        <w:t xml:space="preserve">苏州市吴中区吴中大道70号6楼</w:t>
      </w:r>
      <w:r>
        <w:rPr>
          <w:rFonts w:hint="eastAsia" w:ascii="宋体" w:hAnsi="宋体" w:eastAsia="宋体" w:cs="宋体"/>
          <w:color w:val="000000"/>
          <w:sz w:val="21"/>
          <w:szCs w:val="21"/>
          <w:highlight w:val="none"/>
          <w:lang w:val="zh-CN"/>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10. 勘察现场</w:t>
      </w:r>
      <w:r>
        <w:rPr>
          <w:rFonts w:hint="eastAsia" w:ascii="宋体" w:hAnsi="宋体" w:cs="宋体"/>
          <w:b/>
          <w:color w:val="000000"/>
          <w:sz w:val="21"/>
          <w:szCs w:val="21"/>
          <w:highlight w:val="none"/>
        </w:rPr>
      </w:r>
      <w:r/>
    </w:p>
    <w:p>
      <w:pPr>
        <w:pStyle w:val="1008"/>
        <w:ind w:firstLine="2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.1勘察现场（勘察现场产生的费用由各投标单位自行承担）：</w:t>
      </w:r>
      <w:r>
        <w:rPr>
          <w:rFonts w:hint="eastAsia" w:ascii="宋体" w:hAnsi="宋体" w:cs="宋体"/>
          <w:color w:val="000000"/>
          <w:sz w:val="21"/>
          <w:szCs w:val="21"/>
          <w:highlight w:val="none"/>
        </w:rPr>
        <w:t xml:space="preserve">为更好地了解现场情况，各投标供应商可自行现场踏勘，未踏勘现场的供应商中标后，不得以不完全了解现场情况为理由而向采购单位提出任何索赔或其他要求，对此采购单位不承担任何责任并将不作任何答复。</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四、投标文件说明</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11. 提示与要求</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11.1投标单位应仔细阅读招标文件的所有内容，按招标文件的要求提供投标文件，并保证所提供的全部资料的真实性，以使其投标对招标文件做出实质性响应，否则，其投标可能被拒绝。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11.2无论是否递交投标文件，投标单位都应将招标文件及以后的所有通知、文件等视为保密文件。</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12. 投标文件计量单位和使用文字</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12.1投标文件中所使用的计量单位，除招标文件中有特殊要求外，均应使用中华人民共和国法定计量单位。</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13. 投标文件的组成</w:t>
      </w:r>
      <w:r>
        <w:rPr>
          <w:rFonts w:hint="eastAsia" w:ascii="宋体" w:hAnsi="宋体" w:cs="宋体"/>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一</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文件组成（部分格式见附件）</w:t>
      </w:r>
      <w:r>
        <w:rPr>
          <w:rFonts w:hint="eastAsia" w:ascii="宋体" w:hAnsi="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13.1</w:t>
      </w:r>
      <w:r>
        <w:rPr>
          <w:rFonts w:hint="eastAsia" w:ascii="宋体" w:hAnsi="宋体" w:cs="宋体"/>
          <w:b/>
          <w:bCs/>
          <w:color w:val="000000"/>
          <w:sz w:val="21"/>
          <w:szCs w:val="21"/>
          <w:highlight w:val="none"/>
        </w:rPr>
        <w:t xml:space="preserve">封面</w:t>
      </w:r>
      <w:r>
        <w:rPr>
          <w:rFonts w:hint="eastAsia" w:ascii="宋体" w:hAnsi="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13.2</w:t>
      </w:r>
      <w:r>
        <w:rPr>
          <w:rFonts w:hint="eastAsia" w:ascii="宋体" w:hAnsi="宋体" w:cs="宋体"/>
          <w:b/>
          <w:bCs/>
          <w:color w:val="000000"/>
          <w:sz w:val="21"/>
          <w:szCs w:val="21"/>
          <w:highlight w:val="none"/>
        </w:rPr>
        <w:t xml:space="preserve">开标一览表</w:t>
      </w:r>
      <w:r>
        <w:rPr>
          <w:rFonts w:hint="eastAsia" w:ascii="宋体" w:hAnsi="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投标分项报价表（格式见附件）；</w:t>
      </w:r>
      <w:r>
        <w:rPr>
          <w:rFonts w:hint="eastAsia" w:ascii="宋体" w:hAnsi="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13.4</w:t>
      </w:r>
      <w:r>
        <w:rPr>
          <w:rFonts w:hint="eastAsia" w:ascii="宋体" w:hAnsi="宋体" w:cs="宋体"/>
          <w:b/>
          <w:bCs/>
          <w:color w:val="000000"/>
          <w:sz w:val="21"/>
          <w:szCs w:val="21"/>
          <w:highlight w:val="none"/>
          <w:lang w:val="en-US" w:eastAsia="zh-CN"/>
        </w:rPr>
        <w:t xml:space="preserve">资格审查文件</w:t>
      </w:r>
      <w:r>
        <w:rPr>
          <w:rFonts w:hint="eastAsia" w:ascii="宋体" w:hAnsi="宋体" w:cs="宋体"/>
          <w:b/>
          <w:bCs/>
          <w:color w:val="000000"/>
          <w:sz w:val="21"/>
          <w:szCs w:val="21"/>
          <w:highlight w:val="none"/>
        </w:rPr>
      </w:r>
      <w:r/>
    </w:p>
    <w:p>
      <w:pPr>
        <w:pStyle w:val="103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lang w:val="en-US" w:eastAsia="zh-CN"/>
        </w:rPr>
        <w:t xml:space="preserve">4.1合格投标方资格证明材料</w:t>
      </w:r>
      <w:r>
        <w:rPr>
          <w:rFonts w:hint="eastAsia" w:ascii="宋体" w:hAnsi="宋体" w:eastAsia="宋体" w:cs="宋体"/>
          <w:color w:val="000000"/>
          <w:sz w:val="21"/>
          <w:szCs w:val="21"/>
          <w:highlight w:val="none"/>
          <w:lang w:val="zh-CN"/>
        </w:rPr>
      </w:r>
      <w:r/>
    </w:p>
    <w:p>
      <w:pPr>
        <w:pStyle w:val="1008"/>
        <w:ind w:firstLine="315"/>
        <w:keepLines w:val="0"/>
        <w:keepNext w:val="0"/>
        <w:pageBreakBefore w:val="0"/>
        <w:spacing w:line="360" w:lineRule="auto"/>
        <w:widowControl/>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zh-CN"/>
        </w:rPr>
        <w:t xml:space="preserve">）具有独立承担民事责任的能力证明：包括法人或者其他组织的营业执照等证明文件，自然人的身份证明；</w:t>
      </w:r>
      <w:r>
        <w:rPr>
          <w:rFonts w:hint="eastAsia" w:ascii="宋体" w:hAnsi="宋体" w:cs="宋体"/>
          <w:color w:val="000000"/>
          <w:sz w:val="21"/>
          <w:szCs w:val="21"/>
          <w:highlight w:val="none"/>
          <w:lang w:val="zh-CN"/>
        </w:rPr>
      </w:r>
      <w:r/>
    </w:p>
    <w:p>
      <w:pPr>
        <w:pStyle w:val="1008"/>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具有良好的商业信誉和健全的财务会计制度证明：提供参加本次采购活动前的最新一期经审计的财务报告或企业财务报表（202</w:t>
      </w:r>
      <w:r>
        <w:rPr>
          <w:rFonts w:hint="eastAsia" w:ascii="宋体" w:hAnsi="宋体" w:cs="宋体"/>
          <w:color w:val="000000"/>
          <w:sz w:val="21"/>
          <w:szCs w:val="21"/>
          <w:highlight w:val="none"/>
          <w:lang w:val="zh-CN" w:eastAsia="zh-CN"/>
        </w:rPr>
        <w:t xml:space="preserve">4</w:t>
      </w:r>
      <w:r>
        <w:rPr>
          <w:rFonts w:hint="eastAsia" w:ascii="宋体" w:hAnsi="宋体" w:cs="宋体"/>
          <w:color w:val="000000"/>
          <w:sz w:val="21"/>
          <w:szCs w:val="21"/>
          <w:highlight w:val="none"/>
          <w:lang w:val="zh-CN"/>
        </w:rPr>
        <w:t xml:space="preserve">年度或202</w:t>
      </w:r>
      <w:r>
        <w:rPr>
          <w:rFonts w:hint="eastAsia" w:ascii="宋体" w:hAnsi="宋体" w:cs="宋体"/>
          <w:color w:val="000000"/>
          <w:sz w:val="21"/>
          <w:szCs w:val="21"/>
          <w:highlight w:val="none"/>
          <w:lang w:val="zh-CN" w:eastAsia="zh-CN"/>
        </w:rPr>
        <w:t xml:space="preserve">5</w:t>
      </w:r>
      <w:r>
        <w:rPr>
          <w:rFonts w:hint="eastAsia" w:ascii="宋体" w:hAnsi="宋体" w:cs="宋体"/>
          <w:color w:val="000000"/>
          <w:sz w:val="21"/>
          <w:szCs w:val="21"/>
          <w:highlight w:val="none"/>
          <w:lang w:val="zh-CN"/>
        </w:rPr>
        <w:t xml:space="preserve">年度）或其他组织、自然人及成立未满一年的法人提供基本开户银行出具的资信证明；</w:t>
      </w:r>
      <w:r>
        <w:rPr>
          <w:rFonts w:hint="eastAsia" w:ascii="宋体" w:hAnsi="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val="zh-CN"/>
        </w:rPr>
        <w:t xml:space="preserve">证明材料或承诺；</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有依法缴纳税收和社会保障资金的良好记录：提供参加本次采购活动前的最新一期的依法缴纳税收的凭据和依法缴纳社会保险的凭据（专用收据或社会保险缴纳清单），依法免税或不需要缴纳社会保障资金的供应商，应提供对应证明文件；</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参加政府采购活动前三年内在经营活动中没有重大违法记录的书面声明函；</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（6）法律、行政法规规定的其他条件：提供书面声明函（格式自拟）；</w:t>
      </w:r>
      <w:r>
        <w:rPr>
          <w:rFonts w:hint="eastAsia" w:ascii="宋体" w:hAnsi="宋体" w:eastAsia="宋体" w:cs="宋体"/>
          <w:color w:val="000000"/>
          <w:sz w:val="21"/>
          <w:szCs w:val="21"/>
          <w:highlight w:val="none"/>
          <w:lang w:val="en-US" w:eastAsia="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《中小微企业声明函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残疾人福利性单位声明函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监狱企业证明文件》；（如涉及残疾人福利性单位、监狱企业视同小微企业）</w:t>
      </w:r>
      <w:r>
        <w:rPr>
          <w:rFonts w:hint="eastAsia" w:ascii="宋体" w:hAnsi="宋体" w:eastAsia="宋体" w:cs="宋体"/>
          <w:color w:val="000000"/>
          <w:sz w:val="21"/>
          <w:szCs w:val="21"/>
          <w:highlight w:val="none"/>
          <w:lang w:val="zh-CN"/>
        </w:rPr>
        <w:t xml:space="preserve">；（本项目专门面向中小企业采购。所属行业为</w:t>
      </w: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zh-CN"/>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根据供应商的实际情况提供或承诺</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根据供应商的实际情况提供或承诺</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eastAsia="zh-CN"/>
        </w:rPr>
        <w:t xml:space="preserve">法人的分支机构不得参加本项目的采购活动（除银行、保险、石油石化、电力、电信等行业特殊情况外）。根据供应商的实际情况提供或承诺。</w:t>
      </w:r>
      <w:r>
        <w:rPr>
          <w:rFonts w:hint="eastAsia" w:ascii="宋体" w:hAnsi="宋体" w:eastAsia="宋体" w:cs="宋体"/>
          <w:color w:val="000000"/>
          <w:sz w:val="21"/>
          <w:szCs w:val="21"/>
          <w:highlight w:val="none"/>
          <w:lang w:val="zh-CN"/>
        </w:rPr>
      </w:r>
      <w:r/>
    </w:p>
    <w:p>
      <w:pPr>
        <w:pStyle w:val="1008"/>
        <w:ind w:firstLine="316"/>
        <w:keepLines w:val="0"/>
        <w:keepNext w:val="0"/>
        <w:pageBreakBefore w:val="0"/>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13.</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符合性审查文件</w:t>
      </w:r>
      <w:r>
        <w:rPr>
          <w:rFonts w:hint="eastAsia" w:ascii="宋体" w:hAnsi="宋体" w:cs="宋体"/>
          <w:b/>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商务条款偏离表（格式见附件）；</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2技术参数偏离表</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投标货物和服务数量、品牌、规格、质保期限说明表（本表格中不得出现价格）（格式见附件）</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投标函（格式见附件）；</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投标人基本情况表（格式见附件）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13.5.6</w:t>
      </w:r>
      <w:r>
        <w:rPr>
          <w:rFonts w:hint="eastAsia" w:ascii="宋体" w:hAnsi="宋体" w:eastAsia="宋体" w:cs="宋体"/>
          <w:color w:val="000000"/>
          <w:sz w:val="21"/>
          <w:szCs w:val="21"/>
          <w:highlight w:val="none"/>
        </w:rPr>
        <w:t xml:space="preserve">关于资格文件的声明函；</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13.5.7</w:t>
      </w:r>
      <w:r>
        <w:rPr>
          <w:rFonts w:hint="eastAsia" w:ascii="宋体" w:hAnsi="宋体" w:eastAsia="宋体" w:cs="宋体"/>
          <w:color w:val="000000"/>
          <w:sz w:val="21"/>
          <w:szCs w:val="21"/>
          <w:highlight w:val="none"/>
        </w:rPr>
        <w:t xml:space="preserve">投标人法定代表人身份证复印件；法定代表人授权委托书（如有授权，格式见</w:t>
      </w:r>
      <w:r>
        <w:rPr>
          <w:rFonts w:hint="eastAsia" w:ascii="宋体" w:hAnsi="宋体" w:eastAsia="宋体" w:cs="宋体"/>
          <w:color w:val="000000"/>
          <w:sz w:val="21"/>
          <w:szCs w:val="21"/>
          <w:highlight w:val="none"/>
          <w:lang w:val="en-US" w:eastAsia="zh-CN"/>
        </w:rPr>
        <w:t xml:space="preserve">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投标人授权代理人身份证复印件（如有授权）；</w:t>
      </w:r>
      <w:r>
        <w:rPr>
          <w:rFonts w:hint="eastAsia" w:ascii="宋体" w:hAnsi="宋体" w:eastAsia="宋体" w:cs="宋体"/>
          <w:color w:val="000000"/>
          <w:sz w:val="21"/>
          <w:szCs w:val="21"/>
          <w:highlight w:val="none"/>
        </w:rPr>
      </w:r>
      <w:r/>
    </w:p>
    <w:p>
      <w:pPr>
        <w:pStyle w:val="1030"/>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投标（响应）保证承诺书（必须提供，不提供视为无效标）；</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对属于《节能产品政府采购品目清单》政府强制采购产品的，需提供该产品有效期内的认证等相关证明材料（如有）；</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其他有关符合性证明的文件（实质性条款响应证明等）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综合评审文件</w:t>
      </w:r>
      <w:r>
        <w:rPr>
          <w:rFonts w:hint="eastAsia" w:ascii="宋体" w:hAnsi="宋体" w:cs="宋体"/>
          <w:b/>
          <w:bCs/>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.1</w:t>
      </w:r>
      <w:r>
        <w:rPr>
          <w:rStyle w:val="1166"/>
          <w:rFonts w:ascii="宋体" w:hAnsi="宋体"/>
          <w:color w:val="000000"/>
          <w:szCs w:val="21"/>
          <w:highlight w:val="none"/>
        </w:rPr>
        <w:t xml:space="preserve">质保期内备品备件、易损件一览表</w:t>
      </w:r>
      <w:r>
        <w:rPr>
          <w:rStyle w:val="1166"/>
          <w:rFonts w:ascii="宋体"/>
          <w:color w:val="000000"/>
          <w:szCs w:val="21"/>
          <w:highlight w:val="none"/>
        </w:rPr>
        <w:t xml:space="preserve">；</w:t>
      </w:r>
      <w:r>
        <w:rPr>
          <w:rStyle w:val="1166"/>
          <w:rFonts w:ascii="宋体" w:hAnsi="宋体"/>
          <w:color w:val="000000"/>
          <w:szCs w:val="21"/>
          <w:highlight w:val="none"/>
        </w:rPr>
        <w:t xml:space="preserve">质保期满后备品备件、易损件报价表</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2</w:t>
      </w:r>
      <w:r>
        <w:rPr>
          <w:rStyle w:val="1166"/>
          <w:rFonts w:ascii="宋体" w:hAnsi="宋体"/>
          <w:color w:val="000000"/>
          <w:szCs w:val="21"/>
          <w:highlight w:val="none"/>
        </w:rPr>
        <w:t xml:space="preserve">技术服务方案（</w:t>
      </w:r>
      <w:r>
        <w:rPr>
          <w:rStyle w:val="1166"/>
          <w:rFonts w:hint="eastAsia" w:ascii="宋体" w:hAnsi="宋体"/>
          <w:color w:val="000000"/>
          <w:szCs w:val="21"/>
          <w:highlight w:val="none"/>
          <w:lang w:val="en-US"/>
        </w:rPr>
        <w:t xml:space="preserve">详见评分标准</w:t>
      </w:r>
      <w:r>
        <w:rPr>
          <w:rStyle w:val="1166"/>
          <w:rFonts w:ascii="宋体" w:hAnsi="宋体"/>
          <w:color w:val="000000"/>
          <w:szCs w:val="21"/>
          <w:highlight w:val="none"/>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投标单位类似业绩情况（格式见附件）；</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4项目组人员表（格式见附件）</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13.6.5与此次招标有关的其他证明材料。</w:t>
      </w:r>
      <w:r>
        <w:rPr>
          <w:rFonts w:hint="eastAsia" w:ascii="宋体" w:hAnsi="宋体" w:cs="宋体"/>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w:t>
      </w:r>
      <w:r>
        <w:rPr>
          <w:rFonts w:hint="eastAsia" w:ascii="宋体" w:hAnsi="宋体" w:cs="宋体"/>
          <w:b/>
          <w:bCs/>
          <w:color w:val="000000"/>
          <w:sz w:val="21"/>
          <w:szCs w:val="21"/>
          <w:highlight w:val="none"/>
          <w:lang w:val="en-US" w:eastAsia="zh-CN"/>
        </w:rPr>
        <w:t xml:space="preserve">7价格折扣响应文件</w:t>
      </w:r>
      <w:r>
        <w:rPr>
          <w:rFonts w:hint="eastAsia" w:ascii="宋体" w:hAnsi="宋体" w:cs="宋体"/>
          <w:b/>
          <w:bCs/>
          <w:color w:val="000000"/>
          <w:sz w:val="21"/>
          <w:szCs w:val="21"/>
          <w:highlight w:val="none"/>
        </w:rPr>
      </w:r>
      <w:r/>
    </w:p>
    <w:p>
      <w:pPr>
        <w:pStyle w:val="1008"/>
        <w:ind w:firstLine="42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13.7.1《中小企业声明函》《残疾人福利性单位声明函》《监狱企业证明文件》；（如涉及残疾人福利性单位、监狱企业视同小微企业）；（本项目专门面向中小企业采购。所属行业为工业。响应单位必须为中小微企业或残疾人福利性单位或监狱企业，并在响应文件中提供相关声明函或监狱企业证明文件，否则为无效投标）</w:t>
      </w:r>
      <w:r>
        <w:rPr>
          <w:rFonts w:hint="eastAsia" w:ascii="宋体" w:hAnsi="宋体" w:cs="宋体"/>
          <w:color w:val="000000"/>
          <w:sz w:val="21"/>
          <w:szCs w:val="21"/>
          <w:highlight w:val="none"/>
          <w:lang w:val="en-US" w:eastAsia="zh-CN"/>
        </w:rPr>
      </w:r>
      <w:r/>
    </w:p>
    <w:p>
      <w:pPr>
        <w:pStyle w:val="1008"/>
        <w:ind w:firstLine="42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13.7.2关于符合本国产品标准的声明函。（如有）</w:t>
      </w:r>
      <w:r>
        <w:rPr>
          <w:rFonts w:hint="eastAsia" w:ascii="宋体" w:hAnsi="宋体" w:cs="宋体"/>
          <w:color w:val="000000"/>
          <w:sz w:val="21"/>
          <w:szCs w:val="21"/>
          <w:highlight w:val="none"/>
          <w:lang w:val="en-US" w:eastAsia="zh-CN"/>
        </w:rPr>
      </w:r>
      <w:r/>
    </w:p>
    <w:p>
      <w:pPr>
        <w:pStyle w:val="1008"/>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注：（1）以上1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.4为资格审查要求提供的材料，是作为对投标</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rPr>
        <w:t xml:space="preserve">资格审查、质疑身份认定的依据，投标人必须提供并加盖电子公章。否则，投标文件将被认定为不符合资格审查要求。</w:t>
      </w:r>
      <w:r>
        <w:rPr>
          <w:rFonts w:hint="eastAsia" w:ascii="宋体" w:hAnsi="宋体" w:eastAsia="宋体" w:cs="宋体"/>
          <w:b/>
          <w:color w:val="000000"/>
          <w:sz w:val="21"/>
          <w:szCs w:val="21"/>
          <w:highlight w:val="none"/>
        </w:rPr>
      </w:r>
      <w:r/>
    </w:p>
    <w:p>
      <w:pPr>
        <w:pStyle w:val="1008"/>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（2）以上1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.5为符合性审查须提供的资料，投标人必须提供并加盖电子公章。否则，投标文件将被认定为未实质性响应。</w:t>
      </w:r>
      <w:r>
        <w:rPr>
          <w:rFonts w:hint="eastAsia" w:ascii="宋体" w:hAnsi="宋体" w:eastAsia="宋体" w:cs="宋体"/>
          <w:b/>
          <w:color w:val="000000"/>
          <w:sz w:val="21"/>
          <w:szCs w:val="21"/>
          <w:highlight w:val="none"/>
        </w:rPr>
      </w:r>
      <w:r/>
    </w:p>
    <w:p>
      <w:pPr>
        <w:pStyle w:val="1008"/>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.4-1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rPr>
        <w:t xml:space="preserve">”中不得出现投标总报价。投标人所提交的资料的完整与否，将直接影响投标人的评分。</w:t>
      </w:r>
      <w:r>
        <w:rPr>
          <w:rFonts w:hint="eastAsia" w:ascii="宋体" w:hAnsi="宋体" w:eastAsia="宋体" w:cs="宋体"/>
          <w:b/>
          <w:color w:val="000000"/>
          <w:sz w:val="21"/>
          <w:szCs w:val="21"/>
          <w:highlight w:val="none"/>
        </w:rPr>
      </w:r>
      <w:r/>
    </w:p>
    <w:p>
      <w:pPr>
        <w:pStyle w:val="1008"/>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（4）制作电子投标文件时必须与投标文件制作软件目录一一对应，将相关资料上传至相应模块。</w:t>
      </w:r>
      <w:r>
        <w:rPr>
          <w:rFonts w:hint="eastAsia" w:ascii="宋体" w:hAnsi="宋体" w:eastAsia="宋体" w:cs="宋体"/>
          <w:b/>
          <w:color w:val="000000"/>
          <w:sz w:val="21"/>
          <w:szCs w:val="21"/>
          <w:highlight w:val="none"/>
        </w:rPr>
      </w:r>
      <w:r/>
    </w:p>
    <w:p>
      <w:pPr>
        <w:pStyle w:val="1008"/>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（5）开评标过程中如有问题采购代理机构工作人员会及时通过《投标供应商确认函》留存的手机号与投标</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rPr>
        <w:t xml:space="preserve">联系。请投标</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rPr>
        <w:t xml:space="preserve">确保该手机号通讯畅通，否则导致的不利后果由投标</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rPr>
        <w:t xml:space="preserve">自行承担。</w:t>
      </w:r>
      <w:r>
        <w:rPr>
          <w:rFonts w:hint="eastAsia" w:ascii="宋体" w:hAnsi="宋体" w:eastAsia="宋体" w:cs="宋体"/>
          <w:b/>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u w:val="single"/>
        </w:rPr>
      </w:pPr>
      <w:r>
        <w:rPr>
          <w:rFonts w:hint="eastAsia" w:ascii="宋体" w:hAnsi="宋体" w:cs="宋体"/>
          <w:b/>
          <w:color w:val="000000"/>
          <w:sz w:val="21"/>
          <w:szCs w:val="21"/>
          <w:highlight w:val="none"/>
          <w:lang w:val="en-US" w:eastAsia="zh-CN"/>
        </w:rPr>
        <w:t xml:space="preserve">（</w:t>
      </w: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lang w:val="en-US" w:eastAsia="zh-CN"/>
        </w:rPr>
        <w:t xml:space="preserve">）</w:t>
      </w:r>
      <w:r>
        <w:rPr>
          <w:rFonts w:hint="eastAsia" w:ascii="宋体" w:hAnsi="宋体" w:cs="宋体"/>
          <w:b/>
          <w:bCs/>
          <w:color w:val="000000"/>
          <w:sz w:val="21"/>
          <w:szCs w:val="21"/>
          <w:highlight w:val="none"/>
        </w:rPr>
        <w:t xml:space="preserve">投</w:t>
      </w:r>
      <w:r>
        <w:rPr>
          <w:rFonts w:hint="eastAsia" w:ascii="宋体" w:hAnsi="宋体" w:cs="宋体"/>
          <w:b/>
          <w:color w:val="000000"/>
          <w:sz w:val="21"/>
          <w:szCs w:val="21"/>
          <w:highlight w:val="none"/>
        </w:rPr>
        <w:t xml:space="preserve">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b/>
          <w:color w:val="000000"/>
          <w:sz w:val="21"/>
          <w:szCs w:val="21"/>
          <w:highlight w:val="none"/>
          <w:u w:val="single"/>
        </w:rPr>
        <w:t xml:space="preserve">上述文件内容分类如与电子文件内的编排顺序不一致，以软件格式中的顺序为准。</w:t>
      </w:r>
      <w:r>
        <w:rPr>
          <w:rFonts w:hint="eastAsia" w:ascii="宋体" w:hAnsi="宋体" w:cs="宋体"/>
          <w:b/>
          <w:bCs/>
          <w:color w:val="000000"/>
          <w:sz w:val="21"/>
          <w:szCs w:val="21"/>
          <w:highlight w:val="none"/>
          <w:u w:val="singl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14.</w:t>
      </w:r>
      <w:r>
        <w:rPr>
          <w:rFonts w:hint="eastAsia" w:hAnsi="宋体" w:cs="宋体"/>
          <w:b/>
          <w:bCs/>
          <w:color w:val="000000"/>
          <w:sz w:val="21"/>
          <w:szCs w:val="21"/>
          <w:highlight w:val="none"/>
          <w:lang w:val="zh-CN"/>
        </w:rPr>
        <w:t xml:space="preserve">投标文件编制要求</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.1投标文件按统一格式、顺序编写。</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.2《开标一览表》为在开标仪式上唱标的内容，要求按格式填写，统一规范，不得自行增减内容。</w:t>
      </w:r>
      <w:r>
        <w:rPr>
          <w:rFonts w:hint="eastAsia" w:ascii="宋体" w:hAnsi="宋体" w:eastAsia="宋体" w:cs="宋体"/>
          <w:color w:val="000000"/>
          <w:sz w:val="21"/>
          <w:szCs w:val="21"/>
          <w:highlight w:val="none"/>
          <w:lang w:val="zh-CN"/>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15. 投标报价（编制）要求的说明</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15.1除非合同中另有规定，投标单位对《投标分项报价表》 中的全部货物和服务的报价应包括招标文件规定的各项应有费用，投标报价为最终报价，除非因特殊原因并经买卖双方协商同意，投标单位不得再要求追加任何费用。同时，除非合同条款中另有规定，否则，投标单位所报价格在合同实施期间不因市场变化因素而变动。</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15.2《开标一览表》由法定代表人或委托代理人签署。</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15.3投标单位应对招标文件内所要采购的全部内容进行报价，只投其中部分内容者，其标书将被拒绝。但如果招标文件要求分标段投标的，则投标单位可以按招标文件要求有选择地只投其中一个或几个标段，也可以投全部标段，但各标段应分别计算填写单价和总价。</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15.4 本项目投标内容只允许一个报价，招标代理机构不接受任何有选择性的投标报价。</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15.5投标文件报价中的单价和总价全部采用人民币表示，除非合同的特殊条款另有规定。</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15.6最低的投标报价是中标的重要条件但不是唯一条件。</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16. 投标保证金</w:t>
      </w:r>
      <w:r>
        <w:rPr>
          <w:rFonts w:hint="eastAsia" w:ascii="宋体" w:hAnsi="宋体" w:cs="宋体"/>
          <w:b/>
          <w:color w:val="000000"/>
          <w:sz w:val="21"/>
          <w:szCs w:val="21"/>
          <w:highlight w:val="none"/>
        </w:rPr>
      </w:r>
      <w:r/>
    </w:p>
    <w:p>
      <w:pPr>
        <w:pStyle w:val="1008"/>
        <w:ind w:firstLine="422"/>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无，但须提供《投标（响应）保证承诺书》（格式见招标文件附件）</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17. 投标文件的有效期</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17.1自开标日起90天内，投标书应保持有效。有效期短于这个规定期限的投标，将被拒绝。</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17.2在特殊情况下，招标代理机构可与投标单位协商延长投标书的有效期。这种要求和答复都应以书面、传真的形式进行。投标人可以拒绝这一要求而放弃投标。同意延长投标有效期的投标人既不能要求也不允许修改其投标文件。受投标有效期约束的所有权利与义务均延长至新的有效期。</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18. 投标文件的制作、签署、上传</w:t>
      </w:r>
      <w:r>
        <w:rPr>
          <w:rFonts w:hint="eastAsia" w:ascii="宋体" w:hAnsi="宋体" w:cs="宋体"/>
          <w:b/>
          <w:color w:val="000000"/>
          <w:sz w:val="21"/>
          <w:szCs w:val="21"/>
          <w:highlight w:val="none"/>
        </w:rPr>
      </w:r>
      <w:r/>
    </w:p>
    <w:p>
      <w:pPr>
        <w:pStyle w:val="1087"/>
        <w:ind w:left="0"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.1本项目采用电子招投标形式，请供应商按照《苏采云系统供应商操作手册》进行制作、上传电子投标文件。</w:t>
      </w:r>
      <w:r>
        <w:rPr>
          <w:rFonts w:hint="eastAsia" w:ascii="宋体" w:hAnsi="宋体" w:eastAsia="宋体" w:cs="宋体"/>
          <w:color w:val="000000"/>
          <w:sz w:val="21"/>
          <w:szCs w:val="21"/>
          <w:highlight w:val="none"/>
        </w:rPr>
      </w:r>
      <w:r/>
    </w:p>
    <w:p>
      <w:pPr>
        <w:pStyle w:val="1087"/>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.2制作电子投标文件时，应按照招标文件要求加盖投标人电子公章。</w:t>
      </w:r>
      <w:r>
        <w:rPr>
          <w:rFonts w:hint="eastAsia" w:ascii="宋体" w:hAnsi="宋体" w:eastAsia="宋体" w:cs="宋体"/>
          <w:color w:val="000000"/>
          <w:sz w:val="21"/>
          <w:szCs w:val="21"/>
          <w:highlight w:val="none"/>
        </w:rPr>
      </w:r>
      <w:r/>
    </w:p>
    <w:p>
      <w:pPr>
        <w:pStyle w:val="1087"/>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w:t>
      </w:r>
      <w:r>
        <w:rPr>
          <w:rFonts w:hint="eastAsia" w:ascii="宋体" w:hAnsi="宋体" w:eastAsia="宋体" w:cs="宋体"/>
          <w:b/>
          <w:bCs/>
          <w:color w:val="000000"/>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五、投标文件的递交</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19. 投标文件的</w:t>
      </w:r>
      <w:r>
        <w:rPr>
          <w:rFonts w:hint="eastAsia" w:cs="宋体"/>
          <w:b/>
          <w:color w:val="000000"/>
          <w:sz w:val="21"/>
          <w:szCs w:val="21"/>
          <w:highlight w:val="none"/>
        </w:rPr>
        <w:t xml:space="preserve">制作、签署、上传</w:t>
      </w:r>
      <w:r>
        <w:rPr>
          <w:rFonts w:hint="eastAsia" w:ascii="宋体" w:hAnsi="宋体" w:cs="宋体"/>
          <w:b/>
          <w:color w:val="000000"/>
          <w:sz w:val="21"/>
          <w:szCs w:val="21"/>
          <w:highlight w:val="none"/>
        </w:rPr>
      </w:r>
      <w:r/>
    </w:p>
    <w:p>
      <w:pPr>
        <w:pStyle w:val="1087"/>
        <w:ind w:firstLine="420"/>
        <w:rPr>
          <w:rFonts w:hint="eastAsia" w:cs="宋体"/>
          <w:color w:val="000000"/>
          <w:sz w:val="21"/>
          <w:szCs w:val="21"/>
          <w:highlight w:val="none"/>
        </w:rPr>
      </w:pPr>
      <w:r>
        <w:rPr>
          <w:rFonts w:hint="eastAsia" w:cs="宋体"/>
          <w:color w:val="000000"/>
          <w:sz w:val="21"/>
          <w:szCs w:val="21"/>
          <w:highlight w:val="none"/>
        </w:rPr>
        <w:t xml:space="preserve">1</w:t>
      </w:r>
      <w:r>
        <w:rPr>
          <w:rFonts w:hint="eastAsia" w:cs="宋体"/>
          <w:color w:val="000000"/>
          <w:sz w:val="21"/>
          <w:szCs w:val="21"/>
          <w:highlight w:val="none"/>
          <w:lang w:val="en-US" w:eastAsia="zh-CN"/>
        </w:rPr>
        <w:t xml:space="preserve">9</w:t>
      </w:r>
      <w:r>
        <w:rPr>
          <w:rFonts w:hint="eastAsia" w:cs="宋体"/>
          <w:color w:val="000000"/>
          <w:sz w:val="21"/>
          <w:szCs w:val="21"/>
          <w:highlight w:val="none"/>
        </w:rPr>
        <w:t xml:space="preserve">.1投标人应当在投标截止时间前制作并上传电子投标文件。</w:t>
      </w:r>
      <w:r>
        <w:rPr>
          <w:rFonts w:hint="eastAsia" w:cs="宋体"/>
          <w:color w:val="000000"/>
          <w:sz w:val="21"/>
          <w:szCs w:val="21"/>
          <w:highlight w:val="none"/>
        </w:rPr>
      </w:r>
      <w:r/>
    </w:p>
    <w:p>
      <w:pPr>
        <w:pStyle w:val="1169"/>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.2投标人通过</w:t>
      </w:r>
      <w:r>
        <w:rPr>
          <w:rFonts w:hint="eastAsia" w:ascii="宋体" w:hAnsi="宋体" w:cs="宋体"/>
          <w:b/>
          <w:color w:val="000000"/>
          <w:sz w:val="21"/>
          <w:szCs w:val="21"/>
          <w:highlight w:val="none"/>
        </w:rPr>
        <w:t xml:space="preserve">“苏采云”系统不见面开标大厅在线参与开标活动。（具体操作详见《苏采云系统供应商操作手册》，网址链接https://czju.suzhou.gov.cn/zfcg/html/content/20231220161910031.shtml）</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20. 投标截止时间</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20.1投标文件必须在投标截止时间前提交。</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20.2招标代理机构推迟投标截止时间时，应以网站公示的形式，通知所有投标单位。在这种情况下，招标代理机构和投标单位的权利和义务将受到新的截止期的约束。</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20.3在投标截止时间以后提交的投标文件，招标代理机构拒绝接收。</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20.4在投标截止时间止招标代理机构收到的投标文件少于三份，招标代理机构有权宣布本次招标失败。</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21. 投标文件的补充、修改和撤回</w:t>
      </w:r>
      <w:r>
        <w:rPr>
          <w:rFonts w:hint="eastAsia" w:ascii="宋体" w:hAnsi="宋体" w:cs="宋体"/>
          <w:b/>
          <w:color w:val="000000"/>
          <w:sz w:val="21"/>
          <w:szCs w:val="21"/>
          <w:highlight w:val="none"/>
        </w:rPr>
      </w:r>
      <w:r/>
    </w:p>
    <w:p>
      <w:pPr>
        <w:pStyle w:val="1087"/>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.1投标人在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前，可以对其电子投标文件进行补充、修改，具体操作方法见</w:t>
      </w:r>
      <w:r>
        <w:rPr>
          <w:rFonts w:hint="eastAsia" w:ascii="宋体" w:hAnsi="宋体" w:eastAsia="宋体"/>
          <w:color w:val="000000"/>
          <w:sz w:val="21"/>
          <w:szCs w:val="21"/>
          <w:highlight w:val="none"/>
        </w:rPr>
        <w:t xml:space="preserve">《苏采云系统供应商操作手册》</w:t>
      </w:r>
      <w:r>
        <w:rPr>
          <w:rFonts w:hint="eastAsia" w:ascii="宋体" w:hAnsi="宋体" w:cs="宋体"/>
          <w:color w:val="000000"/>
          <w:sz w:val="21"/>
          <w:szCs w:val="21"/>
          <w:highlight w:val="none"/>
        </w:rPr>
        <w:t xml:space="preserve">。在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之后，投标人不得对其电子投标文件作任何修改。</w:t>
      </w:r>
      <w:r>
        <w:rPr>
          <w:rFonts w:ascii="宋体" w:hAnsi="宋体" w:cs="宋体"/>
          <w:color w:val="000000"/>
          <w:sz w:val="21"/>
          <w:szCs w:val="21"/>
          <w:highlight w:val="none"/>
        </w:rPr>
      </w:r>
      <w:r/>
    </w:p>
    <w:p>
      <w:pPr>
        <w:pStyle w:val="1087"/>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.2投标人在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前，可以撤回其电子投标文件，具体操作方法见</w:t>
      </w:r>
      <w:r>
        <w:rPr>
          <w:rFonts w:hint="eastAsia" w:ascii="宋体" w:hAnsi="宋体" w:eastAsia="宋体"/>
          <w:color w:val="000000"/>
          <w:sz w:val="21"/>
          <w:szCs w:val="21"/>
          <w:highlight w:val="none"/>
        </w:rPr>
        <w:t xml:space="preserve">《苏采云系统供应商操作手册》</w:t>
      </w:r>
      <w:r>
        <w:rPr>
          <w:rFonts w:hint="eastAsia" w:ascii="宋体" w:hAnsi="宋体" w:cs="宋体"/>
          <w:color w:val="000000"/>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六、 开标和评标</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22. 开标</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.1开标由采购代理机构</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主持，邀请投标人</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参加。投标人应当按照《苏采云系统供应商操作手册》规定，</w:t>
      </w:r>
      <w:r>
        <w:rPr>
          <w:rFonts w:hint="eastAsia" w:ascii="宋体" w:hAnsi="宋体" w:eastAsia="宋体" w:cs="宋体"/>
          <w:b/>
          <w:bCs/>
          <w:color w:val="000000"/>
          <w:sz w:val="21"/>
          <w:szCs w:val="21"/>
          <w:highlight w:val="none"/>
          <w:lang w:val="zh-CN"/>
        </w:rPr>
        <w:t xml:space="preserve">参加开标活动和在“苏采云”系统规定的时间内对投标文件进行解密。</w:t>
      </w:r>
      <w:r>
        <w:rPr>
          <w:rFonts w:hint="eastAsia" w:ascii="宋体" w:hAnsi="宋体" w:eastAsia="宋体" w:cs="宋体"/>
          <w:color w:val="000000"/>
          <w:sz w:val="21"/>
          <w:szCs w:val="21"/>
          <w:highlight w:val="none"/>
          <w:lang w:val="zh-CN"/>
        </w:rPr>
        <w:t xml:space="preserve">评标委员会成员不得参加开标活动。</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.2开标时，由采购代理机构</w:t>
      </w:r>
      <w:r>
        <w:rPr>
          <w:rFonts w:hint="eastAsia" w:ascii="宋体" w:hAnsi="宋体" w:eastAsia="宋体" w:cs="宋体"/>
          <w:color w:val="000000"/>
          <w:sz w:val="21"/>
          <w:szCs w:val="21"/>
          <w:highlight w:val="none"/>
        </w:rPr>
        <w:t xml:space="preserve">通过“苏采云”系统在线</w:t>
      </w:r>
      <w:r>
        <w:rPr>
          <w:rFonts w:hint="eastAsia" w:ascii="宋体" w:hAnsi="宋体" w:eastAsia="宋体" w:cs="宋体"/>
          <w:color w:val="000000"/>
          <w:sz w:val="21"/>
          <w:szCs w:val="21"/>
          <w:highlight w:val="none"/>
          <w:lang w:val="zh-CN"/>
        </w:rPr>
        <w:t xml:space="preserve">宣布投标人名称、投标价格和招标文件规定的需要宣布的其他内容。</w:t>
      </w:r>
      <w:r>
        <w:rPr>
          <w:rFonts w:hint="eastAsia" w:ascii="宋体" w:hAnsi="宋体" w:eastAsia="宋体" w:cs="宋体"/>
          <w:color w:val="000000"/>
          <w:sz w:val="21"/>
          <w:szCs w:val="21"/>
          <w:highlight w:val="none"/>
        </w:rPr>
        <w:t xml:space="preserve">投标人在不见面开标系统中确认投标价格，如</w:t>
      </w:r>
      <w:r>
        <w:rPr>
          <w:rFonts w:hint="eastAsia" w:ascii="宋体" w:hAnsi="宋体" w:eastAsia="宋体" w:cs="宋体"/>
          <w:color w:val="000000"/>
          <w:sz w:val="21"/>
          <w:szCs w:val="21"/>
          <w:highlight w:val="none"/>
          <w:lang w:val="zh-CN"/>
        </w:rPr>
        <w:t xml:space="preserve">投标人未</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参加开标</w:t>
      </w:r>
      <w:r>
        <w:rPr>
          <w:rFonts w:hint="eastAsia" w:ascii="宋体" w:hAnsi="宋体" w:eastAsia="宋体" w:cs="宋体"/>
          <w:color w:val="000000"/>
          <w:sz w:val="21"/>
          <w:szCs w:val="21"/>
          <w:highlight w:val="none"/>
        </w:rPr>
        <w:t xml:space="preserve">或未在规定时间内确认价格</w:t>
      </w:r>
      <w:r>
        <w:rPr>
          <w:rFonts w:hint="eastAsia" w:ascii="宋体" w:hAnsi="宋体" w:eastAsia="宋体" w:cs="宋体"/>
          <w:color w:val="000000"/>
          <w:sz w:val="21"/>
          <w:szCs w:val="21"/>
          <w:highlight w:val="none"/>
          <w:lang w:val="zh-CN"/>
        </w:rPr>
        <w:t xml:space="preserve">的，视同认可开标结果。</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.3资格审查</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.3.1公开招标采购项目开标结束后，采购人或采购代理机构应当依法对投标人的资格进行审查，未通过资格审查的视为无效投标。</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23. 评标委员会或评标小组</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23.1评标委员会或评标小组（以下简称评标委员会）成员由招标采购单位负责依法组织组建。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23.2评标委员会或评标小组负责具体的评标事务，并独立履行以下职责：</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23.2.1审查、评价投标文件是否符合招标文件的商务、技术等实质性要求；</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23.2.2要求投标单位对投标文件有关事项作出澄清或者说明；</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23.2.3对投标文件进行比较和评价；</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23.2.4确定中标候选人名单，以及根据采购人委托直接确定中标人；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23.2.5向采购人、采购代理机构或者有关部门报告评标中发现的违法行为。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23.3评标委员会成员应当履行下列义务：</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23.3.1遵纪守法，客观、公正、廉洁地履行职责；</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23.3.2按照招标文件规定的评标办法和评标标准进行评标，对评审意见承担个人责任；</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23.3.3对评标过程和结果，以及投标单位的商业秘密保密；</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23.3.4参与评标报告的起草；</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23.3.5配合财政部门的投诉处理工作；</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23.3.6配合招标采购单位答复投标供应商提出的质疑。</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24. 评标内容的保密</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24.2在投标文件的审查、澄清、评价和比较以及授予合同的过程中，投标单位对招标代理机构和评标委员会成员施加影响的任何行为，都将取消其中标资格。</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24.3在评标期间，招标代理机构将通过指定联络人与投标单位进行联系。</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25. 对投标文件初审</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25.1开标后，采购人或者采购代理机构应当依法对投标单位的资格进行审查，评标委员会应当对符合资格的投标单位的投标文件进行符合性审查，以确定其是否满足招标文件的实质性要求、内容是否完整、价格构成有无计算错误、文件签署是否齐全等。</w:t>
      </w:r>
      <w:r>
        <w:rPr>
          <w:rFonts w:hint="eastAsia" w:ascii="宋体" w:hAnsi="宋体" w:cs="宋体"/>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投标文件有下列情况之一者将被拒绝，作无效投标处理：</w:t>
      </w:r>
      <w:r>
        <w:rPr>
          <w:rFonts w:hint="eastAsia" w:ascii="宋体" w:hAnsi="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25.1.1投标文件未按照本须知规定签署和盖章；</w:t>
      </w:r>
      <w:r>
        <w:rPr>
          <w:rFonts w:hint="eastAsia" w:ascii="宋体" w:hAnsi="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25.1.2未按本须知规定提交资格文件或资质不符合招标要求的；</w:t>
      </w:r>
      <w:r>
        <w:rPr>
          <w:rFonts w:hint="eastAsia" w:ascii="宋体" w:hAnsi="宋体" w:cs="宋体"/>
          <w:b/>
          <w:bCs/>
          <w:color w:val="000000"/>
          <w:sz w:val="21"/>
          <w:szCs w:val="21"/>
          <w:highlight w:val="none"/>
        </w:rPr>
      </w:r>
      <w:r/>
    </w:p>
    <w:p>
      <w:pPr>
        <w:pStyle w:val="1008"/>
        <w:ind w:firstLine="293"/>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25.1.3与招标文件有重大偏离；</w:t>
      </w:r>
      <w:r>
        <w:rPr>
          <w:rFonts w:hint="eastAsia" w:ascii="宋体" w:hAnsi="宋体" w:eastAsia="宋体" w:cs="宋体"/>
          <w:b/>
          <w:bCs/>
          <w:color w:val="000000"/>
          <w:sz w:val="21"/>
          <w:szCs w:val="21"/>
          <w:highlight w:val="none"/>
        </w:rPr>
      </w:r>
      <w:r/>
    </w:p>
    <w:p>
      <w:pPr>
        <w:pStyle w:val="1008"/>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25.1.4投标单位拒绝修正错误；</w:t>
      </w:r>
      <w:r>
        <w:rPr>
          <w:rFonts w:hint="eastAsia" w:ascii="宋体" w:hAnsi="宋体" w:eastAsia="宋体" w:cs="宋体"/>
          <w:b/>
          <w:bCs/>
          <w:color w:val="000000"/>
          <w:sz w:val="21"/>
          <w:szCs w:val="21"/>
          <w:highlight w:val="none"/>
        </w:rPr>
      </w:r>
      <w:r/>
    </w:p>
    <w:p>
      <w:pPr>
        <w:pStyle w:val="1008"/>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25.1.5投标单位的报价是选择性的；</w:t>
      </w:r>
      <w:r>
        <w:rPr>
          <w:rFonts w:hint="eastAsia" w:ascii="宋体" w:hAnsi="宋体" w:eastAsia="宋体" w:cs="宋体"/>
          <w:b/>
          <w:bCs/>
          <w:color w:val="000000"/>
          <w:sz w:val="21"/>
          <w:szCs w:val="21"/>
          <w:highlight w:val="none"/>
        </w:rPr>
      </w:r>
      <w:r/>
    </w:p>
    <w:p>
      <w:pPr>
        <w:pStyle w:val="1008"/>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25.1.6投标单位的报价只投了部分内容；</w:t>
      </w:r>
      <w:r>
        <w:rPr>
          <w:rFonts w:hint="eastAsia" w:ascii="宋体" w:hAnsi="宋体" w:eastAsia="宋体" w:cs="宋体"/>
          <w:b/>
          <w:bCs/>
          <w:color w:val="000000"/>
          <w:sz w:val="21"/>
          <w:szCs w:val="21"/>
          <w:highlight w:val="none"/>
        </w:rPr>
      </w:r>
      <w:r/>
    </w:p>
    <w:p>
      <w:pPr>
        <w:pStyle w:val="1008"/>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25.1.7</w:t>
      </w:r>
      <w:r>
        <w:rPr>
          <w:rFonts w:hint="eastAsia" w:ascii="宋体" w:hAnsi="宋体" w:eastAsia="宋体" w:cs="宋体"/>
          <w:b/>
          <w:bCs/>
          <w:color w:val="000000"/>
          <w:sz w:val="21"/>
          <w:szCs w:val="21"/>
          <w:highlight w:val="none"/>
          <w:lang w:val="zh-CN"/>
        </w:rPr>
        <w:t xml:space="preserve">投标单位的报价不符合采购规定或经评标小组评定为无效报价；</w:t>
      </w:r>
      <w:r>
        <w:rPr>
          <w:rFonts w:hint="eastAsia" w:ascii="宋体" w:hAnsi="宋体" w:eastAsia="宋体" w:cs="宋体"/>
          <w:b/>
          <w:bCs/>
          <w:color w:val="000000"/>
          <w:sz w:val="21"/>
          <w:szCs w:val="21"/>
          <w:highlight w:val="none"/>
        </w:rPr>
        <w:t xml:space="preserve">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r>
        <w:rPr>
          <w:rFonts w:hint="eastAsia" w:ascii="宋体" w:hAnsi="宋体" w:eastAsia="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25.1.8其他被评委会认定无效的情况。</w:t>
      </w:r>
      <w:r>
        <w:rPr>
          <w:rFonts w:hint="eastAsia" w:ascii="宋体" w:hAnsi="宋体" w:cs="宋体"/>
          <w:b/>
          <w:bCs/>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.2.1查询时间：投标文件递交截止时间后。</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.2.2查询渠道：</w:t>
      </w:r>
      <w:r>
        <w:rPr>
          <w:rFonts w:hint="eastAsia" w:ascii="宋体" w:hAnsi="宋体" w:eastAsia="宋体" w:cs="宋体"/>
          <w:color w:val="000000"/>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.2.3查询证据留存方式：</w:t>
      </w:r>
      <w:r>
        <w:rPr>
          <w:rFonts w:hint="eastAsia" w:ascii="宋体" w:hAnsi="宋体" w:eastAsia="宋体" w:cs="宋体"/>
          <w:color w:val="000000"/>
          <w:sz w:val="21"/>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（二）财政部门与法院、工商、税务等部门联合惩戒的失信信息，包括：</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（1）被列入失信被执行人名单；</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（2）被列入重大税收违法案件当事人名单；</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（3）企业经营异常名录中被责令停产停业、暂扣或者吊销许可证或者执照，或者对经营活动中的</w:t>
      </w:r>
      <w:r>
        <w:rPr>
          <w:rFonts w:hint="eastAsia" w:ascii="宋体" w:hAnsi="宋体" w:eastAsia="宋体" w:cs="宋体"/>
          <w:color w:val="000000"/>
          <w:sz w:val="21"/>
          <w:szCs w:val="21"/>
          <w:highlight w:val="none"/>
        </w:rPr>
        <w:t xml:space="preserve">违法行为处以</w:t>
      </w:r>
      <w:r>
        <w:rPr>
          <w:rFonts w:hint="eastAsia" w:ascii="宋体" w:hAnsi="宋体" w:eastAsia="宋体" w:cs="宋体"/>
          <w:color w:val="000000"/>
          <w:sz w:val="21"/>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服务范围、质量和性能等；或者在实质上与招标文件不一致〔如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招标文件提供的工艺、材料、设备、参考的商标或样本目录号码等仅作为说明并没有限制性。</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评委会将对确定为实质上响应的投标进行审核，看其是否有计算上或累加上的算术错误，修正错误的原则如下：</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.1投标文件中开标一览表（报价表）内容与投标文件中相应内容不一致的，以开标一览表（报价表）为准；</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.2大写金额和小写金额不一致的，以大写金额为准；</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.3单价金额小数点或者百分比有明显错位的，以开标一览表的总价为准，并修改单价；</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.4总价金额与按单价汇总金额不一致的，以单价金额计算结果为准；</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5同时出现两种以上不一致的，按照前款规定的顺序修正。修正后的报价按照《政府采购货物和服务招标投标管理办法（中华人民共和国财政部令第87号）》第五十一条第二款的规定经投标单位确认后产生约束力，投标单位不确认的，其投标无效。</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评标委员会有权拒绝被确定为非实质性响应的投标，投标单位不能通过修正或撤销不符之处而使其投标成为实质性响应的投标。</w:t>
      </w:r>
      <w:r>
        <w:rPr>
          <w:rFonts w:hint="eastAsia" w:ascii="宋体" w:hAnsi="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25.7评审过程中出现下列情形之一的，评审委员会根据《苏财购〔2025〕62号》文应当启动异常低价投标（响应）审查程序：</w:t>
      </w:r>
      <w:r>
        <w:rPr>
          <w:rFonts w:hint="eastAsia" w:ascii="宋体" w:hAnsi="宋体" w:eastAsia="宋体" w:cs="宋体"/>
          <w:color w:val="000000"/>
          <w:sz w:val="21"/>
          <w:szCs w:val="21"/>
          <w:highlight w:val="none"/>
        </w:rPr>
      </w:r>
      <w:r/>
    </w:p>
    <w:p>
      <w:pPr>
        <w:pStyle w:val="1008"/>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cs="宋体"/>
          <w:b/>
          <w:bCs/>
          <w:color w:val="000000"/>
          <w:sz w:val="21"/>
          <w:szCs w:val="21"/>
          <w:highlight w:val="none"/>
          <w:lang w:val="en-US" w:eastAsia="zh-CN" w:bidi="ar-SA"/>
        </w:rPr>
        <w:t xml:space="preserve">（一）</w:t>
      </w:r>
      <w:r>
        <w:rPr>
          <w:rFonts w:hint="eastAsia" w:ascii="宋体" w:hAnsi="宋体" w:eastAsia="宋体" w:cs="宋体"/>
          <w:b/>
          <w:bCs/>
          <w:color w:val="000000"/>
          <w:sz w:val="21"/>
          <w:szCs w:val="21"/>
          <w:highlight w:val="none"/>
          <w:lang w:val="en-US" w:eastAsia="zh-CN" w:bidi="ar-SA"/>
        </w:rPr>
        <w:t xml:space="preserve">评审过程中出现下列情形之一的，评审委员会应当启动异常低价投标（响应）审查程序：</w:t>
      </w:r>
      <w:r>
        <w:rPr>
          <w:rFonts w:hint="eastAsia" w:ascii="宋体" w:hAnsi="宋体" w:eastAsia="宋体" w:cs="宋体"/>
          <w:b/>
          <w:bCs/>
          <w:color w:val="000000"/>
          <w:sz w:val="21"/>
          <w:szCs w:val="21"/>
          <w:highlight w:val="none"/>
        </w:rPr>
      </w:r>
      <w:r/>
    </w:p>
    <w:p>
      <w:pPr>
        <w:pStyle w:val="1008"/>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采购人可以结合具体项目实际情况，提高上述第1项至第3项中启动异常低价投标（响应）审查的数值标准，但是最高不得超过65%。</w:t>
      </w:r>
      <w:r>
        <w:rPr>
          <w:rFonts w:hint="eastAsia" w:ascii="宋体" w:hAnsi="宋体" w:eastAsia="宋体" w:cs="宋体"/>
          <w:b w:val="0"/>
          <w:bCs w:val="0"/>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相关法律法规对供应商报价有规定的，从其规定。</w:t>
      </w:r>
      <w:r>
        <w:rPr>
          <w:rFonts w:hint="eastAsia" w:ascii="宋体" w:hAnsi="宋体" w:eastAsia="宋体" w:cs="宋体"/>
          <w:b w:val="0"/>
          <w:bCs w:val="0"/>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rPr>
          <w:rFonts w:hint="eastAsia" w:ascii="宋体" w:hAnsi="宋体" w:eastAsia="宋体" w:cs="宋体"/>
          <w:b w:val="0"/>
          <w:bCs w:val="0"/>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rPr>
          <w:rFonts w:hint="eastAsia" w:ascii="宋体" w:hAnsi="宋体" w:eastAsia="宋体" w:cs="宋体"/>
          <w:b w:val="0"/>
          <w:bCs w:val="0"/>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异常低价投标（响应）审查的启动原因、审查意见和审查结果会在评审报告中记录，并随供应商提供的相关书面说明及证明材料，以及评审委员会有关互联网浏览、查询历史一并归档。</w:t>
      </w:r>
      <w:r>
        <w:rPr>
          <w:rFonts w:hint="eastAsia" w:ascii="宋体" w:hAnsi="宋体" w:eastAsia="宋体" w:cs="宋体"/>
          <w:b w:val="0"/>
          <w:bCs w:val="0"/>
          <w:color w:val="000000"/>
          <w:sz w:val="21"/>
          <w:szCs w:val="21"/>
          <w:highlight w:val="none"/>
          <w:lang w:val="en-US" w:eastAsia="zh-CN" w:bidi="ar-SA"/>
        </w:rPr>
      </w:r>
      <w:r/>
    </w:p>
    <w:p>
      <w:pPr>
        <w:pStyle w:val="1008"/>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26. 投标的澄清 </w:t>
      </w:r>
      <w:r>
        <w:rPr>
          <w:rFonts w:hint="eastAsia" w:ascii="宋体" w:hAnsi="宋体" w:cs="宋体"/>
          <w:b/>
          <w:bCs/>
          <w:color w:val="000000"/>
          <w:sz w:val="21"/>
          <w:szCs w:val="21"/>
          <w:highlight w:val="none"/>
        </w:rPr>
      </w:r>
      <w:r/>
    </w:p>
    <w:p>
      <w:pPr>
        <w:pStyle w:val="1087"/>
        <w:ind w:firstLine="420"/>
        <w:rPr>
          <w:rFonts w:hint="eastAsia" w:cs="宋体"/>
          <w:color w:val="000000"/>
          <w:sz w:val="21"/>
          <w:szCs w:val="21"/>
          <w:highlight w:val="none"/>
        </w:rPr>
      </w:pPr>
      <w:r>
        <w:rPr>
          <w:rFonts w:hint="eastAsia" w:cs="宋体"/>
          <w:color w:val="000000"/>
          <w:sz w:val="21"/>
          <w:szCs w:val="21"/>
          <w:highlight w:val="none"/>
        </w:rPr>
        <w:t xml:space="preserve">2</w:t>
      </w:r>
      <w:r>
        <w:rPr>
          <w:rFonts w:hint="eastAsia" w:cs="宋体"/>
          <w:color w:val="000000"/>
          <w:sz w:val="21"/>
          <w:szCs w:val="21"/>
          <w:highlight w:val="none"/>
          <w:lang w:val="en-US" w:eastAsia="zh-CN"/>
        </w:rPr>
        <w:t xml:space="preserve">6</w:t>
      </w:r>
      <w:r>
        <w:rPr>
          <w:rFonts w:hint="eastAsia" w:cs="宋体"/>
          <w:color w:val="000000"/>
          <w:sz w:val="21"/>
          <w:szCs w:val="21"/>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cs="宋体"/>
          <w:color w:val="000000"/>
          <w:sz w:val="21"/>
          <w:szCs w:val="21"/>
          <w:highlight w:val="none"/>
        </w:rPr>
      </w:r>
      <w:r/>
    </w:p>
    <w:p>
      <w:pPr>
        <w:pStyle w:val="1087"/>
        <w:ind w:firstLine="420"/>
        <w:rPr>
          <w:rFonts w:hint="eastAsia" w:cs="宋体"/>
          <w:color w:val="000000"/>
          <w:sz w:val="21"/>
          <w:szCs w:val="21"/>
          <w:highlight w:val="none"/>
        </w:rPr>
      </w:pPr>
      <w:r>
        <w:rPr>
          <w:rFonts w:hint="eastAsia" w:cs="宋体"/>
          <w:color w:val="000000"/>
          <w:sz w:val="21"/>
          <w:szCs w:val="21"/>
          <w:highlight w:val="none"/>
        </w:rPr>
        <w:t xml:space="preserve">2</w:t>
      </w:r>
      <w:r>
        <w:rPr>
          <w:rFonts w:hint="eastAsia" w:cs="宋体"/>
          <w:color w:val="000000"/>
          <w:sz w:val="21"/>
          <w:szCs w:val="21"/>
          <w:highlight w:val="none"/>
          <w:lang w:val="en-US" w:eastAsia="zh-CN"/>
        </w:rPr>
        <w:t xml:space="preserve">6</w:t>
      </w:r>
      <w:r>
        <w:rPr>
          <w:rFonts w:hint="eastAsia" w:cs="宋体"/>
          <w:color w:val="000000"/>
          <w:sz w:val="21"/>
          <w:szCs w:val="21"/>
          <w:highlight w:val="none"/>
        </w:rPr>
        <w:t xml:space="preserve">.2投标人的澄清、说明或者补正应当采用书面形式，并加盖其单位电子公章。投标人的澄清、说明或者补正不得超出投标文件的范围或者改变投标文件的实质性内容。</w:t>
      </w:r>
      <w:r>
        <w:rPr>
          <w:rFonts w:hint="eastAsia" w:cs="宋体"/>
          <w:color w:val="000000"/>
          <w:sz w:val="21"/>
          <w:szCs w:val="21"/>
          <w:highlight w:val="none"/>
        </w:rPr>
      </w:r>
      <w:r/>
    </w:p>
    <w:p>
      <w:pPr>
        <w:pStyle w:val="1008"/>
        <w:ind w:firstLine="422"/>
        <w:spacing w:line="360" w:lineRule="auto"/>
        <w:rPr>
          <w:rFonts w:hint="eastAsia" w:ascii="宋体" w:hAnsi="宋体" w:cs="宋体"/>
          <w:color w:val="000000"/>
          <w:sz w:val="21"/>
          <w:szCs w:val="21"/>
          <w:highlight w:val="none"/>
        </w:rPr>
      </w:pPr>
      <w:r>
        <w:rPr>
          <w:rFonts w:hint="eastAsia" w:hAnsi="宋体" w:cs="宋体"/>
          <w:b/>
          <w:color w:val="000000"/>
          <w:sz w:val="21"/>
          <w:szCs w:val="21"/>
          <w:highlight w:val="none"/>
        </w:rPr>
        <w:t xml:space="preserve">本项目投标人的澄清、说明或者补正采用线上澄清</w:t>
      </w:r>
      <w:r>
        <w:rPr>
          <w:rFonts w:hint="eastAsia" w:hAnsi="宋体" w:cs="宋体"/>
          <w:b/>
          <w:color w:val="000000"/>
          <w:sz w:val="21"/>
          <w:szCs w:val="21"/>
          <w:highlight w:val="none"/>
          <w:lang w:eastAsia="zh-CN"/>
        </w:rPr>
        <w:t xml:space="preserve">：</w:t>
      </w:r>
      <w:r>
        <w:rPr>
          <w:rFonts w:hint="eastAsia" w:hAnsi="宋体" w:cs="宋体"/>
          <w:b/>
          <w:color w:val="000000"/>
          <w:sz w:val="21"/>
          <w:szCs w:val="21"/>
          <w:highlight w:val="none"/>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color w:val="000000"/>
          <w:sz w:val="21"/>
          <w:szCs w:val="21"/>
          <w:highlight w:val="none"/>
        </w:rPr>
        <w:t xml:space="preserve">(</w:t>
      </w:r>
      <w:r>
        <w:rPr>
          <w:rFonts w:hint="eastAsia" w:hAnsi="宋体" w:cs="宋体"/>
          <w:b/>
          <w:color w:val="000000"/>
          <w:sz w:val="21"/>
          <w:szCs w:val="21"/>
          <w:highlight w:val="none"/>
        </w:rPr>
        <w:t xml:space="preserve">此处规定时间的计算以系统中的倒计时间为准，</w:t>
      </w:r>
      <w:r>
        <w:rPr>
          <w:rFonts w:hint="eastAsia" w:hAnsi="宋体" w:cs="宋体"/>
          <w:color w:val="000000"/>
          <w:sz w:val="21"/>
          <w:szCs w:val="21"/>
          <w:highlight w:val="none"/>
        </w:rPr>
        <w:t xml:space="preserve">供应商应随时保持系统在线，如因供应商自身原因未在规定时间内提交澄清确认资料的，导致的不利后果由供应商自行承担</w:t>
      </w:r>
      <w:r>
        <w:rPr>
          <w:rFonts w:hint="eastAsia"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27.</w:t>
      </w:r>
      <w:r>
        <w:rPr>
          <w:rFonts w:hint="eastAsia" w:ascii="宋体" w:hAnsi="宋体" w:cs="宋体"/>
          <w:b/>
          <w:color w:val="000000"/>
          <w:sz w:val="21"/>
          <w:szCs w:val="21"/>
          <w:highlight w:val="none"/>
        </w:rPr>
        <w:t xml:space="preserve">无效投标和废标</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27.1无效投标的具体情形有：</w:t>
      </w:r>
      <w:r>
        <w:rPr>
          <w:rFonts w:hint="eastAsia" w:ascii="宋体" w:hAnsi="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27.1.1未按照招标文件的规定提交《投标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响应</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保证承诺书》</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27.1.2投标文件未按招标文件要求签署、盖章的；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27.1.3不具备招标文件中规定的资格要求的；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27.1.4报价超过招标文件中规定的预算金额或者最高限价的；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27.1.5投标文件含有采购人不能接受的附加条件的；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27.1.6投标文件与招标文件有重大偏离；</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27.1.7平台报名系统内投标单位（投标单位）的报名名称（CA用户名）与投标文件中投标单位（投标单位）名称不一致的；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27.1.8</w:t>
      </w:r>
      <w:r>
        <w:rPr>
          <w:rFonts w:hint="eastAsia" w:ascii="宋体" w:hAnsi="宋体" w:cs="宋体"/>
          <w:color w:val="000000"/>
          <w:sz w:val="21"/>
          <w:szCs w:val="21"/>
          <w:highlight w:val="none"/>
        </w:rPr>
        <w:t xml:space="preserve">不同投标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响应</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文件制作机器码一致的</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因投标单位自身原因导致网上投标文件无法递交的其他情况。</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法律、法规和招标文件规定的其他无效情形。</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27.2废标的具体情形有：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27.2.1符合专业条件的供应商或者对招标文件作实质响应的供应商不足三家的；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27.2.2出现影响采购公正的违法、违规行为的；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27.2.3投标单位的报价均超过了采购预算或最高限价，采购单位不能支付的；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27.2.4因重大变故，采购任务取消的。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27.3投标单位应当遵循公平竞争的原则，不得恶意串通，不得妨碍其他投标单位的竞争行为，不得损害采购人或者其他投标单位的合法权益。</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评标过程中发现投标单位有下述情形的，评标小组应当认定其响应无效，并书面报告本级财政部门。</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有下列情形之一的，视为投标单位恶意串通，其投标无效：</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（1）不同投标单位的投标文件由同一单位或者个人编制；</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（2）不同投标单位委托同一单位或者个人办理投标事宜；</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（3）不同投标单位的投标文件载明的项目管理成员或者联系人员为同一人；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（4）不同投标单位的投标文件异常一致或者报价呈规律性差异；</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（5）不同投标单位的投标文件相互混装。</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28. 投标文件的评价和比较</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28.1招标采购单位对投标单位的资格条件进行审查，评标委员会将仅对按照本须知有关规定确定为实质上响应招标文件要求的投标文件进行评价和比较。</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评价和比较采用综合评分法，即在最大限度地满足招标文件实质性要求前提下，按照招标文件规定的各项因素进行综合评审后，以评标总得分最高的投标单位作为中标候选供应商或中标供应商。评标委员会严格按照招标文件的要求、条件、评分标准，对</w:t>
      </w:r>
      <w:r>
        <w:rPr>
          <w:rFonts w:hint="eastAsia" w:ascii="宋体" w:hAnsi="宋体" w:cs="宋体"/>
          <w:color w:val="000000"/>
          <w:sz w:val="21"/>
          <w:szCs w:val="21"/>
          <w:highlight w:val="none"/>
          <w:lang w:val="zh-CN"/>
        </w:rPr>
        <w:t xml:space="preserve">投标文件内容进行比较评价</w:t>
      </w:r>
      <w:r>
        <w:rPr>
          <w:rFonts w:hint="eastAsia" w:ascii="宋体" w:hAnsi="宋体" w:cs="宋体"/>
          <w:color w:val="000000"/>
          <w:sz w:val="21"/>
          <w:szCs w:val="21"/>
          <w:highlight w:val="none"/>
        </w:rPr>
        <w:t xml:space="preserve">，同时考虑以下因素：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28.2.1</w:t>
      </w:r>
      <w:r>
        <w:rPr>
          <w:rStyle w:val="1166"/>
          <w:rFonts w:hint="eastAsia" w:ascii="宋体" w:hAnsi="宋体" w:cs="宋体"/>
          <w:color w:val="000000"/>
          <w:szCs w:val="21"/>
          <w:highlight w:val="none"/>
        </w:rPr>
        <w:t xml:space="preserve">交货状态和交货期</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28.2.2</w:t>
      </w:r>
      <w:r>
        <w:rPr>
          <w:rStyle w:val="1166"/>
          <w:rFonts w:hint="eastAsia" w:ascii="宋体" w:hAnsi="宋体" w:cs="宋体"/>
          <w:color w:val="000000"/>
          <w:szCs w:val="21"/>
          <w:highlight w:val="none"/>
        </w:rPr>
        <w:t xml:space="preserve">零配件价格及维修服务措施</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28.2.3</w:t>
      </w:r>
      <w:r>
        <w:rPr>
          <w:rStyle w:val="1166"/>
          <w:rFonts w:hint="eastAsia" w:ascii="宋体" w:hAnsi="宋体" w:cs="宋体"/>
          <w:color w:val="000000"/>
          <w:szCs w:val="21"/>
          <w:highlight w:val="none"/>
        </w:rPr>
        <w:t xml:space="preserve">货物设备出厂验收情况</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28.2.4</w:t>
      </w:r>
      <w:r>
        <w:rPr>
          <w:rFonts w:hint="eastAsia" w:ascii="宋体" w:hAnsi="宋体" w:cs="宋体"/>
          <w:color w:val="000000"/>
          <w:sz w:val="21"/>
          <w:szCs w:val="21"/>
          <w:highlight w:val="none"/>
          <w:lang w:eastAsia="zh-CN"/>
        </w:rPr>
        <w:t xml:space="preserve">投标人</w:t>
      </w:r>
      <w:r>
        <w:rPr>
          <w:rFonts w:hint="eastAsia" w:ascii="宋体" w:hAnsi="宋体" w:cs="宋体"/>
          <w:color w:val="000000"/>
          <w:sz w:val="21"/>
          <w:szCs w:val="21"/>
          <w:highlight w:val="none"/>
        </w:rPr>
        <w:t xml:space="preserve">的履约能力；</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28.2.5</w:t>
      </w:r>
      <w:r>
        <w:rPr>
          <w:rFonts w:hint="eastAsia" w:ascii="宋体" w:hAnsi="宋体" w:cs="宋体"/>
          <w:color w:val="000000"/>
          <w:sz w:val="21"/>
          <w:szCs w:val="21"/>
          <w:highlight w:val="none"/>
          <w:lang w:eastAsia="zh-CN"/>
        </w:rPr>
        <w:t xml:space="preserve">投标人</w:t>
      </w:r>
      <w:r>
        <w:rPr>
          <w:rFonts w:hint="eastAsia" w:ascii="宋体" w:hAnsi="宋体" w:cs="宋体"/>
          <w:color w:val="000000"/>
          <w:sz w:val="21"/>
          <w:szCs w:val="21"/>
          <w:highlight w:val="none"/>
        </w:rPr>
        <w:t xml:space="preserve">提供的其他优惠条件；</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28.2.6参与苏州市吴江区政府采购工作的态度及信誉；</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28.2.7最低的投标报价是中标的重要条件但不是唯一条件。</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七、授予合同</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29. 中标单位的确认</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29.1评标委员会根据投标单位资格审查和符合性审查情况，对投标文件进行评价和比较，按照评标办法和标准进行评标，并按招标采购单位的委托向招标采购单位推荐中标单位。</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29.2经评标委员会评审并确定中标单位后，招标代理机构将在规定的时间内将中标结果在政府采购管理部门指定媒体上予以公示。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29.3政府采购合同履行中，采购人需追加与合同标的相同的货物、工程或服务的，在不改变合同其他条款的前提下，可以与供应商协商签订补充合同，但所有补充合同的采购金额不得超过原合同采购金额的10%。</w:t>
      </w:r>
      <w:r>
        <w:rPr>
          <w:rFonts w:hint="eastAsia" w:ascii="宋体" w:hAnsi="宋体" w:cs="宋体"/>
          <w:color w:val="000000"/>
          <w:sz w:val="21"/>
          <w:szCs w:val="21"/>
          <w:highlight w:val="none"/>
        </w:rPr>
      </w:r>
      <w:r/>
    </w:p>
    <w:p>
      <w:pPr>
        <w:pStyle w:val="1008"/>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30</w:t>
      </w:r>
      <w:r>
        <w:rPr>
          <w:rFonts w:hint="eastAsia" w:ascii="宋体" w:hAnsi="宋体" w:eastAsia="宋体" w:cs="宋体"/>
          <w:b/>
          <w:color w:val="000000"/>
          <w:sz w:val="21"/>
          <w:szCs w:val="21"/>
          <w:highlight w:val="none"/>
        </w:rPr>
        <w:t xml:space="preserve">.中标人标准</w:t>
      </w:r>
      <w:r>
        <w:rPr>
          <w:rFonts w:hint="eastAsia" w:ascii="宋体" w:hAnsi="宋体" w:eastAsia="宋体" w:cs="宋体"/>
          <w:b/>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.1确定为中标的投标单位必须具有实施本合同的能力和资源。</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.2在合同签订之前，采购人和采购代理机构有权对中标单位的履约能力进行最后审查，如发现中标单位提供的投标文件和有关材料虚假或对招标书所要求说明的情况故意隐瞒或虚报，则有权取消其中标资格。</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31. 合同授予标准</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31.1招标采购单位将与其投标文件在实质上响应招标文件要求和按本须知规定评选出的投标单位签订合同。确定为中标的投标单位必须具有实施本合同的能力和资源。</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31.3在合同签订之前，采购方有权对中标人的履约能力进行最后审查，如发现中标人提供的材料虚假或对标书所要求说明的情况故意隐瞒或虚报，则有权取消其签约资格，</w:t>
      </w:r>
      <w:r>
        <w:rPr>
          <w:rFonts w:hint="eastAsia" w:ascii="宋体" w:hAnsi="宋体" w:cs="宋体"/>
          <w:color w:val="000000"/>
          <w:sz w:val="21"/>
          <w:szCs w:val="21"/>
          <w:highlight w:val="none"/>
        </w:rPr>
        <w:t xml:space="preserve">重新组织招标。 </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32. 中标通知书</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w:t>
      </w:r>
      <w:r>
        <w:rPr>
          <w:rFonts w:hint="eastAsia" w:ascii="宋体" w:hAnsi="宋体" w:eastAsia="宋体" w:cs="宋体"/>
          <w:color w:val="000000"/>
          <w:sz w:val="21"/>
          <w:szCs w:val="21"/>
          <w:highlight w:val="none"/>
          <w:lang w:eastAsia="zh-CN"/>
        </w:rPr>
        <w:t xml:space="preserve">确定</w:t>
      </w:r>
      <w:r>
        <w:rPr>
          <w:rFonts w:hint="eastAsia" w:ascii="宋体" w:hAnsi="宋体" w:eastAsia="宋体" w:cs="宋体"/>
          <w:color w:val="000000"/>
          <w:sz w:val="21"/>
          <w:szCs w:val="21"/>
          <w:highlight w:val="none"/>
        </w:rPr>
        <w:t xml:space="preserve">中标人后，采购代理机构在法定时间内向中标人发出中标通知书。</w:t>
      </w:r>
      <w:r>
        <w:rPr>
          <w:rFonts w:hint="eastAsia" w:ascii="宋体" w:hAnsi="宋体" w:eastAsia="宋体" w:cs="宋体"/>
          <w:b/>
          <w:bCs/>
          <w:color w:val="000000"/>
          <w:sz w:val="21"/>
          <w:szCs w:val="21"/>
          <w:highlight w:val="none"/>
        </w:rPr>
        <w:t xml:space="preserve">请中标人在中标结果公告届满之日起30日内</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使用CA证书登录“苏采云”系统及时下载中标通知书。</w:t>
      </w:r>
      <w:r>
        <w:rPr>
          <w:rFonts w:hint="eastAsia" w:ascii="宋体" w:hAnsi="宋体" w:eastAsia="宋体" w:cs="宋体"/>
          <w:color w:val="000000"/>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因未及时下载而造成的不利后果由中标人自行承担。</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32.2中标通知书将成为合同的组成部分，对采购人和中标人具有同等法律效力。</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32.4中标通知书发出后，采购人不得违法改变中标结果，中标人无正当理由不得放弃中标。</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33. 合同的签订</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33.1中标单位应按中标通知书中规定的时间和地点，由法定代表人或委托代理人与甲方代表签订合同，否则按放弃中标权处理。</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33.2签订合同及合同条款应以招标文件和中标单位的投标文件及其澄清文件为依据。</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w:t>
      </w:r>
      <w:r>
        <w:rPr>
          <w:rFonts w:hint="eastAsia" w:ascii="宋体" w:hAnsi="宋体" w:cs="宋体"/>
          <w:color w:val="000000"/>
          <w:sz w:val="21"/>
          <w:szCs w:val="21"/>
          <w:highlight w:val="none"/>
          <w:lang w:val="zh-CN"/>
        </w:rPr>
        <w:t xml:space="preserve">中标人无正当理由拒签合同的，或在签订合同时向采购单位提出附加条件或者更改合同实质性内容的，报相关政府采购监督部门处理。</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rPr>
        <w:t xml:space="preserve">34.中标服务费</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eastAsia="zh-CN"/>
        </w:rPr>
      </w:r>
      <w:r/>
    </w:p>
    <w:p>
      <w:pPr>
        <w:pStyle w:val="10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34.1</w:t>
      </w:r>
      <w:r>
        <w:rPr>
          <w:rFonts w:hint="eastAsia" w:ascii="宋体" w:hAnsi="宋体" w:eastAsia="宋体" w:cs="宋体"/>
          <w:color w:val="000000"/>
          <w:sz w:val="21"/>
          <w:szCs w:val="21"/>
          <w:highlight w:val="none"/>
          <w:lang w:eastAsia="zh-CN"/>
        </w:rPr>
        <w:t xml:space="preserve">为优化预算执行流程，提高采购效率，经采购人研究确定，本项目代理费由中标（成交）供应商支付，相关收费方式、标准及定价依据已在本项目采购文件中明确公示，相关费用已包含在供应商的投标总报价中。</w:t>
      </w:r>
      <w:r>
        <w:rPr>
          <w:rFonts w:hint="eastAsia" w:ascii="宋体" w:hAnsi="宋体" w:eastAsia="宋体" w:cs="宋体"/>
          <w:color w:val="000000"/>
          <w:sz w:val="21"/>
          <w:szCs w:val="21"/>
          <w:highlight w:val="none"/>
          <w:lang w:eastAsia="zh-CN"/>
        </w:rPr>
      </w:r>
      <w:r/>
    </w:p>
    <w:p>
      <w:pPr>
        <w:pStyle w:val="100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34.2【报价要求】供应商报价应当包含本项目全部代理服务费。</w:t>
      </w:r>
      <w:r>
        <w:rPr>
          <w:rFonts w:hint="eastAsia" w:ascii="宋体" w:hAnsi="宋体" w:eastAsia="宋体" w:cs="宋体"/>
          <w:color w:val="000000"/>
          <w:sz w:val="21"/>
          <w:szCs w:val="21"/>
          <w:highlight w:val="none"/>
          <w:lang w:val="en-US" w:eastAsia="zh-CN"/>
        </w:rPr>
      </w:r>
      <w:r/>
    </w:p>
    <w:p>
      <w:pPr>
        <w:pStyle w:val="100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34.3【收取方式】中标供应商在领取成交通知书时，向采购代理机构一次性付清。</w:t>
      </w:r>
      <w:r>
        <w:rPr>
          <w:rFonts w:hint="eastAsia" w:ascii="宋体" w:hAnsi="宋体" w:eastAsia="宋体" w:cs="宋体"/>
          <w:color w:val="000000"/>
          <w:sz w:val="21"/>
          <w:szCs w:val="21"/>
          <w:highlight w:val="none"/>
          <w:lang w:val="en-US" w:eastAsia="zh-CN"/>
        </w:rPr>
      </w:r>
      <w:r/>
    </w:p>
    <w:p>
      <w:pPr>
        <w:pStyle w:val="100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34.4【收费标准及依据】按中介超市发出的中标通知书金额收取，本项目代理服务费总额为人民币21165元。各标段按预算占总预算比例分摊，各标段代理费金额如下：第一标段（接警系统采购）：人民币8725.04元；第二标段（联动消防门采购）：人民币1685.14元；第三标段（厨房设备采购）：人民币2930.01元；第四标段（家具采购）：人民币7824.81元。</w:t>
      </w:r>
      <w:r>
        <w:rPr>
          <w:rFonts w:hint="eastAsia" w:ascii="宋体" w:hAnsi="宋体" w:eastAsia="宋体" w:cs="宋体"/>
          <w:color w:val="000000"/>
          <w:sz w:val="21"/>
          <w:szCs w:val="21"/>
          <w:highlight w:val="none"/>
          <w:lang w:val="en-US" w:eastAsia="zh-CN"/>
        </w:rPr>
      </w:r>
      <w:r/>
    </w:p>
    <w:p>
      <w:pPr>
        <w:pStyle w:val="1008"/>
        <w:spacing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35.履约保证金：</w:t>
      </w:r>
      <w:r>
        <w:rPr>
          <w:rFonts w:hint="eastAsia" w:ascii="宋体" w:hAnsi="宋体" w:cs="宋体"/>
          <w:color w:val="000000"/>
          <w:sz w:val="21"/>
          <w:szCs w:val="21"/>
          <w:highlight w:val="none"/>
        </w:rPr>
        <w:t xml:space="preserve">无。</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36.监督</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36.1政府有关监督部门将对招投标全过程进行监督。</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37. 未尽事宜</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按《中华人民共和国政府采购法》及其他有关政府采购的法律法规的规定执行。</w:t>
      </w:r>
      <w:r>
        <w:rPr>
          <w:rFonts w:hint="eastAsia" w:ascii="宋体" w:hAnsi="宋体" w:cs="宋体"/>
          <w:color w:val="000000"/>
          <w:sz w:val="21"/>
          <w:szCs w:val="21"/>
          <w:highlight w:val="none"/>
        </w:rPr>
      </w:r>
      <w:r/>
    </w:p>
    <w:p>
      <w:pPr>
        <w:pStyle w:val="1009"/>
        <w:jc w:val="center"/>
        <w:rPr>
          <w:rFonts w:hint="eastAsia"/>
          <w:color w:val="000000"/>
          <w:highlight w:val="none"/>
        </w:rPr>
      </w:pPr>
      <w:r>
        <w:rPr>
          <w:rFonts w:hint="eastAsia" w:ascii="宋体" w:hAnsi="宋体" w:cs="宋体"/>
          <w:color w:val="000000"/>
          <w:szCs w:val="21"/>
          <w:highlight w:val="none"/>
        </w:rPr>
        <w:br w:type="page" w:clear="all"/>
      </w:r>
      <w:bookmarkStart w:id="18" w:name="_Toc7258"/>
      <w:r>
        <w:rPr>
          <w:rFonts w:hint="eastAsia"/>
          <w:color w:val="000000"/>
          <w:highlight w:val="none"/>
        </w:rPr>
        <w:t xml:space="preserve">第三章  投标文件格式</w:t>
      </w:r>
      <w:bookmarkEnd w:id="18"/>
      <w:r>
        <w:rPr>
          <w:rFonts w:hint="eastAsia"/>
          <w:color w:val="000000"/>
          <w:highlight w:val="none"/>
        </w:rPr>
      </w:r>
      <w:r/>
    </w:p>
    <w:p>
      <w:pPr>
        <w:pStyle w:val="1008"/>
        <w:jc w:val="both"/>
        <w:spacing w:line="44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说明：</w:t>
      </w:r>
      <w:r>
        <w:rPr>
          <w:rFonts w:hint="eastAsia" w:ascii="宋体" w:hAnsi="宋体" w:cs="宋体"/>
          <w:b/>
          <w:bCs/>
          <w:color w:val="000000"/>
          <w:sz w:val="21"/>
          <w:szCs w:val="21"/>
          <w:highlight w:val="none"/>
        </w:rPr>
      </w:r>
      <w:r/>
    </w:p>
    <w:p>
      <w:pPr>
        <w:pStyle w:val="1008"/>
        <w:ind w:firstLine="480"/>
        <w:jc w:val="both"/>
        <w:spacing w:line="44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cs="宋体"/>
          <w:b/>
          <w:bCs/>
          <w:color w:val="000000"/>
          <w:sz w:val="21"/>
          <w:szCs w:val="21"/>
          <w:highlight w:val="none"/>
        </w:rPr>
      </w:r>
      <w:r/>
    </w:p>
    <w:p>
      <w:pPr>
        <w:pStyle w:val="1008"/>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br w:type="page" w:clear="all"/>
      </w:r>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lang w:val="zh-CN"/>
        </w:rPr>
        <w:t xml:space="preserve">1、投标函</w:t>
      </w:r>
      <w:r>
        <w:rPr>
          <w:rFonts w:hint="eastAsia" w:ascii="宋体" w:hAnsi="宋体" w:cs="宋体"/>
          <w:color w:val="000000"/>
          <w:sz w:val="21"/>
          <w:szCs w:val="21"/>
          <w:highlight w:val="none"/>
        </w:rPr>
      </w:r>
      <w:r/>
    </w:p>
    <w:p>
      <w:pPr>
        <w:pStyle w:val="1008"/>
        <w:jc w:val="center"/>
        <w:spacing w:line="360" w:lineRule="auto"/>
        <w:widowControl w:val="off"/>
        <w:rPr>
          <w:rFonts w:hint="eastAsia" w:ascii="宋体" w:hAnsi="宋体" w:cs="宋体"/>
          <w:b/>
          <w:color w:val="000000"/>
          <w:sz w:val="28"/>
          <w:szCs w:val="28"/>
          <w:highlight w:val="none"/>
          <w:lang w:val="zh-CN"/>
        </w:rPr>
        <w:outlineLvl w:val="9"/>
      </w:pPr>
      <w:r/>
      <w:bookmarkStart w:id="19" w:name="_Toc48639199"/>
      <w:r/>
      <w:bookmarkStart w:id="20" w:name="_Toc48639328"/>
      <w:r/>
      <w:bookmarkStart w:id="21" w:name="_Hlk142048403"/>
      <w:r>
        <w:rPr>
          <w:rFonts w:hint="eastAsia" w:ascii="宋体" w:hAnsi="宋体" w:cs="宋体"/>
          <w:b/>
          <w:color w:val="000000"/>
          <w:sz w:val="28"/>
          <w:szCs w:val="28"/>
          <w:highlight w:val="none"/>
          <w:lang w:val="zh-CN"/>
        </w:rPr>
        <w:t xml:space="preserve">投标函</w:t>
      </w:r>
      <w:bookmarkEnd w:id="19"/>
      <w:r/>
      <w:bookmarkEnd w:id="20"/>
      <w:r>
        <w:rPr>
          <w:rFonts w:hint="eastAsia" w:ascii="宋体" w:hAnsi="宋体" w:cs="宋体"/>
          <w:b/>
          <w:color w:val="000000"/>
          <w:sz w:val="28"/>
          <w:szCs w:val="28"/>
          <w:highlight w:val="none"/>
          <w:lang w:val="zh-CN"/>
        </w:rPr>
      </w:r>
      <w:r/>
    </w:p>
    <w:p>
      <w:pPr>
        <w:pStyle w:val="1125"/>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苏州中海工程项目管理有限公司</w:t>
      </w:r>
      <w:r>
        <w:rPr>
          <w:rFonts w:hint="eastAsia" w:cs="宋体"/>
          <w:color w:val="000000"/>
          <w:sz w:val="21"/>
          <w:szCs w:val="21"/>
          <w:highlight w:val="none"/>
        </w:rPr>
        <w:t xml:space="preserve"> ：</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rPr>
        <w:t xml:space="preserve">我方收到贵公司 </w:t>
      </w:r>
      <w:r>
        <w:rPr>
          <w:rFonts w:hint="eastAsia" w:cs="宋体"/>
          <w:color w:val="000000"/>
          <w:sz w:val="21"/>
          <w:szCs w:val="21"/>
          <w:highlight w:val="none"/>
          <w:u w:val="single"/>
        </w:rPr>
        <w:t xml:space="preserve">                         </w:t>
      </w:r>
      <w:r>
        <w:rPr>
          <w:rFonts w:hint="eastAsia" w:cs="宋体"/>
          <w:color w:val="000000"/>
          <w:sz w:val="21"/>
          <w:szCs w:val="21"/>
          <w:highlight w:val="none"/>
        </w:rPr>
        <w:t xml:space="preserve">号招标文件，经仔细阅读和研究，我方决定参加投标。并向贵公司承诺：</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1.</w:t>
      </w:r>
      <w:r>
        <w:rPr>
          <w:rFonts w:hint="eastAsia" w:cs="宋体"/>
          <w:color w:val="000000"/>
          <w:sz w:val="21"/>
          <w:szCs w:val="21"/>
          <w:highlight w:val="none"/>
        </w:rPr>
        <w:t xml:space="preserve">我方愿意按照招标文件的一切要求，提供本项目的所有内容，我方的投标报价包括完成该</w:t>
      </w:r>
      <w:r>
        <w:rPr>
          <w:rFonts w:hint="eastAsia" w:cs="宋体"/>
          <w:color w:val="000000"/>
          <w:sz w:val="21"/>
          <w:szCs w:val="21"/>
          <w:highlight w:val="none"/>
          <w:lang w:eastAsia="zh-CN"/>
        </w:rPr>
        <w:t xml:space="preserve">项</w:t>
      </w:r>
      <w:r>
        <w:rPr>
          <w:rFonts w:hint="eastAsia" w:cs="宋体"/>
          <w:color w:val="000000"/>
          <w:sz w:val="21"/>
          <w:szCs w:val="21"/>
          <w:highlight w:val="none"/>
        </w:rPr>
        <w:t xml:space="preserve">目的一切费用。</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2.</w:t>
      </w:r>
      <w:r>
        <w:rPr>
          <w:rFonts w:hint="eastAsia" w:cs="宋体"/>
          <w:color w:val="000000"/>
          <w:sz w:val="21"/>
          <w:szCs w:val="21"/>
          <w:highlight w:val="none"/>
        </w:rPr>
        <w:t xml:space="preserve">如果我方的投标书被接受，我方将严格履行招标文件中规定的每一项要求，严格履行合同的责任和义务，保证按期、按质履行合同，完成合同内容所规定的全部工作。</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3.</w:t>
      </w:r>
      <w:r>
        <w:rPr>
          <w:rFonts w:hint="eastAsia" w:cs="宋体"/>
          <w:color w:val="000000"/>
          <w:sz w:val="21"/>
          <w:szCs w:val="21"/>
          <w:highlight w:val="none"/>
        </w:rPr>
        <w:t xml:space="preserve">我方同意按招标文件中的规定，本投标书的有效期限为提交投标文件的截止之日起</w:t>
      </w:r>
      <w:r>
        <w:rPr>
          <w:rFonts w:hint="eastAsia" w:cs="宋体"/>
          <w:color w:val="000000"/>
          <w:sz w:val="21"/>
          <w:szCs w:val="21"/>
          <w:highlight w:val="none"/>
          <w:u w:val="single"/>
        </w:rPr>
        <w:t xml:space="preserve">90</w:t>
      </w:r>
      <w:r>
        <w:rPr>
          <w:rFonts w:hint="eastAsia" w:cs="宋体"/>
          <w:color w:val="000000"/>
          <w:sz w:val="21"/>
          <w:szCs w:val="21"/>
          <w:highlight w:val="none"/>
        </w:rPr>
        <w:t xml:space="preserve">天内，如果我方在开标后规定的投标有效期内撤回投标，我方的投标保证金可被贵方没收。</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4.</w:t>
      </w:r>
      <w:r>
        <w:rPr>
          <w:rFonts w:hint="eastAsia" w:cs="宋体"/>
          <w:color w:val="000000"/>
          <w:sz w:val="21"/>
          <w:szCs w:val="21"/>
          <w:highlight w:val="none"/>
        </w:rPr>
        <w:t xml:space="preserve">我方愿意提供招标方在招标文件中要求的所有资料。也同意向贵方提供贵方可能另外要求的与我方投标有关的任何证据或资料。并保证所提供的资料全部是真实的、有效的，若有虚假，我方愿承担一切责任。</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5.</w:t>
      </w:r>
      <w:r>
        <w:rPr>
          <w:rFonts w:hint="eastAsia" w:cs="宋体"/>
          <w:color w:val="000000"/>
          <w:sz w:val="21"/>
          <w:szCs w:val="21"/>
          <w:highlight w:val="none"/>
        </w:rPr>
        <w:t xml:space="preserve">我方认为贵方有权根据评标委员会的评审结果决定中标者，还认为贵方有权根据评标委员会的评审结果接受或拒绝所有的</w:t>
      </w:r>
      <w:r>
        <w:rPr>
          <w:rFonts w:hint="eastAsia" w:cs="宋体"/>
          <w:color w:val="000000"/>
          <w:sz w:val="21"/>
          <w:szCs w:val="21"/>
          <w:highlight w:val="none"/>
          <w:lang w:eastAsia="zh-CN"/>
        </w:rPr>
        <w:t xml:space="preserve">投标人</w:t>
      </w:r>
      <w:r>
        <w:rPr>
          <w:rFonts w:hint="eastAsia" w:cs="宋体"/>
          <w:color w:val="000000"/>
          <w:sz w:val="21"/>
          <w:szCs w:val="21"/>
          <w:highlight w:val="none"/>
        </w:rPr>
        <w:t xml:space="preserve">。</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6.</w:t>
      </w:r>
      <w:r>
        <w:rPr>
          <w:rFonts w:hint="eastAsia" w:cs="宋体"/>
          <w:color w:val="000000"/>
          <w:sz w:val="21"/>
          <w:szCs w:val="21"/>
          <w:highlight w:val="none"/>
        </w:rPr>
        <w:t xml:space="preserve">我方同意因运输或装卸或吊装过程中的不当，造成货物或就位现场的设施、设备等损坏的，招标人有权要求我方全额赔偿。</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7.</w:t>
      </w:r>
      <w:r>
        <w:rPr>
          <w:rFonts w:hint="eastAsia" w:cs="宋体"/>
          <w:color w:val="000000"/>
          <w:sz w:val="21"/>
          <w:szCs w:val="21"/>
          <w:highlight w:val="none"/>
        </w:rPr>
        <w:t xml:space="preserve">我方愿意遵守招标公告及招标文件中所列的收费标准。</w:t>
      </w:r>
      <w:r>
        <w:rPr>
          <w:rFonts w:hint="eastAsia" w:cs="宋体"/>
          <w:color w:val="000000"/>
          <w:sz w:val="21"/>
          <w:szCs w:val="21"/>
          <w:highlight w:val="none"/>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8.</w:t>
      </w:r>
      <w:r>
        <w:rPr>
          <w:rFonts w:hint="eastAsia" w:ascii="宋体" w:hAnsi="宋体" w:cs="宋体"/>
          <w:color w:val="000000"/>
          <w:sz w:val="21"/>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hint="eastAsia" w:ascii="宋体" w:hAnsi="宋体" w:cs="宋体"/>
          <w:color w:val="000000"/>
          <w:sz w:val="21"/>
          <w:szCs w:val="21"/>
          <w:highlight w:val="none"/>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9.</w:t>
      </w:r>
      <w:r>
        <w:rPr>
          <w:rFonts w:hint="eastAsia" w:ascii="宋体" w:hAnsi="宋体" w:cs="宋体"/>
          <w:color w:val="000000"/>
          <w:sz w:val="21"/>
          <w:szCs w:val="21"/>
          <w:highlight w:val="none"/>
        </w:rPr>
        <w:t xml:space="preserve">我方承诺在参加政府采购活动前三年内，在经营活动中没有重大违法记录。</w:t>
      </w:r>
      <w:r>
        <w:rPr>
          <w:rFonts w:hint="eastAsia" w:ascii="宋体" w:hAnsi="宋体" w:cs="宋体"/>
          <w:color w:val="000000"/>
          <w:sz w:val="21"/>
          <w:szCs w:val="21"/>
          <w:highlight w:val="none"/>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10.</w:t>
      </w:r>
      <w:r>
        <w:rPr>
          <w:rFonts w:hint="eastAsia" w:ascii="宋体" w:hAnsi="宋体" w:cs="宋体"/>
          <w:color w:val="000000"/>
          <w:sz w:val="21"/>
          <w:szCs w:val="21"/>
          <w:highlight w:val="none"/>
        </w:rPr>
        <w:t xml:space="preserve">我方同意中标人若无法按约定条款履行义务等行为，招标方有权取消我方的中标资格。</w:t>
      </w:r>
      <w:r>
        <w:rPr>
          <w:rFonts w:hint="eastAsia" w:ascii="宋体" w:hAnsi="宋体" w:cs="宋体"/>
          <w:color w:val="000000"/>
          <w:sz w:val="21"/>
          <w:szCs w:val="21"/>
          <w:highlight w:val="none"/>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11.</w:t>
      </w:r>
      <w:r>
        <w:rPr>
          <w:rFonts w:hint="eastAsia" w:ascii="宋体" w:hAnsi="宋体" w:cs="宋体"/>
          <w:color w:val="000000"/>
          <w:sz w:val="21"/>
          <w:szCs w:val="21"/>
          <w:highlight w:val="none"/>
        </w:rPr>
        <w:t xml:space="preserve">我方愿意按招标文件的规定向贵方交纳人民币</w:t>
      </w:r>
      <w:r>
        <w:rPr>
          <w:rFonts w:hint="eastAsia" w:ascii="宋体" w:hAnsi="宋体" w:cs="宋体"/>
          <w:color w:val="000000"/>
          <w:sz w:val="21"/>
          <w:szCs w:val="21"/>
          <w:highlight w:val="none"/>
          <w:u w:val="single"/>
        </w:rPr>
        <w:t xml:space="preserve">     /     </w:t>
      </w:r>
      <w:r>
        <w:rPr>
          <w:rFonts w:hint="eastAsia" w:ascii="宋体" w:hAnsi="宋体" w:cs="宋体"/>
          <w:color w:val="000000"/>
          <w:sz w:val="21"/>
          <w:szCs w:val="21"/>
          <w:highlight w:val="none"/>
        </w:rPr>
        <w:t xml:space="preserve">元的投标保证金。</w:t>
      </w:r>
      <w:r>
        <w:rPr>
          <w:rFonts w:hint="eastAsia" w:ascii="宋体" w:hAnsi="宋体" w:cs="宋体"/>
          <w:color w:val="000000"/>
          <w:sz w:val="21"/>
          <w:szCs w:val="21"/>
          <w:highlight w:val="none"/>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12.</w:t>
      </w:r>
      <w:r>
        <w:rPr>
          <w:rFonts w:hint="eastAsia" w:ascii="宋体" w:hAnsi="宋体" w:cs="宋体"/>
          <w:color w:val="000000"/>
          <w:sz w:val="21"/>
          <w:szCs w:val="21"/>
          <w:highlight w:val="none"/>
        </w:rPr>
        <w:t xml:space="preserve">如果我方中标，我方愿意按招标文件规定支付中标服务费，如未按规定缴纳中标服务费，招标代理机构有权没收投标保证金，并可提出诉讼的</w:t>
      </w:r>
      <w:r>
        <w:rPr>
          <w:rFonts w:hint="eastAsia" w:ascii="宋体" w:hAnsi="宋体" w:cs="宋体"/>
          <w:color w:val="000000"/>
          <w:sz w:val="21"/>
          <w:szCs w:val="21"/>
          <w:highlight w:val="none"/>
          <w:lang w:eastAsia="zh-CN"/>
        </w:rPr>
        <w:t xml:space="preserve">权利</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13.</w:t>
      </w:r>
      <w:r>
        <w:rPr>
          <w:rFonts w:hint="eastAsia" w:cs="宋体"/>
          <w:color w:val="000000"/>
          <w:sz w:val="21"/>
          <w:szCs w:val="21"/>
          <w:highlight w:val="none"/>
        </w:rPr>
        <w:t xml:space="preserve">与本投标有关的通讯地址：</w:t>
      </w:r>
      <w:r>
        <w:rPr>
          <w:rFonts w:hint="eastAsia" w:cs="宋体"/>
          <w:color w:val="000000"/>
          <w:sz w:val="21"/>
          <w:szCs w:val="21"/>
          <w:highlight w:val="none"/>
        </w:rPr>
      </w:r>
      <w:r/>
    </w:p>
    <w:p>
      <w:pPr>
        <w:pStyle w:val="1125"/>
        <w:spacing w:line="440" w:lineRule="exact"/>
        <w:rPr>
          <w:rFonts w:hint="eastAsia" w:cs="宋体"/>
          <w:color w:val="000000"/>
          <w:sz w:val="21"/>
          <w:szCs w:val="21"/>
          <w:highlight w:val="none"/>
        </w:rPr>
      </w:pPr>
      <w:r>
        <w:rPr>
          <w:rFonts w:hint="eastAsia" w:cs="宋体"/>
          <w:color w:val="000000"/>
          <w:sz w:val="21"/>
          <w:szCs w:val="21"/>
          <w:highlight w:val="none"/>
        </w:rPr>
        <w:t xml:space="preserve">单    位：                                 联 系 人：                   </w:t>
      </w:r>
      <w:r>
        <w:rPr>
          <w:rFonts w:hint="eastAsia" w:cs="宋体"/>
          <w:color w:val="000000"/>
          <w:sz w:val="21"/>
          <w:szCs w:val="21"/>
          <w:highlight w:val="none"/>
        </w:rPr>
      </w:r>
      <w:r/>
    </w:p>
    <w:p>
      <w:pPr>
        <w:pStyle w:val="1125"/>
        <w:spacing w:line="440" w:lineRule="exact"/>
        <w:rPr>
          <w:rFonts w:hint="eastAsia" w:cs="宋体"/>
          <w:color w:val="000000"/>
          <w:sz w:val="21"/>
          <w:szCs w:val="21"/>
          <w:highlight w:val="none"/>
        </w:rPr>
      </w:pPr>
      <w:r>
        <w:rPr>
          <w:rFonts w:hint="eastAsia" w:cs="宋体"/>
          <w:color w:val="000000"/>
          <w:sz w:val="21"/>
          <w:szCs w:val="21"/>
          <w:highlight w:val="none"/>
        </w:rPr>
        <w:t xml:space="preserve">地    址：                                 邮政编码：                   </w:t>
      </w:r>
      <w:r>
        <w:rPr>
          <w:rFonts w:hint="eastAsia" w:cs="宋体"/>
          <w:color w:val="000000"/>
          <w:sz w:val="21"/>
          <w:szCs w:val="21"/>
          <w:highlight w:val="none"/>
        </w:rPr>
      </w:r>
      <w:r/>
    </w:p>
    <w:p>
      <w:pPr>
        <w:pStyle w:val="1125"/>
        <w:spacing w:line="440" w:lineRule="exact"/>
        <w:rPr>
          <w:rFonts w:hint="eastAsia" w:cs="宋体"/>
          <w:color w:val="000000"/>
          <w:sz w:val="21"/>
          <w:szCs w:val="21"/>
          <w:highlight w:val="none"/>
        </w:rPr>
      </w:pPr>
      <w:r>
        <w:rPr>
          <w:rFonts w:hint="eastAsia" w:cs="宋体"/>
          <w:color w:val="000000"/>
          <w:sz w:val="21"/>
          <w:szCs w:val="21"/>
          <w:highlight w:val="none"/>
        </w:rPr>
        <w:t xml:space="preserve">联系电话：                                 传    真：                   </w:t>
      </w:r>
      <w:r>
        <w:rPr>
          <w:rFonts w:hint="eastAsia" w:cs="宋体"/>
          <w:color w:val="000000"/>
          <w:sz w:val="21"/>
          <w:szCs w:val="21"/>
          <w:highlight w:val="none"/>
        </w:rPr>
      </w:r>
      <w:r/>
    </w:p>
    <w:p>
      <w:pPr>
        <w:pStyle w:val="1125"/>
        <w:spacing w:line="440" w:lineRule="exact"/>
        <w:rPr>
          <w:rFonts w:hint="eastAsia" w:cs="宋体"/>
          <w:color w:val="000000"/>
          <w:sz w:val="21"/>
          <w:szCs w:val="21"/>
          <w:highlight w:val="none"/>
        </w:rPr>
      </w:pPr>
      <w:r>
        <w:rPr>
          <w:rFonts w:hint="eastAsia" w:cs="宋体"/>
          <w:color w:val="000000"/>
          <w:sz w:val="21"/>
          <w:szCs w:val="21"/>
          <w:highlight w:val="none"/>
        </w:rPr>
        <w:t xml:space="preserve">投标人：（公章）</w:t>
      </w:r>
      <w:r>
        <w:rPr>
          <w:rFonts w:hint="eastAsia" w:cs="宋体"/>
          <w:color w:val="000000"/>
          <w:sz w:val="21"/>
          <w:szCs w:val="21"/>
          <w:highlight w:val="none"/>
        </w:rPr>
      </w:r>
      <w:r/>
    </w:p>
    <w:p>
      <w:pPr>
        <w:pStyle w:val="1125"/>
        <w:spacing w:line="440" w:lineRule="exact"/>
        <w:rPr>
          <w:rFonts w:hint="eastAsia" w:cs="宋体"/>
          <w:color w:val="000000"/>
          <w:sz w:val="21"/>
          <w:szCs w:val="21"/>
          <w:highlight w:val="none"/>
        </w:rPr>
      </w:pPr>
      <w:r>
        <w:rPr>
          <w:rFonts w:hint="eastAsia" w:cs="宋体"/>
          <w:color w:val="000000"/>
          <w:sz w:val="21"/>
          <w:szCs w:val="21"/>
          <w:highlight w:val="none"/>
        </w:rPr>
        <w:t xml:space="preserve">法定代表人或代理人：（签字或签章）               年     月     日</w:t>
      </w:r>
      <w:r>
        <w:rPr>
          <w:rFonts w:hint="eastAsia" w:cs="宋体"/>
          <w:color w:val="000000"/>
          <w:sz w:val="21"/>
          <w:szCs w:val="21"/>
          <w:highlight w:val="none"/>
        </w:rPr>
      </w:r>
      <w:r/>
    </w:p>
    <w:p>
      <w:pPr>
        <w:pStyle w:val="1008"/>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bookmarkEnd w:id="21"/>
      <w:r>
        <w:rPr>
          <w:rFonts w:hint="eastAsia" w:ascii="宋体" w:hAnsi="宋体" w:cs="宋体"/>
          <w:b/>
          <w:bCs/>
          <w:color w:val="000000"/>
          <w:sz w:val="21"/>
          <w:szCs w:val="21"/>
          <w:highlight w:val="none"/>
          <w:lang w:val="en-US" w:eastAsia="zh-CN"/>
        </w:rPr>
        <w:t xml:space="preserve">附件</w:t>
      </w:r>
      <w:r>
        <w:rPr>
          <w:rFonts w:hint="eastAsia" w:ascii="宋体" w:hAnsi="宋体" w:cs="宋体"/>
          <w:b/>
          <w:color w:val="000000"/>
          <w:sz w:val="21"/>
          <w:szCs w:val="21"/>
          <w:highlight w:val="none"/>
        </w:rPr>
        <w:t xml:space="preserve">2、法人授权委托书</w:t>
      </w:r>
      <w:r>
        <w:rPr>
          <w:rFonts w:hint="eastAsia" w:ascii="宋体" w:hAnsi="宋体" w:cs="宋体"/>
          <w:b/>
          <w:color w:val="000000"/>
          <w:sz w:val="21"/>
          <w:szCs w:val="21"/>
          <w:highlight w:val="none"/>
        </w:rPr>
      </w:r>
      <w:r/>
    </w:p>
    <w:p>
      <w:pPr>
        <w:pStyle w:val="1008"/>
        <w:jc w:val="center"/>
        <w:spacing w:line="360" w:lineRule="auto"/>
        <w:widowControl w:val="off"/>
        <w:rPr>
          <w:rFonts w:hint="eastAsia" w:ascii="宋体" w:hAnsi="宋体" w:cs="宋体"/>
          <w:b/>
          <w:color w:val="000000"/>
          <w:sz w:val="28"/>
          <w:szCs w:val="28"/>
          <w:highlight w:val="none"/>
          <w:lang w:val="zh-CN"/>
        </w:rPr>
        <w:outlineLvl w:val="9"/>
      </w:pPr>
      <w:r/>
      <w:bookmarkStart w:id="22" w:name="_Toc48639200"/>
      <w:r/>
      <w:bookmarkStart w:id="23" w:name="_Toc48639329"/>
      <w:r/>
      <w:bookmarkStart w:id="24" w:name="_Hlk142048448"/>
      <w:r>
        <w:rPr>
          <w:rFonts w:hint="eastAsia" w:ascii="宋体" w:hAnsi="宋体" w:cs="宋体"/>
          <w:b/>
          <w:color w:val="000000"/>
          <w:sz w:val="28"/>
          <w:szCs w:val="28"/>
          <w:highlight w:val="none"/>
          <w:lang w:val="zh-CN"/>
        </w:rPr>
        <w:t xml:space="preserve">法人授权委托书</w:t>
      </w:r>
      <w:bookmarkEnd w:id="22"/>
      <w:r/>
      <w:bookmarkEnd w:id="23"/>
      <w:r>
        <w:rPr>
          <w:rFonts w:hint="eastAsia" w:ascii="宋体" w:hAnsi="宋体" w:cs="宋体"/>
          <w:b/>
          <w:color w:val="000000"/>
          <w:sz w:val="28"/>
          <w:szCs w:val="28"/>
          <w:highlight w:val="none"/>
          <w:lang w:val="zh-CN"/>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本授权委托书声明：我 </w:t>
      </w:r>
      <w:r>
        <w:rPr>
          <w:rFonts w:hint="eastAsia" w:ascii="宋体" w:hAnsi="宋体" w:cs="宋体"/>
          <w:color w:val="000000"/>
          <w:sz w:val="21"/>
          <w:szCs w:val="21"/>
          <w:highlight w:val="none"/>
          <w:u w:val="single"/>
          <w:lang w:val="zh-CN"/>
        </w:rPr>
        <w:t xml:space="preserve">  X   X   X  </w:t>
      </w:r>
      <w:r>
        <w:rPr>
          <w:rFonts w:hint="eastAsia" w:ascii="宋体" w:hAnsi="宋体" w:cs="宋体"/>
          <w:color w:val="000000"/>
          <w:sz w:val="21"/>
          <w:szCs w:val="21"/>
          <w:highlight w:val="none"/>
          <w:lang w:val="zh-CN"/>
        </w:rPr>
        <w:t xml:space="preserve">（姓名）系</w:t>
      </w:r>
      <w:r>
        <w:rPr>
          <w:rFonts w:hint="eastAsia" w:ascii="宋体" w:hAnsi="宋体" w:cs="宋体"/>
          <w:color w:val="000000"/>
          <w:sz w:val="21"/>
          <w:szCs w:val="21"/>
          <w:highlight w:val="none"/>
          <w:u w:val="single"/>
          <w:lang w:val="zh-CN"/>
        </w:rPr>
        <w:t xml:space="preserve">     X    X    X    </w:t>
      </w:r>
      <w:r>
        <w:rPr>
          <w:rFonts w:hint="eastAsia" w:ascii="宋体" w:hAnsi="宋体" w:cs="宋体"/>
          <w:color w:val="000000"/>
          <w:sz w:val="21"/>
          <w:szCs w:val="21"/>
          <w:highlight w:val="none"/>
          <w:lang w:val="zh-CN"/>
        </w:rPr>
        <w:t xml:space="preserve">（投标人名称）的法定代表人，现授权委托</w:t>
      </w:r>
      <w:r>
        <w:rPr>
          <w:rFonts w:hint="eastAsia" w:ascii="宋体" w:hAnsi="宋体" w:cs="宋体"/>
          <w:color w:val="000000"/>
          <w:sz w:val="21"/>
          <w:szCs w:val="21"/>
          <w:highlight w:val="none"/>
          <w:u w:val="single"/>
          <w:lang w:val="zh-CN"/>
        </w:rPr>
        <w:t xml:space="preserve">   X  X  X   </w:t>
      </w:r>
      <w:r>
        <w:rPr>
          <w:rFonts w:hint="eastAsia" w:ascii="宋体" w:hAnsi="宋体" w:cs="宋体"/>
          <w:color w:val="000000"/>
          <w:sz w:val="21"/>
          <w:szCs w:val="21"/>
          <w:highlight w:val="none"/>
          <w:lang w:val="zh-CN"/>
        </w:rPr>
        <w:t xml:space="preserve">（姓名）为我公司代理人，以本公司的名义参加苏州中海工程项目管理有限公司组织实施的编号为</w:t>
      </w:r>
      <w:r>
        <w:rPr>
          <w:rFonts w:hint="eastAsia" w:ascii="宋体" w:hAnsi="宋体" w:cs="宋体"/>
          <w:color w:val="000000"/>
          <w:sz w:val="21"/>
          <w:szCs w:val="21"/>
          <w:highlight w:val="none"/>
          <w:u w:val="single"/>
          <w:lang w:val="zh-CN"/>
        </w:rPr>
        <w:t xml:space="preserve">   X   X   X    </w:t>
      </w:r>
      <w:r>
        <w:rPr>
          <w:rFonts w:hint="eastAsia" w:ascii="宋体" w:hAnsi="宋体" w:cs="宋体"/>
          <w:color w:val="000000"/>
          <w:sz w:val="21"/>
          <w:szCs w:val="21"/>
          <w:highlight w:val="none"/>
          <w:lang w:val="zh-CN"/>
        </w:rPr>
        <w:t xml:space="preserve">号公开招标的招投标活动。代理人在开标、评标、合同谈判过程中所签署的一切文件和处理与这有关的一切事务，我均予以承认。</w:t>
      </w:r>
      <w:r>
        <w:rPr>
          <w:rFonts w:hint="eastAsia" w:ascii="宋体" w:hAnsi="宋体" w:cs="宋体"/>
          <w:color w:val="000000"/>
          <w:sz w:val="21"/>
          <w:szCs w:val="21"/>
          <w:highlight w:val="none"/>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highlight w:val="none"/>
        </w:rPr>
      </w:r>
      <w:r/>
    </w:p>
    <w:p>
      <w:pPr>
        <w:pStyle w:val="1008"/>
        <w:ind w:firstLine="425"/>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代理人无转委托权。特此委托。</w:t>
      </w:r>
      <w:r>
        <w:rPr>
          <w:rFonts w:hint="eastAsia" w:ascii="宋体" w:hAnsi="宋体" w:cs="宋体"/>
          <w:color w:val="000000"/>
          <w:sz w:val="21"/>
          <w:szCs w:val="21"/>
          <w:highlight w:val="none"/>
        </w:rPr>
      </w:r>
      <w:r/>
    </w:p>
    <w:p>
      <w:pPr>
        <w:pStyle w:val="103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投标人：（公章）</w:t>
      </w:r>
      <w:r>
        <w:rPr>
          <w:rFonts w:hint="eastAsia" w:ascii="宋体" w:hAnsi="宋体" w:eastAsia="宋体" w:cs="宋体"/>
          <w:color w:val="000000"/>
          <w:sz w:val="21"/>
          <w:szCs w:val="21"/>
          <w:highlight w:val="none"/>
        </w:rPr>
      </w:r>
      <w:r/>
    </w:p>
    <w:p>
      <w:pPr>
        <w:pStyle w:val="103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法定代表人：（签字或签章）</w:t>
      </w:r>
      <w:r>
        <w:rPr>
          <w:rFonts w:hint="eastAsia" w:ascii="宋体" w:hAnsi="宋体" w:eastAsia="宋体" w:cs="宋体"/>
          <w:color w:val="000000"/>
          <w:sz w:val="21"/>
          <w:szCs w:val="21"/>
          <w:highlight w:val="none"/>
        </w:rPr>
      </w:r>
      <w:r/>
    </w:p>
    <w:p>
      <w:pPr>
        <w:pStyle w:val="103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代理人：（签字）</w:t>
      </w:r>
      <w:r>
        <w:rPr>
          <w:rFonts w:hint="eastAsia" w:ascii="宋体" w:hAnsi="宋体" w:eastAsia="宋体" w:cs="宋体"/>
          <w:color w:val="000000"/>
          <w:sz w:val="21"/>
          <w:szCs w:val="21"/>
          <w:highlight w:val="none"/>
        </w:rPr>
      </w:r>
      <w:r/>
    </w:p>
    <w:p>
      <w:pPr>
        <w:pStyle w:val="1030"/>
        <w:jc w:val="righ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bookmarkEnd w:id="24"/>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lang w:val="zh-CN"/>
        </w:rPr>
        <w:t xml:space="preserve">3、开标一览表</w:t>
      </w:r>
      <w:r>
        <w:rPr>
          <w:rFonts w:hint="eastAsia" w:ascii="宋体" w:hAnsi="宋体" w:cs="宋体"/>
          <w:color w:val="000000"/>
          <w:sz w:val="21"/>
          <w:szCs w:val="21"/>
          <w:highlight w:val="none"/>
        </w:rPr>
      </w:r>
      <w:r/>
    </w:p>
    <w:p>
      <w:pPr>
        <w:pStyle w:val="1008"/>
        <w:jc w:val="center"/>
        <w:spacing w:line="360" w:lineRule="auto"/>
        <w:widowControl w:val="off"/>
        <w:rPr>
          <w:rFonts w:hint="eastAsia" w:ascii="宋体" w:hAnsi="宋体" w:cs="宋体"/>
          <w:b/>
          <w:color w:val="000000"/>
          <w:sz w:val="28"/>
          <w:szCs w:val="28"/>
          <w:highlight w:val="none"/>
          <w:lang w:val="zh-CN"/>
        </w:rPr>
        <w:outlineLvl w:val="9"/>
      </w:pPr>
      <w:r/>
      <w:bookmarkStart w:id="25" w:name="_Toc48639201"/>
      <w:r/>
      <w:bookmarkStart w:id="26" w:name="_Toc48639330"/>
      <w:r/>
      <w:bookmarkStart w:id="27" w:name="_Hlk142048489"/>
      <w:r>
        <w:rPr>
          <w:rFonts w:hint="eastAsia" w:ascii="宋体" w:hAnsi="宋体" w:cs="宋体"/>
          <w:b/>
          <w:color w:val="000000"/>
          <w:sz w:val="28"/>
          <w:szCs w:val="28"/>
          <w:highlight w:val="none"/>
          <w:lang w:val="zh-CN"/>
        </w:rPr>
        <w:t xml:space="preserve">开标一览表</w:t>
      </w:r>
      <w:bookmarkEnd w:id="25"/>
      <w:r/>
      <w:bookmarkEnd w:id="26"/>
      <w:r>
        <w:rPr>
          <w:rFonts w:hint="eastAsia" w:ascii="宋体" w:hAnsi="宋体" w:cs="宋体"/>
          <w:b/>
          <w:color w:val="000000"/>
          <w:sz w:val="28"/>
          <w:szCs w:val="28"/>
          <w:highlight w:val="none"/>
          <w:lang w:val="zh-CN"/>
        </w:rPr>
      </w:r>
      <w:r/>
    </w:p>
    <w:p>
      <w:pPr>
        <w:pStyle w:val="1047"/>
        <w:ind w:firstLine="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招标编号：</w:t>
      </w:r>
      <w:r>
        <w:rPr>
          <w:rFonts w:hint="eastAsia" w:ascii="宋体" w:hAnsi="宋体" w:eastAsia="宋体" w:cs="宋体"/>
          <w:color w:val="000000"/>
          <w:sz w:val="21"/>
          <w:szCs w:val="21"/>
          <w:highlight w:val="none"/>
        </w:rPr>
      </w:r>
      <w:r/>
    </w:p>
    <w:p>
      <w:pPr>
        <w:pStyle w:val="1047"/>
        <w:ind w:firstLine="360"/>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标段号：</w:t>
      </w:r>
      <w:r>
        <w:rPr>
          <w:rFonts w:hint="eastAsia" w:hAnsi="宋体" w:eastAsia="宋体" w:cs="宋体"/>
          <w:color w:val="000000"/>
          <w:sz w:val="21"/>
          <w:szCs w:val="21"/>
          <w:highlight w:val="none"/>
          <w:lang w:val="en-US" w:eastAsia="zh-CN"/>
        </w:rPr>
      </w:r>
      <w:r/>
    </w:p>
    <w:p>
      <w:pPr>
        <w:pStyle w:val="1047"/>
        <w:ind w:firstLine="360"/>
        <w:spacing w:line="360" w:lineRule="auto"/>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标段名称：</w:t>
      </w:r>
      <w:r>
        <w:rPr>
          <w:rFonts w:hAnsi="宋体" w:eastAsia="宋体" w:cs="宋体"/>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87"/>
        <w:gridCol w:w="2977"/>
        <w:gridCol w:w="1448"/>
        <w:gridCol w:w="1455"/>
      </w:tblGrid>
      <w:tr>
        <w:trPr/>
        <w:tc>
          <w:tcPr>
            <w:tcW w:w="3487" w:type="dxa"/>
            <w:vAlign w:val="center"/>
            <w:textDirection w:val="lrTb"/>
            <w:noWrap w:val="false"/>
          </w:tcPr>
          <w:p>
            <w:pPr>
              <w:pStyle w:val="1154"/>
              <w:jc w:val="center"/>
              <w:spacing w:line="360" w:lineRule="auto"/>
              <w:rPr>
                <w:rFonts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标段名称</w:t>
            </w:r>
            <w:r>
              <w:rPr>
                <w:rFonts w:ascii="宋体" w:hAnsi="宋体" w:eastAsia="宋体" w:cs="宋体"/>
                <w:color w:val="000000"/>
                <w:sz w:val="21"/>
                <w:szCs w:val="21"/>
                <w:highlight w:val="none"/>
                <w:lang w:val="en-US" w:eastAsia="zh-CN"/>
              </w:rPr>
            </w:r>
            <w:r/>
          </w:p>
        </w:tc>
        <w:tc>
          <w:tcPr>
            <w:tcW w:w="2977"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投标总报价</w:t>
            </w:r>
            <w:r>
              <w:rPr>
                <w:rFonts w:hint="eastAsia" w:ascii="宋体" w:hAnsi="宋体" w:eastAsia="宋体" w:cs="宋体"/>
                <w:color w:val="000000"/>
                <w:sz w:val="21"/>
                <w:szCs w:val="21"/>
                <w:highlight w:val="none"/>
              </w:rPr>
            </w:r>
            <w:r/>
          </w:p>
        </w:tc>
        <w:tc>
          <w:tcPr>
            <w:tcW w:w="1448"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免费质保期</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交货时间</w:t>
            </w:r>
            <w:r>
              <w:rPr>
                <w:rFonts w:hint="eastAsia" w:ascii="宋体" w:hAnsi="宋体" w:eastAsia="宋体" w:cs="宋体"/>
                <w:color w:val="000000"/>
                <w:sz w:val="21"/>
                <w:szCs w:val="21"/>
                <w:highlight w:val="none"/>
              </w:rPr>
            </w:r>
            <w:r/>
          </w:p>
        </w:tc>
      </w:tr>
      <w:tr>
        <w:trPr/>
        <w:tc>
          <w:tcPr>
            <w:tcW w:w="3487"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54"/>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54"/>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77"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48"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758"/>
        </w:trPr>
        <w:tc>
          <w:tcPr>
            <w:gridSpan w:val="4"/>
            <w:tcW w:w="9367" w:type="dxa"/>
            <w:vAlign w:val="center"/>
            <w:textDirection w:val="lrTb"/>
            <w:noWrap w:val="false"/>
          </w:tcPr>
          <w:p>
            <w:pPr>
              <w:pStyle w:val="115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投标总报价（人民币大写）</w:t>
            </w:r>
            <w:r>
              <w:rPr>
                <w:rFonts w:hint="eastAsia" w:ascii="宋体" w:hAnsi="宋体" w:eastAsia="宋体" w:cs="宋体"/>
                <w:color w:val="000000"/>
                <w:sz w:val="21"/>
                <w:szCs w:val="21"/>
                <w:highlight w:val="none"/>
              </w:rPr>
            </w:r>
            <w:r/>
          </w:p>
        </w:tc>
      </w:tr>
      <w:tr>
        <w:trPr>
          <w:cantSplit/>
          <w:trHeight w:val="693"/>
        </w:trPr>
        <w:tc>
          <w:tcPr>
            <w:gridSpan w:val="4"/>
            <w:tcW w:w="9367" w:type="dxa"/>
            <w:vAlign w:val="center"/>
            <w:textDirection w:val="lrTb"/>
            <w:noWrap w:val="false"/>
          </w:tcPr>
          <w:p>
            <w:pPr>
              <w:pStyle w:val="115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投标总报价（人民币小写）</w:t>
            </w:r>
            <w:r>
              <w:rPr>
                <w:rFonts w:hint="eastAsia" w:ascii="宋体" w:hAnsi="宋体" w:eastAsia="宋体" w:cs="宋体"/>
                <w:color w:val="000000"/>
                <w:sz w:val="21"/>
                <w:szCs w:val="21"/>
                <w:highlight w:val="none"/>
              </w:rPr>
            </w:r>
            <w:r/>
          </w:p>
        </w:tc>
      </w:tr>
    </w:tbl>
    <w:p>
      <w:pPr>
        <w:pStyle w:val="1008"/>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08"/>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08"/>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08"/>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br w:type="page" w:clear="all"/>
      </w:r>
      <w:bookmarkEnd w:id="27"/>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lang w:val="zh-CN"/>
        </w:rPr>
        <w:t xml:space="preserve">4、投标分项报价表（报价分析）</w:t>
      </w:r>
      <w:r>
        <w:rPr>
          <w:rFonts w:hint="eastAsia" w:ascii="宋体" w:hAnsi="宋体" w:cs="宋体"/>
          <w:b/>
          <w:bCs/>
          <w:color w:val="000000"/>
          <w:sz w:val="21"/>
          <w:szCs w:val="21"/>
          <w:highlight w:val="none"/>
        </w:rPr>
      </w:r>
      <w:r/>
    </w:p>
    <w:p>
      <w:pPr>
        <w:pStyle w:val="1008"/>
        <w:jc w:val="center"/>
        <w:spacing w:line="360" w:lineRule="auto"/>
        <w:widowControl w:val="off"/>
        <w:rPr>
          <w:rFonts w:hint="eastAsia" w:ascii="宋体" w:hAnsi="宋体" w:cs="宋体"/>
          <w:b/>
          <w:color w:val="000000"/>
          <w:sz w:val="28"/>
          <w:szCs w:val="28"/>
          <w:highlight w:val="none"/>
          <w:lang w:val="zh-CN"/>
        </w:rPr>
        <w:outlineLvl w:val="9"/>
      </w:pPr>
      <w:r/>
      <w:bookmarkStart w:id="28" w:name="_Hlk142048514"/>
      <w:r/>
      <w:bookmarkStart w:id="29" w:name="_Toc48639202"/>
      <w:r/>
      <w:bookmarkStart w:id="30" w:name="_Toc48639331"/>
      <w:r/>
      <w:bookmarkStart w:id="31" w:name="_Hlk142048538"/>
      <w:r>
        <w:rPr>
          <w:rFonts w:hint="eastAsia" w:ascii="宋体" w:hAnsi="宋体" w:eastAsia="宋体" w:cs="宋体"/>
          <w:b/>
          <w:bCs/>
          <w:color w:val="000000"/>
          <w:sz w:val="21"/>
          <w:szCs w:val="21"/>
          <w:highlight w:val="none"/>
          <w:lang w:val="en-US" w:eastAsia="zh-CN" w:bidi="ar-SA"/>
        </w:rPr>
        <w:t xml:space="preserve">投标报价分析表1</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标段</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cs="宋体"/>
          <w:b/>
          <w:color w:val="000000"/>
          <w:sz w:val="28"/>
          <w:szCs w:val="28"/>
          <w:highlight w:val="none"/>
          <w:lang w:val="zh-CN"/>
        </w:rPr>
      </w:r>
      <w:r/>
    </w:p>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（格式）</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hint="eastAsia" w:ascii="宋体" w:hAnsi="宋体" w:cs="宋体"/>
          <w:color w:val="000000"/>
          <w:sz w:val="21"/>
          <w:szCs w:val="21"/>
          <w:highlight w:val="none"/>
        </w:rPr>
      </w:r>
      <w:r/>
    </w:p>
    <w:tbl>
      <w:tblPr>
        <w:tblW w:w="86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4680"/>
        <w:gridCol w:w="1867"/>
      </w:tblGrid>
      <w:tr>
        <w:trPr>
          <w:trHeight w:val="566"/>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费用明细</w:t>
            </w:r>
            <w:r>
              <w:rPr>
                <w:rFonts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费用（元）</w:t>
            </w: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货物费用</w:t>
            </w:r>
            <w:r>
              <w:rPr>
                <w:rFonts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运输费用</w:t>
            </w:r>
            <w:r>
              <w:rPr>
                <w:rFonts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人工</w:t>
            </w:r>
            <w:r>
              <w:rPr>
                <w:rFonts w:hint="eastAsia"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其他费用</w:t>
            </w:r>
            <w:r>
              <w:rPr>
                <w:rFonts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管理费</w:t>
            </w:r>
            <w:r>
              <w:rPr>
                <w:rFonts w:hint="eastAsia"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税金</w:t>
            </w:r>
            <w:r>
              <w:rPr>
                <w:rFonts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利润</w:t>
            </w:r>
            <w:r>
              <w:rPr>
                <w:rFonts w:hint="eastAsia"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1"/>
        </w:trPr>
        <w:tc>
          <w:tcPr>
            <w:gridSpan w:val="2"/>
            <w:tcW w:w="2118" w:type="dxa"/>
            <w:vAlign w:val="center"/>
            <w:textDirection w:val="lrTb"/>
            <w:noWrap w:val="false"/>
          </w:tcPr>
          <w:p>
            <w:pPr>
              <w:pStyle w:val="1008"/>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投标总报价：</w:t>
            </w:r>
            <w:r>
              <w:rPr>
                <w:rFonts w:hint="eastAsia" w:ascii="宋体" w:hAnsi="宋体" w:cs="宋体"/>
                <w:color w:val="000000"/>
                <w:sz w:val="21"/>
                <w:szCs w:val="21"/>
                <w:highlight w:val="none"/>
              </w:rPr>
            </w:r>
            <w:r/>
          </w:p>
        </w:tc>
        <w:tc>
          <w:tcPr>
            <w:gridSpan w:val="2"/>
            <w:tcW w:w="6547" w:type="dxa"/>
            <w:vAlign w:val="center"/>
            <w:textDirection w:val="lrTb"/>
            <w:noWrap w:val="false"/>
          </w:tcPr>
          <w:p>
            <w:pPr>
              <w:pStyle w:val="1008"/>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大写：                                           元</w:t>
            </w:r>
            <w:r>
              <w:rPr>
                <w:rFonts w:hint="eastAsia" w:ascii="宋体" w:hAnsi="宋体" w:cs="宋体"/>
                <w:color w:val="000000"/>
                <w:sz w:val="21"/>
                <w:szCs w:val="21"/>
                <w:highlight w:val="none"/>
              </w:rPr>
            </w:r>
            <w:r/>
          </w:p>
        </w:tc>
      </w:tr>
      <w:tr>
        <w:trPr>
          <w:trHeight w:val="561"/>
        </w:trPr>
        <w:tc>
          <w:tcPr>
            <w:gridSpan w:val="4"/>
            <w:tcW w:w="8665" w:type="dxa"/>
            <w:vAlign w:val="center"/>
            <w:textDirection w:val="lrTb"/>
            <w:noWrap w:val="false"/>
          </w:tcPr>
          <w:p>
            <w:pPr>
              <w:pStyle w:val="1008"/>
              <w:rPr>
                <w:rFonts w:hint="eastAsia" w:ascii="宋体" w:hAnsi="宋体" w:cs="宋体"/>
                <w:color w:val="000000"/>
                <w:sz w:val="21"/>
                <w:szCs w:val="21"/>
                <w:highlight w:val="none"/>
                <w:lang w:val="zh-CN"/>
              </w:rPr>
            </w:pPr>
            <w:r>
              <w:rPr>
                <w:rFonts w:hint="eastAsia" w:ascii="宋体" w:hAnsi="宋体" w:eastAsia="宋体" w:cs="宋体"/>
                <w:color w:val="000000"/>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zh-CN"/>
              </w:rPr>
            </w:r>
            <w:r/>
          </w:p>
        </w:tc>
      </w:tr>
    </w:tbl>
    <w:p>
      <w:pPr>
        <w:pStyle w:val="1008"/>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本投标分项报价表的“项目总价之和”应与“开标一览表”投标总价一致。</w:t>
      </w:r>
      <w:r>
        <w:rPr>
          <w:rFonts w:hint="eastAsia" w:ascii="宋体" w:hAnsi="宋体" w:cs="宋体"/>
          <w:color w:val="000000"/>
          <w:sz w:val="21"/>
          <w:szCs w:val="21"/>
          <w:highlight w:val="none"/>
        </w:rPr>
      </w:r>
      <w:r/>
    </w:p>
    <w:p>
      <w:pPr>
        <w:pStyle w:val="1008"/>
        <w:ind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各投标人应根据此表格式按项目分别填写报价详细清单。所列费用项目仅供参考，项目明细自拟。</w:t>
      </w:r>
      <w:r>
        <w:rPr>
          <w:rFonts w:ascii="宋体" w:hAnsi="宋体" w:cs="宋体"/>
          <w:b/>
          <w:color w:val="000000"/>
          <w:sz w:val="21"/>
          <w:szCs w:val="21"/>
          <w:highlight w:val="none"/>
        </w:rPr>
      </w:r>
      <w:r/>
    </w:p>
    <w:p>
      <w:pPr>
        <w:pStyle w:val="1008"/>
        <w:jc w:val="center"/>
        <w:spacing w:line="360" w:lineRule="auto"/>
        <w:widowControl w:val="off"/>
        <w:rPr>
          <w:rFonts w:hint="eastAsia" w:ascii="宋体" w:hAnsi="宋体" w:cs="宋体"/>
          <w:b/>
          <w:color w:val="000000"/>
          <w:sz w:val="28"/>
          <w:szCs w:val="28"/>
          <w:highlight w:val="none"/>
          <w:lang w:val="zh-CN"/>
        </w:rPr>
        <w:outlineLvl w:val="9"/>
      </w:pPr>
      <w:r>
        <w:rPr>
          <w:rFonts w:hint="eastAsia" w:ascii="宋体" w:hAnsi="宋体" w:cs="宋体"/>
          <w:b/>
          <w:color w:val="000000"/>
          <w:sz w:val="28"/>
          <w:szCs w:val="28"/>
          <w:highlight w:val="none"/>
          <w:lang w:val="zh-CN"/>
        </w:rPr>
        <w:br w:type="page" w:clear="all"/>
      </w:r>
      <w:bookmarkEnd w:id="28"/>
      <w:r/>
      <w:bookmarkEnd w:id="29"/>
      <w:r/>
      <w:bookmarkEnd w:id="30"/>
      <w:r>
        <w:rPr>
          <w:rFonts w:hint="eastAsia" w:ascii="宋体" w:hAnsi="宋体" w:eastAsia="宋体" w:cs="宋体"/>
          <w:b/>
          <w:bCs/>
          <w:color w:val="000000"/>
          <w:sz w:val="21"/>
          <w:szCs w:val="21"/>
          <w:highlight w:val="none"/>
          <w:lang w:val="en-US" w:eastAsia="zh-CN" w:bidi="ar-SA"/>
        </w:rPr>
        <w:t xml:space="preserve">投标报价分析表2</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标段</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cs="宋体"/>
          <w:b/>
          <w:color w:val="000000"/>
          <w:sz w:val="28"/>
          <w:szCs w:val="28"/>
          <w:highlight w:val="none"/>
          <w:lang w:val="zh-CN"/>
        </w:rPr>
      </w:r>
      <w:r/>
    </w:p>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（格式）</w:t>
      </w:r>
      <w:r>
        <w:rPr>
          <w:rFonts w:hint="eastAsia" w:ascii="宋体" w:hAnsi="宋体" w:cs="宋体"/>
          <w:color w:val="000000"/>
          <w:sz w:val="21"/>
          <w:szCs w:val="21"/>
          <w:highlight w:val="none"/>
        </w:rPr>
      </w:r>
      <w:r/>
    </w:p>
    <w:p>
      <w:pPr>
        <w:pStyle w:val="104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招标编号：  </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项目名称：                        单位：元</w:t>
      </w:r>
      <w:r>
        <w:rPr>
          <w:rFonts w:hint="eastAsia" w:ascii="宋体" w:hAnsi="宋体" w:cs="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165"/>
        <w:gridCol w:w="711"/>
        <w:gridCol w:w="9"/>
        <w:gridCol w:w="720"/>
        <w:gridCol w:w="720"/>
        <w:gridCol w:w="986"/>
        <w:gridCol w:w="881"/>
      </w:tblGrid>
      <w:tr>
        <w:trPr>
          <w:trHeight w:val="566"/>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标的物名称</w:t>
            </w: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品牌、规格</w:t>
            </w: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生产厂家</w:t>
            </w:r>
            <w:r>
              <w:rPr>
                <w:rFonts w:hint="eastAsia" w:ascii="宋体" w:hAnsi="宋体" w:cs="宋体"/>
                <w:color w:val="000000"/>
                <w:sz w:val="21"/>
                <w:szCs w:val="21"/>
                <w:highlight w:val="none"/>
              </w:rPr>
            </w:r>
            <w:r/>
          </w:p>
        </w:tc>
        <w:tc>
          <w:tcPr>
            <w:gridSpan w:val="2"/>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w:t>
            </w: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数量</w:t>
            </w: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单价</w:t>
            </w: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总价</w:t>
            </w: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交付期</w:t>
            </w: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1"/>
        </w:trPr>
        <w:tc>
          <w:tcPr>
            <w:gridSpan w:val="2"/>
            <w:tcW w:w="2118" w:type="dxa"/>
            <w:vAlign w:val="center"/>
            <w:textDirection w:val="lrTb"/>
            <w:noWrap w:val="false"/>
          </w:tcPr>
          <w:p>
            <w:pPr>
              <w:pStyle w:val="1008"/>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投标总报价：</w:t>
            </w:r>
            <w:r>
              <w:rPr>
                <w:rFonts w:hint="eastAsia" w:ascii="宋体" w:hAnsi="宋体" w:cs="宋体"/>
                <w:color w:val="000000"/>
                <w:sz w:val="21"/>
                <w:szCs w:val="21"/>
                <w:highlight w:val="none"/>
              </w:rPr>
            </w:r>
            <w:r/>
          </w:p>
        </w:tc>
        <w:tc>
          <w:tcPr>
            <w:gridSpan w:val="8"/>
            <w:tcW w:w="6547" w:type="dxa"/>
            <w:vAlign w:val="center"/>
            <w:textDirection w:val="lrTb"/>
            <w:noWrap w:val="false"/>
          </w:tcPr>
          <w:p>
            <w:pPr>
              <w:pStyle w:val="1008"/>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大写：                                           元</w:t>
            </w:r>
            <w:r>
              <w:rPr>
                <w:rFonts w:hint="eastAsia" w:ascii="宋体" w:hAnsi="宋体" w:cs="宋体"/>
                <w:color w:val="000000"/>
                <w:sz w:val="21"/>
                <w:szCs w:val="21"/>
                <w:highlight w:val="none"/>
              </w:rPr>
            </w:r>
            <w:r/>
          </w:p>
        </w:tc>
      </w:tr>
      <w:tr>
        <w:trPr>
          <w:trHeight w:val="561"/>
        </w:trPr>
        <w:tc>
          <w:tcPr>
            <w:gridSpan w:val="10"/>
            <w:tcW w:w="8665" w:type="dxa"/>
            <w:vAlign w:val="center"/>
            <w:textDirection w:val="lrTb"/>
            <w:noWrap w:val="false"/>
          </w:tcPr>
          <w:p>
            <w:pPr>
              <w:pStyle w:val="1008"/>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交货时间：</w:t>
            </w:r>
            <w:r>
              <w:rPr>
                <w:rFonts w:hint="eastAsia" w:ascii="宋体" w:hAnsi="宋体" w:cs="宋体"/>
                <w:color w:val="000000"/>
                <w:sz w:val="21"/>
                <w:szCs w:val="21"/>
                <w:highlight w:val="none"/>
                <w:lang w:val="zh-CN"/>
              </w:rPr>
            </w:r>
            <w:r/>
          </w:p>
        </w:tc>
      </w:tr>
    </w:tbl>
    <w:p>
      <w:pPr>
        <w:pStyle w:val="1008"/>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注：1、本投标分项报价表的“项目总价之和”应与“开标一览表”投标总价一致。</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b/>
          <w:bCs/>
          <w:color w:val="000000"/>
          <w:sz w:val="21"/>
          <w:szCs w:val="21"/>
          <w:highlight w:val="none"/>
          <w:lang w:val="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各投标人应根据此表格式按项目分别填写报价详细清单。</w:t>
      </w:r>
      <w:bookmarkEnd w:id="31"/>
      <w:r>
        <w:rPr>
          <w:rFonts w:hint="eastAsia" w:cs="宋体"/>
          <w:b/>
          <w:color w:val="000000"/>
          <w:sz w:val="21"/>
          <w:szCs w:val="21"/>
          <w:highlight w:val="none"/>
        </w:rPr>
        <w:br w:type="page" w:clear="all"/>
      </w:r>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lang w:val="zh-CN"/>
        </w:rPr>
        <w:t xml:space="preserve">5：投标货物和服务数量、品牌、规格、质保期限说明表</w:t>
      </w:r>
      <w:r>
        <w:rPr>
          <w:rFonts w:hint="eastAsia" w:ascii="宋体" w:hAnsi="宋体" w:cs="宋体"/>
          <w:b/>
          <w:bCs/>
          <w:color w:val="000000"/>
          <w:sz w:val="21"/>
          <w:szCs w:val="21"/>
          <w:highlight w:val="none"/>
          <w:lang w:val="zh-CN"/>
        </w:rPr>
      </w:r>
      <w:r/>
    </w:p>
    <w:p>
      <w:pPr>
        <w:pStyle w:val="1047"/>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1167"/>
        <w:jc w:val="center"/>
        <w:spacing w:line="360" w:lineRule="auto"/>
        <w:rPr>
          <w:rStyle w:val="1166"/>
          <w:b/>
          <w:color w:val="000000"/>
          <w:highlight w:val="none"/>
        </w:rPr>
      </w:pPr>
      <w:r>
        <w:rPr>
          <w:rStyle w:val="1166"/>
          <w:b/>
          <w:color w:val="000000"/>
          <w:highlight w:val="none"/>
        </w:rPr>
        <w:t xml:space="preserve">投标货物和服务数量、品牌、规格、</w:t>
      </w:r>
      <w:r>
        <w:rPr>
          <w:rStyle w:val="1166"/>
          <w:b/>
          <w:color w:val="000000"/>
          <w:szCs w:val="21"/>
          <w:highlight w:val="none"/>
        </w:rPr>
        <w:t xml:space="preserve">质保期限</w:t>
      </w:r>
      <w:r>
        <w:rPr>
          <w:rStyle w:val="1166"/>
          <w:b/>
          <w:color w:val="000000"/>
          <w:highlight w:val="none"/>
        </w:rPr>
        <w:t xml:space="preserve">说明表</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标段</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zh-CN" w:eastAsia="zh-CN" w:bidi="ar-SA"/>
        </w:rPr>
        <w:t xml:space="preserve">）</w:t>
      </w:r>
      <w:r>
        <w:rPr>
          <w:rStyle w:val="1166"/>
          <w:b/>
          <w:color w:val="000000"/>
          <w:highlight w:val="none"/>
        </w:rPr>
      </w:r>
      <w:r/>
    </w:p>
    <w:p>
      <w:pPr>
        <w:pStyle w:val="1167"/>
        <w:jc w:val="center"/>
        <w:spacing w:line="360" w:lineRule="auto"/>
        <w:rPr>
          <w:rStyle w:val="1166"/>
          <w:b/>
          <w:color w:val="000000"/>
          <w:highlight w:val="none"/>
        </w:rPr>
      </w:pPr>
      <w:r>
        <w:rPr>
          <w:rStyle w:val="1166"/>
          <w:b/>
          <w:color w:val="000000"/>
          <w:highlight w:val="none"/>
        </w:rPr>
        <w:t xml:space="preserve">（本表中不得出现价格）</w:t>
      </w:r>
      <w:r>
        <w:rPr>
          <w:rStyle w:val="1166"/>
          <w:b/>
          <w:color w:val="000000"/>
          <w:highlight w:val="none"/>
        </w:rPr>
      </w:r>
      <w:r/>
    </w:p>
    <w:p>
      <w:pPr>
        <w:pStyle w:val="1167"/>
        <w:ind w:firstLine="315"/>
        <w:spacing w:line="360" w:lineRule="auto"/>
        <w:rPr>
          <w:rStyle w:val="1166"/>
          <w:color w:val="000000"/>
          <w:highlight w:val="none"/>
        </w:rPr>
      </w:pPr>
      <w:r>
        <w:rPr>
          <w:rStyle w:val="1166"/>
          <w:color w:val="000000"/>
          <w:highlight w:val="none"/>
        </w:rPr>
        <w:t xml:space="preserve">招标编号：                                        </w:t>
      </w:r>
      <w:r>
        <w:rPr>
          <w:rStyle w:val="1166"/>
          <w:color w:val="000000"/>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80"/>
        <w:gridCol w:w="1177"/>
        <w:gridCol w:w="1985"/>
        <w:gridCol w:w="1134"/>
        <w:gridCol w:w="1701"/>
        <w:gridCol w:w="1134"/>
      </w:tblGrid>
      <w:tr>
        <w:trPr/>
        <w:tc>
          <w:tcPr>
            <w:tcW w:w="828"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序号</w:t>
            </w:r>
            <w:r>
              <w:rPr>
                <w:rStyle w:val="1166"/>
                <w:color w:val="000000"/>
                <w:szCs w:val="24"/>
                <w:highlight w:val="none"/>
              </w:rPr>
            </w:r>
            <w:r/>
          </w:p>
        </w:tc>
        <w:tc>
          <w:tcPr>
            <w:tcW w:w="1080"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项目名称</w:t>
            </w:r>
            <w:r>
              <w:rPr>
                <w:rStyle w:val="1166"/>
                <w:color w:val="000000"/>
                <w:szCs w:val="24"/>
                <w:highlight w:val="none"/>
              </w:rPr>
            </w:r>
            <w:r/>
          </w:p>
        </w:tc>
        <w:tc>
          <w:tcPr>
            <w:tcW w:w="1177" w:type="dxa"/>
            <w:vAlign w:val="center"/>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规格型号</w:t>
            </w:r>
            <w:r>
              <w:rPr>
                <w:rStyle w:val="1166"/>
                <w:color w:val="000000"/>
                <w:szCs w:val="24"/>
                <w:highlight w:val="none"/>
              </w:rPr>
            </w:r>
            <w:r/>
          </w:p>
        </w:tc>
        <w:tc>
          <w:tcPr>
            <w:tcW w:w="1985" w:type="dxa"/>
            <w:vAlign w:val="center"/>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品牌、产地</w:t>
            </w:r>
            <w:r>
              <w:rPr>
                <w:rStyle w:val="1166"/>
                <w:color w:val="000000"/>
                <w:szCs w:val="24"/>
                <w:highlight w:val="none"/>
              </w:rPr>
            </w:r>
            <w:r/>
          </w:p>
        </w:tc>
        <w:tc>
          <w:tcPr>
            <w:tcW w:w="1134"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数量</w:t>
            </w:r>
            <w:r>
              <w:rPr>
                <w:rStyle w:val="1166"/>
                <w:color w:val="000000"/>
                <w:szCs w:val="24"/>
                <w:highlight w:val="none"/>
              </w:rPr>
            </w:r>
            <w:r/>
          </w:p>
        </w:tc>
        <w:tc>
          <w:tcPr>
            <w:tcW w:w="1701"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质保期限</w:t>
            </w:r>
            <w:r>
              <w:rPr>
                <w:rStyle w:val="1166"/>
                <w:color w:val="000000"/>
                <w:szCs w:val="24"/>
                <w:highlight w:val="none"/>
              </w:rPr>
            </w:r>
            <w:r/>
          </w:p>
        </w:tc>
        <w:tc>
          <w:tcPr>
            <w:tcW w:w="1134"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备注</w:t>
            </w:r>
            <w:r>
              <w:rPr>
                <w:rStyle w:val="1166"/>
                <w:color w:val="000000"/>
                <w:szCs w:val="24"/>
                <w:highlight w:val="none"/>
              </w:rPr>
            </w:r>
            <w:r/>
          </w:p>
        </w:tc>
      </w:tr>
      <w:tr>
        <w:trPr/>
        <w:tc>
          <w:tcPr>
            <w:tcW w:w="828"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c>
          <w:tcPr>
            <w:tcW w:w="1080"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c>
          <w:tcPr>
            <w:tcW w:w="1177"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c>
          <w:tcPr>
            <w:tcW w:w="1985"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c>
          <w:tcPr>
            <w:tcW w:w="1134"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c>
          <w:tcPr>
            <w:tcW w:w="1701"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c>
          <w:tcPr>
            <w:tcW w:w="1134"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r>
      <w:tr>
        <w:trPr/>
        <w:tc>
          <w:tcPr>
            <w:tcW w:w="828"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080"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177"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985"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134"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701"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134"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r>
      <w:tr>
        <w:trPr/>
        <w:tc>
          <w:tcPr>
            <w:tcW w:w="828"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080"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177"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985"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134"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701"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134"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r>
    </w:tbl>
    <w:p>
      <w:pPr>
        <w:pStyle w:val="1167"/>
        <w:jc w:val="left"/>
        <w:spacing w:line="360" w:lineRule="auto"/>
        <w:rPr>
          <w:rStyle w:val="1166"/>
          <w:color w:val="000000"/>
          <w:highlight w:val="none"/>
        </w:rPr>
      </w:pPr>
      <w:r>
        <w:rPr>
          <w:rStyle w:val="1166"/>
          <w:color w:val="000000"/>
          <w:highlight w:val="none"/>
        </w:rPr>
        <w:t xml:space="preserve">投标单位：（公章）</w:t>
      </w:r>
      <w:r>
        <w:rPr>
          <w:rStyle w:val="1166"/>
          <w:color w:val="000000"/>
          <w:highlight w:val="none"/>
        </w:rPr>
      </w:r>
      <w:r/>
    </w:p>
    <w:p>
      <w:pPr>
        <w:pStyle w:val="1008"/>
        <w:spacing w:line="360" w:lineRule="auto"/>
        <w:rPr>
          <w:rStyle w:val="1166"/>
          <w:color w:val="000000"/>
          <w:szCs w:val="24"/>
          <w:highlight w:val="none"/>
        </w:rPr>
      </w:pPr>
      <w:r>
        <w:rPr>
          <w:rStyle w:val="1166"/>
          <w:color w:val="000000"/>
          <w:szCs w:val="24"/>
          <w:highlight w:val="none"/>
        </w:rPr>
        <w:t xml:space="preserve">法定代表人或委托代理人：（签字或盖章）</w:t>
      </w:r>
      <w:r>
        <w:rPr>
          <w:rStyle w:val="1166"/>
          <w:color w:val="000000"/>
          <w:szCs w:val="24"/>
          <w:highlight w:val="none"/>
        </w:rPr>
      </w:r>
      <w:r/>
    </w:p>
    <w:p>
      <w:pPr>
        <w:pStyle w:val="1008"/>
        <w:spacing w:line="360" w:lineRule="auto"/>
        <w:rPr>
          <w:rStyle w:val="1166"/>
          <w:color w:val="000000"/>
          <w:szCs w:val="24"/>
          <w:highlight w:val="none"/>
        </w:rPr>
      </w:pPr>
      <w:r>
        <w:rPr>
          <w:rStyle w:val="1166"/>
          <w:color w:val="000000"/>
          <w:szCs w:val="24"/>
          <w:highlight w:val="none"/>
        </w:rPr>
        <w:t xml:space="preserve">日期：</w:t>
      </w:r>
      <w:r>
        <w:rPr>
          <w:rStyle w:val="1166"/>
          <w:rFonts w:hint="eastAsia"/>
          <w:color w:val="000000"/>
          <w:szCs w:val="24"/>
          <w:highlight w:val="none"/>
        </w:rPr>
        <w:t xml:space="preserve">        </w:t>
      </w:r>
      <w:r>
        <w:rPr>
          <w:rStyle w:val="1166"/>
          <w:rFonts w:hint="eastAsia"/>
          <w:color w:val="000000"/>
          <w:szCs w:val="24"/>
          <w:highlight w:val="none"/>
          <w:lang w:val="zh-CN"/>
        </w:rPr>
        <w:t xml:space="preserve">年</w:t>
      </w:r>
      <w:r>
        <w:rPr>
          <w:rStyle w:val="1166"/>
          <w:rFonts w:hint="eastAsia"/>
          <w:color w:val="000000"/>
          <w:szCs w:val="24"/>
          <w:highlight w:val="none"/>
        </w:rPr>
        <w:t xml:space="preserve">     </w:t>
      </w:r>
      <w:r>
        <w:rPr>
          <w:rStyle w:val="1166"/>
          <w:rFonts w:hint="eastAsia"/>
          <w:color w:val="000000"/>
          <w:szCs w:val="24"/>
          <w:highlight w:val="none"/>
          <w:lang w:val="zh-CN"/>
        </w:rPr>
        <w:t xml:space="preserve">月</w:t>
      </w:r>
      <w:r>
        <w:rPr>
          <w:rStyle w:val="1166"/>
          <w:rFonts w:hint="eastAsia"/>
          <w:color w:val="000000"/>
          <w:szCs w:val="24"/>
          <w:highlight w:val="none"/>
        </w:rPr>
        <w:t xml:space="preserve">     </w:t>
      </w:r>
      <w:r>
        <w:rPr>
          <w:rStyle w:val="1166"/>
          <w:rFonts w:hint="eastAsia"/>
          <w:color w:val="000000"/>
          <w:szCs w:val="24"/>
          <w:highlight w:val="none"/>
          <w:lang w:val="zh-CN"/>
        </w:rPr>
        <w:t xml:space="preserve">日</w:t>
      </w:r>
      <w:r>
        <w:rPr>
          <w:rStyle w:val="1166"/>
          <w:color w:val="000000"/>
          <w:szCs w:val="24"/>
          <w:highlight w:val="none"/>
        </w:rPr>
      </w:r>
      <w:r/>
    </w:p>
    <w:p>
      <w:pPr>
        <w:pStyle w:val="1008"/>
        <w:spacing w:line="360" w:lineRule="auto"/>
        <w:rPr>
          <w:rStyle w:val="1166"/>
          <w:b/>
          <w:color w:val="000000"/>
          <w:szCs w:val="21"/>
          <w:highlight w:val="none"/>
        </w:rPr>
      </w:pPr>
      <w:r>
        <w:rPr>
          <w:rStyle w:val="1166"/>
          <w:b/>
          <w:color w:val="000000"/>
          <w:szCs w:val="24"/>
          <w:highlight w:val="none"/>
        </w:rPr>
        <w:t xml:space="preserve">备注：1、</w:t>
      </w:r>
      <w:r>
        <w:rPr>
          <w:rStyle w:val="1166"/>
          <w:b/>
          <w:color w:val="000000"/>
          <w:szCs w:val="21"/>
          <w:highlight w:val="none"/>
        </w:rPr>
        <w:t xml:space="preserve">投标单位应</w:t>
      </w:r>
      <w:r>
        <w:rPr>
          <w:rStyle w:val="1166"/>
          <w:b/>
          <w:color w:val="000000"/>
          <w:szCs w:val="21"/>
          <w:highlight w:val="none"/>
        </w:rPr>
        <w:t xml:space="preserve">对各投标设备及部件的内容详细列出，</w:t>
      </w:r>
      <w:r>
        <w:rPr>
          <w:rStyle w:val="1166"/>
          <w:b/>
          <w:color w:val="000000"/>
          <w:szCs w:val="21"/>
          <w:highlight w:val="none"/>
        </w:rPr>
        <w:t xml:space="preserve">信息应与“</w:t>
      </w:r>
      <w:r>
        <w:rPr>
          <w:rStyle w:val="1166"/>
          <w:b/>
          <w:color w:val="000000"/>
          <w:szCs w:val="21"/>
          <w:highlight w:val="none"/>
        </w:rPr>
        <w:t xml:space="preserve">投标报价分析表”内容一致，本表中不得出现价格。</w:t>
      </w:r>
      <w:r>
        <w:rPr>
          <w:rStyle w:val="1166"/>
          <w:b/>
          <w:color w:val="000000"/>
          <w:szCs w:val="21"/>
          <w:highlight w:val="none"/>
        </w:rPr>
      </w:r>
      <w:r/>
    </w:p>
    <w:p>
      <w:pPr>
        <w:pStyle w:val="1039"/>
        <w:rPr>
          <w:b/>
          <w:bCs/>
          <w:color w:val="000000"/>
          <w:sz w:val="21"/>
          <w:szCs w:val="21"/>
          <w:highlight w:val="none"/>
        </w:rPr>
      </w:pPr>
      <w:r>
        <w:rPr>
          <w:rFonts w:hint="eastAsia"/>
          <w:b/>
          <w:bCs/>
          <w:color w:val="000000"/>
          <w:sz w:val="21"/>
          <w:szCs w:val="21"/>
          <w:highlight w:val="none"/>
        </w:rPr>
        <w:t xml:space="preserve">（格式为参考，投标单位可参照下述格式自制表格投标，但至少应包括下述格式中的内容，没有参考格式的则可根据情况自行编制）</w:t>
      </w:r>
      <w:r>
        <w:rPr>
          <w:b/>
          <w:bCs/>
          <w:color w:val="000000"/>
          <w:sz w:val="21"/>
          <w:szCs w:val="21"/>
          <w:highlight w:val="none"/>
        </w:rPr>
      </w:r>
      <w:r/>
    </w:p>
    <w:p>
      <w:pPr>
        <w:pStyle w:val="1167"/>
        <w:spacing w:line="360" w:lineRule="auto"/>
        <w:rPr>
          <w:rStyle w:val="1166"/>
          <w:rFonts w:hint="eastAsia"/>
          <w:b/>
          <w:bCs/>
          <w:color w:val="000000"/>
          <w:szCs w:val="21"/>
          <w:highlight w:val="none"/>
        </w:rPr>
      </w:pPr>
      <w:r>
        <w:rPr>
          <w:rStyle w:val="1166"/>
          <w:rFonts w:hint="eastAsia"/>
          <w:b/>
          <w:bCs/>
          <w:color w:val="000000"/>
          <w:szCs w:val="21"/>
          <w:highlight w:val="none"/>
        </w:rPr>
        <w:br w:type="page" w:clear="all"/>
      </w:r>
      <w:r>
        <w:rPr>
          <w:rStyle w:val="1166"/>
          <w:rFonts w:hint="eastAsia"/>
          <w:b/>
          <w:bCs/>
          <w:color w:val="000000"/>
          <w:szCs w:val="21"/>
          <w:highlight w:val="none"/>
          <w:lang w:val="en-US" w:eastAsia="zh-CN"/>
        </w:rPr>
        <w:t xml:space="preserve">附件</w:t>
      </w:r>
      <w:r>
        <w:rPr>
          <w:rFonts w:hint="eastAsia"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lang w:val="zh-CN"/>
        </w:rPr>
        <w:t xml:space="preserve">：</w:t>
      </w:r>
      <w:r>
        <w:rPr>
          <w:rStyle w:val="1166"/>
          <w:rFonts w:hint="eastAsia"/>
          <w:b/>
          <w:color w:val="000000"/>
          <w:highlight w:val="none"/>
        </w:rPr>
        <w:t xml:space="preserve">质保期内备品备件、易损件一览表</w:t>
      </w:r>
      <w:r>
        <w:rPr>
          <w:rStyle w:val="1166"/>
          <w:rFonts w:hint="eastAsia"/>
          <w:b/>
          <w:bCs/>
          <w:color w:val="000000"/>
          <w:szCs w:val="21"/>
          <w:highlight w:val="none"/>
        </w:rPr>
      </w:r>
      <w:r/>
    </w:p>
    <w:p>
      <w:pPr>
        <w:pStyle w:val="1167"/>
        <w:jc w:val="center"/>
        <w:spacing w:line="360" w:lineRule="auto"/>
        <w:rPr>
          <w:rStyle w:val="1166"/>
          <w:rFonts w:hint="eastAsia"/>
          <w:b/>
          <w:color w:val="000000"/>
          <w:highlight w:val="none"/>
        </w:rPr>
      </w:pPr>
      <w:r>
        <w:rPr>
          <w:rStyle w:val="1166"/>
          <w:rFonts w:hint="eastAsia"/>
          <w:b/>
          <w:color w:val="000000"/>
          <w:highlight w:val="none"/>
        </w:rPr>
        <w:t xml:space="preserve">质保期内备品备件、易损件一览表</w:t>
      </w:r>
      <w:r>
        <w:rPr>
          <w:rStyle w:val="1166"/>
          <w:rFonts w:hint="eastAsia"/>
          <w:b/>
          <w:color w:val="000000"/>
          <w:highlight w:val="none"/>
          <w:lang w:val="zh-CN"/>
        </w:rPr>
        <w:t xml:space="preserve">（</w:t>
      </w:r>
      <w:r>
        <w:rPr>
          <w:rStyle w:val="1166"/>
          <w:rFonts w:hint="eastAsia"/>
          <w:b/>
          <w:color w:val="000000"/>
          <w:highlight w:val="none"/>
          <w:lang w:val="en-US" w:eastAsia="zh-CN"/>
        </w:rPr>
        <w:t xml:space="preserve">标段</w:t>
      </w:r>
      <w:r>
        <w:rPr>
          <w:rStyle w:val="1166"/>
          <w:rFonts w:hint="eastAsia"/>
          <w:b/>
          <w:color w:val="000000"/>
          <w:highlight w:val="none"/>
          <w:u w:val="single"/>
          <w:lang w:val="en-US" w:eastAsia="zh-CN"/>
        </w:rPr>
        <w:t xml:space="preserve">     </w:t>
      </w:r>
      <w:r>
        <w:rPr>
          <w:rStyle w:val="1166"/>
          <w:rFonts w:hint="eastAsia"/>
          <w:b/>
          <w:color w:val="000000"/>
          <w:highlight w:val="none"/>
          <w:lang w:val="zh-CN"/>
        </w:rPr>
        <w:t xml:space="preserve">）</w:t>
      </w:r>
      <w:r>
        <w:rPr>
          <w:rStyle w:val="1166"/>
          <w:rFonts w:hint="eastAsia"/>
          <w:b/>
          <w:color w:val="000000"/>
          <w:highlight w:val="none"/>
        </w:rPr>
      </w:r>
      <w:r/>
    </w:p>
    <w:p>
      <w:pPr>
        <w:pStyle w:val="1167"/>
        <w:ind w:firstLine="315"/>
        <w:spacing w:line="360" w:lineRule="auto"/>
        <w:rPr>
          <w:rStyle w:val="1166"/>
          <w:color w:val="000000"/>
          <w:highlight w:val="none"/>
        </w:rPr>
      </w:pPr>
      <w:r>
        <w:rPr>
          <w:rStyle w:val="1166"/>
          <w:color w:val="000000"/>
          <w:highlight w:val="none"/>
        </w:rPr>
        <w:t xml:space="preserve">招标编号：                                     </w:t>
      </w:r>
      <w:r>
        <w:rPr>
          <w:rStyle w:val="1166"/>
          <w:color w:val="000000"/>
          <w:highlight w:val="none"/>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77"/>
        <w:gridCol w:w="1777"/>
        <w:gridCol w:w="1779"/>
        <w:gridCol w:w="2930"/>
      </w:tblGrid>
      <w:tr>
        <w:trPr/>
        <w:tc>
          <w:tcPr>
            <w:tcW w:w="1075" w:type="dxa"/>
            <w:vAlign w:val="top"/>
            <w:textDirection w:val="lrTb"/>
            <w:noWrap w:val="false"/>
          </w:tcPr>
          <w:p>
            <w:pPr>
              <w:pStyle w:val="1168"/>
              <w:ind w:firstLine="0"/>
              <w:jc w:val="center"/>
              <w:spacing w:line="360" w:lineRule="auto"/>
              <w:rPr>
                <w:rStyle w:val="1166"/>
                <w:color w:val="000000"/>
                <w:highlight w:val="none"/>
              </w:rPr>
            </w:pPr>
            <w:r>
              <w:rPr>
                <w:rStyle w:val="1166"/>
                <w:color w:val="000000"/>
                <w:highlight w:val="none"/>
              </w:rPr>
              <w:t xml:space="preserve">设备（配件）名称</w:t>
            </w:r>
            <w:r>
              <w:rPr>
                <w:rStyle w:val="1166"/>
                <w:color w:val="000000"/>
                <w:highlight w:val="none"/>
              </w:rPr>
            </w:r>
            <w:r/>
          </w:p>
        </w:tc>
        <w:tc>
          <w:tcPr>
            <w:tcW w:w="1075" w:type="dxa"/>
            <w:vAlign w:val="top"/>
            <w:textDirection w:val="lrTb"/>
            <w:noWrap w:val="false"/>
          </w:tcPr>
          <w:p>
            <w:pPr>
              <w:pStyle w:val="1168"/>
              <w:ind w:firstLine="0"/>
              <w:jc w:val="center"/>
              <w:spacing w:line="360" w:lineRule="auto"/>
              <w:rPr>
                <w:rStyle w:val="1166"/>
                <w:color w:val="000000"/>
                <w:highlight w:val="none"/>
              </w:rPr>
            </w:pPr>
            <w:r>
              <w:rPr>
                <w:rStyle w:val="1166"/>
                <w:color w:val="000000"/>
                <w:highlight w:val="none"/>
              </w:rPr>
              <w:t xml:space="preserve">型号规格</w:t>
            </w:r>
            <w:r>
              <w:rPr>
                <w:rStyle w:val="1166"/>
                <w:color w:val="000000"/>
                <w:highlight w:val="none"/>
              </w:rPr>
            </w:r>
            <w:r/>
          </w:p>
        </w:tc>
        <w:tc>
          <w:tcPr>
            <w:tcW w:w="1076" w:type="dxa"/>
            <w:vAlign w:val="top"/>
            <w:textDirection w:val="lrTb"/>
            <w:noWrap w:val="false"/>
          </w:tcPr>
          <w:p>
            <w:pPr>
              <w:pStyle w:val="1168"/>
              <w:ind w:firstLine="0"/>
              <w:jc w:val="center"/>
              <w:spacing w:line="360" w:lineRule="auto"/>
              <w:rPr>
                <w:rStyle w:val="1166"/>
                <w:color w:val="000000"/>
                <w:highlight w:val="none"/>
              </w:rPr>
            </w:pPr>
            <w:r>
              <w:rPr>
                <w:rStyle w:val="1166"/>
                <w:color w:val="000000"/>
                <w:highlight w:val="none"/>
              </w:rPr>
              <w:t xml:space="preserve">数量</w:t>
            </w:r>
            <w:r>
              <w:rPr>
                <w:rStyle w:val="1166"/>
                <w:color w:val="000000"/>
                <w:highlight w:val="none"/>
              </w:rPr>
            </w:r>
            <w:r/>
          </w:p>
        </w:tc>
        <w:tc>
          <w:tcPr>
            <w:tcW w:w="1772" w:type="dxa"/>
            <w:vAlign w:val="top"/>
            <w:textDirection w:val="lrTb"/>
            <w:noWrap w:val="false"/>
          </w:tcPr>
          <w:p>
            <w:pPr>
              <w:pStyle w:val="1168"/>
              <w:ind w:firstLine="0"/>
              <w:jc w:val="center"/>
              <w:spacing w:line="360" w:lineRule="auto"/>
              <w:rPr>
                <w:rStyle w:val="1166"/>
                <w:color w:val="000000"/>
                <w:highlight w:val="none"/>
              </w:rPr>
            </w:pPr>
            <w:r>
              <w:rPr>
                <w:rStyle w:val="1166"/>
                <w:color w:val="000000"/>
                <w:highlight w:val="none"/>
              </w:rPr>
              <w:t xml:space="preserve">备注</w:t>
            </w:r>
            <w:r>
              <w:rPr>
                <w:rStyle w:val="1166"/>
                <w:color w:val="000000"/>
                <w:highlight w:val="none"/>
              </w:rPr>
            </w:r>
            <w:r/>
          </w:p>
        </w:tc>
      </w:tr>
      <w:tr>
        <w:trPr/>
        <w:tc>
          <w:tcPr>
            <w:tcW w:w="1075"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075"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076"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772"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r>
      <w:tr>
        <w:trPr/>
        <w:tc>
          <w:tcPr>
            <w:tcW w:w="1075"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075"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076"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772"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r>
      <w:tr>
        <w:trPr/>
        <w:tc>
          <w:tcPr>
            <w:tcW w:w="1075"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075"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076"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772"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r>
    </w:tbl>
    <w:p>
      <w:pPr>
        <w:pStyle w:val="1167"/>
        <w:jc w:val="left"/>
        <w:spacing w:line="360" w:lineRule="auto"/>
        <w:rPr>
          <w:rStyle w:val="1166"/>
          <w:color w:val="000000"/>
          <w:highlight w:val="none"/>
        </w:rPr>
      </w:pPr>
      <w:r>
        <w:rPr>
          <w:rStyle w:val="1166"/>
          <w:color w:val="000000"/>
          <w:highlight w:val="none"/>
        </w:rPr>
        <w:t xml:space="preserve">投标单位：（公章）</w:t>
      </w:r>
      <w:r>
        <w:rPr>
          <w:rStyle w:val="1166"/>
          <w:color w:val="000000"/>
          <w:highlight w:val="none"/>
        </w:rPr>
      </w:r>
      <w:r/>
    </w:p>
    <w:p>
      <w:pPr>
        <w:pStyle w:val="1168"/>
        <w:ind w:firstLine="0"/>
        <w:spacing w:line="360" w:lineRule="auto"/>
        <w:rPr>
          <w:rStyle w:val="1166"/>
          <w:color w:val="000000"/>
          <w:szCs w:val="26"/>
          <w:highlight w:val="none"/>
        </w:rPr>
      </w:pPr>
      <w:r>
        <w:rPr>
          <w:rStyle w:val="1166"/>
          <w:color w:val="000000"/>
          <w:szCs w:val="26"/>
          <w:highlight w:val="none"/>
        </w:rPr>
        <w:t xml:space="preserve">法定代表人或委托代理人（签字或盖章）：</w:t>
      </w:r>
      <w:r>
        <w:rPr>
          <w:rStyle w:val="1166"/>
          <w:color w:val="000000"/>
          <w:szCs w:val="26"/>
          <w:highlight w:val="none"/>
        </w:rPr>
      </w:r>
      <w:r/>
    </w:p>
    <w:p>
      <w:pPr>
        <w:pStyle w:val="1168"/>
        <w:ind w:firstLine="0"/>
        <w:spacing w:line="360" w:lineRule="auto"/>
        <w:rPr>
          <w:rStyle w:val="1166"/>
          <w:color w:val="000000"/>
          <w:szCs w:val="26"/>
          <w:highlight w:val="none"/>
        </w:rPr>
      </w:pPr>
      <w:r>
        <w:rPr>
          <w:rStyle w:val="1166"/>
          <w:color w:val="000000"/>
          <w:szCs w:val="26"/>
          <w:highlight w:val="none"/>
        </w:rPr>
        <w:t xml:space="preserve">日期：   年  月  日</w:t>
      </w:r>
      <w:r>
        <w:rPr>
          <w:rStyle w:val="1166"/>
          <w:color w:val="000000"/>
          <w:szCs w:val="26"/>
          <w:highlight w:val="none"/>
        </w:rPr>
      </w:r>
      <w:r/>
    </w:p>
    <w:p>
      <w:pPr>
        <w:pStyle w:val="1008"/>
        <w:spacing w:line="360" w:lineRule="auto"/>
        <w:rPr>
          <w:rStyle w:val="1166"/>
          <w:rFonts w:hint="eastAsia"/>
          <w:b/>
          <w:color w:val="000000"/>
          <w:szCs w:val="26"/>
          <w:highlight w:val="none"/>
        </w:rPr>
      </w:pPr>
      <w:r>
        <w:rPr>
          <w:rStyle w:val="1166"/>
          <w:color w:val="000000"/>
          <w:szCs w:val="26"/>
          <w:highlight w:val="none"/>
        </w:rPr>
        <w:t xml:space="preserve">注：1、各投标单位可参照上述格式自制《质保期内备品备件、易损件一览表》投标，本表格</w:t>
      </w:r>
      <w:r>
        <w:rPr>
          <w:rStyle w:val="1166"/>
          <w:rFonts w:hint="eastAsia"/>
          <w:color w:val="000000"/>
          <w:szCs w:val="26"/>
          <w:highlight w:val="none"/>
        </w:rPr>
        <w:t xml:space="preserve">包括</w:t>
      </w:r>
      <w:r>
        <w:rPr>
          <w:rStyle w:val="1166"/>
          <w:color w:val="000000"/>
          <w:szCs w:val="26"/>
          <w:highlight w:val="none"/>
        </w:rPr>
        <w:t xml:space="preserve">质保期内所有备品备件，除特殊情况外，质保期内，采购单位不再另行支付备品备件费用</w:t>
      </w:r>
      <w:r>
        <w:rPr>
          <w:rStyle w:val="1166"/>
          <w:rFonts w:hint="eastAsia"/>
          <w:color w:val="000000"/>
          <w:szCs w:val="26"/>
          <w:highlight w:val="none"/>
        </w:rPr>
        <w:t xml:space="preserve">。</w:t>
      </w:r>
      <w:r>
        <w:rPr>
          <w:rStyle w:val="1166"/>
          <w:rFonts w:hint="eastAsia"/>
          <w:b/>
          <w:color w:val="000000"/>
          <w:szCs w:val="26"/>
          <w:highlight w:val="none"/>
        </w:rPr>
      </w:r>
      <w:r/>
    </w:p>
    <w:p>
      <w:pPr>
        <w:pStyle w:val="1008"/>
        <w:jc w:val="both"/>
        <w:spacing w:line="360" w:lineRule="auto"/>
        <w:rPr>
          <w:rStyle w:val="1166"/>
          <w:b/>
          <w:color w:val="000000"/>
          <w:szCs w:val="26"/>
          <w:highlight w:val="none"/>
        </w:rPr>
        <w:outlineLvl w:val="9"/>
      </w:pPr>
      <w:r>
        <w:rPr>
          <w:rStyle w:val="1166"/>
          <w:rFonts w:hint="eastAsia"/>
          <w:b/>
          <w:color w:val="000000"/>
          <w:szCs w:val="26"/>
          <w:highlight w:val="none"/>
        </w:rPr>
        <w:br w:type="page" w:clear="all"/>
      </w:r>
      <w:r>
        <w:rPr>
          <w:rStyle w:val="1166"/>
          <w:rFonts w:hint="eastAsia"/>
          <w:b/>
          <w:color w:val="000000"/>
          <w:szCs w:val="26"/>
          <w:highlight w:val="none"/>
          <w:lang w:val="en-US" w:eastAsia="zh-CN"/>
        </w:rPr>
        <w:t xml:space="preserve">附件</w:t>
      </w:r>
      <w:r>
        <w:rPr>
          <w:rStyle w:val="1166"/>
          <w:rFonts w:hint="eastAsia" w:ascii="宋体" w:hAnsi="宋体" w:cs="宋体"/>
          <w:b/>
          <w:color w:val="000000"/>
          <w:szCs w:val="26"/>
          <w:highlight w:val="none"/>
        </w:rPr>
        <w:t xml:space="preserve">7.技术参数偏离表</w:t>
      </w:r>
      <w:r>
        <w:rPr>
          <w:rStyle w:val="1166"/>
          <w:b/>
          <w:color w:val="000000"/>
          <w:szCs w:val="26"/>
          <w:highlight w:val="none"/>
        </w:rPr>
      </w:r>
      <w:r/>
    </w:p>
    <w:p>
      <w:pPr>
        <w:pStyle w:val="1008"/>
        <w:jc w:val="center"/>
        <w:spacing w:line="360" w:lineRule="auto"/>
        <w:rPr>
          <w:rStyle w:val="1166"/>
          <w:rFonts w:hint="eastAsia"/>
          <w:b/>
          <w:color w:val="000000"/>
          <w:szCs w:val="26"/>
          <w:highlight w:val="none"/>
        </w:rPr>
        <w:outlineLvl w:val="9"/>
      </w:pPr>
      <w:r>
        <w:rPr>
          <w:rStyle w:val="1166"/>
          <w:rFonts w:hint="eastAsia"/>
          <w:b/>
          <w:color w:val="000000"/>
          <w:szCs w:val="26"/>
          <w:highlight w:val="none"/>
        </w:rPr>
        <w:t xml:space="preserve">技术参数偏离表</w:t>
      </w:r>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标段</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lang w:val="zh-CN"/>
        </w:rPr>
        <w:t xml:space="preserve">）</w:t>
      </w:r>
      <w:r>
        <w:rPr>
          <w:rStyle w:val="1166"/>
          <w:rFonts w:hint="eastAsia"/>
          <w:b/>
          <w:color w:val="000000"/>
          <w:szCs w:val="26"/>
          <w:highlight w:val="none"/>
        </w:rPr>
      </w:r>
      <w:r/>
    </w:p>
    <w:p>
      <w:pPr>
        <w:pStyle w:val="1008"/>
        <w:spacing w:line="360" w:lineRule="auto"/>
        <w:rPr>
          <w:rStyle w:val="1166"/>
          <w:color w:val="000000"/>
          <w:spacing w:val="20"/>
          <w:szCs w:val="24"/>
          <w:highlight w:val="none"/>
        </w:rPr>
      </w:pPr>
      <w:r>
        <w:rPr>
          <w:rStyle w:val="1166"/>
          <w:color w:val="000000"/>
          <w:spacing w:val="20"/>
          <w:szCs w:val="24"/>
          <w:highlight w:val="none"/>
        </w:rPr>
        <w:t xml:space="preserve">招标编号：             </w:t>
      </w:r>
      <w:r>
        <w:rPr>
          <w:rStyle w:val="1166"/>
          <w:color w:val="000000"/>
          <w:szCs w:val="24"/>
          <w:highlight w:val="none"/>
        </w:rPr>
        <w:t xml:space="preserve">                 </w:t>
      </w:r>
      <w:r>
        <w:rPr>
          <w:rStyle w:val="1166"/>
          <w:color w:val="000000"/>
          <w:spacing w:val="20"/>
          <w:szCs w:val="24"/>
          <w:highlight w:val="none"/>
        </w:rPr>
      </w:r>
      <w:r/>
    </w:p>
    <w:tbl>
      <w:tblPr>
        <w:tblW w:w="89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pStyle w:val="1008"/>
              <w:jc w:val="center"/>
              <w:spacing w:line="360" w:lineRule="auto"/>
              <w:rPr>
                <w:rStyle w:val="1166"/>
                <w:color w:val="000000"/>
                <w:szCs w:val="24"/>
                <w:highlight w:val="none"/>
              </w:rPr>
            </w:pPr>
            <w:r>
              <w:rPr>
                <w:rStyle w:val="1166"/>
                <w:color w:val="000000"/>
                <w:szCs w:val="24"/>
                <w:highlight w:val="none"/>
              </w:rPr>
              <w:t xml:space="preserve">序号</w:t>
            </w:r>
            <w:r>
              <w:rPr>
                <w:rStyle w:val="1166"/>
                <w:color w:val="000000"/>
                <w:szCs w:val="24"/>
                <w:highlight w:val="none"/>
              </w:rPr>
            </w:r>
            <w:r/>
          </w:p>
        </w:tc>
        <w:tc>
          <w:tcPr>
            <w:tcW w:w="1856" w:type="dxa"/>
            <w:vAlign w:val="center"/>
            <w:textDirection w:val="lrTb"/>
            <w:noWrap w:val="false"/>
          </w:tcPr>
          <w:p>
            <w:pPr>
              <w:pStyle w:val="1008"/>
              <w:jc w:val="center"/>
              <w:spacing w:line="360" w:lineRule="auto"/>
              <w:rPr>
                <w:rStyle w:val="1166"/>
                <w:color w:val="000000"/>
                <w:szCs w:val="24"/>
                <w:highlight w:val="none"/>
              </w:rPr>
            </w:pPr>
            <w:r>
              <w:rPr>
                <w:rStyle w:val="1166"/>
                <w:color w:val="000000"/>
                <w:szCs w:val="24"/>
                <w:highlight w:val="none"/>
              </w:rPr>
              <w:t xml:space="preserve">产品（服务）名称</w:t>
            </w:r>
            <w:r>
              <w:rPr>
                <w:rStyle w:val="1166"/>
                <w:color w:val="000000"/>
                <w:szCs w:val="24"/>
                <w:highlight w:val="none"/>
              </w:rPr>
            </w:r>
            <w:r/>
          </w:p>
        </w:tc>
        <w:tc>
          <w:tcPr>
            <w:tcW w:w="1740" w:type="dxa"/>
            <w:vAlign w:val="center"/>
            <w:textDirection w:val="lrTb"/>
            <w:noWrap w:val="false"/>
          </w:tcPr>
          <w:p>
            <w:pPr>
              <w:pStyle w:val="1008"/>
              <w:jc w:val="center"/>
              <w:spacing w:line="360" w:lineRule="auto"/>
              <w:rPr>
                <w:rStyle w:val="1166"/>
                <w:color w:val="000000"/>
                <w:szCs w:val="24"/>
                <w:highlight w:val="none"/>
              </w:rPr>
            </w:pPr>
            <w:r>
              <w:rPr>
                <w:rStyle w:val="1166"/>
                <w:color w:val="000000"/>
                <w:szCs w:val="24"/>
                <w:highlight w:val="none"/>
              </w:rPr>
              <w:t xml:space="preserve">招标技术要求</w:t>
            </w:r>
            <w:r>
              <w:rPr>
                <w:rStyle w:val="1166"/>
                <w:color w:val="000000"/>
                <w:szCs w:val="24"/>
                <w:highlight w:val="none"/>
              </w:rPr>
            </w:r>
            <w:r/>
          </w:p>
        </w:tc>
        <w:tc>
          <w:tcPr>
            <w:tcW w:w="1542" w:type="dxa"/>
            <w:vAlign w:val="center"/>
            <w:textDirection w:val="lrTb"/>
            <w:noWrap w:val="false"/>
          </w:tcPr>
          <w:p>
            <w:pPr>
              <w:pStyle w:val="1008"/>
              <w:jc w:val="center"/>
              <w:spacing w:line="360" w:lineRule="auto"/>
              <w:rPr>
                <w:rStyle w:val="1166"/>
                <w:color w:val="000000"/>
                <w:szCs w:val="24"/>
                <w:highlight w:val="none"/>
              </w:rPr>
            </w:pPr>
            <w:r>
              <w:rPr>
                <w:rStyle w:val="1166"/>
                <w:color w:val="000000"/>
                <w:szCs w:val="21"/>
                <w:highlight w:val="none"/>
              </w:rPr>
              <w:t xml:space="preserve">响应技术指标</w:t>
            </w:r>
            <w:r>
              <w:rPr>
                <w:rStyle w:val="1166"/>
                <w:color w:val="000000"/>
                <w:szCs w:val="24"/>
                <w:highlight w:val="none"/>
              </w:rPr>
            </w:r>
            <w:r/>
          </w:p>
        </w:tc>
        <w:tc>
          <w:tcPr>
            <w:tcW w:w="3060" w:type="dxa"/>
            <w:vAlign w:val="center"/>
            <w:textDirection w:val="lrTb"/>
            <w:noWrap w:val="false"/>
          </w:tcPr>
          <w:p>
            <w:pPr>
              <w:pStyle w:val="1008"/>
              <w:jc w:val="center"/>
              <w:spacing w:line="360" w:lineRule="auto"/>
              <w:rPr>
                <w:rStyle w:val="1166"/>
                <w:color w:val="000000"/>
                <w:szCs w:val="24"/>
                <w:highlight w:val="none"/>
              </w:rPr>
            </w:pPr>
            <w:r>
              <w:rPr>
                <w:rStyle w:val="1166"/>
                <w:color w:val="000000"/>
                <w:szCs w:val="24"/>
                <w:highlight w:val="none"/>
              </w:rPr>
              <w:t xml:space="preserve">选择项</w:t>
            </w:r>
            <w:r>
              <w:rPr>
                <w:rStyle w:val="1166"/>
                <w:color w:val="000000"/>
                <w:szCs w:val="24"/>
                <w:highlight w:val="none"/>
              </w:rPr>
            </w:r>
            <w:r/>
          </w:p>
          <w:p>
            <w:pPr>
              <w:pStyle w:val="1008"/>
              <w:jc w:val="center"/>
              <w:spacing w:line="360" w:lineRule="auto"/>
              <w:rPr>
                <w:rStyle w:val="1166"/>
                <w:color w:val="000000"/>
                <w:szCs w:val="24"/>
                <w:highlight w:val="none"/>
              </w:rPr>
            </w:pPr>
            <w:r>
              <w:rPr>
                <w:rStyle w:val="1166"/>
                <w:color w:val="000000"/>
                <w:szCs w:val="24"/>
                <w:highlight w:val="none"/>
              </w:rPr>
              <w:t xml:space="preserve">（正偏离、负偏离或无偏离）</w:t>
            </w:r>
            <w:r>
              <w:rPr>
                <w:rStyle w:val="1166"/>
                <w:color w:val="000000"/>
                <w:szCs w:val="24"/>
                <w:highlight w:val="none"/>
              </w:rPr>
            </w:r>
            <w:r/>
          </w:p>
        </w:tc>
      </w:tr>
      <w:tr>
        <w:trPr>
          <w:trHeight w:val="340" w:hRule="exact"/>
        </w:trPr>
        <w:tc>
          <w:tcPr>
            <w:tcW w:w="78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856"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74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54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306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r>
      <w:tr>
        <w:trPr>
          <w:trHeight w:val="340" w:hRule="exact"/>
        </w:trPr>
        <w:tc>
          <w:tcPr>
            <w:tcW w:w="78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856"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74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54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306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r>
      <w:tr>
        <w:trPr>
          <w:trHeight w:val="340" w:hRule="exact"/>
        </w:trPr>
        <w:tc>
          <w:tcPr>
            <w:tcW w:w="78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856"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74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54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306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r>
      <w:tr>
        <w:trPr>
          <w:trHeight w:val="340" w:hRule="exact"/>
        </w:trPr>
        <w:tc>
          <w:tcPr>
            <w:tcW w:w="78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856"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74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54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306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r>
      <w:tr>
        <w:trPr>
          <w:trHeight w:val="340" w:hRule="exact"/>
        </w:trPr>
        <w:tc>
          <w:tcPr>
            <w:tcW w:w="78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856"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74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54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306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r>
    </w:tbl>
    <w:p>
      <w:pPr>
        <w:pStyle w:val="1167"/>
        <w:jc w:val="left"/>
        <w:spacing w:line="400" w:lineRule="exact"/>
        <w:rPr>
          <w:rStyle w:val="1166"/>
          <w:color w:val="000000"/>
          <w:highlight w:val="none"/>
        </w:rPr>
      </w:pPr>
      <w:r>
        <w:rPr>
          <w:rStyle w:val="1166"/>
          <w:color w:val="000000"/>
          <w:highlight w:val="none"/>
        </w:rPr>
        <w:t xml:space="preserve">投标单位：（公章）</w:t>
      </w:r>
      <w:r>
        <w:rPr>
          <w:rStyle w:val="1166"/>
          <w:color w:val="000000"/>
          <w:highlight w:val="none"/>
        </w:rPr>
      </w:r>
      <w:r/>
    </w:p>
    <w:p>
      <w:pPr>
        <w:pStyle w:val="1168"/>
        <w:ind w:firstLine="0"/>
        <w:spacing w:line="400" w:lineRule="exact"/>
        <w:rPr>
          <w:rStyle w:val="1166"/>
          <w:color w:val="000000"/>
          <w:szCs w:val="26"/>
          <w:highlight w:val="none"/>
        </w:rPr>
      </w:pPr>
      <w:r>
        <w:rPr>
          <w:rStyle w:val="1166"/>
          <w:color w:val="000000"/>
          <w:szCs w:val="26"/>
          <w:highlight w:val="none"/>
        </w:rPr>
        <w:t xml:space="preserve">法定代表人或委托代理人（签字或盖章）：</w:t>
      </w:r>
      <w:r>
        <w:rPr>
          <w:rStyle w:val="1166"/>
          <w:color w:val="000000"/>
          <w:szCs w:val="26"/>
          <w:highlight w:val="none"/>
        </w:rPr>
      </w:r>
      <w:r/>
    </w:p>
    <w:p>
      <w:pPr>
        <w:pStyle w:val="1168"/>
        <w:ind w:firstLine="0"/>
        <w:spacing w:line="400" w:lineRule="exact"/>
        <w:rPr>
          <w:rStyle w:val="1166"/>
          <w:color w:val="000000"/>
          <w:szCs w:val="26"/>
          <w:highlight w:val="none"/>
        </w:rPr>
      </w:pPr>
      <w:r>
        <w:rPr>
          <w:rStyle w:val="1166"/>
          <w:color w:val="000000"/>
          <w:szCs w:val="26"/>
          <w:highlight w:val="none"/>
        </w:rPr>
        <w:t xml:space="preserve">日期：   年  月  日</w:t>
      </w:r>
      <w:r>
        <w:rPr>
          <w:rStyle w:val="1166"/>
          <w:color w:val="000000"/>
          <w:szCs w:val="26"/>
          <w:highlight w:val="none"/>
        </w:rPr>
      </w:r>
      <w:r/>
    </w:p>
    <w:p>
      <w:pPr>
        <w:pStyle w:val="1008"/>
        <w:spacing w:line="400" w:lineRule="exact"/>
        <w:rPr>
          <w:rStyle w:val="1166"/>
          <w:color w:val="000000"/>
          <w:szCs w:val="24"/>
          <w:highlight w:val="none"/>
        </w:rPr>
      </w:pPr>
      <w:r>
        <w:rPr>
          <w:rStyle w:val="1166"/>
          <w:color w:val="000000"/>
          <w:szCs w:val="24"/>
          <w:highlight w:val="none"/>
        </w:rPr>
        <w:t xml:space="preserve">注：</w:t>
      </w:r>
      <w:r>
        <w:rPr>
          <w:rStyle w:val="1166"/>
          <w:rFonts w:hint="eastAsia"/>
          <w:b/>
          <w:bCs/>
          <w:color w:val="000000"/>
          <w:szCs w:val="21"/>
          <w:highlight w:val="none"/>
          <w:lang w:val="en-US"/>
        </w:rPr>
        <w:t xml:space="preserve">1</w:t>
      </w:r>
      <w:r>
        <w:rPr>
          <w:rStyle w:val="1166"/>
          <w:rFonts w:hint="eastAsia"/>
          <w:b/>
          <w:bCs/>
          <w:color w:val="000000"/>
          <w:szCs w:val="21"/>
          <w:highlight w:val="none"/>
          <w:lang w:val="en-US"/>
        </w:rPr>
        <w:t xml:space="preserve">.</w:t>
      </w:r>
      <w:r>
        <w:rPr>
          <w:rStyle w:val="1166"/>
          <w:b/>
          <w:bCs/>
          <w:color w:val="000000"/>
          <w:szCs w:val="21"/>
          <w:highlight w:val="none"/>
        </w:rPr>
        <w:t xml:space="preserve">各投标单位可参照上述格式自</w:t>
      </w:r>
      <w:r>
        <w:rPr>
          <w:rStyle w:val="1166"/>
          <w:b/>
          <w:color w:val="000000"/>
          <w:szCs w:val="21"/>
          <w:highlight w:val="none"/>
        </w:rPr>
        <w:t xml:space="preserve">制《</w:t>
      </w:r>
      <w:r>
        <w:rPr>
          <w:rStyle w:val="1166"/>
          <w:rFonts w:hint="eastAsia"/>
          <w:b/>
          <w:color w:val="000000"/>
          <w:szCs w:val="21"/>
          <w:highlight w:val="none"/>
        </w:rPr>
        <w:t xml:space="preserve">技术参数偏离表</w:t>
      </w:r>
      <w:r>
        <w:rPr>
          <w:rStyle w:val="1166"/>
          <w:b/>
          <w:color w:val="000000"/>
          <w:szCs w:val="21"/>
          <w:highlight w:val="none"/>
        </w:rPr>
        <w:t xml:space="preserve">》进行投标。</w:t>
      </w:r>
      <w:r>
        <w:rPr>
          <w:rStyle w:val="1166"/>
          <w:color w:val="000000"/>
          <w:szCs w:val="24"/>
          <w:highlight w:val="none"/>
        </w:rPr>
      </w:r>
      <w:r/>
    </w:p>
    <w:p>
      <w:pPr>
        <w:pStyle w:val="1008"/>
        <w:ind w:firstLine="422"/>
        <w:spacing w:line="400" w:lineRule="exact"/>
        <w:rPr>
          <w:rStyle w:val="1166"/>
          <w:b/>
          <w:bCs/>
          <w:color w:val="000000"/>
          <w:szCs w:val="21"/>
          <w:highlight w:val="none"/>
          <w:u w:val="single"/>
        </w:rPr>
      </w:pPr>
      <w:r>
        <w:rPr>
          <w:rStyle w:val="1166"/>
          <w:rFonts w:hint="eastAsia"/>
          <w:b/>
          <w:color w:val="000000"/>
          <w:szCs w:val="21"/>
          <w:highlight w:val="none"/>
        </w:rPr>
        <w:t xml:space="preserve">2.</w:t>
      </w:r>
      <w:r>
        <w:rPr>
          <w:rStyle w:val="1166"/>
          <w:b/>
          <w:color w:val="000000"/>
          <w:szCs w:val="21"/>
          <w:highlight w:val="none"/>
          <w:u w:val="single"/>
        </w:rPr>
        <w:t xml:space="preserve">投标单位必须对照招标文件的技术规格，逐条说明所提供的设备已对招标文件的技术规格做出了实质性的响应，并申明与技术规格条文的偏差和例</w:t>
      </w:r>
      <w:r>
        <w:rPr>
          <w:rStyle w:val="1166"/>
          <w:b/>
          <w:bCs/>
          <w:color w:val="000000"/>
          <w:szCs w:val="24"/>
          <w:highlight w:val="none"/>
          <w:u w:val="single"/>
        </w:rPr>
        <w:t xml:space="preserve">外。特别对有具体参数要求的指标，投标</w:t>
      </w:r>
      <w:r>
        <w:rPr>
          <w:rStyle w:val="1166"/>
          <w:b/>
          <w:color w:val="000000"/>
          <w:szCs w:val="21"/>
          <w:highlight w:val="none"/>
          <w:u w:val="single"/>
        </w:rPr>
        <w:t xml:space="preserve">单位</w:t>
      </w:r>
      <w:r>
        <w:rPr>
          <w:rStyle w:val="1166"/>
          <w:b/>
          <w:bCs/>
          <w:color w:val="000000"/>
          <w:szCs w:val="24"/>
          <w:highlight w:val="none"/>
          <w:u w:val="single"/>
        </w:rPr>
        <w:t xml:space="preserve">必须提供产品的具体参数值，</w:t>
      </w:r>
      <w:r>
        <w:rPr>
          <w:rStyle w:val="1166"/>
          <w:b/>
          <w:color w:val="000000"/>
          <w:szCs w:val="24"/>
          <w:highlight w:val="none"/>
          <w:u w:val="single"/>
        </w:rPr>
        <w:t xml:space="preserve">而不应以“全部符合”等字样来响应，否则将承担其投标被拒绝的风险。未列明的视为投标单位满足招标技术要求，</w:t>
      </w:r>
      <w:r>
        <w:rPr>
          <w:rStyle w:val="1166"/>
          <w:b/>
          <w:bCs/>
          <w:color w:val="000000"/>
          <w:szCs w:val="21"/>
          <w:highlight w:val="none"/>
          <w:u w:val="single"/>
        </w:rPr>
        <w:t xml:space="preserve">如中标后所供设备无法满足该项要求的，视为投标单位虚假应标。</w:t>
      </w:r>
      <w:r>
        <w:rPr>
          <w:rStyle w:val="1166"/>
          <w:b/>
          <w:bCs/>
          <w:color w:val="000000"/>
          <w:szCs w:val="21"/>
          <w:highlight w:val="none"/>
          <w:u w:val="single"/>
        </w:rPr>
      </w:r>
      <w:r/>
    </w:p>
    <w:p>
      <w:pPr>
        <w:pStyle w:val="1008"/>
        <w:ind w:firstLine="422"/>
        <w:spacing w:line="400" w:lineRule="exact"/>
        <w:rPr>
          <w:rStyle w:val="1166"/>
          <w:b/>
          <w:color w:val="000000"/>
          <w:szCs w:val="24"/>
          <w:highlight w:val="none"/>
        </w:rPr>
      </w:pPr>
      <w:r>
        <w:rPr>
          <w:rStyle w:val="1166"/>
          <w:rFonts w:hint="eastAsia"/>
          <w:b/>
          <w:color w:val="000000"/>
          <w:szCs w:val="24"/>
          <w:highlight w:val="none"/>
        </w:rPr>
        <w:t xml:space="preserve">3.</w:t>
      </w:r>
      <w:r>
        <w:rPr>
          <w:rStyle w:val="1166"/>
          <w:b/>
          <w:color w:val="000000"/>
          <w:szCs w:val="24"/>
          <w:highlight w:val="none"/>
        </w:rPr>
        <w:t xml:space="preserve">各投标单位必须真实填写此表格内容，对于技术规格中重要技术条款（参数）的响应，投标人的投标文件中应提供技术支持资料（包括设备的样本、说明书、图纸等），若有虚假，将取消其投标资格或中标资格。</w:t>
      </w:r>
      <w:r>
        <w:rPr>
          <w:rStyle w:val="1166"/>
          <w:b/>
          <w:color w:val="000000"/>
          <w:szCs w:val="24"/>
          <w:highlight w:val="none"/>
        </w:rPr>
      </w:r>
      <w:r/>
    </w:p>
    <w:p>
      <w:pPr>
        <w:pStyle w:val="1008"/>
        <w:ind w:firstLine="435"/>
        <w:spacing w:line="400" w:lineRule="exact"/>
        <w:rPr>
          <w:rStyle w:val="1166"/>
          <w:b/>
          <w:color w:val="000000"/>
          <w:szCs w:val="24"/>
          <w:highlight w:val="none"/>
          <w:lang w:val="zh-CN"/>
        </w:rPr>
      </w:pPr>
      <w:r>
        <w:rPr>
          <w:rStyle w:val="1166"/>
          <w:rFonts w:hint="eastAsia"/>
          <w:b/>
          <w:color w:val="000000"/>
          <w:szCs w:val="24"/>
          <w:highlight w:val="none"/>
        </w:rPr>
        <w:t xml:space="preserve">4.</w:t>
      </w:r>
      <w:r>
        <w:rPr>
          <w:rStyle w:val="1166"/>
          <w:b/>
          <w:color w:val="000000"/>
          <w:szCs w:val="24"/>
          <w:highlight w:val="none"/>
          <w:lang w:val="zh-CN"/>
        </w:rPr>
        <w:t xml:space="preserve">投标单位须对所有技术应答负责，如</w:t>
      </w:r>
      <w:r>
        <w:rPr>
          <w:rStyle w:val="1166"/>
          <w:rFonts w:hint="eastAsia"/>
          <w:b/>
          <w:color w:val="000000"/>
          <w:szCs w:val="24"/>
          <w:highlight w:val="none"/>
          <w:lang w:val="zh-CN"/>
        </w:rPr>
        <w:t xml:space="preserve">技术参数偏离表</w:t>
      </w:r>
      <w:r>
        <w:rPr>
          <w:rStyle w:val="1166"/>
          <w:b/>
          <w:color w:val="000000"/>
          <w:szCs w:val="24"/>
          <w:highlight w:val="none"/>
          <w:lang w:val="zh-CN"/>
        </w:rPr>
        <w:t xml:space="preserve">中出现提供的参数虚假或对采购文件所要求说明的情况故意隐瞒或虚报，视为不实质性响应招标文件，为无效投标。已中标的将取消中标资格，并按《中华人民共和国政府采购法》第七十七条“提供虚假材料谋取中标、成交”相关处理办法处理。</w:t>
      </w:r>
      <w:r>
        <w:rPr>
          <w:rStyle w:val="1166"/>
          <w:b/>
          <w:color w:val="000000"/>
          <w:szCs w:val="24"/>
          <w:highlight w:val="none"/>
          <w:lang w:val="zh-CN"/>
        </w:rPr>
      </w:r>
      <w:r/>
    </w:p>
    <w:p>
      <w:pPr>
        <w:pStyle w:val="1008"/>
        <w:ind w:firstLine="422"/>
        <w:spacing w:line="360" w:lineRule="auto"/>
        <w:rPr>
          <w:rFonts w:hint="eastAsia" w:ascii="宋体" w:hAnsi="宋体" w:cs="宋体"/>
          <w:color w:val="000000"/>
          <w:sz w:val="21"/>
          <w:szCs w:val="21"/>
          <w:highlight w:val="none"/>
        </w:rPr>
      </w:pPr>
      <w:r>
        <w:rPr>
          <w:rStyle w:val="1166"/>
          <w:rFonts w:hint="eastAsia"/>
          <w:b/>
          <w:color w:val="000000"/>
          <w:szCs w:val="21"/>
          <w:highlight w:val="none"/>
        </w:rPr>
        <w:t xml:space="preserve">5.</w:t>
      </w:r>
      <w:r>
        <w:rPr>
          <w:rStyle w:val="1166"/>
          <w:b/>
          <w:color w:val="000000"/>
          <w:szCs w:val="21"/>
          <w:highlight w:val="none"/>
        </w:rPr>
        <w:t xml:space="preserve">投标单位应根据清单技术要求中要求提供相关资料证明的在投标文件中清晰的体现，应便于评标委员会评审。</w:t>
      </w:r>
      <w:r>
        <w:rPr>
          <w:rFonts w:hint="eastAsia" w:ascii="宋体" w:hAnsi="宋体" w:cs="宋体"/>
          <w:color w:val="000000"/>
          <w:sz w:val="21"/>
          <w:szCs w:val="21"/>
          <w:highlight w:val="none"/>
        </w:rPr>
      </w:r>
      <w:r/>
    </w:p>
    <w:p>
      <w:pPr>
        <w:pStyle w:val="1030"/>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30"/>
        <w:ind w:firstLine="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lang w:val="en-US" w:eastAsia="zh-CN"/>
        </w:rPr>
        <w:t xml:space="preserve">附件</w:t>
      </w:r>
      <w:r>
        <w:rPr>
          <w:rFonts w:hint="eastAsia" w:ascii="宋体" w:hAnsi="宋体" w:eastAsia="宋体" w:cs="宋体"/>
          <w:b/>
          <w:color w:val="000000"/>
          <w:sz w:val="21"/>
          <w:szCs w:val="21"/>
          <w:highlight w:val="none"/>
        </w:rPr>
        <w:t xml:space="preserve">8.</w:t>
      </w:r>
      <w:r>
        <w:rPr>
          <w:rFonts w:hint="eastAsia" w:ascii="宋体" w:hAnsi="宋体" w:eastAsia="宋体" w:cs="宋体"/>
          <w:b/>
          <w:color w:val="000000"/>
          <w:sz w:val="21"/>
          <w:szCs w:val="21"/>
          <w:highlight w:val="none"/>
          <w:lang w:val="zh-CN"/>
        </w:rPr>
        <w:t xml:space="preserve">商务条款偏离表</w:t>
      </w:r>
      <w:r>
        <w:rPr>
          <w:rFonts w:hint="eastAsia" w:ascii="宋体" w:hAnsi="宋体" w:eastAsia="宋体" w:cs="宋体"/>
          <w:b/>
          <w:color w:val="000000"/>
          <w:sz w:val="21"/>
          <w:szCs w:val="21"/>
          <w:highlight w:val="none"/>
          <w:lang w:val="zh-CN"/>
        </w:rPr>
      </w:r>
      <w:r/>
    </w:p>
    <w:p>
      <w:pPr>
        <w:pStyle w:val="1008"/>
        <w:jc w:val="center"/>
        <w:spacing w:line="360" w:lineRule="auto"/>
        <w:rPr>
          <w:rStyle w:val="1166"/>
          <w:rFonts w:hint="eastAsia" w:ascii="Times New Roman" w:hAnsi="Times New Roman" w:eastAsia="宋体" w:cs="Times New Roman"/>
          <w:b/>
          <w:color w:val="000000"/>
          <w:szCs w:val="26"/>
          <w:highlight w:val="none"/>
          <w:lang w:val="zh-CN"/>
        </w:rPr>
        <w:outlineLvl w:val="9"/>
      </w:pPr>
      <w:r/>
      <w:bookmarkStart w:id="32" w:name="_Toc48639337"/>
      <w:r/>
      <w:bookmarkStart w:id="33" w:name="_Toc48639208"/>
      <w:r>
        <w:rPr>
          <w:rStyle w:val="1166"/>
          <w:rFonts w:hint="eastAsia" w:ascii="Times New Roman" w:hAnsi="Times New Roman" w:eastAsia="宋体" w:cs="Times New Roman"/>
          <w:b/>
          <w:color w:val="000000"/>
          <w:szCs w:val="26"/>
          <w:highlight w:val="none"/>
          <w:lang w:val="zh-CN"/>
        </w:rPr>
        <w:t xml:space="preserve">商务条款偏离表</w:t>
      </w:r>
      <w:bookmarkEnd w:id="32"/>
      <w:r/>
      <w:bookmarkEnd w:id="33"/>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标段</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lang w:val="zh-CN"/>
        </w:rPr>
        <w:t xml:space="preserve">）</w:t>
      </w:r>
      <w:r>
        <w:rPr>
          <w:rStyle w:val="1166"/>
          <w:rFonts w:hint="eastAsia" w:ascii="Times New Roman" w:hAnsi="Times New Roman" w:eastAsia="宋体" w:cs="Times New Roman"/>
          <w:b/>
          <w:color w:val="000000"/>
          <w:szCs w:val="26"/>
          <w:highlight w:val="none"/>
          <w:lang w:val="zh-CN"/>
        </w:rPr>
      </w:r>
      <w:r/>
    </w:p>
    <w:p>
      <w:pPr>
        <w:pStyle w:val="1030"/>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color w:val="000000"/>
          <w:sz w:val="21"/>
          <w:szCs w:val="21"/>
          <w:highlight w:val="none"/>
          <w:lang w:val="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lang w:val="zh-CN"/>
              </w:rPr>
            </w:r>
            <w:r/>
          </w:p>
        </w:tc>
        <w:tc>
          <w:tcPr>
            <w:tcW w:w="3240"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招标文件的商务条款</w:t>
            </w:r>
            <w:r>
              <w:rPr>
                <w:rFonts w:hint="eastAsia" w:ascii="宋体" w:hAnsi="宋体" w:cs="宋体"/>
                <w:color w:val="000000"/>
                <w:sz w:val="21"/>
                <w:szCs w:val="21"/>
                <w:highlight w:val="none"/>
                <w:lang w:val="zh-CN"/>
              </w:rPr>
            </w:r>
            <w:r/>
          </w:p>
        </w:tc>
        <w:tc>
          <w:tcPr>
            <w:tcW w:w="3060"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投标文件的商务条款</w:t>
            </w:r>
            <w:r>
              <w:rPr>
                <w:rFonts w:hint="eastAsia" w:ascii="宋体" w:hAnsi="宋体" w:cs="宋体"/>
                <w:color w:val="000000"/>
                <w:sz w:val="21"/>
                <w:szCs w:val="21"/>
                <w:highlight w:val="none"/>
                <w:lang w:val="zh-CN"/>
              </w:rPr>
            </w:r>
            <w:r/>
          </w:p>
        </w:tc>
        <w:tc>
          <w:tcPr>
            <w:tcW w:w="1260"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说明</w:t>
            </w:r>
            <w:r>
              <w:rPr>
                <w:rFonts w:hint="eastAsia" w:ascii="宋体" w:hAnsi="宋体" w:cs="宋体"/>
                <w:color w:val="000000"/>
                <w:sz w:val="21"/>
                <w:szCs w:val="21"/>
                <w:highlight w:val="none"/>
                <w:lang w:val="zh-CN"/>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297"/>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0"/>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08"/>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注：投标人的投标文件（除技术规格部分）与招标文件规定的有偏离的，应在此表中说明。未在上表中说明的，将被认为完全响应招标文件的规定。</w:t>
      </w:r>
      <w:r>
        <w:rPr>
          <w:rFonts w:hint="eastAsia" w:ascii="宋体" w:hAnsi="宋体" w:cs="宋体"/>
          <w:color w:val="000000"/>
          <w:sz w:val="21"/>
          <w:szCs w:val="21"/>
          <w:highlight w:val="none"/>
          <w:lang w:val="zh-CN"/>
        </w:rPr>
      </w:r>
      <w:r/>
    </w:p>
    <w:p>
      <w:pPr>
        <w:pStyle w:val="103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jc w:val="both"/>
        <w:spacing w:line="360" w:lineRule="auto"/>
        <w:rPr>
          <w:rFonts w:hint="eastAsia" w:ascii="宋体" w:hAnsi="宋体" w:cs="宋体"/>
          <w:b/>
          <w:bCs/>
          <w:color w:val="000000"/>
          <w:sz w:val="21"/>
          <w:szCs w:val="21"/>
          <w:highlight w:val="none"/>
          <w:lang w:val="zh-CN"/>
        </w:rPr>
        <w:outlineLvl w:val="9"/>
      </w:pPr>
      <w:r>
        <w:rPr>
          <w:rFonts w:hint="eastAsia" w:ascii="宋体" w:hAnsi="宋体" w:cs="宋体"/>
          <w:color w:val="000000"/>
          <w:sz w:val="21"/>
          <w:szCs w:val="21"/>
          <w:highlight w:val="none"/>
        </w:rPr>
        <w:br w:type="page" w:clear="all"/>
      </w:r>
      <w:bookmarkStart w:id="34" w:name="_Toc48639338"/>
      <w:r/>
      <w:bookmarkStart w:id="35" w:name="_Toc48639209"/>
      <w:r>
        <w:rPr>
          <w:rStyle w:val="1166"/>
          <w:rFonts w:hint="eastAsia" w:ascii="宋体" w:hAnsi="宋体" w:eastAsia="宋体" w:cs="宋体"/>
          <w:b/>
          <w:color w:val="000000"/>
          <w:szCs w:val="26"/>
          <w:highlight w:val="none"/>
          <w:lang w:val="en-US" w:eastAsia="zh-CN"/>
        </w:rPr>
        <w:t xml:space="preserve">附件</w:t>
      </w:r>
      <w:r>
        <w:rPr>
          <w:rStyle w:val="1166"/>
          <w:rFonts w:hint="eastAsia" w:ascii="宋体" w:hAnsi="宋体" w:eastAsia="宋体" w:cs="宋体"/>
          <w:b/>
          <w:color w:val="000000"/>
          <w:szCs w:val="26"/>
          <w:highlight w:val="none"/>
        </w:rPr>
        <w:t xml:space="preserve">9</w:t>
      </w:r>
      <w:r>
        <w:rPr>
          <w:rStyle w:val="1166"/>
          <w:rFonts w:hint="eastAsia" w:ascii="宋体" w:hAnsi="宋体" w:eastAsia="宋体" w:cs="宋体"/>
          <w:b/>
          <w:color w:val="000000"/>
          <w:szCs w:val="26"/>
          <w:highlight w:val="none"/>
          <w:lang w:val="zh-CN"/>
        </w:rPr>
        <w:t xml:space="preserve">、售后服务承诺书</w:t>
      </w:r>
      <w:bookmarkEnd w:id="34"/>
      <w:r/>
      <w:bookmarkEnd w:id="35"/>
      <w:r>
        <w:rPr>
          <w:rFonts w:hint="eastAsia" w:ascii="宋体" w:hAnsi="宋体" w:cs="宋体"/>
          <w:b/>
          <w:bCs/>
          <w:color w:val="000000"/>
          <w:sz w:val="21"/>
          <w:szCs w:val="21"/>
          <w:highlight w:val="none"/>
          <w:lang w:val="zh-CN"/>
        </w:rPr>
      </w:r>
      <w:r/>
    </w:p>
    <w:p>
      <w:pPr>
        <w:pStyle w:val="1008"/>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1008"/>
        <w:jc w:val="center"/>
        <w:spacing w:line="360" w:lineRule="auto"/>
        <w:rPr>
          <w:rStyle w:val="1166"/>
          <w:rFonts w:hint="eastAsia" w:ascii="Times New Roman" w:hAnsi="Times New Roman" w:eastAsia="宋体" w:cs="Times New Roman"/>
          <w:b/>
          <w:color w:val="000000"/>
          <w:szCs w:val="26"/>
          <w:highlight w:val="none"/>
          <w:lang w:val="zh-CN"/>
        </w:rPr>
        <w:outlineLvl w:val="9"/>
      </w:pPr>
      <w:r/>
      <w:bookmarkStart w:id="36" w:name="_Toc48639210"/>
      <w:r/>
      <w:bookmarkStart w:id="37" w:name="_Toc48639339"/>
      <w:r>
        <w:rPr>
          <w:rStyle w:val="1166"/>
          <w:rFonts w:hint="eastAsia" w:ascii="Times New Roman" w:hAnsi="Times New Roman" w:eastAsia="宋体" w:cs="Times New Roman"/>
          <w:b/>
          <w:color w:val="000000"/>
          <w:szCs w:val="26"/>
          <w:highlight w:val="none"/>
          <w:lang w:val="zh-CN"/>
        </w:rPr>
        <w:t xml:space="preserve">售后服务承诺书</w:t>
      </w:r>
      <w:bookmarkEnd w:id="36"/>
      <w:r/>
      <w:bookmarkEnd w:id="37"/>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标段</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lang w:val="zh-CN"/>
        </w:rPr>
        <w:t xml:space="preserve">）</w:t>
      </w:r>
      <w:r>
        <w:rPr>
          <w:rStyle w:val="1166"/>
          <w:rFonts w:hint="eastAsia" w:ascii="Times New Roman" w:hAnsi="Times New Roman" w:eastAsia="宋体" w:cs="Times New Roman"/>
          <w:b/>
          <w:color w:val="000000"/>
          <w:szCs w:val="26"/>
          <w:highlight w:val="none"/>
          <w:lang w:val="zh-CN"/>
        </w:rPr>
      </w:r>
      <w:r/>
    </w:p>
    <w:p>
      <w:pPr>
        <w:pStyle w:val="1030"/>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color w:val="000000"/>
          <w:sz w:val="21"/>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lang w:val="zh-CN"/>
              </w:rPr>
            </w:r>
            <w:r/>
          </w:p>
        </w:tc>
        <w:tc>
          <w:tcPr>
            <w:tcW w:w="3060"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售后服务内容</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期限（时间）</w:t>
            </w:r>
            <w:r>
              <w:rPr>
                <w:rFonts w:hint="eastAsia" w:ascii="宋体" w:hAnsi="宋体" w:cs="宋体"/>
                <w:color w:val="000000"/>
                <w:sz w:val="21"/>
                <w:szCs w:val="21"/>
                <w:highlight w:val="none"/>
                <w:lang w:val="zh-CN"/>
              </w:rPr>
            </w:r>
            <w:r/>
          </w:p>
        </w:tc>
        <w:tc>
          <w:tcPr>
            <w:tcW w:w="2616"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rPr>
                <w:rFonts w:hint="eastAsia" w:ascii="宋体" w:hAnsi="宋体" w:cs="宋体"/>
                <w:color w:val="000000"/>
                <w:sz w:val="21"/>
                <w:szCs w:val="21"/>
                <w:highlight w:val="none"/>
                <w:lang w:val="zh-CN"/>
              </w:rPr>
            </w:r>
            <w:r/>
          </w:p>
        </w:tc>
      </w:tr>
      <w:tr>
        <w:trPr>
          <w:trHeight w:val="853"/>
        </w:trPr>
        <w:tc>
          <w:tcPr>
            <w:tcW w:w="828"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3060" w:type="dxa"/>
            <w:vAlign w:val="center"/>
            <w:textDirection w:val="lrTb"/>
            <w:noWrap w:val="false"/>
          </w:tcPr>
          <w:p>
            <w:pPr>
              <w:pStyle w:val="1008"/>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质保期</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3"/>
        </w:trPr>
        <w:tc>
          <w:tcPr>
            <w:tcW w:w="828"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3060" w:type="dxa"/>
            <w:vAlign w:val="center"/>
            <w:textDirection w:val="lrTb"/>
            <w:noWrap w:val="false"/>
          </w:tcPr>
          <w:p>
            <w:pPr>
              <w:pStyle w:val="1008"/>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服务响应</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3"/>
        </w:trPr>
        <w:tc>
          <w:tcPr>
            <w:tcW w:w="828"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3060" w:type="dxa"/>
            <w:vAlign w:val="center"/>
            <w:textDirection w:val="lrTb"/>
            <w:noWrap w:val="false"/>
          </w:tcPr>
          <w:p>
            <w:pPr>
              <w:pStyle w:val="1008"/>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到达现场</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4"/>
        </w:trPr>
        <w:tc>
          <w:tcPr>
            <w:tcW w:w="828"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3060" w:type="dxa"/>
            <w:vAlign w:val="center"/>
            <w:textDirection w:val="lrTb"/>
            <w:noWrap w:val="false"/>
          </w:tcPr>
          <w:p>
            <w:pPr>
              <w:pStyle w:val="1008"/>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解决问题</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3"/>
        </w:trPr>
        <w:tc>
          <w:tcPr>
            <w:tcW w:w="828"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3060"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800"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08"/>
        <w:ind w:firstLine="420"/>
        <w:spacing w:before="25" w:after="25"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注：1</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zh-CN"/>
        </w:rPr>
        <w:t xml:space="preserve">针对服务内容有必须说明的事项，请在“备注”栏目内注明；</w:t>
      </w:r>
      <w:r>
        <w:rPr>
          <w:rFonts w:hint="eastAsia" w:ascii="宋体" w:hAnsi="宋体" w:cs="宋体"/>
          <w:color w:val="000000"/>
          <w:sz w:val="21"/>
          <w:szCs w:val="21"/>
          <w:highlight w:val="none"/>
          <w:lang w:val="zh-CN"/>
        </w:rPr>
      </w:r>
      <w:r/>
    </w:p>
    <w:p>
      <w:pPr>
        <w:pStyle w:val="1008"/>
        <w:ind w:firstLine="420"/>
        <w:spacing w:before="25" w:after="25"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2.如有其它售后服务内容，可自行参照填写。</w:t>
      </w:r>
      <w:r>
        <w:rPr>
          <w:rFonts w:hint="eastAsia" w:ascii="宋体" w:hAnsi="宋体" w:cs="宋体"/>
          <w:color w:val="000000"/>
          <w:sz w:val="21"/>
          <w:szCs w:val="21"/>
          <w:highlight w:val="none"/>
          <w:lang w:val="zh-CN"/>
        </w:rPr>
      </w:r>
      <w:r/>
    </w:p>
    <w:p>
      <w:pPr>
        <w:pStyle w:val="1008"/>
        <w:ind w:firstLine="420"/>
        <w:spacing w:before="25" w:after="25"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lang w:val="zh-CN"/>
        </w:rPr>
      </w:r>
      <w:r/>
    </w:p>
    <w:p>
      <w:pPr>
        <w:pStyle w:val="1008"/>
        <w:jc w:val="both"/>
        <w:spacing w:line="36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br w:type="page" w:clear="all"/>
      </w:r>
      <w:bookmarkStart w:id="38" w:name="_Ref392256331"/>
      <w:r/>
      <w:bookmarkStart w:id="39" w:name="_Toc48639211"/>
      <w:r/>
      <w:bookmarkStart w:id="40" w:name="_Toc48639340"/>
      <w:r>
        <w:rPr>
          <w:rStyle w:val="1166"/>
          <w:rFonts w:hint="eastAsia" w:ascii="宋体" w:hAnsi="宋体" w:eastAsia="宋体" w:cs="宋体"/>
          <w:b/>
          <w:color w:val="000000"/>
          <w:szCs w:val="26"/>
          <w:highlight w:val="none"/>
          <w:lang w:val="zh-CN" w:eastAsia="zh-CN"/>
        </w:rPr>
        <w:t xml:space="preserve">附件</w:t>
      </w:r>
      <w:r>
        <w:rPr>
          <w:rStyle w:val="1166"/>
          <w:rFonts w:hint="eastAsia" w:ascii="宋体" w:hAnsi="宋体" w:eastAsia="宋体" w:cs="宋体"/>
          <w:b/>
          <w:color w:val="000000"/>
          <w:szCs w:val="26"/>
          <w:highlight w:val="none"/>
          <w:lang w:val="zh-CN"/>
        </w:rPr>
        <w:t xml:space="preserve">10、项目组人员表</w:t>
      </w:r>
      <w:bookmarkEnd w:id="38"/>
      <w:r/>
      <w:bookmarkEnd w:id="39"/>
      <w:r/>
      <w:bookmarkEnd w:id="40"/>
      <w:r>
        <w:rPr>
          <w:rFonts w:hint="eastAsia" w:ascii="宋体" w:hAnsi="宋体" w:eastAsia="宋体" w:cs="宋体"/>
          <w:color w:val="000000"/>
          <w:sz w:val="21"/>
          <w:szCs w:val="21"/>
          <w:highlight w:val="none"/>
          <w:lang w:val="zh-CN"/>
        </w:rPr>
      </w:r>
      <w:r/>
    </w:p>
    <w:p>
      <w:pPr>
        <w:pStyle w:val="1008"/>
        <w:jc w:val="center"/>
        <w:spacing w:line="360" w:lineRule="auto"/>
        <w:rPr>
          <w:rStyle w:val="1166"/>
          <w:rFonts w:hint="eastAsia" w:ascii="Times New Roman" w:hAnsi="Times New Roman" w:eastAsia="宋体" w:cs="Times New Roman"/>
          <w:b/>
          <w:color w:val="000000"/>
          <w:szCs w:val="26"/>
          <w:highlight w:val="none"/>
          <w:lang w:val="zh-CN"/>
        </w:rPr>
        <w:outlineLvl w:val="9"/>
      </w:pPr>
      <w:r/>
      <w:bookmarkStart w:id="41" w:name="gpcItem_pack_1_code_3"/>
      <w:r>
        <w:rPr>
          <w:rStyle w:val="1166"/>
          <w:rFonts w:hint="eastAsia" w:ascii="Times New Roman" w:hAnsi="Times New Roman" w:eastAsia="宋体" w:cs="Times New Roman"/>
          <w:b/>
          <w:color w:val="000000"/>
          <w:szCs w:val="26"/>
          <w:highlight w:val="none"/>
          <w:lang w:val="zh-CN"/>
        </w:rPr>
        <w:t xml:space="preserve">项目组人员表</w:t>
      </w:r>
      <w:bookmarkEnd w:id="41"/>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标段</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lang w:val="zh-CN"/>
        </w:rPr>
        <w:t xml:space="preserve">）</w:t>
      </w:r>
      <w:r>
        <w:rPr>
          <w:rStyle w:val="1166"/>
          <w:rFonts w:hint="eastAsia" w:ascii="Times New Roman" w:hAnsi="Times New Roman" w:eastAsia="宋体" w:cs="Times New Roman"/>
          <w:b/>
          <w:color w:val="000000"/>
          <w:szCs w:val="26"/>
          <w:highlight w:val="none"/>
          <w:lang w:val="zh-CN"/>
        </w:rPr>
      </w:r>
      <w:r/>
    </w:p>
    <w:p>
      <w:pPr>
        <w:pStyle w:val="1008"/>
        <w:jc w:val="both"/>
        <w:spacing w:line="400" w:lineRule="exact"/>
        <w:rPr>
          <w:rFonts w:ascii="宋体" w:hAnsi="宋体" w:cs="宋体"/>
          <w:bCs/>
          <w:color w:val="000000"/>
          <w:spacing w:val="20"/>
          <w:sz w:val="21"/>
          <w:szCs w:val="21"/>
          <w:highlight w:val="none"/>
        </w:rPr>
      </w:pPr>
      <w:r>
        <w:rPr>
          <w:rFonts w:hint="eastAsia" w:ascii="宋体" w:hAnsi="宋体" w:cs="宋体"/>
          <w:bCs/>
          <w:color w:val="000000"/>
          <w:spacing w:val="20"/>
          <w:sz w:val="21"/>
          <w:szCs w:val="21"/>
          <w:highlight w:val="none"/>
        </w:rPr>
        <w:t xml:space="preserve">采购编号：</w:t>
      </w:r>
      <w:r>
        <w:rPr>
          <w:rFonts w:ascii="宋体" w:hAnsi="宋体" w:cs="宋体"/>
          <w:bCs/>
          <w:color w:val="000000"/>
          <w:spacing w:val="20"/>
          <w:sz w:val="21"/>
          <w:szCs w:val="21"/>
          <w:highlight w:val="none"/>
        </w:rPr>
      </w:r>
      <w:r/>
    </w:p>
    <w:tbl>
      <w:tblPr>
        <w:tblW w:w="0" w:type="auto"/>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105"/>
        <w:gridCol w:w="1410"/>
        <w:gridCol w:w="967"/>
        <w:gridCol w:w="1221"/>
        <w:gridCol w:w="1220"/>
        <w:gridCol w:w="1217"/>
      </w:tblGrid>
      <w:tr>
        <w:trPr>
          <w:cantSplit/>
          <w:trHeight w:val="503"/>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岗位名称</w:t>
            </w: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08"/>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姓名</w:t>
            </w:r>
            <w:r>
              <w:rPr>
                <w:rFonts w:hint="eastAsia" w:ascii="宋体" w:hAnsi="宋体" w:cs="宋体"/>
                <w:bCs/>
                <w:color w:val="000000"/>
                <w:sz w:val="21"/>
                <w:szCs w:val="21"/>
                <w:highlight w:val="none"/>
              </w:rPr>
            </w:r>
            <w:r/>
          </w:p>
        </w:tc>
        <w:tc>
          <w:tcPr>
            <w:tcW w:w="967" w:type="dxa"/>
            <w:vAlign w:val="center"/>
            <w:textDirection w:val="lrTb"/>
            <w:noWrap w:val="false"/>
          </w:tcPr>
          <w:p>
            <w:pPr>
              <w:pStyle w:val="1008"/>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性别</w:t>
            </w:r>
            <w:r>
              <w:rPr>
                <w:rFonts w:hint="eastAsia" w:ascii="宋体" w:hAnsi="宋体" w:cs="宋体"/>
                <w:bCs/>
                <w:color w:val="000000"/>
                <w:sz w:val="21"/>
                <w:szCs w:val="21"/>
                <w:highlight w:val="none"/>
              </w:rPr>
            </w:r>
            <w:r/>
          </w:p>
        </w:tc>
        <w:tc>
          <w:tcPr>
            <w:tcW w:w="1221" w:type="dxa"/>
            <w:vAlign w:val="center"/>
            <w:textDirection w:val="lrTb"/>
            <w:noWrap w:val="false"/>
          </w:tcPr>
          <w:p>
            <w:pPr>
              <w:pStyle w:val="1008"/>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年龄</w:t>
            </w:r>
            <w:r>
              <w:rPr>
                <w:rFonts w:hint="eastAsia" w:ascii="宋体" w:hAnsi="宋体" w:cs="宋体"/>
                <w:bCs/>
                <w:color w:val="000000"/>
                <w:sz w:val="21"/>
                <w:szCs w:val="21"/>
                <w:highlight w:val="none"/>
              </w:rPr>
            </w:r>
            <w:r/>
          </w:p>
        </w:tc>
        <w:tc>
          <w:tcPr>
            <w:tcW w:w="1220" w:type="dxa"/>
            <w:vAlign w:val="center"/>
            <w:textDirection w:val="lrTb"/>
            <w:noWrap w:val="false"/>
          </w:tcPr>
          <w:p>
            <w:pPr>
              <w:pStyle w:val="1008"/>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学历</w:t>
            </w:r>
            <w:r>
              <w:rPr>
                <w:rFonts w:hint="eastAsia" w:ascii="宋体" w:hAnsi="宋体" w:cs="宋体"/>
                <w:bCs/>
                <w:color w:val="000000"/>
                <w:sz w:val="21"/>
                <w:szCs w:val="21"/>
                <w:highlight w:val="none"/>
              </w:rPr>
            </w:r>
            <w:r/>
          </w:p>
        </w:tc>
        <w:tc>
          <w:tcPr>
            <w:tcW w:w="1217" w:type="dxa"/>
            <w:vAlign w:val="center"/>
            <w:textDirection w:val="lrTb"/>
            <w:noWrap w:val="false"/>
          </w:tcPr>
          <w:p>
            <w:pPr>
              <w:pStyle w:val="1008"/>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职称</w:t>
            </w:r>
            <w:r>
              <w:rPr>
                <w:rFonts w:hint="eastAsia" w:ascii="宋体" w:hAnsi="宋体" w:cs="宋体"/>
                <w:bCs/>
                <w:color w:val="000000"/>
                <w:sz w:val="21"/>
                <w:szCs w:val="21"/>
                <w:highlight w:val="none"/>
              </w:rPr>
            </w:r>
            <w:r/>
          </w:p>
        </w:tc>
      </w:tr>
      <w:tr>
        <w:trPr>
          <w:cantSplit/>
          <w:trHeight w:val="427"/>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0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393"/>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0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030"/>
              <w:ind w:firstLine="0"/>
              <w:jc w:val="both"/>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0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0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30"/>
              <w:ind w:firstLine="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w:t>
            </w:r>
            <w:r>
              <w:rPr>
                <w:rFonts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w:t>
            </w:r>
            <w:r>
              <w:rPr>
                <w:rFonts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w:t>
            </w:r>
            <w:r>
              <w:rPr>
                <w:rFonts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w:t>
            </w:r>
            <w:r>
              <w:rPr>
                <w:rFonts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1030"/>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0"/>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投标人（公章）：</w:t>
      </w:r>
      <w:r>
        <w:rPr>
          <w:rFonts w:hint="eastAsia" w:ascii="宋体" w:hAnsi="宋体" w:eastAsia="宋体"/>
          <w:color w:val="000000"/>
          <w:sz w:val="21"/>
          <w:szCs w:val="21"/>
          <w:highlight w:val="none"/>
        </w:rPr>
      </w:r>
      <w:r/>
    </w:p>
    <w:p>
      <w:pPr>
        <w:pStyle w:val="1030"/>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法定代表人（投资人）或被授权人（签字或盖章）：</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1030"/>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日期：     </w:t>
      </w:r>
      <w:r>
        <w:rPr>
          <w:rFonts w:hint="eastAsia" w:ascii="宋体" w:hAnsi="宋体" w:eastAsia="宋体" w:cs="宋体"/>
          <w:color w:val="000000"/>
          <w:sz w:val="21"/>
          <w:szCs w:val="21"/>
          <w:highlight w:val="none"/>
          <w:lang w:val="zh-CN"/>
        </w:rPr>
        <w:t xml:space="preserve">  </w:t>
      </w:r>
      <w:r>
        <w:rPr>
          <w:rFonts w:hint="eastAsia" w:ascii="宋体" w:hAnsi="宋体" w:eastAsia="宋体"/>
          <w:color w:val="000000"/>
          <w:sz w:val="21"/>
          <w:szCs w:val="21"/>
          <w:highlight w:val="none"/>
        </w:rPr>
        <w:t xml:space="preserve">年</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月</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日</w:t>
      </w:r>
      <w:r>
        <w:rPr>
          <w:rFonts w:ascii="宋体" w:hAnsi="宋体" w:eastAsia="宋体"/>
          <w:color w:val="000000"/>
          <w:sz w:val="21"/>
          <w:szCs w:val="21"/>
          <w:highlight w:val="none"/>
        </w:rPr>
      </w:r>
      <w:r/>
    </w:p>
    <w:p>
      <w:pPr>
        <w:pStyle w:val="1008"/>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注：请按以上格式自制表格填写后投标。</w:t>
      </w:r>
      <w:r>
        <w:rPr>
          <w:rFonts w:hint="eastAsia" w:ascii="宋体" w:hAnsi="宋体" w:cs="宋体"/>
          <w:bCs/>
          <w:color w:val="000000"/>
          <w:sz w:val="21"/>
          <w:szCs w:val="21"/>
          <w:highlight w:val="none"/>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08"/>
        <w:ind w:left="567" w:hanging="567"/>
        <w:spacing w:before="0" w:after="0" w:line="360" w:lineRule="auto"/>
        <w:tabs>
          <w:tab w:val="left" w:pos="576" w:leader="none"/>
          <w:tab w:val="left" w:pos="1012"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br w:type="page" w:clear="all"/>
      </w:r>
      <w:bookmarkStart w:id="42" w:name="_Toc48639212"/>
      <w:r/>
      <w:bookmarkStart w:id="43" w:name="_Toc48639341"/>
      <w:r>
        <w:rPr>
          <w:rFonts w:hint="eastAsia" w:ascii="宋体" w:hAnsi="宋体" w:eastAsia="宋体" w:cs="宋体"/>
          <w:b/>
          <w:bCs/>
          <w:color w:val="000000"/>
          <w:sz w:val="21"/>
          <w:szCs w:val="21"/>
          <w:highlight w:val="none"/>
          <w:lang w:val="zh-CN" w:eastAsia="zh-CN"/>
        </w:rPr>
        <w:t xml:space="preserve">附件</w:t>
      </w:r>
      <w:r>
        <w:rPr>
          <w:rFonts w:hint="eastAsia" w:ascii="宋体" w:hAnsi="宋体" w:eastAsia="宋体" w:cs="宋体"/>
          <w:b/>
          <w:bCs/>
          <w:color w:val="000000"/>
          <w:sz w:val="21"/>
          <w:szCs w:val="21"/>
          <w:highlight w:val="none"/>
        </w:rPr>
        <w:t xml:space="preserve">11、项目实施方案</w:t>
      </w:r>
      <w:bookmarkEnd w:id="42"/>
      <w:r/>
      <w:bookmarkEnd w:id="43"/>
      <w:r/>
      <w:bookmarkStart w:id="44" w:name="gpcItem_pack_1_code_7"/>
      <w:r>
        <w:rPr>
          <w:rFonts w:hint="eastAsia" w:ascii="宋体" w:hAnsi="宋体" w:eastAsia="宋体" w:cs="宋体"/>
          <w:color w:val="000000"/>
          <w:sz w:val="21"/>
          <w:szCs w:val="21"/>
          <w:highlight w:val="none"/>
        </w:rPr>
      </w:r>
      <w:r/>
    </w:p>
    <w:p>
      <w:pPr>
        <w:pStyle w:val="1008"/>
        <w:jc w:val="center"/>
        <w:spacing w:line="360" w:lineRule="auto"/>
        <w:rPr>
          <w:rStyle w:val="1166"/>
          <w:rFonts w:hint="eastAsia" w:ascii="Times New Roman" w:hAnsi="Times New Roman" w:eastAsia="宋体" w:cs="Times New Roman"/>
          <w:b/>
          <w:color w:val="000000"/>
          <w:szCs w:val="26"/>
          <w:highlight w:val="none"/>
          <w:lang w:val="zh-CN"/>
        </w:rPr>
        <w:outlineLvl w:val="9"/>
      </w:pPr>
      <w:r>
        <w:rPr>
          <w:rStyle w:val="1166"/>
          <w:rFonts w:hint="eastAsia" w:ascii="Times New Roman" w:hAnsi="Times New Roman" w:eastAsia="宋体" w:cs="Times New Roman"/>
          <w:b/>
          <w:color w:val="000000"/>
          <w:szCs w:val="26"/>
          <w:highlight w:val="none"/>
          <w:lang w:val="zh-CN"/>
        </w:rPr>
        <w:t xml:space="preserve">项目实施方案</w:t>
      </w:r>
      <w:bookmarkEnd w:id="44"/>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标段</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lang w:val="zh-CN"/>
        </w:rPr>
        <w:t xml:space="preserve">）</w:t>
      </w:r>
      <w:r>
        <w:rPr>
          <w:rStyle w:val="1166"/>
          <w:rFonts w:hint="eastAsia" w:ascii="Times New Roman" w:hAnsi="Times New Roman" w:eastAsia="宋体" w:cs="Times New Roman"/>
          <w:b/>
          <w:color w:val="000000"/>
          <w:szCs w:val="26"/>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1676"/>
        </w:trPr>
        <w:tc>
          <w:tcPr>
            <w:tcW w:w="8522" w:type="dxa"/>
            <w:vAlign w:val="top"/>
            <w:textDirection w:val="lrTb"/>
            <w:noWrap w:val="false"/>
          </w:tcPr>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提示：</w:t>
            </w: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应根据本次采购项目要求，对本项目的方案进行说明与描述。</w:t>
            </w: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可根据自身情况编写，本页不够可另加页附后。</w:t>
            </w:r>
            <w:r>
              <w:rPr>
                <w:rFonts w:hint="eastAsia" w:ascii="宋体" w:hAnsi="宋体"/>
                <w:color w:val="000000"/>
                <w:sz w:val="21"/>
                <w:szCs w:val="21"/>
                <w:highlight w:val="none"/>
              </w:rPr>
            </w:r>
            <w:r/>
          </w:p>
        </w:tc>
      </w:tr>
      <w:tr>
        <w:trPr>
          <w:trHeight w:val="7214"/>
        </w:trPr>
        <w:tc>
          <w:tcPr>
            <w:tcW w:w="8522" w:type="dxa"/>
            <w:vAlign w:val="top"/>
            <w:textDirection w:val="lrTb"/>
            <w:noWrap w:val="false"/>
          </w:tcPr>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                              投标人（公章）：</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08"/>
              <w:ind w:firstLine="3150"/>
              <w:spacing w:line="360" w:lineRule="auto"/>
              <w:tabs>
                <w:tab w:val="left" w:pos="1320" w:leader="none"/>
              </w:tabs>
              <w:rPr>
                <w:rFonts w:hint="eastAsia" w:ascii="宋体" w:hAnsi="宋体"/>
                <w:bCs/>
                <w:color w:val="000000"/>
                <w:sz w:val="21"/>
                <w:szCs w:val="21"/>
                <w:highlight w:val="none"/>
              </w:rPr>
            </w:pPr>
            <w:r>
              <w:rPr>
                <w:rFonts w:hint="eastAsia" w:ascii="宋体" w:hAnsi="宋体"/>
                <w:bCs/>
                <w:color w:val="000000"/>
                <w:sz w:val="21"/>
                <w:szCs w:val="21"/>
                <w:highlight w:val="none"/>
              </w:rPr>
              <w:t xml:space="preserve">日  期：</w:t>
            </w:r>
            <w:r>
              <w:rPr>
                <w:rFonts w:hint="eastAsia" w:ascii="宋体" w:hAnsi="宋体"/>
                <w:bCs/>
                <w:color w:val="000000"/>
                <w:sz w:val="21"/>
                <w:szCs w:val="21"/>
                <w:highlight w:val="none"/>
              </w:rPr>
            </w:r>
            <w:r/>
          </w:p>
          <w:p>
            <w:pPr>
              <w:pStyle w:val="1008"/>
              <w:ind w:firstLine="210"/>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1008"/>
        <w:rPr>
          <w:rFonts w:hint="eastAsia"/>
          <w:color w:val="000000"/>
          <w:highlight w:val="none"/>
        </w:rPr>
      </w:pPr>
      <w:r>
        <w:rPr>
          <w:rFonts w:hint="eastAsia"/>
          <w:color w:val="000000"/>
          <w:highlight w:val="none"/>
        </w:rPr>
      </w:r>
      <w:r/>
    </w:p>
    <w:p>
      <w:pPr>
        <w:pStyle w:val="1008"/>
        <w:rPr>
          <w:rFonts w:hint="eastAsia"/>
          <w:color w:val="000000"/>
          <w:highlight w:val="none"/>
        </w:rPr>
      </w:pPr>
      <w:r>
        <w:rPr>
          <w:rFonts w:hint="eastAsia"/>
          <w:color w:val="000000"/>
          <w:highlight w:val="none"/>
        </w:rPr>
      </w:r>
      <w:r/>
    </w:p>
    <w:p>
      <w:pPr>
        <w:pStyle w:val="1008"/>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lang w:val="en-US" w:eastAsia="zh-CN"/>
        </w:rPr>
        <w:t xml:space="preserve">附件</w:t>
      </w: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zh-CN"/>
        </w:rPr>
        <w:t xml:space="preserve">、投标单位类似业绩情况</w:t>
      </w:r>
      <w:r>
        <w:rPr>
          <w:rFonts w:hint="eastAsia" w:ascii="宋体" w:hAnsi="宋体" w:cs="宋体"/>
          <w:b/>
          <w:bCs/>
          <w:color w:val="000000"/>
          <w:sz w:val="21"/>
          <w:szCs w:val="21"/>
          <w:highlight w:val="none"/>
          <w:lang w:val="zh-CN"/>
        </w:rPr>
      </w:r>
      <w:r/>
    </w:p>
    <w:p>
      <w:pPr>
        <w:pStyle w:val="1008"/>
        <w:jc w:val="center"/>
        <w:spacing w:line="360" w:lineRule="auto"/>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投标单位类似业绩情况</w:t>
      </w:r>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标段</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zh-CN"/>
        </w:rPr>
      </w:r>
      <w:r/>
    </w:p>
    <w:p>
      <w:pPr>
        <w:pStyle w:val="1173"/>
        <w:ind w:firstLine="0"/>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bCs/>
          <w:color w:val="000000"/>
          <w:sz w:val="21"/>
          <w:szCs w:val="21"/>
          <w:highlight w:val="none"/>
        </w:rPr>
      </w:r>
      <w:r/>
    </w:p>
    <w:tbl>
      <w:tblPr>
        <w:tblW w:w="8368" w:type="dxa"/>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采购单位</w:t>
            </w: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签订时间</w:t>
            </w: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合同金额（万元）</w:t>
            </w: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1008"/>
        <w:rPr>
          <w:rFonts w:hint="eastAsia"/>
          <w:color w:val="000000"/>
          <w:highlight w:val="none"/>
        </w:rPr>
      </w:pPr>
      <w:r>
        <w:rPr>
          <w:rFonts w:hint="eastAsia"/>
          <w:color w:val="000000"/>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br w:type="page" w:clear="all"/>
      </w:r>
      <w:r>
        <w:rPr>
          <w:rFonts w:hint="eastAsia" w:ascii="宋体" w:hAnsi="宋体" w:cs="宋体"/>
          <w:b/>
          <w:bCs/>
          <w:color w:val="000000"/>
          <w:sz w:val="21"/>
          <w:szCs w:val="21"/>
          <w:highlight w:val="none"/>
          <w:lang w:val="zh-CN" w:eastAsia="zh-CN"/>
        </w:rPr>
        <w:t xml:space="preserve">附件</w:t>
      </w: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zh-CN"/>
        </w:rPr>
        <w:t xml:space="preserve">、资格证明文件</w:t>
      </w:r>
      <w:r>
        <w:rPr>
          <w:rFonts w:hint="eastAsia" w:ascii="宋体" w:hAnsi="宋体" w:cs="宋体"/>
          <w:b/>
          <w:bCs/>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（1）关于资格文件的声明函</w:t>
      </w:r>
      <w:r>
        <w:rPr>
          <w:rFonts w:hint="eastAsia" w:ascii="宋体" w:hAnsi="宋体" w:cs="宋体"/>
          <w:color w:val="000000"/>
          <w:sz w:val="21"/>
          <w:szCs w:val="21"/>
          <w:highlight w:val="none"/>
        </w:rPr>
      </w:r>
      <w:r/>
    </w:p>
    <w:p>
      <w:pPr>
        <w:pStyle w:val="1008"/>
        <w:ind w:firstLine="425"/>
        <w:jc w:val="center"/>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08"/>
        <w:jc w:val="center"/>
        <w:spacing w:line="360" w:lineRule="auto"/>
        <w:rPr>
          <w:rFonts w:hint="eastAsia" w:ascii="宋体" w:hAnsi="宋体" w:eastAsia="宋体" w:cs="宋体"/>
          <w:b/>
          <w:color w:val="000000"/>
          <w:sz w:val="21"/>
          <w:szCs w:val="21"/>
          <w:highlight w:val="none"/>
          <w:lang w:val="zh-CN"/>
        </w:rPr>
        <w:outlineLvl w:val="9"/>
      </w:pPr>
      <w:r/>
      <w:bookmarkStart w:id="45" w:name="_Toc48639214"/>
      <w:r/>
      <w:bookmarkStart w:id="46" w:name="_Toc48639343"/>
      <w:r>
        <w:rPr>
          <w:rFonts w:hint="eastAsia" w:ascii="宋体" w:hAnsi="宋体" w:eastAsia="宋体" w:cs="宋体"/>
          <w:b/>
          <w:color w:val="000000"/>
          <w:sz w:val="21"/>
          <w:szCs w:val="21"/>
          <w:highlight w:val="none"/>
          <w:lang w:val="zh-CN"/>
        </w:rPr>
        <w:t xml:space="preserve">关于资格文件的声明函</w:t>
      </w:r>
      <w:bookmarkEnd w:id="45"/>
      <w:r/>
      <w:bookmarkEnd w:id="46"/>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标段</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rPr>
      </w:r>
      <w:r/>
    </w:p>
    <w:p>
      <w:pPr>
        <w:pStyle w:val="1008"/>
        <w:ind w:firstLine="425"/>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1008"/>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本公司愿就由贵公司组织实施的编号为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highlight w:val="none"/>
        </w:rPr>
      </w:r>
      <w:r/>
    </w:p>
    <w:p>
      <w:pPr>
        <w:pStyle w:val="1008"/>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08"/>
        <w:ind w:firstLine="1995"/>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08"/>
        <w:jc w:val="both"/>
        <w:spacing w:line="360" w:lineRule="auto"/>
        <w:widowControl w:val="off"/>
        <w:rPr>
          <w:rFonts w:hint="eastAsia" w:ascii="宋体" w:hAnsi="宋体" w:cs="宋体"/>
          <w:b/>
          <w:bCs/>
          <w:color w:val="000000"/>
          <w:sz w:val="21"/>
          <w:szCs w:val="21"/>
          <w:highlight w:val="none"/>
          <w:lang w:val="zh-CN"/>
        </w:rPr>
        <w:outlineLvl w:val="9"/>
      </w:pPr>
      <w:r>
        <w:rPr>
          <w:rFonts w:hint="eastAsia" w:ascii="宋体" w:hAnsi="宋体" w:cs="宋体"/>
          <w:color w:val="000000"/>
          <w:sz w:val="21"/>
          <w:szCs w:val="21"/>
          <w:highlight w:val="none"/>
          <w:lang w:val="zh-CN"/>
        </w:rPr>
        <w:br w:type="page" w:clear="all"/>
      </w:r>
      <w:bookmarkStart w:id="47" w:name="_Toc48639215"/>
      <w:r/>
      <w:bookmarkStart w:id="48" w:name="_Toc48639344"/>
      <w:r>
        <w:rPr>
          <w:rFonts w:hint="eastAsia" w:ascii="宋体" w:hAnsi="宋体" w:cs="宋体"/>
          <w:b/>
          <w:bCs/>
          <w:color w:val="000000"/>
          <w:sz w:val="21"/>
          <w:szCs w:val="21"/>
          <w:highlight w:val="none"/>
          <w:lang w:val="zh-CN"/>
        </w:rPr>
        <w:t xml:space="preserve">（2）投标人情况表</w:t>
      </w:r>
      <w:bookmarkEnd w:id="47"/>
      <w:r/>
      <w:bookmarkEnd w:id="48"/>
      <w:r>
        <w:rPr>
          <w:rFonts w:hint="eastAsia" w:ascii="宋体" w:hAnsi="宋体" w:cs="宋体"/>
          <w:b/>
          <w:bCs/>
          <w:color w:val="000000"/>
          <w:sz w:val="21"/>
          <w:szCs w:val="21"/>
          <w:highlight w:val="none"/>
          <w:lang w:val="zh-CN"/>
        </w:rPr>
      </w:r>
      <w:r/>
    </w:p>
    <w:p>
      <w:pPr>
        <w:pStyle w:val="1008"/>
        <w:jc w:val="center"/>
        <w:spacing w:line="360" w:lineRule="auto"/>
        <w:rPr>
          <w:rFonts w:hint="eastAsia" w:ascii="宋体" w:hAnsi="宋体" w:eastAsia="宋体" w:cs="宋体"/>
          <w:b/>
          <w:color w:val="000000"/>
          <w:sz w:val="21"/>
          <w:szCs w:val="21"/>
          <w:highlight w:val="none"/>
          <w:lang w:val="zh-CN"/>
        </w:rPr>
        <w:outlineLvl w:val="9"/>
      </w:pPr>
      <w:r/>
      <w:bookmarkStart w:id="49" w:name="_Toc48639216"/>
      <w:r/>
      <w:bookmarkStart w:id="50" w:name="_Toc48639345"/>
      <w:r>
        <w:rPr>
          <w:rFonts w:hint="eastAsia" w:ascii="宋体" w:hAnsi="宋体" w:eastAsia="宋体" w:cs="宋体"/>
          <w:b/>
          <w:color w:val="000000"/>
          <w:sz w:val="21"/>
          <w:szCs w:val="21"/>
          <w:highlight w:val="none"/>
          <w:lang w:val="zh-CN"/>
        </w:rPr>
        <w:t xml:space="preserve">投标人情况表</w:t>
      </w:r>
      <w:bookmarkEnd w:id="49"/>
      <w:r/>
      <w:bookmarkEnd w:id="50"/>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标段</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rPr>
      </w:r>
      <w:r/>
    </w:p>
    <w:p>
      <w:pPr>
        <w:pStyle w:val="1008"/>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hint="eastAsia" w:ascii="宋体" w:hAnsi="宋体" w:cs="宋体"/>
          <w:color w:val="000000"/>
          <w:sz w:val="21"/>
          <w:szCs w:val="21"/>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630"/>
        <w:gridCol w:w="1461"/>
        <w:gridCol w:w="2056"/>
        <w:gridCol w:w="983"/>
      </w:tblGrid>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1"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成立日期</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企业地址</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1"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注册资本</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08"/>
              <w:ind w:firstLine="2160"/>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经营范围</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职工人数</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3517"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其中：有中高级以上职称的人数</w:t>
            </w:r>
            <w:r>
              <w:rPr>
                <w:rFonts w:hint="eastAsia" w:ascii="宋体" w:hAnsi="宋体" w:cs="宋体"/>
                <w:color w:val="000000"/>
                <w:sz w:val="21"/>
                <w:szCs w:val="21"/>
                <w:highlight w:val="none"/>
              </w:rPr>
            </w:r>
            <w:r/>
          </w:p>
        </w:tc>
        <w:tc>
          <w:tcPr>
            <w:tcW w:w="983"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资产总计</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rPr>
                <w:rFonts w:hint="eastAsia" w:ascii="宋体" w:hAnsi="宋体" w:cs="宋体"/>
                <w:color w:val="000000"/>
                <w:sz w:val="21"/>
                <w:szCs w:val="21"/>
                <w:highlight w:val="none"/>
              </w:rPr>
            </w:r>
            <w:r/>
          </w:p>
        </w:tc>
        <w:tc>
          <w:tcPr>
            <w:tcW w:w="1461"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净资产</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股东权益</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rPr>
                <w:rFonts w:hint="eastAsia" w:ascii="宋体" w:hAnsi="宋体" w:cs="宋体"/>
                <w:color w:val="000000"/>
                <w:sz w:val="21"/>
                <w:szCs w:val="21"/>
                <w:highlight w:val="none"/>
              </w:rPr>
            </w:r>
            <w:r/>
          </w:p>
        </w:tc>
        <w:tc>
          <w:tcPr>
            <w:tcW w:w="1461"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销售收入</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ascii="宋体" w:hAnsi="宋体" w:cs="宋体"/>
                <w:color w:val="000000"/>
                <w:sz w:val="21"/>
                <w:szCs w:val="21"/>
                <w:highlight w:val="none"/>
                <w:lang w:val="zh-CN"/>
              </w:rPr>
              <w:t xml:space="preserve">202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年          万元</w:t>
            </w: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实现利润</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年  万元</w:t>
            </w:r>
            <w:r>
              <w:rPr>
                <w:rFonts w:hint="eastAsia" w:ascii="宋体" w:hAnsi="宋体" w:cs="宋体"/>
                <w:color w:val="000000"/>
                <w:sz w:val="21"/>
                <w:szCs w:val="21"/>
                <w:highlight w:val="none"/>
              </w:rPr>
            </w:r>
            <w:r/>
          </w:p>
        </w:tc>
        <w:tc>
          <w:tcPr>
            <w:tcW w:w="1461"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营业面积（含厂房面积）</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平方米</w:t>
            </w:r>
            <w:r>
              <w:rPr>
                <w:rFonts w:hint="eastAsia" w:ascii="宋体" w:hAnsi="宋体" w:cs="宋体"/>
                <w:color w:val="000000"/>
                <w:sz w:val="21"/>
                <w:szCs w:val="21"/>
                <w:highlight w:val="none"/>
              </w:rPr>
            </w:r>
            <w:r/>
          </w:p>
        </w:tc>
        <w:tc>
          <w:tcPr>
            <w:tcW w:w="1461"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自有面积         平方米</w:t>
            </w:r>
            <w:r>
              <w:rPr>
                <w:rFonts w:hint="eastAsia" w:ascii="宋体" w:hAnsi="宋体" w:cs="宋体"/>
                <w:color w:val="000000"/>
                <w:sz w:val="21"/>
                <w:szCs w:val="21"/>
                <w:highlight w:val="none"/>
              </w:rPr>
            </w:r>
            <w:r/>
          </w:p>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承租面积         平方米</w:t>
            </w: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单位简历及内设机构情况</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单位优势及特长</w:t>
            </w:r>
            <w:r>
              <w:rPr>
                <w:rFonts w:hint="eastAsia" w:ascii="宋体" w:hAnsi="宋体" w:cs="宋体"/>
                <w:color w:val="000000"/>
                <w:sz w:val="21"/>
                <w:szCs w:val="21"/>
                <w:highlight w:val="none"/>
              </w:rPr>
            </w:r>
            <w:r/>
          </w:p>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近三年来完成或正在履行的重大合同情况</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最近3年内在经营过程中受到何种奖励或处分</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（包括财政、工商、税务、物价、技监部门稽查情况和结果）</w:t>
            </w:r>
            <w:r>
              <w:rPr>
                <w:rFonts w:hint="eastAsia" w:ascii="宋体" w:hAnsi="宋体" w:cs="宋体"/>
                <w:color w:val="000000"/>
                <w:sz w:val="21"/>
                <w:szCs w:val="21"/>
                <w:highlight w:val="none"/>
              </w:rPr>
            </w:r>
            <w:r/>
          </w:p>
        </w:tc>
      </w:tr>
      <w:tr>
        <w:trPr>
          <w:trHeight w:val="1356"/>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最近3年内有无因售假、售劣或是其他原因被消费者投诉或起诉的情况及说明</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（包括解决方式和结果）</w:t>
            </w:r>
            <w:r>
              <w:rPr>
                <w:rFonts w:hint="eastAsia" w:ascii="宋体" w:hAnsi="宋体" w:cs="宋体"/>
                <w:color w:val="000000"/>
                <w:sz w:val="21"/>
                <w:szCs w:val="21"/>
                <w:highlight w:val="none"/>
              </w:rPr>
            </w:r>
            <w:r/>
          </w:p>
        </w:tc>
      </w:tr>
      <w:tr>
        <w:trPr>
          <w:trHeight w:val="1302"/>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最近3年内主要负责人有无因经济犯罪被司法机关追究的情况及说明</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49"/>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获得技术认证的工程师及简介</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73"/>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其他需要说明的情况</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08"/>
        <w:jc w:val="both"/>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br w:type="page" w:clear="all"/>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zh-CN"/>
        </w:rPr>
        <w:t xml:space="preserve">）投标单位资格承诺书</w:t>
      </w:r>
      <w:r>
        <w:rPr>
          <w:rFonts w:hint="eastAsia" w:ascii="宋体" w:hAnsi="宋体" w:cs="宋体"/>
          <w:color w:val="000000"/>
          <w:sz w:val="21"/>
          <w:szCs w:val="21"/>
          <w:highlight w:val="none"/>
        </w:rPr>
      </w:r>
      <w:r/>
    </w:p>
    <w:p>
      <w:pPr>
        <w:pStyle w:val="1008"/>
        <w:jc w:val="center"/>
        <w:spacing w:line="360" w:lineRule="auto"/>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投标单位资格承诺书</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标段</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rPr>
      </w:r>
      <w:r/>
    </w:p>
    <w:p>
      <w:pPr>
        <w:pStyle w:val="1008"/>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采购编号：</w:t>
      </w:r>
      <w:r>
        <w:rPr>
          <w:rFonts w:hint="eastAsia" w:ascii="宋体" w:hAnsi="宋体" w:cs="宋体"/>
          <w:color w:val="000000"/>
          <w:sz w:val="21"/>
          <w:szCs w:val="21"/>
          <w:highlight w:val="none"/>
          <w:lang w:val="zh-CN"/>
        </w:rPr>
      </w:r>
      <w:r/>
    </w:p>
    <w:tbl>
      <w:tblPr>
        <w:tblW w:w="49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3050"/>
        <w:gridCol w:w="1192"/>
        <w:gridCol w:w="3401"/>
      </w:tblGrid>
      <w:tr>
        <w:trPr>
          <w:trHeight w:val="69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lang w:val="zh-CN"/>
              </w:rPr>
            </w:r>
            <w:r/>
          </w:p>
        </w:tc>
        <w:tc>
          <w:tcPr>
            <w:tcW w:w="3050" w:type="dxa"/>
            <w:vAlign w:val="center"/>
            <w:textDirection w:val="lrTb"/>
            <w:noWrap w:val="false"/>
          </w:tcPr>
          <w:p>
            <w:pPr>
              <w:pStyle w:val="1008"/>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投标单位部分资格要求</w:t>
            </w:r>
            <w:r>
              <w:rPr>
                <w:rFonts w:hint="eastAsia" w:ascii="宋体" w:hAnsi="宋体" w:cs="宋体"/>
                <w:color w:val="000000"/>
                <w:sz w:val="21"/>
                <w:szCs w:val="21"/>
                <w:highlight w:val="none"/>
                <w:lang w:val="zh-CN"/>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是否完全响应</w:t>
            </w:r>
            <w:r>
              <w:rPr>
                <w:rFonts w:hint="eastAsia" w:ascii="宋体" w:hAnsi="宋体" w:cs="宋体"/>
                <w:color w:val="000000"/>
                <w:sz w:val="21"/>
                <w:szCs w:val="21"/>
                <w:highlight w:val="none"/>
                <w:lang w:val="zh-CN"/>
              </w:rPr>
            </w:r>
            <w:r/>
          </w:p>
        </w:tc>
        <w:tc>
          <w:tcPr>
            <w:tcW w:w="3401" w:type="dxa"/>
            <w:vAlign w:val="center"/>
            <w:textDirection w:val="lrTb"/>
            <w:noWrap w:val="false"/>
          </w:tcPr>
          <w:p>
            <w:pPr>
              <w:pStyle w:val="1008"/>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rPr>
                <w:rFonts w:hint="eastAsia" w:ascii="宋体" w:hAnsi="宋体" w:cs="宋体"/>
                <w:color w:val="000000"/>
                <w:sz w:val="21"/>
                <w:szCs w:val="21"/>
                <w:highlight w:val="none"/>
                <w:lang w:val="zh-CN"/>
              </w:rPr>
            </w:r>
            <w:r/>
          </w:p>
        </w:tc>
      </w:tr>
      <w:tr>
        <w:trPr>
          <w:trHeight w:val="85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3050"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具有独立承担民事责任的能力；</w:t>
            </w:r>
            <w:r>
              <w:rPr>
                <w:rFonts w:hint="eastAsia" w:ascii="宋体" w:hAnsi="宋体"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提供包括法人或者其他组织的营业执照等证明文件，自然人的身份证明</w:t>
            </w:r>
            <w:r>
              <w:rPr>
                <w:rFonts w:hint="eastAsia" w:ascii="宋体" w:hAnsi="宋体" w:cs="宋体"/>
                <w:color w:val="000000"/>
                <w:sz w:val="21"/>
                <w:szCs w:val="21"/>
                <w:highlight w:val="none"/>
              </w:rPr>
            </w:r>
            <w:r/>
          </w:p>
        </w:tc>
      </w:tr>
      <w:tr>
        <w:trPr>
          <w:trHeight w:val="85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3050"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具有良好的商业信誉和健全的财务会计制度；</w:t>
            </w:r>
            <w:r>
              <w:rPr>
                <w:rFonts w:hint="eastAsia" w:ascii="宋体" w:hAnsi="宋体"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zh-CN"/>
              </w:rPr>
              <w:t xml:space="preserve">提供参加本次采购活动前的最新一期经审计的财务报告或企业财务报表（202</w:t>
            </w:r>
            <w:r>
              <w:rPr>
                <w:rFonts w:hint="eastAsia" w:ascii="宋体" w:hAnsi="宋体" w:cs="宋体"/>
                <w:color w:val="000000"/>
                <w:sz w:val="21"/>
                <w:szCs w:val="21"/>
                <w:highlight w:val="none"/>
                <w:lang w:val="zh-CN" w:eastAsia="zh-CN"/>
              </w:rPr>
              <w:t xml:space="preserve">4</w:t>
            </w:r>
            <w:r>
              <w:rPr>
                <w:rFonts w:hint="eastAsia" w:ascii="宋体" w:hAnsi="宋体" w:cs="宋体"/>
                <w:color w:val="000000"/>
                <w:sz w:val="21"/>
                <w:szCs w:val="21"/>
                <w:highlight w:val="none"/>
                <w:lang w:val="zh-CN"/>
              </w:rPr>
              <w:t xml:space="preserve">年度或202</w:t>
            </w:r>
            <w:r>
              <w:rPr>
                <w:rFonts w:hint="eastAsia" w:ascii="宋体" w:hAnsi="宋体" w:cs="宋体"/>
                <w:color w:val="000000"/>
                <w:sz w:val="21"/>
                <w:szCs w:val="21"/>
                <w:highlight w:val="none"/>
                <w:lang w:val="zh-CN" w:eastAsia="zh-CN"/>
              </w:rPr>
              <w:t xml:space="preserve">5</w:t>
            </w:r>
            <w:r>
              <w:rPr>
                <w:rFonts w:hint="eastAsia" w:ascii="宋体" w:hAnsi="宋体" w:cs="宋体"/>
                <w:color w:val="000000"/>
                <w:sz w:val="21"/>
                <w:szCs w:val="21"/>
                <w:highlight w:val="none"/>
                <w:lang w:val="zh-CN"/>
              </w:rPr>
              <w:t xml:space="preserve">年度）或其他组织、自然人及成立未满一年的法人提供基本开户银行出具的资信证明；</w:t>
            </w:r>
            <w:r>
              <w:rPr>
                <w:rFonts w:hint="eastAsia" w:ascii="宋体" w:hAnsi="宋体" w:eastAsia="宋体" w:cs="宋体"/>
                <w:color w:val="000000"/>
                <w:sz w:val="21"/>
                <w:szCs w:val="21"/>
                <w:highlight w:val="none"/>
                <w:lang w:eastAsia="zh-CN"/>
              </w:rPr>
            </w:r>
            <w:r/>
          </w:p>
        </w:tc>
      </w:tr>
      <w:tr>
        <w:trPr>
          <w:trHeight w:val="85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3050"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具有履行合同所必需的设备和专业技术能力；</w:t>
            </w:r>
            <w:r>
              <w:rPr>
                <w:rFonts w:hint="eastAsia" w:ascii="宋体" w:hAnsi="宋体"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根据供应商的实际情况提供或承诺</w:t>
            </w:r>
            <w:r>
              <w:rPr>
                <w:rFonts w:ascii="宋体" w:hAnsi="宋体" w:cs="宋体"/>
                <w:color w:val="000000"/>
                <w:sz w:val="21"/>
                <w:szCs w:val="21"/>
                <w:highlight w:val="none"/>
              </w:rPr>
            </w:r>
            <w:r/>
          </w:p>
        </w:tc>
      </w:tr>
      <w:tr>
        <w:trPr>
          <w:trHeight w:val="85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3050"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有依法缴纳税收和社会保障资金的良好记录；</w:t>
            </w:r>
            <w:r>
              <w:rPr>
                <w:rFonts w:hint="eastAsia" w:ascii="宋体" w:hAnsi="宋体"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zh-CN" w:eastAsia="zh-CN"/>
              </w:rPr>
              <w:t xml:space="preserve">提供参加本次采购活动前的最新一期的依法缴纳税收的凭据和依法缴纳社会保险的凭据（专用收据或社会保险缴纳清单），依法免税或不需要缴纳社会保障资金的供应商，应提供对应证明文件；</w:t>
            </w:r>
            <w:r>
              <w:rPr>
                <w:rFonts w:hint="eastAsia" w:ascii="宋体" w:hAnsi="宋体" w:cs="宋体"/>
                <w:color w:val="000000"/>
                <w:sz w:val="21"/>
                <w:szCs w:val="21"/>
                <w:highlight w:val="none"/>
                <w:lang w:eastAsia="zh-CN"/>
              </w:rPr>
            </w:r>
            <w:r/>
          </w:p>
        </w:tc>
      </w:tr>
      <w:tr>
        <w:trPr>
          <w:trHeight w:val="85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3050"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参加政府采购活动前三年内，在经营活动中没有重大违法记录。</w:t>
            </w:r>
            <w:r>
              <w:rPr>
                <w:rFonts w:hint="eastAsia" w:ascii="宋体" w:hAnsi="宋体"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提供承诺</w:t>
            </w:r>
            <w:r>
              <w:rPr>
                <w:rFonts w:hint="eastAsia" w:ascii="宋体" w:hAnsi="宋体" w:cs="宋体"/>
                <w:color w:val="000000"/>
                <w:sz w:val="21"/>
                <w:szCs w:val="21"/>
                <w:highlight w:val="none"/>
                <w:lang w:val="en-US" w:eastAsia="zh-CN"/>
              </w:rPr>
              <w:t xml:space="preserve">函</w:t>
            </w:r>
            <w:r>
              <w:rPr>
                <w:rFonts w:hint="eastAsia" w:ascii="宋体" w:hAnsi="宋体" w:cs="宋体"/>
                <w:color w:val="000000"/>
                <w:sz w:val="21"/>
                <w:szCs w:val="21"/>
                <w:highlight w:val="none"/>
                <w:lang w:val="zh-CN"/>
              </w:rPr>
              <w:t xml:space="preserve">（格式自拟）</w:t>
            </w:r>
            <w:r>
              <w:rPr>
                <w:rFonts w:hint="eastAsia" w:ascii="宋体" w:hAnsi="宋体" w:cs="宋体"/>
                <w:color w:val="000000"/>
                <w:sz w:val="21"/>
                <w:szCs w:val="21"/>
                <w:highlight w:val="none"/>
              </w:rPr>
            </w:r>
            <w:r/>
          </w:p>
        </w:tc>
      </w:tr>
      <w:tr>
        <w:trPr>
          <w:trHeight w:val="85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3050" w:type="dxa"/>
            <w:vAlign w:val="center"/>
            <w:textDirection w:val="lrTb"/>
            <w:noWrap w:val="false"/>
          </w:tcPr>
          <w:p>
            <w:pPr>
              <w:pStyle w:val="1063"/>
              <w:ind w:left="0"/>
              <w:spacing w:line="360" w:lineRule="auto"/>
              <w:rPr>
                <w:rFonts w:hint="eastAsia" w:cs="宋体"/>
                <w:color w:val="000000"/>
                <w:sz w:val="21"/>
                <w:szCs w:val="21"/>
                <w:highlight w:val="none"/>
              </w:rPr>
            </w:pPr>
            <w:r>
              <w:rPr>
                <w:rFonts w:hint="eastAsia" w:cs="宋体"/>
                <w:color w:val="000000"/>
                <w:sz w:val="21"/>
                <w:szCs w:val="21"/>
                <w:highlight w:val="none"/>
              </w:rPr>
              <w:t xml:space="preserve">法律、行政法规规定的其他条件；</w:t>
            </w:r>
            <w:r>
              <w:rPr>
                <w:rFonts w:hint="eastAsia"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提供承诺</w:t>
            </w:r>
            <w:r>
              <w:rPr>
                <w:rFonts w:hint="eastAsia" w:ascii="宋体" w:hAnsi="宋体" w:cs="宋体"/>
                <w:color w:val="000000"/>
                <w:sz w:val="21"/>
                <w:szCs w:val="21"/>
                <w:highlight w:val="none"/>
                <w:lang w:val="en-US" w:eastAsia="zh-CN"/>
              </w:rPr>
              <w:t xml:space="preserve">函</w:t>
            </w:r>
            <w:r>
              <w:rPr>
                <w:rFonts w:hint="eastAsia" w:ascii="宋体" w:hAnsi="宋体" w:cs="宋体"/>
                <w:color w:val="000000"/>
                <w:sz w:val="21"/>
                <w:szCs w:val="21"/>
                <w:highlight w:val="none"/>
                <w:lang w:val="zh-CN"/>
              </w:rPr>
              <w:t xml:space="preserve">（格式自拟）</w:t>
            </w:r>
            <w:r>
              <w:rPr>
                <w:rFonts w:hint="eastAsia" w:ascii="宋体" w:hAnsi="宋体" w:cs="宋体"/>
                <w:color w:val="000000"/>
                <w:sz w:val="21"/>
                <w:szCs w:val="21"/>
                <w:highlight w:val="none"/>
              </w:rPr>
            </w:r>
            <w:r/>
          </w:p>
        </w:tc>
      </w:tr>
      <w:tr>
        <w:trPr>
          <w:trHeight w:val="717"/>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3050" w:type="dxa"/>
            <w:vAlign w:val="center"/>
            <w:textDirection w:val="lrTb"/>
            <w:noWrap w:val="false"/>
          </w:tcPr>
          <w:p>
            <w:pPr>
              <w:pStyle w:val="1063"/>
              <w:ind w:left="0"/>
              <w:spacing w:line="360" w:lineRule="auto"/>
              <w:rPr>
                <w:rFonts w:hint="eastAsia" w:cs="宋体"/>
                <w:color w:val="000000"/>
                <w:sz w:val="21"/>
                <w:szCs w:val="21"/>
                <w:highlight w:val="none"/>
              </w:rPr>
            </w:pPr>
            <w:r>
              <w:rPr>
                <w:rFonts w:hint="eastAsia" w:cs="宋体"/>
                <w:color w:val="000000"/>
                <w:sz w:val="21"/>
                <w:szCs w:val="21"/>
                <w:highlight w:val="none"/>
              </w:rPr>
              <w:t xml:space="preserve">满足政府采购政策需满足的资格要求</w:t>
            </w:r>
            <w:r>
              <w:rPr>
                <w:rFonts w:hint="eastAsia"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本项目专门面向中小企业采购，残疾人福利性单位、监狱企业视同小型、微型企业。</w:t>
            </w:r>
            <w:r>
              <w:rPr>
                <w:rFonts w:hint="eastAsia" w:ascii="宋体" w:hAnsi="宋体" w:cs="宋体"/>
                <w:color w:val="000000"/>
                <w:sz w:val="21"/>
                <w:szCs w:val="21"/>
                <w:highlight w:val="none"/>
                <w:lang w:val="en-US" w:eastAsia="zh-CN"/>
              </w:rPr>
              <w:t xml:space="preserve">投标</w:t>
            </w:r>
            <w:r>
              <w:rPr>
                <w:rFonts w:hint="eastAsia" w:ascii="宋体" w:hAnsi="宋体" w:cs="宋体"/>
                <w:color w:val="000000"/>
                <w:sz w:val="21"/>
                <w:szCs w:val="21"/>
                <w:highlight w:val="none"/>
              </w:rPr>
              <w:t xml:space="preserve">单位必须在响应文件中提供相关声明函或监狱企业证明文件，否则为无效投标。项目所属行业为工业。</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77"/>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r>
            <w:r/>
          </w:p>
        </w:tc>
        <w:tc>
          <w:tcPr>
            <w:tcW w:w="3050" w:type="dxa"/>
            <w:vAlign w:val="center"/>
            <w:textDirection w:val="lrTb"/>
            <w:noWrap w:val="false"/>
          </w:tcPr>
          <w:p>
            <w:pPr>
              <w:pStyle w:val="1063"/>
              <w:ind w:left="0"/>
              <w:spacing w:line="360" w:lineRule="auto"/>
              <w:rPr>
                <w:rFonts w:hint="eastAsia" w:cs="宋体"/>
                <w:color w:val="000000"/>
                <w:sz w:val="21"/>
                <w:szCs w:val="21"/>
                <w:highlight w:val="none"/>
              </w:rPr>
            </w:pPr>
            <w:r>
              <w:rPr>
                <w:rFonts w:hint="eastAsia" w:cs="宋体"/>
                <w:color w:val="000000"/>
                <w:sz w:val="21"/>
                <w:szCs w:val="21"/>
                <w:highlight w:val="none"/>
              </w:rPr>
              <w:t xml:space="preserve">合格投标单位特定要求（如涉及）</w:t>
            </w:r>
            <w:r>
              <w:rPr>
                <w:rFonts w:hint="eastAsia"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111"/>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投标单位：（公章）</w:t>
      </w:r>
      <w:r>
        <w:rPr>
          <w:rFonts w:hint="eastAsia" w:hAnsi="宋体" w:eastAsia="宋体" w:cs="宋体"/>
          <w:color w:val="000000"/>
          <w:sz w:val="21"/>
          <w:szCs w:val="21"/>
          <w:highlight w:val="none"/>
        </w:rPr>
      </w:r>
      <w:r/>
    </w:p>
    <w:p>
      <w:pPr>
        <w:pStyle w:val="1111"/>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法定代表人或委托代理人：（签字或盖章）</w:t>
      </w:r>
      <w:r>
        <w:rPr>
          <w:rFonts w:hint="eastAsia" w:hAnsi="宋体" w:eastAsia="宋体" w:cs="宋体"/>
          <w:color w:val="000000"/>
          <w:sz w:val="21"/>
          <w:szCs w:val="21"/>
          <w:highlight w:val="none"/>
        </w:rPr>
      </w:r>
      <w:r/>
    </w:p>
    <w:p>
      <w:pPr>
        <w:pStyle w:val="1030"/>
        <w:ind w:firstLine="0"/>
        <w:spacing w:line="360" w:lineRule="auto"/>
        <w:rPr>
          <w:rFonts w:hint="eastAsia" w:ascii="宋体" w:hAnsi="宋体" w:eastAsia="宋体" w:cs="宋体"/>
          <w:bCs/>
          <w:color w:val="000000"/>
          <w:sz w:val="21"/>
          <w:szCs w:val="21"/>
          <w:highlight w:val="none"/>
        </w:rPr>
      </w:pPr>
      <w:r>
        <w:rPr>
          <w:rFonts w:hint="eastAsia"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1"/>
          <w:szCs w:val="21"/>
          <w:highlight w:val="none"/>
          <w:lang w:val="en-US" w:eastAsia="zh-CN"/>
        </w:rPr>
        <w:t xml:space="preserve">附件</w:t>
      </w:r>
      <w:r>
        <w:rPr>
          <w:rFonts w:hint="eastAsia" w:ascii="宋体" w:hAnsi="宋体" w:eastAsia="宋体" w:cs="宋体"/>
          <w:b/>
          <w:color w:val="000000"/>
          <w:sz w:val="21"/>
          <w:szCs w:val="21"/>
          <w:highlight w:val="none"/>
        </w:rPr>
        <w:t xml:space="preserve">14、中小企业声明函</w:t>
      </w:r>
      <w:r>
        <w:rPr>
          <w:rFonts w:hint="eastAsia" w:ascii="宋体" w:hAnsi="宋体" w:eastAsia="宋体" w:cs="宋体"/>
          <w:bCs/>
          <w:color w:val="000000"/>
          <w:sz w:val="21"/>
          <w:szCs w:val="21"/>
          <w:highlight w:val="none"/>
        </w:rPr>
      </w:r>
      <w:r/>
    </w:p>
    <w:p>
      <w:pPr>
        <w:pStyle w:val="1008"/>
        <w:jc w:val="center"/>
        <w:spacing w:line="588" w:lineRule="exact"/>
        <w:rPr>
          <w:rFonts w:hint="eastAsia" w:ascii="宋体" w:hAnsi="宋体" w:cs="宋体"/>
          <w:b/>
          <w:color w:val="000000"/>
          <w:spacing w:val="6"/>
          <w:sz w:val="21"/>
          <w:szCs w:val="21"/>
          <w:highlight w:val="none"/>
        </w:rPr>
      </w:pPr>
      <w:r>
        <w:rPr>
          <w:rFonts w:hint="eastAsia" w:ascii="宋体" w:hAnsi="宋体" w:cs="宋体"/>
          <w:b/>
          <w:color w:val="000000"/>
          <w:spacing w:val="6"/>
          <w:sz w:val="21"/>
          <w:szCs w:val="21"/>
          <w:highlight w:val="none"/>
        </w:rPr>
      </w:r>
      <w:r/>
    </w:p>
    <w:p>
      <w:pPr>
        <w:pStyle w:val="1008"/>
        <w:jc w:val="center"/>
        <w:spacing w:line="360" w:lineRule="auto"/>
        <w:rPr>
          <w:rFonts w:hint="eastAsia" w:ascii="宋体" w:hAnsi="宋体" w:cs="宋体"/>
          <w:b/>
          <w:bCs/>
          <w:color w:val="000000"/>
          <w:highlight w:val="none"/>
        </w:rPr>
      </w:pPr>
      <w:r>
        <w:rPr>
          <w:rFonts w:hint="eastAsia" w:ascii="宋体" w:hAnsi="宋体" w:cs="宋体"/>
          <w:b/>
          <w:bCs/>
          <w:color w:val="000000"/>
          <w:sz w:val="21"/>
          <w:szCs w:val="21"/>
          <w:highlight w:val="none"/>
        </w:rPr>
        <w:t xml:space="preserve">中小企业声明函</w:t>
      </w:r>
      <w:r>
        <w:rPr>
          <w:rFonts w:hint="eastAsia" w:ascii="宋体" w:hAnsi="宋体" w:cs="宋体"/>
          <w:b/>
          <w:bCs/>
          <w:color w:val="000000"/>
          <w:highlight w:val="none"/>
        </w:rPr>
      </w:r>
      <w:r/>
    </w:p>
    <w:p>
      <w:pPr>
        <w:pStyle w:val="1008"/>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u w:val="single"/>
        </w:rPr>
        <w:t xml:space="preserve">（项目名称）</w:t>
      </w:r>
      <w:r>
        <w:rPr>
          <w:rFonts w:hint="eastAsia" w:ascii="宋体" w:hAnsi="宋体" w:cs="宋体"/>
          <w:color w:val="000000"/>
          <w:sz w:val="21"/>
          <w:szCs w:val="21"/>
          <w:highlight w:val="none"/>
        </w:rPr>
        <w:t xml:space="preserve">采购活动，服务全部由符合政策要求的中小企业承接。相关企业（含联合体中的中小企业、签订分包意向协议的中小企业）的具体情 况如下：</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（工业）</w:t>
      </w:r>
      <w:r>
        <w:rPr>
          <w:rFonts w:hint="eastAsia" w:ascii="宋体" w:hAnsi="宋体" w:cs="宋体"/>
          <w:color w:val="000000"/>
          <w:sz w:val="21"/>
          <w:szCs w:val="21"/>
          <w:highlight w:val="none"/>
        </w:rPr>
        <w:t xml:space="preserve">； 承建（承接）企业为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（工业）</w:t>
      </w:r>
      <w:r>
        <w:rPr>
          <w:rFonts w:hint="eastAsia" w:ascii="宋体" w:hAnsi="宋体" w:cs="宋体"/>
          <w:color w:val="000000"/>
          <w:sz w:val="21"/>
          <w:szCs w:val="21"/>
          <w:highlight w:val="none"/>
        </w:rPr>
        <w:t xml:space="preserve">； 承建（承接）企业为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 </w:t>
      </w:r>
      <w:r>
        <w:rPr>
          <w:rFonts w:hint="eastAsia" w:ascii="宋体" w:hAnsi="宋体" w:cs="宋体"/>
          <w:color w:val="000000"/>
          <w:sz w:val="21"/>
          <w:szCs w:val="21"/>
          <w:highlight w:val="none"/>
        </w:rPr>
      </w:r>
      <w:r/>
    </w:p>
    <w:p>
      <w:pPr>
        <w:pStyle w:val="1008"/>
        <w:ind w:left="43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left="43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企业名称（盖章）：</w:t>
      </w:r>
      <w:r>
        <w:rPr>
          <w:rFonts w:hint="eastAsia" w:ascii="宋体" w:hAnsi="宋体" w:cs="宋体"/>
          <w:color w:val="000000"/>
          <w:sz w:val="21"/>
          <w:szCs w:val="21"/>
          <w:highlight w:val="none"/>
        </w:rPr>
      </w:r>
      <w:r/>
    </w:p>
    <w:p>
      <w:pPr>
        <w:pStyle w:val="1008"/>
        <w:ind w:left="43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lang w:val="zh-CN"/>
        </w:rPr>
      </w:r>
      <w:r/>
    </w:p>
    <w:p>
      <w:pPr>
        <w:pStyle w:val="1008"/>
        <w:ind w:firstLine="63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08"/>
        <w:ind w:firstLine="20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08"/>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备注：</w:t>
      </w:r>
      <w:r>
        <w:rPr>
          <w:rFonts w:hint="eastAsia" w:ascii="宋体" w:hAnsi="宋体" w:cs="宋体"/>
          <w:bCs/>
          <w:color w:val="000000"/>
          <w:sz w:val="21"/>
          <w:szCs w:val="21"/>
          <w:highlight w:val="none"/>
        </w:rPr>
      </w:r>
      <w:r/>
    </w:p>
    <w:p>
      <w:pPr>
        <w:pStyle w:val="1008"/>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1.</w:t>
      </w:r>
      <w:r>
        <w:rPr>
          <w:rFonts w:hint="eastAsia" w:ascii="宋体" w:hAnsi="宋体" w:cs="宋体"/>
          <w:bCs/>
          <w:color w:val="000000"/>
          <w:sz w:val="21"/>
          <w:szCs w:val="21"/>
          <w:highlight w:val="none"/>
        </w:rPr>
        <w:t xml:space="preserve">从业人员、营业收入、资产总额填报上一年度数据，无上一年度数据的新成立企业可不填报。</w:t>
      </w:r>
      <w:r>
        <w:rPr>
          <w:rFonts w:hint="eastAsia" w:ascii="宋体" w:hAnsi="宋体" w:cs="宋体"/>
          <w:bCs/>
          <w:color w:val="000000"/>
          <w:sz w:val="21"/>
          <w:szCs w:val="21"/>
          <w:highlight w:val="none"/>
        </w:rPr>
      </w:r>
      <w:r/>
    </w:p>
    <w:p>
      <w:pPr>
        <w:pStyle w:val="1008"/>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lang w:eastAsia="zh-CN"/>
        </w:rPr>
        <w:t xml:space="preserve">2.</w:t>
      </w:r>
      <w:r>
        <w:rPr>
          <w:rFonts w:hint="eastAsia" w:ascii="宋体" w:hAnsi="宋体" w:cs="宋体"/>
          <w:bCs/>
          <w:color w:val="000000"/>
          <w:sz w:val="21"/>
          <w:szCs w:val="21"/>
          <w:highlight w:val="none"/>
        </w:rPr>
        <w:t xml:space="preserve">如未对（中型企业、小型企业、微型企业）进行勾选，视同非中小微企业，不可享受相应优惠</w:t>
      </w:r>
      <w:r>
        <w:rPr>
          <w:rFonts w:hint="eastAsia" w:ascii="宋体" w:hAnsi="宋体" w:cs="宋体"/>
          <w:bCs/>
          <w:color w:val="000000"/>
          <w:szCs w:val="21"/>
          <w:highlight w:val="none"/>
        </w:rPr>
        <w:t xml:space="preserve">。</w:t>
      </w:r>
      <w:r>
        <w:rPr>
          <w:rFonts w:hint="eastAsia" w:ascii="宋体" w:hAnsi="宋体" w:cs="宋体"/>
          <w:color w:val="000000"/>
          <w:sz w:val="21"/>
          <w:szCs w:val="21"/>
          <w:highlight w:val="none"/>
        </w:rPr>
      </w:r>
      <w:r/>
    </w:p>
    <w:p>
      <w:pPr>
        <w:pStyle w:val="1008"/>
        <w:jc w:val="both"/>
        <w:spacing w:line="360" w:lineRule="auto"/>
        <w:widowControl/>
        <w:rPr>
          <w:rFonts w:ascii="宋体" w:hAnsi="宋体" w:eastAsia="宋体" w:cs="宋体"/>
          <w:b/>
          <w:color w:val="000000"/>
          <w:sz w:val="21"/>
          <w:szCs w:val="21"/>
          <w:highlight w:val="none"/>
        </w:rPr>
      </w:pPr>
      <w:r>
        <w:rPr>
          <w:rFonts w:hint="eastAsia" w:cs="宋体"/>
          <w:color w:val="000000"/>
          <w:sz w:val="21"/>
          <w:szCs w:val="21"/>
          <w:highlight w:val="none"/>
        </w:rPr>
        <w:br w:type="page" w:clear="all"/>
      </w:r>
      <w:r>
        <w:rPr>
          <w:rFonts w:hint="eastAsia" w:ascii="宋体" w:hAnsi="宋体" w:eastAsia="宋体" w:cs="宋体"/>
          <w:b/>
          <w:color w:val="000000"/>
          <w:sz w:val="21"/>
          <w:szCs w:val="21"/>
          <w:highlight w:val="none"/>
        </w:rPr>
        <w:t xml:space="preserve">附：中小企业划型标准规定</w:t>
      </w:r>
      <w:r>
        <w:rPr>
          <w:rFonts w:ascii="宋体" w:hAnsi="宋体" w:eastAsia="宋体" w:cs="宋体"/>
          <w:b/>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（一）农、林、牧、渔业。</w:t>
      </w:r>
      <w:r>
        <w:rPr>
          <w:rFonts w:hint="eastAsia" w:ascii="宋体" w:hAnsi="宋体" w:eastAsia="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（二）工业。</w:t>
      </w:r>
      <w:r>
        <w:rPr>
          <w:rFonts w:hint="eastAsia" w:ascii="宋体" w:hAnsi="宋体" w:eastAsia="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（三）建筑业。</w:t>
      </w:r>
      <w:r>
        <w:rPr>
          <w:rFonts w:hint="eastAsia" w:ascii="宋体" w:hAnsi="宋体" w:eastAsia="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（四）批发业。</w:t>
      </w:r>
      <w:r>
        <w:rPr>
          <w:rFonts w:hint="eastAsia" w:ascii="宋体" w:hAnsi="宋体" w:eastAsia="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（五）零售业。</w:t>
      </w:r>
      <w:r>
        <w:rPr>
          <w:rFonts w:hint="eastAsia" w:ascii="宋体" w:hAnsi="宋体" w:eastAsia="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（六）交通运输业。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（七）仓储业。</w:t>
      </w:r>
      <w:r>
        <w:rPr>
          <w:rFonts w:hint="eastAsia" w:ascii="宋体" w:hAnsi="宋体" w:eastAsia="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（八）邮政业。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（九）住宿业。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（十）餐饮业。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（十一）信息传输业。</w:t>
      </w:r>
      <w:r>
        <w:rPr>
          <w:rFonts w:hint="eastAsia" w:ascii="宋体" w:hAnsi="宋体" w:eastAsia="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（十二）软件和信息技术服务业。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（十三）房地产开发经营。</w:t>
      </w:r>
      <w:r>
        <w:rPr>
          <w:rFonts w:hint="eastAsia" w:ascii="宋体" w:hAnsi="宋体" w:eastAsia="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（十四）物业管理。</w:t>
      </w:r>
      <w:r>
        <w:rPr>
          <w:rFonts w:hint="eastAsia" w:ascii="宋体" w:hAnsi="宋体" w:eastAsia="宋体" w:cs="宋体"/>
          <w:color w:val="000000"/>
          <w:sz w:val="21"/>
          <w:szCs w:val="21"/>
          <w:highlight w:val="none"/>
        </w:rPr>
        <w:t xml:space="preserve">从业人员1000人以下或营业收入5000万元以下的为中小微型企业。其中，从业人员</w:t>
      </w:r>
      <w:r>
        <w:rPr>
          <w:rFonts w:ascii="宋体" w:hAnsi="宋体" w:eastAsia="宋体" w:cs="宋体"/>
          <w:color w:val="000000"/>
          <w:sz w:val="21"/>
          <w:szCs w:val="21"/>
          <w:highlight w:val="none"/>
        </w:rPr>
      </w:r>
      <w:r/>
    </w:p>
    <w:p>
      <w:pPr>
        <w:pStyle w:val="1008"/>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（十五）租赁和商务服务业。</w:t>
      </w:r>
      <w:r>
        <w:rPr>
          <w:rFonts w:hint="eastAsia" w:ascii="宋体" w:hAnsi="宋体" w:eastAsia="宋体" w:cs="宋体"/>
          <w:color w:val="000000"/>
          <w:sz w:val="21"/>
          <w:szCs w:val="21"/>
          <w:highlight w:val="none"/>
        </w:rPr>
        <w:t xml:space="preserve">从业人员300人以下或资产总额120000万元以下的为中小微型企业。其中，从业人员100人及以上，且资产总额8000万元及以上的为中型企业；</w:t>
      </w:r>
      <w:r>
        <w:rPr>
          <w:rFonts w:hint="eastAsia" w:ascii="宋体" w:hAnsi="宋体" w:eastAsia="宋体" w:cs="宋体"/>
          <w:color w:val="000000"/>
          <w:sz w:val="21"/>
          <w:szCs w:val="21"/>
          <w:highlight w:val="none"/>
        </w:rPr>
        <w:t xml:space="preserve">从业人员10人及以上，且资产总额100万元及以上的为小型企业；从业人员10人以下或资产总额100万元以下的为微型企业。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hint="eastAsia"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（十六）其他未列明行业。</w:t>
      </w:r>
      <w:r>
        <w:rPr>
          <w:rFonts w:hint="eastAsia" w:ascii="宋体" w:hAnsi="宋体" w:eastAsia="宋体" w:cs="宋体"/>
          <w:color w:val="000000"/>
          <w:sz w:val="21"/>
          <w:szCs w:val="21"/>
          <w:highlight w:val="none"/>
          <w:lang w:val="en-US" w:eastAsia="zh-CN"/>
        </w:rPr>
        <w:t xml:space="preserve">从业人员300人以下的为中小微型企业。其中，从业人员100人及以上的为中型企业；从业人员10人及以上的为小型企业；从业人员10人以下的为微型企业。</w:t>
      </w:r>
      <w:r>
        <w:rPr>
          <w:rFonts w:hint="eastAsia" w:cs="宋体"/>
          <w:color w:val="000000"/>
          <w:sz w:val="21"/>
          <w:szCs w:val="21"/>
          <w:highlight w:val="none"/>
        </w:rPr>
        <w:br w:type="page" w:clear="all"/>
      </w:r>
      <w:r>
        <w:rPr>
          <w:rFonts w:hint="eastAsia" w:ascii="宋体" w:hAnsi="宋体" w:eastAsia="宋体" w:cs="宋体"/>
          <w:b/>
          <w:color w:val="000000"/>
          <w:sz w:val="21"/>
          <w:szCs w:val="21"/>
          <w:highlight w:val="none"/>
          <w:lang w:val="en-US" w:eastAsia="zh-CN"/>
        </w:rPr>
        <w:t xml:space="preserve">附件</w:t>
      </w:r>
      <w:r>
        <w:rPr>
          <w:rFonts w:hint="eastAsia" w:ascii="宋体" w:hAnsi="宋体" w:eastAsia="宋体" w:cs="宋体"/>
          <w:b/>
          <w:color w:val="000000"/>
          <w:sz w:val="21"/>
          <w:szCs w:val="21"/>
          <w:highlight w:val="none"/>
        </w:rPr>
        <w:t xml:space="preserve">15、残疾人福利性单位声明函（固定格式）</w:t>
      </w:r>
      <w:r>
        <w:rPr>
          <w:rFonts w:hint="eastAsia" w:cs="宋体"/>
          <w:b/>
          <w:bCs/>
          <w:color w:val="000000"/>
          <w:sz w:val="21"/>
          <w:szCs w:val="21"/>
          <w:highlight w:val="none"/>
        </w:rPr>
      </w:r>
      <w:r/>
    </w:p>
    <w:p>
      <w:pPr>
        <w:pStyle w:val="1070"/>
        <w:spacing w:before="0" w:beforeAutospacing="0" w:after="0" w:afterAutospacing="0" w:line="480" w:lineRule="atLeast"/>
        <w:rPr>
          <w:rFonts w:hint="eastAsia" w:cs="宋体"/>
          <w:b/>
          <w:bCs/>
          <w:color w:val="000000"/>
          <w:sz w:val="21"/>
          <w:szCs w:val="21"/>
          <w:highlight w:val="none"/>
        </w:rPr>
      </w:pPr>
      <w:r>
        <w:rPr>
          <w:rFonts w:hint="eastAsia" w:cs="宋体"/>
          <w:b/>
          <w:bCs/>
          <w:color w:val="000000"/>
          <w:sz w:val="21"/>
          <w:szCs w:val="21"/>
          <w:highlight w:val="none"/>
        </w:rPr>
      </w:r>
      <w:r/>
    </w:p>
    <w:p>
      <w:pPr>
        <w:pStyle w:val="1008"/>
        <w:jc w:val="center"/>
        <w:spacing w:line="360" w:lineRule="auto"/>
        <w:rPr>
          <w:rFonts w:hint="eastAsia" w:ascii="宋体" w:hAnsi="宋体" w:cs="宋体"/>
          <w:b/>
          <w:color w:val="000000"/>
          <w:spacing w:val="6"/>
          <w:sz w:val="21"/>
          <w:szCs w:val="21"/>
          <w:highlight w:val="none"/>
        </w:rPr>
      </w:pPr>
      <w:r>
        <w:rPr>
          <w:rFonts w:hint="eastAsia" w:ascii="宋体" w:hAnsi="宋体" w:cs="宋体"/>
          <w:b/>
          <w:color w:val="000000"/>
          <w:spacing w:val="6"/>
          <w:sz w:val="21"/>
          <w:szCs w:val="21"/>
          <w:highlight w:val="none"/>
        </w:rPr>
        <w:t xml:space="preserve">残疾人福利性单位声明函</w:t>
      </w:r>
      <w:r>
        <w:rPr>
          <w:rFonts w:hint="eastAsia" w:ascii="宋体" w:hAnsi="宋体" w:cs="宋体"/>
          <w:b/>
          <w:color w:val="000000"/>
          <w:spacing w:val="6"/>
          <w:sz w:val="21"/>
          <w:szCs w:val="21"/>
          <w:highlight w:val="none"/>
        </w:rPr>
      </w:r>
      <w:r/>
    </w:p>
    <w:p>
      <w:pPr>
        <w:pStyle w:val="1008"/>
        <w:spacing w:line="360" w:lineRule="auto"/>
        <w:rPr>
          <w:rFonts w:hint="eastAsia" w:ascii="宋体" w:hAnsi="宋体" w:cs="宋体"/>
          <w:b/>
          <w:color w:val="000000"/>
          <w:spacing w:val="6"/>
          <w:sz w:val="21"/>
          <w:szCs w:val="21"/>
          <w:highlight w:val="none"/>
        </w:rPr>
      </w:pPr>
      <w:r>
        <w:rPr>
          <w:rFonts w:hint="eastAsia" w:ascii="宋体" w:hAnsi="宋体" w:cs="宋体"/>
          <w:b/>
          <w:color w:val="000000"/>
          <w:spacing w:val="6"/>
          <w:sz w:val="21"/>
          <w:szCs w:val="21"/>
          <w:highlight w:val="none"/>
        </w:rPr>
      </w:r>
      <w:r/>
    </w:p>
    <w:p>
      <w:pPr>
        <w:pStyle w:val="1008"/>
        <w:ind w:firstLine="444"/>
        <w:spacing w:line="360" w:lineRule="auto"/>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 w:val="21"/>
          <w:szCs w:val="21"/>
          <w:highlight w:val="none"/>
        </w:rPr>
        <w:t xml:space="preserve">〔2017〕141</w:t>
      </w:r>
      <w:r>
        <w:rPr>
          <w:rFonts w:hint="eastAsia" w:ascii="宋体" w:hAnsi="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1"/>
          <w:szCs w:val="21"/>
          <w:highlight w:val="none"/>
        </w:rPr>
      </w:r>
      <w:r/>
    </w:p>
    <w:p>
      <w:pPr>
        <w:pStyle w:val="1008"/>
        <w:ind w:firstLine="444"/>
        <w:spacing w:line="360" w:lineRule="auto"/>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本单位对上述声明的真实性负责。如有虚假，将依法承担相应责任。</w:t>
      </w:r>
      <w:r>
        <w:rPr>
          <w:rFonts w:hint="eastAsia" w:ascii="宋体" w:hAnsi="宋体" w:cs="宋体"/>
          <w:color w:val="000000"/>
          <w:spacing w:val="6"/>
          <w:sz w:val="21"/>
          <w:szCs w:val="21"/>
          <w:highlight w:val="none"/>
        </w:rPr>
      </w:r>
      <w:r/>
    </w:p>
    <w:p>
      <w:pPr>
        <w:pStyle w:val="1008"/>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r>
      <w:r/>
    </w:p>
    <w:p>
      <w:pPr>
        <w:pStyle w:val="1008"/>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单位名称（盖章）：</w:t>
      </w:r>
      <w:r>
        <w:rPr>
          <w:rFonts w:hint="eastAsia" w:ascii="宋体" w:hAnsi="宋体" w:cs="宋体"/>
          <w:color w:val="000000"/>
          <w:spacing w:val="6"/>
          <w:sz w:val="21"/>
          <w:szCs w:val="21"/>
          <w:highlight w:val="none"/>
        </w:rPr>
      </w:r>
      <w:r/>
    </w:p>
    <w:p>
      <w:pPr>
        <w:pStyle w:val="1008"/>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日  期：</w:t>
      </w:r>
      <w:r>
        <w:rPr>
          <w:rFonts w:hint="eastAsia" w:ascii="宋体" w:hAnsi="宋体" w:cs="宋体"/>
          <w:color w:val="000000"/>
          <w:spacing w:val="6"/>
          <w:sz w:val="21"/>
          <w:szCs w:val="21"/>
          <w:highlight w:val="none"/>
        </w:rPr>
      </w:r>
      <w:r/>
    </w:p>
    <w:p>
      <w:pPr>
        <w:pStyle w:val="1008"/>
        <w:spacing w:line="360" w:lineRule="auto"/>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r>
      <w:r/>
    </w:p>
    <w:p>
      <w:pPr>
        <w:pStyle w:val="10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bCs/>
          <w:color w:val="000000"/>
          <w:sz w:val="21"/>
          <w:szCs w:val="21"/>
          <w:highlight w:val="none"/>
        </w:rPr>
      </w:r>
      <w:r/>
    </w:p>
    <w:p>
      <w:pPr>
        <w:pStyle w:val="1008"/>
        <w:pageBreakBefore/>
        <w:spacing w:line="360" w:lineRule="auto"/>
        <w:rPr>
          <w:rFonts w:hint="eastAsia" w:ascii="宋体" w:hAnsi="宋体" w:cs="宋体"/>
          <w:b/>
          <w:bCs/>
          <w:color w:val="000000"/>
          <w:szCs w:val="21"/>
          <w:highlight w:val="none"/>
        </w:rPr>
      </w:pPr>
      <w:r/>
      <w:bookmarkStart w:id="51" w:name="_Toc48639219"/>
      <w:r/>
      <w:bookmarkStart w:id="52" w:name="_Toc48639348"/>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rPr>
        <w:t xml:space="preserve">16、监狱企业声明函</w:t>
      </w:r>
      <w:r>
        <w:rPr>
          <w:rFonts w:hint="eastAsia" w:ascii="宋体" w:hAnsi="宋体" w:cs="宋体"/>
          <w:b/>
          <w:bCs/>
          <w:color w:val="000000"/>
          <w:szCs w:val="21"/>
          <w:highlight w:val="none"/>
        </w:rPr>
      </w:r>
      <w:r/>
    </w:p>
    <w:p>
      <w:pPr>
        <w:pStyle w:val="1008"/>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08"/>
        <w:jc w:val="center"/>
        <w:spacing w:line="360" w:lineRule="auto"/>
        <w:rPr>
          <w:rFonts w:hint="eastAsia" w:ascii="宋体" w:hAnsi="宋体" w:cs="宋体"/>
          <w:b/>
          <w:color w:val="000000"/>
          <w:sz w:val="21"/>
          <w:szCs w:val="21"/>
          <w:highlight w:val="none"/>
        </w:rPr>
      </w:pPr>
      <w:r>
        <w:rPr>
          <w:rFonts w:hint="eastAsia" w:ascii="宋体" w:hAnsi="宋体" w:cs="宋体"/>
          <w:b/>
          <w:bCs/>
          <w:color w:val="000000"/>
          <w:sz w:val="21"/>
          <w:szCs w:val="21"/>
          <w:highlight w:val="none"/>
        </w:rPr>
        <w:t xml:space="preserve">监狱企业声明函</w:t>
      </w:r>
      <w:r>
        <w:rPr>
          <w:rFonts w:hint="eastAsia" w:ascii="宋体" w:hAnsi="宋体" w:cs="宋体"/>
          <w:b/>
          <w:color w:val="000000"/>
          <w:sz w:val="21"/>
          <w:szCs w:val="21"/>
          <w:highlight w:val="none"/>
        </w:rPr>
      </w:r>
      <w:r/>
    </w:p>
    <w:p>
      <w:pPr>
        <w:pStyle w:val="1070"/>
        <w:ind w:firstLine="48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r>
      <w:r/>
    </w:p>
    <w:p>
      <w:pPr>
        <w:pStyle w:val="1070"/>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本企业（单位）郑重声明下列事项（按照实际情况勾选或填空）：</w:t>
      </w:r>
      <w:r>
        <w:rPr>
          <w:rFonts w:hint="eastAsia"/>
          <w:color w:val="000000"/>
          <w:sz w:val="21"/>
          <w:szCs w:val="21"/>
          <w:highlight w:val="none"/>
        </w:rPr>
      </w:r>
      <w:r/>
    </w:p>
    <w:p>
      <w:pPr>
        <w:pStyle w:val="1070"/>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本企业（单位）为直接投标人提供本企业（单位）的服务。</w:t>
      </w:r>
      <w:r>
        <w:rPr>
          <w:rFonts w:hint="eastAsia"/>
          <w:color w:val="000000"/>
          <w:sz w:val="21"/>
          <w:szCs w:val="21"/>
          <w:highlight w:val="none"/>
        </w:rPr>
      </w:r>
      <w:r/>
    </w:p>
    <w:p>
      <w:pPr>
        <w:pStyle w:val="1070"/>
        <w:numPr>
          <w:ilvl w:val="0"/>
          <w:numId w:val="1"/>
        </w:numPr>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w:t>
      </w:r>
      <w:r>
        <w:rPr>
          <w:rFonts w:hint="eastAsia"/>
          <w:color w:val="000000"/>
          <w:sz w:val="21"/>
          <w:szCs w:val="21"/>
          <w:highlight w:val="none"/>
          <w:u w:val="single"/>
        </w:rPr>
        <w:t xml:space="preserve">        </w:t>
      </w:r>
      <w:r>
        <w:rPr>
          <w:rFonts w:hint="eastAsia"/>
          <w:color w:val="000000"/>
          <w:sz w:val="21"/>
          <w:szCs w:val="21"/>
          <w:highlight w:val="none"/>
        </w:rPr>
        <w:t xml:space="preserve">（请填写：是、不是）监狱企业。</w:t>
      </w:r>
      <w:r>
        <w:rPr>
          <w:rFonts w:hint="eastAsia"/>
          <w:color w:val="000000"/>
          <w:sz w:val="21"/>
          <w:szCs w:val="21"/>
          <w:highlight w:val="none"/>
        </w:rPr>
      </w:r>
      <w:r/>
    </w:p>
    <w:p>
      <w:pPr>
        <w:pStyle w:val="1070"/>
        <w:ind w:left="48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（2）本企业（单位）</w:t>
      </w:r>
      <w:r>
        <w:rPr>
          <w:rFonts w:hint="eastAsia"/>
          <w:color w:val="000000"/>
          <w:sz w:val="21"/>
          <w:szCs w:val="21"/>
          <w:highlight w:val="none"/>
          <w:u w:val="single"/>
        </w:rPr>
        <w:t xml:space="preserve">        </w:t>
      </w:r>
      <w:r>
        <w:rPr>
          <w:rFonts w:hint="eastAsia"/>
          <w:color w:val="000000"/>
          <w:sz w:val="21"/>
          <w:szCs w:val="21"/>
          <w:highlight w:val="none"/>
        </w:rPr>
        <w:t xml:space="preserve">（请填写：是、不是）为联合体一方，提供本企业（单位）的服务。本企业（单位）提供协议合同金额占到共同投标协议合同总金额的比例为</w:t>
      </w:r>
      <w:r>
        <w:rPr>
          <w:rFonts w:hint="eastAsia"/>
          <w:color w:val="000000"/>
          <w:sz w:val="21"/>
          <w:szCs w:val="21"/>
          <w:highlight w:val="none"/>
          <w:u w:val="single"/>
        </w:rPr>
        <w:t xml:space="preserve">       </w:t>
      </w:r>
      <w:r>
        <w:rPr>
          <w:rFonts w:hint="eastAsia"/>
          <w:color w:val="000000"/>
          <w:sz w:val="21"/>
          <w:szCs w:val="21"/>
          <w:highlight w:val="none"/>
        </w:rPr>
        <w:t xml:space="preserve">。</w:t>
      </w:r>
      <w:r>
        <w:rPr>
          <w:rFonts w:hint="eastAsia"/>
          <w:color w:val="000000"/>
          <w:sz w:val="21"/>
          <w:szCs w:val="21"/>
          <w:highlight w:val="none"/>
        </w:rPr>
      </w:r>
      <w:r/>
    </w:p>
    <w:p>
      <w:pPr>
        <w:pStyle w:val="1070"/>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本企业（单位）对上述声明的真实性负责。如有虚假，将依法承担相应责任。</w:t>
      </w:r>
      <w:r>
        <w:rPr>
          <w:rFonts w:hint="eastAsia"/>
          <w:color w:val="000000"/>
          <w:sz w:val="21"/>
          <w:szCs w:val="21"/>
          <w:highlight w:val="none"/>
        </w:rPr>
      </w:r>
      <w:r/>
    </w:p>
    <w:p>
      <w:pPr>
        <w:pStyle w:val="1070"/>
        <w:ind w:firstLine="48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r>
      <w:r/>
    </w:p>
    <w:p>
      <w:pPr>
        <w:pStyle w:val="1008"/>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单位名称（盖章）：</w:t>
      </w:r>
      <w:r>
        <w:rPr>
          <w:rFonts w:hint="eastAsia" w:ascii="宋体" w:hAnsi="宋体" w:cs="宋体"/>
          <w:color w:val="000000"/>
          <w:spacing w:val="6"/>
          <w:sz w:val="21"/>
          <w:szCs w:val="21"/>
          <w:highlight w:val="none"/>
        </w:rPr>
      </w:r>
      <w:r/>
    </w:p>
    <w:p>
      <w:pPr>
        <w:pStyle w:val="1008"/>
        <w:jc w:val="center"/>
        <w:spacing w:before="120" w:after="120" w:line="360" w:lineRule="auto"/>
        <w:tabs>
          <w:tab w:val="left" w:pos="0" w:leader="none"/>
        </w:tabs>
        <w:rPr>
          <w:rFonts w:ascii="宋体" w:hAnsi="宋体" w:cs="宋体"/>
          <w:b w:val="0"/>
          <w:bCs w:val="0"/>
          <w:color w:val="000000"/>
          <w:spacing w:val="6"/>
          <w:sz w:val="21"/>
          <w:szCs w:val="21"/>
          <w:highlight w:val="none"/>
        </w:rPr>
        <w:outlineLvl w:val="9"/>
      </w:pPr>
      <w:r>
        <w:rPr>
          <w:rFonts w:hint="eastAsia" w:ascii="宋体" w:hAnsi="宋体" w:cs="宋体"/>
          <w:b w:val="0"/>
          <w:bCs w:val="0"/>
          <w:color w:val="000000"/>
          <w:spacing w:val="6"/>
          <w:sz w:val="21"/>
          <w:szCs w:val="21"/>
          <w:highlight w:val="none"/>
        </w:rPr>
        <w:t xml:space="preserve">日  期：</w:t>
      </w:r>
      <w:r>
        <w:rPr>
          <w:rFonts w:ascii="宋体" w:hAnsi="宋体" w:cs="宋体"/>
          <w:b w:val="0"/>
          <w:bCs w:val="0"/>
          <w:color w:val="000000"/>
          <w:spacing w:val="6"/>
          <w:sz w:val="21"/>
          <w:szCs w:val="21"/>
          <w:highlight w:val="none"/>
        </w:rPr>
      </w:r>
      <w:r/>
    </w:p>
    <w:p>
      <w:pPr>
        <w:pStyle w:val="1008"/>
        <w:jc w:val="both"/>
        <w:widowControl w:val="off"/>
        <w:rPr>
          <w:color w:val="000000"/>
          <w:sz w:val="21"/>
          <w:szCs w:val="22"/>
          <w:highlight w:val="none"/>
        </w:rPr>
      </w:pPr>
      <w:r>
        <w:rPr>
          <w:rFonts w:hint="eastAsia"/>
          <w:color w:val="000000"/>
          <w:sz w:val="21"/>
          <w:szCs w:val="22"/>
          <w:highlight w:val="none"/>
        </w:rPr>
        <w:t xml:space="preserve">附件：</w:t>
      </w:r>
      <w:r>
        <w:rPr>
          <w:color w:val="000000"/>
          <w:sz w:val="21"/>
          <w:szCs w:val="22"/>
          <w:highlight w:val="none"/>
        </w:rPr>
        <w:t xml:space="preserve">提供</w:t>
      </w:r>
      <w:r>
        <w:rPr>
          <w:rFonts w:hint="eastAsia" w:ascii="宋体" w:hAnsi="宋体" w:cs="宋体"/>
          <w:b/>
          <w:bCs/>
          <w:color w:val="000000"/>
          <w:sz w:val="21"/>
          <w:szCs w:val="21"/>
          <w:highlight w:val="none"/>
        </w:rPr>
        <w:t xml:space="preserve">监狱企业</w:t>
      </w:r>
      <w:r>
        <w:rPr>
          <w:color w:val="000000"/>
          <w:sz w:val="21"/>
          <w:szCs w:val="22"/>
          <w:highlight w:val="none"/>
        </w:rPr>
        <w:t xml:space="preserve">证明材料。</w:t>
      </w:r>
      <w:r>
        <w:rPr>
          <w:color w:val="000000"/>
          <w:sz w:val="21"/>
          <w:szCs w:val="22"/>
          <w:highlight w:val="none"/>
        </w:rPr>
      </w:r>
      <w:r/>
    </w:p>
    <w:p>
      <w:pPr>
        <w:pStyle w:val="1008"/>
        <w:rPr>
          <w:rFonts w:hint="eastAsia"/>
          <w:color w:val="000000"/>
          <w:highlight w:val="none"/>
        </w:rPr>
      </w:pPr>
      <w:r>
        <w:rPr>
          <w:rFonts w:hint="eastAsia"/>
          <w:color w:val="000000"/>
          <w:highlight w:val="none"/>
        </w:rPr>
      </w:r>
      <w:r/>
    </w:p>
    <w:p>
      <w:pPr>
        <w:pStyle w:val="1008"/>
        <w:pageBreakBefore/>
        <w:spacing w:line="360" w:lineRule="auto"/>
        <w:rPr>
          <w:rFonts w:ascii="宋体" w:hAnsi="宋体" w:eastAsia="宋体" w:cs="宋体"/>
          <w:b/>
          <w:color w:val="000000"/>
          <w:sz w:val="21"/>
          <w:szCs w:val="21"/>
          <w:highlight w:val="none"/>
        </w:rPr>
      </w:pPr>
      <w:r>
        <w:rPr>
          <w:rFonts w:hint="eastAsia" w:ascii="宋体" w:hAnsi="宋体" w:cs="宋体"/>
          <w:b/>
          <w:bCs/>
          <w:color w:val="000000"/>
          <w:sz w:val="21"/>
          <w:szCs w:val="21"/>
          <w:highlight w:val="none"/>
          <w:lang w:val="en-US" w:eastAsia="zh-CN"/>
        </w:rPr>
        <w:t xml:space="preserve">附件</w:t>
      </w:r>
      <w:r>
        <w:rPr>
          <w:rFonts w:hint="eastAsia" w:ascii="宋体" w:hAnsi="宋体" w:eastAsia="宋体" w:cs="宋体"/>
          <w:b/>
          <w:bCs/>
          <w:color w:val="000000"/>
          <w:sz w:val="21"/>
          <w:szCs w:val="21"/>
          <w:highlight w:val="none"/>
          <w:lang w:val="en-US" w:eastAsia="zh-CN"/>
        </w:rPr>
        <w:t xml:space="preserve">17</w:t>
      </w:r>
      <w:r>
        <w:rPr>
          <w:rFonts w:hint="eastAsia" w:ascii="宋体" w:hAnsi="宋体" w:eastAsia="宋体" w:cs="宋体"/>
          <w:b/>
          <w:bCs/>
          <w:color w:val="000000"/>
          <w:sz w:val="21"/>
          <w:szCs w:val="21"/>
          <w:highlight w:val="none"/>
        </w:rPr>
        <w:t xml:space="preserve">：政府采购合同信用融资政策告知函（本附件无需签章放置投标文件中）</w:t>
      </w:r>
      <w:r>
        <w:rPr>
          <w:rFonts w:ascii="宋体" w:hAnsi="宋体" w:eastAsia="宋体" w:cs="宋体"/>
          <w:b/>
          <w:color w:val="000000"/>
          <w:sz w:val="21"/>
          <w:szCs w:val="21"/>
          <w:highlight w:val="none"/>
        </w:rPr>
      </w:r>
      <w:r/>
    </w:p>
    <w:p>
      <w:pPr>
        <w:pStyle w:val="1008"/>
        <w:jc w:val="both"/>
        <w:spacing w:line="360" w:lineRule="auto"/>
        <w:widowControl w:val="o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1008"/>
        <w:jc w:val="center"/>
        <w:spacing w:line="360" w:lineRule="auto"/>
        <w:widowControl w:val="off"/>
        <w:rPr>
          <w:rFonts w:ascii="宋体" w:hAnsi="宋体" w:eastAsia="宋体" w:cs="宋体"/>
          <w:b/>
          <w:color w:val="000000"/>
          <w:sz w:val="21"/>
          <w:szCs w:val="21"/>
          <w:highlight w:val="none"/>
        </w:rPr>
      </w:pPr>
      <w:r>
        <w:rPr>
          <w:rFonts w:hint="eastAsia" w:ascii="宋体" w:hAnsi="宋体" w:eastAsia="宋体" w:cs="宋体"/>
          <w:b/>
          <w:bCs/>
          <w:color w:val="000000"/>
          <w:spacing w:val="6"/>
          <w:sz w:val="21"/>
          <w:szCs w:val="21"/>
          <w:highlight w:val="none"/>
        </w:rPr>
        <w:t xml:space="preserve">政府采购合同信用融资政策告知函</w:t>
      </w:r>
      <w:r>
        <w:rPr>
          <w:rFonts w:ascii="宋体" w:hAnsi="宋体" w:eastAsia="宋体" w:cs="宋体"/>
          <w:b/>
          <w:color w:val="000000"/>
          <w:sz w:val="21"/>
          <w:szCs w:val="21"/>
          <w:highlight w:val="none"/>
        </w:rPr>
      </w:r>
      <w:r/>
    </w:p>
    <w:p>
      <w:pPr>
        <w:pStyle w:val="1008"/>
        <w:jc w:val="both"/>
        <w:spacing w:line="360" w:lineRule="auto"/>
        <w:widowControl w:val="o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1008"/>
        <w:jc w:val="both"/>
        <w:spacing w:line="360" w:lineRule="auto"/>
        <w:widowControl w:val="o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各政府采购供应商</w:t>
      </w:r>
      <w:r>
        <w:rPr>
          <w:rFonts w:hint="eastAsia" w:ascii="宋体" w:hAnsi="宋体" w:eastAsia="宋体" w:cs="宋体"/>
          <w:b/>
          <w:color w:val="000000"/>
          <w:sz w:val="21"/>
          <w:szCs w:val="21"/>
          <w:highlight w:val="none"/>
          <w:lang w:eastAsia="zh-CN"/>
        </w:rPr>
        <w:t xml:space="preserve">：</w:t>
      </w:r>
      <w:r>
        <w:rPr>
          <w:rFonts w:ascii="宋体" w:hAnsi="宋体" w:eastAsia="宋体" w:cs="宋体"/>
          <w:b/>
          <w:color w:val="000000"/>
          <w:sz w:val="21"/>
          <w:szCs w:val="21"/>
          <w:highlight w:val="none"/>
        </w:rPr>
      </w:r>
      <w:r/>
    </w:p>
    <w:p>
      <w:pPr>
        <w:pStyle w:val="1008"/>
        <w:ind w:firstLine="420"/>
        <w:jc w:val="both"/>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70"/>
        <w:ind w:firstLine="420"/>
        <w:spacing w:before="0" w:beforeAutospacing="0" w:after="0" w:afterAutospacing="0" w:line="360" w:lineRule="auto"/>
        <w:rPr>
          <w:rFonts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欢迎贵公司参加苏州市政府采购活动！</w:t>
      </w:r>
      <w:r>
        <w:rPr>
          <w:rFonts w:ascii="宋体" w:hAnsi="宋体" w:eastAsia="宋体" w:cs="Times New Roman"/>
          <w:color w:val="000000"/>
          <w:sz w:val="21"/>
          <w:szCs w:val="21"/>
          <w:highlight w:val="none"/>
          <w:lang w:eastAsia="zh-CN"/>
        </w:rPr>
      </w:r>
      <w:r/>
    </w:p>
    <w:p>
      <w:pPr>
        <w:pStyle w:val="1070"/>
        <w:ind w:firstLine="420"/>
        <w:spacing w:before="0" w:beforeAutospacing="0" w:after="0" w:afterAutospacing="0"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Times New Roman"/>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left"/>
        <w:widowControl w:val="off"/>
        <w:rPr>
          <w:rFonts w:hint="eastAsia" w:ascii="方正魏碑_GBK" w:hAnsi="方正魏碑_GBK" w:eastAsia="方正魏碑_GBK" w:cs="方正魏碑_GBK"/>
          <w:b/>
          <w:bCs/>
          <w:color w:val="000000"/>
          <w:sz w:val="24"/>
          <w:szCs w:val="24"/>
          <w:highlight w:val="none"/>
        </w:rPr>
      </w:pPr>
      <w:r>
        <w:rPr>
          <w:rFonts w:hint="eastAsia" w:ascii="宋体" w:hAnsi="宋体" w:cs="宋体"/>
          <w:b/>
          <w:bCs/>
          <w:color w:val="000000"/>
          <w:sz w:val="21"/>
          <w:szCs w:val="21"/>
          <w:highlight w:val="none"/>
          <w:lang w:val="en-US" w:eastAsia="zh-CN"/>
        </w:rPr>
        <w:t xml:space="preserve">附件</w:t>
      </w:r>
      <w:r>
        <w:rPr>
          <w:rFonts w:hint="eastAsia" w:ascii="宋体" w:hAnsi="宋体" w:eastAsia="宋体" w:cs="宋体"/>
          <w:b/>
          <w:bCs/>
          <w:color w:val="000000"/>
          <w:sz w:val="21"/>
          <w:szCs w:val="21"/>
          <w:highlight w:val="none"/>
          <w:lang w:val="en-US" w:eastAsia="zh-CN"/>
        </w:rPr>
        <w:t xml:space="preserve">18</w:t>
      </w:r>
      <w:r>
        <w:rPr>
          <w:rFonts w:hint="eastAsia" w:ascii="宋体" w:hAnsi="宋体" w:eastAsia="宋体" w:cs="宋体"/>
          <w:b/>
          <w:bCs/>
          <w:color w:val="000000"/>
          <w:sz w:val="21"/>
          <w:szCs w:val="21"/>
          <w:highlight w:val="none"/>
          <w:lang w:val="zh-CN"/>
        </w:rPr>
        <w:t xml:space="preserve">：关于符合本国产品标准的声明函（</w:t>
      </w:r>
      <w:r>
        <w:rPr>
          <w:rFonts w:hint="eastAsia" w:ascii="宋体" w:hAnsi="宋体" w:eastAsia="宋体" w:cs="宋体"/>
          <w:b/>
          <w:bCs/>
          <w:color w:val="000000"/>
          <w:sz w:val="21"/>
          <w:szCs w:val="21"/>
          <w:highlight w:val="none"/>
          <w:lang w:val="en-US" w:eastAsia="zh-CN"/>
        </w:rPr>
        <w:t xml:space="preserve">如有</w:t>
      </w:r>
      <w:r>
        <w:rPr>
          <w:rFonts w:hint="eastAsia" w:ascii="宋体" w:hAnsi="宋体" w:eastAsia="宋体" w:cs="宋体"/>
          <w:b/>
          <w:bCs/>
          <w:color w:val="000000"/>
          <w:sz w:val="21"/>
          <w:szCs w:val="21"/>
          <w:highlight w:val="none"/>
          <w:lang w:val="zh-CN"/>
        </w:rPr>
        <w:t xml:space="preserve">）</w:t>
      </w:r>
      <w:r>
        <w:rPr>
          <w:rFonts w:hint="eastAsia" w:ascii="方正魏碑_GBK" w:hAnsi="方正魏碑_GBK" w:eastAsia="方正魏碑_GBK" w:cs="方正魏碑_GBK"/>
          <w:b/>
          <w:bCs/>
          <w:color w:val="000000"/>
          <w:sz w:val="24"/>
          <w:szCs w:val="24"/>
          <w:highlight w:val="none"/>
        </w:rPr>
      </w:r>
      <w:r/>
    </w:p>
    <w:p>
      <w:pPr>
        <w:pStyle w:val="1008"/>
        <w:ind w:firstLine="420"/>
        <w:jc w:val="left"/>
        <w:spacing w:before="0" w:beforeAutospacing="0" w:after="0" w:afterAutospacing="0" w:line="0" w:lineRule="atLeast"/>
        <w:widowControl/>
        <w:rPr>
          <w:rFonts w:ascii="方正魏碑_GBK" w:hAnsi="方正魏碑_GBK" w:eastAsia="方正魏碑_GBK" w:cs="方正魏碑_GBK"/>
          <w:color w:val="000000"/>
          <w:sz w:val="24"/>
          <w:szCs w:val="24"/>
          <w:highlight w:val="none"/>
        </w:rPr>
      </w:pPr>
      <w:r>
        <w:rPr>
          <w:rFonts w:ascii="方正魏碑_GBK" w:hAnsi="方正魏碑_GBK" w:eastAsia="方正魏碑_GBK" w:cs="方正魏碑_GBK"/>
          <w:color w:val="000000"/>
          <w:sz w:val="24"/>
          <w:szCs w:val="24"/>
          <w:highlight w:val="none"/>
        </w:rPr>
      </w:r>
      <w:r/>
    </w:p>
    <w:p>
      <w:pPr>
        <w:pStyle w:val="100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关于符合本国产品标准的声明函</w:t>
      </w:r>
      <w:r>
        <w:rPr>
          <w:rFonts w:hint="eastAsia" w:ascii="宋体" w:hAnsi="宋体" w:eastAsia="宋体" w:cs="宋体"/>
          <w:b/>
          <w:bCs/>
          <w:color w:val="000000"/>
          <w:sz w:val="21"/>
          <w:szCs w:val="21"/>
          <w:highlight w:val="none"/>
        </w:rPr>
      </w:r>
      <w:r/>
    </w:p>
    <w:p>
      <w:pPr>
        <w:pStyle w:val="1008"/>
        <w:ind w:firstLine="420"/>
        <w:jc w:val="left"/>
        <w:spacing w:before="0" w:beforeAutospacing="0" w:after="0" w:afterAutospacing="0" w:line="0" w:lineRule="atLeast"/>
        <w:widowControl/>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r>
      <w:r/>
    </w:p>
    <w:p>
      <w:pPr>
        <w:pStyle w:val="100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1.</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1</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，生产厂为</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（厂名）</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，厂址为</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（生产厂址）</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的中国境内生产的组件成本占比≥</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（规定比例）</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3</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（关键组件）</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4</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在中国境内生产。</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（关键工序）</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5</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在中国境内完成。</w:t>
      </w: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2.</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，生产厂为</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（厂名）</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，厂址为</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（生产厂址）</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的中国境内生产的组件成本占比≥</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（规定比例）</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（关键组件）</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在中国境内生产。</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（关键工序）</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在中国境内完成。</w:t>
      </w: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0"/>
        <w:jc w:val="lef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公司（单位）名称（盖章）：　</w:t>
      </w: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日期：　年　月　日</w:t>
      </w:r>
      <w:r>
        <w:rPr>
          <w:rFonts w:hint="eastAsia" w:ascii="宋体" w:hAnsi="宋体" w:eastAsia="宋体" w:cs="宋体"/>
          <w:i w:val="0"/>
          <w:iCs w:val="0"/>
          <w:caps w:val="0"/>
          <w:color w:val="000000"/>
          <w:spacing w:val="0"/>
          <w:sz w:val="24"/>
          <w:szCs w:val="24"/>
          <w:highlight w:val="none"/>
          <w:lang w:eastAsia="zh-CN"/>
        </w:rPr>
      </w:r>
      <w:r/>
    </w:p>
    <w:p>
      <w:pPr>
        <w:pStyle w:val="1008"/>
        <w:jc w:val="center"/>
        <w:spacing w:before="30" w:beforeAutospacing="0" w:after="30" w:afterAutospacing="0"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lang w:val="en-US" w:eastAsia="zh-CN" w:bidi="ar-SA"/>
        </w:rPr>
        <w:t xml:space="preserve">         </w:t>
      </w:r>
      <w:r>
        <w:rPr>
          <w:rFonts w:hint="eastAsia" w:ascii="宋体" w:hAnsi="宋体" w:eastAsia="宋体" w:cs="宋体"/>
          <w:color w:val="000000"/>
          <w:sz w:val="21"/>
          <w:szCs w:val="21"/>
          <w:highlight w:val="none"/>
        </w:rPr>
      </w:r>
      <w:r/>
    </w:p>
    <w:p>
      <w:pPr>
        <w:pStyle w:val="1008"/>
        <w:jc w:val="left"/>
        <w:spacing w:before="30" w:beforeAutospacing="0" w:after="30" w:afterAutospacing="0" w:line="0" w:lineRule="atLeas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100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lang w:val="en-US" w:eastAsia="zh-CN" w:bidi="ar-SA"/>
        </w:rPr>
        <w:t xml:space="preserve">1</w:t>
      </w:r>
      <w:r>
        <w:rPr>
          <w:rFonts w:hint="eastAsia" w:ascii="宋体" w:hAnsi="宋体" w:eastAsia="宋体" w:cs="宋体"/>
          <w:color w:val="000000"/>
          <w:sz w:val="21"/>
          <w:szCs w:val="21"/>
          <w:highlight w:val="none"/>
          <w:lang w:val="en-US" w:eastAsia="zh-CN"/>
        </w:rPr>
        <w:t xml:space="preserve">.产品如有型号，请在“产品名称”栏一并填写。</w:t>
      </w:r>
      <w:r>
        <w:rPr>
          <w:rFonts w:hint="eastAsia" w:ascii="宋体" w:hAnsi="宋体" w:eastAsia="宋体" w:cs="宋体"/>
          <w:color w:val="000000"/>
          <w:sz w:val="21"/>
          <w:szCs w:val="21"/>
          <w:highlight w:val="none"/>
        </w:rPr>
      </w:r>
      <w:r/>
    </w:p>
    <w:p>
      <w:pPr>
        <w:pStyle w:val="100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100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100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4.该产品的关键组件要求实施前，“关键组件”栏可不填，下同。</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b/>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5.该产品的关键工序要求实施前，“关键工序”栏可不填，下同。</w:t>
      </w:r>
      <w:r>
        <w:rPr>
          <w:rFonts w:hint="eastAsia" w:ascii="宋体" w:hAnsi="宋体" w:eastAsia="宋体" w:cs="宋体"/>
          <w:color w:val="000000"/>
          <w:sz w:val="21"/>
          <w:szCs w:val="21"/>
          <w:highlight w:val="none"/>
          <w:lang w:val="en-US" w:eastAsia="zh-CN"/>
        </w:rPr>
        <w:br w:type="page" w:clear="all"/>
      </w:r>
      <w:r>
        <w:rPr>
          <w:rFonts w:hint="eastAsia" w:ascii="宋体" w:hAnsi="宋体" w:cs="宋体"/>
          <w:b/>
          <w:bCs/>
          <w:color w:val="000000"/>
          <w:sz w:val="21"/>
          <w:szCs w:val="21"/>
          <w:highlight w:val="none"/>
          <w:lang w:val="en-US" w:eastAsia="zh-CN"/>
        </w:rPr>
        <w:t xml:space="preserve">附件</w:t>
      </w:r>
      <w:r>
        <w:rPr>
          <w:rFonts w:hint="eastAsia" w:ascii="宋体" w:hAnsi="宋体" w:cs="宋体"/>
          <w:b/>
          <w:color w:val="000000"/>
          <w:sz w:val="21"/>
          <w:szCs w:val="21"/>
          <w:highlight w:val="none"/>
          <w:lang w:val="en-US" w:eastAsia="zh-CN"/>
        </w:rPr>
        <w:t xml:space="preserve">19</w:t>
      </w: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关于投标报价合理性的澄清说明（如有）</w:t>
      </w:r>
      <w:r>
        <w:rPr>
          <w:rFonts w:hint="eastAsia" w:ascii="宋体" w:hAnsi="宋体" w:cs="宋体"/>
          <w:b/>
          <w:color w:val="000000"/>
          <w:sz w:val="21"/>
          <w:szCs w:val="21"/>
          <w:highlight w:val="none"/>
          <w:lang w:val="en-US" w:eastAsia="zh-CN"/>
        </w:rPr>
      </w:r>
      <w:r/>
    </w:p>
    <w:p>
      <w:pPr>
        <w:pStyle w:val="1008"/>
        <w:ind w:firstLine="420"/>
        <w:jc w:val="center"/>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100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关于投标报价合理性的澄清说明</w:t>
      </w:r>
      <w:r>
        <w:rPr>
          <w:rFonts w:hint="eastAsia" w:ascii="宋体" w:hAnsi="宋体" w:eastAsia="宋体" w:cs="宋体"/>
          <w:b/>
          <w:color w:val="000000"/>
          <w:sz w:val="24"/>
          <w:szCs w:val="24"/>
          <w:highlight w:val="none"/>
        </w:rPr>
      </w:r>
      <w:r/>
    </w:p>
    <w:p>
      <w:pPr>
        <w:pStyle w:val="1008"/>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008"/>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致：         （采购代理机构名称）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7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号（项目编号）的招标活动进行投标，对于本公司的投标报价合理性作出说明如下：</w:t>
      </w:r>
      <w:r>
        <w:rPr>
          <w:rFonts w:hint="eastAsia" w:ascii="宋体" w:hAnsi="宋体" w:eastAsia="宋体" w:cs="宋体"/>
          <w:color w:val="000000"/>
          <w:sz w:val="24"/>
          <w:szCs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2"/>
      </w:tblGrid>
      <w:tr>
        <w:trPr>
          <w:trHeight w:val="3940"/>
        </w:trPr>
        <w:tc>
          <w:tcPr>
            <w:tcW w:w="5000" w:type="dxa"/>
            <w:vAlign w:val="center"/>
            <w:textDirection w:val="lrTb"/>
            <w:noWrap w:val="false"/>
          </w:tcPr>
          <w:p>
            <w:pPr>
              <w:pStyle w:val="1008"/>
              <w:spacing w:line="360" w:lineRule="auto"/>
              <w:widowControl w:val="off"/>
              <w:rPr>
                <w:rFonts w:hint="eastAsia" w:ascii="宋体" w:hAnsi="宋体" w:eastAsia="宋体" w:cs="宋体"/>
                <w:b/>
                <w:color w:val="000000"/>
                <w:sz w:val="24"/>
                <w:szCs w:val="24"/>
                <w:highlight w:val="none"/>
                <w:shd w:val="pct10" w:color="auto" w:fill="ffffff"/>
              </w:rPr>
            </w:pPr>
            <w:r>
              <w:rPr>
                <w:rFonts w:hint="eastAsia" w:ascii="宋体" w:hAnsi="宋体" w:eastAsia="宋体" w:cs="宋体"/>
                <w:b/>
                <w:color w:val="000000"/>
                <w:sz w:val="24"/>
                <w:szCs w:val="24"/>
                <w:highlight w:val="none"/>
              </w:rPr>
              <w:t xml:space="preserve">响应单位应当根据实际情况自拟答复并根据评审委员会关于澄清的要求提供相关证明材料作为附件。</w:t>
            </w:r>
            <w:r>
              <w:rPr>
                <w:rFonts w:hint="eastAsia" w:ascii="宋体" w:hAnsi="宋体" w:eastAsia="宋体" w:cs="宋体"/>
                <w:b/>
                <w:color w:val="000000"/>
                <w:sz w:val="24"/>
                <w:szCs w:val="24"/>
                <w:highlight w:val="none"/>
                <w:shd w:val="pct10" w:color="auto" w:fill="ffffff"/>
              </w:rPr>
            </w:r>
            <w:r/>
          </w:p>
        </w:tc>
      </w:tr>
    </w:tbl>
    <w:p>
      <w:pPr>
        <w:pStyle w:val="1008"/>
        <w:ind w:left="0" w:firstLine="422"/>
        <w:spacing w:line="360" w:lineRule="auto"/>
        <w:rPr>
          <w:rFonts w:hint="eastAsia" w:ascii="宋体" w:hAnsi="宋体" w:eastAsia="宋体" w:cs="宋体"/>
          <w:b/>
          <w:color w:val="000000"/>
          <w:sz w:val="22"/>
          <w:szCs w:val="22"/>
          <w:highlight w:val="none"/>
          <w:lang w:val="zh-CN"/>
        </w:rPr>
      </w:pPr>
      <w:r/>
      <w:bookmarkStart w:id="53" w:name="OLE_LINK23"/>
      <w:r/>
      <w:bookmarkStart w:id="54" w:name="OLE_LINK21"/>
      <w:r/>
      <w:bookmarkStart w:id="55" w:name="OLE_LINK26"/>
      <w:r/>
      <w:bookmarkStart w:id="56" w:name="OLE_LINK24"/>
      <w:r>
        <w:rPr>
          <w:rFonts w:hint="eastAsia" w:ascii="宋体" w:hAnsi="宋体" w:eastAsia="宋体" w:cs="宋体"/>
          <w:b/>
          <w:color w:val="000000"/>
          <w:sz w:val="22"/>
          <w:szCs w:val="22"/>
          <w:highlight w:val="none"/>
          <w:lang w:val="zh-CN"/>
        </w:rPr>
        <w:t xml:space="preserve">备注:根据招标文件第二章“</w:t>
      </w:r>
      <w:r>
        <w:rPr>
          <w:rFonts w:hint="eastAsia" w:ascii="宋体" w:hAnsi="宋体" w:eastAsia="宋体" w:cs="宋体"/>
          <w:b/>
          <w:color w:val="000000"/>
          <w:sz w:val="22"/>
          <w:szCs w:val="22"/>
          <w:highlight w:val="none"/>
          <w:lang w:val="zh-CN" w:eastAsia="zh-CN"/>
        </w:rPr>
        <w:t xml:space="preserve">投标人须知</w:t>
      </w:r>
      <w:r>
        <w:rPr>
          <w:rFonts w:hint="eastAsia" w:ascii="宋体" w:hAnsi="宋体" w:eastAsia="宋体" w:cs="宋体"/>
          <w:b/>
          <w:color w:val="000000"/>
          <w:sz w:val="22"/>
          <w:szCs w:val="22"/>
          <w:highlight w:val="none"/>
          <w:lang w:val="zh-CN"/>
        </w:rPr>
        <w:t xml:space="preserve">”</w:t>
      </w:r>
      <w:bookmarkStart w:id="57" w:name="OLE_LINK12"/>
      <w:r>
        <w:rPr>
          <w:rFonts w:hint="eastAsia" w:ascii="宋体" w:hAnsi="宋体" w:eastAsia="宋体" w:cs="宋体"/>
          <w:b/>
          <w:color w:val="000000"/>
          <w:sz w:val="22"/>
          <w:szCs w:val="22"/>
          <w:highlight w:val="none"/>
          <w:lang w:val="zh-CN"/>
        </w:rPr>
        <w:t xml:space="preserve">要求，在评</w:t>
      </w:r>
      <w:r>
        <w:rPr>
          <w:rFonts w:hint="eastAsia" w:ascii="宋体" w:hAnsi="宋体" w:eastAsia="宋体" w:cs="宋体"/>
          <w:b/>
          <w:color w:val="000000"/>
          <w:sz w:val="22"/>
          <w:szCs w:val="22"/>
          <w:highlight w:val="none"/>
          <w:lang w:val="en-US" w:eastAsia="zh-CN"/>
        </w:rPr>
        <w:t xml:space="preserve">审</w:t>
      </w:r>
      <w:r>
        <w:rPr>
          <w:rFonts w:hint="eastAsia" w:ascii="宋体" w:hAnsi="宋体" w:eastAsia="宋体" w:cs="宋体"/>
          <w:b/>
          <w:color w:val="000000"/>
          <w:sz w:val="22"/>
          <w:szCs w:val="22"/>
          <w:highlight w:val="none"/>
          <w:lang w:val="zh-CN"/>
        </w:rPr>
        <w:t xml:space="preserve">过程中当出现</w:t>
      </w:r>
      <w:r>
        <w:rPr>
          <w:rFonts w:hint="eastAsia" w:ascii="宋体" w:hAnsi="宋体" w:cs="宋体"/>
          <w:b/>
          <w:bCs/>
          <w:color w:val="000000"/>
          <w:sz w:val="22"/>
          <w:szCs w:val="22"/>
          <w:highlight w:val="none"/>
          <w:lang w:val="zh-CN"/>
        </w:rPr>
        <w:t xml:space="preserve">投标（响应）报价低于全部通过符合性审查供应商投标（响应）报价平均值50%</w:t>
      </w:r>
      <w:r>
        <w:rPr>
          <w:rFonts w:ascii="宋体" w:hAnsi="宋体" w:cs="宋体"/>
          <w:b/>
          <w:bCs/>
          <w:color w:val="000000"/>
          <w:sz w:val="22"/>
          <w:szCs w:val="22"/>
          <w:highlight w:val="none"/>
          <w:lang w:val="zh-CN"/>
        </w:rPr>
        <w:t xml:space="preserve">的</w:t>
      </w:r>
      <w:r>
        <w:rPr>
          <w:rFonts w:hint="eastAsia" w:ascii="宋体" w:hAnsi="宋体" w:eastAsia="宋体" w:cs="宋体"/>
          <w:b/>
          <w:color w:val="000000"/>
          <w:sz w:val="22"/>
          <w:szCs w:val="22"/>
          <w:highlight w:val="none"/>
          <w:lang w:val="zh-CN"/>
        </w:rPr>
        <w:t xml:space="preserve">或者</w:t>
      </w:r>
      <w:r>
        <w:rPr>
          <w:rFonts w:ascii="宋体" w:hAnsi="宋体" w:cs="宋体"/>
          <w:b/>
          <w:bCs/>
          <w:color w:val="000000"/>
          <w:sz w:val="22"/>
          <w:szCs w:val="22"/>
          <w:highlight w:val="none"/>
          <w:lang w:val="zh-CN"/>
        </w:rPr>
        <w:t xml:space="preserve">投标（响应）报价低于通过符合性审查的次低报价供应商投标（响应）报价</w:t>
      </w:r>
      <w:r>
        <w:rPr>
          <w:rFonts w:hint="eastAsia" w:ascii="宋体" w:hAnsi="宋体" w:cs="宋体"/>
          <w:b/>
          <w:bCs/>
          <w:color w:val="000000"/>
          <w:sz w:val="22"/>
          <w:szCs w:val="22"/>
          <w:highlight w:val="none"/>
          <w:lang w:val="zh-CN"/>
        </w:rPr>
        <w:t xml:space="preserve">50%</w:t>
      </w:r>
      <w:r>
        <w:rPr>
          <w:rFonts w:ascii="宋体" w:hAnsi="宋体" w:cs="宋体"/>
          <w:b/>
          <w:bCs/>
          <w:color w:val="000000"/>
          <w:sz w:val="22"/>
          <w:szCs w:val="22"/>
          <w:highlight w:val="none"/>
          <w:lang w:val="zh-CN"/>
        </w:rPr>
        <w:t xml:space="preserve">的，即投标（响应）报价</w:t>
      </w:r>
      <w:r>
        <w:rPr>
          <w:rFonts w:hint="eastAsia" w:ascii="宋体" w:hAnsi="宋体" w:cs="宋体"/>
          <w:b/>
          <w:bCs/>
          <w:color w:val="000000"/>
          <w:sz w:val="22"/>
          <w:szCs w:val="22"/>
          <w:highlight w:val="none"/>
          <w:lang w:val="zh-CN"/>
        </w:rPr>
        <w:t xml:space="preserve">&lt;</w:t>
      </w:r>
      <w:r>
        <w:rPr>
          <w:rFonts w:ascii="宋体" w:hAnsi="宋体" w:cs="宋体"/>
          <w:b/>
          <w:bCs/>
          <w:color w:val="000000"/>
          <w:sz w:val="22"/>
          <w:szCs w:val="22"/>
          <w:highlight w:val="none"/>
          <w:lang w:val="zh-CN"/>
        </w:rPr>
        <w:t xml:space="preserve">通过符合性审查的次低报价供应商投标（响应）报价</w:t>
      </w:r>
      <w:r>
        <w:rPr>
          <w:rFonts w:hint="eastAsia" w:ascii="宋体" w:hAnsi="宋体" w:cs="宋体"/>
          <w:b/>
          <w:bCs/>
          <w:color w:val="000000"/>
          <w:sz w:val="22"/>
          <w:szCs w:val="22"/>
          <w:highlight w:val="none"/>
          <w:lang w:val="zh-CN"/>
        </w:rPr>
        <w:t xml:space="preserve">×50%</w:t>
      </w:r>
      <w:r>
        <w:rPr>
          <w:rFonts w:hint="eastAsia" w:ascii="宋体" w:hAnsi="宋体" w:eastAsia="宋体" w:cs="宋体"/>
          <w:b/>
          <w:color w:val="000000"/>
          <w:sz w:val="22"/>
          <w:szCs w:val="22"/>
          <w:highlight w:val="none"/>
          <w:lang w:val="zh-CN"/>
        </w:rPr>
        <w:t xml:space="preserve">或者</w:t>
      </w:r>
      <w:bookmarkEnd w:id="57"/>
      <w:r>
        <w:rPr>
          <w:rFonts w:ascii="宋体" w:hAnsi="宋体" w:cs="宋体"/>
          <w:b/>
          <w:bCs/>
          <w:color w:val="000000"/>
          <w:sz w:val="22"/>
          <w:szCs w:val="22"/>
          <w:highlight w:val="none"/>
          <w:lang w:val="zh-CN"/>
        </w:rPr>
        <w:t xml:space="preserve">投标（响应）报价低于采购项目最高限价</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rPr>
        <w:t xml:space="preserve">5</w:t>
      </w:r>
      <w:r>
        <w:rPr>
          <w:rFonts w:hint="eastAsia" w:ascii="宋体" w:hAnsi="宋体" w:cs="宋体"/>
          <w:b/>
          <w:bCs/>
          <w:color w:val="000000"/>
          <w:sz w:val="22"/>
          <w:szCs w:val="22"/>
          <w:highlight w:val="none"/>
          <w:lang w:val="zh-CN"/>
        </w:rPr>
        <w:t xml:space="preserve">%</w:t>
      </w:r>
      <w:r>
        <w:rPr>
          <w:rFonts w:ascii="宋体" w:hAnsi="宋体" w:cs="宋体"/>
          <w:b/>
          <w:bCs/>
          <w:color w:val="000000"/>
          <w:sz w:val="22"/>
          <w:szCs w:val="22"/>
          <w:highlight w:val="none"/>
          <w:lang w:val="zh-CN"/>
        </w:rPr>
        <w:t xml:space="preserve">的，即投标（响应）报价</w:t>
      </w:r>
      <w:r>
        <w:rPr>
          <w:rFonts w:hint="eastAsia" w:ascii="宋体" w:hAnsi="宋体" w:cs="宋体"/>
          <w:b/>
          <w:bCs/>
          <w:color w:val="000000"/>
          <w:sz w:val="22"/>
          <w:szCs w:val="22"/>
          <w:highlight w:val="none"/>
          <w:lang w:val="zh-CN"/>
        </w:rPr>
        <w:t xml:space="preserve">&lt;</w:t>
      </w:r>
      <w:r>
        <w:rPr>
          <w:rFonts w:ascii="宋体" w:hAnsi="宋体" w:cs="宋体"/>
          <w:b/>
          <w:bCs/>
          <w:color w:val="000000"/>
          <w:sz w:val="22"/>
          <w:szCs w:val="22"/>
          <w:highlight w:val="none"/>
          <w:lang w:val="zh-CN"/>
        </w:rPr>
        <w:t xml:space="preserve">采购项目最高限价</w:t>
      </w:r>
      <w:r>
        <w:rPr>
          <w:rFonts w:hint="eastAsia" w:ascii="宋体" w:hAnsi="宋体" w:cs="宋体"/>
          <w:b/>
          <w:bCs/>
          <w:color w:val="000000"/>
          <w:sz w:val="22"/>
          <w:szCs w:val="22"/>
          <w:highlight w:val="none"/>
          <w:lang w:val="zh-CN"/>
        </w:rPr>
        <w:t xml:space="preserve">×</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rPr>
        <w:t xml:space="preserve">5</w:t>
      </w:r>
      <w:r>
        <w:rPr>
          <w:rFonts w:hint="eastAsia" w:ascii="宋体" w:hAnsi="宋体" w:cs="宋体"/>
          <w:b/>
          <w:bCs/>
          <w:color w:val="000000"/>
          <w:sz w:val="22"/>
          <w:szCs w:val="22"/>
          <w:highlight w:val="none"/>
          <w:lang w:val="zh-CN"/>
        </w:rPr>
        <w:t xml:space="preserve">%</w:t>
      </w:r>
      <w:r>
        <w:rPr>
          <w:rFonts w:hint="eastAsia" w:ascii="宋体" w:hAnsi="宋体" w:eastAsia="宋体" w:cs="宋体"/>
          <w:b/>
          <w:color w:val="000000"/>
          <w:sz w:val="22"/>
          <w:szCs w:val="22"/>
          <w:highlight w:val="none"/>
          <w:lang w:val="zh-CN"/>
        </w:rPr>
        <w:t xml:space="preserve">或者评审委员会认定的供应商报价过低、有可能影响产品质量或者不能诚信履约的其他情形时,</w:t>
      </w:r>
      <w:bookmarkStart w:id="58" w:name="OLE_LINK19"/>
      <w:r/>
      <w:bookmarkStart w:id="59" w:name="OLE_LINK18"/>
      <w:r>
        <w:rPr>
          <w:rFonts w:hint="eastAsia" w:ascii="宋体" w:hAnsi="宋体" w:eastAsia="宋体" w:cs="宋体"/>
          <w:b/>
          <w:color w:val="000000"/>
          <w:sz w:val="22"/>
          <w:szCs w:val="22"/>
          <w:highlight w:val="none"/>
          <w:lang w:val="zh-CN"/>
        </w:rPr>
        <w:t xml:space="preserve">评</w:t>
      </w:r>
      <w:r>
        <w:rPr>
          <w:rFonts w:hint="eastAsia" w:ascii="宋体" w:hAnsi="宋体" w:eastAsia="宋体" w:cs="宋体"/>
          <w:b/>
          <w:color w:val="000000"/>
          <w:sz w:val="22"/>
          <w:szCs w:val="22"/>
          <w:highlight w:val="none"/>
          <w:lang w:val="en-US" w:eastAsia="zh-CN"/>
        </w:rPr>
        <w:t xml:space="preserve">审</w:t>
      </w:r>
      <w:r>
        <w:rPr>
          <w:rFonts w:hint="eastAsia" w:ascii="宋体" w:hAnsi="宋体" w:eastAsia="宋体" w:cs="宋体"/>
          <w:b/>
          <w:color w:val="000000"/>
          <w:sz w:val="22"/>
          <w:szCs w:val="22"/>
          <w:highlight w:val="none"/>
          <w:lang w:val="zh-CN"/>
        </w:rPr>
        <w:t xml:space="preserve">委员会</w:t>
      </w:r>
      <w:bookmarkEnd w:id="58"/>
      <w:r/>
      <w:bookmarkEnd w:id="59"/>
      <w:r>
        <w:rPr>
          <w:rFonts w:hint="eastAsia" w:ascii="宋体" w:hAnsi="宋体" w:eastAsia="宋体" w:cs="宋体"/>
          <w:b/>
          <w:color w:val="000000"/>
          <w:sz w:val="22"/>
          <w:szCs w:val="22"/>
          <w:highlight w:val="none"/>
          <w:lang w:val="zh-CN"/>
        </w:rPr>
        <w:t xml:space="preserve">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bookmarkEnd w:id="53"/>
      <w:r/>
      <w:bookmarkEnd w:id="54"/>
      <w:r/>
      <w:bookmarkEnd w:id="55"/>
      <w:r/>
      <w:bookmarkEnd w:id="56"/>
      <w:r>
        <w:rPr>
          <w:rFonts w:hint="eastAsia" w:ascii="宋体" w:hAnsi="宋体" w:eastAsia="宋体" w:cs="宋体"/>
          <w:b/>
          <w:color w:val="000000"/>
          <w:sz w:val="22"/>
          <w:szCs w:val="22"/>
          <w:highlight w:val="none"/>
          <w:lang w:val="zh-CN"/>
        </w:rPr>
      </w:r>
      <w:r/>
    </w:p>
    <w:p>
      <w:pPr>
        <w:pStyle w:val="1047"/>
        <w:ind w:firstLine="2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投标人：（公章）</w:t>
      </w:r>
      <w:r>
        <w:rPr>
          <w:rFonts w:hint="eastAsia" w:ascii="宋体" w:hAnsi="宋体" w:eastAsia="宋体" w:cs="宋体"/>
          <w:color w:val="000000"/>
          <w:sz w:val="22"/>
          <w:szCs w:val="22"/>
          <w:highlight w:val="none"/>
        </w:rPr>
      </w:r>
      <w:r/>
    </w:p>
    <w:p>
      <w:pPr>
        <w:pStyle w:val="1047"/>
        <w:ind w:firstLine="2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法定代表人或代理人：（签字或盖章）</w:t>
      </w:r>
      <w:r>
        <w:rPr>
          <w:rFonts w:hint="eastAsia" w:ascii="宋体" w:hAnsi="宋体" w:eastAsia="宋体" w:cs="宋体"/>
          <w:color w:val="000000"/>
          <w:sz w:val="22"/>
          <w:szCs w:val="22"/>
          <w:highlight w:val="none"/>
        </w:rPr>
      </w:r>
      <w:r/>
    </w:p>
    <w:p>
      <w:pPr>
        <w:pStyle w:val="1047"/>
        <w:ind w:firstLine="24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2"/>
          <w:szCs w:val="22"/>
          <w:highlight w:val="none"/>
          <w:lang w:val="zh-CN"/>
        </w:rPr>
        <w:t xml:space="preserve">日期：</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zh-CN"/>
        </w:rPr>
        <w:t xml:space="preserve">年</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zh-CN"/>
        </w:rPr>
        <w:t xml:space="preserve">月</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zh-CN"/>
        </w:rPr>
        <w:t xml:space="preserve">日</w:t>
      </w:r>
      <w:r>
        <w:rPr>
          <w:rFonts w:hint="eastAsia" w:ascii="宋体" w:hAnsi="宋体" w:eastAsia="宋体" w:cs="宋体"/>
          <w:color w:val="000000"/>
          <w:sz w:val="21"/>
          <w:szCs w:val="21"/>
          <w:highlight w:val="none"/>
          <w:lang w:eastAsia="zh-CN"/>
        </w:rPr>
      </w:r>
      <w:r/>
    </w:p>
    <w:p>
      <w:pPr>
        <w:pStyle w:val="1008"/>
        <w:pageBreakBefore/>
        <w:spacing w:line="360" w:lineRule="auto"/>
        <w:rPr>
          <w:rFonts w:hint="eastAsia" w:ascii="宋体" w:hAnsi="宋体" w:cs="宋体"/>
          <w:b/>
          <w:color w:val="000000"/>
          <w:highlight w:val="none"/>
        </w:rPr>
      </w:pPr>
      <w:r>
        <w:rPr>
          <w:rFonts w:hint="eastAsia" w:ascii="宋体" w:hAnsi="宋体" w:cs="宋体"/>
          <w:b/>
          <w:bCs/>
          <w:color w:val="000000"/>
          <w:sz w:val="21"/>
          <w:szCs w:val="21"/>
          <w:highlight w:val="none"/>
          <w:lang w:val="en-US" w:eastAsia="zh-CN"/>
        </w:rPr>
        <w:t xml:space="preserve">附件</w:t>
      </w:r>
      <w:r>
        <w:rPr>
          <w:rFonts w:hint="eastAsia" w:ascii="宋体" w:hAnsi="宋体" w:cs="宋体"/>
          <w:b/>
          <w:color w:val="000000"/>
          <w:sz w:val="21"/>
          <w:szCs w:val="21"/>
          <w:highlight w:val="none"/>
          <w:lang w:val="en-US" w:eastAsia="zh-CN"/>
        </w:rPr>
        <w:t xml:space="preserve">2</w:t>
      </w:r>
      <w:r>
        <w:rPr>
          <w:rFonts w:hint="eastAsia" w:ascii="宋体" w:hAnsi="宋体" w:cs="宋体"/>
          <w:b/>
          <w:color w:val="000000"/>
          <w:sz w:val="21"/>
          <w:szCs w:val="21"/>
          <w:highlight w:val="none"/>
          <w:lang w:val="en-US" w:eastAsia="zh-CN"/>
        </w:rPr>
        <w:t xml:space="preserve">0</w:t>
      </w:r>
      <w:r>
        <w:rPr>
          <w:rFonts w:hint="eastAsia" w:ascii="宋体" w:hAnsi="宋体" w:cs="宋体"/>
          <w:b/>
          <w:color w:val="000000"/>
          <w:sz w:val="21"/>
          <w:szCs w:val="21"/>
          <w:highlight w:val="none"/>
        </w:rPr>
        <w:t xml:space="preserve">、</w:t>
      </w:r>
      <w:bookmarkEnd w:id="51"/>
      <w:r/>
      <w:bookmarkEnd w:id="52"/>
      <w:r>
        <w:rPr>
          <w:rFonts w:hint="eastAsia" w:ascii="宋体" w:hAnsi="宋体" w:cs="宋体"/>
          <w:b/>
          <w:color w:val="000000"/>
          <w:sz w:val="21"/>
          <w:szCs w:val="21"/>
          <w:highlight w:val="none"/>
        </w:rPr>
        <w:t xml:space="preserve">投标（响应）保证承诺书</w:t>
      </w:r>
      <w:r>
        <w:rPr>
          <w:rFonts w:hint="eastAsia" w:ascii="宋体" w:hAnsi="宋体" w:cs="宋体"/>
          <w:b/>
          <w:color w:val="000000"/>
          <w:highlight w:val="none"/>
        </w:rPr>
      </w:r>
      <w:r/>
    </w:p>
    <w:p>
      <w:pPr>
        <w:pStyle w:val="1008"/>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08"/>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投标（响应）保证承诺书</w:t>
      </w:r>
      <w:r>
        <w:rPr>
          <w:rFonts w:hint="eastAsia" w:ascii="宋体" w:hAnsi="宋体" w:cs="宋体"/>
          <w:b/>
          <w:color w:val="000000"/>
          <w:sz w:val="21"/>
          <w:szCs w:val="21"/>
          <w:highlight w:val="none"/>
        </w:rPr>
      </w:r>
      <w:r/>
    </w:p>
    <w:p>
      <w:pPr>
        <w:pStyle w:val="1069"/>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color w:val="000000"/>
          <w:sz w:val="21"/>
          <w:szCs w:val="21"/>
          <w:highlight w:val="none"/>
        </w:rPr>
      </w:pPr>
      <w:r>
        <w:rPr>
          <w:rFonts w:hint="eastAsia"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（采购代理机构名称）</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的投标（响应）</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并做出如下承诺：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（或采购单位）</w:t>
      </w:r>
      <w:r>
        <w:rPr>
          <w:rFonts w:hint="eastAsia" w:ascii="宋体" w:hAnsi="宋体" w:cs="宋体"/>
          <w:color w:val="000000"/>
          <w:sz w:val="21"/>
          <w:szCs w:val="21"/>
          <w:highlight w:val="none"/>
        </w:rPr>
        <w:t xml:space="preserve">支付本采购文件公布的预算金额（或最高限价）的2%作为违约赔偿金（数量不确定的单价采购须约定具体金额）。</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1.自投标（响应）截止时间至本项目发布中标（成交）公告为止，撤销投标（响应）；</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2.中标（成交）后不依法与采购单位签订合同；</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3.中标（成交）后不按本采购文件规定向采购单位提交履约保证金（如有）；</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4.中标（成交）后不按本采购文件规定向贵方缴纳采购代理费。</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（或采购单位）</w:t>
      </w:r>
      <w:r>
        <w:rPr>
          <w:rFonts w:hint="eastAsia" w:ascii="宋体" w:hAnsi="宋体" w:cs="宋体"/>
          <w:color w:val="000000"/>
          <w:sz w:val="21"/>
          <w:szCs w:val="21"/>
          <w:highlight w:val="none"/>
        </w:rPr>
        <w:t xml:space="preserve">要求我单位履行违约赔偿义务的依据作用。</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投标（响应）人（盖公章）：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签字或签章</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08"/>
        <w:jc w:val="both"/>
        <w:spacing w:after="0"/>
        <w:rPr>
          <w:rFonts w:hint="eastAsia" w:cs="宋体"/>
          <w:color w:val="000000"/>
          <w:sz w:val="21"/>
          <w:szCs w:val="21"/>
          <w:highlight w:val="none"/>
        </w:rPr>
        <w:outlineLvl w:val="9"/>
      </w:pPr>
      <w:r>
        <w:rPr>
          <w:rFonts w:hint="eastAsia" w:cs="宋体"/>
          <w:color w:val="000000"/>
          <w:sz w:val="21"/>
          <w:szCs w:val="21"/>
          <w:highlight w:val="none"/>
        </w:rPr>
        <w:t xml:space="preserve">日期：</w:t>
      </w:r>
      <w:r>
        <w:rPr>
          <w:rFonts w:hint="eastAsia" w:cs="宋体"/>
          <w:color w:val="000000"/>
          <w:sz w:val="21"/>
          <w:szCs w:val="21"/>
          <w:highlight w:val="none"/>
        </w:rPr>
      </w:r>
      <w:r/>
    </w:p>
    <w:p>
      <w:pPr>
        <w:pStyle w:val="1009"/>
        <w:jc w:val="center"/>
        <w:spacing w:after="0"/>
        <w:rPr>
          <w:rFonts w:hint="eastAsia"/>
          <w:color w:val="000000"/>
          <w:highlight w:val="none"/>
        </w:rPr>
      </w:pPr>
      <w:r>
        <w:rPr>
          <w:rFonts w:hint="eastAsia" w:cs="宋体"/>
          <w:color w:val="000000"/>
          <w:sz w:val="21"/>
          <w:szCs w:val="21"/>
          <w:highlight w:val="none"/>
        </w:rPr>
        <w:br w:type="page" w:clear="all"/>
      </w:r>
      <w:bookmarkStart w:id="60" w:name="_Toc14716"/>
      <w:r>
        <w:rPr>
          <w:rFonts w:hint="eastAsia"/>
          <w:color w:val="000000"/>
          <w:highlight w:val="none"/>
        </w:rPr>
        <w:t xml:space="preserve">第四章  招标书</w:t>
      </w:r>
      <w:bookmarkEnd w:id="60"/>
      <w:r>
        <w:rPr>
          <w:rFonts w:hint="eastAsia"/>
          <w:color w:val="000000"/>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受</w:t>
      </w:r>
      <w:r>
        <w:rPr>
          <w:rFonts w:hint="eastAsia" w:ascii="宋体" w:hAnsi="宋体" w:cs="宋体"/>
          <w:color w:val="000000"/>
          <w:sz w:val="21"/>
          <w:szCs w:val="21"/>
          <w:highlight w:val="none"/>
          <w:lang w:eastAsia="zh-CN"/>
        </w:rPr>
        <w:t xml:space="preserve">吴江经济技术开发区建设局</w:t>
      </w:r>
      <w:r>
        <w:rPr>
          <w:rFonts w:hint="eastAsia" w:ascii="宋体" w:hAnsi="宋体" w:cs="宋体"/>
          <w:color w:val="000000"/>
          <w:sz w:val="21"/>
          <w:szCs w:val="21"/>
          <w:highlight w:val="none"/>
        </w:rPr>
        <w:t xml:space="preserve">的委托，</w:t>
      </w:r>
      <w:r>
        <w:rPr>
          <w:rFonts w:hint="eastAsia" w:ascii="宋体" w:hAnsi="宋体" w:cs="宋体"/>
          <w:color w:val="000000"/>
          <w:sz w:val="21"/>
          <w:szCs w:val="21"/>
          <w:highlight w:val="none"/>
          <w:lang w:eastAsia="zh-CN"/>
        </w:rPr>
        <w:t xml:space="preserve">苏州中海工程项目管理有限公司</w:t>
      </w:r>
      <w:r>
        <w:rPr>
          <w:rFonts w:hint="eastAsia" w:ascii="宋体" w:hAnsi="宋体" w:cs="宋体"/>
          <w:color w:val="000000"/>
          <w:sz w:val="21"/>
          <w:szCs w:val="21"/>
          <w:highlight w:val="none"/>
        </w:rPr>
        <w:t xml:space="preserve">作为招标代理机构，对其拟采购的“</w:t>
      </w:r>
      <w:r>
        <w:rPr>
          <w:rFonts w:hint="eastAsia" w:ascii="宋体" w:hAnsi="宋体" w:cs="宋体"/>
          <w:color w:val="000000"/>
          <w:sz w:val="21"/>
          <w:szCs w:val="21"/>
          <w:highlight w:val="none"/>
          <w:lang w:eastAsia="zh-CN"/>
        </w:rPr>
        <w:t xml:space="preserve">运西消防站配套设施项目</w:t>
      </w:r>
      <w:r>
        <w:rPr>
          <w:rFonts w:hint="eastAsia" w:ascii="宋体" w:hAnsi="宋体" w:cs="宋体"/>
          <w:color w:val="000000"/>
          <w:sz w:val="21"/>
          <w:szCs w:val="21"/>
          <w:highlight w:val="none"/>
        </w:rPr>
        <w:t xml:space="preserve">”进行国内公开招标。欢迎符合招标公告资格要求的供应商前来报名参加投标。</w:t>
      </w:r>
      <w:r>
        <w:rPr>
          <w:rFonts w:hint="eastAsia" w:ascii="宋体" w:hAnsi="宋体" w:cs="宋体"/>
          <w:color w:val="000000"/>
          <w:sz w:val="21"/>
          <w:szCs w:val="21"/>
          <w:highlight w:val="none"/>
        </w:rPr>
      </w:r>
      <w:r/>
    </w:p>
    <w:p>
      <w:pPr>
        <w:pStyle w:val="1008"/>
        <w:numPr>
          <w:ilvl w:val="0"/>
          <w:numId w:val="0"/>
        </w:numPr>
        <w:ind w:firstLine="422"/>
        <w:spacing w:line="360" w:lineRule="auto"/>
        <w:rPr>
          <w:rFonts w:hint="eastAsia" w:ascii="宋体" w:hAnsi="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u w:val="none"/>
        </w:rPr>
        <w:t xml:space="preserve">一、招标项目概况：</w:t>
      </w:r>
      <w:r>
        <w:rPr>
          <w:rFonts w:hint="eastAsia" w:ascii="宋体" w:hAnsi="宋体" w:cs="宋体"/>
          <w:color w:val="000000"/>
          <w:sz w:val="21"/>
          <w:szCs w:val="21"/>
          <w:highlight w:val="none"/>
          <w:lang w:val="en-US" w:eastAsia="zh-CN" w:bidi="ar-SA"/>
        </w:rPr>
      </w:r>
      <w:r/>
    </w:p>
    <w:p>
      <w:pPr>
        <w:pStyle w:val="1008"/>
        <w:numPr>
          <w:ilvl w:val="0"/>
          <w:numId w:val="0"/>
        </w:numPr>
        <w:ind w:firstLine="420"/>
        <w:spacing w:line="36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1.招标</w:t>
      </w:r>
      <w:r>
        <w:rPr>
          <w:rFonts w:hint="eastAsia" w:ascii="宋体" w:hAnsi="宋体" w:eastAsia="宋体" w:cs="宋体"/>
          <w:color w:val="000000"/>
          <w:sz w:val="21"/>
          <w:szCs w:val="21"/>
          <w:highlight w:val="none"/>
          <w:u w:val="none"/>
        </w:rPr>
        <w:t xml:space="preserve">编号：</w:t>
      </w:r>
      <w:r>
        <w:rPr>
          <w:rFonts w:hint="eastAsia" w:ascii="宋体" w:hAnsi="宋体" w:eastAsia="宋体" w:cs="宋体"/>
          <w:color w:val="000000"/>
          <w:sz w:val="21"/>
          <w:szCs w:val="21"/>
          <w:highlight w:val="none"/>
          <w:u w:val="none"/>
          <w:lang w:eastAsia="zh-CN"/>
        </w:rPr>
        <w:t xml:space="preserve">JSZC-320509-ZHXM-G2026-0001</w:t>
      </w:r>
      <w:r>
        <w:rPr>
          <w:rFonts w:hint="eastAsia" w:ascii="宋体" w:hAnsi="宋体" w:eastAsia="宋体" w:cs="宋体"/>
          <w:color w:val="000000"/>
          <w:sz w:val="21"/>
          <w:szCs w:val="21"/>
          <w:highlight w:val="none"/>
          <w:u w:val="none"/>
        </w:rPr>
      </w:r>
      <w:r/>
    </w:p>
    <w:p>
      <w:pPr>
        <w:pStyle w:val="1008"/>
        <w:numPr>
          <w:ilvl w:val="0"/>
          <w:numId w:val="0"/>
        </w:numPr>
        <w:ind w:firstLine="420"/>
        <w:spacing w:line="36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2.招标项目名称</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lang w:eastAsia="zh-CN"/>
        </w:rPr>
        <w:t xml:space="preserve">运西消防站配套设施项目</w:t>
      </w:r>
      <w:r>
        <w:rPr>
          <w:rFonts w:hint="eastAsia" w:ascii="宋体" w:hAnsi="宋体" w:eastAsia="宋体" w:cs="宋体"/>
          <w:color w:val="000000"/>
          <w:sz w:val="21"/>
          <w:szCs w:val="21"/>
          <w:highlight w:val="none"/>
          <w:u w:val="none"/>
        </w:rPr>
      </w:r>
      <w:r/>
    </w:p>
    <w:p>
      <w:pPr>
        <w:pStyle w:val="1008"/>
        <w:numPr>
          <w:ilvl w:val="0"/>
          <w:numId w:val="0"/>
        </w:numPr>
        <w:ind w:firstLine="42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3.预算金额：人民币壹佰玖拾万元整（￥1900000.00）</w:t>
      </w:r>
      <w:r>
        <w:rPr>
          <w:rFonts w:hint="eastAsia" w:ascii="宋体" w:hAnsi="宋体" w:eastAsia="宋体" w:cs="宋体"/>
          <w:color w:val="000000"/>
          <w:sz w:val="21"/>
          <w:szCs w:val="21"/>
          <w:highlight w:val="none"/>
          <w:u w:val="none"/>
          <w:lang w:val="en-US" w:eastAsia="zh-CN"/>
        </w:rPr>
      </w:r>
      <w:r/>
    </w:p>
    <w:tbl>
      <w:tblPr>
        <w:tblW w:w="8134" w:type="dxa"/>
        <w:jc w:val="center"/>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374"/>
        <w:gridCol w:w="1380"/>
        <w:gridCol w:w="3090"/>
      </w:tblGrid>
      <w:tr>
        <w:trPr>
          <w:trHeight w:val="568"/>
        </w:trPr>
        <w:tc>
          <w:tcPr>
            <w:tcW w:w="12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标段号</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标段名称</w:t>
            </w:r>
            <w:r>
              <w:rPr>
                <w:rFonts w:hint="eastAsia" w:ascii="宋体" w:hAnsi="宋体" w:eastAsia="宋体" w:cs="宋体"/>
                <w:bCs/>
                <w:color w:val="000000"/>
                <w:sz w:val="21"/>
                <w:szCs w:val="21"/>
                <w:highlight w:val="none"/>
                <w:lang w:val="en-US" w:eastAsia="zh-CN"/>
              </w:rPr>
            </w:r>
            <w:r/>
          </w:p>
        </w:tc>
        <w:tc>
          <w:tcPr>
            <w:tcW w:w="138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数量/单位</w:t>
            </w:r>
            <w:r>
              <w:rPr>
                <w:rFonts w:hint="eastAsia" w:ascii="宋体" w:hAnsi="宋体" w:eastAsia="宋体" w:cs="宋体"/>
                <w:bCs/>
                <w:color w:val="000000"/>
                <w:sz w:val="21"/>
                <w:szCs w:val="21"/>
                <w:highlight w:val="none"/>
              </w:rPr>
            </w:r>
            <w:r/>
          </w:p>
        </w:tc>
        <w:tc>
          <w:tcPr>
            <w:tcW w:w="30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各标段采购预算（最高限价）</w:t>
            </w:r>
            <w:r>
              <w:rPr>
                <w:rFonts w:hint="eastAsia" w:ascii="宋体" w:hAnsi="宋体" w:eastAsia="宋体" w:cs="宋体"/>
                <w:bCs/>
                <w:color w:val="000000"/>
                <w:sz w:val="21"/>
                <w:szCs w:val="21"/>
                <w:highlight w:val="none"/>
              </w:rPr>
            </w:r>
            <w:r/>
          </w:p>
        </w:tc>
      </w:tr>
      <w:tr>
        <w:trPr>
          <w:trHeight w:val="624"/>
        </w:trPr>
        <w:tc>
          <w:tcPr>
            <w:tcW w:w="12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第一标段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运西消防站配套设施项目-接警系统采购（一标段）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1批</w:t>
            </w:r>
            <w:r>
              <w:rPr>
                <w:rFonts w:hint="eastAsia" w:ascii="宋体" w:hAnsi="宋体" w:eastAsia="宋体" w:cs="宋体"/>
                <w:color w:val="000000"/>
                <w:sz w:val="21"/>
                <w:szCs w:val="21"/>
                <w:highlight w:val="none"/>
              </w:rPr>
            </w:r>
            <w:r/>
          </w:p>
        </w:tc>
        <w:tc>
          <w:tcPr>
            <w:tcW w:w="30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人民币柒拾捌万叁仟贰佰肆拾贰元贰角玖分（￥783242.29）</w:t>
            </w:r>
            <w:r>
              <w:rPr>
                <w:rFonts w:hint="eastAsia" w:ascii="宋体" w:hAnsi="宋体" w:eastAsia="宋体" w:cs="宋体"/>
                <w:bCs/>
                <w:color w:val="000000"/>
                <w:sz w:val="21"/>
                <w:szCs w:val="21"/>
                <w:highlight w:val="none"/>
                <w:lang w:val="en-US" w:eastAsia="zh-CN"/>
              </w:rPr>
            </w:r>
            <w:r/>
          </w:p>
        </w:tc>
      </w:tr>
      <w:tr>
        <w:trPr>
          <w:trHeight w:val="592"/>
        </w:trPr>
        <w:tc>
          <w:tcPr>
            <w:tcW w:w="12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第二标段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运西消防站配套设施项目-接警系统采购（二标段）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1批</w:t>
            </w:r>
            <w:r>
              <w:rPr>
                <w:rFonts w:hint="eastAsia" w:ascii="宋体" w:hAnsi="宋体" w:eastAsia="宋体" w:cs="宋体"/>
                <w:color w:val="000000"/>
                <w:sz w:val="21"/>
                <w:szCs w:val="21"/>
                <w:highlight w:val="none"/>
              </w:rPr>
            </w:r>
            <w:r/>
          </w:p>
        </w:tc>
        <w:tc>
          <w:tcPr>
            <w:tcW w:w="30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人民币壹拾伍万壹仟贰佰柒拾柒元贰角陆分（￥151277.26）</w:t>
            </w:r>
            <w:r>
              <w:rPr>
                <w:rFonts w:hint="eastAsia" w:ascii="宋体" w:hAnsi="宋体" w:eastAsia="宋体" w:cs="宋体"/>
                <w:bCs/>
                <w:color w:val="000000"/>
                <w:sz w:val="21"/>
                <w:szCs w:val="21"/>
                <w:highlight w:val="none"/>
                <w:lang w:val="en-US" w:eastAsia="zh-CN"/>
              </w:rPr>
            </w:r>
            <w:r/>
          </w:p>
        </w:tc>
      </w:tr>
      <w:tr>
        <w:trPr>
          <w:trHeight w:val="669"/>
        </w:trPr>
        <w:tc>
          <w:tcPr>
            <w:tcW w:w="12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第三标段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运西消防站配套设施项目-厨房设备采购（三标段）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1批</w:t>
            </w:r>
            <w:r>
              <w:rPr>
                <w:rFonts w:hint="eastAsia" w:ascii="宋体" w:hAnsi="宋体" w:eastAsia="宋体" w:cs="宋体"/>
                <w:color w:val="000000"/>
                <w:sz w:val="21"/>
                <w:szCs w:val="21"/>
                <w:highlight w:val="none"/>
              </w:rPr>
            </w:r>
            <w:r/>
          </w:p>
        </w:tc>
        <w:tc>
          <w:tcPr>
            <w:tcW w:w="30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人民币贰拾陆万贰仟玖佰玖拾叁元伍角贰分（￥262993.52）</w:t>
            </w:r>
            <w:r>
              <w:rPr>
                <w:rFonts w:hint="eastAsia" w:ascii="宋体" w:hAnsi="宋体" w:eastAsia="宋体" w:cs="宋体"/>
                <w:bCs/>
                <w:color w:val="000000"/>
                <w:sz w:val="21"/>
                <w:szCs w:val="21"/>
                <w:highlight w:val="none"/>
                <w:lang w:val="en-US" w:eastAsia="zh-CN"/>
              </w:rPr>
            </w:r>
            <w:r/>
          </w:p>
        </w:tc>
      </w:tr>
      <w:tr>
        <w:trPr>
          <w:trHeight w:val="709"/>
        </w:trPr>
        <w:tc>
          <w:tcPr>
            <w:tcW w:w="12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第四标段</w:t>
            </w:r>
            <w:r>
              <w:rPr>
                <w:rFonts w:hint="eastAsia" w:ascii="宋体" w:hAnsi="宋体" w:eastAsia="宋体" w:cs="宋体"/>
                <w:bCs/>
                <w:color w:val="000000"/>
                <w:sz w:val="21"/>
                <w:szCs w:val="21"/>
                <w:highlight w:val="none"/>
                <w:lang w:val="en-US" w:eastAsia="zh-CN"/>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运西消防站配套设施项目-家具采购（四标段）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1批</w:t>
            </w:r>
            <w:r>
              <w:rPr>
                <w:rFonts w:hint="eastAsia" w:ascii="宋体" w:hAnsi="宋体" w:eastAsia="宋体" w:cs="宋体"/>
                <w:color w:val="000000"/>
                <w:sz w:val="21"/>
                <w:szCs w:val="21"/>
                <w:highlight w:val="none"/>
                <w:lang w:val="en-US" w:eastAsia="zh-CN"/>
              </w:rPr>
            </w:r>
            <w:r/>
          </w:p>
        </w:tc>
        <w:tc>
          <w:tcPr>
            <w:tcW w:w="30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人民币柒拾万贰仟肆佰捌拾陆元玖角叁分（￥702486.93）</w:t>
            </w:r>
            <w:r>
              <w:rPr>
                <w:rFonts w:hint="eastAsia" w:ascii="宋体" w:hAnsi="宋体" w:eastAsia="宋体" w:cs="宋体"/>
                <w:bCs/>
                <w:color w:val="000000"/>
                <w:sz w:val="21"/>
                <w:szCs w:val="21"/>
                <w:highlight w:val="none"/>
                <w:lang w:val="en-US" w:eastAsia="zh-CN"/>
              </w:rPr>
            </w:r>
            <w:r/>
          </w:p>
        </w:tc>
      </w:tr>
    </w:tbl>
    <w:p>
      <w:pPr>
        <w:pStyle w:val="1174"/>
        <w:ind w:firstLine="480"/>
        <w:spacing w:line="360" w:lineRule="auto"/>
        <w:rPr>
          <w:rFonts w:hint="eastAsia" w:eastAsia="宋体" w:cs="宋体"/>
          <w:color w:val="000000"/>
          <w:sz w:val="21"/>
          <w:szCs w:val="21"/>
          <w:highlight w:val="none"/>
          <w:u w:val="none"/>
          <w:lang w:val="en-US" w:eastAsia="zh-CN"/>
        </w:rPr>
      </w:pPr>
      <w:r>
        <w:rPr>
          <w:rFonts w:hint="eastAsia" w:eastAsia="宋体" w:cs="宋体"/>
          <w:color w:val="000000"/>
          <w:sz w:val="21"/>
          <w:szCs w:val="21"/>
          <w:highlight w:val="none"/>
          <w:u w:val="none"/>
          <w:lang w:val="en-US" w:eastAsia="zh-CN"/>
        </w:rPr>
        <w:t xml:space="preserve">★各标段核心产品一览表</w:t>
      </w:r>
      <w:r>
        <w:rPr>
          <w:rFonts w:hint="eastAsia" w:eastAsia="宋体" w:cs="宋体"/>
          <w:color w:val="000000"/>
          <w:sz w:val="21"/>
          <w:szCs w:val="21"/>
          <w:highlight w:val="none"/>
          <w:u w:val="none"/>
          <w:lang w:val="en-US" w:eastAsia="zh-CN"/>
        </w:rPr>
      </w:r>
      <w:r/>
    </w:p>
    <w:tbl>
      <w:tblPr>
        <w:tblW w:w="8155" w:type="dxa"/>
        <w:jc w:val="center"/>
        <w:tblInd w:w="-6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3"/>
        <w:gridCol w:w="2374"/>
        <w:gridCol w:w="3808"/>
      </w:tblGrid>
      <w:tr>
        <w:trPr>
          <w:trHeight w:val="568"/>
        </w:trPr>
        <w:tc>
          <w:tcPr>
            <w:tcW w:w="1973"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标段号</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标段名称</w:t>
            </w:r>
            <w:r>
              <w:rPr>
                <w:rFonts w:hint="eastAsia" w:ascii="宋体" w:hAnsi="宋体" w:eastAsia="宋体" w:cs="宋体"/>
                <w:bCs/>
                <w:color w:val="000000"/>
                <w:sz w:val="21"/>
                <w:szCs w:val="21"/>
                <w:highlight w:val="none"/>
                <w:lang w:val="en-US" w:eastAsia="zh-CN"/>
              </w:rPr>
            </w:r>
            <w:r/>
          </w:p>
        </w:tc>
        <w:tc>
          <w:tcPr>
            <w:tcW w:w="3808"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eastAsia="宋体" w:cs="宋体"/>
                <w:color w:val="000000"/>
                <w:sz w:val="21"/>
                <w:szCs w:val="21"/>
                <w:highlight w:val="none"/>
                <w:u w:val="none"/>
                <w:lang w:val="en-US" w:eastAsia="zh-CN"/>
              </w:rPr>
              <w:t xml:space="preserve">本标段核心产品</w:t>
            </w:r>
            <w:r>
              <w:rPr>
                <w:rFonts w:hint="eastAsia" w:ascii="宋体" w:hAnsi="宋体" w:eastAsia="宋体" w:cs="宋体"/>
                <w:bCs/>
                <w:color w:val="000000"/>
                <w:sz w:val="21"/>
                <w:szCs w:val="21"/>
                <w:highlight w:val="none"/>
              </w:rPr>
            </w:r>
            <w:r/>
          </w:p>
        </w:tc>
      </w:tr>
      <w:tr>
        <w:trPr>
          <w:trHeight w:val="624"/>
        </w:trPr>
        <w:tc>
          <w:tcPr>
            <w:tcW w:w="1973"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第一标段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运西消防站配套设施项目-接警系统采购（一标段）</w:t>
            </w:r>
            <w:r>
              <w:rPr>
                <w:rFonts w:hint="eastAsia" w:ascii="宋体" w:hAnsi="宋体" w:eastAsia="宋体" w:cs="宋体"/>
                <w:color w:val="000000"/>
                <w:sz w:val="21"/>
                <w:szCs w:val="21"/>
                <w:highlight w:val="none"/>
              </w:rPr>
            </w:r>
            <w:r/>
          </w:p>
        </w:tc>
        <w:tc>
          <w:tcPr>
            <w:tcW w:w="380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高清视频会议终端、119 接处警联动控制设备</w:t>
            </w:r>
            <w:r>
              <w:rPr>
                <w:rFonts w:hint="eastAsia" w:ascii="宋体" w:hAnsi="宋体" w:eastAsia="宋体" w:cs="宋体"/>
                <w:color w:val="000000"/>
                <w:sz w:val="21"/>
                <w:szCs w:val="21"/>
                <w:highlight w:val="none"/>
                <w:lang w:val="en-US" w:eastAsia="zh-CN"/>
              </w:rPr>
            </w:r>
            <w:r/>
          </w:p>
        </w:tc>
      </w:tr>
      <w:tr>
        <w:trPr>
          <w:trHeight w:val="672"/>
        </w:trPr>
        <w:tc>
          <w:tcPr>
            <w:tcW w:w="1973"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第二标段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运西消防站配套设施项目-接警系统采购（二标段）</w:t>
            </w:r>
            <w:r>
              <w:rPr>
                <w:rFonts w:hint="eastAsia" w:ascii="宋体" w:hAnsi="宋体" w:eastAsia="宋体" w:cs="宋体"/>
                <w:color w:val="000000"/>
                <w:sz w:val="21"/>
                <w:szCs w:val="21"/>
                <w:highlight w:val="none"/>
              </w:rPr>
            </w:r>
            <w:r/>
          </w:p>
        </w:tc>
        <w:tc>
          <w:tcPr>
            <w:tcW w:w="380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智能 119 联动快速滑升式消防车库门（成套）</w:t>
            </w:r>
            <w:r>
              <w:rPr>
                <w:rFonts w:hint="eastAsia" w:ascii="宋体" w:hAnsi="宋体" w:eastAsia="宋体" w:cs="宋体"/>
                <w:color w:val="000000"/>
                <w:sz w:val="21"/>
                <w:szCs w:val="21"/>
                <w:highlight w:val="none"/>
                <w:lang w:val="en-US" w:eastAsia="zh-CN"/>
              </w:rPr>
            </w:r>
            <w:r/>
          </w:p>
        </w:tc>
      </w:tr>
      <w:tr>
        <w:trPr>
          <w:trHeight w:val="669"/>
        </w:trPr>
        <w:tc>
          <w:tcPr>
            <w:tcW w:w="1973"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第三标段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运西消防站配套设施项目-厨房设备采购（三标段）</w:t>
            </w:r>
            <w:r>
              <w:rPr>
                <w:rFonts w:hint="eastAsia" w:ascii="宋体" w:hAnsi="宋体" w:eastAsia="宋体" w:cs="宋体"/>
                <w:color w:val="000000"/>
                <w:sz w:val="21"/>
                <w:szCs w:val="21"/>
                <w:highlight w:val="none"/>
              </w:rPr>
            </w:r>
            <w:r/>
          </w:p>
        </w:tc>
        <w:tc>
          <w:tcPr>
            <w:tcW w:w="380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电磁双眼大锅灶、油烟净化一体机</w:t>
            </w:r>
            <w:r>
              <w:rPr>
                <w:rFonts w:hint="eastAsia" w:ascii="宋体" w:hAnsi="宋体" w:eastAsia="宋体" w:cs="宋体"/>
                <w:color w:val="000000"/>
                <w:sz w:val="21"/>
                <w:szCs w:val="21"/>
                <w:highlight w:val="none"/>
                <w:lang w:val="en-US" w:eastAsia="zh-CN"/>
              </w:rPr>
            </w:r>
            <w:r/>
          </w:p>
        </w:tc>
      </w:tr>
      <w:tr>
        <w:trPr>
          <w:trHeight w:val="709"/>
        </w:trPr>
        <w:tc>
          <w:tcPr>
            <w:tcW w:w="1973"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第四标段</w:t>
            </w:r>
            <w:r>
              <w:rPr>
                <w:rFonts w:hint="eastAsia" w:ascii="宋体" w:hAnsi="宋体" w:eastAsia="宋体" w:cs="宋体"/>
                <w:bCs/>
                <w:color w:val="000000"/>
                <w:sz w:val="21"/>
                <w:szCs w:val="21"/>
                <w:highlight w:val="none"/>
                <w:lang w:val="en-US" w:eastAsia="zh-CN"/>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运西消防站配套设施项目-家具采购（四标段）</w:t>
            </w:r>
            <w:r>
              <w:rPr>
                <w:rFonts w:hint="eastAsia" w:ascii="宋体" w:hAnsi="宋体" w:eastAsia="宋体" w:cs="宋体"/>
                <w:color w:val="000000"/>
                <w:sz w:val="21"/>
                <w:szCs w:val="21"/>
                <w:highlight w:val="none"/>
              </w:rPr>
            </w:r>
            <w:r/>
          </w:p>
        </w:tc>
        <w:tc>
          <w:tcPr>
            <w:tcW w:w="380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餐椅、单兵战备管理仓、多功能单人床</w:t>
            </w:r>
            <w:r>
              <w:rPr>
                <w:rFonts w:hint="eastAsia" w:ascii="宋体" w:hAnsi="宋体" w:eastAsia="宋体" w:cs="宋体"/>
                <w:color w:val="000000"/>
                <w:sz w:val="21"/>
                <w:szCs w:val="21"/>
                <w:highlight w:val="none"/>
                <w:lang w:val="en-US" w:eastAsia="zh-CN"/>
              </w:rPr>
            </w:r>
            <w:r/>
          </w:p>
        </w:tc>
      </w:tr>
    </w:tbl>
    <w:p>
      <w:pPr>
        <w:pStyle w:val="1008"/>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b/>
          <w:bCs/>
          <w:color w:val="000000"/>
          <w:sz w:val="21"/>
          <w:szCs w:val="21"/>
          <w:highlight w:val="none"/>
          <w:lang w:val="en-US" w:eastAsia="zh-CN"/>
        </w:rPr>
        <w:t xml:space="preserve">技术条款标识说明（适用于一二三标段）</w:t>
      </w:r>
      <w:r>
        <w:rPr>
          <w:rFonts w:hint="eastAsia" w:ascii="宋体" w:hAnsi="宋体" w:eastAsia="宋体" w:cs="Times New Roman"/>
          <w:color w:val="000000"/>
          <w:sz w:val="21"/>
          <w:szCs w:val="21"/>
          <w:highlight w:val="none"/>
          <w:lang w:val="en-US" w:eastAsia="zh-CN"/>
        </w:rPr>
      </w:r>
      <w:r/>
    </w:p>
    <w:p>
      <w:pPr>
        <w:pStyle w:val="1008"/>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4.1标注“★”的条款为实质性条款，投标人须完全满足参数要求，本条明确要求提供佐证材料的，须按要求提供；参数不满足要求或未提供佐证材料的，作无效投标处理；</w:t>
      </w:r>
      <w:r>
        <w:rPr>
          <w:rFonts w:hint="eastAsia" w:ascii="宋体" w:hAnsi="宋体" w:eastAsia="宋体" w:cs="Times New Roman"/>
          <w:color w:val="000000"/>
          <w:sz w:val="21"/>
          <w:szCs w:val="21"/>
          <w:highlight w:val="none"/>
          <w:lang w:val="en-US" w:eastAsia="zh-CN"/>
        </w:rPr>
      </w:r>
      <w:r/>
    </w:p>
    <w:p>
      <w:pPr>
        <w:pStyle w:val="1008"/>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4.2标注“▲”的条款为重要技术条款，投标人须满足参数要求，本条明确要求提供佐证材料的，须按要求提供；参数不满足要求或未提供佐证材料的，均视为该项负偏离，按评分标准扣分；</w:t>
      </w:r>
      <w:r>
        <w:rPr>
          <w:rFonts w:hint="eastAsia" w:ascii="宋体" w:hAnsi="宋体" w:eastAsia="宋体" w:cs="Times New Roman"/>
          <w:color w:val="000000"/>
          <w:sz w:val="21"/>
          <w:szCs w:val="21"/>
          <w:highlight w:val="none"/>
          <w:lang w:val="en-US" w:eastAsia="zh-CN"/>
        </w:rPr>
      </w:r>
      <w:r/>
    </w:p>
    <w:p>
      <w:pPr>
        <w:pStyle w:val="1008"/>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4.3未标注标识的条款为普通技术条款，投标人须满足参数要求，本条明确要求提供佐证材料的，须按要求提供；参数不满足要求或未提供佐证材料的，均视为该项负偏离，按评分标准扣分。</w:t>
      </w:r>
      <w:r>
        <w:rPr>
          <w:rFonts w:hint="eastAsia" w:ascii="宋体" w:hAnsi="宋体" w:eastAsia="宋体" w:cs="Times New Roman"/>
          <w:color w:val="000000"/>
          <w:sz w:val="21"/>
          <w:szCs w:val="21"/>
          <w:highlight w:val="none"/>
          <w:lang w:val="en-US" w:eastAsia="zh-CN"/>
        </w:rPr>
      </w:r>
      <w:r/>
    </w:p>
    <w:p>
      <w:pPr>
        <w:pStyle w:val="1086"/>
        <w:numPr>
          <w:ilvl w:val="0"/>
          <w:numId w:val="0"/>
        </w:numPr>
        <w:ind w:firstLine="422"/>
        <w:spacing w:line="360" w:lineRule="auto"/>
        <w:rPr>
          <w:rFonts w:hint="eastAsia" w:ascii="宋体" w:hAnsi="Times New Roman" w:eastAsia="宋体" w:cs="Times New Roman"/>
          <w:b/>
          <w:bCs/>
          <w:color w:val="000000"/>
          <w:highlight w:val="none"/>
        </w:rPr>
      </w:pPr>
      <w:r>
        <w:rPr>
          <w:rFonts w:hint="eastAsia" w:ascii="宋体" w:hAnsi="Times New Roman" w:eastAsia="宋体" w:cs="Times New Roman"/>
          <w:b/>
          <w:bCs/>
          <w:color w:val="000000"/>
          <w:highlight w:val="none"/>
          <w:lang w:val="en-US" w:eastAsia="zh-CN"/>
        </w:rPr>
        <w:t xml:space="preserve">二</w:t>
      </w:r>
      <w:r>
        <w:rPr>
          <w:rFonts w:hint="eastAsia" w:ascii="宋体" w:hAnsi="Times New Roman" w:eastAsia="宋体" w:cs="Times New Roman"/>
          <w:b/>
          <w:bCs/>
          <w:color w:val="000000"/>
          <w:highlight w:val="none"/>
        </w:rPr>
        <w:t xml:space="preserve">、招标</w:t>
      </w:r>
      <w:r>
        <w:rPr>
          <w:rFonts w:hint="eastAsia" w:ascii="宋体" w:hAnsi="Times New Roman" w:eastAsia="宋体" w:cs="Times New Roman"/>
          <w:b/>
          <w:bCs/>
          <w:color w:val="000000"/>
          <w:highlight w:val="none"/>
          <w:lang w:val="en-US" w:eastAsia="zh-CN"/>
        </w:rPr>
        <w:t xml:space="preserve">技术</w:t>
      </w:r>
      <w:r>
        <w:rPr>
          <w:rFonts w:hint="eastAsia" w:ascii="宋体" w:hAnsi="Times New Roman" w:eastAsia="宋体" w:cs="Times New Roman"/>
          <w:b/>
          <w:bCs/>
          <w:color w:val="000000"/>
          <w:highlight w:val="none"/>
        </w:rPr>
        <w:t xml:space="preserve">要求：</w:t>
      </w:r>
      <w:r>
        <w:rPr>
          <w:rFonts w:hint="eastAsia" w:ascii="宋体" w:hAnsi="Times New Roman" w:eastAsia="宋体" w:cs="Times New Roman"/>
          <w:b/>
          <w:bCs/>
          <w:color w:val="000000"/>
          <w:highlight w:val="none"/>
        </w:rPr>
      </w:r>
      <w:r/>
    </w:p>
    <w:p>
      <w:pPr>
        <w:pStyle w:val="1086"/>
        <w:numPr>
          <w:ilvl w:val="0"/>
          <w:numId w:val="0"/>
        </w:numPr>
        <w:ind w:firstLine="422"/>
        <w:spacing w:line="360" w:lineRule="auto"/>
        <w:rPr>
          <w:rFonts w:hint="eastAsia" w:ascii="宋体" w:hAnsi="宋体" w:eastAsia="宋体" w:cs="宋体"/>
          <w:b/>
          <w:bCs/>
          <w:color w:val="000000"/>
          <w:sz w:val="21"/>
          <w:szCs w:val="21"/>
          <w:highlight w:val="none"/>
          <w:lang w:val="zh-CN" w:eastAsia="zh-CN" w:bidi="ar"/>
        </w:rPr>
      </w:pPr>
      <w:r>
        <w:rPr>
          <w:rFonts w:hint="eastAsia" w:ascii="宋体" w:hAnsi="宋体" w:eastAsia="宋体" w:cs="宋体"/>
          <w:b/>
          <w:bCs/>
          <w:color w:val="000000"/>
          <w:sz w:val="21"/>
          <w:szCs w:val="21"/>
          <w:highlight w:val="none"/>
          <w:lang w:val="zh-CN" w:eastAsia="zh-CN" w:bidi="ar"/>
        </w:rPr>
        <w:t xml:space="preserve">（</w:t>
      </w:r>
      <w:r>
        <w:rPr>
          <w:rFonts w:hint="eastAsia" w:ascii="宋体" w:hAnsi="宋体" w:eastAsia="宋体" w:cs="宋体"/>
          <w:b/>
          <w:bCs/>
          <w:color w:val="000000"/>
          <w:sz w:val="21"/>
          <w:szCs w:val="21"/>
          <w:highlight w:val="none"/>
          <w:lang w:val="en-US" w:eastAsia="zh-CN" w:bidi="ar"/>
        </w:rPr>
        <w:t xml:space="preserve">一</w:t>
      </w:r>
      <w:r>
        <w:rPr>
          <w:rFonts w:hint="eastAsia" w:ascii="宋体" w:hAnsi="宋体" w:eastAsia="宋体" w:cs="宋体"/>
          <w:b/>
          <w:bCs/>
          <w:color w:val="000000"/>
          <w:sz w:val="21"/>
          <w:szCs w:val="21"/>
          <w:highlight w:val="none"/>
          <w:lang w:val="zh-CN" w:eastAsia="zh-CN" w:bidi="ar"/>
        </w:rPr>
        <w:t xml:space="preserve">）第一标段：运西消防站配套设施项目-接警系统采购（一标段）</w:t>
      </w:r>
      <w:r>
        <w:rPr>
          <w:rFonts w:hint="eastAsia" w:ascii="宋体" w:hAnsi="宋体" w:eastAsia="宋体" w:cs="宋体"/>
          <w:b/>
          <w:bCs/>
          <w:color w:val="000000"/>
          <w:sz w:val="21"/>
          <w:szCs w:val="21"/>
          <w:highlight w:val="none"/>
          <w:lang w:val="zh-CN" w:eastAsia="zh-CN" w:bidi="ar"/>
        </w:rPr>
      </w:r>
      <w:r/>
    </w:p>
    <w:tbl>
      <w:tblPr>
        <w:tblW w:w="9205" w:type="dxa"/>
        <w:tblInd w:w="-113" w:type="dxa"/>
        <w:tblLayout w:type="fixed"/>
        <w:tblCellMar>
          <w:left w:w="108" w:type="dxa"/>
          <w:top w:w="0" w:type="dxa"/>
          <w:right w:w="108" w:type="dxa"/>
          <w:bottom w:w="0" w:type="dxa"/>
        </w:tblCellMar>
        <w:tblLook w:val="04A0" w:firstRow="1" w:lastRow="0" w:firstColumn="1" w:lastColumn="0" w:noHBand="0" w:noVBand="1"/>
      </w:tblPr>
      <w:tblGrid>
        <w:gridCol w:w="668"/>
        <w:gridCol w:w="1347"/>
        <w:gridCol w:w="665"/>
        <w:gridCol w:w="735"/>
        <w:gridCol w:w="5790"/>
      </w:tblGrid>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bookmarkStart w:id="61" w:name="_Toc224471068"/>
            <w:r/>
            <w:bookmarkStart w:id="62" w:name="_Toc224470008"/>
            <w:r/>
            <w:bookmarkStart w:id="63" w:name="_Toc224470237"/>
            <w:r/>
            <w:bookmarkStart w:id="64" w:name="_Toc224471927"/>
            <w:r/>
            <w:bookmarkStart w:id="65" w:name="OLE_LINK6"/>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标的物名称</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技术要求</w:t>
            </w:r>
            <w:r>
              <w:rPr>
                <w:rFonts w:hint="eastAsia" w:ascii="宋体" w:hAnsi="宋体" w:cs="宋体"/>
                <w:color w:val="000000"/>
                <w:sz w:val="21"/>
                <w:szCs w:val="21"/>
                <w:highlight w:val="none"/>
                <w:lang w:val="en-US" w:eastAsia="zh-CN"/>
              </w:rPr>
              <w:t xml:space="preserve">（涉及尺寸的偏差在±5%以内）</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高清视频会议终端</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ascii="宋体" w:hAnsi="宋体" w:cs="宋体"/>
                <w:color w:val="000000"/>
                <w:sz w:val="21"/>
                <w:szCs w:val="21"/>
                <w:highlight w:val="none"/>
              </w:rPr>
              <w:t xml:space="preserve">4K硬件会议终端，分体式设计，可外接摄像头、麦克风、扬声器等外设。</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2.设备运行的操作系统需支持Android 10及以上</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3.会议终端支持PoE+供电方式（提供设备前后面板接口截图，提供供电方式说明）</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ascii="宋体" w:hAnsi="宋体" w:cs="宋体"/>
                <w:color w:val="000000"/>
                <w:sz w:val="21"/>
                <w:szCs w:val="21"/>
                <w:highlight w:val="none"/>
                <w:lang w:val="en-US" w:eastAsia="zh-CN"/>
              </w:rPr>
              <w:t xml:space="preserve">会议终端采用无电源开关设计，接上电源设备开机启动，断开电源设备则关机（提供设备前后面板接口截图，提供无开关说明）</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w:t>
            </w:r>
            <w:r>
              <w:rPr>
                <w:rFonts w:ascii="宋体" w:hAnsi="宋体" w:cs="宋体"/>
                <w:color w:val="000000"/>
                <w:sz w:val="21"/>
                <w:szCs w:val="21"/>
                <w:highlight w:val="none"/>
                <w:lang w:val="en-US" w:eastAsia="zh-CN"/>
              </w:rPr>
              <w:t xml:space="preserve">会议终端具有磁吸设计，可以吸附在可被磁吸的金属物质上，如会议大屏的后背板、电视机支架上等，既节省安装空间，又方便拆卸</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w:t>
            </w:r>
            <w:r>
              <w:rPr>
                <w:rFonts w:ascii="宋体" w:hAnsi="宋体" w:cs="宋体"/>
                <w:color w:val="000000"/>
                <w:sz w:val="21"/>
                <w:szCs w:val="21"/>
                <w:highlight w:val="none"/>
                <w:lang w:val="en-US" w:eastAsia="zh-CN"/>
              </w:rPr>
              <w:t xml:space="preserve">会议终端需采用环保设计，使用不少于80%的再生塑料，使用不少于20%回收金属（</w:t>
            </w:r>
            <w:r>
              <w:rPr>
                <w:rFonts w:hint="eastAsia" w:ascii="宋体" w:hAnsi="宋体" w:cs="宋体"/>
                <w:color w:val="000000"/>
                <w:sz w:val="21"/>
                <w:szCs w:val="21"/>
                <w:highlight w:val="none"/>
                <w:lang w:val="en-US" w:eastAsia="zh-CN"/>
              </w:rPr>
              <w:t xml:space="preserve">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ascii="宋体" w:hAnsi="宋体" w:cs="宋体"/>
                <w:color w:val="000000"/>
                <w:sz w:val="21"/>
                <w:szCs w:val="21"/>
                <w:highlight w:val="none"/>
                <w:lang w:val="en-US" w:eastAsia="zh-CN"/>
              </w:rPr>
              <w:t xml:space="preserve">）</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ascii="宋体" w:hAnsi="宋体" w:cs="宋体"/>
                <w:color w:val="000000"/>
                <w:sz w:val="21"/>
                <w:szCs w:val="21"/>
                <w:highlight w:val="none"/>
                <w:lang w:val="en-US" w:eastAsia="zh-CN"/>
              </w:rPr>
              <w:t xml:space="preserve">支持ITU H.323和IETF SIP协议</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8.</w:t>
            </w:r>
            <w:r>
              <w:rPr>
                <w:rFonts w:ascii="宋体" w:hAnsi="宋体" w:cs="宋体"/>
                <w:color w:val="000000"/>
                <w:sz w:val="21"/>
                <w:szCs w:val="21"/>
                <w:highlight w:val="none"/>
                <w:lang w:val="en-US" w:eastAsia="zh-CN"/>
              </w:rPr>
              <w:t xml:space="preserve">支持H.264 AVC，H.264 High Profile，H.265协议</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9.</w:t>
            </w:r>
            <w:r>
              <w:rPr>
                <w:rFonts w:ascii="宋体" w:hAnsi="宋体" w:cs="宋体"/>
                <w:color w:val="000000"/>
                <w:sz w:val="21"/>
                <w:szCs w:val="21"/>
                <w:highlight w:val="none"/>
                <w:lang w:val="en-US" w:eastAsia="zh-CN"/>
              </w:rPr>
              <w:t xml:space="preserve">终端具备对称4K30fps编解码能力，并向下兼容1080P、720P等各种图像格式</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ascii="宋体" w:hAnsi="宋体" w:cs="宋体"/>
                <w:color w:val="000000"/>
                <w:sz w:val="21"/>
                <w:szCs w:val="21"/>
                <w:highlight w:val="none"/>
                <w:lang w:val="en-US" w:eastAsia="zh-CN"/>
              </w:rPr>
              <w:t xml:space="preserve">支持在512Kbps呼叫速率下实现720p30帧/秒高清的效果，在1M带宽下实现以及1080p30帧/秒的高清效果。在2Mbps呼叫速率下实现4K30帧/秒的高清效果</w:t>
            </w:r>
            <w:r>
              <w:rPr>
                <w:rFonts w:hint="eastAsia" w:ascii="宋体" w:hAnsi="宋体" w:cs="宋体"/>
                <w:color w:val="000000"/>
                <w:sz w:val="21"/>
                <w:szCs w:val="21"/>
                <w:highlight w:val="none"/>
                <w:lang w:val="en-US" w:eastAsia="zh-CN"/>
              </w:rPr>
              <w:t xml:space="preserve">。</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w:t>
            </w:r>
            <w:r>
              <w:rPr>
                <w:rFonts w:ascii="宋体" w:hAnsi="宋体" w:cs="宋体"/>
                <w:color w:val="000000"/>
                <w:sz w:val="21"/>
                <w:szCs w:val="21"/>
                <w:highlight w:val="none"/>
                <w:lang w:val="en-US" w:eastAsia="zh-CN"/>
              </w:rPr>
              <w:t xml:space="preserve">通过主流视频会议平台官方认证，包括但不限于微软 Teams Rooms、Zoom Rooms、腾讯会议 Rooms（提供上述平台的官网认证链接及截图）</w:t>
            </w:r>
            <w:r>
              <w:rPr>
                <w:rFonts w:ascii="宋体" w:hAnsi="宋体" w:cs="宋体"/>
                <w:color w:val="000000"/>
                <w:sz w:val="21"/>
                <w:szCs w:val="21"/>
                <w:highlight w:val="none"/>
                <w:lang w:val="en-US" w:eastAsia="zh-CN"/>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12.</w:t>
            </w:r>
            <w:r>
              <w:rPr>
                <w:rFonts w:ascii="宋体" w:hAnsi="宋体" w:cs="宋体"/>
                <w:color w:val="000000"/>
                <w:sz w:val="21"/>
                <w:szCs w:val="21"/>
                <w:highlight w:val="none"/>
                <w:lang w:val="en-US" w:eastAsia="zh-CN"/>
              </w:rPr>
              <w:t xml:space="preserve">支持在不增加额外硬件设备的情况下，通过HDMI线缆连接</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13.</w:t>
            </w:r>
            <w:r>
              <w:rPr>
                <w:rFonts w:ascii="宋体" w:hAnsi="宋体" w:cs="宋体"/>
                <w:color w:val="000000"/>
                <w:sz w:val="21"/>
                <w:szCs w:val="21"/>
                <w:highlight w:val="none"/>
                <w:lang w:val="en-US" w:eastAsia="zh-CN"/>
              </w:rPr>
              <w:t xml:space="preserve">支持在不增加额外硬件设备的情况下，通过USB-C线缆连接PC和会议一体机，实现有线方式共享PC桌面（提供此功能的连线拓扑和说明）</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14.</w:t>
            </w:r>
            <w:r>
              <w:rPr>
                <w:rFonts w:ascii="宋体" w:hAnsi="宋体" w:cs="宋体"/>
                <w:color w:val="000000"/>
                <w:sz w:val="21"/>
                <w:szCs w:val="21"/>
                <w:highlight w:val="none"/>
                <w:lang w:val="en-US" w:eastAsia="zh-CN"/>
              </w:rPr>
              <w:t xml:space="preserve">具备无线投屏功能，在不增加额外硬件设备的情况下，通过App、Airplay、Miracast等实现PC、平板、手机等设备的快速连接及内容共享（提供此功能的设置截图）</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15.</w:t>
            </w:r>
            <w:r>
              <w:rPr>
                <w:rFonts w:ascii="宋体" w:hAnsi="宋体" w:cs="宋体"/>
                <w:color w:val="000000"/>
                <w:sz w:val="21"/>
                <w:szCs w:val="21"/>
                <w:highlight w:val="none"/>
                <w:lang w:val="en-US" w:eastAsia="zh-CN"/>
              </w:rPr>
              <w:t xml:space="preserve">支持电子白板功能，可对共享的内容进行实时批注、传输及交互，支持魔笔功能，可动态标注，自动擦除消隐</w:t>
            </w:r>
            <w:r>
              <w:rPr>
                <w:rFonts w:hint="eastAsia" w:ascii="宋体" w:hAnsi="宋体" w:cs="宋体"/>
                <w:color w:val="000000"/>
                <w:sz w:val="21"/>
                <w:szCs w:val="21"/>
                <w:highlight w:val="none"/>
                <w:lang w:val="en-US" w:eastAsia="zh-CN"/>
              </w:rPr>
              <w:t xml:space="preserve">。</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16.</w:t>
            </w:r>
            <w:r>
              <w:rPr>
                <w:rFonts w:ascii="宋体" w:hAnsi="宋体" w:cs="宋体"/>
                <w:color w:val="000000"/>
                <w:sz w:val="21"/>
                <w:szCs w:val="21"/>
                <w:highlight w:val="none"/>
                <w:lang w:val="en-US" w:eastAsia="zh-CN"/>
              </w:rPr>
              <w:t xml:space="preserve">支持USB外设模式，在不增加额外硬件设备的情况下，设备就可以当作PC的音视频外设，让PC上的会议软件通过一个USB-C接口就可以使用会议主机的摄像头、麦克风、扬声器，并同时将PC桌面显示在会议室显示设备上（提供此功能的连线拓扑和说明）</w:t>
            </w:r>
            <w:r>
              <w:rPr>
                <w:rFonts w:hint="eastAsia" w:ascii="宋体" w:hAnsi="宋体" w:cs="宋体"/>
                <w:color w:val="000000"/>
                <w:sz w:val="21"/>
                <w:szCs w:val="21"/>
                <w:highlight w:val="none"/>
                <w:lang w:val="en-US" w:eastAsia="zh-CN"/>
              </w:rPr>
              <w:t xml:space="preserve">。</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17.支持丰富的跟踪能力，如群组取景、发言人取景、多人特写取景、演讲者追踪等跟踪模式</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18.支持设定智能跟踪的取景边界（提供此功能的设置截图）</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19.支持外接不少于3路IP摄像机（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20.支持外接不少于3路USB摄像头（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21.支持外接第三方USB摄像头（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22.支持通过USB采集卡外接第三方非USB摄像头或者视频矩阵的输出</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23.支持两个HDMI输出，支持双屏双显</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24.支持将USB-A接口转换成HDMI输出，在Zoom Rooms模式下支持三屏三显</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25.支持G.711、G.722、G.722.1、G.722.1C、G.719等音频标准和协议，支持最高22kHz（频响范围）的音频标准（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26.支持外接不少于8个原厂全向麦克风，单个全向麦克风的拾音半径不小于4.3米</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27.支持外接不少于3个原厂吊顶麦克风（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28.支持自动屏蔽各种非人声噪音，如：敲键盘、倒水、走动、翻阅资料、吃零食等噪音</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29.支持设定一定边界范围内的人声可传到会议中，保证在嘈杂或开放式区域开会时的音频质量及效果（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30.支持对会议室的声音质量进行实时评分，让管理员直观了解会议室声场情况，以及降噪功能开启/关闭对声音质量的影响（提供此功能的设置截图）</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31.支持与不少于4台IP会议电话集成，利用IP会议话机的音频能力，提供更大范围的拾音及扩声效果（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32.支持通过USB接口与第3方DSP数字音频系统集成，如：Shure、QSC、Biamp等DSP数字音频系统（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需给出兼容型号清单）</w:t>
            </w:r>
            <w:r>
              <w:rPr>
                <w:rFonts w:ascii="宋体" w:hAnsi="宋体" w:cs="宋体"/>
                <w:color w:val="000000"/>
                <w:sz w:val="21"/>
                <w:szCs w:val="21"/>
                <w:highlight w:val="none"/>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33.支持通过3.5mm输入/输出音频接口与模拟音频系统集成</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34.支持通过网络配对原厂触摸屏，实现对会议终端的操控，且单台会议终端可配对的原厂触摸屏数量最多可支持5台，满足大会议室多人控制的需求（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35.支持通过USB线缆，让第三方触控电视/会议大屏/USB鼠标对设备的显示界面进行触控操作</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36.支持对接第三方数字标牌，需内置AppSpace、Raydiant数字标牌功能（提供此功能的设置截图）</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37.支持Bluetooth 5.1和WiFi 6.0（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38.支持标准防盗锁孔（提供设备前后面板接口截图，提供防盗锁孔位置）</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39.支持通过红外遥控器和蓝牙遥控器对会议主机进行操控</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40.支持通过Web页面对设备进行远程控制和管理</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41.支持通过云管理平台对设备进行统一管理（提供云管理平台的会议终端管理截图）</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42.支持通过本地化部署的管理平台对设备进行统一管理</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43.支持会议过程中的人数统计</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44.支持H.235，可实现256位AES媒体加密</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45.支持EAP/802.1X，提供网络接入安全</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46.支持固定TCP/UDP端口、H.460、NAT等防火墙穿越安全设置</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47.支持Web代理接入互联网，并支持用户名和密码验证</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48.支持Simple Certificate Enrollment Protocol (SCEP)协议（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49.支持账户锁定、登录凭据、管理员/房间密码等本地账户安全设置</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50.支持设置定期重启（提供此功能的设置截图）</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高清显示设备</w:t>
            </w:r>
            <w:r>
              <w:rPr>
                <w:rFonts w:hint="eastAsia"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75英寸 MiniLED 高刷</w:t>
            </w:r>
            <w:r>
              <w:rPr>
                <w:rFonts w:hint="eastAsia"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视频会议移动支架</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配套支架，双托盘，含摄像头固定底座</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指挥调度无线话筒</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个</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技术参数</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1.频率范围：支持470-510MHz、540-590MHz、640-690MHz、807-830MHz。</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2.调制方式：宽带FM。</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3.频道数目：100-200个/每个频率段。</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4.频道间隔：25KHz的倍数。</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5.频率稳定度：±0.005%以内。</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6.动态范围：100dB。</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7.最大频偏：±45KHz。</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8.频率响应：80Hz-18KHz（±3dB）。</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9.综合信噪比：105dB。</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10.综合失真：≤0.5%。</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11.工作距离：约100m，直线无障碍。</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21.工作温度：-10℃～+60℃。</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接收机指标</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1.接收机方式：二次变频超外差。</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2.中频频率：110MHz、10.7MHz。</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3.无线接口：BNC/50Ω。</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4.灵敏度：12dBμV（80dB S/N）。</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5.灵敏度调节范围：12-32dBμV。</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6.离散抑制：≥75dB。</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7.最大输出电平：+10dBV。</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8.供电方式：DC12V-1A输入。</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9.重量：约1.95kg，不含天线。</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10.尺寸：宽422mm×深180mm×高44.5mm。</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发射机指标</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1.发射机音头：动圈式麦克风，双手持话筒。</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2.天线：手持麦克风内置螺旋天线，佩挂发射机采用1/4波长鞭状天线。</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3.输出功率：高功率30mW，低功率3mW。</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4.离散抑制：-60dB。</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5.供电：2节5号1.5V碱性电池。</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6.电池寿命：30mW时约6小时，取决于电池容量。</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7.功能特点：采用真分集接收方式，有效避免断频现象并延长接收距离。</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8.音质特点：中频丰富，声音具有磁性和混厚感。</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9.重量：约0.34kg（手持），不含电池。</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10.尺寸：长268mm×直径35mm。</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11.配套：1台接收主机和2个无线手持话筒。</w:t>
            </w:r>
            <w:r>
              <w:rPr>
                <w:rFonts w:hint="eastAsia" w:ascii="宋体" w:hAnsi="宋体" w:cs="宋体"/>
                <w:color w:val="000000"/>
                <w:sz w:val="21"/>
                <w:szCs w:val="21"/>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室外防水音柱</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个</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1.大功率室外防水音柱，全金属结构，六级防水。</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2.外壳采用冷轧板材料，表面喷粉工艺，抗氧化；</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3.网罩采用铝质，表面喷粉，增加强度，再加一层防水布，防水防尘。</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4.采用3只6.5寸全频喇叭单元和1只3寸高音，低频饱满、高音清晰、人声突出、承载功率较大、穿透力强。</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5.内置高性能100V音频变压器，能够减少电路中因阻抗产生的损耗，多功率选择，灵活接线方式。</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6.标配支架，安装方便。</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7.适用场景：户外广场、学校、公园等户外场所。</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8.额定功率（100V）：90W。</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9.额定功率（70V）：45W。</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10.灵敏度：93dB。</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11.阻抗：黑COM，白110Ω。</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12.频率响应：110Hz-15kHz。</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13.防护等级：IP66。</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14.尺寸：240×190×746mm。</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15.喇叭单元：6.5"×3+3"×1。</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16.重量：8.4kg。</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网络高清星光级球机</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1.需接入部局综合管理平台</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2.支持最大1920×1080@60fps高清画面输出</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3.支持H.265高效压缩算法，可较大节省存储空间</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星光级超低照度，0.002Lux/F1.5(彩色),0.0002Lux/F1.5(黑白) ,0 Lux with IR</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4.支持23倍光学变倍，16倍数字变倍。</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5.采用高效红外阵列，低功耗，照射距离达200m。</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6.支持1080p@60fps、960p@60fps、720p@60fps高帧率输出。</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7.支持三码流技术，每路码流可独立配置分辨率及帧率。</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8.支持区域入侵侦测、越界侦测、移动侦测等智能侦测功能。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9.支持手动跟踪、全景跟踪、事件跟踪，并支持多场景巡航跟踪。</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10.支持车牌捕获及检索、多场景巡航检测、云存储服务功能。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11支持断网续传功能，保证录像不丢失，配合NVR实现事件录像的二次智能检索、分析和浓缩播放。</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12.支持3D数字降噪、透雾、强光抑制、电子防抖、智能红外等功能。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13.支持360°水平旋转，垂直方向-20°～90°。</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14.支持300个预置位，8条巡航扫描。</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15.支持3D定位，可通过鼠标框选目标实现快速定位与捕捉。</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16.支持定时抓图与事件抓图功能。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17.支持定时任务、一键守望、一键巡航功能。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18.支持雨刷功能。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19.内置光模块，支持FC光纤接口与以太网电口输出。</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20.支持1路音频输入和1路音频输出。</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21.内置7路报警输入和2路报警输出，支持报警联动功能。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22.支持最大128G的MicroSD/SDHC/SDXC卡存储。</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23.支持SDK、ONVIF、CGI、PSIA、GB/T28181等协议接入。</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立杆（含基础）</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3.5米，镀锌喷塑，含基础</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指挥调度专网交换机</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1、交换容量≥336Gbps/3.36Tbps，包转发率≥51Mpps/126Mpps；</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2、固化10/100/1000M以太网端口≥24，固化1G SFP光接口≥4个；</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3、MAC地址≥16K；</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4、支持静态路由、可扩展支持RIP、RIPng、OSPF、OSPFv3协议；</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5、采用静音无风扇节能设计；</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6、支持IPV4/IPV6静态路由。</w:t>
            </w:r>
            <w:r>
              <w:rPr>
                <w:rFonts w:hint="eastAsia"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机柜</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个</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标准服务器机柜，尺寸 600mm×600mm×2055mm（宽 × 深 × 高）（±10mm）</w:t>
            </w:r>
            <w:r>
              <w:rPr>
                <w:rFonts w:hint="eastAsia"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对讲专业功放</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1.标准机柜式设计（1U），精巧的SMT工艺设计。</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2.1路EMC输入，2路AUX输入，4路MIC输入。</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3.通道优先功能EMC&gt;MIC1&gt;MIC2, MIC3, AUX1, AUX2。 </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4.各路输入具有独立音量调节，且总音量具有高音、低音调节及音量大小控制。</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5.机器设有电平指示，过载及保护指示灯。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6.设备具有良好的短路、过载、过热等自我保护。</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7.2种输出方式：定压输出100V、4-16Ω 。</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8.高效节能开关电源与D类数字功率放大器的高能节能和超稳定设计完美结合。</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9.宽电压供电：180V-240V 能正常工作。</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10.输出端子：4-16Ω, 100V</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11.输出功率：350W</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12.输入灵敏度&amp;阻抗：MIC1、2、3、4输入:5mV/600Ω 非平衡</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13.3连接端子；AUX1、2 输入:350mV/10KΩ 非平衡RCA连接端子；EMC输入:775mV/10KΩ 非平衡6.3连接端子</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14.输出灵敏度&amp;源阻抗：MIX OUT:1000mV/470Ω 非平衡RCA连接端子</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15.音调：低音:±10dB at 100Hz；高音:±10dB at 10KHz</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16.频率响应：80Hz～16KHz(+1dB,-3dB)</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17.信噪比：MIC1、2、3:66dB；AUX1、2:80dB</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18.失真：小于 0.5%(在1KHz，1/3 额定功率)</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19.默音功能：MIC 1 优先于 MIC2-4,AUX1-2音频输入,EMC优先于所有音频输入</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20.通道串音衰减：≥50dB</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21.散热：侧入后出强制风扇冷却，开机启动风扇，无极变速处理</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22.保护：过热保护、过流保护、短路保护</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23.电源：～220-240V /50Hz </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24.电源功耗：500W</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25.尺寸：484×300×44mm</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26.重量：3.9Kg</w:t>
            </w:r>
            <w:r>
              <w:rPr>
                <w:rFonts w:hint="eastAsia"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350兆数字集群基地台</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1：▲通过国家无线电管理局无线电发射设备型号核准并获得型号核准证，提供有效期内的型号核准证复印件。</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2：▲不低于IP54的国标外壳防护等级，投标文件中须提供有效期内的检测报告扫描件，并加盖投标人电子公章；检测项目须覆盖本条款全部指标且结果合格，报告在有效期内。</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3：频率范围：350-400MHz；</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4：信道容量：≥1024</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5：区域容量：≥64（每区域支持不少于32组）</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6：接收音频额定功率：≥3W，接收音频最大功率：≥6W</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7：工作电压：直流13.6V± 15%</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8：整机重量：≤1300g</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9：外形尺寸：≤49*178*156mm</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10：标配独立点火线功能：在汽车点火时，车载台自动开机，熄火时，自动关闭</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11：工作温度范围：包括 -30°~+60°</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12：存储温度范围：包括 -40°~+85°</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13：数字声码器：AMBE++/NVOC双模声码器，两种模式可在终端本地菜单中切换</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14：▲工作模式：支持数模常规包含模拟常规、数字常规（DMR数字常规、PDT数字常规）、PDT数字集群、模拟集群、增强型常规六种工作模式，可在不重启的条件下自由切换，切换完成后可正常工作，投标文件中须提供有效期内的检测报告扫描件，并加盖投标人电子公章；检测项目须覆盖本条款全部指标且结果合格，报告在有效期内。</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15：手咪：全键盘手咪，具备独立PTT按键、独立紧急报警按键且可编程按键数量不少于4个</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16：通过菜单可设置手持台的日期和时间，在常规直通状态下可显示实时时间</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17：▲中文短信功能：支持分组数据组呼，可按组发送长短消息，最大支持512个汉字字符。</w:t>
            </w:r>
            <w:r>
              <w:rPr>
                <w:rFonts w:hint="eastAsia" w:ascii="宋体" w:hAnsi="宋体" w:cs="宋体"/>
                <w:color w:val="000000"/>
                <w:sz w:val="21"/>
                <w:szCs w:val="21"/>
                <w:highlight w:val="none"/>
                <w:lang w:val="en-US" w:eastAsia="zh-CN"/>
              </w:rPr>
              <w:t xml:space="preserve">投标文件中须提供有效期内的检测报告扫描件，并加盖投标人电子公章；检测项目须覆盖本条款全部指标且结果合格，报告在有效期内。</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18：旋钮：支持单旋钮，可切换音量调节和选组调节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19：显示屏尺寸：≥2.0寸真彩屏，分辨率不低于220*176，不少于4行文本显示</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20：支持发送讲话方别名，在呼叫建立时，发射方能将本机的ID和别名同步发送出去，接收方可显示或自动保存、更新通讯录别名</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18M桅式天线塔</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numPr>
                <w:ilvl w:val="0"/>
                <w:numId w:val="2"/>
              </w:num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18米带避雷装置</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2.铜芯管，三节拼接，每节6米，采用焊接方式成一整体，管内可走线，顶端含避雷装置，螺丝固定后，再用混泥土浇筑，保证使用的安全性，另需用钢丝分三个角度拉伸固定，保证天线杆的稳定性</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3.铜芯管，直径20cm</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4.为保证信号的远距离传输，需安装在办公楼三楼平台，并加以必要的安全防护</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全向天线</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350MHz频段室外全向天线，含配套安装支架</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14</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集群稳压电源</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定制，400W/12V 输出，输入电压 176-264VAC，适配数字集群基地台供电</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15</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馈线馈管接头</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施工配套，与基地台和全向天线接口配套，定制</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16</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低耗损通讯电缆（含尾线连接器，同轴连接器</w:t>
            </w:r>
            <w:r>
              <w:rPr>
                <w:rFonts w:hint="eastAsia"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付</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1.0-12同轴射频通讯电缆</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2.200米（含腔体合路器D≤346mm,W≤440mm,H≤308mm  3.361-366MHz频段 5M带宽 插损≤3.0dB 4CH 端口隔离≥75dB 反向隔离≥65dB 载波功率≥100W -30~+75℃，含避雷器含1只。</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17</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三级防雷设备</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1.模块型防雷及SPD保护</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2.频率范围：0～2.5GHz</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3.标称阻抗：50Ω</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4.接头型号：N（F-F）、N（F-M）</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5.驻波系数：≤1.2</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6.峰值功率:200W</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7.通流容量：50KA　　                     </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8.插入损耗：≤0.1dB</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18</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通讯班接地网络</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定制</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19</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UPS主机</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在线式UPS主机，额定容量10KVA/10KW；</w:t>
            </w:r>
            <w:r>
              <w:rPr>
                <w:rFonts w:hint="eastAsia" w:ascii="宋体" w:hAnsi="宋体" w:cs="宋体"/>
                <w:color w:val="000000"/>
                <w:sz w:val="21"/>
                <w:szCs w:val="21"/>
                <w:highlight w:val="none"/>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220V输入/220V输出；</w:t>
            </w:r>
            <w:r>
              <w:rPr>
                <w:rFonts w:hint="eastAsia"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输入功率因数≥0.99</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20</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蓄电池</w:t>
            </w:r>
            <w:r>
              <w:rPr>
                <w:rFonts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16</w:t>
            </w:r>
            <w:r>
              <w:rPr>
                <w:rFonts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节</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蓄电池，规格12V/100Ah</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1008"/>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电池柜</w:t>
            </w:r>
            <w:r>
              <w:rPr>
                <w:rFonts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可放置16节蓄电池，含直流开关；尺寸约470mm×780mm×1190mm（宽×深×高）（±10mm）</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22</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蓄电池内部连接线</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定制BVR-10mm²连接线，含跨层线及UPS主机至电池柜连接线缆</w:t>
            </w:r>
            <w:r>
              <w:rPr>
                <w:rFonts w:hint="eastAsia" w:ascii="宋体" w:hAnsi="宋体" w:eastAsia="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23</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配电箱</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含UPS输出总开63A/2P,输出回路16A/2P带漏保；标配防雷器，零地排，内部跳线；壁挂式箱体；</w:t>
            </w:r>
            <w:r>
              <w:rPr>
                <w:rFonts w:hint="eastAsia" w:ascii="宋体" w:hAnsi="宋体" w:eastAsia="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24</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录音电话机</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门</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支持通话录音、来电显示功能</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消防动态值勤软件</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定制开发，</w:t>
            </w:r>
            <w:r>
              <w:rPr>
                <w:rFonts w:hint="eastAsia" w:ascii="宋体" w:hAnsi="宋体" w:cs="宋体"/>
                <w:color w:val="000000"/>
                <w:sz w:val="21"/>
                <w:szCs w:val="21"/>
                <w:highlight w:val="none"/>
                <w:lang w:val="en-US" w:eastAsia="zh-CN"/>
              </w:rPr>
              <w:t xml:space="preserve">消防兼容能连接同步接警平台接警信息，实时显示辖区火灾情况，救援情况，出动车辆情况，出发及返回时间</w:t>
            </w:r>
            <w:r>
              <w:rPr>
                <w:rFonts w:hint="eastAsia"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26</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119接警终端软件 </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定制开发，消防兼容实时接收火灾指令，同步语音播报，实时播放出动车辆的型号，车牌号码，出动人员，并配合消防联动控制器触发警铃警灯，同步自动开启车库门</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27</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接警电脑</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台式计算机，配置不低于：i5 处理器、16G 内存、2G 独显、512G 固态 + 1T 机械硬盘，配 23.5 英寸显示器</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28</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激光打印机</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黑白激光打印机</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29</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接处警联动控制设备（含一短三快）</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适用苏州市消防救援支队智能接处警系统联动需求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1)可通过部局统一开发的火警受理软件的控制接口进行控制和管理，无需二次开发；</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2)采用1U机架式设计，可安装于19英寸机架内；</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3)基于嵌入式硬件平台设计，内带实时较强的嵌入式Linux操作系统；</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前面板带有LED日夜切换按钮，可手动切换日、夜间模式，同时带有5色LED等级手控按钮，可根据警情级别手动控制一级至五级不同警情，显示清晰，超控简单；并配备桌面同步按钮，可根据需求放置操作台面方便操作；在系统异常时，支持手动控制切换操作等；</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6)后面板接口齐全，提供车库门控制、警铃控制、警灯控制等接口，带有1路五色警灯接口、1路倒计时屏接口，1路红外雷达控制开关接口；1路桌面同步控制接口；</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7)接线柱采用太空航空接口防止误插</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8)提供后置485控制端口，便于远距离控制设备；</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9)提供1个10M/100M RJ-45自适应以太网口，可远程访问及上传下载数据等；</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L0)提供1路USB软件端口，可根据需求对设备进行内部升级；</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11)提供开放的软件接口，便于与第三方软件无缝集成。</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12)硬件设计与终端软件同步性优，可手、自动控制，能与现有智能接警系统联动</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13）有色高亮LED灯组，颜色分别独立，显示更夺目直观,抗摔灯罩更耐久，根据警情级别独立爆闪，内置70W有源音箱，兼容音频输入，出车倒计时单色LED显示设备，尺寸640*320，带音频倒计时输出接口。联动设备收到受理台不同类别的驱动指令时，向倒计时展示终端发送倒计时指令，出动时间可自由设定。</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30</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警铃警灯</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定制，8寸内击式，220V供电，响度≥85分贝</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31</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硬盘录像机</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2U机架式8盘位嵌入式网络硬盘录像机，采用短机箱设计，搭载高性能ATX电源</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【硬件规格】</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1.存储接口：8个SATA接口，可满配8TB硬盘</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2.视频接口：2×HDMI，2×VGA</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3.网络接口：2×RJ45 10/100/1000Mbps自适应以太网口</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4.报警接口：16路报警输入，4路报警输出</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5.串行接口：1路RS-232接口，1路半双工RS-485接口</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6.USB接口：2×USB 2.0，1×USB 3.0</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【产品性能】</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1.输入带宽：256Mbps</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2.输出带宽：160Mbps</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3.接入能力：32路H.264、H.265格式高清码流接入</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4.解码能力：最大支持12×1080P</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5.显示能力：最大支持4K+1080P异源输出</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32</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监控硬盘</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4TB监控级硬盘</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33</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电源线</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600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1.符合额定电压450/750及以下聚氯乙烯绝缘电缆 软电缆要求。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2.导线采用99.99%无氧铜，高导电率，抗老化，低损耗，不易发热寿命长，电流负载力强。</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3.满足GB/T 5023 额定电压 300/500V 及以下聚氯乙烯软电线（软线）要求。                                                    4.符合中国国家标准要求；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5.获得中国国家第三方认证。</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34</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网线</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1.线缆导体采用99.95%以上高纯度无氧铜，采用高精度拉丝工艺生产，经专业检测仪器出厂测试，电气性能满足相关标准要求；</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2.线缆采用十字骨架结构，有效隔离线对，降低线对间信号干扰；</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3.产品须通过国家权威第三方检测机构认证，质量符合国家标准；</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铜芯材料采用优质无氧铜，满足线规23AWG；最小弯曲半径：8倍外径（安装时）4倍外径（安装后）；</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高于标准规定的250MHz传输带宽，70内应用时可达到6A性能500M带宽传输；</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6.绝缘材料：聚氯乙烯 H70，护套材料：优质 PVC；</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7.工作温度范围：-20℃～+75℃，具备防潮防水性能；</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8.符合中国国家标准要求；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9.符合TIA/EIA-CAT6类单体性能；</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10.获得中国国家第三方认证，符合ROHS要求。</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35</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音频线</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450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RVPE 2×0.5 音频线缆</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36</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广播线</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1.符合额定电压450/750及以下聚氯乙烯绝缘电缆 软电缆要求。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2.导线采用99.99%无氧铜，高导电率，抗老化，低损耗，不易发热寿命长，电流负载力强。</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3.满足GB/T 5023 额定电压 300/500V 及以下聚氯乙烯软电线（软线）要求。                                                    4.符合中国国家标准要求；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5.获得中国国家第三方认证。</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37</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单兵DV（含5块电池）</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配备HDMI输出接口，传感器类型：背照式Exmor R CMOS</w:t>
            </w:r>
            <w:r>
              <w:rPr>
                <w:rFonts w:hint="eastAsia" w:ascii="宋体" w:hAnsi="宋体" w:eastAsia="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传感器尺寸：1/2.5英寸</w:t>
            </w:r>
            <w:r>
              <w:rPr>
                <w:rFonts w:hint="eastAsia" w:ascii="宋体" w:hAnsi="宋体" w:eastAsia="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总像素：约857万像素</w:t>
            </w:r>
            <w:r>
              <w:rPr>
                <w:rFonts w:hint="eastAsia" w:ascii="宋体" w:hAnsi="宋体" w:eastAsia="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最大扩容容量：256GB</w:t>
            </w:r>
            <w:r>
              <w:rPr>
                <w:rFonts w:hint="eastAsia" w:ascii="宋体" w:hAnsi="宋体" w:eastAsia="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容量：64GB内存</w:t>
            </w:r>
            <w:r>
              <w:rPr>
                <w:rFonts w:hint="eastAsia" w:ascii="宋体" w:hAnsi="宋体" w:eastAsia="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内置变焦麦克风，单声道扬声器，平稳光学防抖，光圈：F2.0-3.8,数码变焦：250X*9</w:t>
            </w:r>
            <w:r>
              <w:rPr>
                <w:rFonts w:hint="eastAsia" w:ascii="宋体" w:hAnsi="宋体" w:eastAsia="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支持自动风噪减弱，双摄录制。</w:t>
            </w:r>
            <w:r>
              <w:rPr>
                <w:rFonts w:hint="eastAsia" w:ascii="宋体" w:hAnsi="宋体" w:eastAsia="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38</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语音自组网</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1、级联要求：级联4跳之后延时≤0.5s；须提供有效期内的检测报告扫描件，并加盖投标人电子公章；检测项目须覆盖本条款全部指标且结果合格，报告在有效期内。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 ★操作便捷、支持一键式开机、随地架设、预设频率；须提供有效期内的检测报告扫描件，并加盖投标人电子公章；检测项目须覆盖本条款全部指标且结果合格，报告在有效期内。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3、兼容性：支持标准PDT对讲机接入；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 ▲频率范围：350-400MHz；</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5、组网要求：支持2跳以上光纤级联（设备端口直连，非转接），支持无线联网，有线、无线混合组网；支持多个基站，无线无中心自动组网的工作状态下，基站能自动路由判选，分级转发互联。</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 ▲具备有PTT按键、麦克、喇叭、爆闪灯；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 ▲为方便部署，基站须有声音提示及信号强度显示；为方便回收，可远程控制声光提示；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8 ▲内置公网4G/5G模块；须提供有效期内的检测报告扫描件，并加盖投标人电子公章；检测项目须覆盖本条款全部指标且结果合格，报告在有效期内。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9 ▲发射功率：10W/25W/45W功率可调，支持远程可控；须提供有效期内的检测报告扫描件，并加盖投标人电子公章；检测项目须覆盖本条款全部指标且结果合格，报告在有效期内。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10▲ 防护等级：≥IP67(含电口、光口、供电等相关接口)；须提供有效期内的检测报告扫描件，并加盖投标人电子公章；检测项目须覆盖本条款全部指标且结果合格，报告在有效期内。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11、定位：支持北斗定位；水平定位精度≤10米；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12 ▲支持低电量告警提示，电池支持快捷更换，支持电池单独充电,电池自带智能电量显示；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13、接口：光纤防水接口（内置）、防水航空网口；</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14、重量：≤4.5kg；</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15、显示屏：≥2.0吋；</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16、工作时间：≥20小时；须提供有效期内的检测报告扫描件，并加盖投标人电子公章；检测项目须覆盖本条款全部指标且结果合格，报告在有效期内。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17 ★设备具有部署基站专用键。</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18 ▲部署基站的便利性：可通过声音或屏幕实时指示相邻自组网基站的信号强度。须提供有效期内的检测报告扫描件，并加盖投标人电子公章；检测项目须覆盖本条款全部指标且结果合格，报告在有效期内。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19、设备具备把手、背带扣，架设时可悬挂、吊装。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20、Type-C接口：1个，内置光纤接口：2个。</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21 ▲语音自组网基站产品具有显示讲话人方位、距离，并可透传的功能，须提供有效期内的检测报告扫描件，并加盖投标人电子公章；检测项目须覆盖本条款全部指标且结果合格，报告在有效期内。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22 ★设备支持面板PTT呼叫，须提供有效期内的检测报告扫描件，并加盖投标人电子公章；检测项目须覆盖本条款全部指标且结果合格，报告在有效期内。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23、配备三防箱，尺寸≥479*387*210(长*宽*高)，防护等级：≥IP67。</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24、天线：1根三节鞭状天线，增益不小于5.5dBi，长度不大于1.1M，专网使用</w:t>
            </w:r>
            <w:r>
              <w:rPr>
                <w:rFonts w:hint="eastAsia" w:ascii="宋体" w:hAnsi="宋体" w:eastAsia="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39</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辅材</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定制，含PVC管材等安装配套辅材</w:t>
            </w:r>
            <w:r>
              <w:rPr>
                <w:rFonts w:hint="eastAsia" w:ascii="宋体" w:hAnsi="宋体" w:eastAsia="宋体" w:cs="宋体"/>
                <w:color w:val="000000"/>
                <w:sz w:val="21"/>
                <w:szCs w:val="21"/>
                <w:highlight w:val="none"/>
                <w:lang w:val="en-US" w:eastAsia="zh-CN"/>
              </w:rPr>
            </w:r>
            <w:r/>
          </w:p>
        </w:tc>
      </w:tr>
    </w:tbl>
    <w:p>
      <w:pPr>
        <w:pStyle w:val="1086"/>
        <w:numPr>
          <w:ilvl w:val="0"/>
          <w:numId w:val="0"/>
        </w:numPr>
        <w:spacing w:line="360" w:lineRule="auto"/>
        <w:rPr>
          <w:rFonts w:hint="eastAsia" w:ascii="宋体" w:hAnsi="宋体" w:eastAsia="宋体" w:cs="宋体"/>
          <w:b/>
          <w:bCs/>
          <w:color w:val="000000"/>
          <w:sz w:val="21"/>
          <w:szCs w:val="21"/>
          <w:highlight w:val="none"/>
          <w:lang w:val="zh-CN" w:eastAsia="zh-CN" w:bidi="ar"/>
        </w:rPr>
      </w:pPr>
      <w:r>
        <w:rPr>
          <w:rFonts w:hint="eastAsia" w:ascii="宋体" w:hAnsi="宋体" w:eastAsia="宋体" w:cs="宋体"/>
          <w:b/>
          <w:bCs/>
          <w:color w:val="000000"/>
          <w:sz w:val="21"/>
          <w:szCs w:val="21"/>
          <w:highlight w:val="none"/>
          <w:lang w:val="zh-CN" w:eastAsia="zh-CN" w:bidi="ar"/>
        </w:rPr>
        <w:t xml:space="preserve">（</w:t>
      </w:r>
      <w:r>
        <w:rPr>
          <w:rFonts w:hint="eastAsia" w:ascii="宋体" w:hAnsi="宋体" w:eastAsia="宋体" w:cs="宋体"/>
          <w:b/>
          <w:bCs/>
          <w:color w:val="000000"/>
          <w:sz w:val="21"/>
          <w:szCs w:val="21"/>
          <w:highlight w:val="none"/>
          <w:lang w:val="en-US" w:eastAsia="zh-CN" w:bidi="ar"/>
        </w:rPr>
        <w:t xml:space="preserve">二</w:t>
      </w:r>
      <w:r>
        <w:rPr>
          <w:rFonts w:hint="eastAsia" w:ascii="宋体" w:hAnsi="宋体" w:eastAsia="宋体" w:cs="宋体"/>
          <w:b/>
          <w:bCs/>
          <w:color w:val="000000"/>
          <w:sz w:val="21"/>
          <w:szCs w:val="21"/>
          <w:highlight w:val="none"/>
          <w:lang w:val="zh-CN" w:eastAsia="zh-CN" w:bidi="ar"/>
        </w:rPr>
        <w:t xml:space="preserve">）第</w:t>
      </w:r>
      <w:r>
        <w:rPr>
          <w:rFonts w:hint="eastAsia" w:ascii="宋体" w:hAnsi="宋体" w:eastAsia="宋体" w:cs="宋体"/>
          <w:b/>
          <w:bCs/>
          <w:color w:val="000000"/>
          <w:sz w:val="21"/>
          <w:szCs w:val="21"/>
          <w:highlight w:val="none"/>
          <w:lang w:val="en-US" w:eastAsia="zh-CN" w:bidi="ar"/>
        </w:rPr>
        <w:t xml:space="preserve">二</w:t>
      </w:r>
      <w:r>
        <w:rPr>
          <w:rFonts w:hint="eastAsia" w:ascii="宋体" w:hAnsi="宋体" w:eastAsia="宋体" w:cs="宋体"/>
          <w:b/>
          <w:bCs/>
          <w:color w:val="000000"/>
          <w:sz w:val="21"/>
          <w:szCs w:val="21"/>
          <w:highlight w:val="none"/>
          <w:lang w:val="zh-CN" w:eastAsia="zh-CN" w:bidi="ar"/>
        </w:rPr>
        <w:t xml:space="preserve">标段：运西消防站配套设施项目-接警系统采购（二标段）</w:t>
      </w:r>
      <w:r>
        <w:rPr>
          <w:rFonts w:hint="eastAsia" w:ascii="宋体" w:hAnsi="宋体" w:eastAsia="宋体" w:cs="宋体"/>
          <w:b/>
          <w:bCs/>
          <w:color w:val="000000"/>
          <w:sz w:val="21"/>
          <w:szCs w:val="21"/>
          <w:highlight w:val="none"/>
          <w:lang w:val="zh-CN" w:eastAsia="zh-CN" w:bidi="ar"/>
        </w:rPr>
      </w:r>
      <w:r/>
    </w:p>
    <w:tbl>
      <w:tblPr>
        <w:tblW w:w="9205" w:type="dxa"/>
        <w:tblInd w:w="-113" w:type="dxa"/>
        <w:tblLayout w:type="fixed"/>
        <w:tblCellMar>
          <w:left w:w="108" w:type="dxa"/>
          <w:top w:w="0" w:type="dxa"/>
          <w:right w:w="108" w:type="dxa"/>
          <w:bottom w:w="0" w:type="dxa"/>
        </w:tblCellMar>
        <w:tblLook w:val="04A0" w:firstRow="1" w:lastRow="0" w:firstColumn="1" w:lastColumn="0" w:noHBand="0" w:noVBand="1"/>
      </w:tblPr>
      <w:tblGrid>
        <w:gridCol w:w="668"/>
        <w:gridCol w:w="1347"/>
        <w:gridCol w:w="665"/>
        <w:gridCol w:w="735"/>
        <w:gridCol w:w="5790"/>
      </w:tblGrid>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标的物名称</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技术要求</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智能119联动快速滑升式消防车库门（成套）</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樘</w:t>
            </w:r>
            <w:r>
              <w:rPr>
                <w:rFonts w:ascii="宋体" w:hAnsi="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1.门型：分节上滑升式消防专用车库门</w:t>
            </w:r>
            <w:r>
              <w:rPr>
                <w:rFonts w:hint="eastAsia" w:ascii="宋体" w:hAnsi="宋体" w:cs="宋体"/>
                <w:color w:val="000000"/>
                <w:sz w:val="21"/>
                <w:szCs w:val="21"/>
                <w:highlight w:val="none"/>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门洞设计尺寸：宽4m × 高4m（产品制作前投标人须自行复核现场实际尺寸，避免制作安装误差）</w:t>
            </w:r>
            <w:r>
              <w:rPr>
                <w:rFonts w:hint="eastAsia" w:ascii="宋体" w:hAnsi="宋体" w:cs="宋体"/>
                <w:color w:val="000000"/>
                <w:sz w:val="21"/>
                <w:szCs w:val="21"/>
                <w:highlight w:val="none"/>
              </w:rPr>
            </w:r>
            <w:r/>
          </w:p>
          <w:p>
            <w:pPr>
              <w:pStyle w:val="1008"/>
              <w:jc w:val="lef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3.门体结构：专用铝合金型材框架+透明PC板组合，采用多片分节式设计；配色采用消防红与火焰蓝组合，具体配色方案由采购人确定</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4.启闭性能：提升速度≥0.16m/s，门体全开/全关时间≤25s（对应门高4.5m工况）</w:t>
            </w:r>
            <w:r>
              <w:rPr>
                <w:rFonts w:hint="eastAsia" w:ascii="宋体" w:hAnsi="宋体" w:cs="宋体"/>
                <w:color w:val="000000"/>
                <w:sz w:val="21"/>
                <w:szCs w:val="21"/>
                <w:highlight w:val="none"/>
              </w:rPr>
            </w:r>
            <w:r/>
          </w:p>
          <w:p>
            <w:pPr>
              <w:pStyle w:val="1008"/>
              <w:jc w:val="lef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.配置快速消防门专用开门机，运行稳定可靠，适配消防场景高频快速启闭需求</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.控制模式：支持单门侧按钮控制、通讯室集中控制、119 接警系统联动控制、应急手动控制四种方式</w:t>
            </w:r>
            <w:r>
              <w:rPr>
                <w:rFonts w:hint="eastAsia" w:ascii="宋体" w:hAnsi="宋体" w:cs="宋体"/>
                <w:color w:val="000000"/>
                <w:sz w:val="21"/>
                <w:szCs w:val="21"/>
                <w:highlight w:val="none"/>
              </w:rPr>
            </w:r>
            <w:r/>
          </w:p>
          <w:p>
            <w:pPr>
              <w:pStyle w:val="1008"/>
              <w:jc w:val="lef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.联动功能：可与119接处警系统联动，接收到出警指令后自动开启车库门，满足快速出警要求</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.每樘门配置专用安全防撞开关，门体下降过程中检测到障碍物可自动停止并反向运行</w:t>
            </w:r>
            <w:r>
              <w:rPr>
                <w:rFonts w:hint="eastAsia" w:ascii="宋体" w:hAnsi="宋体" w:cs="宋体"/>
                <w:color w:val="000000"/>
                <w:sz w:val="21"/>
                <w:szCs w:val="21"/>
                <w:highlight w:val="none"/>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.配备应急手动开启装置，断电或系统故障时可手动操作门体</w:t>
            </w:r>
            <w:r>
              <w:rPr>
                <w:rFonts w:hint="eastAsia" w:ascii="宋体" w:hAnsi="宋体" w:cs="宋体"/>
                <w:color w:val="000000"/>
                <w:sz w:val="21"/>
                <w:szCs w:val="21"/>
                <w:highlight w:val="none"/>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四、安装及布线</w:t>
            </w:r>
            <w:r>
              <w:rPr>
                <w:rFonts w:hint="eastAsia" w:ascii="宋体" w:hAnsi="宋体" w:cs="宋体"/>
                <w:color w:val="000000"/>
                <w:sz w:val="21"/>
                <w:szCs w:val="21"/>
                <w:highlight w:val="none"/>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.配套高强度专用门轨、门轮、安装支架、弹性储力机构等全套安装配件</w:t>
            </w:r>
            <w:r>
              <w:rPr>
                <w:rFonts w:hint="eastAsia" w:ascii="宋体" w:hAnsi="宋体" w:cs="宋体"/>
                <w:color w:val="000000"/>
                <w:sz w:val="21"/>
                <w:szCs w:val="21"/>
                <w:highlight w:val="none"/>
              </w:rPr>
            </w:r>
            <w:r/>
          </w:p>
          <w:p>
            <w:pPr>
              <w:pStyle w:val="1008"/>
              <w:jc w:val="lef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rPr>
              <w:t xml:space="preserve">.配套电源及控制布线系统，采用金属专用线槽 + PC 管防护敷设，包含动力线缆、网络线缆，布线范围为各车库门至通信室</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bl>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eastAsia="zh-CN" w:bidi="ar"/>
        </w:rPr>
        <w:t xml:space="preserve">（</w:t>
      </w:r>
      <w:r>
        <w:rPr>
          <w:rFonts w:hint="eastAsia" w:ascii="宋体" w:hAnsi="宋体" w:eastAsia="宋体" w:cs="宋体"/>
          <w:b/>
          <w:bCs/>
          <w:color w:val="000000"/>
          <w:sz w:val="21"/>
          <w:szCs w:val="21"/>
          <w:highlight w:val="none"/>
          <w:lang w:val="en-US" w:eastAsia="zh-CN" w:bidi="ar"/>
        </w:rPr>
        <w:t xml:space="preserve">三</w:t>
      </w:r>
      <w:r>
        <w:rPr>
          <w:rFonts w:hint="eastAsia" w:ascii="宋体" w:hAnsi="宋体" w:eastAsia="宋体" w:cs="宋体"/>
          <w:b/>
          <w:bCs/>
          <w:color w:val="000000"/>
          <w:sz w:val="21"/>
          <w:szCs w:val="21"/>
          <w:highlight w:val="none"/>
          <w:lang w:val="zh-CN" w:eastAsia="zh-CN" w:bidi="ar"/>
        </w:rPr>
        <w:t xml:space="preserve">）第</w:t>
      </w:r>
      <w:r>
        <w:rPr>
          <w:rFonts w:hint="eastAsia" w:ascii="宋体" w:hAnsi="宋体" w:eastAsia="宋体" w:cs="宋体"/>
          <w:b/>
          <w:bCs/>
          <w:color w:val="000000"/>
          <w:sz w:val="21"/>
          <w:szCs w:val="21"/>
          <w:highlight w:val="none"/>
          <w:lang w:val="en-US" w:eastAsia="zh-CN" w:bidi="ar"/>
        </w:rPr>
        <w:t xml:space="preserve">三</w:t>
      </w:r>
      <w:r>
        <w:rPr>
          <w:rFonts w:hint="eastAsia" w:ascii="宋体" w:hAnsi="宋体" w:eastAsia="宋体" w:cs="宋体"/>
          <w:b/>
          <w:bCs/>
          <w:color w:val="000000"/>
          <w:sz w:val="21"/>
          <w:szCs w:val="21"/>
          <w:highlight w:val="none"/>
          <w:lang w:val="zh-CN" w:eastAsia="zh-CN" w:bidi="ar"/>
        </w:rPr>
        <w:t xml:space="preserve">标段：运西消防站配套设施项目-厨房设备采购（三标段）</w:t>
      </w:r>
      <w:r>
        <w:rPr>
          <w:rFonts w:hint="eastAsia" w:ascii="宋体" w:hAnsi="宋体" w:eastAsia="宋体" w:cs="宋体"/>
          <w:b/>
          <w:bCs/>
          <w:color w:val="000000"/>
          <w:sz w:val="21"/>
          <w:szCs w:val="21"/>
          <w:highlight w:val="none"/>
          <w:lang w:val="en-US" w:eastAsia="zh-CN"/>
        </w:rPr>
      </w:r>
      <w:r/>
    </w:p>
    <w:tbl>
      <w:tblPr>
        <w:tblW w:w="5423" w:type="pct"/>
        <w:tblInd w:w="-1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20" w:type="dxa"/>
          <w:top w:w="120" w:type="dxa"/>
          <w:right w:w="120" w:type="dxa"/>
          <w:bottom w:w="120" w:type="dxa"/>
        </w:tblCellMar>
        <w:tblLook w:val="04A0" w:firstRow="1" w:lastRow="0" w:firstColumn="1" w:lastColumn="0" w:noHBand="0" w:noVBand="1"/>
      </w:tblPr>
      <w:tblGrid>
        <w:gridCol w:w="680"/>
        <w:gridCol w:w="1275"/>
        <w:gridCol w:w="660"/>
        <w:gridCol w:w="570"/>
        <w:gridCol w:w="1695"/>
        <w:gridCol w:w="4335"/>
      </w:tblGrid>
      <w:tr>
        <w:trPr>
          <w:tblHeade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标的名称</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参考图片</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技术要求</w:t>
            </w:r>
            <w:r>
              <w:rPr>
                <w:rFonts w:hint="eastAsia" w:ascii="宋体" w:hAnsi="宋体" w:eastAsia="宋体" w:cs="宋体"/>
                <w:color w:val="000000"/>
                <w:sz w:val="21"/>
                <w:szCs w:val="21"/>
                <w:highlight w:val="none"/>
                <w:lang w:val="en-US" w:eastAsia="zh-CN" w:bidi="ar-SA"/>
              </w:rPr>
            </w:r>
            <w:r/>
          </w:p>
        </w:tc>
      </w:tr>
      <w:tr>
        <w:trPr/>
        <w:tc>
          <w:tcPr>
            <w:gridSpan w:val="6"/>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一、仓库区域</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四层平板货架</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390602" cy="4477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90601" cy="4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8pt;height:35.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24"/>
                <w:szCs w:val="24"/>
                <w:highlight w:val="none"/>
                <w:u w:val="none"/>
                <w:lang w:val="en-US" w:eastAsia="zh-CN" w:bidi="ar-SA"/>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外形尺寸：1100×500×1500mm；层板采用 SUS304 2B δ=1.0mm 不锈钢板，立柱采用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地架</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w:object w:dxaOrig="2680" w:dyaOrig="11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4.5pt;height:48.2pt;mso-wrap-distance-left:0.0pt;mso-wrap-distance-top:0.0pt;mso-wrap-distance-right:0.0pt;mso-wrap-distance-bottom:0.0pt;" filled="f" stroked="f">
                  <v:path textboxrect="0,0,0,0"/>
                  <v:imagedata r:id="rId17" o:title=""/>
                </v:shape>
                <o:OLEObject DrawAspect="Content" r:id="rId18" ObjectID="_1525047" ProgID="PBrush" ShapeID="_x0000_i7" Type="Embed"/>
              </w:objec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外形尺寸：1100×500×200mm；排档采用 SUS304 2B 1.0mm 不锈钢板，横档及立柱采用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gridSpan w:val="6"/>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二、清洗间区域</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单层墙架</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29890" cy="61296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29890" cy="6129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9.6pt;height:48.3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外形尺寸：1300×350mm；层板采用 SUS304 2B δ=1.0mm 不锈钢板，支撑肋采用 δ=1.2mm 不锈钢板</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双层工作台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61924" cy="488168"/>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1924" cy="4881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0pt;height:38.4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外形尺寸：1300×700×800+150mm；台面采用 SUS304 2B δ=1.0mm 不锈钢板，下层配 15mm 厚防火板；立柱采用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挂墙刀具消毒柜</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w:object w:dxaOrig="778" w:dyaOrig="97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9.0pt;height:48.8pt;mso-wrap-distance-left:0.0pt;mso-wrap-distance-top:0.0pt;mso-wrap-distance-right:0.0pt;mso-wrap-distance-bottom:0.0pt;" filled="f" stroked="f">
                  <v:path textboxrect="0,0,0,0"/>
                  <v:imagedata r:id="rId21" o:title=""/>
                </v:shape>
                <o:OLEObject DrawAspect="Content" r:id="rId22" ObjectID="_15250410" ProgID="PBrush" ShapeID="_x0000_i10" Type="Embed"/>
              </w:objec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外形尺寸：450×200×600mm；柜体采用 SUS304 2B δ=1.0mm 不锈钢板，配防辐射玻璃门；采用紫外线消毒技术，带 90 分钟定时功能，配备钥匙锁具</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三眼水池</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46776" cy="59500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46776" cy="595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4.5pt;height:46.9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外形尺寸：1800×750×800+150mm；台面及池体采用 SUS304 2B δ=1.0mm 不锈钢板，配不锈钢防臭落水头，池体深度 300mm；立柱采用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冷热水龙头</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323606" cy="40873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323606" cy="408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5.5pt;height:32.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陶瓷阀芯，冷热水两用</w:t>
            </w:r>
            <w:r>
              <w:rPr>
                <w:rFonts w:hint="eastAsia" w:ascii="宋体" w:hAnsi="宋体" w:eastAsia="宋体" w:cs="宋体"/>
                <w:color w:val="000000"/>
                <w:sz w:val="21"/>
                <w:szCs w:val="21"/>
                <w:highlight w:val="none"/>
                <w:lang w:val="en-US" w:eastAsia="zh-CN" w:bidi="ar-SA"/>
              </w:rPr>
            </w:r>
            <w:r/>
          </w:p>
        </w:tc>
      </w:tr>
      <w:tr>
        <w:trPr/>
        <w:tc>
          <w:tcPr>
            <w:gridSpan w:val="6"/>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三、烹饪间区域</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电热单门蒸饭柜</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w:object w:dxaOrig="1783" w:dyaOrig="276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9.0pt;height:79.9pt;mso-wrap-distance-left:0.0pt;mso-wrap-distance-top:0.0pt;mso-wrap-distance-right:0.0pt;mso-wrap-distance-bottom:0.0pt;" filled="f" stroked="f">
                  <v:path textboxrect="0,0,0,0"/>
                  <v:imagedata r:id="rId25" o:title=""/>
                </v:shape>
                <o:OLEObject DrawAspect="Content" r:id="rId26" ObjectID="_15250413" ProgID="PBrush" ShapeID="_x0000_i13" Type="Embed"/>
              </w:objec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容量 60kg；柜门及柜体采用 SUS304 δ=0.8mm 不锈钢板，内胆采用 SUS304 δ=0.8mm 不锈钢板；填充阻燃保温层，门铰配耐热防漏密封胶边；配 Φ150 重型万向活动轮；电压 380V，功率 12kW</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不锈钢方盘</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42950" cy="381133"/>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42950" cy="3811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8.5pt;height:30.0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外形尺寸：600×400mm；采用 SUS304 δ=1.0mm 不锈钢材质</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电磁双眼大锅灶（含锅）</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78447" cy="69157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78447" cy="6915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7.0pt;height:54.5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外形尺寸：1800×1000×800+400mm；锅直径 700mm；电压 380V，功率 2×20kW；台面采用 SUS304 1.2mm 厚不锈钢板；配置靠背防水散热风机，具备过热保护、防干烧保护、自动报警功能；采用数字信号处理器，机芯分层散热、机芯外壳全密封设计；配清晰LED 显示屏，数字化控制</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电磁单眼矮汤炉（含汤桶）</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01722" cy="95259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01721" cy="952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5.3pt;height:75.0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外形尺寸：650×800×500+700mm；电压 380V，功率 15kW；台面采用 SUS304 1.2mm 厚不锈钢板；配置靠背防水散热风机，具备过热保护、防干烧保护、自动报警功能；采用数字信号处理器，机芯分层散热、全密封设计；配清晰LED 显示屏，数字化控制，8 档磁控火力调节</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油烟净化一体机（带 UV 除味）</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80887" cy="541744"/>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80887" cy="5417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7.2pt;height:42.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外形尺寸：3500×1200mm；油烟净化效率≥96%；电压 380V，总功率 2×2kW，风机功率 2×1.1kW；采用静电式自动净化技术，自带风机，带 UV 除味功能；处理风量 2×4000m³/h，出风口尺寸 305×345mm</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不锈钢封墙板</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6.4</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52437" cy="46098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52437" cy="4609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2pt;height:36.3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外形尺寸：3500×1850mm；采用 SUS304 δ=1.0mm 不锈钢板</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不锈钢风管</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485751" cy="364961"/>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485751" cy="3649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38.2pt;height:28.7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管体采用 SUS304 δ=1.0mm 不锈钢板制作</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铝合金百叶窗</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w:object w:dxaOrig="1755" w:dyaOrig="225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9.8pt;height:25.4pt;mso-wrap-distance-left:0.0pt;mso-wrap-distance-top:0.0pt;mso-wrap-distance-right:0.0pt;mso-wrap-distance-bottom:0.0pt;" filled="f" stroked="f">
                  <v:path textboxrect="0,0,0,0"/>
                  <v:imagedata r:id="rId33" o:title=""/>
                </v:shape>
                <o:OLEObject DrawAspect="Content" r:id="rId34" ObjectID="_15250420" ProgID="PBrush" ShapeID="_x0000_i20" Type="Embed"/>
              </w:objec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外形尺寸：750×750mm；铝合金材质，具备防雨、防虫害功能</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单门热风循环消毒柜</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367040" cy="903009"/>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367040" cy="903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8.9pt;height:71.1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外形尺寸：650×620×1950mm；侧板、门板及内胆采用 SUS304 2B δ=1.0mm 不锈钢板；采用聚氨酯发泡保温层，配置 2 套不锈钢加热管、2 套耐高温循环风机；电压 380V，功率 2.2kW</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平冷工作台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19150" cy="600304"/>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19150" cy="600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4.5pt;height:47.3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外形尺寸：1800×800×800mm；温度范围 0℃～10℃；电压 220V，输入功率 0.18kW；铜管盘制作</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单层墙架</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29890" cy="665082"/>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29890" cy="6650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9.6pt;height:52.4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外形尺寸：2200×350mm；层板采用 SUS304 2B δ=1.0mm 不锈钢板，支撑肋采用 δ=1.2mm 不锈钢板</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单眼水池</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47700" cy="552366"/>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4770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0pt;height:43.5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外形尺寸：800×800×800+150mm；台面及池体采用 SUS304 2B δ=1.0mm 不锈钢板，配不锈钢防臭落水头，池体深度 300mm；立柱采用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冷热水龙头</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323606" cy="40873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323606" cy="408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5.5pt;height:32.2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陶瓷阀芯，冷热水两用</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四门双温冰箱</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549219" cy="805301"/>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49219" cy="805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3.2pt;height:63.4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外形尺寸：1200×700×1915mm；双机双温，冷冻温度 - 15℃～-6℃，冷藏温度 0℃～+10℃；电压 220V/50Hz，输入功率 0.37kW；铜管盘制作</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电热开水器（带底座）</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26478" cy="702409"/>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26478" cy="7024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9.3pt;height:55.3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功率 9kW，容积 80L；电压 380V；内胆及底座采用 SUS304 不锈钢材质；采用步进水逐层加热技术，配环保防火保温层</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四层平板货架</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477021" cy="546788"/>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477021" cy="5467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37.6pt;height:43.1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外形尺寸：1100×500×1500mm；层板采用 SUS304 2B δ=1.0mm 不锈钢板，立柱采用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双孔残菜台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79826" cy="661452"/>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879826" cy="6614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9.3pt;height:52.1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外形尺寸：1400×700×800mm；台面采用 SUS304 2B δ=1.0mm 不锈钢板；立柱采用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单门玻璃门冷藏冰箱</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w:object w:dxaOrig="794" w:dyaOrig="13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39.7pt;height:80.8pt;mso-wrap-distance-left:0.0pt;mso-wrap-distance-top:0.0pt;mso-wrap-distance-right:0.0pt;mso-wrap-distance-bottom:0.0pt;" filled="f" stroked="f">
                  <v:path textboxrect="0,0,0,0"/>
                  <v:imagedata r:id="rId44" o:title=""/>
                </v:shape>
                <o:OLEObject DrawAspect="Content" r:id="rId45" ObjectID="_15250430" ProgID="PBrush" ShapeID="_x0000_i30" Type="Embed"/>
              </w:objec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外形尺寸：610×800×1980mm；温度范围 0℃～+10℃；电压 220V，输入功率 0.32kW；铜管盘制作</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菜品留样柜</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w:object w:dxaOrig="794" w:dyaOrig="13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39.7pt;height:78.7pt;mso-wrap-distance-left:0.0pt;mso-wrap-distance-top:0.0pt;mso-wrap-distance-right:0.0pt;mso-wrap-distance-bottom:0.0pt;" filled="f" stroked="f">
                  <v:path textboxrect="0,0,0,0"/>
                  <v:imagedata r:id="rId46" o:title=""/>
                </v:shape>
                <o:OLEObject DrawAspect="Content" r:id="rId47" ObjectID="_15250431" ProgID="PBrush" ShapeID="_x0000_i31" Type="Embed"/>
              </w:objec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外形尺寸：610×800×1980mm；温度范围 0℃～+10℃；电压 220V，输入功率 0.32kW；铜管盘制作</w:t>
            </w:r>
            <w:r>
              <w:rPr>
                <w:rFonts w:hint="eastAsia" w:ascii="宋体" w:hAnsi="宋体" w:eastAsia="宋体" w:cs="宋体"/>
                <w:color w:val="000000"/>
                <w:sz w:val="21"/>
                <w:szCs w:val="21"/>
                <w:highlight w:val="none"/>
                <w:lang w:val="en-US" w:eastAsia="zh-CN" w:bidi="ar-SA"/>
              </w:rPr>
            </w:r>
            <w:r/>
          </w:p>
        </w:tc>
      </w:tr>
      <w:tr>
        <w:trPr/>
        <w:tc>
          <w:tcPr>
            <w:gridSpan w:val="6"/>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四、备餐间区域</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电热六格保温台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50589" cy="457002"/>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750589" cy="4570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9.1pt;height:36.0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外形尺寸：2100×700×800mm；台面及侧板采用 SUS304 2B δ=1.0mm 不锈钢板；电控恒温数显控制；立柱采用 38×38×1.0mm 不锈钢方管，配可调节脚座；配套份数盒</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双层工作台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49935" cy="465134"/>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849935" cy="4651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6.9pt;height:36.6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外形尺寸：500×700×800mm；台面采用 SUS304 2B δ=1.0mm 不锈钢板，下层配 15mm 厚防火板；立柱采用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gridSpan w:val="6"/>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五、卫生防疫用品</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粘捕式灭蝇灯</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38772" cy="607759"/>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838772" cy="6077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6.0pt;height:47.9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额定电压 220V，额定功率 30W；外形尺寸：500×120×290mm</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紫外线杀菌灯</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33369" cy="189263"/>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733369" cy="1892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7.7pt;height:14.9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额定电压 220V，额定功率 40W；采用石英高压放电灯管，灯管长度 1200mm</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风幕机</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81236" cy="423454"/>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681236" cy="4234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3.6pt;height:33.3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外形尺寸：900×145×185mm；额定电压 220V，功率 100W；风速 9～11m/s，风量 1310m³/h</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风幕机</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14489" cy="438861"/>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14489" cy="438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6.3pt;height:34.6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外形尺寸：1500×145×185mm；额定电压 220V，功率 160W；风速 9～11m/s，风量 2580m³/h</w:t>
            </w:r>
            <w:r>
              <w:rPr>
                <w:rFonts w:hint="eastAsia" w:ascii="宋体" w:hAnsi="宋体" w:eastAsia="宋体" w:cs="宋体"/>
                <w:color w:val="000000"/>
                <w:sz w:val="21"/>
                <w:szCs w:val="21"/>
                <w:highlight w:val="none"/>
                <w:lang w:val="en-US" w:eastAsia="zh-CN" w:bidi="ar-SA"/>
              </w:rPr>
            </w:r>
            <w:r/>
          </w:p>
        </w:tc>
      </w:tr>
      <w:tr>
        <w:trPr/>
        <w:tc>
          <w:tcPr>
            <w:gridSpan w:val="6"/>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六、地沟及盖板</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不锈钢 U 型地沟</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47700" cy="647483"/>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47700" cy="6474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1.0pt;height:51.0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沟槽高度 H=300mm；采用 SUS304 δ=1.2mm 不锈钢板制作</w:t>
            </w:r>
            <w:r>
              <w:rPr>
                <w:rFonts w:hint="eastAsia" w:ascii="宋体" w:hAnsi="宋体" w:eastAsia="宋体" w:cs="宋体"/>
                <w:color w:val="000000"/>
                <w:sz w:val="21"/>
                <w:szCs w:val="21"/>
                <w:highlight w:val="none"/>
                <w:lang w:val="en-US" w:eastAsia="zh-CN" w:bidi="ar-SA"/>
              </w:rPr>
            </w:r>
            <w:r/>
          </w:p>
        </w:tc>
      </w:tr>
      <w:tr>
        <w:trPr>
          <w:trHeight w:val="1229"/>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不锈钢冲孔盖板</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76200</wp:posOffset>
                      </wp:positionH>
                      <wp:positionV relativeFrom="paragraph">
                        <wp:posOffset>66675</wp:posOffset>
                      </wp:positionV>
                      <wp:extent cx="781050" cy="52387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78105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524288;o:allowoverlap:true;o:allowincell:true;mso-position-horizontal-relative:text;margin-left:6.0pt;mso-position-horizontal:absolute;mso-position-vertical-relative:text;margin-top:5.2pt;mso-position-vertical:absolute;width:61.5pt;height:41.2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i w:val="0"/>
                <w:iCs w:val="0"/>
                <w:color w:val="000000"/>
                <w:sz w:val="24"/>
                <w:szCs w:val="24"/>
                <w:highlight w:val="none"/>
                <w:u w:val="none"/>
                <w:lang w:val="en-US" w:eastAsia="zh-CN" w:bidi="ar-SA"/>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宽度 W=350mm；采用 SUS304 δ=2.0mm 不锈钢板冲孔而成</w:t>
            </w:r>
            <w:r>
              <w:rPr>
                <w:rFonts w:hint="eastAsia" w:ascii="宋体" w:hAnsi="宋体" w:eastAsia="宋体" w:cs="宋体"/>
                <w:color w:val="000000"/>
                <w:sz w:val="21"/>
                <w:szCs w:val="21"/>
                <w:highlight w:val="none"/>
                <w:lang w:val="en-US" w:eastAsia="zh-CN" w:bidi="ar-SA"/>
              </w:rPr>
            </w:r>
            <w:r/>
          </w:p>
        </w:tc>
      </w:tr>
      <w:tr>
        <w:trPr/>
        <w:tc>
          <w:tcPr>
            <w:gridSpan w:val="6"/>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七、厨房配套水电部分</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总配电柜</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总功率适配 110kW 负荷，带漏电保护功能，含空气开关、断路器，按实际配置</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电缆桥架</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含铺设辅料及安装</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电力电缆</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78</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YJV 4×10+1×6；含开槽、墙面恢复辅料及安装</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38</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电力电缆</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YJV 4×6+1×4；含开槽、墙面恢复辅料及安装</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塑铜线</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BV 4mm²；含开槽、墙面恢复辅料及安装</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塑铜线</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600</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BV 2.5mm²；含开槽、墙面恢复辅料及安装</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电源插座</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包含单相五孔、单相三孔、三相四孔规格；含开槽、墙面恢复辅料及安装</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PPR 冷热给水管</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De25；符合国家 PPR 给水管标准，含开槽、墙面恢复辅料及安装</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PPR 冷热给水管</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De40；符合国家 PPR 给水管标准，含开槽、墙面恢复辅料及安装</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角阀</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De20；铜芯材质，含辅料及安装</w:t>
            </w:r>
            <w:r>
              <w:rPr>
                <w:rFonts w:hint="eastAsia" w:ascii="宋体" w:hAnsi="宋体" w:eastAsia="宋体" w:cs="宋体"/>
                <w:color w:val="000000"/>
                <w:sz w:val="21"/>
                <w:szCs w:val="21"/>
                <w:highlight w:val="none"/>
                <w:lang w:val="en-US" w:eastAsia="zh-CN" w:bidi="ar-SA"/>
              </w:rPr>
            </w:r>
            <w:r/>
          </w:p>
        </w:tc>
      </w:tr>
      <w:tr>
        <w:trPr/>
        <w:tc>
          <w:tcPr>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PVC 排水管</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De50；含开槽、墙面恢复辅料及安装</w:t>
            </w:r>
            <w:r>
              <w:rPr>
                <w:rFonts w:hint="eastAsia" w:ascii="宋体" w:hAnsi="宋体" w:eastAsia="宋体" w:cs="宋体"/>
                <w:color w:val="000000"/>
                <w:sz w:val="21"/>
                <w:szCs w:val="21"/>
                <w:highlight w:val="none"/>
                <w:lang w:val="en-US" w:eastAsia="zh-CN" w:bidi="ar-SA"/>
              </w:rPr>
            </w:r>
            <w:r/>
          </w:p>
        </w:tc>
      </w:tr>
    </w:tbl>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zh-CN" w:eastAsia="zh-CN" w:bidi="ar"/>
        </w:rPr>
        <w:t xml:space="preserve">（</w:t>
      </w: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val="zh-CN" w:eastAsia="zh-CN" w:bidi="ar"/>
        </w:rPr>
        <w:t xml:space="preserve">）第</w:t>
      </w: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val="zh-CN" w:eastAsia="zh-CN" w:bidi="ar"/>
        </w:rPr>
        <w:t xml:space="preserve">标段：</w:t>
      </w:r>
      <w:r>
        <w:rPr>
          <w:rFonts w:hint="eastAsia" w:ascii="宋体" w:hAnsi="宋体" w:eastAsia="宋体" w:cs="宋体"/>
          <w:b/>
          <w:bCs/>
          <w:color w:val="000000"/>
          <w:sz w:val="21"/>
          <w:szCs w:val="21"/>
          <w:highlight w:val="none"/>
          <w:lang w:val="en-US" w:eastAsia="zh-CN" w:bidi="ar"/>
        </w:rPr>
        <w:t xml:space="preserve">运西消防站配套设施项目-家具采购（四标段）</w:t>
      </w:r>
      <w:r>
        <w:rPr>
          <w:rFonts w:hint="eastAsia" w:ascii="宋体" w:hAnsi="宋体" w:eastAsia="宋体" w:cs="宋体"/>
          <w:b/>
          <w:bCs/>
          <w:color w:val="000000"/>
          <w:sz w:val="21"/>
          <w:szCs w:val="21"/>
          <w:highlight w:val="none"/>
          <w:lang w:val="en-US" w:eastAsia="zh-CN" w:bidi="ar"/>
        </w:rPr>
      </w:r>
      <w:r/>
    </w:p>
    <w:tbl>
      <w:tblPr>
        <w:tblW w:w="5004" w:type="pct"/>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120" w:type="dxa"/>
          <w:right w:w="120" w:type="dxa"/>
          <w:bottom w:w="120" w:type="dxa"/>
        </w:tblCellMar>
        <w:tblLook w:val="04A0" w:firstRow="1" w:lastRow="0" w:firstColumn="1" w:lastColumn="0" w:noHBand="0" w:noVBand="1"/>
      </w:tblPr>
      <w:tblGrid>
        <w:gridCol w:w="659"/>
        <w:gridCol w:w="660"/>
        <w:gridCol w:w="473"/>
        <w:gridCol w:w="3047"/>
        <w:gridCol w:w="2734"/>
        <w:gridCol w:w="450"/>
        <w:gridCol w:w="480"/>
      </w:tblGrid>
      <w:tr>
        <w:trPr>
          <w:tblHeade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序号</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所属区域</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标的名称</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参考图片</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技术要求</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数量</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单位</w:t>
            </w:r>
            <w:r>
              <w:rPr>
                <w:rFonts w:ascii="宋体" w:hAnsi="宋体" w:eastAsia="宋体" w:cs="宋体"/>
                <w:color w:val="000000"/>
                <w:sz w:val="21"/>
                <w:szCs w:val="21"/>
                <w:highlight w:val="none"/>
                <w:lang w:val="en-US" w:eastAsia="zh-CN"/>
              </w:rPr>
            </w:r>
            <w:r/>
          </w:p>
        </w:tc>
      </w:tr>
      <w:tr>
        <w:trPr/>
        <w:tc>
          <w:tcPr>
            <w:gridSpan w:val="7"/>
            <w:tcMar>
              <w:left w:w="120" w:type="dxa"/>
              <w:top w:w="120" w:type="dxa"/>
              <w:right w:w="120" w:type="dxa"/>
              <w:bottom w:w="120" w:type="dxa"/>
            </w:tcMar>
            <w:tcW w:w="8503"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一、一层</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1</w:t>
            </w:r>
            <w:r>
              <w:rPr>
                <w:color w:val="000000"/>
                <w:highlight w:val="none"/>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门卫</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写字桌</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left"/>
              <w:keepLines w:val="0"/>
              <w:keepNext w:val="0"/>
              <w:widowControl/>
              <w:rPr>
                <w:rFonts w:ascii="宋体" w:hAnsi="宋体" w:eastAsia="宋体" w:cs="宋体"/>
                <w:color w:val="000000"/>
                <w:sz w:val="24"/>
                <w:szCs w:val="24"/>
                <w:highlight w:val="none"/>
                <w:lang w:val="en-US" w:eastAsia="zh-CN" w:bidi="ar"/>
              </w:rPr>
              <w:suppressLineNumbers w:val="0"/>
            </w:pPr>
            <w:r>
              <w:rPr>
                <w:color w:val="000000"/>
                <w:highlight w:val="none"/>
              </w:rPr>
              <mc:AlternateContent>
                <mc:Choice Requires="wpg">
                  <w:drawing>
                    <wp:inline xmlns:wp="http://schemas.openxmlformats.org/drawingml/2006/wordprocessingDrawing" distT="0" distB="0" distL="0" distR="0">
                      <wp:extent cx="1524038" cy="1087093"/>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524038" cy="10870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20.0pt;height:85.6pt;mso-wrap-distance-left:0.0pt;mso-wrap-distance-top:0.0pt;mso-wrap-distance-right:0.0pt;mso-wrap-distance-bottom:0.0pt;" stroked="f">
                      <v:path textboxrect="0,0,0,0"/>
                      <v:imagedata r:id="rId56" o:title=""/>
                    </v:shape>
                  </w:pict>
                </mc:Fallback>
              </mc:AlternateContent>
            </w:r>
            <w:r>
              <w:rPr>
                <w:rFonts w:ascii="宋体" w:hAnsi="宋体" w:eastAsia="宋体" w:cs="宋体"/>
                <w:color w:val="000000"/>
                <w:sz w:val="24"/>
                <w:szCs w:val="24"/>
                <w:highlight w:val="none"/>
                <w:lang w:val="en-US" w:eastAsia="zh-CN" w:bidi="ar"/>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3、五金件及配件：优质喷涂钢脚；优质五金连接件，静音滑轨；</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4、工艺要求：侧柜带锁、单抽+开门；桌子满足走线要求。</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家具》，产品的形状和位置公差、产品外观性能、安全性能、理化性能、力学性能要求、甲醛释放量、苯、甲苯、二甲苯、总挥发性有机化合物等都需符合国家标准。</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门卫</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mc:AlternateContent>
                <mc:Choice Requires="wpg">
                  <w:drawing>
                    <wp:inline xmlns:wp="http://schemas.openxmlformats.org/drawingml/2006/wordprocessingDrawing" distT="0" distB="0" distL="0" distR="0">
                      <wp:extent cx="899801" cy="1169111"/>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899801" cy="11691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0.9pt;height:92.1pt;mso-wrap-distance-left:0.0pt;mso-wrap-distance-top:0.0pt;mso-wrap-distance-right:0.0pt;mso-wrap-distance-bottom:0.0pt;" stroked="f">
                      <v:path textboxrect="0,0,0,0"/>
                      <v:imagedata r:id="rId5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面料：座面采用优质环保化纤材料，网布靠背，质地柔软、耐磨性强，经防污处理,清洁方便，麻绒的环保性（可分解致癌芳香胺染料、甲醛含量、断裂强力、撕破强力、起球、燃烧性能B1级）等符合GB18401-2010《国家纺织产品基本安全技术规范》、GB/T19817-2005《纺织品装饰用织物》、GB8624-2012《建筑材料或制品燃烧性能分级》中的技术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2、背框：PP聚丙烯材料背框，塑料的外观、熔体质量流动速率、拉伸屈服应力&gt;29.0、弯曲模量&gt;1000、简支梁缺口冲击强度（23℃）&gt;1.0、负荷变形温度&gt;60符合标准GB/T12670-2008《聚丙烯（pp）树脂》的要求；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海绵：采用优质高密度定型绵，密度为30KG/M3。性能要求V类（回弹率、拉伸强度、断裂伸长率、撕裂强度、恒定负荷反复压陷疲劳后40%压陷硬度损失值、65%/25%压陷比、75%压缩永久变形、干热老化后拉伸强度、湿热老化后拉伸强度、灰分、甲醛散发）、40%压陷硬度偏差等符合国标GB/T10802-2023《通用软质聚氨酯泡沫塑料》；</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4、四脚架：Φ25mm管/1.8mm壁厚金属管，表面喷塑处理，硬度高抗氧化；PP连体固定扶手，手感舒适。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成品要求：参考标准QB/T 2280-2016《办公家具 办公椅》、GB/T 39223.2-2020《健康家居的人类功效学要求  第3部分：办公桌椅》、GB/T 35607-2024《绿色产品评价 家具》，成品的外观、理化性能、力学性能、有害物质（甲醛释放量、TVOC等）、安全性、阻燃性、人体功效学等都需符合国家标准。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门卫</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储物架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mc:AlternateContent>
                <mc:Choice Requires="wpg">
                  <w:drawing>
                    <wp:inline xmlns:wp="http://schemas.openxmlformats.org/drawingml/2006/wordprocessingDrawing" distT="0" distB="0" distL="0" distR="0">
                      <wp:extent cx="808990" cy="1241416"/>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808989" cy="1241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3.7pt;height:97.7pt;mso-wrap-distance-left:0.0pt;mso-wrap-distance-top:0.0pt;mso-wrap-distance-right:0.0pt;mso-wrap-distance-bottom:0.0pt;" stroked="f">
                      <v:path textboxrect="0,0,0,0"/>
                      <v:imagedata r:id="rId58"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1、用材：采用优质0.8mm一级冷轧钢板，稳重、坚固，冷轧钢板参考标准GB/T11253-2019《碳素结构钢冷轧钢板及钢带》、GB/T 28907-2021《 耐硫酸露点腐蚀钢板和钢带 》，冷轧钢板的弯曲性能、力学性能（室温拉伸）（抗拉强度、下屈服强度、断后伸长率）、耐腐蚀性能、表面质量、冲击性能、拉伸试验都符合国家标准的要求；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2、工艺：使用数控冲床冲压而成，连接处精密度高、折边挺括，采用点焊、碰焊工艺，焊接点少，无疤痕；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处理工艺：经酸洗、磷化处理，表层选用优质塑粉粉末静电喷涂，具保护视力的浅灰亚光色，永不变色；塑粉的涂膜外观、耐碱性、耐冲击性、杯突试验、弯曲试验、耐磨性、耐酸性、重金属元素含量、有机锡化合物都符合标准HG/T2006-2022《热固性和热塑性粉末涂料》、GB/T 35602-2017《绿色产品评价 涂料》的要求；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成品要求：参考标准GB/T3325-2024《金属家具通用技术条件》,产品的形状和位置公差、产品外观性能、安全性能、理化性能、力学性能要求、有害物质限量等都需符合国家标准。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休息室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多功能单人床</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541780" cy="1421155"/>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541780" cy="1421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21.4pt;height:111.9pt;mso-wrap-distance-left:0.0pt;mso-wrap-distance-top:0.0pt;mso-wrap-distance-right:0.0pt;mso-wrap-distance-bottom:0.0pt;" stroked="f">
                      <v:path textboxrect="0,0,0,0"/>
                      <v:imagedata r:id="rId5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w:t>
            </w:r>
            <w:r>
              <w:rPr>
                <w:rFonts w:hint="eastAsia" w:ascii="宋体" w:hAnsi="宋体" w:eastAsia="宋体" w:cs="宋体"/>
                <w:color w:val="000000"/>
                <w:sz w:val="21"/>
                <w:szCs w:val="21"/>
                <w:highlight w:val="none"/>
                <w:lang w:val="en-US" w:eastAsia="zh-CN"/>
              </w:rPr>
              <w:t xml:space="preserve">GB/T35601-2024</w:t>
            </w:r>
            <w:r>
              <w:rPr>
                <w:rFonts w:ascii="宋体" w:hAnsi="宋体" w:eastAsia="宋体" w:cs="宋体"/>
                <w:color w:val="000000"/>
                <w:sz w:val="21"/>
                <w:szCs w:val="21"/>
                <w:highlight w:val="none"/>
                <w:lang w:val="en-US" w:eastAsia="zh-CN"/>
              </w:rPr>
              <w:t xml:space="preserve">《绿色产品评价 人造板和木质地板》，板材的外观、理化性能、挥发性有机化合物符合标准要求；甲醛释放量≤0.050mg/m³符合标准GB/T39600-2021《人造板及其制品甲醛释放量分级》的要求；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2、封边：采用优质同色PVC封边条，根据</w:t>
            </w:r>
            <w:r>
              <w:rPr>
                <w:rFonts w:hint="eastAsia" w:ascii="宋体" w:hAnsi="宋体" w:eastAsia="宋体" w:cs="宋体"/>
                <w:color w:val="000000"/>
                <w:sz w:val="21"/>
                <w:szCs w:val="21"/>
                <w:highlight w:val="none"/>
                <w:lang w:val="en-US" w:eastAsia="zh-CN"/>
              </w:rPr>
              <w:t xml:space="preserve">QB/T 4463-2025《家具用封边条》</w:t>
            </w:r>
            <w:r>
              <w:rPr>
                <w:rFonts w:ascii="宋体" w:hAnsi="宋体" w:eastAsia="宋体" w:cs="宋体"/>
                <w:color w:val="000000"/>
                <w:sz w:val="21"/>
                <w:szCs w:val="21"/>
                <w:highlight w:val="none"/>
                <w:lang w:val="en-US" w:eastAsia="zh-CN"/>
              </w:rPr>
              <w:t xml:space="preserve">、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3、靠背覆面材料选用优质PU皮，参考标准GB/T 16799-2018《家具用皮革》、GB/T 40350-2021《家居用聚氯乙烯人造革通用技术要求》，PU皮的耐磨性、剥离负荷、可溶解的有害元素、感官要求、理化性能（游离甲醛、禁用偶氮染料）、摩擦色牢度、撕裂力等符合标准的要求；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4、工艺要求：底部单侧含3个抽屉（单个抽屉尺寸为450*400*300），使用便利；靠背含皮质/布艺软包设计，整个靠背符合人体工学设计，在使用上健康舒适，整个床摆放平稳，结构牢固，舒适性好；</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5、五金件及配件：优质五金连接件；</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6、说明：含床垫；</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7、床垫材料：优质棕垫，一面硬，一面软，表层采用耐污针织布料，针织布料符合GB 18401-2010《国家纺织产品基本安全技术规范》中的技术要求；床垫参考标准GB/T26706-2011《软体家具  棕纤维弹性床垫》，GB/T 35607-2024《绿色产品评价 家具》，成品的面料外观、缝纫、封边、面料及复合面料理化性能、芯料、安全卫生、阻燃性、耐久性、甲醛释放量、TVOC等都需符合国家标准。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家具》，成品的形状和位置公差、外观性能要求、软硬质覆面要求、成品的力学性能、安全性能、甲醛释放量、苯、甲苯、二甲苯、总挥发性有机化合物、可接触的实木部件中五氯苯酚等都需符合国家标准。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休息室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床头柜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09015" cy="1059181"/>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009015" cy="10591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9.5pt;height:83.4pt;mso-wrap-distance-left:0.0pt;mso-wrap-distance-top:0.0pt;mso-wrap-distance-right:0.0pt;mso-wrap-distance-bottom:0.0pt;" stroked="f">
                      <v:path textboxrect="0,0,0,0"/>
                      <v:imagedata r:id="rId6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w:t>
            </w:r>
            <w:r>
              <w:rPr>
                <w:rFonts w:hint="eastAsia" w:ascii="宋体" w:hAnsi="宋体" w:eastAsia="宋体" w:cs="宋体"/>
                <w:color w:val="000000"/>
                <w:sz w:val="21"/>
                <w:szCs w:val="21"/>
                <w:highlight w:val="none"/>
                <w:lang w:val="en-US" w:eastAsia="zh-CN"/>
              </w:rPr>
              <w:t xml:space="preserve">GB/T35601-2024</w:t>
            </w:r>
            <w:r>
              <w:rPr>
                <w:rFonts w:ascii="宋体" w:hAnsi="宋体" w:eastAsia="宋体" w:cs="宋体"/>
                <w:color w:val="000000"/>
                <w:sz w:val="21"/>
                <w:szCs w:val="21"/>
                <w:highlight w:val="none"/>
                <w:lang w:val="en-US" w:eastAsia="zh-CN"/>
              </w:rPr>
              <w:t xml:space="preserve">《绿色产品评价 人造板和木质地板》；甲醛释放量≤0.050mg/m³符合标准GB/T39600-2021《人造板及其制品甲醛释放量分级》的要求；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2、封边：采用优质同色PVC封边条，根据</w:t>
            </w:r>
            <w:r>
              <w:rPr>
                <w:rFonts w:hint="eastAsia" w:ascii="宋体" w:hAnsi="宋体" w:eastAsia="宋体" w:cs="宋体"/>
                <w:color w:val="000000"/>
                <w:sz w:val="21"/>
                <w:szCs w:val="21"/>
                <w:highlight w:val="none"/>
                <w:lang w:val="en-US" w:eastAsia="zh-CN"/>
              </w:rPr>
              <w:t xml:space="preserve">QB/T 4463-2025《家具用封边条》</w:t>
            </w:r>
            <w:r>
              <w:rPr>
                <w:rFonts w:ascii="宋体" w:hAnsi="宋体" w:eastAsia="宋体" w:cs="宋体"/>
                <w:color w:val="000000"/>
                <w:sz w:val="21"/>
                <w:szCs w:val="21"/>
                <w:highlight w:val="none"/>
                <w:lang w:val="en-US" w:eastAsia="zh-CN"/>
              </w:rPr>
              <w:t xml:space="preserve">、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3、五金件及配件：优质五金连接件，静音导轨；</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休息室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开门衣柜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44727" cy="950603"/>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244727" cy="9506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98.0pt;height:74.9pt;mso-wrap-distance-left:0.0pt;mso-wrap-distance-top:0.0pt;mso-wrap-distance-right:0.0pt;mso-wrap-distance-bottom:0.0pt;" stroked="f">
                      <v:path textboxrect="0,0,0,0"/>
                      <v:imagedata r:id="rId6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w:t>
            </w:r>
            <w:r>
              <w:rPr>
                <w:rFonts w:hint="eastAsia" w:ascii="宋体" w:hAnsi="宋体" w:eastAsia="宋体" w:cs="宋体"/>
                <w:color w:val="000000"/>
                <w:sz w:val="21"/>
                <w:szCs w:val="21"/>
                <w:highlight w:val="none"/>
                <w:lang w:val="en-US" w:eastAsia="zh-CN"/>
              </w:rPr>
              <w:t xml:space="preserve">GB/T35601-2024</w:t>
            </w:r>
            <w:r>
              <w:rPr>
                <w:rFonts w:ascii="宋体" w:hAnsi="宋体" w:eastAsia="宋体" w:cs="宋体"/>
                <w:color w:val="000000"/>
                <w:sz w:val="21"/>
                <w:szCs w:val="21"/>
                <w:highlight w:val="none"/>
                <w:lang w:val="en-US" w:eastAsia="zh-CN"/>
              </w:rPr>
              <w:t xml:space="preserve">《绿色产品评价 人造板和木质地板》；甲醛释放量≤0.050mg/m³符合标准GB/T39600-2021《人造板及其制品甲醛释放量分级》的要求；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2、封边：采用优质同色PVC封边条，根据</w:t>
            </w:r>
            <w:r>
              <w:rPr>
                <w:rFonts w:hint="eastAsia" w:ascii="宋体" w:hAnsi="宋体" w:eastAsia="宋体" w:cs="宋体"/>
                <w:color w:val="000000"/>
                <w:sz w:val="21"/>
                <w:szCs w:val="21"/>
                <w:highlight w:val="none"/>
                <w:lang w:val="en-US" w:eastAsia="zh-CN"/>
              </w:rPr>
              <w:t xml:space="preserve">QB/T 4463-2025《家具用封边条》</w:t>
            </w:r>
            <w:r>
              <w:rPr>
                <w:rFonts w:ascii="宋体" w:hAnsi="宋体" w:eastAsia="宋体" w:cs="宋体"/>
                <w:color w:val="000000"/>
                <w:sz w:val="21"/>
                <w:szCs w:val="21"/>
                <w:highlight w:val="none"/>
                <w:lang w:val="en-US" w:eastAsia="zh-CN"/>
              </w:rPr>
              <w:t xml:space="preserve">、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3、五金件及配件：优质五金连接件，阻尼铰链；金属衣柜拉手；</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圆形餐桌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650492" cy="1024985"/>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650492" cy="1024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30.0pt;height:80.7pt;mso-wrap-distance-left:0.0pt;mso-wrap-distance-top:0.0pt;mso-wrap-distance-right:0.0pt;mso-wrap-distance-bottom:0.0pt;" stroked="f">
                      <v:path textboxrect="0,0,0,0"/>
                      <v:imagedata r:id="rId6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1、基材：选用符合室内排放标准的中密度纤维板，板材含水率符合国家标准，甲醛释放量及分级符合GB/T11718-2021《中密度纤维板》、GB 18580-2017《室内装饰装修材料 人造板及其制品中甲醛释放限量》、GB/T 39600-2021《人造板及其制品甲醛释放量分级》，甲醛限量值（≤0.05mg/m³），表面贴实木木皮；</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油漆：环保水性漆，其不挥发物、耐人工气候老化、硬度、防霉等级、细度、耐冻融性、涂膜外观、附着力、抗粘连性、耐磨性、耐划伤性、耐醇性、耐污染性、耐干热性、打磨性、耐黄变形、耐冲击性、耐水性、耐碱性、防霉等级0级必须达到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3、胶水：采用优质环保型家具用胶黏剂，其甲醛及有害物质含量符合GB18583-2008《室内装饰装修材料胶粘剂中有害物质限量》标准；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4、配件：桌面配玻璃转盘；</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 3324-2017《木家具通用技术条件》、GB/T 35607-2024《绿色产品评价 家具》，产品的形状和位置公差、外观性能要求、理化性能、力学性能、安全性能、产品有害物质（甲醛释放量、苯、甲苯、二甲苯、总挥发性有机化合物）等都需符合国家标准。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87415" cy="1191895"/>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rcRect l="20071" t="11510" r="16908" b="12468"/>
                              <a:stretch/>
                            </pic:blipFill>
                            <pic:spPr bwMode="auto">
                              <a:xfrm>
                                <a:off x="0" y="0"/>
                                <a:ext cx="987415" cy="1191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7.7pt;height:93.8pt;mso-wrap-distance-left:0.0pt;mso-wrap-distance-top:0.0pt;mso-wrap-distance-right:0.0pt;mso-wrap-distance-bottom:0.0pt;" stroked="f">
                      <v:path textboxrect="0,0,0,0"/>
                      <v:imagedata r:id="rId6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1、用料：采用全新PP聚丙烯材料一体注塑成型，参考标准GB 28481-2012《塑料家具中有害物质限量》、GB/T12670-2008《聚丙烯（pp）树脂》、QB/T 4371-2012《家具抗菌性能的评价》、GB/T 37866-2019《绿色产品评价 塑料制品》，工程塑料的有害物质限量（多环芳烃、重金属、多溴联苯、多溴二苯醚）均未检出，拉伸屈服应力、弯曲模量、简支梁缺口冲击强度23℃、负荷变形温度、抑菌率（金黄色葡萄球菌、大肠杆菌）≥99%、增塑剂、重复回收率等符合标准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2、座面：座高440mm，座宽420mm，座深440mm，座面根据人体曲线设计舒适配比，辨识度高，座感好等，有5种常规颜色可选；</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椅背：4mm宽19条镂空设计，增强背部散热，可独立拆卸式靠背，具备使用者单手手提功能，圆润椅角无毛边，不伤手，背重0.35KG，背高300mm，背宽425mm，背下厚6mm/上厚4mm，背弧度R250mm包覆性明显，提高整椅的舒适度，6种常规颜色可选；</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4、四脚：40*35mm成菱形设计、结构稳定，PU耐磨脚垫保护地板随意推拉，可承重150KG。</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成品要求：参考标准GB/T32487-2016《塑料家具通用技术条件》、QB/T 4371-2012《家具抗菌性能的评价》，产品的有害物质（邻苯二甲酸酯、重金属、多环芳烃、多溴联苯、多溴二苯醚）均未检出、 室内耐老化500h测试符合要求，抑菌率（金黄色葡萄球菌、大肠杆菌）≥99%等都需符合国家标准。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餐边柜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47779" cy="878229"/>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rcRect l="0" t="0" r="55280" b="0"/>
                              <a:stretch/>
                            </pic:blipFill>
                            <pic:spPr bwMode="auto">
                              <a:xfrm>
                                <a:off x="0" y="0"/>
                                <a:ext cx="1047779" cy="8782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82.5pt;height:69.2pt;mso-wrap-distance-left:0.0pt;mso-wrap-distance-top:0.0pt;mso-wrap-distance-right:0.0pt;mso-wrap-distance-bottom:0.0pt;" stroked="f">
                      <v:path textboxrect="0,0,0,0"/>
                      <v:imagedata r:id="rId6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w:t>
            </w:r>
            <w:r>
              <w:rPr>
                <w:rFonts w:hint="eastAsia" w:ascii="宋体" w:hAnsi="宋体" w:eastAsia="宋体" w:cs="宋体"/>
                <w:color w:val="000000"/>
                <w:sz w:val="21"/>
                <w:szCs w:val="21"/>
                <w:highlight w:val="none"/>
                <w:lang w:val="en-US" w:eastAsia="zh-CN"/>
              </w:rPr>
              <w:t xml:space="preserve">GB/T35601-2024</w:t>
            </w:r>
            <w:r>
              <w:rPr>
                <w:rFonts w:ascii="宋体" w:hAnsi="宋体" w:eastAsia="宋体" w:cs="宋体"/>
                <w:color w:val="000000"/>
                <w:sz w:val="21"/>
                <w:szCs w:val="21"/>
                <w:highlight w:val="none"/>
                <w:lang w:val="en-US" w:eastAsia="zh-CN"/>
              </w:rPr>
              <w:t xml:space="preserve">《绿色产品评价 人造板和木质地板》；甲醛释放量≤0.050mg/m³符合标准GB/T39600-2021《人造板及其制品甲醛释放量分级》的要求；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2、封边：采用优质同色PVC封边条，根据</w:t>
            </w:r>
            <w:r>
              <w:rPr>
                <w:rFonts w:hint="eastAsia" w:ascii="宋体" w:hAnsi="宋体" w:eastAsia="宋体" w:cs="宋体"/>
                <w:color w:val="000000"/>
                <w:sz w:val="21"/>
                <w:szCs w:val="21"/>
                <w:highlight w:val="none"/>
                <w:lang w:val="en-US" w:eastAsia="zh-CN"/>
              </w:rPr>
              <w:t xml:space="preserve">QB/T 4463-2025《家具用封边条》</w:t>
            </w:r>
            <w:r>
              <w:rPr>
                <w:rFonts w:ascii="宋体" w:hAnsi="宋体" w:eastAsia="宋体" w:cs="宋体"/>
                <w:color w:val="000000"/>
                <w:sz w:val="21"/>
                <w:szCs w:val="21"/>
                <w:highlight w:val="none"/>
                <w:lang w:val="en-US" w:eastAsia="zh-CN"/>
              </w:rPr>
              <w:t xml:space="preserve">、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3、胶黏剂：采用优质环保热熔胶，游离甲醛≤1.0g/kg。整体板遇水不易发泡起胀，不易开裂，稳定性好；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4、五金件：优质连接件，优质静音轨道，优质铰链；</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包厢</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圆形餐桌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656156" cy="699794"/>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656156" cy="6997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30.4pt;height:55.1pt;mso-wrap-distance-left:0.0pt;mso-wrap-distance-top:0.0pt;mso-wrap-distance-right:0.0pt;mso-wrap-distance-bottom:0.0pt;" stroked="f">
                      <v:path textboxrect="0,0,0,0"/>
                      <v:imagedata r:id="rId6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1、木皮：优质天然木皮贴面，≥0.6mm实木木皮，木皮纹理颜色一致，无疤结、无瑕疵，经过防虫防腐处理，耐磨性好；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基材：选用符合室内排放标准的中密度纤维板，桌面斜切+倒圆处理，板材的外观质量、厚度偏差、板内密度偏差、长度与宽度偏差、垂直度、密度、含水率、静曲强度、弹性模量、吸水厚度膨胀率、表面胶合强度、内胶合强度、甲醛释放量、苯、甲苯、二甲苯、TVOC等都需符合GB/T11718-2021《中密度纤维板》、GB 18580-2017《室内装饰装修材料 人造板及其制品中甲醛释放限量》、GB/T 39600-2021《人造板及其制品甲醛释放量分级》、GB/T35601-2024《绿色产品评价 人造板和木质地板》；</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3、胶水：采用优质环保型家具用胶黏剂，符合标准GB 18583-2008《室内装饰装修材料 胶粘剂中有害物质限量》；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4、油漆：环保水性漆，漆面光泽高透，颜色均匀，抗菌率（≥99%）；防霉等级（0级），不挥发物，硬度，耐干热性，耐污染性，耐磨性，耐水性，涂膜外观，附着力，漆膜168h以上耐黄变检测符合HJ 2537-2014《环境标志产品技术要求水性涂料》、GB/T 23999-2009《室内装饰装修用水性木器涂料》、GB/T 1865-2009《色漆和清漆人工气候老化和人工辐射曝露滤过的氙弧辐射》、GB/T 1766-2008《色漆和清漆　涂层老化的评级方法》的标准要求；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5、五金件：优质连接件，桌面配圆形转盘；</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3324-2017《木家具通用技术条件》、GB/T35607-2024《绿色产品评价家具》，产品的外观、安全性能、理化性能、力学性能、有害物质限量等都需符合国家标准。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包厢</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656156" cy="706077"/>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656156" cy="7060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30.4pt;height:55.6pt;mso-wrap-distance-left:0.0pt;mso-wrap-distance-top:0.0pt;mso-wrap-distance-right:0.0pt;mso-wrap-distance-bottom:0.0pt;" stroked="f">
                      <v:path textboxrect="0,0,0,0"/>
                      <v:imagedata r:id="rId6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1、面料：优质PU皮，耐磨耐脏，抗水性好，皮革耐磨性、可溶解的有害元素（锑、砷、钡、镉、铬、铅、汞、硒）、有机锡化合物、挥发性物质、氯乙烯单体、感官要求需符合GB/T 40350-2021《家居用聚氯乙烯人造革通用技术要求》、GB/T16799-2018《家具用皮革》的要求；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2、海绵：一体成型高密度定型海绵，海绵的感官和</w:t>
            </w:r>
            <w:r>
              <w:rPr>
                <w:rFonts w:hint="eastAsia" w:ascii="宋体" w:hAnsi="宋体" w:eastAsia="宋体" w:cs="宋体"/>
                <w:color w:val="000000"/>
                <w:sz w:val="21"/>
                <w:szCs w:val="21"/>
                <w:highlight w:val="none"/>
                <w:lang w:val="en-US" w:eastAsia="zh-CN"/>
              </w:rPr>
              <w:t xml:space="preserve">物理力学性能，海绵的25%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含量、抗引燃性均需符合GB/T 10802-2023《通用软质聚氨酯泡沫塑料》、QB/T 2280-2016《办公家具 办公椅》、GB17927.2-2011《软体家具 床垫和沙发 抗引燃特性的评定 第2部分：模拟火柴火焰》的要求；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3、支架：实木框架，油漆均匀喷涂，保证色泽一致。</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家具》，漆膜外观，木工要求、表面理化性能要求，力学性能，安全性能（结构安全）、甲醛释放量等有害物质等都需符合国家标准。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包厢</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餐边柜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47779" cy="883920"/>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rcRect l="0" t="0" r="55280" b="0"/>
                              <a:stretch/>
                            </pic:blipFill>
                            <pic:spPr bwMode="auto">
                              <a:xfrm>
                                <a:off x="0" y="0"/>
                                <a:ext cx="1047779" cy="883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82.5pt;height:69.6pt;mso-wrap-distance-left:0.0pt;mso-wrap-distance-top:0.0pt;mso-wrap-distance-right:0.0pt;mso-wrap-distance-bottom:0.0pt;" stroked="f">
                      <v:path textboxrect="0,0,0,0"/>
                      <v:imagedata r:id="rId6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3、胶黏剂：采用优质环保热熔胶，游离甲醛≤1.0g/kg。整体板遇水不易发泡起胀，不易开裂，稳定性好；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4、五金件：优质连接件，优质静音轨道，优质铰链；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包厢</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四脚桌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47794" cy="960760"/>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047794" cy="960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82.5pt;height:75.7pt;mso-wrap-distance-left:0.0pt;mso-wrap-distance-top:0.0pt;mso-wrap-distance-right:0.0pt;mso-wrap-distance-bottom:0.0pt;" stroked="f">
                      <v:path textboxrect="0,0,0,0"/>
                      <v:imagedata r:id="rId68"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框架：整体框架采用优质橡胶木实木，肉眼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2、饰面：表面环保木蜡油涂饰，呈现木材的自然纹理；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包厢</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四脚椅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14730" cy="96647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814730" cy="966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64.2pt;height:76.1pt;mso-wrap-distance-left:0.0pt;mso-wrap-distance-top:0.0pt;mso-wrap-distance-right:0.0pt;mso-wrap-distance-bottom:0.0pt;" stroked="f">
                      <v:path textboxrect="0,0,0,0"/>
                      <v:imagedata r:id="rId6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框架：整体框架采用优质橡胶木实木，肉眼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2、饰面：表面环保木蜡油涂饰，呈现木材的自然纹理；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3、靠背及座面采用透气生态纺织布，布料要求符合标准参考标准GB/T 18885-2020《生态纺织品技术要求》，布料的PH、甲醛含量、可萃取重金属、总铅、紫外光稳定剂、GB/T 35611-2024《绿色产品评价  纺织产品》纤维原材料要求、染料要求、助剂要求等都符合国家标准；填充物高密度海绵组合，阻燃性能符合国家标准；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器材库</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货架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88385" cy="1356373"/>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888385" cy="13563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0.0pt;height:106.8pt;mso-wrap-distance-left:0.0pt;mso-wrap-distance-top:0.0pt;mso-wrap-distance-right:0.0pt;mso-wrap-distance-bottom:0.0pt;" stroked="f">
                      <v:path textboxrect="0,0,0,0"/>
                      <v:imagedata r:id="rId7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1、用材：采用优质0.8mm一级冷轧钢板，稳重、坚固，冷轧钢板参考标准GB/T11253-2019《碳素结构钢冷轧钢板及钢带》、GB/T 28907-2021《 耐硫酸露点腐蚀钢板和钢带 》，冷轧钢板的弯曲性能、力学性能（室温拉伸）（抗拉强度、下屈服强度、断后伸长率）、耐腐蚀性能、表面质量、冲击性能、拉伸试验都符合国家标准的要求；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2、工艺：使用数控冲床冲压而成，连接处精密度高、折边挺括，采用点焊、碰焊工艺，焊接点少，无疤痕；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处理工艺：经酸洗、磷化处理，表层选用优质塑粉粉末静电喷涂，具保护视力的浅灰亚光色，永不变色；塑粉的涂膜外观、耐碱性、耐冲击性、杯突试验、弯曲试验、耐磨性、耐酸性、重金属元素含量、有机锡化合物都符合标准HG/T2006-2022《热固性和热塑性粉末涂料》、GB/T 35602-2017《绿色产品评价 涂料》的要求；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成品要求：参考标准GB/T3325-2024《金属家具通用技术条件》,产品的形状和位置公差、产品外观性能、安全性能、理化性能、力学性能要求、有害物质限量等都需符合国家标准。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装备区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单兵战备管理仓</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70537" cy="1608519"/>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870537" cy="16085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8.5pt;height:126.7pt;mso-wrap-distance-left:0.0pt;mso-wrap-distance-top:0.0pt;mso-wrap-distance-right:0.0pt;mso-wrap-distance-bottom:0.0pt;" stroked="f">
                      <v:path textboxrect="0,0,0,0"/>
                      <v:imagedata r:id="rId7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用材：优质冷轧钢板表面采用优质塑粉粉末静电喷涂制作，塑粉的涂膜外观、耐碱性、耐冲击性、杯突试验、弯曲试验、耐磨性、耐酸性、重金属元素含量、有机锡化合物都符合标准HG/T2006-2022《热固性和热塑</w:t>
            </w:r>
            <w:r>
              <w:rPr>
                <w:rFonts w:ascii="宋体" w:hAnsi="宋体" w:eastAsia="宋体" w:cs="宋体"/>
                <w:color w:val="000000"/>
                <w:sz w:val="21"/>
                <w:szCs w:val="21"/>
                <w:highlight w:val="none"/>
                <w:lang w:val="en-US" w:eastAsia="zh-CN"/>
              </w:rPr>
              <w:t xml:space="preserve">性粉末涂料》、GB/T 35602-2017《绿色产品评价 涂料》的要求；骨架用38*38*1.2mm方管；封板用1.0mm板材带透气孔，封板用从一层封至三层顶端；立柱用25*1.5mm圆管；冷轧钢板参考标准GB/T11253-2019《碳素结构钢冷轧钢板及钢带》、GB/T 28907-2021《 耐硫酸露点腐蚀钢板和钢带 》、GB/T 700-2006《碳素结构钢》，冷轧钢板的弯曲性能、力学性能（室温拉伸）（抗拉强度、下屈服强度、断后伸长率）、耐腐蚀性能、表面质量、冲击性能、拉伸试验都符合国家标准的要求；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①双面存放单元，须同时满足战斗服和救援服的存放；</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②旋转板上下配优质轴承，旋转舱能实现360度角度旋转，旋转限位装置能旋转180度自动限位，手动旋转，并且能保持正常状态；</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③置物架：应设有上、中、下三层置物架；</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④中面板设置有透气孔和挂钩，满足呼吸面罩，头罩等装备的悬挂设置，双面配色处理；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衣架承重：采用金属材质，施加20KG拉力的情况下衣架应无变形，不锈钢一键快折衣架，快速拿取衣服，衣架的表面耐腐蚀性能、耐湿热型、额定承重、结构稳定性、使用寿命等符合标准QB/T2821-2021《金属晾衣架》的要求，底板的材料厚度大于等于2</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5mm；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⑤顶部灯箱（红色灯光）及86面板插座（五孔2个，带USB)设计，紫外消毒灯具备杀菌消毒功能，热风烘干机可快速烘干；</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3325-2024《金属家具通用技术条件》、QB/T4371-2012《家具抗菌性能的评价》,产品的形状和位置公差、产品外观性能、安全性能、理化性能、力学性能要求、有害物质限量、金黄色葡萄球菌≥99%、大肠杆菌≥99%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gridSpan w:val="7"/>
            <w:tcMar>
              <w:left w:w="120" w:type="dxa"/>
              <w:top w:w="120" w:type="dxa"/>
              <w:right w:w="120" w:type="dxa"/>
              <w:bottom w:w="120" w:type="dxa"/>
            </w:tcMar>
            <w:tcW w:w="8503"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二、二层</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干部备勤室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多功能单人床</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541780" cy="1432560"/>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541780" cy="1432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21.4pt;height:112.8pt;mso-wrap-distance-left:0.0pt;mso-wrap-distance-top:0.0pt;mso-wrap-distance-right:0.0pt;mso-wrap-distance-bottom:0.0pt;" stroked="f">
                      <v:path textboxrect="0,0,0,0"/>
                      <v:imagedata r:id="rId7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3、靠背覆面材料选用优质PU皮，参考标准GB/T 16799-2018《家具用皮革》、GB/T 40350-2021《家居用聚氯乙烯人造革通用技术要求》，PU皮的耐磨性、剥离负荷、可溶解的有害元素、感官要求、理化性能（游离甲醛、禁用偶氮染料）、摩擦色牢度、撕裂力等符合标准的要求；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4、工艺要求：底部单侧含3个抽屉（单个抽屉尺寸为450*400*300），使用便利；靠背含皮质/布艺软包设计，整个靠背符合人体工学设计，在使用上健康舒适，整个床摆放平稳，结构牢固，舒适性好；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5、五金件及配件：优质五金连接件；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6、说明：含床垫；</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7、床垫材料：优质棕垫，一面硬，一面软，表层采用耐污针织布料，针织布料符合GB 18401-2010《国家纺织产品基本安全技术规范》中的技术要求；床垫参考标准GB/T26706-2011《软体家具  棕纤维弹性床垫》，GB/T 35607-2024《绿色产品评价 家具》，成品的面料外观、缝纫、封边、面料及复合面料理化性能、芯料、安全卫生、阻燃性、耐久性、甲醛释放量、TVOC等都需符合国家标准。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家具》，成品的形状和位置公差、外观性能要求、软硬质覆面要求、成品的力学性能、安全性能、甲醛释放量、苯、甲苯、二甲苯、总挥发性有机化合物、可接触的实木部件中五氯苯酚等都需符合国家标准。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干部备勤室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床头柜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48675" cy="993770"/>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948675" cy="993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4.7pt;height:78.2pt;mso-wrap-distance-left:0.0pt;mso-wrap-distance-top:0.0pt;mso-wrap-distance-right:0.0pt;mso-wrap-distance-bottom:0.0pt;" stroked="f">
                      <v:path textboxrect="0,0,0,0"/>
                      <v:imagedata r:id="rId7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3、五金件及配件：优质五金连接件；阻尼静音导轨；</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干部备勤室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写字桌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452232" cy="965827"/>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452232" cy="9658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14.3pt;height:76.0pt;mso-wrap-distance-left:0.0pt;mso-wrap-distance-top:0.0pt;mso-wrap-distance-right:0.0pt;mso-wrap-distance-bottom:0.0pt;" stroked="f">
                      <v:path textboxrect="0,0,0,0"/>
                      <v:imagedata r:id="rId7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干部备勤室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软包休闲椅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78837" cy="1193772"/>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078837" cy="11937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4.9pt;height:94.0pt;mso-wrap-distance-left:0.0pt;mso-wrap-distance-top:0.0pt;mso-wrap-distance-right:0.0pt;mso-wrap-distance-bottom:0.0pt;" stroked="f">
                      <v:path textboxrect="0,0,0,0"/>
                      <v:imagedata r:id="rId7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座壳及靠背：整体采用PP聚丙烯材料注塑一体成型椅座，注塑成型连体椅背和椅座，环保无毒无异味；色泽均匀，色牢度好，长期使用不褪色；强度高，不变形，韧性好，回弹力度舒适，坐感好，长期使用腰不酸，参考标准GB/T12670-2008《聚丙烯（pp）树脂》，PP聚丙烯材料的拉伸屈服应力、弯曲模量、简支梁缺口冲击强度23℃、负荷变形温度都符合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2、覆面材料：优质生态纺织布/环保皮，精致的缝制工艺，细节精致，布料要求符合标准参考标准GB/T 18885-2020《生态纺织品技术要求》，布料的PH值、甲醛含量、可萃取重金属、总铅、紫外光稳定剂、GB/T 35611-2024《绿色产品评价  纺织产品》品质属性（有害染料、邻苯二甲酸酯总量、有机锡化合物）要求等都符合国家标准；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3、内衬：内衬高密度海绵，触感细腻柔软；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4、钢脚：优质烤漆处理，稳固耐用，承重力强，同时呈现金属质感，细腻光滑，直径12mm圆柱形管脚，整体支撑性好。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5、工艺要求：座面、靠背软包四周采用滚条设计，靠背中间车线工艺。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外观性能（金属件、软包件、塑料件、可触及区域）、产品表面理化性能（硬度、冲击强度、耐盐浴、附着力）、产品有害物质（纺织品和皮革中五氯苯酚、多环芳烃、甲醛释放量）、产品寿命（椅座椅背耐久性）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多功能单人床</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543050" cy="1432560"/>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543050" cy="1432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21.5pt;height:112.8pt;mso-wrap-distance-left:0.0pt;mso-wrap-distance-top:0.0pt;mso-wrap-distance-right:0.0pt;mso-wrap-distance-bottom:0.0pt;" stroked="f">
                      <v:path textboxrect="0,0,0,0"/>
                      <v:imagedata r:id="rId7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3、靠背覆面材料选用优质PU皮，参考标准GB/T 16799-2018《家具用皮革》、GB/T 40350-2021《家居用聚氯乙烯人造革通用技术要求》，PU皮的耐磨性、剥离负荷、可溶解的有害元素、感官要求、理化性能（游离甲醛、禁用偶氮染料）、摩擦色牢度、撕裂力等符合标准的要求；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4、工艺要求：底部单侧含3个抽屉（单个抽屉尺寸为450*400*300），使用便利；靠背含皮质/布艺软包设计，整个靠背符合人体工学设计，在使用上健康舒适，整个床摆放平稳，结构牢固，舒适性好；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5、五金件及配件：优质五金连接件；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6、说明：含床垫；</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7、床垫材料：优质棕垫，一面硬，一面软，表层采用耐污针织布料，针织布料符合GB 18401-2010《国家纺织产品基本安全技术规范》中的技术要求；床垫参考标准GB/T26706-2011《软体家具  棕纤维弹性床垫》，GB/T 35607-2024《绿色产品评价 家具》，成品的面料外观、缝纫、封边、面料及复合面料理化性能、芯料、安全卫生、阻燃性、耐久性、甲醛释放量、TVOC等都需符合国家标准。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家具》，成品的形状和位置公差、外观性能要求、软硬质覆面要求、成品的力学性能、安全性能、甲醛释放量、苯、甲苯、二甲苯、总挥发性有机化合物、可接触的实木部件中五氯苯酚等都需符合国家标准。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床头柜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54416" cy="1000106"/>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954416" cy="1000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5.2pt;height:78.7pt;mso-wrap-distance-left:0.0pt;mso-wrap-distance-top:0.0pt;mso-wrap-distance-right:0.0pt;mso-wrap-distance-bottom:0.0pt;" stroked="f">
                      <v:path textboxrect="0,0,0,0"/>
                      <v:imagedata r:id="rId7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3、五金件及配件：优质五金连接件；阻尼静音导轨；</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休闲长桌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782458" cy="1333525"/>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782458" cy="1333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40.4pt;height:105.0pt;mso-wrap-distance-left:0.0pt;mso-wrap-distance-top:0.0pt;mso-wrap-distance-right:0.0pt;mso-wrap-distance-bottom:0.0pt;" stroked="f">
                      <v:path textboxrect="0,0,0,0"/>
                      <v:imagedata r:id="rId78"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3、桌架：回字形喷涂钢架；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休闲长桌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782458" cy="133919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782458" cy="1339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40.4pt;height:105.4pt;mso-wrap-distance-left:0.0pt;mso-wrap-distance-top:0.0pt;mso-wrap-distance-right:0.0pt;mso-wrap-distance-bottom:0.0pt;" stroked="f">
                      <v:path textboxrect="0,0,0,0"/>
                      <v:imagedata r:id="rId7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3、桌架：回字形喷涂钢架；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软包休闲椅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78837" cy="1181710"/>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078837" cy="1181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84.9pt;height:93.0pt;mso-wrap-distance-left:0.0pt;mso-wrap-distance-top:0.0pt;mso-wrap-distance-right:0.0pt;mso-wrap-distance-bottom:0.0pt;" stroked="f">
                      <v:path textboxrect="0,0,0,0"/>
                      <v:imagedata r:id="rId8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座壳及靠背：整体采用PP聚丙烯材料注塑一体成型椅座，注塑成型连体椅背和椅座，环保无毒无异味；色泽均匀，色牢度好，长期使用不褪色；强度高，不变形，韧性好，回弹力度舒适，坐感好，长期使用腰不酸，参考标准GB/T12670-2008《聚丙烯（pp）树脂》，PP聚丙烯材料的拉伸屈服应力、弯曲模量、简支梁缺口冲击强度23℃、负荷变形温度都符合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2、覆面材料：优质生态纺织布/环保皮，精致的缝制工艺，细节精致，布料要求符合标准参考标准GB/T 18885-2020《生态纺织品技术要求》，布料的PH值、甲醛含量、可萃取重金属、总铅、紫外光稳定剂、GB/T 35611-2024《绿色产品评价  纺织产品》品质属性（有害染料、邻苯二甲酸酯总量、有机锡化合物）要求等都符合国家标准；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3、内衬：内衬高密度海绵，触感细腻柔软；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4、钢脚：优质烤漆处理，稳固耐用，承重力强，同时呈现金属质感，细腻光滑，直径12mm圆柱形管脚，整体支撑性好。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5、工艺要求：座面、靠背软包四周采用滚条设计，靠背中间车线工艺。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外观性能（金属件、软包件、塑料件、可触及区域）、产品表面理化性能（硬度、冲击强度、耐盐浴、附着力）、产品有害物质（纺织品和皮革中五氯苯酚、多环芳烃、甲醛释放量）、产品寿命（椅座椅背耐久性）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646555" cy="1042657"/>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646555" cy="10426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29.7pt;height:82.1pt;mso-wrap-distance-left:0.0pt;mso-wrap-distance-top:0.0pt;mso-wrap-distance-right:0.0pt;mso-wrap-distance-bottom:0.0pt;" stroked="f">
                      <v:path textboxrect="0,0,0,0"/>
                      <v:imagedata r:id="rId8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1、板材：采用25mm厚三聚氰胺饰面刨花板，经过高温蒸汽烘干，防虫防腐，木质结构均匀，木质较硬，纹理清晰自然，色泽一致，表面无明显疤节，参考标准GB/T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3、框架：桌腿为30*60矩形管焊接成型，Q235B碳素钢，表面静电粉末喷涂；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工艺要求：标配铝合金桌面翻盖及“86”型底盒；侧柜含双空格及主机存放格、开门储物空格。</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67720" cy="1243973"/>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967720" cy="12439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6.2pt;height:98.0pt;mso-wrap-distance-left:0.0pt;mso-wrap-distance-top:0.0pt;mso-wrap-distance-right:0.0pt;mso-wrap-distance-bottom:0.0pt;" stroked="f">
                      <v:path textboxrect="0,0,0,0"/>
                      <v:imagedata r:id="rId8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料：优质PU皮，经液氨多道浸色及防潮、防腐等工艺处理，皮面手感柔软舒适，光泽持久，且透气性、韧性等理化指标更胜一筹，环保皮的五氯苯酚、耐热老化性能、表面颜色迁移性、拉伸负荷（A类）、断裂伸长率（A类）、撕裂负荷（A类）、剥离负荷（A类）、表面颜色牢度、耐寒性、老化性、可溶性重金属限量、氯乙烯单体限量需符合GB/T 40350-2021《家居用聚氯乙烯人造革通用技术要求》、GB/T8948-2008《聚氯乙烯人造革》、GB21550-2008《聚氯乙烯人造革有害物质限量》的要求；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2、椅背：高密度定型绵内衬Φ10钢筋+7厘切割板，高密度定型绵达到国家阻燃标准，符合标准GB/T10802-2023《通用软质聚氨酯泡沫塑料》；</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3、坐垫：固定座垫，高密度定型绵内衬12厘单层夹板，牢固性好；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4、椅脚：电镀弓形脚。金属表面理化性能要求：经18小时抗盐雾试验，1.5mm以下锈点≤20点/dm2；</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5、扶手：PP扶手面，舒适性好；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6、椅脚：弓形脚，钢管弯制而成，表面精细抛光的处理，带来更加稳重牢固的视觉感受，参考标准GB/T 14975-2012《结构用不锈钢无缝钢管》，钢管的端头外形、不圆度和壁厚不均、弯曲度、抗拉强度、规定塑性延伸强度、断后伸长率、硬度、密度符合标准的要求；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成品要求：参考标准QB/T 2280-2016《办公家具 办公椅》、GB/T 35607-2024 《绿色产品评价 家具》，产品的外观（金属件外观、软硬包件外观）、理化性能、力学性能、阻燃性、产品有害物质（甲醛释放量、TVOC、苯、甲苯、二甲苯）、五氯苯酚、苯并芘都符合国家标准。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文件柜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06444" cy="1361453"/>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rcRect l="14684" t="0" r="0" b="0"/>
                              <a:stretch/>
                            </pic:blipFill>
                            <pic:spPr bwMode="auto">
                              <a:xfrm>
                                <a:off x="0" y="0"/>
                                <a:ext cx="606444" cy="13614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8pt;height:107.2pt;mso-wrap-distance-left:0.0pt;mso-wrap-distance-top:0.0pt;mso-wrap-distance-right:0.0pt;mso-wrap-distance-bottom:0.0pt;" stroked="f">
                      <v:path textboxrect="0,0,0,0"/>
                      <v:imagedata r:id="rId8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茶水柜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32599" cy="1207120"/>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232599" cy="1207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7.1pt;height:95.0pt;mso-wrap-distance-left:0.0pt;mso-wrap-distance-top:0.0pt;mso-wrap-distance-right:0.0pt;mso-wrap-distance-bottom:0.0pt;" stroked="f">
                      <v:path textboxrect="0,0,0,0"/>
                      <v:imagedata r:id="rId8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会议室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12 人会议桌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745615" cy="972186"/>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745615" cy="9721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37.4pt;height:76.6pt;mso-wrap-distance-left:0.0pt;mso-wrap-distance-top:0.0pt;mso-wrap-distance-right:0.0pt;mso-wrap-distance-bottom:0.0pt;" stroked="f">
                      <v:path textboxrect="0,0,0,0"/>
                      <v:imagedata r:id="rId8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会议室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会议椅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05230" cy="1203319"/>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005230" cy="12033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9.2pt;height:94.7pt;mso-wrap-distance-left:0.0pt;mso-wrap-distance-top:0.0pt;mso-wrap-distance-right:0.0pt;mso-wrap-distance-bottom:0.0pt;" stroked="f">
                      <v:path textboxrect="0,0,0,0"/>
                      <v:imagedata r:id="rId8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料：优质PU皮，经液氨多道浸色及防潮、防腐等工艺处理，皮面手感柔软舒适，光泽持久，且透气性、韧性等理化指标更胜一筹，环保皮的五氯苯酚、耐热老化性能、表面颜色迁移性、拉伸负荷（A类）、断裂伸长率（A类）、撕裂负荷（A类）、剥离负荷（A类）、表面颜色牢度、耐寒性、老化性、可溶性重金属限量、氯乙烯单体限量需符合GB/T 40350-2021《家居用聚氯乙烯人造革通用技术要求》、GB/T8948-2008《聚氯乙烯人造革》、GB21550-2008《聚氯乙烯人造革有害物质限量》的要求；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2、椅背：高密度定型绵内衬Φ10钢筋+7厘切割板，高密度定型绵达到国家阻燃标准，符合标准GB/T10802-2023《通用软质聚氨酯泡沫塑料》；</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3、坐垫：固定座垫，高密度定型绵内衬12厘单层夹板，牢固性好；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4、椅脚：电镀弓形脚。金属表面理化性能要求：经18小时抗盐雾试验，1.5mm以下锈点≤20点/dm2；</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5、扶手：PP扶手面，舒适性好；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6、椅脚：弓形脚，钢管弯制而成，表面精细抛光的处理，带来更加稳重牢固的视觉感受，参考标准GB/T 14975-2012《结构用不锈钢无缝钢管》，钢管的端头外形、不圆度和壁厚不均、弯曲度、抗拉强度、规定塑性延伸强度、断后伸长率、硬度、密度符合标准的要求；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成品要求：参考标准QB/T 2280-2016《办公家具 办公椅》、GB/T 35607-2024 《绿色产品评价 家具》，产品的外观（金属件外观、软硬包件外观）、理化性能、力学性能、阻燃性、产品有害物质（甲醛释放量、TVOC、苯、甲苯、二甲苯）、五氯苯酚、苯并芘都符合国家标准。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会议室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茶水柜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32599" cy="1207722"/>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232599" cy="12077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97.1pt;height:95.1pt;mso-wrap-distance-left:0.0pt;mso-wrap-distance-top:0.0pt;mso-wrap-distance-right:0.0pt;mso-wrap-distance-bottom:0.0pt;" stroked="f">
                      <v:path textboxrect="0,0,0,0"/>
                      <v:imagedata r:id="rId8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装备室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装备柜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79800" cy="1343076"/>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779800" cy="1343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61.4pt;height:105.8pt;mso-wrap-distance-left:0.0pt;mso-wrap-distance-top:0.0pt;mso-wrap-distance-right:0.0pt;mso-wrap-distance-bottom:0.0pt;" stroked="f">
                      <v:path textboxrect="0,0,0,0"/>
                      <v:imagedata r:id="rId88" o:title=""/>
                    </v:shape>
                  </w:pict>
                </mc:Fallback>
              </mc:AlternateContent>
            </w:r>
            <w:r>
              <w:rPr>
                <w:color w:val="000000"/>
                <w:highlight w:val="none"/>
              </w:rPr>
              <mc:AlternateContent>
                <mc:Choice Requires="wpg">
                  <w:drawing>
                    <wp:inline xmlns:wp="http://schemas.openxmlformats.org/drawingml/2006/wordprocessingDrawing" distT="0" distB="0" distL="0" distR="0">
                      <wp:extent cx="809014" cy="1349972"/>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809014" cy="13499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3.7pt;height:106.3pt;mso-wrap-distance-left:0.0pt;mso-wrap-distance-top:0.0pt;mso-wrap-distance-right:0.0pt;mso-wrap-distance-bottom:0.0pt;" stroked="f">
                      <v:path textboxrect="0,0,0,0"/>
                      <v:imagedata r:id="rId8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1、框架用材：采用优质0.8mm一级冷轧钢板，稳重、坚固。冷轧钢板的下屈服强度、抗拉强度、断后伸长率、弯曲试验、金属件喷涂层外观、金属喷漆（塑）涂层理化性能符合GB/T 11253-2019《碳素结构钢冷轧钢板及钢带》、GB/T 3325-2024《金属家具通用技术条件》的要求；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2、经酸洗、磷化、纯化等八道防锈工序前处理；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3、采用静电无磷塑粉涂装，色泽均匀，光滑平整；</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4、焊接采用电阻焊，平整度高，四周接口处采用铜焊，便于钢柜的长久使用和搬迁；</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5、优质配色折弯拉手，优质锁具，内置一块层板及挂衣杆；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6、优质五金配件，顶部及底部加强筋配置；</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更衣间 / 理发区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理发小桌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90294" cy="932791"/>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890294" cy="9327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0.1pt;height:73.4pt;mso-wrap-distance-left:0.0pt;mso-wrap-distance-top:0.0pt;mso-wrap-distance-right:0.0pt;mso-wrap-distance-bottom:0.0pt;" stroked="f">
                      <v:path textboxrect="0,0,0,0"/>
                      <v:imagedata r:id="rId9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1、面材：采用优质三聚氰胺浸渍胶膜纸,经热压可相互与人造板基材胶合。                                      2、基材：采用优质多层板。板材具有防火性、防腐化等化学处理。具有耐高温、耐冲击、易清洁、韧性强、抗刻刮性能好等特点。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3、封边：2mm厚PVC同色封边，一次性热压成型，进一步杜绝板材中甲醛分子的释放。                          4、五金：优质五金配件。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更衣间 / 理发区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理发镜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458518" cy="102299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458518" cy="102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36.1pt;height:80.6pt;mso-wrap-distance-left:0.0pt;mso-wrap-distance-top:0.0pt;mso-wrap-distance-right:0.0pt;mso-wrap-distance-bottom:0.0pt;" stroked="f">
                      <v:path textboxrect="0,0,0,0"/>
                      <v:imagedata r:id="rId9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靠墙壁固定，高清浮法镜片，呈现清晰逼真的效果；带有抗氧化层、保护层、反射层、浮法玻璃，共四层配置；加厚太空铝材，四周大圆角设计，美观时尚，强度加大，不易变形。</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块</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更衣间 / 理发区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理发椅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37260" cy="997595"/>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937260" cy="997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3.8pt;height:78.6pt;mso-wrap-distance-left:0.0pt;mso-wrap-distance-top:0.0pt;mso-wrap-distance-right:0.0pt;mso-wrap-distance-bottom:0.0pt;" stroked="f">
                      <v:path textboxrect="0,0,0,0"/>
                      <v:imagedata r:id="rId9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1、表面材料：采用环保PU皮，内衬高回弹海绵，耐污、易清洁。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2、底盘：加厚圆形底盘，十分稳重。</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3、功能配置：含椅子后端含升降脚踏，座椅可实现上下高度调节；前端含搁脚双管脚踏，舒适性好。</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更衣间 / 理发区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理发椅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41087" cy="1060416"/>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941087" cy="10604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4.1pt;height:83.5pt;mso-wrap-distance-left:0.0pt;mso-wrap-distance-top:0.0pt;mso-wrap-distance-right:0.0pt;mso-wrap-distance-bottom:0.0pt;" stroked="f">
                      <v:path textboxrect="0,0,0,0"/>
                      <v:imagedata r:id="rId9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1、表面材料：采用环保PU皮，内衬高回弹海绵，耐污、易清洁。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2、底盘：加厚五星底盘，十分稳重。</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3、功能配置：含椅子后端含升降脚踏，座椅可实现上下高度调节，舒适性好。</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更衣间 / 理发区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六门更衣柜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465555" cy="1002648"/>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rcRect l="8298" t="28755" r="41557" b="7147"/>
                              <a:stretch/>
                            </pic:blipFill>
                            <pic:spPr bwMode="auto">
                              <a:xfrm>
                                <a:off x="0" y="0"/>
                                <a:ext cx="1465555" cy="10026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15.4pt;height:78.9pt;mso-wrap-distance-left:0.0pt;mso-wrap-distance-top:0.0pt;mso-wrap-distance-right:0.0pt;mso-wrap-distance-bottom:0.0pt;" stroked="f">
                      <v:path textboxrect="0,0,0,0"/>
                      <v:imagedata r:id="rId9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1、框架用材：采用优质0.8mm一级冷轧钢板，稳重、坚固。冷轧钢板的下屈服强度、抗拉强度、断后伸长率、弯曲试验、金属件喷涂层外观、金属喷漆（塑）涂层理化性能符合GB/T 11253-2019《碳素结构钢冷轧钢板及钢带》、GB/T 3325-2024《金属家具通用技术条件》的要求。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2、经酸洗、磷化、纯化等八道防锈工序前处理。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3、采用静电无磷塑粉涂装，色泽均匀，光滑平整。</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4、焊接采用电阻焊，平整度高，四周接口处采用铜焊，便于钢柜的长久使用和搬迁。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5、优质拉手，优质锁具，内置一块层板及挂衣杆。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6、优质五金配件，层板承重60KG，底部加强筋配置。</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更衣间 / 理发区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更衣凳</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32510" cy="731469"/>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rcRect l="5952" t="28101" r="3766" b="17370"/>
                              <a:stretch/>
                            </pic:blipFill>
                            <pic:spPr bwMode="auto">
                              <a:xfrm>
                                <a:off x="0" y="0"/>
                                <a:ext cx="1032510" cy="7314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81.3pt;height:57.6pt;mso-wrap-distance-left:0.0pt;mso-wrap-distance-top:0.0pt;mso-wrap-distance-right:0.0pt;mso-wrap-distance-bottom:0.0pt;" stroked="f">
                      <v:path textboxrect="0,0,0,0"/>
                      <v:imagedata r:id="rId9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1、凳面采用</w:t>
            </w:r>
            <w:r>
              <w:rPr>
                <w:rFonts w:hint="eastAsia" w:ascii="宋体" w:hAnsi="宋体" w:eastAsia="宋体" w:cs="宋体"/>
                <w:color w:val="000000"/>
                <w:sz w:val="21"/>
                <w:szCs w:val="21"/>
                <w:highlight w:val="none"/>
                <w:lang w:val="en-US" w:eastAsia="zh-CN"/>
              </w:rPr>
              <w:t xml:space="preserve">优质实木材料，表面环保水性漆涂饰，其不挥发物、耐人工气候老化、硬度、防霉等级、细度、耐冻融性、涂膜外观、附着力、抗粘连性、耐磨性、耐划伤性、耐醇性、耐污染性、耐干热性、打磨性、耐黄变形、耐冲击性、耐水性、耐碱性必须达到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2、框架：金属框架，表面喷塑处理；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gridSpan w:val="7"/>
            <w:tcMar>
              <w:left w:w="120" w:type="dxa"/>
              <w:top w:w="120" w:type="dxa"/>
              <w:right w:w="120" w:type="dxa"/>
              <w:bottom w:w="120" w:type="dxa"/>
            </w:tcMar>
            <w:tcW w:w="8503"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三、三层</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办公室（财务室）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646555" cy="1047773"/>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646555" cy="10477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29.7pt;height:82.5pt;mso-wrap-distance-left:0.0pt;mso-wrap-distance-top:0.0pt;mso-wrap-distance-right:0.0pt;mso-wrap-distance-bottom:0.0pt;" stroked="f">
                      <v:path textboxrect="0,0,0,0"/>
                      <v:imagedata r:id="rId9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1、板材：采用25mm厚三聚氰胺饰面刨花板，经过高温蒸汽烘干，防虫防腐，木质结构均匀，木质较硬，纹理清晰自然，色泽一致，表面无明显疤节，参考标准GB/T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3、框架：桌腿为30*60矩形管焊接成型，Q235B碳素钢，表面静电粉末喷涂；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工艺要求：标配铝合金桌面翻盖及“86”型底盒；侧柜含双空格及主机存放空格，双抽设计，带锁。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办公室（财务室）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68397" cy="1245205"/>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968397" cy="1245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6.3pt;height:98.0pt;mso-wrap-distance-left:0.0pt;mso-wrap-distance-top:0.0pt;mso-wrap-distance-right:0.0pt;mso-wrap-distance-bottom:0.0pt;" stroked="f">
                      <v:path textboxrect="0,0,0,0"/>
                      <v:imagedata r:id="rId9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料：优质PU皮，经液氨多道浸色及防潮、防腐等工艺处理，皮面手感柔软舒适，光泽持久，且透气性、韧性等理化指标更胜一筹，环保皮的五氯苯酚、耐热老化性能、表面颜色迁移性、拉伸负荷（A类）、断裂伸长率（A类）、撕裂负荷（A类）、剥离负荷（A类）、表面颜色牢度、耐寒性、老化性、可溶性重金属限量、氯乙烯单体限量需符合GB/T 40350-2021《家居用聚氯乙烯人造革通用技术要求》、GB/T8948-2008《聚氯乙烯人造革》、GB21550-2008《聚氯乙烯人造革有害物质限量》的要求；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2、椅背：高密度定型绵内衬Φ10钢筋+7厘切割板，高密度定型绵达到国家阻燃标准，符合标准GB/T10802-2023《通用软质聚氨酯泡沫塑料》；</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3、坐垫：固定座垫，高密度定型绵内衬12厘单层夹板，牢固性好；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4、椅脚：电镀弓形脚。金属表面理化性能要求：经18小时抗盐雾试验，1.5mm以下锈点≤20点/dm2；</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5、扶手：PP扶手面，舒适性好；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6、椅脚：弓形脚，钢管弯制而成，表面精细抛光的处理，带来更加稳重牢固的视觉感受，参考标准GB/T 14975-2012《结构用不锈钢无缝钢管》，钢管的端头外形、不圆度和壁厚不均、弯曲度、抗拉强度、规定塑性延伸强度、断后伸长率、硬度、密度符合标准的要求；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成品要求：参考标准QB/T 2280-2016《办公家具 办公椅》、GB/T 35607-2024 《绿色产品评价 家具》，产品的外观（金属件外观、软硬包件外观）、理化性能、力学性能、阻燃性、产品有害物质（甲醛释放量、TVOC、苯、甲苯、二甲苯）、五氯苯酚、苯并芘都符合国家标准。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办公室（财务室）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文件柜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07087" cy="1358913"/>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rcRect l="14684" t="0" r="0" b="0"/>
                              <a:stretch/>
                            </pic:blipFill>
                            <pic:spPr bwMode="auto">
                              <a:xfrm>
                                <a:off x="0" y="0"/>
                                <a:ext cx="607087" cy="1358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7.8pt;height:107.0pt;mso-wrap-distance-left:0.0pt;mso-wrap-distance-top:0.0pt;mso-wrap-distance-right:0.0pt;mso-wrap-distance-bottom:0.0pt;" stroked="f">
                      <v:path textboxrect="0,0,0,0"/>
                      <v:imagedata r:id="rId98"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办公室（财务室）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茶水柜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32599" cy="1212818"/>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232599" cy="12128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97.1pt;height:95.5pt;mso-wrap-distance-left:0.0pt;mso-wrap-distance-top:0.0pt;mso-wrap-distance-right:0.0pt;mso-wrap-distance-bottom:0.0pt;" stroked="f">
                      <v:path textboxrect="0,0,0,0"/>
                      <v:imagedata r:id="rId9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档案室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储物架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88385" cy="1358252"/>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888385" cy="1358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0.0pt;height:106.9pt;mso-wrap-distance-left:0.0pt;mso-wrap-distance-top:0.0pt;mso-wrap-distance-right:0.0pt;mso-wrap-distance-bottom:0.0pt;" stroked="f">
                      <v:path textboxrect="0,0,0,0"/>
                      <v:imagedata r:id="rId10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1、用材：采用优质0.8mm一级冷轧钢板，稳重、坚固，冷轧钢板参考标准GB/T11253-2019《碳素结构钢冷轧钢板及钢带》、GB/T 28907-2021《 耐硫酸露点腐蚀钢板和钢带 》，冷轧钢板的弯曲性能、力学性能（室温拉伸）（抗拉强度、下屈服强度、断后伸长率）、耐腐蚀性能、表面质量、冲击性能、拉伸试验都符合国家标准的要求；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2、工艺：使用数控冲床冲压而成，连接处精密度高、折边挺括，采用点焊、碰焊工艺，焊接点少，无疤痕；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处理工艺：经酸洗、磷化处理，表层选用优质塑粉粉末静电喷涂，具保护视力的浅灰亚光色，永不变色；塑粉的涂膜外观、耐碱性、耐冲击性、杯突试验、弯曲试验、耐磨性、耐酸性、重金属元素含量、有机锡化合物都符合标准HG/T2006-2022《热固性和热塑性粉末涂料》、GB/T 35602-2017《绿色产品评价 涂料》的要求；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成品要求：参考标准GB/T3325-2024《金属家具通用技术条件》,产品的形状和位置公差、产品外观性能、安全性能、理化性能、力学性能要求、有害物质限量等都需符合国家标准。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灭火救援研讨室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固定条桌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429360" cy="963247"/>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1429360" cy="9632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12.5pt;height:75.8pt;mso-wrap-distance-left:0.0pt;mso-wrap-distance-top:0.0pt;mso-wrap-distance-right:0.0pt;mso-wrap-distance-bottom:0.0pt;" stroked="f">
                      <v:path textboxrect="0,0,0,0"/>
                      <v:imagedata r:id="rId10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3、五金件及配件：固定脚，可翻转折叠,前置波纹型亚克力下挂挡板；</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灭火救援研讨室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软包讨论椅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123290" cy="1353147"/>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123290" cy="13531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88.4pt;height:106.5pt;mso-wrap-distance-left:0.0pt;mso-wrap-distance-top:0.0pt;mso-wrap-distance-right:0.0pt;mso-wrap-distance-bottom:0.0pt;" stroked="f">
                      <v:path textboxrect="0,0,0,0"/>
                      <v:imagedata r:id="rId10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座壳及靠背：整体采用PP聚丙烯材料注塑一体成型椅座，注塑成型连体椅背和椅座，环保无毒无异味；色泽均匀，色牢度好，长期使用不褪色；强度高，不变形，韧性好，回弹力度舒适，坐感好，长期使用腰不酸，参考标准GB/T12670-2008《聚丙烯（pp）树脂》，PP聚丙烯材料的拉伸屈服应力、弯曲模量、简支梁缺口冲击强度23℃、负荷变形温度都符合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2、覆面材料：优质生态纺织布/环保皮，精致的缝制工艺，细节精致，布料要求符合标准参考标准GB/T 18885-2020《生态纺织品技术要求》，布料的PH值、甲醛含量、可萃取重金属、总铅、紫外光稳定剂、GB/T 35611-2024《绿色产品评价  纺织产品》品质属性（有害染料、邻苯二甲酸酯总量、有机锡化合物）要求等都符合国家标准；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3、内衬：内衬高密度海绵，触感细腻柔软；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4、钢脚：优质烤漆处理，稳固耐用，承重力强，同时呈现金属质感，细腻光滑，直径12mm圆柱形管脚，整体支撑性好。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5、工艺要求：座面、靠背软包四周采用滚条设计，靠背中间车线工艺。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外观性能（金属件、软包件、塑料件、可触及区域）、产品表面理化性能（硬度、冲击强度、耐盐浴、附着力）、产品有害物质（纺织品和皮革中五氯苯酚、多环芳烃、甲醛释放量）、产品寿命（椅座椅背耐久性）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医疗室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诊疗桌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3、五金件及配件：优质五金连接件，阻尼铰链及导轨；配置双抽屉及单开门，桌子含走线功能；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医疗室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药品柜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26249" cy="1376642"/>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826249" cy="1376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65.1pt;height:108.4pt;mso-wrap-distance-left:0.0pt;mso-wrap-distance-top:0.0pt;mso-wrap-distance-right:0.0pt;mso-wrap-distance-bottom:0.0pt;" stroked="f">
                      <v:path textboxrect="0,0,0,0"/>
                      <v:imagedata r:id="rId10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医疗室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68397" cy="1238861"/>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968397" cy="1238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6.3pt;height:97.5pt;mso-wrap-distance-left:0.0pt;mso-wrap-distance-top:0.0pt;mso-wrap-distance-right:0.0pt;mso-wrap-distance-bottom:0.0pt;" stroked="f">
                      <v:path textboxrect="0,0,0,0"/>
                      <v:imagedata r:id="rId10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料：优质环保皮，经液氨多道浸色及防潮、防腐等工艺处理，皮面手感柔软舒适，光泽持久，且透气性、韧性等理化指标更胜一筹，环保皮的五氯苯酚、耐热老化性能、表面颜色迁移性、拉伸负荷（A类）、断裂伸长率（A类）、撕裂负荷（A类）、剥离负荷（A类）、表面颜色牢度、耐寒性、老化性、可溶性重金属限量、氯乙烯单体限量需符合GB/T 40350-2021《家居用聚氯乙烯人造革通用技术要求》、GB/T8948-2008《聚氯乙烯人造革》、GB21550-2008《聚氯乙烯人造革有害物质限量》的要求；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2、椅背：高密度定型绵内衬Φ10钢筋+7厘切割板，高密度定型绵达到国家阻燃标准，符合标准GB/T10802-2023《通用软质聚氨酯泡沫塑料》；</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3、坐垫：固定座垫，高密度定型绵内衬12厘单层夹板，牢固性好；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4、椅脚：电镀弓形脚。金属表面理化性能要求：经18小时抗盐雾试验，1.5mm以下锈点≤20点/dm2；</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5、扶手：铝合金扶手+PP扶手面，舒适性好；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6、椅脚：弓形脚，表面精细抛光的处理，带来更加稳重牢固的视觉感受；</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成品要求：参考标准QB/T 2280-2016《办公家具 办公椅》、GB/T 35607-2024 《绿色产品评价 家具》，产品的外观（金属件外观、软硬包件外观）、理化性能、力学性能、阻燃性、产品有害物质（甲醛释放量、TVOC、苯、甲苯、二甲苯）、五氯苯酚、苯并芘都符合国家标准。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医疗室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软包休闲椅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83600" cy="1086500"/>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983600" cy="1086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7.4pt;height:85.6pt;mso-wrap-distance-left:0.0pt;mso-wrap-distance-top:0.0pt;mso-wrap-distance-right:0.0pt;mso-wrap-distance-bottom:0.0pt;" stroked="f">
                      <v:path textboxrect="0,0,0,0"/>
                      <v:imagedata r:id="rId10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座壳及靠背：整体采用PP聚丙烯材料注塑一体成型椅座，注塑成型连体椅背和椅座，环保无毒无异味；色泽均匀，色牢度好，长期使用不褪色；强度高，不变形，韧性好，回弹力度舒适，坐感好，长期使用腰不酸，参考标准GB/T12670-2008《聚丙烯（pp）树脂》，PP聚丙烯材料的拉伸屈服应力、弯曲模量、简支梁缺口冲击强度23℃、负荷变形温度都符合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2、覆面材料：优质生态纺织布/环保皮，精致的缝制工艺，细节精致，布料要求符合标准参考标准GB/T 18885-2020《生态纺织品技术要求》，布料的PH值、甲醛含量、可萃取重金属、总铅、紫外光稳定剂、GB/T 35611-2024《绿色产品评价  纺织产品》品质属性（有害染料、邻苯二甲酸酯总量、有机锡化合物）要求等都符合国家标准；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3、内衬：内衬高密度海绵，触感细腻柔软；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4、钢脚：优质烤漆处理，稳固耐用，承重力强，同时呈现金属质感，细腻光滑，直径12mm圆柱形管脚，整体支撑性好。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5、工艺要求：座面、靠背软包四周采用滚条设计，靠背中间车线工艺。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外观性能（金属件、软包件、塑料件、可触及区域）、产品表面理化性能（硬度、冲击强度、耐盐浴、附着力）、产品有害物质（纺织品和皮革中五氯苯酚、多环芳烃、甲醛释放量）、产品寿命（椅座椅背耐久性）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医疗室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诊疗床</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421143" cy="683885"/>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421143" cy="683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11.9pt;height:53.8pt;mso-wrap-distance-left:0.0pt;mso-wrap-distance-top:0.0pt;mso-wrap-distance-right:0.0pt;mso-wrap-distance-bottom:0.0pt;" stroked="f">
                      <v:path textboxrect="0,0,0,0"/>
                      <v:imagedata r:id="rId10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覆面材料：医用级环保水性皮，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2、海绵：高密度回弹海绵，座面密度≥28kg/m³，压缩永久变形≤10%，泡沫回弹性≥35%；内衬E1级成型胶合板，甲醛释放量≤0.050mg/m³；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3、下架：不锈钢架，壁厚2.0mm，涂层附着力不低于2级，耐腐蚀100h，可承受136kg冲击及57kg耐久100000次冲击试验；</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4、钢脚地面接触面采用塑胶脚塞，防滑耐磨静音；</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5、工艺要求：钢制双抽设计，增加储藏功能；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3325-2024《金属家具通用技术》、GB/T 35607-2024《绿色产品评价 家具》，产品的形状和位置公差、产品外观性能、安全性能、理化性能、力学性能要求，产品有害物质（甲醛释放量、TVOC、苯、甲苯、二甲苯、铅、镉、铬、汞、锑、钡、硒、砷），五氯苯酚等都需符合标准。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电子阅览桌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384364" cy="884460"/>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rcRect l="0" t="0" r="13662" b="0"/>
                              <a:stretch/>
                            </pic:blipFill>
                            <pic:spPr bwMode="auto">
                              <a:xfrm>
                                <a:off x="0" y="0"/>
                                <a:ext cx="1384364" cy="8844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09.0pt;height:69.6pt;mso-wrap-distance-left:0.0pt;mso-wrap-distance-top:0.0pt;mso-wrap-distance-right:0.0pt;mso-wrap-distance-bottom:0.0pt;" stroked="f">
                      <v:path textboxrect="0,0,0,0"/>
                      <v:imagedata r:id="rId10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3、框架：桌腿为五边形异形管材，框架采用魔术贴快装结构，安装方式便捷，表面静电粉末喷涂；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电子阅览椅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83600" cy="1075075"/>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983600" cy="1075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7.4pt;height:84.7pt;mso-wrap-distance-left:0.0pt;mso-wrap-distance-top:0.0pt;mso-wrap-distance-right:0.0pt;mso-wrap-distance-bottom:0.0pt;" stroked="f">
                      <v:path textboxrect="0,0,0,0"/>
                      <v:imagedata r:id="rId108"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座壳及靠背：整体采用PP聚丙烯材料注塑一体成型椅座，注塑成型连体椅背和椅座，环保无毒无异味；色泽均匀，色牢度好，长期使用不褪色；强度高，不变形，韧性好，回弹力度舒适，坐感好，长期使用腰不酸，参考标准GB/T12670-2008《聚丙烯（pp）树脂》，PP聚丙烯材料的拉伸屈服应力、弯曲模量、简支梁缺口冲击强度23℃、负荷变形温度都符合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2、覆面材料：优质生态纺织布/环保皮，精致的缝制工艺，细节精致，布料要求符合标准参考标准GB/T 18885-2020《生态纺织品技术要求》，布料的PH值、甲醛含量、可萃取重金属、总铅、紫外光稳定剂、GB/T 35611-2024《绿色产品评价  纺织产品》品质属性（有害染料、邻苯二甲酸酯总量、有机锡化合物）要求等都符合国家标准；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3、内衬：内衬高密度海绵，触感细腻柔软；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4、钢脚：优质烤漆处理，稳固耐用，承重力强，同时呈现金属质感，细腻光滑，直径12mm圆柱形管脚，整体支撑性好。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5、工艺要求：座面、靠背软包四周采用滚条设计，靠背中间车线工艺。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外观性能（金属件、软包件、塑料件、可触及区域）、产品表面理化性能（硬度、冲击强度、耐盐浴、附着力）、产品有害物质（纺织品和皮革中五氯苯酚、多环芳烃、甲醛释放量）、产品寿命（椅座椅背耐久性）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造型书架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30630" cy="1118870"/>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230630" cy="1118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96.9pt;height:88.1pt;mso-wrap-distance-left:0.0pt;mso-wrap-distance-top:0.0pt;mso-wrap-distance-right:0.0pt;mso-wrap-distance-bottom:0.0pt;" stroked="f">
                      <v:path textboxrect="0,0,0,0"/>
                      <v:imagedata r:id="rId10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3、框架：整体采用金属框架；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乒乓球桌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361402" cy="936530"/>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361402" cy="936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07.2pt;height:73.7pt;mso-wrap-distance-left:0.0pt;mso-wrap-distance-top:0.0pt;mso-wrap-distance-right:0.0pt;mso-wrap-distance-bottom:0.0pt;" stroked="f">
                      <v:path textboxrect="0,0,0,0"/>
                      <v:imagedata r:id="rId11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1、单折移动型，由支架、台面、网架组成。</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2、支架底部有万向脚轮，单边折起后可多方向移动，支架采用40×40×1.1mm的方形管材制作，底部有可调节平整度的手轮，支架金属外表经喷砂抛丸、酸洗磷化后静电喷涂。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台面采用两块专用球台高密度板组成，弹性及平整度达到国家标准。台面厚度为18mm，台面颜色为墨绿色，台面无有划痕、明显的斑点、气泡、凹凸等缺陷；球台的边线和和端线为20mm，中线为3mm，为白色，台面弹性230～260 mm，弹性均匀度≤10 mm，球台稳定性≤14 mm，台面光泽度60°，配网架、网架高15.25 mm,长度152.5mm，网子为深蓝色或墨绿色。</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4、添加安全设备。折叠后锁定的安全插销以固定折叠后的状态避免折叠后易倒易滑的情况。</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5、球台球网组件连接区底面应有保护垫板，以保护球台。乒乓球网的台面底部要有相对应的保护垫板。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组合沙发</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640840" cy="734695"/>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1640840" cy="734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29.2pt;height:57.8pt;mso-wrap-distance-left:0.0pt;mso-wrap-distance-top:0.0pt;mso-wrap-distance-right:0.0pt;mso-wrap-distance-bottom:0.0pt;" stroked="f">
                      <v:path textboxrect="0,0,0,0"/>
                      <v:imagedata r:id="rId11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1、覆面材料：优质生态纺织布，经液氨多道浸色及防潮、防腐等工艺处理，皮面手感柔软舒适，光泽持久，且透气性、韧性等理化指标更胜一筹，布料要求符合标准参考标准GB/T 18885-2020《生态纺织品技术要求》，布料的PH、甲醛含量、可萃取重金属、总铅、紫外光稳定剂、GB/T 35611-2024《绿色产品评价  纺织产品》纤维原材料要求、染料要求、助剂要求等都符合国家标准；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内衬海绵：一体成型高密度定型绵，海绵的长度、宽度偏差、厚度偏差、外观、表观密度偏差、40%压陷硬度偏差、性能要求V类（75%压缩永久变形、恒定负荷反复压陷疲劳后的40%压陷硬度损失值、拉伸强度、断裂伸长率、撕裂强度、干热老化后拉伸强度、湿热老化后拉伸强度、灰分、甲醛散发）均需符合GB/T10802-2023《通用软质聚氨酯泡沫塑料》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内框架采用东北落叶松实木框架，肉眼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 QB/T 1952.1-2023《软体家具  沙发》，产品用料加工、外观性能（面料、缝纫和包覆、木制件），力学性能、理化性能、安全性能（抗引燃特性）、产品有害物质甲醛释放量等都需符合国家标准。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空格书架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471295" cy="877583"/>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rcRect l="23315" t="22603" r="8510" b="4552"/>
                              <a:stretch/>
                            </pic:blipFill>
                            <pic:spPr bwMode="auto">
                              <a:xfrm>
                                <a:off x="0" y="0"/>
                                <a:ext cx="1471295" cy="877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15.8pt;height:69.1pt;mso-wrap-distance-left:0.0pt;mso-wrap-distance-top:0.0pt;mso-wrap-distance-right:0.0pt;mso-wrap-distance-bottom:0.0pt;" stroked="f">
                      <v:path textboxrect="0,0,0,0"/>
                      <v:imagedata r:id="rId11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3、工艺要求：中间分割段采用冷轧钢板折弯而成，四周采用五金配件连接牢固，表面静电粉末喷涂；满足书架的使用需求；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休闲圆桌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95813" cy="965120"/>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995813" cy="965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78.4pt;height:76.0pt;mso-wrap-distance-left:0.0pt;mso-wrap-distance-top:0.0pt;mso-wrap-distance-right:0.0pt;mso-wrap-distance-bottom:0.0pt;" stroked="f">
                      <v:path textboxrect="0,0,0,0"/>
                      <v:imagedata r:id="rId11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3、框架：采用直径50抛光铝合金脚；</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休闲椅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05977" cy="1029310"/>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1205977" cy="1029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95.0pt;height:81.0pt;mso-wrap-distance-left:0.0pt;mso-wrap-distance-top:0.0pt;mso-wrap-distance-right:0.0pt;mso-wrap-distance-bottom:0.0pt;" stroked="f">
                      <v:path textboxrect="0,0,0,0"/>
                      <v:imagedata r:id="rId11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覆面材料：优质环保皮，经液氨多道浸色及防潮、防腐等工艺处理，皮面手感柔软舒适，光泽持久，且透气性、韧性等理化指标更胜一筹，环保皮的五氯苯酚、耐热老化性能、表面颜色迁移性、拉伸负荷（A类）、断裂伸长率（A类）、撕裂负荷（A类）、剥离负荷（A类）、表面颜色牢度、耐寒性、老化性、可溶性重金属限量、氯乙烯单体限量需符合GB/T 40350-2021《家居用聚氯乙烯人造革通用技术要求》、GB/T8948-2008《聚氯乙烯人造革》、GB21550-2008《聚氯乙烯人造革有害物质限量》的要求；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内衬海绵：海绵采用优质高密度定型绵，密度≥30KG/m³。海绵的长度、宽度偏差、厚度偏差、外观、表观密度偏差、40%压陷硬度偏差、性能要求V类（75%压缩永久变形、恒定负荷反复压陷疲劳后的40%压陷硬度损失值、拉伸强度、断裂伸长率、撕裂强度、干热老化后拉伸强度、湿热老化后拉伸强度、灰分、甲醛散发）均需符合GB/T10802-2023《通用软质聚氨酯泡沫塑料》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内框架采用东北落叶松实木框架，肉眼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4、支撑脚：铝合金四星脚，可旋转，不带升降功能；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成品要求：参考标准QB/T 2280-2016《办公家具 办公椅》、GB/T 35607-2024 《绿色产品评价 家具》，产品的外观（金属件外观、软硬包件外观）、理化性能、力学性能、阻燃性、产品有害物质（甲醛释放量、TVOC、苯、甲苯、二甲苯）、五氯苯酚、苯并芘都符合国家标准。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按摩椅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348740" cy="731491"/>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348740" cy="731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06.2pt;height:57.6pt;mso-wrap-distance-left:0.0pt;mso-wrap-distance-top:0.0pt;mso-wrap-distance-right:0.0pt;mso-wrap-distance-bottom:0.0pt;" stroked="f">
                      <v:path textboxrect="0,0,0,0"/>
                      <v:imagedata r:id="rId11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可以满足肩部、手臂、腿足、腰部的按摩，可自动揉搓小腿、360°顶刮腿肚，创新足底刮痧轮，部位分区着重按摩。3D曲线机芯，6大按摩手法局部释压，手臂带可“呼吸”式气囊按摩；肩部智能检测。</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gridSpan w:val="7"/>
            <w:tcMar>
              <w:left w:w="120" w:type="dxa"/>
              <w:top w:w="120" w:type="dxa"/>
              <w:right w:w="120" w:type="dxa"/>
              <w:bottom w:w="120" w:type="dxa"/>
            </w:tcMar>
            <w:tcW w:w="8503"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四、四层</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皮质软包床</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520190" cy="1027417"/>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1520190" cy="1027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19.7pt;height:80.9pt;mso-wrap-distance-left:0.0pt;mso-wrap-distance-top:0.0pt;mso-wrap-distance-right:0.0pt;mso-wrap-distance-bottom:0.0pt;" stroked="f">
                      <v:path textboxrect="0,0,0,0"/>
                      <v:imagedata r:id="rId11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1、框架主体：床身及床头内框架采用优质实木，木材经过高温蒸汽烘干，防虫防腐，木质结构均匀，木质较硬，结构稳固；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2、床框及床背采用优质超纤皮，皮革的耐磨性、可溶解的有害元素（锑、砷、钡、镉、铬、铅、汞、硒）、有机锡化合物、挥发性物质、氯乙烯单体、感官要求需符合GB/T 40350-2021《家居用聚氯乙烯人造革通用技术要求》、GB/T16799-2018《家具用皮革》的要求；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3、内衬优质定型海绵，密度≥30KG/m³，海绵的感官和物理力学性能，海绵的压陷变形回弹程度、甲醛释放量、TVOC等都需符合GB/T 10802-2023《通用软质聚氨酯泡沫塑料》的标准要求；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4、床架采用优质排骨架；地面接触面采用橡胶静音脚垫；</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家具》、QB/T 4190-2021《软体家具 软体床》，成品外观、理化性能、力学性能、安全性能、甲醛释放量、苯、甲苯、二甲苯、总挥发性有机化合物等都需符合国家标准。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床头柜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164572" cy="1365250"/>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1164572" cy="136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91.7pt;height:107.5pt;mso-wrap-distance-left:0.0pt;mso-wrap-distance-top:0.0pt;mso-wrap-distance-right:0.0pt;mso-wrap-distance-bottom:0.0pt;" stroked="f">
                      <v:path textboxrect="0,0,0,0"/>
                      <v:imagedata r:id="rId11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3、五金件及配件：优质五金连接件，静音导轨；</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弹簧软床垫</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327849" cy="817103"/>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1327849" cy="8171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04.6pt;height:64.3pt;mso-wrap-distance-left:0.0pt;mso-wrap-distance-top:0.0pt;mso-wrap-distance-right:0.0pt;mso-wrap-distance-bottom:0.0pt;" stroked="f">
                      <v:path textboxrect="0,0,0,0"/>
                      <v:imagedata r:id="rId118"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1、采用连锁弹簧系统，弹力强、垂直支撑性能卓越、坚固耐用，稳固支撑脊背健康；钢丝的表面状态及要求、表面质量、工艺性能、焊接及力学性能符合GB/T 4357-2022《冷拉碳素弹簧钢丝》；         </w:t>
            </w:r>
            <w:r>
              <w:rPr>
                <w:rFonts w:hint="eastAsia" w:ascii="宋体" w:hAnsi="宋体" w:eastAsia="宋体" w:cs="宋体"/>
                <w:color w:val="000000"/>
                <w:sz w:val="21"/>
                <w:szCs w:val="21"/>
                <w:highlight w:val="none"/>
                <w:lang w:val="en-US" w:eastAsia="zh-CN"/>
              </w:rPr>
              <w:t xml:space="preserve">                                                                  2、表面采用抗菌防螨、阻燃针织面料；面料的防螨效果检测符合GB/T 24253-2009《纺织品 防螨性能的评价》，驱避率＞99%；经抗菌技术处理，抑菌率＞99%，符合GB/T 20944.2-2007《纺织品 抗菌性能的评价》标准；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3、海绵：超软海绵+高回弹海绵；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4、成品检测标准：各项性能符合标准QB/T 1952.2-2023《软体家具 弹簧软床垫》，产品的外观性能、安全性能、理化性能、功能特性（抑螨、面料抗菌率）、耐久性、标志等都需符合国家标准。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电视机柜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772945" cy="438131"/>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1772944" cy="4381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39.6pt;height:34.5pt;mso-wrap-distance-left:0.0pt;mso-wrap-distance-top:0.0pt;mso-wrap-distance-right:0.0pt;mso-wrap-distance-bottom:0.0pt;" stroked="f">
                      <v:path textboxrect="0,0,0,0"/>
                      <v:imagedata r:id="rId11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鞋柜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61758" cy="1246476"/>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1261758" cy="12464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99.4pt;height:98.1pt;mso-wrap-distance-left:0.0pt;mso-wrap-distance-top:0.0pt;mso-wrap-distance-right:0.0pt;mso-wrap-distance-bottom:0.0pt;" stroked="f">
                      <v:path textboxrect="0,0,0,0"/>
                      <v:imagedata r:id="rId12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单人椅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44162" cy="1206509"/>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1244162" cy="12065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98.0pt;height:95.0pt;mso-wrap-distance-left:0.0pt;mso-wrap-distance-top:0.0pt;mso-wrap-distance-right:0.0pt;mso-wrap-distance-bottom:0.0pt;" stroked="f">
                      <v:path textboxrect="0,0,0,0"/>
                      <v:imagedata r:id="rId12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1、面料：优质生态纺织布，布料要求符合标准参考标准GB/T 18885-2020《生态纺织品技术要求》，布料的PH、甲醛含量、可萃取重金属、总铅、紫外光稳定剂、GB/T 35611-2024《绿色产品评价  纺织产品》纤维原材料要求、染料要求、助剂要求等都符合国家标准；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海绵：一体成型高密度定型绵，海绵的长度、宽度偏差、厚度偏差、外观、表观密度偏差、40%压陷硬度偏差、性能要求V类（75%压缩永久变形、恒定负荷反复压陷疲劳后的40%压陷硬度损失值、拉伸强度、断裂伸长率、撕裂强度、干热老化后拉伸强度、湿热老化后拉伸强度、灰分、甲醛散发）均需符合GB/T10802-2023《通用软质聚氨酯泡沫塑料》的要求；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3、框架：内框架采用实木框架，经去皮、烘干、防虫防腐处理，木材含水量≤12%；</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4、沙发脚：金属脚架，防潮防滑；</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 QB/T 1952.1-2023《软体家具 沙发》、GB/T 35607-2024《绿色产品评价 家具》，产品用料、加工、外观性能、力学性能、理化性能（覆面材料理化性能）、安全性能、产品有害物质（甲醛释放量、苯、甲苯、二甲苯、总挥发性有机化合物、铅、镉、铬、汞、锑、钡、硒、砷、五氯苯酚）等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茶几</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116364" cy="1140391"/>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1116364" cy="11403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87.9pt;height:89.8pt;mso-wrap-distance-left:0.0pt;mso-wrap-distance-top:0.0pt;mso-wrap-distance-right:0.0pt;mso-wrap-distance-bottom:0.0pt;" stroked="f">
                      <v:path textboxrect="0,0,0,0"/>
                      <v:imagedata r:id="rId12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3、框架：金属茶几脚；</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组合衣柜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50599" cy="1311910"/>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950599" cy="1311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74.9pt;height:103.3pt;mso-wrap-distance-left:0.0pt;mso-wrap-distance-top:0.0pt;mso-wrap-distance-right:0.0pt;mso-wrap-distance-bottom:0.0pt;" stroked="f">
                      <v:path textboxrect="0,0,0,0"/>
                      <v:imagedata r:id="rId12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3、五金件及配件：优质五金连接件，阻尼铰链，内含挂衣杆，底部含层板；</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储藏室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储物架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58199" cy="1158254"/>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758199" cy="1158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9.7pt;height:91.2pt;mso-wrap-distance-left:0.0pt;mso-wrap-distance-top:0.0pt;mso-wrap-distance-right:0.0pt;mso-wrap-distance-bottom:0.0pt;" stroked="f">
                      <v:path textboxrect="0,0,0,0"/>
                      <v:imagedata r:id="rId12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1、用材：采用优质0.8mm一级冷轧钢板，稳重、坚固，冷轧钢板参考标准GB/T11253-2019《碳素结构钢冷轧钢板及钢带》、GB/T 28907-2021《 耐硫酸露点腐蚀钢板和钢带 》，冷轧钢板的弯曲性能、力学性能（室温拉伸）（抗拉强度、下屈服强度、断后伸长率）、耐腐蚀性能、表面质量、冲击性能、拉伸试验都符合国家标准的要求；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2、工艺：使用数控冲床冲压而成，连接处精密度高、折边挺括，采用点焊、碰焊工艺，焊接点少，无疤痕；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处理工艺：经酸洗、磷化处理，表层选用优质塑粉粉末静电喷涂，具保护视力的浅灰亚光色，永不变色；塑粉的涂膜外观、耐碱性、耐冲击性、杯突试验、弯曲试验、耐磨性、耐酸性、重金属元素含量、有机锡化合物都符合标准HG/T2006-2022《热固性和热塑性粉末涂料》、GB/T 35602-2017《绿色产品评价 涂料》的要求；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成品要求：参考标准GB/T3325-2024《金属家具通用技术条件》,产品的形状和位置公差、产品外观性能、安全性能、理化性能、力学性能要求、有害物质限量等都需符合国家标准。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70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阳光房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洗衣台</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76927" cy="1039501"/>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1076927" cy="10395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84.8pt;height:81.9pt;mso-wrap-distance-left:0.0pt;mso-wrap-distance-top:0.0pt;mso-wrap-distance-right:0.0pt;mso-wrap-distance-bottom:0.0pt;" stroked="f">
                      <v:path textboxrect="0,0,0,0"/>
                      <v:imagedata r:id="rId12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台面：采用石材台面，硬度高，台面漂洗区、搓洗区、活动区设计；平盆设计，台盆深度220mm；机位空格设计；。</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71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阳光房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六层折叠式凉鞋架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96659" cy="1078205"/>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1096659" cy="1078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86.4pt;height:84.9pt;mso-wrap-distance-left:0.0pt;mso-wrap-distance-top:0.0pt;mso-wrap-distance-right:0.0pt;mso-wrap-distance-bottom:0.0pt;" stroked="f">
                      <v:path textboxrect="0,0,0,0"/>
                      <v:imagedata r:id="rId12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整体采用304不锈钢材质，材料的耐腐蚀性好、高强度、耐热性、易清洁、美观性好、可回收性强、耐久性；</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工艺要求：立柱采用30*30的不锈钢管，承载力强；下方采用层板式的晒鞋区，上层采用斜挂式靴架的晾晒设计，防止鞋内水渍滋生细菌。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gridSpan w:val="7"/>
            <w:tcMar>
              <w:left w:w="120" w:type="dxa"/>
              <w:top w:w="120" w:type="dxa"/>
              <w:right w:w="120" w:type="dxa"/>
              <w:bottom w:w="120" w:type="dxa"/>
            </w:tcMar>
            <w:tcW w:w="8503"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五、室内健身区</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72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8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室内健身区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成品旋转楼梯</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7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59527" cy="1374165"/>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rcRect l="35902" t="0" r="0" b="7239"/>
                              <a:stretch/>
                            </pic:blipFill>
                            <pic:spPr bwMode="auto">
                              <a:xfrm>
                                <a:off x="0" y="0"/>
                                <a:ext cx="959527" cy="1374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75.6pt;height:108.2pt;mso-wrap-distance-left:0.0pt;mso-wrap-distance-top:0.0pt;mso-wrap-distance-right:0.0pt;mso-wrap-distance-bottom:0.0pt;" stroked="f">
                      <v:path textboxrect="0,0,0,0"/>
                      <v:imagedata r:id="rId12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1608"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1、整体采用钢结构框架（壁厚≥5mm），焊接处采用氩弧焊的焊接方式，整体焊接质量高，焊缝表面光滑、整齐，避免了焊瘤、未焊透和凹陷等缺陷，特别适用于对焊接质量要求高的场合；</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2、中间立柱直径≥200mm(壁厚8mm)，高度4500mm；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3、扇形防滑钢制踏步，最大深度可达260mm，踏步高度可以在150~200mm之间；踏步宽度1000~1200mm之间；</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4、弧形楼梯的直径可达≥2600mm；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5、楼梯踏步、平台踏步（内外两侧10毫米厚钢板围栏,5毫米踏立板）；</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家具》,产品的形状和位置公差、产品外观性能、安全性能、理化性能、力学性能要求、有害物质限量等都需符合国家标准。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64"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27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件</w:t>
            </w:r>
            <w:r>
              <w:rPr>
                <w:rFonts w:hint="eastAsia" w:ascii="宋体" w:hAnsi="宋体" w:eastAsia="宋体" w:cs="宋体"/>
                <w:color w:val="000000"/>
                <w:sz w:val="21"/>
                <w:szCs w:val="21"/>
                <w:highlight w:val="none"/>
                <w:lang w:val="en-US" w:eastAsia="zh-CN"/>
              </w:rPr>
            </w:r>
            <w:r/>
          </w:p>
        </w:tc>
      </w:tr>
    </w:tbl>
    <w:p>
      <w:pPr>
        <w:pStyle w:val="1008"/>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注：上述第四标段技术要求为基本功能参数，投标单位须根据采购文件提供的平面尺寸图进行布局设计深化；本章节所有参考图片仅为样式示意，以文字技术参数描述作为履约验收依据。</w:t>
      </w:r>
      <w:r>
        <w:rPr>
          <w:rFonts w:hint="eastAsia" w:ascii="宋体" w:hAnsi="宋体" w:eastAsia="宋体" w:cs="宋体"/>
          <w:b/>
          <w:bCs/>
          <w:color w:val="000000"/>
          <w:sz w:val="21"/>
          <w:szCs w:val="21"/>
          <w:highlight w:val="none"/>
          <w:lang w:val="en-US" w:eastAsia="zh-CN"/>
        </w:rPr>
      </w:r>
      <w:r/>
    </w:p>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五、投标货物要求及相关说明（适用于各标段）：</w:t>
      </w:r>
      <w:r>
        <w:rPr>
          <w:rFonts w:hint="eastAsia" w:ascii="宋体" w:hAnsi="宋体" w:eastAsia="宋体" w:cs="宋体"/>
          <w:b/>
          <w:bCs/>
          <w:color w:val="000000"/>
          <w:sz w:val="21"/>
          <w:szCs w:val="21"/>
          <w:highlight w:val="none"/>
          <w:lang w:val="en-US" w:eastAsia="zh-CN"/>
        </w:rPr>
      </w:r>
      <w:r/>
    </w:p>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（一）货物要求</w:t>
      </w:r>
      <w:r>
        <w:rPr>
          <w:rFonts w:hint="eastAsia" w:ascii="宋体" w:hAnsi="宋体" w:eastAsia="宋体" w:cs="宋体"/>
          <w:b/>
          <w:bCs/>
          <w:color w:val="000000"/>
          <w:sz w:val="21"/>
          <w:szCs w:val="21"/>
          <w:highlight w:val="none"/>
          <w:lang w:val="en-US"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1.货物应能确保在正常的使用过程中安全、可靠并符合国家颁布的货物、质量、技术、安全等标准。</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方负责。注：如有最新标准或规范，按最新标准或规范执行。</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3.本次采购的供货范围，除包括上述货物外，还应包括货物使用所必需的配件。</w:t>
      </w:r>
      <w:r>
        <w:rPr>
          <w:rFonts w:hint="eastAsia" w:ascii="宋体" w:hAnsi="宋体" w:eastAsia="宋体" w:cs="宋体"/>
          <w:bCs/>
          <w:color w:val="000000"/>
          <w:sz w:val="21"/>
          <w:szCs w:val="21"/>
          <w:highlight w:val="none"/>
          <w:lang w:eastAsia="zh-CN"/>
        </w:rPr>
      </w:r>
      <w:r/>
    </w:p>
    <w:p>
      <w:pPr>
        <w:pStyle w:val="1008"/>
        <w:ind w:firstLine="422"/>
        <w:keepLines w:val="0"/>
        <w:keepNext w:val="0"/>
        <w:spacing w:line="360" w:lineRule="auto"/>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eastAsia="zh-CN"/>
        </w:rPr>
        <w:t xml:space="preserve">4.凡是国家强制3C认证目录中的产品，中标单位领取成交通知书5个工作日内须将3C证书原件送采购人核实，</w:t>
      </w:r>
      <w:r>
        <w:rPr>
          <w:rFonts w:hint="eastAsia" w:ascii="宋体" w:hAnsi="宋体" w:eastAsia="宋体" w:cs="宋体"/>
          <w:b/>
          <w:bCs w:val="0"/>
          <w:color w:val="000000"/>
          <w:sz w:val="21"/>
          <w:szCs w:val="21"/>
          <w:highlight w:val="none"/>
          <w:lang w:val="en-US" w:eastAsia="zh-CN"/>
        </w:rPr>
        <w:t xml:space="preserve">如不符合则</w:t>
      </w:r>
      <w:r>
        <w:rPr>
          <w:rFonts w:hint="eastAsia" w:ascii="宋体" w:hAnsi="宋体" w:eastAsia="宋体" w:cs="宋体"/>
          <w:b/>
          <w:bCs w:val="0"/>
          <w:color w:val="000000"/>
          <w:sz w:val="21"/>
          <w:szCs w:val="21"/>
          <w:highlight w:val="none"/>
          <w:lang w:eastAsia="zh-CN"/>
        </w:rPr>
        <w:t xml:space="preserve">视为虚假应标，上报相关部门进行处罚。</w:t>
      </w:r>
      <w:r>
        <w:rPr>
          <w:rFonts w:hint="eastAsia" w:ascii="宋体" w:hAnsi="宋体" w:eastAsia="宋体" w:cs="宋体"/>
          <w:b/>
          <w:bCs w:val="0"/>
          <w:color w:val="000000"/>
          <w:sz w:val="21"/>
          <w:szCs w:val="21"/>
          <w:highlight w:val="none"/>
          <w:lang w:eastAsia="zh-CN"/>
        </w:rPr>
      </w:r>
      <w:r/>
    </w:p>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bookmarkEnd w:id="61"/>
      <w:r/>
      <w:bookmarkEnd w:id="62"/>
      <w:r/>
      <w:bookmarkEnd w:id="63"/>
      <w:r/>
      <w:bookmarkEnd w:id="64"/>
      <w:r/>
      <w:bookmarkStart w:id="66" w:name="_Toc224470239"/>
      <w:r/>
      <w:bookmarkStart w:id="67" w:name="_Toc415898841"/>
      <w:r/>
      <w:bookmarkStart w:id="68" w:name="_Toc414941686"/>
      <w:r/>
      <w:bookmarkStart w:id="69" w:name="_Toc224471929"/>
      <w:r/>
      <w:bookmarkStart w:id="70" w:name="_Toc414954229"/>
      <w:r/>
      <w:bookmarkStart w:id="71" w:name="_Toc414952902"/>
      <w:r/>
      <w:bookmarkStart w:id="72" w:name="_Toc414941976"/>
      <w:r/>
      <w:bookmarkStart w:id="73" w:name="_Toc414944747"/>
      <w:r/>
      <w:bookmarkStart w:id="74" w:name="_Toc415395220"/>
      <w:r/>
      <w:bookmarkStart w:id="75" w:name="_Toc224470010"/>
      <w:r/>
      <w:bookmarkStart w:id="76" w:name="_Toc414954409"/>
      <w:r/>
      <w:bookmarkStart w:id="77" w:name="_Toc224471070"/>
      <w:r/>
      <w:bookmarkStart w:id="78" w:name="_Toc415039054"/>
      <w:r>
        <w:rPr>
          <w:rFonts w:hint="eastAsia" w:ascii="宋体" w:hAnsi="宋体" w:eastAsia="宋体" w:cs="宋体"/>
          <w:b/>
          <w:bCs/>
          <w:color w:val="000000"/>
          <w:sz w:val="21"/>
          <w:szCs w:val="21"/>
          <w:highlight w:val="none"/>
          <w:lang w:val="en-US" w:eastAsia="zh-CN"/>
        </w:rPr>
        <w:t xml:space="preserve">（二）特别说明</w:t>
      </w:r>
      <w:r>
        <w:rPr>
          <w:rFonts w:hint="eastAsia" w:ascii="宋体" w:hAnsi="宋体" w:eastAsia="宋体" w:cs="宋体"/>
          <w:b/>
          <w:bCs/>
          <w:color w:val="000000"/>
          <w:sz w:val="21"/>
          <w:szCs w:val="21"/>
          <w:highlight w:val="none"/>
          <w:lang w:val="en-US" w:eastAsia="zh-CN"/>
        </w:rPr>
      </w:r>
      <w:r/>
    </w:p>
    <w:p>
      <w:pPr>
        <w:pStyle w:val="1008"/>
        <w:ind w:firstLine="420"/>
        <w:keepLines w:val="0"/>
        <w:keepNext w:val="0"/>
        <w:pageBreakBefore w:val="0"/>
        <w:spacing w:before="60" w:after="60"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1.“采购清单及技术要求”及相关要求是是投标单位投标报价的基础，投标单位不得对“采购清单及技术要求”中的一级序号进行任何修改（可根据产品配置增加二级子序号，且不得遗漏任何采购内容）。</w:t>
      </w:r>
      <w:r>
        <w:rPr>
          <w:rFonts w:hint="eastAsia" w:ascii="宋体" w:hAnsi="宋体" w:eastAsia="宋体" w:cs="宋体"/>
          <w:b w:val="0"/>
          <w:bCs w:val="0"/>
          <w:color w:val="000000"/>
          <w:sz w:val="21"/>
          <w:szCs w:val="21"/>
          <w:highlight w:val="none"/>
          <w:lang w:val="en-US"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2.投标单位应对“采购清单及技术要求”中的所有货物进行完整报价。</w:t>
      </w:r>
      <w:r>
        <w:rPr>
          <w:rFonts w:hint="eastAsia" w:ascii="宋体" w:hAnsi="宋体" w:eastAsia="宋体" w:cs="宋体"/>
          <w:bCs/>
          <w:color w:val="000000"/>
          <w:sz w:val="21"/>
          <w:szCs w:val="21"/>
          <w:highlight w:val="none"/>
          <w:lang w:val="en-US"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3.投标单位根据采购文件提供的</w:t>
      </w:r>
      <w:r>
        <w:rPr>
          <w:rFonts w:hint="eastAsia" w:ascii="宋体" w:hAnsi="宋体" w:eastAsia="宋体" w:cs="宋体"/>
          <w:bCs/>
          <w:color w:val="000000"/>
          <w:sz w:val="21"/>
          <w:szCs w:val="21"/>
          <w:highlight w:val="none"/>
          <w:lang w:val="en-US" w:eastAsia="zh-CN"/>
        </w:rPr>
        <w:t xml:space="preserve">《技术参数偏离表》格式</w:t>
      </w:r>
      <w:r>
        <w:rPr>
          <w:rFonts w:hint="eastAsia" w:ascii="宋体" w:hAnsi="宋体" w:eastAsia="宋体" w:cs="宋体"/>
          <w:bCs/>
          <w:color w:val="000000"/>
          <w:sz w:val="21"/>
          <w:szCs w:val="21"/>
          <w:highlight w:val="none"/>
          <w:lang w:eastAsia="zh-CN"/>
        </w:rPr>
        <w:t xml:space="preserve">对技术指标逐条进行应答，如果以其中某些条款不响应时，应在文件中逐条列出，未列出的视同</w:t>
      </w:r>
      <w:r>
        <w:rPr>
          <w:rFonts w:hint="eastAsia" w:ascii="宋体" w:hAnsi="宋体" w:eastAsia="宋体" w:cs="宋体"/>
          <w:bCs/>
          <w:color w:val="000000"/>
          <w:sz w:val="21"/>
          <w:szCs w:val="21"/>
          <w:highlight w:val="none"/>
          <w:lang w:val="en-US" w:eastAsia="zh-CN"/>
        </w:rPr>
        <w:t xml:space="preserve">完全</w:t>
      </w:r>
      <w:r>
        <w:rPr>
          <w:rFonts w:hint="eastAsia" w:ascii="宋体" w:hAnsi="宋体" w:eastAsia="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投标单位应明确所投货物的型号、规格和外形、尺寸、安装尺寸、重量及一些必须说明的技术参数，以及使用的材料的清单，同时明确生产厂家、型号规格等，并提供详细的技术参数及性能说明书。</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.采购单位有权不定期对成交标的物的生产过程等进行查看，如果发现中标单位存在违反本次采购标的物要求的，采购单位有权终止合同履行，相关损失由中标单位承担。</w:t>
      </w:r>
      <w:r>
        <w:rPr>
          <w:rFonts w:hint="eastAsia" w:ascii="宋体" w:hAnsi="宋体" w:eastAsia="宋体" w:cs="宋体"/>
          <w:bCs/>
          <w:color w:val="000000"/>
          <w:sz w:val="21"/>
          <w:szCs w:val="21"/>
          <w:highlight w:val="none"/>
          <w:lang w:eastAsia="zh-CN"/>
        </w:rPr>
      </w:r>
      <w:r/>
    </w:p>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（三）包装和装运</w:t>
      </w:r>
      <w:r>
        <w:rPr>
          <w:rFonts w:hint="eastAsia" w:ascii="宋体" w:hAnsi="宋体" w:eastAsia="宋体" w:cs="宋体"/>
          <w:b/>
          <w:bCs/>
          <w:color w:val="000000"/>
          <w:sz w:val="21"/>
          <w:szCs w:val="21"/>
          <w:highlight w:val="none"/>
          <w:lang w:val="en-US"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1.包装必须与运输方式相适应，包装方式的确定由中标单位负责；由于不适当的包装而造成货物在运输过程中有任何损坏由中标单位负责。</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2.包装应足以承受整个过程中的运输、转运、装卸、储存等，充分考虑运输途中的各种情况（如暴露于恶劣气候等）和苏州地区的气候特点。</w:t>
      </w:r>
      <w:r>
        <w:rPr>
          <w:rFonts w:hint="eastAsia" w:ascii="宋体" w:hAnsi="宋体" w:eastAsia="宋体" w:cs="宋体"/>
          <w:bCs/>
          <w:color w:val="000000"/>
          <w:sz w:val="21"/>
          <w:szCs w:val="21"/>
          <w:highlight w:val="none"/>
          <w:lang w:eastAsia="zh-CN"/>
        </w:rPr>
      </w:r>
      <w:r/>
    </w:p>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（四）安装、检验与质量保证</w:t>
      </w:r>
      <w:r>
        <w:rPr>
          <w:rFonts w:hint="eastAsia" w:ascii="宋体" w:hAnsi="宋体" w:eastAsia="宋体" w:cs="宋体"/>
          <w:b/>
          <w:bCs/>
          <w:color w:val="000000"/>
          <w:sz w:val="21"/>
          <w:szCs w:val="21"/>
          <w:highlight w:val="none"/>
          <w:lang w:val="en-US"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安装</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1.1如有需要安装的货物，中标单位必须派技术人员到现场安装，并检查安装质量。</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1.2中标单位应负责现场安装人员的安全管理并提供安装中全部所需的工具。</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验收依据</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2.1中标单位应保证所提供的标的物是全新的、未使用过的，并且是非长期积压的库存商品，完全符合合同规定的质量、规格和性能的要求，中标单位应保证其提供的标的物在正确安装、正常使用和保养条件下，在其标称的使用寿命期内应具有满意的性能。在中标单位承诺的质量保证期限内，中标单位应对由于设计、工艺或材料的缺陷及伴随服务而造成的任何不足或故障负责。标的物质量出现问题，中标单位应负责包修、包退、包换，费用由乙方承担。</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2.3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2.4中国政府颁布的相关国家标准和行业标准。</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2.5如双方对验收结果有分歧，则以苏州市技术质量监督局的检验结果为准，检验费用由有过失的一方支付。</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3.质量保证</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3.1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3.2中标单位应严格履行其投标文件中的服务承诺。</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3.3中标单位交货时需提供同一批次产品的检测报告、合格证，否则采购单位有权拒收。</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3.4采购单位对中标单位所供产品随机进行抽样检测，如任何一项不符合投标文件及中标单位投标相关承诺的，中标单位须无条件进行退货、换货，不配合退换货或退换货后再次不合格的，采购单位有权扣除合同总金额的30%货款。</w:t>
      </w:r>
      <w:r>
        <w:rPr>
          <w:rFonts w:hint="eastAsia" w:ascii="宋体" w:hAnsi="宋体" w:eastAsia="宋体" w:cs="宋体"/>
          <w:bCs/>
          <w:color w:val="000000"/>
          <w:sz w:val="21"/>
          <w:szCs w:val="21"/>
          <w:highlight w:val="none"/>
          <w:lang w:eastAsia="zh-CN"/>
        </w:rPr>
      </w:r>
      <w:r/>
    </w:p>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eastAsia="宋体" w:cs="宋体"/>
          <w:b/>
          <w:bCs/>
          <w:color w:val="000000"/>
          <w:sz w:val="21"/>
          <w:szCs w:val="21"/>
          <w:highlight w:val="none"/>
          <w:lang w:val="en-US" w:eastAsia="zh-CN"/>
        </w:rPr>
        <w:t xml:space="preserve">（五）售后服务</w:t>
      </w:r>
      <w:r>
        <w:rPr>
          <w:rFonts w:hint="eastAsia" w:ascii="宋体" w:hAnsi="宋体" w:eastAsia="宋体" w:cs="宋体"/>
          <w:b/>
          <w:bCs/>
          <w:color w:val="000000"/>
          <w:sz w:val="21"/>
          <w:szCs w:val="21"/>
          <w:highlight w:val="none"/>
          <w:lang w:val="en-US"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bookmarkStart w:id="79" w:name="_Toc48639351"/>
      <w:r/>
      <w:bookmarkStart w:id="80" w:name="_Toc48639222"/>
      <w:r>
        <w:rPr>
          <w:rFonts w:hint="eastAsia" w:ascii="宋体" w:hAnsi="宋体" w:eastAsia="宋体" w:cs="宋体"/>
          <w:bCs/>
          <w:color w:val="000000"/>
          <w:sz w:val="21"/>
          <w:szCs w:val="21"/>
          <w:highlight w:val="none"/>
        </w:rPr>
        <w:t xml:space="preserve">1、中标单位货物经过双方检验认可后，签署验收报告，免费质量保证期不低于二年（招标文件具体技术要求另有说明的按照技术要求说明中的规定），质量保证期自货物验收合格之日起算，由中标单位提供货物保修文件。</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2、在质保期内出现质量问题，中标单位须在</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小时内响应，4小时内到达现场，24小时内完成修复或更换。若无法在24小时内排除故障，须提供备用设备或采取应急措施保障采购人正常使用。</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3、中标单位须为采购单位提供针对本项目中设备的使用和维护培训。</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4、质保期满以后，中标单位应按同类货物的优惠价格提供维保服务。</w:t>
      </w:r>
      <w:r>
        <w:rPr>
          <w:rFonts w:hint="eastAsia" w:ascii="宋体" w:hAnsi="宋体" w:eastAsia="宋体" w:cs="宋体"/>
          <w:bCs/>
          <w:color w:val="000000"/>
          <w:sz w:val="21"/>
          <w:szCs w:val="21"/>
          <w:highlight w:val="none"/>
        </w:rPr>
      </w:r>
      <w:r/>
    </w:p>
    <w:p>
      <w:pPr>
        <w:pStyle w:val="1008"/>
        <w:ind w:firstLine="422"/>
        <w:spacing w:line="400" w:lineRule="exact"/>
        <w:rPr>
          <w:rFonts w:hint="eastAsia" w:ascii="宋体" w:hAnsi="宋体" w:cs="宋体"/>
          <w:b/>
          <w:bCs/>
          <w:color w:val="000000"/>
          <w:sz w:val="21"/>
          <w:szCs w:val="21"/>
          <w:highlight w:val="none"/>
        </w:rPr>
        <w:outlineLvl w:val="9"/>
      </w:pPr>
      <w:r>
        <w:rPr>
          <w:rFonts w:hint="eastAsia" w:ascii="宋体" w:hAnsi="宋体" w:cs="宋体"/>
          <w:b/>
          <w:bCs/>
          <w:color w:val="000000"/>
          <w:sz w:val="21"/>
          <w:szCs w:val="21"/>
          <w:highlight w:val="none"/>
        </w:rPr>
        <w:t xml:space="preserve">五、综合说明及其它要求</w:t>
      </w:r>
      <w:bookmarkEnd w:id="79"/>
      <w:r/>
      <w:bookmarkEnd w:id="80"/>
      <w:r>
        <w:rPr>
          <w:rFonts w:hint="eastAsia" w:ascii="宋体" w:hAnsi="宋体" w:cs="宋体"/>
          <w:b/>
          <w:bCs/>
          <w:color w:val="000000"/>
          <w:sz w:val="21"/>
          <w:szCs w:val="21"/>
          <w:highlight w:val="none"/>
        </w:rPr>
        <w:t xml:space="preserve">（适用于第一、二、三</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四</w:t>
      </w:r>
      <w:r>
        <w:rPr>
          <w:rFonts w:hint="eastAsia" w:ascii="宋体" w:hAnsi="宋体" w:cs="宋体"/>
          <w:b/>
          <w:bCs/>
          <w:color w:val="000000"/>
          <w:sz w:val="21"/>
          <w:szCs w:val="21"/>
          <w:highlight w:val="none"/>
        </w:rPr>
        <w:t xml:space="preserve">标段）</w:t>
      </w:r>
      <w:r>
        <w:rPr>
          <w:rFonts w:hint="eastAsia" w:ascii="宋体" w:hAnsi="宋体" w:cs="宋体"/>
          <w:b/>
          <w:bCs/>
          <w:color w:val="000000"/>
          <w:sz w:val="21"/>
          <w:szCs w:val="21"/>
          <w:highlight w:val="none"/>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1.投标单位所投产品应明确所投产品的品牌、型号、规格和外形、尺寸及一些必须说明的技术参数，以及设备配置清单，同时明确生产厂家、型号规格等，并提供详细的技术参数及性能说明书。</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2.投标单位根据招标文件中提出的全部技术规格与要求选择配置并列出所投设备的技术规格，如果以其中某些条款不响应时，应在投标文件中逐条列出，未列出的视同响应。</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3.投标总报价一次报定，包括所有货物和服务、配件、辅材以及相关的备件、专用工具、运输、装卸、人工、安装、调试、培训、保险、检验检测、专利技术、技术支持、利润、税金、政策性文件规定及合同包含的所有风险、责任等各项应有费用。 </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4.交货期：</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4.1第一、二、三标段（运西消防站配套设施项目-接警系统采购、联动消防门采购、厨房设备采购）：自合同签订生效后30天内完成全部采购内容的供货安装调试并交付正常使用，所有产品免费质保期为验收合格之日起二年。</w:t>
      </w:r>
      <w:r>
        <w:rPr>
          <w:rFonts w:hint="eastAsia" w:ascii="宋体" w:hAnsi="宋体"/>
          <w:color w:val="000000"/>
          <w:sz w:val="21"/>
          <w:szCs w:val="21"/>
          <w:highlight w:val="none"/>
          <w:lang w:val="en-US" w:eastAsia="zh-CN"/>
        </w:rPr>
      </w:r>
      <w:r/>
    </w:p>
    <w:p>
      <w:pPr>
        <w:pStyle w:val="1008"/>
        <w:ind w:firstLine="420"/>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4.2 第四标段（运西消防站配套设施项目-家具采购（四标段））：自合同签订生效后40天内完成全部采购内容的供货安装调试并交付正常使用，所有产品免费质保期为验收合格之日起二年。</w:t>
      </w:r>
      <w:r>
        <w:rPr>
          <w:rFonts w:hint="eastAsia" w:ascii="宋体" w:hAnsi="宋体"/>
          <w:color w:val="000000"/>
          <w:sz w:val="21"/>
          <w:szCs w:val="21"/>
          <w:highlight w:val="none"/>
          <w:lang w:val="en-US"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5.交货地点：运西消防站（具体按照采购单位要求）。</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6.凡涉及招标文件的补充说明和修改，均以招标代理机构发布的通知为准。</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七、政策执行</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本次招标各标段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2.中、小、微企业</w:t>
      </w:r>
      <w:r>
        <w:rPr>
          <w:rFonts w:hint="eastAsia" w:ascii="宋体" w:hAnsi="宋体"/>
          <w:b/>
          <w:bCs/>
          <w:color w:val="000000"/>
          <w:sz w:val="21"/>
          <w:szCs w:val="21"/>
          <w:highlight w:val="none"/>
          <w:lang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w:t>
      </w:r>
      <w:r>
        <w:rPr>
          <w:rFonts w:hint="eastAsia" w:ascii="宋体" w:hAnsi="宋体"/>
          <w:b/>
          <w:bCs/>
          <w:color w:val="000000"/>
          <w:sz w:val="21"/>
          <w:szCs w:val="21"/>
          <w:highlight w:val="none"/>
          <w:lang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bCs/>
          <w:color w:val="000000"/>
          <w:sz w:val="21"/>
          <w:szCs w:val="21"/>
          <w:highlight w:val="none"/>
          <w:lang w:eastAsia="zh-CN"/>
        </w:rPr>
        <w:t xml:space="preserve">服务类项目中供应商若使用退休人员，将不享受相关扶持政策。</w:t>
      </w:r>
      <w:r>
        <w:rPr>
          <w:rFonts w:hint="eastAsia" w:ascii="宋体" w:hAnsi="宋体"/>
          <w:color w:val="000000"/>
          <w:sz w:val="21"/>
          <w:szCs w:val="21"/>
          <w:highlight w:val="none"/>
          <w:lang w:eastAsia="zh-CN"/>
        </w:rPr>
      </w:r>
      <w:r/>
    </w:p>
    <w:p>
      <w:pPr>
        <w:pStyle w:val="1008"/>
        <w:ind w:firstLine="422"/>
        <w:spacing w:line="400" w:lineRule="exact"/>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t xml:space="preserve">根据《政府采购促进中小企业发展管理办法》（财库〔2020〕46号）及《中小企业划型标准规定》（工信部联企业〔2011〕300号），本采购项目对应的中小企业划分标准所属行业为：工业。</w:t>
      </w:r>
      <w:r>
        <w:rPr>
          <w:rFonts w:hint="eastAsia" w:ascii="宋体" w:hAnsi="宋体"/>
          <w:b/>
          <w:bCs/>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（3）残疾人福利性单位（若为专门面向中小企业采购的项目或者采购包，不再执行价格评审优惠的扶持政策）</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（4）监狱企业（若为专门面向中小企业采购的项目或者采购包，不再执行价格评审优惠的扶持政策）</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（5）绿色采购</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1）根据《关于调整优化节能产品、环境标志产品政府采购执行机制的通知》（财库〔2019〕9号）等相关文件的规定，</w:t>
      </w:r>
      <w:r>
        <w:rPr>
          <w:rFonts w:hint="eastAsia" w:ascii="宋体" w:hAnsi="宋体"/>
          <w:b/>
          <w:bCs/>
          <w:color w:val="000000"/>
          <w:sz w:val="21"/>
          <w:szCs w:val="21"/>
          <w:highlight w:val="none"/>
          <w:lang w:eastAsia="zh-CN"/>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（6）</w:t>
      </w:r>
      <w:r>
        <w:rPr>
          <w:rFonts w:hint="eastAsia" w:ascii="宋体" w:hAnsi="宋体"/>
          <w:color w:val="000000"/>
          <w:sz w:val="21"/>
          <w:szCs w:val="21"/>
          <w:highlight w:val="none"/>
          <w:lang w:val="en-US" w:eastAsia="zh-CN"/>
        </w:rPr>
        <w:t xml:space="preserve">根据《苏财购〔2025〕62 号》文，异常低价投标（响应）审查按照第二章投标人须知第25.7条相关规定执行。</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p>
      <w:pPr>
        <w:pStyle w:val="1009"/>
        <w:jc w:val="center"/>
        <w:spacing w:after="240"/>
        <w:rPr>
          <w:rFonts w:hint="eastAsia"/>
          <w:color w:val="000000"/>
          <w:highlight w:val="none"/>
        </w:rPr>
      </w:pPr>
      <w:r>
        <w:rPr>
          <w:rFonts w:hint="eastAsia"/>
          <w:color w:val="000000"/>
          <w:sz w:val="21"/>
          <w:szCs w:val="21"/>
          <w:highlight w:val="none"/>
        </w:rPr>
        <w:br w:type="page" w:clear="all"/>
      </w:r>
      <w:bookmarkStart w:id="81" w:name="_Toc32310"/>
      <w:r>
        <w:rPr>
          <w:rFonts w:hint="eastAsia"/>
          <w:color w:val="000000"/>
          <w:highlight w:val="none"/>
        </w:rPr>
        <w:t xml:space="preserve">第五章  合同的主要条款</w:t>
      </w:r>
      <w:bookmarkEnd w:id="81"/>
      <w:r>
        <w:rPr>
          <w:rFonts w:hint="eastAsia"/>
          <w:color w:val="000000"/>
          <w:highlight w:val="none"/>
        </w:rPr>
      </w:r>
      <w:r/>
    </w:p>
    <w:p>
      <w:pPr>
        <w:pStyle w:val="1008"/>
        <w:ind w:firstLine="422"/>
        <w:spacing w:line="360" w:lineRule="auto"/>
        <w:rPr>
          <w:rFonts w:hint="eastAsia" w:eastAsia="宋体" w:cs="宋体"/>
          <w:b/>
          <w:bCs/>
          <w:color w:val="000000"/>
          <w:sz w:val="21"/>
          <w:szCs w:val="21"/>
          <w:highlight w:val="none"/>
          <w:lang w:eastAsia="zh-CN"/>
        </w:rPr>
      </w:pPr>
      <w:r>
        <w:rPr>
          <w:rFonts w:hint="eastAsia" w:cs="宋体"/>
          <w:b/>
          <w:bCs/>
          <w:color w:val="000000"/>
          <w:sz w:val="21"/>
          <w:szCs w:val="21"/>
          <w:highlight w:val="none"/>
        </w:rPr>
        <w:t xml:space="preserve">甲方（采购单位）：</w:t>
      </w:r>
      <w:r>
        <w:rPr>
          <w:rFonts w:hint="eastAsia" w:eastAsia="宋体" w:cs="宋体"/>
          <w:b/>
          <w:bCs/>
          <w:color w:val="000000"/>
          <w:sz w:val="21"/>
          <w:szCs w:val="21"/>
          <w:highlight w:val="none"/>
          <w:lang w:eastAsia="zh-CN"/>
        </w:rPr>
      </w:r>
      <w:r/>
    </w:p>
    <w:p>
      <w:pPr>
        <w:pStyle w:val="1008"/>
        <w:ind w:firstLine="422"/>
        <w:spacing w:before="166"/>
        <w:rPr>
          <w:rFonts w:cs="宋体"/>
          <w:color w:val="000000"/>
          <w:szCs w:val="21"/>
          <w:highlight w:val="none"/>
        </w:rPr>
      </w:pPr>
      <w:r>
        <w:rPr>
          <w:rFonts w:hint="eastAsia" w:cs="宋体"/>
          <w:b/>
          <w:bCs/>
          <w:color w:val="000000"/>
          <w:sz w:val="21"/>
          <w:szCs w:val="21"/>
          <w:highlight w:val="none"/>
        </w:rPr>
        <w:t xml:space="preserve">地址：</w:t>
      </w:r>
      <w:r>
        <w:rPr>
          <w:rFonts w:cs="宋体"/>
          <w:color w:val="000000"/>
          <w:szCs w:val="21"/>
          <w:highlight w:val="none"/>
        </w:rPr>
      </w:r>
      <w:r/>
    </w:p>
    <w:p>
      <w:pPr>
        <w:pStyle w:val="1008"/>
        <w:ind w:firstLine="422"/>
        <w:spacing w:before="166"/>
        <w:rPr>
          <w:rFonts w:cs="宋体"/>
          <w:color w:val="000000"/>
          <w:szCs w:val="21"/>
          <w:highlight w:val="none"/>
        </w:rPr>
      </w:pPr>
      <w:r>
        <w:rPr>
          <w:rFonts w:hint="eastAsia" w:cs="宋体"/>
          <w:b/>
          <w:bCs/>
          <w:color w:val="000000"/>
          <w:sz w:val="21"/>
          <w:szCs w:val="21"/>
          <w:highlight w:val="none"/>
        </w:rPr>
        <w:t xml:space="preserve">联系人</w:t>
      </w:r>
      <w:r>
        <w:rPr>
          <w:rFonts w:hint="eastAsia" w:cs="宋体"/>
          <w:color w:val="000000"/>
          <w:sz w:val="21"/>
          <w:szCs w:val="21"/>
          <w:highlight w:val="none"/>
        </w:rPr>
        <w:t xml:space="preserve">：</w:t>
      </w:r>
      <w:r>
        <w:rPr>
          <w:rFonts w:cs="宋体"/>
          <w:color w:val="000000"/>
          <w:szCs w:val="21"/>
          <w:highlight w:val="none"/>
        </w:rPr>
      </w:r>
      <w:r/>
    </w:p>
    <w:p>
      <w:pPr>
        <w:pStyle w:val="1008"/>
        <w:ind w:firstLine="422"/>
        <w:spacing w:before="166"/>
        <w:rPr>
          <w:rFonts w:cs="宋体"/>
          <w:color w:val="000000"/>
          <w:szCs w:val="21"/>
          <w:highlight w:val="none"/>
        </w:rPr>
      </w:pPr>
      <w:r>
        <w:rPr>
          <w:rFonts w:hint="eastAsia" w:cs="宋体"/>
          <w:b/>
          <w:bCs/>
          <w:color w:val="000000"/>
          <w:sz w:val="21"/>
          <w:szCs w:val="21"/>
          <w:highlight w:val="none"/>
        </w:rPr>
        <w:t xml:space="preserve">联系电话</w:t>
      </w:r>
      <w:r>
        <w:rPr>
          <w:rFonts w:hint="eastAsia" w:cs="宋体"/>
          <w:color w:val="000000"/>
          <w:sz w:val="21"/>
          <w:szCs w:val="21"/>
          <w:highlight w:val="none"/>
        </w:rPr>
        <w:t xml:space="preserve">：</w:t>
      </w:r>
      <w:r>
        <w:rPr>
          <w:rFonts w:cs="宋体"/>
          <w:color w:val="000000"/>
          <w:szCs w:val="21"/>
          <w:highlight w:val="none"/>
        </w:rPr>
      </w:r>
      <w:r/>
    </w:p>
    <w:p>
      <w:pPr>
        <w:pStyle w:val="1008"/>
        <w:ind w:firstLine="422"/>
        <w:spacing w:line="360" w:lineRule="auto"/>
        <w:rPr>
          <w:color w:val="000000"/>
          <w:sz w:val="21"/>
          <w:szCs w:val="21"/>
          <w:highlight w:val="none"/>
        </w:rPr>
      </w:pPr>
      <w:r>
        <w:rPr>
          <w:rFonts w:cs="宋体"/>
          <w:b/>
          <w:bCs/>
          <w:color w:val="000000"/>
          <w:sz w:val="21"/>
          <w:szCs w:val="21"/>
          <w:highlight w:val="none"/>
        </w:rPr>
        <w:t xml:space="preserve"> </w:t>
      </w:r>
      <w:r>
        <w:rPr>
          <w:color w:val="000000"/>
          <w:sz w:val="21"/>
          <w:szCs w:val="21"/>
          <w:highlight w:val="none"/>
        </w:rPr>
      </w:r>
      <w:r/>
    </w:p>
    <w:p>
      <w:pPr>
        <w:pStyle w:val="1008"/>
        <w:ind w:firstLine="422"/>
        <w:spacing w:line="360" w:lineRule="auto"/>
        <w:rPr>
          <w:rFonts w:cs="宋体"/>
          <w:b/>
          <w:bCs/>
          <w:color w:val="000000"/>
          <w:sz w:val="21"/>
          <w:szCs w:val="21"/>
          <w:highlight w:val="none"/>
        </w:rPr>
      </w:pPr>
      <w:r>
        <w:rPr>
          <w:rFonts w:hint="eastAsia" w:cs="宋体"/>
          <w:b/>
          <w:bCs/>
          <w:color w:val="000000"/>
          <w:sz w:val="21"/>
          <w:szCs w:val="21"/>
          <w:highlight w:val="none"/>
        </w:rPr>
        <w:t xml:space="preserve">乙方（</w:t>
      </w:r>
      <w:r>
        <w:rPr>
          <w:rFonts w:hint="eastAsia" w:cs="宋体"/>
          <w:b/>
          <w:bCs/>
          <w:color w:val="000000"/>
          <w:sz w:val="21"/>
          <w:szCs w:val="21"/>
          <w:highlight w:val="none"/>
          <w:lang w:val="en-US" w:eastAsia="zh-CN"/>
        </w:rPr>
        <w:t xml:space="preserve">中标</w:t>
      </w:r>
      <w:r>
        <w:rPr>
          <w:rFonts w:hint="eastAsia" w:cs="宋体"/>
          <w:b/>
          <w:bCs/>
          <w:color w:val="000000"/>
          <w:sz w:val="21"/>
          <w:szCs w:val="21"/>
          <w:highlight w:val="none"/>
        </w:rPr>
        <w:t xml:space="preserve">单位）：</w:t>
      </w:r>
      <w:r>
        <w:rPr>
          <w:rFonts w:cs="宋体"/>
          <w:b/>
          <w:bCs/>
          <w:color w:val="000000"/>
          <w:sz w:val="21"/>
          <w:szCs w:val="21"/>
          <w:highlight w:val="none"/>
        </w:rPr>
      </w:r>
      <w:r/>
    </w:p>
    <w:p>
      <w:pPr>
        <w:pStyle w:val="1008"/>
        <w:ind w:firstLine="422"/>
        <w:spacing w:before="166"/>
        <w:rPr>
          <w:rFonts w:cs="宋体"/>
          <w:color w:val="000000"/>
          <w:szCs w:val="21"/>
          <w:highlight w:val="none"/>
        </w:rPr>
      </w:pPr>
      <w:r>
        <w:rPr>
          <w:rFonts w:hint="eastAsia" w:cs="宋体"/>
          <w:b/>
          <w:bCs/>
          <w:color w:val="000000"/>
          <w:sz w:val="21"/>
          <w:szCs w:val="21"/>
          <w:highlight w:val="none"/>
        </w:rPr>
        <w:t xml:space="preserve">地址：</w:t>
      </w:r>
      <w:r>
        <w:rPr>
          <w:rFonts w:cs="宋体"/>
          <w:color w:val="000000"/>
          <w:szCs w:val="21"/>
          <w:highlight w:val="none"/>
        </w:rPr>
      </w:r>
      <w:r/>
    </w:p>
    <w:p>
      <w:pPr>
        <w:pStyle w:val="1008"/>
        <w:ind w:firstLine="422"/>
        <w:spacing w:before="166"/>
        <w:rPr>
          <w:rFonts w:cs="宋体"/>
          <w:color w:val="000000"/>
          <w:szCs w:val="21"/>
          <w:highlight w:val="none"/>
        </w:rPr>
      </w:pPr>
      <w:r>
        <w:rPr>
          <w:rFonts w:hint="eastAsia" w:cs="宋体"/>
          <w:b/>
          <w:bCs/>
          <w:color w:val="000000"/>
          <w:sz w:val="21"/>
          <w:szCs w:val="21"/>
          <w:highlight w:val="none"/>
        </w:rPr>
        <w:t xml:space="preserve">联系人</w:t>
      </w:r>
      <w:r>
        <w:rPr>
          <w:rFonts w:hint="eastAsia" w:cs="宋体"/>
          <w:color w:val="000000"/>
          <w:sz w:val="21"/>
          <w:szCs w:val="21"/>
          <w:highlight w:val="none"/>
        </w:rPr>
        <w:t xml:space="preserve">：</w:t>
      </w:r>
      <w:r>
        <w:rPr>
          <w:rFonts w:cs="宋体"/>
          <w:color w:val="000000"/>
          <w:szCs w:val="21"/>
          <w:highlight w:val="none"/>
        </w:rPr>
      </w:r>
      <w:r/>
    </w:p>
    <w:p>
      <w:pPr>
        <w:pStyle w:val="1008"/>
        <w:ind w:firstLine="425"/>
        <w:jc w:val="both"/>
        <w:spacing w:line="440" w:lineRule="exact"/>
        <w:rPr>
          <w:rFonts w:hint="eastAsia" w:ascii="宋体" w:hAnsi="宋体" w:cs="宋体"/>
          <w:color w:val="000000"/>
          <w:sz w:val="21"/>
          <w:szCs w:val="21"/>
          <w:highlight w:val="none"/>
          <w:lang w:val="zh-CN"/>
        </w:rPr>
      </w:pPr>
      <w:r>
        <w:rPr>
          <w:rFonts w:hint="eastAsia" w:cs="宋体"/>
          <w:b/>
          <w:bCs/>
          <w:color w:val="000000"/>
          <w:sz w:val="21"/>
          <w:szCs w:val="21"/>
          <w:highlight w:val="none"/>
        </w:rPr>
        <w:t xml:space="preserve">联系电话</w:t>
      </w:r>
      <w:r>
        <w:rPr>
          <w:rFonts w:hint="eastAsia" w:cs="宋体"/>
          <w:color w:val="000000"/>
          <w:sz w:val="21"/>
          <w:szCs w:val="21"/>
          <w:highlight w:val="none"/>
        </w:rPr>
        <w:t xml:space="preserve">：</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08"/>
        <w:ind w:firstLine="420"/>
        <w:jc w:val="both"/>
        <w:spacing w:line="440" w:lineRule="exact"/>
        <w:rPr>
          <w:rFonts w:hint="eastAsia" w:ascii="宋体" w:hAnsi="宋体" w:cs="宋体"/>
          <w:color w:val="000000"/>
          <w:sz w:val="21"/>
          <w:szCs w:val="21"/>
          <w:highlight w:val="none"/>
          <w:lang w:val="zh-CN"/>
        </w:rPr>
        <w:outlineLvl w:val="9"/>
      </w:pPr>
      <w:r/>
      <w:bookmarkStart w:id="82" w:name="_Toc48639384"/>
      <w:r/>
      <w:bookmarkStart w:id="83" w:name="_Toc48639255"/>
      <w:r>
        <w:rPr>
          <w:rFonts w:hint="eastAsia" w:ascii="宋体" w:hAnsi="宋体" w:eastAsia="宋体" w:cs="宋体"/>
          <w:color w:val="000000"/>
          <w:sz w:val="21"/>
          <w:szCs w:val="21"/>
          <w:highlight w:val="none"/>
        </w:rPr>
        <w:t xml:space="preserve">依据甲方委托</w:t>
      </w:r>
      <w:r>
        <w:rPr>
          <w:rFonts w:hint="eastAsia" w:ascii="宋体" w:hAnsi="宋体" w:eastAsia="宋体" w:cs="宋体"/>
          <w:color w:val="000000"/>
          <w:sz w:val="21"/>
          <w:szCs w:val="21"/>
          <w:highlight w:val="none"/>
          <w:u w:val="single"/>
          <w:lang w:eastAsia="zh-CN"/>
        </w:rPr>
        <w:t xml:space="preserve">苏州中海工程项目管理有限公司</w:t>
      </w:r>
      <w:r>
        <w:rPr>
          <w:rFonts w:hint="eastAsia" w:ascii="宋体" w:hAnsi="宋体" w:eastAsia="宋体" w:cs="宋体"/>
          <w:color w:val="000000"/>
          <w:sz w:val="21"/>
          <w:szCs w:val="21"/>
          <w:highlight w:val="none"/>
        </w:rPr>
        <w:t xml:space="preserve">进行</w:t>
      </w:r>
      <w:r>
        <w:rPr>
          <w:rFonts w:hint="eastAsia" w:ascii="宋体" w:hAnsi="宋体" w:eastAsia="宋体" w:cs="宋体"/>
          <w:color w:val="000000"/>
          <w:sz w:val="21"/>
          <w:szCs w:val="21"/>
          <w:highlight w:val="none"/>
          <w:u w:val="single"/>
          <w:lang w:eastAsia="zh-CN"/>
        </w:rPr>
        <w:t xml:space="preserve">运西消防站配套设施项目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招标</w:t>
      </w:r>
      <w:r>
        <w:rPr>
          <w:rFonts w:hint="eastAsia" w:ascii="宋体" w:hAnsi="宋体" w:eastAsia="宋体" w:cs="宋体"/>
          <w:color w:val="000000"/>
          <w:sz w:val="21"/>
          <w:szCs w:val="21"/>
          <w:highlight w:val="none"/>
          <w:u w:val="single"/>
        </w:rPr>
        <w:t xml:space="preserve">编号：</w:t>
      </w:r>
      <w:r>
        <w:rPr>
          <w:rFonts w:hint="eastAsia" w:ascii="宋体" w:hAnsi="宋体" w:cs="宋体"/>
          <w:color w:val="000000"/>
          <w:sz w:val="21"/>
          <w:szCs w:val="21"/>
          <w:highlight w:val="none"/>
          <w:u w:val="single"/>
          <w:lang w:eastAsia="zh-CN"/>
        </w:rPr>
        <w:t xml:space="preserve">JSZC-320509-ZHXM-G2026-0001</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采购的</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结果，确定乙方为本次</w:t>
      </w:r>
      <w:r>
        <w:rPr>
          <w:rFonts w:hint="eastAsia" w:ascii="宋体" w:hAnsi="宋体" w:eastAsia="宋体" w:cs="宋体"/>
          <w:color w:val="000000"/>
          <w:sz w:val="21"/>
          <w:szCs w:val="21"/>
          <w:highlight w:val="none"/>
          <w:lang w:eastAsia="zh-CN"/>
        </w:rPr>
        <w:t xml:space="preserve">中标单位</w:t>
      </w:r>
      <w:r>
        <w:rPr>
          <w:rFonts w:hint="eastAsia" w:ascii="宋体" w:hAnsi="宋体" w:eastAsia="宋体" w:cs="宋体"/>
          <w:color w:val="000000"/>
          <w:sz w:val="21"/>
          <w:szCs w:val="21"/>
          <w:highlight w:val="none"/>
        </w:rPr>
        <w:t xml:space="preserve">，现依照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文件、乙方的</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及相关文件的内容，签订本合同书。</w:t>
      </w:r>
      <w:r>
        <w:rPr>
          <w:rFonts w:hint="eastAsia" w:ascii="宋体" w:hAnsi="宋体" w:cs="宋体"/>
          <w:color w:val="000000"/>
          <w:sz w:val="21"/>
          <w:szCs w:val="21"/>
          <w:highlight w:val="none"/>
          <w:lang w:val="zh-CN"/>
        </w:rPr>
      </w:r>
      <w:r/>
    </w:p>
    <w:p>
      <w:pPr>
        <w:pStyle w:val="1008"/>
        <w:ind w:firstLine="420"/>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zh-CN"/>
        </w:rPr>
        <w:t xml:space="preserve">一、合同内容：</w:t>
      </w:r>
      <w:bookmarkEnd w:id="82"/>
      <w:r/>
      <w:bookmarkEnd w:id="83"/>
      <w:r>
        <w:rPr>
          <w:rFonts w:hint="eastAsia" w:ascii="宋体" w:hAnsi="宋体" w:cs="宋体"/>
          <w:color w:val="000000"/>
          <w:sz w:val="21"/>
          <w:szCs w:val="21"/>
          <w:highlight w:val="none"/>
        </w:rPr>
      </w:r>
      <w:r/>
    </w:p>
    <w:p>
      <w:pPr>
        <w:pStyle w:val="1008"/>
        <w:ind w:firstLine="420"/>
        <w:jc w:val="both"/>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1.1乙方负责完成甲方委托的</w:t>
      </w:r>
      <w:r>
        <w:rPr>
          <w:rFonts w:hint="eastAsia" w:ascii="宋体" w:hAnsi="宋体" w:cs="宋体"/>
          <w:color w:val="000000"/>
          <w:sz w:val="21"/>
          <w:szCs w:val="21"/>
          <w:highlight w:val="none"/>
          <w:u w:val="single"/>
          <w:lang w:val="en-US" w:eastAsia="zh-CN"/>
        </w:rPr>
        <w:t xml:space="preserve">运西消防站配套设施项目</w:t>
      </w:r>
      <w:r>
        <w:rPr>
          <w:rFonts w:hint="eastAsia" w:ascii="宋体" w:hAnsi="宋体" w:cs="宋体"/>
          <w:color w:val="000000"/>
          <w:sz w:val="21"/>
          <w:szCs w:val="21"/>
          <w:highlight w:val="none"/>
          <w:lang w:val="en-US" w:eastAsia="zh-CN"/>
        </w:rPr>
        <w:t xml:space="preserve">【第</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lang w:val="en-US" w:eastAsia="zh-CN"/>
        </w:rPr>
        <w:t xml:space="preserve">标段：</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lang w:val="en-US" w:eastAsia="zh-CN"/>
        </w:rPr>
        <w:t xml:space="preserve">（标段名称）】，详见《标的物清单》。</w:t>
      </w:r>
      <w:r>
        <w:rPr>
          <w:rFonts w:hint="eastAsia" w:ascii="宋体" w:hAnsi="宋体" w:cs="宋体"/>
          <w:color w:val="000000"/>
          <w:sz w:val="21"/>
          <w:szCs w:val="21"/>
          <w:highlight w:val="none"/>
          <w:lang w:val="en-US" w:eastAsia="zh-CN"/>
        </w:rPr>
      </w:r>
      <w:r/>
    </w:p>
    <w:p>
      <w:pPr>
        <w:pStyle w:val="1008"/>
        <w:ind w:firstLine="420"/>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lang w:val="zh-CN"/>
        </w:rPr>
        <w:t xml:space="preserve">下列文件为本合同不可分割部分：</w:t>
      </w:r>
      <w:r>
        <w:rPr>
          <w:rFonts w:hint="eastAsia" w:ascii="宋体" w:hAnsi="宋体" w:cs="宋体"/>
          <w:color w:val="000000"/>
          <w:sz w:val="21"/>
          <w:szCs w:val="21"/>
          <w:highlight w:val="none"/>
        </w:rPr>
      </w:r>
      <w:r/>
    </w:p>
    <w:p>
      <w:pPr>
        <w:pStyle w:val="1008"/>
        <w:ind w:firstLine="420"/>
        <w:spacing w:line="440" w:lineRule="exact"/>
        <w:rPr>
          <w:rFonts w:hint="eastAsia" w:ascii="宋体" w:hAnsi="宋体" w:eastAsia="宋体" w:cs="宋体"/>
          <w:color w:val="000000"/>
          <w:sz w:val="21"/>
          <w:szCs w:val="21"/>
          <w:highlight w:val="none"/>
          <w:lang w:val="en-US" w:eastAsia="zh-CN"/>
        </w:rPr>
        <w:outlineLvl w:val="9"/>
      </w:pPr>
      <w:r/>
      <w:bookmarkStart w:id="84" w:name="_Toc48639385"/>
      <w:r/>
      <w:bookmarkStart w:id="85" w:name="_Toc48639256"/>
      <w:r>
        <w:rPr>
          <w:rFonts w:hint="eastAsia" w:ascii="宋体" w:hAnsi="宋体" w:eastAsia="宋体" w:cs="宋体"/>
          <w:color w:val="000000"/>
          <w:sz w:val="21"/>
          <w:szCs w:val="21"/>
          <w:highlight w:val="none"/>
          <w:lang w:val="en-US" w:eastAsia="zh-CN"/>
        </w:rPr>
        <w:t xml:space="preserve">（1）招标文件；</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（2）乙方中标的投标书；</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（3）乙方在招投标过程中所作的其他承诺、声明、书面澄清等；</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（4）中标通知书；</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（5）合同附件。</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1.3本合同标的总价已包含货物生产、包装、运输、装卸、保险、安装调试、检测验收、人员培训、质保期运维、税金、政策性文件规定及合同包含的所有风险、责任等全部费用，甲方无需另行支付任何费用。</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zh-CN"/>
        </w:rPr>
        <w:t xml:space="preserve">二、价格与支付：</w:t>
      </w:r>
      <w:bookmarkEnd w:id="84"/>
      <w:r/>
      <w:bookmarkEnd w:id="85"/>
      <w:r>
        <w:rPr>
          <w:rFonts w:hint="eastAsia" w:ascii="宋体" w:hAnsi="宋体" w:cs="宋体"/>
          <w:color w:val="000000"/>
          <w:sz w:val="21"/>
          <w:szCs w:val="21"/>
          <w:highlight w:val="none"/>
        </w:rPr>
      </w:r>
      <w:r/>
    </w:p>
    <w:p>
      <w:pPr>
        <w:pStyle w:val="1008"/>
        <w:ind w:firstLine="420"/>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lang w:val="en-US" w:eastAsia="zh-CN"/>
        </w:rPr>
        <w:t xml:space="preserve">本合同固定总价为：人民币</w:t>
      </w:r>
      <w:r>
        <w:rPr>
          <w:rFonts w:hint="eastAsia" w:ascii="宋体" w:hAnsi="宋体" w:cs="宋体"/>
          <w:color w:val="000000"/>
          <w:sz w:val="21"/>
          <w:szCs w:val="21"/>
          <w:highlight w:val="none"/>
          <w:u w:val="single"/>
          <w:lang w:val="en-US" w:eastAsia="zh-CN"/>
        </w:rPr>
        <w:t xml:space="preserve">大写        </w:t>
      </w:r>
      <w:r>
        <w:rPr>
          <w:rFonts w:hint="eastAsia" w:ascii="宋体" w:hAnsi="宋体" w:cs="宋体"/>
          <w:color w:val="000000"/>
          <w:sz w:val="21"/>
          <w:szCs w:val="21"/>
          <w:highlight w:val="none"/>
          <w:lang w:val="en-US" w:eastAsia="zh-CN"/>
        </w:rPr>
        <w:t xml:space="preserve">元（小写：__________），该价格为固定不变价，合同履行期间不因市场波动、政策调整等任何因素调整。</w:t>
      </w:r>
      <w:r>
        <w:rPr>
          <w:rFonts w:hint="eastAsia" w:ascii="宋体" w:hAnsi="宋体" w:cs="宋体"/>
          <w:color w:val="000000"/>
          <w:sz w:val="21"/>
          <w:szCs w:val="21"/>
          <w:highlight w:val="none"/>
        </w:rPr>
      </w:r>
      <w:r/>
    </w:p>
    <w:p>
      <w:pPr>
        <w:pStyle w:val="1008"/>
        <w:ind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2.2</w:t>
      </w:r>
      <w:r>
        <w:rPr>
          <w:rFonts w:hint="eastAsia" w:ascii="宋体" w:hAnsi="宋体" w:cs="宋体"/>
          <w:color w:val="000000"/>
          <w:sz w:val="21"/>
          <w:szCs w:val="21"/>
          <w:highlight w:val="none"/>
          <w:lang w:val="zh-CN"/>
        </w:rPr>
        <w:t xml:space="preserve">付款方式：</w:t>
      </w:r>
      <w:r>
        <w:rPr>
          <w:rFonts w:hint="eastAsia" w:ascii="宋体" w:hAnsi="宋体" w:cs="宋体"/>
          <w:color w:val="000000"/>
          <w:sz w:val="21"/>
          <w:szCs w:val="21"/>
          <w:highlight w:val="none"/>
          <w:lang w:val="zh-CN"/>
        </w:rPr>
      </w:r>
      <w:r/>
    </w:p>
    <w:p>
      <w:pPr>
        <w:pStyle w:val="1008"/>
        <w:ind w:firstLine="420"/>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合同签订生效后，</w:t>
      </w:r>
      <w:r>
        <w:rPr>
          <w:rFonts w:hint="eastAsia" w:ascii="宋体" w:hAnsi="宋体" w:cs="宋体"/>
          <w:color w:val="000000"/>
          <w:sz w:val="21"/>
          <w:szCs w:val="21"/>
          <w:highlight w:val="none"/>
          <w:lang w:val="en-US" w:eastAsia="zh-CN"/>
        </w:rPr>
        <w:t xml:space="preserve">所有货物到场，经甲方确认付至合同价款的60%的货款，调试完成并经甲方确认竣工验收合格后支付至合同金额的80%，待审计结束后支付至审定金额的95%,余审定金额的5%作为质保金待质保满两年后的一个月内付清。</w:t>
      </w:r>
      <w:r>
        <w:rPr>
          <w:rFonts w:hint="eastAsia" w:ascii="宋体" w:hAnsi="宋体" w:cs="宋体"/>
          <w:color w:val="000000"/>
          <w:sz w:val="21"/>
          <w:szCs w:val="21"/>
          <w:highlight w:val="none"/>
          <w:lang w:val="en-US" w:eastAsia="zh-CN"/>
        </w:rPr>
      </w:r>
      <w:r/>
    </w:p>
    <w:p>
      <w:pPr>
        <w:pStyle w:val="1008"/>
        <w:ind w:firstLine="420"/>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2.3</w:t>
      </w:r>
      <w:r>
        <w:rPr>
          <w:rFonts w:hint="eastAsia" w:ascii="宋体" w:hAnsi="宋体" w:cs="宋体"/>
          <w:color w:val="000000"/>
          <w:sz w:val="21"/>
          <w:szCs w:val="21"/>
          <w:highlight w:val="none"/>
          <w:lang w:val="zh-CN"/>
        </w:rPr>
        <w:t xml:space="preserve">付款方式：银行汇票或转账。</w:t>
      </w:r>
      <w:r>
        <w:rPr>
          <w:rFonts w:hint="eastAsia" w:ascii="宋体" w:hAnsi="宋体" w:cs="宋体"/>
          <w:color w:val="000000"/>
          <w:sz w:val="21"/>
          <w:szCs w:val="21"/>
          <w:highlight w:val="none"/>
          <w:lang w:val="zh-CN"/>
        </w:rPr>
      </w:r>
      <w:r/>
    </w:p>
    <w:p>
      <w:pPr>
        <w:pStyle w:val="1008"/>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乙方收款账户名称： </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开户银行名称： </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收款账号：</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数字人民币钱包ID：</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2.4甲方付款时，乙方需提供以下资料：</w:t>
      </w:r>
      <w:r>
        <w:rPr>
          <w:rFonts w:hint="eastAsia" w:ascii="宋体" w:hAnsi="宋体" w:cs="宋体"/>
          <w:color w:val="000000"/>
          <w:sz w:val="21"/>
          <w:szCs w:val="21"/>
          <w:highlight w:val="none"/>
          <w:lang w:val="en-US" w:eastAsia="zh-CN"/>
        </w:rPr>
      </w:r>
      <w:r/>
    </w:p>
    <w:p>
      <w:pPr>
        <w:pStyle w:val="1008"/>
        <w:ind w:firstLine="420"/>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A.需方签收的送货回单。</w:t>
      </w:r>
      <w:r>
        <w:rPr>
          <w:rFonts w:hint="eastAsia" w:ascii="宋体" w:hAnsi="宋体" w:cs="宋体"/>
          <w:color w:val="000000"/>
          <w:sz w:val="21"/>
          <w:szCs w:val="21"/>
          <w:highlight w:val="none"/>
          <w:lang w:val="zh-CN"/>
        </w:rPr>
      </w:r>
      <w:r/>
    </w:p>
    <w:p>
      <w:pPr>
        <w:pStyle w:val="1008"/>
        <w:ind w:firstLine="420"/>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B.合格发票。</w:t>
      </w:r>
      <w:r>
        <w:rPr>
          <w:rFonts w:hint="eastAsia" w:ascii="宋体" w:hAnsi="宋体" w:cs="宋体"/>
          <w:color w:val="000000"/>
          <w:sz w:val="21"/>
          <w:szCs w:val="21"/>
          <w:highlight w:val="none"/>
          <w:lang w:val="zh-CN"/>
        </w:rPr>
      </w:r>
      <w:r/>
    </w:p>
    <w:p>
      <w:pPr>
        <w:pStyle w:val="1008"/>
        <w:ind w:right="-161"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C.由供需双方及招标代理机构签章的《政府采购合同履行验收报告》</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rPr>
        <w:outlineLvl w:val="9"/>
      </w:pPr>
      <w:r/>
      <w:bookmarkStart w:id="86" w:name="_Toc48639386"/>
      <w:r/>
      <w:bookmarkStart w:id="87" w:name="_Toc48639257"/>
      <w:r>
        <w:rPr>
          <w:rFonts w:hint="eastAsia" w:ascii="宋体" w:hAnsi="宋体" w:cs="宋体"/>
          <w:color w:val="000000"/>
          <w:sz w:val="21"/>
          <w:szCs w:val="21"/>
          <w:highlight w:val="none"/>
          <w:lang w:val="en-US" w:eastAsia="zh-CN"/>
        </w:rPr>
        <w:t xml:space="preserve">三</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交付与安装调试</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3.1</w:t>
      </w:r>
      <w:r>
        <w:rPr>
          <w:rFonts w:hint="eastAsia" w:ascii="宋体" w:hAnsi="宋体" w:cs="宋体"/>
          <w:color w:val="000000"/>
          <w:sz w:val="21"/>
          <w:szCs w:val="21"/>
          <w:highlight w:val="none"/>
          <w:lang w:val="zh-CN"/>
        </w:rPr>
        <w:t xml:space="preserve">交付方式：所有合同货物均由乙方装运至甲方指定地点，所有货物的包装费用、运输费用及运输安全均由乙方负责。货物装运后由乙方办理保险，费用已含在合同总价中。</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3.2</w:t>
      </w:r>
      <w:r>
        <w:rPr>
          <w:rFonts w:hint="eastAsia" w:ascii="宋体" w:hAnsi="宋体" w:cs="宋体"/>
          <w:color w:val="000000"/>
          <w:sz w:val="21"/>
          <w:szCs w:val="21"/>
          <w:highlight w:val="none"/>
          <w:lang w:val="zh-CN"/>
        </w:rPr>
        <w:t xml:space="preserve">交货期</w:t>
      </w:r>
      <w:r>
        <w:rPr>
          <w:rFonts w:hint="eastAsia" w:ascii="宋体" w:hAnsi="宋体" w:cs="宋体"/>
          <w:color w:val="000000"/>
          <w:sz w:val="21"/>
          <w:szCs w:val="21"/>
          <w:highlight w:val="none"/>
          <w:lang w:val="en-US" w:eastAsia="zh-CN"/>
        </w:rPr>
        <w:t xml:space="preserve">及免费质保期</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r>
      <w:r/>
    </w:p>
    <w:p>
      <w:pPr>
        <w:pStyle w:val="1008"/>
        <w:ind w:firstLine="425"/>
        <w:jc w:val="both"/>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本项目共分4个独立标段，各标段独立签约，各标段合同履行期限、免费质保要求如下：</w:t>
      </w:r>
      <w:r>
        <w:rPr>
          <w:rFonts w:hint="eastAsia" w:ascii="宋体" w:hAnsi="宋体" w:cs="宋体"/>
          <w:color w:val="000000"/>
          <w:sz w:val="21"/>
          <w:szCs w:val="21"/>
          <w:highlight w:val="none"/>
          <w:lang w:val="en-US" w:eastAsia="zh-CN"/>
        </w:rPr>
      </w:r>
      <w:r/>
    </w:p>
    <w:p>
      <w:pPr>
        <w:pStyle w:val="1008"/>
        <w:ind w:firstLine="425"/>
        <w:jc w:val="both"/>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1）第一、二、三标段（运西消防站配套设施项目-接警系统采购、联动消防门采购、厨房设备采购）：自合同签订生效后30天内完成全部采购内容的供货安装调试并交付正常使用，所有产品免费质保期为验收合格之日起二年。</w:t>
      </w:r>
      <w:r>
        <w:rPr>
          <w:rFonts w:hint="eastAsia" w:ascii="宋体" w:hAnsi="宋体" w:cs="宋体"/>
          <w:color w:val="000000"/>
          <w:sz w:val="21"/>
          <w:szCs w:val="21"/>
          <w:highlight w:val="none"/>
          <w:lang w:val="en-US" w:eastAsia="zh-CN"/>
        </w:rPr>
      </w:r>
      <w:r/>
    </w:p>
    <w:p>
      <w:pPr>
        <w:pStyle w:val="1008"/>
        <w:ind w:firstLine="425"/>
        <w:jc w:val="both"/>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（2）第四标段（运西消防站配套设施项目-家具采购（四标段））：自合同签订生效后40天内完成全部采购内容的供货安装调试并交付正常使用，所有产品免费质保期为验收合格之日起二年。</w:t>
      </w:r>
      <w:r>
        <w:rPr>
          <w:rFonts w:hint="eastAsia" w:ascii="宋体" w:hAnsi="宋体" w:cs="宋体"/>
          <w:color w:val="000000"/>
          <w:sz w:val="21"/>
          <w:szCs w:val="21"/>
          <w:highlight w:val="none"/>
          <w:lang w:val="en-US" w:eastAsia="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3.3</w:t>
      </w:r>
      <w:r>
        <w:rPr>
          <w:rFonts w:hint="eastAsia" w:ascii="宋体" w:hAnsi="宋体" w:cs="宋体"/>
          <w:color w:val="000000"/>
          <w:sz w:val="21"/>
          <w:szCs w:val="21"/>
          <w:highlight w:val="none"/>
          <w:lang w:val="zh-CN"/>
        </w:rPr>
        <w:t xml:space="preserve">交货地点：</w:t>
      </w:r>
      <w:r>
        <w:rPr>
          <w:rFonts w:hint="eastAsia" w:ascii="宋体" w:hAnsi="宋体" w:cs="宋体"/>
          <w:color w:val="000000"/>
          <w:sz w:val="21"/>
          <w:szCs w:val="21"/>
          <w:highlight w:val="none"/>
          <w:lang w:val="zh-CN" w:eastAsia="zh-CN"/>
        </w:rPr>
        <w:t xml:space="preserve">甲方指定的苏州市吴江区项目现场</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3.4</w:t>
      </w:r>
      <w:r>
        <w:rPr>
          <w:rFonts w:hint="eastAsia" w:ascii="宋体" w:hAnsi="宋体" w:cs="宋体"/>
          <w:color w:val="000000"/>
          <w:sz w:val="21"/>
          <w:szCs w:val="21"/>
          <w:highlight w:val="none"/>
          <w:lang w:val="zh-CN"/>
        </w:rPr>
        <w:t xml:space="preserve">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3.5</w:t>
      </w:r>
      <w:r>
        <w:rPr>
          <w:rFonts w:hint="eastAsia" w:ascii="宋体" w:hAnsi="宋体" w:cs="宋体"/>
          <w:color w:val="000000"/>
          <w:sz w:val="21"/>
          <w:szCs w:val="21"/>
          <w:highlight w:val="none"/>
        </w:rPr>
        <w:t xml:space="preserve">在交货时必须原包装现场拆封验收，由甲方以及乙方共同对标的物的规格、数量、外观、随机备件备品、装箱单、随机资料、包装等进行详细而全面的</w:t>
      </w:r>
      <w:r>
        <w:rPr>
          <w:rFonts w:hint="eastAsia" w:ascii="宋体" w:hAnsi="宋体" w:cs="宋体"/>
          <w:color w:val="000000"/>
          <w:sz w:val="21"/>
          <w:szCs w:val="21"/>
          <w:highlight w:val="none"/>
          <w:lang w:val="en-US" w:eastAsia="zh-CN"/>
        </w:rPr>
        <w:t xml:space="preserve">点验</w:t>
      </w:r>
      <w:r>
        <w:rPr>
          <w:rFonts w:hint="eastAsia" w:ascii="宋体" w:hAnsi="宋体" w:cs="宋体"/>
          <w:color w:val="000000"/>
          <w:sz w:val="21"/>
          <w:szCs w:val="21"/>
          <w:highlight w:val="none"/>
        </w:rPr>
        <w:t xml:space="preserve">，并出具一份</w:t>
      </w:r>
      <w:r>
        <w:rPr>
          <w:rFonts w:hint="eastAsia" w:ascii="宋体" w:hAnsi="宋体" w:cs="宋体"/>
          <w:color w:val="000000"/>
          <w:sz w:val="21"/>
          <w:szCs w:val="21"/>
          <w:highlight w:val="none"/>
          <w:lang w:val="en-US" w:eastAsia="zh-CN"/>
        </w:rPr>
        <w:t xml:space="preserve">点验清单</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点验清单</w:t>
      </w:r>
      <w:r>
        <w:rPr>
          <w:rFonts w:hint="eastAsia" w:ascii="宋体" w:hAnsi="宋体" w:cs="宋体"/>
          <w:color w:val="000000"/>
          <w:sz w:val="21"/>
          <w:szCs w:val="21"/>
          <w:highlight w:val="none"/>
        </w:rPr>
        <w:t xml:space="preserve">作为甲方验收的依据，但不能作为有关标的物质量、规格、数量或性能的最终检验结果。</w:t>
      </w:r>
      <w:r>
        <w:rPr>
          <w:rFonts w:hint="eastAsia" w:ascii="宋体" w:hAnsi="宋体" w:cs="宋体"/>
          <w:color w:val="000000"/>
          <w:sz w:val="21"/>
          <w:szCs w:val="21"/>
          <w:highlight w:val="none"/>
          <w:lang w:val="zh-CN"/>
        </w:rPr>
        <w:t xml:space="preserve">所有货物的外观、包装、运输应按国家规定或部颁标准执行。任何由于乙方包装及保护措施不足或不当以及其它原因造成的损坏或丢失，均由乙方负责修复或补缺。</w:t>
      </w:r>
      <w:r>
        <w:rPr>
          <w:rFonts w:hint="eastAsia" w:ascii="宋体" w:hAnsi="宋体" w:cs="宋体"/>
          <w:color w:val="000000"/>
          <w:sz w:val="21"/>
          <w:szCs w:val="21"/>
          <w:highlight w:val="none"/>
          <w:lang w:val="zh-CN"/>
        </w:rPr>
      </w:r>
      <w:r/>
    </w:p>
    <w:p>
      <w:pPr>
        <w:pStyle w:val="1008"/>
        <w:ind w:firstLine="420"/>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四</w:t>
      </w:r>
      <w:r>
        <w:rPr>
          <w:rFonts w:hint="eastAsia" w:ascii="宋体" w:hAnsi="宋体" w:cs="宋体"/>
          <w:color w:val="000000"/>
          <w:sz w:val="21"/>
          <w:szCs w:val="21"/>
          <w:highlight w:val="none"/>
          <w:lang w:val="zh-CN"/>
        </w:rPr>
        <w:t xml:space="preserve">、质量与验收：</w:t>
      </w:r>
      <w:bookmarkEnd w:id="86"/>
      <w:r/>
      <w:bookmarkEnd w:id="87"/>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bookmarkStart w:id="88" w:name="_Toc48639258"/>
      <w:r/>
      <w:bookmarkStart w:id="89" w:name="_Toc48639387"/>
      <w:r>
        <w:rPr>
          <w:rFonts w:hint="eastAsia" w:ascii="宋体" w:hAnsi="宋体" w:cs="宋体"/>
          <w:color w:val="000000"/>
          <w:sz w:val="21"/>
          <w:szCs w:val="21"/>
          <w:highlight w:val="none"/>
          <w:lang w:val="en-US" w:eastAsia="zh-CN"/>
        </w:rPr>
        <w:t xml:space="preserve">4.1</w:t>
      </w:r>
      <w:r>
        <w:rPr>
          <w:rFonts w:hint="eastAsia" w:ascii="宋体" w:hAnsi="宋体" w:cs="宋体"/>
          <w:color w:val="000000"/>
          <w:sz w:val="21"/>
          <w:szCs w:val="21"/>
          <w:highlight w:val="none"/>
          <w:lang w:val="zh-CN"/>
        </w:rPr>
        <w:t xml:space="preserve">产品质量及安装符合国家质量标准和验收规范，供应商应保证所供标的物是全新的，未使用过的，并且是非长期积压的库存商品。</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4.2</w:t>
      </w:r>
      <w:r>
        <w:rPr>
          <w:rFonts w:hint="eastAsia" w:ascii="宋体" w:hAnsi="宋体" w:cs="宋体"/>
          <w:color w:val="000000"/>
          <w:sz w:val="21"/>
          <w:szCs w:val="21"/>
          <w:highlight w:val="none"/>
          <w:lang w:val="zh-CN"/>
        </w:rPr>
        <w:t xml:space="preserve">所有产品各项技术应当符合国家（强制性）标准及各项规范要求；国家没有相应标准、规范的，可使用行业标准、规定；非标准设备按招标约定的技术要求和规范。 </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4.3</w:t>
      </w:r>
      <w:r>
        <w:rPr>
          <w:rFonts w:hint="eastAsia" w:ascii="宋体" w:hAnsi="宋体" w:cs="宋体"/>
          <w:color w:val="000000"/>
          <w:sz w:val="21"/>
          <w:szCs w:val="21"/>
          <w:highlight w:val="none"/>
          <w:lang w:val="zh-CN"/>
        </w:rPr>
        <w:t xml:space="preserve">所有设备在到达安装现场时须经采购单位技术人员记录验收后方可进行设备安装，验货时须提交该产品的原厂质量合格证明及服务质保证明文件。</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4.4</w:t>
      </w:r>
      <w:r>
        <w:rPr>
          <w:rFonts w:hint="eastAsia" w:ascii="宋体" w:hAnsi="宋体" w:cs="宋体"/>
          <w:color w:val="000000"/>
          <w:sz w:val="21"/>
          <w:szCs w:val="21"/>
          <w:highlight w:val="none"/>
          <w:lang w:val="zh-CN"/>
        </w:rPr>
        <w:t xml:space="preserve">所有设备、附（配）件应具备该类产品的功能要求，无瑕疵和缺陷，质量为合格产品，同时有明确的生产厂商或制造厂商。 </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4.5</w:t>
      </w:r>
      <w:r>
        <w:rPr>
          <w:rFonts w:hint="eastAsia" w:ascii="宋体" w:hAnsi="宋体" w:cs="宋体"/>
          <w:color w:val="000000"/>
          <w:sz w:val="21"/>
          <w:szCs w:val="21"/>
          <w:highlight w:val="none"/>
          <w:lang w:val="zh-CN"/>
        </w:rPr>
        <w:t xml:space="preserve">缺陷保修：如果设备交付使用后，缺陷多次反复出现，中标方必须提出分析报告和解决方案，更换该产品，直到最后纠正缺陷、投标人提供质保从纠正之日起重新计算质保期。</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4.6</w:t>
      </w:r>
      <w:r>
        <w:rPr>
          <w:rFonts w:hint="eastAsia" w:ascii="宋体" w:hAnsi="宋体" w:cs="宋体"/>
          <w:color w:val="000000"/>
          <w:sz w:val="21"/>
          <w:szCs w:val="21"/>
          <w:highlight w:val="none"/>
          <w:lang w:val="zh-CN"/>
        </w:rPr>
        <w:t xml:space="preserve">如果是超出投标人的责任范围的疏忽、误操作等情况而导致的更换修正，应由投标人进行修理，其额外费用由双方协商承担。</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4.7</w:t>
      </w:r>
      <w:r>
        <w:rPr>
          <w:rFonts w:hint="eastAsia" w:ascii="宋体" w:hAnsi="宋体" w:cs="宋体"/>
          <w:color w:val="000000"/>
          <w:sz w:val="21"/>
          <w:szCs w:val="21"/>
          <w:highlight w:val="none"/>
          <w:lang w:val="zh-CN"/>
        </w:rPr>
        <w:t xml:space="preserve">验收要求：</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zh-CN"/>
        </w:rPr>
        <w:t xml:space="preserve">履约验收标准：根据政府采购合同要求、招标文件要求、投标文件、承诺及有关行业规定。</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）履约验收主体：由甲方或委托专家（或第三方机构）组成的验收小组进行验收。</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）验收时间：</w:t>
      </w:r>
      <w:r>
        <w:rPr>
          <w:rFonts w:hint="eastAsia" w:ascii="宋体" w:hAnsi="宋体" w:cs="宋体"/>
          <w:color w:val="000000"/>
          <w:sz w:val="21"/>
          <w:szCs w:val="21"/>
          <w:highlight w:val="none"/>
          <w:lang w:val="zh-CN"/>
        </w:rPr>
      </w:r>
      <w:r/>
    </w:p>
    <w:p>
      <w:pPr>
        <w:pStyle w:val="1008"/>
        <w:numPr>
          <w:ilvl w:val="0"/>
          <w:numId w:val="3"/>
        </w:numPr>
        <w:ind w:left="0"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政府采购合同约定的履约验收条件达到时，甲方应当在 5 个工作日内启动履约验收工作，并向乙方发出《政府采购履约验收通知单》。</w:t>
      </w:r>
      <w:r>
        <w:rPr>
          <w:rFonts w:hint="eastAsia" w:ascii="宋体" w:hAnsi="宋体" w:cs="宋体"/>
          <w:color w:val="000000"/>
          <w:sz w:val="21"/>
          <w:szCs w:val="21"/>
          <w:highlight w:val="none"/>
          <w:lang w:val="zh-CN"/>
        </w:rPr>
      </w:r>
      <w:r/>
    </w:p>
    <w:p>
      <w:pPr>
        <w:pStyle w:val="1008"/>
        <w:numPr>
          <w:ilvl w:val="0"/>
          <w:numId w:val="3"/>
        </w:numPr>
        <w:ind w:left="0"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在政府采购合同约定的履行验收条件达到时，乙方可以主动联系甲方启动履约验收工作。</w:t>
      </w:r>
      <w:r>
        <w:rPr>
          <w:rFonts w:hint="eastAsia" w:ascii="宋体" w:hAnsi="宋体" w:cs="宋体"/>
          <w:color w:val="000000"/>
          <w:sz w:val="21"/>
          <w:szCs w:val="21"/>
          <w:highlight w:val="none"/>
          <w:lang w:val="zh-CN"/>
        </w:rPr>
      </w:r>
      <w:r/>
    </w:p>
    <w:p>
      <w:pPr>
        <w:pStyle w:val="1008"/>
        <w:ind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4.8</w:t>
      </w:r>
      <w:r>
        <w:rPr>
          <w:rFonts w:hint="eastAsia" w:ascii="宋体" w:hAnsi="宋体" w:cs="宋体"/>
          <w:color w:val="000000"/>
          <w:sz w:val="21"/>
          <w:szCs w:val="21"/>
          <w:highlight w:val="none"/>
          <w:lang w:val="zh-CN"/>
        </w:rPr>
        <w:t xml:space="preserve">其他验收要求按照《江苏省政府采购履约验收管理办法》规定执行。</w:t>
      </w:r>
      <w:r>
        <w:rPr>
          <w:rFonts w:hint="eastAsia" w:ascii="宋体" w:hAnsi="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bookmarkStart w:id="90" w:name="_Toc48639230"/>
      <w:r/>
      <w:bookmarkStart w:id="91" w:name="_Toc48639359"/>
      <w:r>
        <w:rPr>
          <w:rFonts w:hint="eastAsia" w:ascii="宋体" w:hAnsi="宋体" w:eastAsia="宋体" w:cs="宋体"/>
          <w:color w:val="000000"/>
          <w:sz w:val="21"/>
          <w:szCs w:val="21"/>
          <w:highlight w:val="none"/>
          <w:lang w:val="en-US" w:eastAsia="zh-CN"/>
        </w:rPr>
        <w:t xml:space="preserve">4.9异议处理：甲方在验收过程中发现货物质量、规格、性能不符合合同约定的，有权向乙方提出书面异议，乙方须在收到异议后7个工作日内予以处理并回复，逾期未回复的，视为认可甲方提出的异议，须按甲方要求承担相应责任。</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五、售后服务及其他要求</w:t>
      </w:r>
      <w:r>
        <w:rPr>
          <w:rFonts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5.1 质保期服务：</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（1）乙方应以优良的服务态度，乙方提供</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lang w:val="en-US" w:eastAsia="zh-CN"/>
        </w:rPr>
        <w:t xml:space="preserve">小时以内响应，</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lang w:val="en-US" w:eastAsia="zh-CN"/>
        </w:rPr>
        <w:t xml:space="preserve">小时内到达现场，</w:t>
      </w:r>
      <w:r>
        <w:rPr>
          <w:rFonts w:hint="eastAsia" w:ascii="宋体" w:hAnsi="宋体" w:eastAsia="宋体" w:cs="宋体"/>
          <w:color w:val="000000"/>
          <w:sz w:val="21"/>
          <w:szCs w:val="21"/>
          <w:highlight w:val="none"/>
          <w:u w:val="single"/>
          <w:lang w:val="en-US" w:eastAsia="zh-CN"/>
        </w:rPr>
        <w:t xml:space="preserve">24</w:t>
      </w:r>
      <w:r>
        <w:rPr>
          <w:rFonts w:hint="eastAsia" w:ascii="宋体" w:hAnsi="宋体" w:eastAsia="宋体" w:cs="宋体"/>
          <w:color w:val="000000"/>
          <w:sz w:val="21"/>
          <w:szCs w:val="21"/>
          <w:highlight w:val="none"/>
          <w:lang w:val="en-US" w:eastAsia="zh-CN"/>
        </w:rPr>
        <w:t xml:space="preserve">小时以内完成甲方提出的维修要求。其他按乙方响应文件及相关承诺中等同或优于采购文件的要求执行。</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（2）除特别约定外，合同条款成交的物的质量保证期均自标的物通过最终验收之日起计算，且质量保证期为乙方承诺期限。本项目免费质保期为</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5.2其他要求按乙方投标文件承诺的条款执行。</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六、知识产权</w:t>
      </w:r>
      <w:r>
        <w:rPr>
          <w:rFonts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bookmarkEnd w:id="90"/>
      <w:r/>
      <w:bookmarkEnd w:id="91"/>
      <w:r>
        <w:rPr>
          <w:rFonts w:hint="eastAsia" w:ascii="宋体" w:hAnsi="宋体" w:eastAsia="宋体" w:cs="宋体"/>
          <w:color w:val="000000"/>
          <w:sz w:val="21"/>
          <w:szCs w:val="21"/>
          <w:highlight w:val="none"/>
          <w:lang w:val="zh-CN" w:eastAsia="zh-CN"/>
        </w:rPr>
        <w:t xml:space="preserve">6.1 乙方保证其提供的货物、软件、技术服务，不侵犯任何第三方的专利权、商标权、著作权、商业秘密等知识产权；若甲方因使用乙方提供的货物或服务，被第三方主张侵权索赔的，乙方须承担全部法律责任，全额赔偿甲方因此产生的全部损失（包括但不限于赔偿金、诉讼费、律师费、商誉损失等）。</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eastAsia="zh-CN"/>
        </w:rPr>
        <w:t xml:space="preserve">6.2 本项目配套的数据复核和重积分软件，乙方须保证甲方拥有永久、免费的合法使用权，不得设置使用期限、功能限制；软件相关的源代码、技术文档，乙方须按甲方要求完整提供。</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eastAsia="zh-CN"/>
        </w:rPr>
        <w:t xml:space="preserve">6.3 甲方因本项目产生的监测数据、分析成果的全部知识产权归甲方所有，乙方不得擅自使用、复制、泄露或向第三方提供。</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ascii="宋体" w:hAnsi="宋体" w:eastAsia="宋体" w:cs="宋体"/>
          <w:color w:val="000000"/>
          <w:sz w:val="21"/>
          <w:szCs w:val="21"/>
          <w:highlight w:val="none"/>
          <w:lang w:val="en-US" w:eastAsia="zh-CN"/>
        </w:rPr>
        <w:outlineLvl w:val="9"/>
      </w:pPr>
      <w:r/>
      <w:bookmarkStart w:id="92" w:name="_Toc48639369"/>
      <w:r/>
      <w:bookmarkStart w:id="93" w:name="_Toc48639240"/>
      <w:r>
        <w:rPr>
          <w:rFonts w:hint="eastAsia" w:ascii="宋体" w:hAnsi="宋体" w:eastAsia="宋体" w:cs="宋体"/>
          <w:color w:val="000000"/>
          <w:sz w:val="21"/>
          <w:szCs w:val="21"/>
          <w:highlight w:val="none"/>
          <w:lang w:val="en-US" w:eastAsia="zh-CN"/>
        </w:rPr>
        <w:t xml:space="preserve">七、双方全力与义务</w:t>
      </w:r>
      <w:r>
        <w:rPr>
          <w:rFonts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7.1 甲方权利与义务：</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（1）按合同约定支付合同款项，提供项目安装调试必要的现场配合条件；</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（2）有权对乙方的供货、安装调试、售后服务全过程进行监督检查，对不符合合同约定的内容，有权要求乙方整改；</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（3）负责组织项目竣工验收，协调项目现场的相关事宜；</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（4）因甲方原因导致工期延误的，工期相应顺延，甲方不承担乙方的窝工、仓储等额外费用。</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7.2 乙方权利与义务：</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（1）严格按合同约定完成货物供货、安装调试、培训、售后等全部义务，确保项目按期交付、质量达标；</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（2）对项目现场的安装人员进行安全管理，承担安装调试过程中的全部安全责任，若造成甲方或第三方人身、财产损失的，由乙方全额赔偿；</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（3）不得将本合同项下的全部或部分义务转包、分包给第三方；</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（4）配合甲方完成项目验收、政府采购备案等相关工作，按要求提交全部资料。</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lang w:val="zh-CN"/>
        </w:rPr>
        <w:t xml:space="preserve">、违约责任</w:t>
      </w:r>
      <w:bookmarkEnd w:id="92"/>
      <w:r/>
      <w:bookmarkEnd w:id="93"/>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bookmarkStart w:id="94" w:name="_Toc48639370"/>
      <w:r/>
      <w:bookmarkStart w:id="95" w:name="_Toc48639241"/>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.违约责任</w:t>
      </w:r>
      <w:bookmarkEnd w:id="94"/>
      <w:r/>
      <w:bookmarkEnd w:id="95"/>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bookmarkStart w:id="96" w:name="_Toc48639371"/>
      <w:r/>
      <w:bookmarkStart w:id="97" w:name="_Toc48639242"/>
      <w:r>
        <w:rPr>
          <w:rFonts w:hint="eastAsia" w:ascii="宋体" w:hAnsi="宋体" w:eastAsia="宋体" w:cs="宋体"/>
          <w:color w:val="000000"/>
          <w:sz w:val="21"/>
          <w:szCs w:val="21"/>
          <w:highlight w:val="none"/>
          <w:lang w:val="en-US" w:eastAsia="zh-CN"/>
        </w:rPr>
        <w:t xml:space="preserve">8.1</w:t>
      </w:r>
      <w:r>
        <w:rPr>
          <w:rFonts w:hint="eastAsia" w:ascii="宋体" w:hAnsi="宋体" w:eastAsia="宋体" w:cs="宋体"/>
          <w:color w:val="000000"/>
          <w:sz w:val="21"/>
          <w:szCs w:val="21"/>
          <w:highlight w:val="none"/>
          <w:lang w:val="zh-CN"/>
        </w:rPr>
        <w:t xml:space="preserve">甲方违约责任</w:t>
      </w:r>
      <w:bookmarkEnd w:id="96"/>
      <w:r/>
      <w:bookmarkEnd w:id="97"/>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在合同生效后，甲方要求退货的（产品质量不合格或乙方无法正常履约除外），应向乙方偿付合同总价款的5%作为违约金，违约金不足以补偿损失的，乙方有权要求甲方补足。</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（2）甲方违反合同规定，拒绝接收乙方交付的合格标的物，应当承担乙方由此造成的损失。</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8.2</w:t>
      </w:r>
      <w:r>
        <w:rPr>
          <w:rFonts w:hint="eastAsia" w:ascii="宋体" w:hAnsi="宋体" w:eastAsia="宋体" w:cs="宋体"/>
          <w:color w:val="000000"/>
          <w:sz w:val="21"/>
          <w:szCs w:val="21"/>
          <w:highlight w:val="none"/>
          <w:lang w:val="zh-CN"/>
        </w:rPr>
        <w:t xml:space="preserve">乙方违约责任</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）乙方逾期完工（即项目全部安装调试完成，整体验收合格并提交竣工资料），应在完工前与甲方协商，甲方</w:t>
      </w:r>
      <w:r>
        <w:rPr>
          <w:rFonts w:hint="eastAsia" w:ascii="宋体" w:hAnsi="宋体" w:eastAsia="宋体" w:cs="宋体"/>
          <w:color w:val="000000"/>
          <w:sz w:val="21"/>
          <w:szCs w:val="21"/>
          <w:highlight w:val="none"/>
          <w:lang w:val="zh-CN" w:eastAsia="zh-CN"/>
        </w:rPr>
        <w:t xml:space="preserve">仍有</w:t>
      </w:r>
      <w:r>
        <w:rPr>
          <w:rFonts w:hint="eastAsia" w:ascii="宋体" w:hAnsi="宋体" w:eastAsia="宋体" w:cs="宋体"/>
          <w:color w:val="000000"/>
          <w:sz w:val="21"/>
          <w:szCs w:val="21"/>
          <w:highlight w:val="none"/>
          <w:lang w:val="zh-CN"/>
        </w:rPr>
        <w:t xml:space="preserve">需求的，乙方应立即完工并应按照逾期完工部分货款的</w:t>
      </w:r>
      <w:r>
        <w:rPr>
          <w:rFonts w:hint="eastAsia" w:ascii="宋体" w:hAnsi="宋体" w:eastAsia="宋体" w:cs="宋体"/>
          <w:color w:val="000000"/>
          <w:sz w:val="21"/>
          <w:szCs w:val="21"/>
          <w:highlight w:val="none"/>
          <w:lang w:val="zh-CN" w:eastAsia="zh-CN"/>
        </w:rPr>
        <w:t xml:space="preserve">每日万分之三</w:t>
      </w:r>
      <w:r>
        <w:rPr>
          <w:rFonts w:hint="eastAsia" w:ascii="宋体" w:hAnsi="宋体" w:eastAsia="宋体" w:cs="宋体"/>
          <w:color w:val="000000"/>
          <w:sz w:val="21"/>
          <w:szCs w:val="21"/>
          <w:highlight w:val="none"/>
          <w:lang w:val="zh-CN"/>
        </w:rPr>
        <w:t xml:space="preserve">支付逾期完工违约金，同时承担甲方因此遭致的损失费用。甲方原因引起的工期延误甲方应予以顺延工期，但甲方不承担乙方因此可能发生的任何经济损失。</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8.3</w:t>
      </w:r>
      <w:r>
        <w:rPr>
          <w:rFonts w:hint="eastAsia" w:ascii="宋体" w:hAnsi="宋体" w:eastAsia="宋体" w:cs="宋体"/>
          <w:color w:val="000000"/>
          <w:sz w:val="21"/>
          <w:szCs w:val="21"/>
          <w:highlight w:val="none"/>
          <w:lang w:val="zh-CN"/>
        </w:rPr>
        <w:t xml:space="preserve">乙方提前交货的，须经甲方同意，接货后，仍可按合同规定的付款时间付款。</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bookmarkStart w:id="98" w:name="_Toc48639372"/>
      <w:r/>
      <w:bookmarkStart w:id="99" w:name="_Toc48639243"/>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val="zh-CN"/>
        </w:rPr>
        <w:t xml:space="preserve">不可抗力</w:t>
      </w:r>
      <w:bookmarkEnd w:id="98"/>
      <w:r/>
      <w:bookmarkEnd w:id="99"/>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9.1</w:t>
      </w:r>
      <w:r>
        <w:rPr>
          <w:rFonts w:hint="eastAsia" w:ascii="宋体" w:hAnsi="宋体" w:eastAsia="宋体" w:cs="宋体"/>
          <w:color w:val="000000"/>
          <w:sz w:val="21"/>
          <w:szCs w:val="21"/>
          <w:highlight w:val="none"/>
          <w:lang w:val="zh-CN"/>
        </w:rPr>
        <w:t xml:space="preserve">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9.2</w:t>
      </w:r>
      <w:r>
        <w:rPr>
          <w:rFonts w:hint="eastAsia" w:ascii="宋体" w:hAnsi="宋体" w:eastAsia="宋体" w:cs="宋体"/>
          <w:color w:val="000000"/>
          <w:sz w:val="21"/>
          <w:szCs w:val="21"/>
          <w:highlight w:val="none"/>
          <w:lang w:val="zh-CN"/>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bookmarkStart w:id="100" w:name="_Toc48639244"/>
      <w:r/>
      <w:bookmarkStart w:id="101" w:name="_Toc48639373"/>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val="zh-CN"/>
        </w:rPr>
        <w:t xml:space="preserve">、索赔</w:t>
      </w:r>
      <w:bookmarkEnd w:id="100"/>
      <w:r/>
      <w:bookmarkEnd w:id="101"/>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bookmarkStart w:id="102" w:name="_Toc48639375"/>
      <w:r/>
      <w:bookmarkStart w:id="103" w:name="_Toc48639246"/>
      <w:r>
        <w:rPr>
          <w:rFonts w:hint="eastAsia" w:ascii="宋体" w:hAnsi="宋体" w:eastAsia="宋体" w:cs="宋体"/>
          <w:color w:val="000000"/>
          <w:sz w:val="21"/>
          <w:szCs w:val="21"/>
          <w:highlight w:val="none"/>
          <w:lang w:val="en-US" w:eastAsia="zh-CN"/>
        </w:rPr>
        <w:t xml:space="preserve">10.1</w:t>
      </w:r>
      <w:r>
        <w:rPr>
          <w:rFonts w:hint="eastAsia" w:ascii="宋体" w:hAnsi="宋体" w:eastAsia="宋体" w:cs="宋体"/>
          <w:color w:val="000000"/>
          <w:sz w:val="21"/>
          <w:szCs w:val="21"/>
          <w:highlight w:val="none"/>
          <w:lang w:val="zh-CN"/>
        </w:rPr>
        <w:t xml:space="preserve">甲方有权根据当地产品质量检验机构或其它有权部门出具的检验证书向乙方提出索赔。</w:t>
      </w:r>
      <w:bookmarkEnd w:id="102"/>
      <w:r/>
      <w:bookmarkEnd w:id="103"/>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10.2</w:t>
      </w:r>
      <w:r>
        <w:rPr>
          <w:rFonts w:hint="eastAsia" w:ascii="宋体" w:hAnsi="宋体" w:eastAsia="宋体" w:cs="宋体"/>
          <w:color w:val="000000"/>
          <w:sz w:val="21"/>
          <w:szCs w:val="21"/>
          <w:highlight w:val="none"/>
          <w:lang w:val="zh-CN"/>
        </w:rPr>
        <w:t xml:space="preserve">在本合同规定的检验期和质量保证期内，如果乙方对甲方提出的索赔或差异有责任，则乙方应按甲方同意的下列一种或多种方式解决索赔事宜：</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10.3</w:t>
      </w:r>
      <w:r>
        <w:rPr>
          <w:rFonts w:hint="eastAsia" w:ascii="宋体" w:hAnsi="宋体" w:eastAsia="宋体" w:cs="宋体"/>
          <w:color w:val="000000"/>
          <w:sz w:val="21"/>
          <w:szCs w:val="21"/>
          <w:highlight w:val="none"/>
          <w:lang w:val="zh-CN"/>
        </w:rPr>
        <w:t xml:space="preserve">乙方同意退货，并按合同规定的货币将货款退还给甲方，并承担由此发生的一切损失和费用，包括利息、银行手续费、运费、保险费、检验费、仓储费、装卸费以及为保护退回标的物所需的其它必要费用。</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）根据标的物的低劣程度、损坏程度以及甲方遭受损失的数额，经双方协商确定降低标的物的价格。</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10.4</w:t>
      </w:r>
      <w:r>
        <w:rPr>
          <w:rFonts w:hint="eastAsia" w:ascii="宋体" w:hAnsi="宋体" w:eastAsia="宋体" w:cs="宋体"/>
          <w:color w:val="000000"/>
          <w:sz w:val="21"/>
          <w:szCs w:val="21"/>
          <w:highlight w:val="none"/>
          <w:lang w:val="zh-CN"/>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10.5</w:t>
      </w:r>
      <w:r>
        <w:rPr>
          <w:rFonts w:hint="eastAsia" w:ascii="宋体" w:hAnsi="宋体" w:eastAsia="宋体" w:cs="宋体"/>
          <w:color w:val="000000"/>
          <w:sz w:val="21"/>
          <w:szCs w:val="21"/>
          <w:highlight w:val="none"/>
          <w:lang w:val="zh-CN"/>
        </w:rPr>
        <w:t xml:space="preserve">甲方提出索赔的书面材料应报政府采购监督管理部门备案。同时乙方同意的索赔方案也应报政府采购监督管理部门备案。</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十一、</w:t>
      </w:r>
      <w:r>
        <w:rPr>
          <w:rFonts w:hint="eastAsia" w:ascii="宋体" w:hAnsi="宋体" w:eastAsia="宋体" w:cs="宋体"/>
          <w:color w:val="000000"/>
          <w:sz w:val="21"/>
          <w:szCs w:val="21"/>
          <w:highlight w:val="none"/>
          <w:lang w:val="zh-CN"/>
        </w:rPr>
        <w:t xml:space="preserve">合同的解除和转让</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eastAsia="zh-CN"/>
        </w:rPr>
        <w:outlineLvl w:val="9"/>
      </w:pPr>
      <w:r/>
      <w:bookmarkStart w:id="104" w:name="_Toc48639377"/>
      <w:r/>
      <w:bookmarkStart w:id="105" w:name="_Toc48639248"/>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zh-CN" w:eastAsia="zh-CN"/>
        </w:rPr>
        <w:t xml:space="preserve">甲方和乙方协商一致，可以解除合同。</w:t>
      </w:r>
      <w:r>
        <w:rPr>
          <w:rFonts w:hint="eastAsia" w:ascii="宋体" w:hAnsi="宋体" w:eastAsia="宋体" w:cs="宋体"/>
          <w:color w:val="000000"/>
          <w:sz w:val="21"/>
          <w:szCs w:val="21"/>
          <w:highlight w:val="none"/>
          <w:lang w:val="zh-CN" w:eastAsia="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有下列情形之一，合同一方可以解除合同：</w:t>
      </w:r>
      <w:bookmarkEnd w:id="104"/>
      <w:r/>
      <w:bookmarkEnd w:id="105"/>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）因不可抗力致使不能实现合同目的，未受不可抗力影响的一方有权解除合同；</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）因合同一方违约导致合同不能履行，另一方有权解除合同；</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11.3</w:t>
      </w:r>
      <w:r>
        <w:rPr>
          <w:rFonts w:hint="eastAsia" w:ascii="宋体" w:hAnsi="宋体" w:eastAsia="宋体" w:cs="宋体"/>
          <w:color w:val="000000"/>
          <w:sz w:val="21"/>
          <w:szCs w:val="21"/>
          <w:highlight w:val="none"/>
          <w:lang w:val="zh-CN"/>
        </w:rPr>
        <w:t xml:space="preserve">合同的部分和全部都不得转让。</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十</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、争议解决</w:t>
      </w:r>
      <w:r>
        <w:rPr>
          <w:rFonts w:hint="eastAsia" w:ascii="宋体" w:hAnsi="宋体" w:eastAsia="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rPr>
        <w:outlineLvl w:val="9"/>
      </w:pPr>
      <w:r/>
      <w:bookmarkEnd w:id="88"/>
      <w:r/>
      <w:bookmarkEnd w:id="89"/>
      <w:r/>
      <w:bookmarkStart w:id="106" w:name="_Toc48639261"/>
      <w:r/>
      <w:bookmarkStart w:id="107" w:name="_Toc48639390"/>
      <w:r>
        <w:rPr>
          <w:rFonts w:hint="eastAsia" w:ascii="宋体" w:hAnsi="宋体" w:cs="宋体"/>
          <w:color w:val="000000"/>
          <w:sz w:val="21"/>
          <w:szCs w:val="21"/>
          <w:highlight w:val="none"/>
          <w:lang w:val="en-US" w:eastAsia="zh-CN"/>
        </w:rPr>
        <w:t xml:space="preserve">11.1 本合同履行过程中发生的任何争议，双方应首先友好协商解决；协商不成的，任何一方均有权向甲方所在地人民法院提起诉讼。</w:t>
      </w:r>
      <w:r>
        <w:rPr>
          <w:rFonts w:hint="eastAsia" w:ascii="宋体" w:hAnsi="宋体" w:cs="宋体"/>
          <w:color w:val="000000"/>
          <w:sz w:val="21"/>
          <w:szCs w:val="21"/>
          <w:highlight w:val="none"/>
        </w:rPr>
      </w:r>
      <w:r/>
    </w:p>
    <w:p>
      <w:pPr>
        <w:pStyle w:val="1008"/>
        <w:ind w:firstLine="425"/>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11.2 争议解决期间，除争议事项外，双方应继续履行本合同其他条款。</w:t>
      </w:r>
      <w:r>
        <w:rPr>
          <w:rFonts w:hint="eastAsia" w:ascii="宋体" w:hAnsi="宋体" w:cs="宋体"/>
          <w:color w:val="000000"/>
          <w:sz w:val="21"/>
          <w:szCs w:val="21"/>
          <w:highlight w:val="none"/>
        </w:rPr>
      </w:r>
      <w:r/>
    </w:p>
    <w:p>
      <w:pPr>
        <w:pStyle w:val="1008"/>
        <w:ind w:firstLine="425"/>
        <w:jc w:val="both"/>
        <w:spacing w:line="440" w:lineRule="exact"/>
        <w:rPr>
          <w:rFonts w:hint="eastAsia" w:ascii="宋体" w:hAnsi="宋体" w:cs="宋体"/>
          <w:color w:val="000000"/>
          <w:sz w:val="21"/>
          <w:szCs w:val="21"/>
          <w:highlight w:val="none"/>
        </w:rPr>
        <w:outlineLvl w:val="9"/>
      </w:pPr>
      <w:r/>
      <w:bookmarkEnd w:id="106"/>
      <w:r/>
      <w:bookmarkEnd w:id="107"/>
      <w:r/>
      <w:bookmarkStart w:id="108" w:name="_Toc48639262"/>
      <w:r/>
      <w:bookmarkStart w:id="109" w:name="_Toc48639391"/>
      <w:r>
        <w:rPr>
          <w:rFonts w:hint="eastAsia" w:ascii="宋体" w:hAnsi="宋体" w:cs="宋体"/>
          <w:color w:val="000000"/>
          <w:sz w:val="21"/>
          <w:szCs w:val="21"/>
          <w:highlight w:val="none"/>
          <w:lang w:val="en-US" w:eastAsia="zh-CN"/>
        </w:rPr>
        <w:t xml:space="preserve">十二</w:t>
      </w:r>
      <w:r>
        <w:rPr>
          <w:rFonts w:hint="eastAsia" w:ascii="宋体" w:hAnsi="宋体" w:cs="宋体"/>
          <w:color w:val="000000"/>
          <w:sz w:val="21"/>
          <w:szCs w:val="21"/>
          <w:highlight w:val="none"/>
        </w:rPr>
        <w:t xml:space="preserve">、合同生效及其它：</w:t>
      </w:r>
      <w:bookmarkEnd w:id="108"/>
      <w:r/>
      <w:bookmarkEnd w:id="109"/>
      <w:r>
        <w:rPr>
          <w:rFonts w:hint="eastAsia" w:ascii="宋体" w:hAnsi="宋体" w:cs="宋体"/>
          <w:color w:val="000000"/>
          <w:sz w:val="21"/>
          <w:szCs w:val="21"/>
          <w:highlight w:val="none"/>
        </w:rPr>
      </w:r>
      <w:r/>
    </w:p>
    <w:p>
      <w:pPr>
        <w:pStyle w:val="1008"/>
        <w:ind w:firstLine="425"/>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eastAsia="zh-CN"/>
        </w:rPr>
        <w:t xml:space="preserve">1.</w:t>
      </w:r>
      <w:r>
        <w:rPr>
          <w:rFonts w:hint="eastAsia" w:ascii="宋体" w:hAnsi="宋体" w:cs="宋体"/>
          <w:color w:val="000000"/>
          <w:sz w:val="21"/>
          <w:szCs w:val="21"/>
          <w:highlight w:val="none"/>
        </w:rPr>
        <w:t xml:space="preserve">本合同在</w:t>
      </w:r>
      <w:r>
        <w:rPr>
          <w:rFonts w:hint="eastAsia" w:ascii="宋体" w:hAnsi="宋体" w:cs="宋体"/>
          <w:color w:val="000000"/>
          <w:sz w:val="21"/>
          <w:szCs w:val="21"/>
          <w:highlight w:val="none"/>
          <w:lang w:val="zh-CN"/>
        </w:rPr>
        <w:t xml:space="preserve">甲乙</w:t>
      </w:r>
      <w:r>
        <w:rPr>
          <w:rFonts w:hint="eastAsia" w:ascii="宋体" w:hAnsi="宋体" w:cs="宋体"/>
          <w:color w:val="000000"/>
          <w:sz w:val="21"/>
          <w:szCs w:val="21"/>
          <w:highlight w:val="none"/>
        </w:rPr>
        <w:t xml:space="preserve">双方</w:t>
      </w:r>
      <w:r>
        <w:rPr>
          <w:rFonts w:hint="eastAsia" w:ascii="宋体" w:hAnsi="宋体" w:cs="宋体"/>
          <w:color w:val="000000"/>
          <w:sz w:val="21"/>
          <w:szCs w:val="21"/>
          <w:highlight w:val="none"/>
          <w:lang w:val="zh-CN"/>
        </w:rPr>
        <w:t xml:space="preserve">签字（</w:t>
      </w:r>
      <w:r>
        <w:rPr>
          <w:rFonts w:hint="eastAsia" w:ascii="宋体" w:hAnsi="宋体" w:cs="宋体"/>
          <w:color w:val="000000"/>
          <w:sz w:val="21"/>
          <w:szCs w:val="21"/>
          <w:highlight w:val="none"/>
        </w:rPr>
        <w:t xml:space="preserve">或盖章）</w:t>
      </w:r>
      <w:r>
        <w:rPr>
          <w:rFonts w:hint="eastAsia" w:ascii="宋体" w:hAnsi="宋体" w:cs="宋体"/>
          <w:color w:val="000000"/>
          <w:sz w:val="21"/>
          <w:szCs w:val="21"/>
          <w:highlight w:val="none"/>
          <w:lang w:val="zh-CN"/>
        </w:rPr>
        <w:t xml:space="preserve">并加盖公章（或合同</w:t>
      </w:r>
      <w:r>
        <w:rPr>
          <w:rFonts w:hint="eastAsia" w:ascii="宋体" w:hAnsi="宋体" w:cs="宋体"/>
          <w:color w:val="000000"/>
          <w:sz w:val="21"/>
          <w:szCs w:val="21"/>
          <w:highlight w:val="none"/>
          <w:lang w:val="en-US" w:eastAsia="zh-CN"/>
        </w:rPr>
        <w:t xml:space="preserve">专业</w:t>
      </w:r>
      <w:r>
        <w:rPr>
          <w:rFonts w:hint="eastAsia" w:ascii="宋体" w:hAnsi="宋体" w:cs="宋体"/>
          <w:color w:val="000000"/>
          <w:sz w:val="21"/>
          <w:szCs w:val="21"/>
          <w:highlight w:val="none"/>
          <w:lang w:val="zh-CN"/>
        </w:rPr>
        <w:t xml:space="preserve">章）后即生效，合同签订后2个工作日内上传系统网上公示及网上备案</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5"/>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合同在执行过程中出现的未尽事宜，双方在不违背本合同和招标文件的原则下协商解决，协商结果以书面形式盖章记录在案，作为本合同的附件，与本合同具有同等效力，但需向政府采购办公室和招标代理机构备存。</w:t>
      </w:r>
      <w:r>
        <w:rPr>
          <w:rFonts w:hint="eastAsia" w:ascii="宋体" w:hAnsi="宋体" w:cs="宋体"/>
          <w:color w:val="000000"/>
          <w:sz w:val="21"/>
          <w:szCs w:val="21"/>
          <w:highlight w:val="none"/>
        </w:rPr>
      </w:r>
      <w:r/>
    </w:p>
    <w:p>
      <w:pPr>
        <w:pStyle w:val="1008"/>
        <w:ind w:firstLine="425"/>
        <w:jc w:val="both"/>
        <w:spacing w:line="44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3.本合同一式六份，甲方执二份、乙方执二份、采购代理机构执一份、政府采购监管部门执一份，具有同等法律效力。</w:t>
      </w:r>
      <w:r>
        <w:rPr>
          <w:rFonts w:ascii="宋体" w:hAnsi="宋体" w:eastAsia="宋体" w:cs="宋体"/>
          <w:color w:val="000000"/>
          <w:sz w:val="21"/>
          <w:szCs w:val="21"/>
          <w:highlight w:val="none"/>
          <w:lang w:val="en-US" w:eastAsia="zh-CN"/>
        </w:rPr>
      </w:r>
      <w:r/>
    </w:p>
    <w:p>
      <w:pPr>
        <w:pStyle w:val="1008"/>
        <w:ind w:firstLine="425"/>
        <w:jc w:val="both"/>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采购合同签约与备案签署栏：</w:t>
      </w:r>
      <w:r>
        <w:rPr>
          <w:rFonts w:hint="eastAsia" w:ascii="宋体" w:hAnsi="宋体" w:eastAsia="宋体" w:cs="宋体"/>
          <w:color w:val="000000"/>
          <w:sz w:val="21"/>
          <w:szCs w:val="21"/>
          <w:highlight w:val="none"/>
        </w:rPr>
      </w:r>
      <w:r/>
    </w:p>
    <w:p>
      <w:pPr>
        <w:pStyle w:val="1008"/>
        <w:ind w:firstLine="425"/>
        <w:jc w:val="both"/>
        <w:spacing w:line="4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p>
      <w:pPr>
        <w:pStyle w:val="1008"/>
        <w:ind w:firstLine="425"/>
        <w:jc w:val="both"/>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甲方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eastAsia="zh-CN"/>
        </w:rPr>
        <w:t xml:space="preserve">乙方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1008"/>
        <w:ind w:firstLine="425"/>
        <w:jc w:val="both"/>
        <w:spacing w:line="4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（公章或合同专用章）                      （公章或合同专用章）</w:t>
      </w:r>
      <w:r>
        <w:rPr>
          <w:rFonts w:hint="eastAsia" w:ascii="宋体" w:hAnsi="宋体" w:eastAsia="宋体" w:cs="宋体"/>
          <w:color w:val="000000"/>
          <w:sz w:val="21"/>
          <w:szCs w:val="21"/>
          <w:highlight w:val="none"/>
          <w:lang w:val="zh-CN" w:eastAsia="zh-CN"/>
        </w:rPr>
      </w:r>
      <w:r/>
    </w:p>
    <w:p>
      <w:pPr>
        <w:pStyle w:val="1008"/>
        <w:ind w:firstLine="425"/>
        <w:jc w:val="both"/>
        <w:spacing w:line="4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法定代表人（</w:t>
      </w:r>
      <w:r>
        <w:rPr>
          <w:rFonts w:hint="eastAsia" w:ascii="宋体" w:hAnsi="宋体" w:eastAsia="宋体" w:cs="宋体"/>
          <w:color w:val="000000"/>
          <w:sz w:val="21"/>
          <w:szCs w:val="21"/>
          <w:highlight w:val="none"/>
          <w:lang w:val="en-US" w:eastAsia="zh-CN"/>
        </w:rPr>
        <w:t xml:space="preserve">授权委托人</w:t>
      </w:r>
      <w:r>
        <w:rPr>
          <w:rFonts w:hint="eastAsia" w:ascii="宋体" w:hAnsi="宋体" w:eastAsia="宋体" w:cs="宋体"/>
          <w:color w:val="000000"/>
          <w:sz w:val="21"/>
          <w:szCs w:val="21"/>
          <w:highlight w:val="none"/>
          <w:lang w:val="zh-CN" w:eastAsia="zh-CN"/>
        </w:rPr>
        <w:t xml:space="preserve">）：                法定代表人（</w:t>
      </w:r>
      <w:r>
        <w:rPr>
          <w:rFonts w:hint="eastAsia" w:ascii="宋体" w:hAnsi="宋体" w:eastAsia="宋体" w:cs="宋体"/>
          <w:color w:val="000000"/>
          <w:sz w:val="21"/>
          <w:szCs w:val="21"/>
          <w:highlight w:val="none"/>
          <w:lang w:val="en-US" w:eastAsia="zh-CN"/>
        </w:rPr>
        <w:t xml:space="preserve">授权委托人</w:t>
      </w:r>
      <w:r>
        <w:rPr>
          <w:rFonts w:hint="eastAsia" w:ascii="宋体" w:hAnsi="宋体" w:eastAsia="宋体" w:cs="宋体"/>
          <w:color w:val="000000"/>
          <w:sz w:val="21"/>
          <w:szCs w:val="21"/>
          <w:highlight w:val="none"/>
          <w:lang w:val="zh-CN" w:eastAsia="zh-CN"/>
        </w:rPr>
        <w:t xml:space="preserve">）：  </w:t>
      </w:r>
      <w:r>
        <w:rPr>
          <w:rFonts w:hint="eastAsia" w:ascii="宋体" w:hAnsi="宋体" w:eastAsia="宋体" w:cs="宋体"/>
          <w:color w:val="000000"/>
          <w:sz w:val="21"/>
          <w:szCs w:val="21"/>
          <w:highlight w:val="none"/>
          <w:lang w:val="zh-CN" w:eastAsia="zh-CN"/>
        </w:rPr>
      </w:r>
      <w:r/>
    </w:p>
    <w:p>
      <w:pPr>
        <w:pStyle w:val="1008"/>
        <w:ind w:firstLine="425"/>
        <w:jc w:val="both"/>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合同签订日期：                            合同签订日期：  </w:t>
      </w:r>
      <w:r>
        <w:rPr>
          <w:rFonts w:hint="eastAsia" w:ascii="宋体" w:hAnsi="宋体" w:eastAsia="宋体" w:cs="宋体"/>
          <w:color w:val="000000"/>
          <w:sz w:val="21"/>
          <w:szCs w:val="21"/>
          <w:highlight w:val="none"/>
          <w:lang w:val="en-US" w:eastAsia="zh-CN"/>
        </w:rPr>
      </w:r>
      <w:r/>
    </w:p>
    <w:p>
      <w:pPr>
        <w:pStyle w:val="1008"/>
        <w:ind w:firstLine="425"/>
        <w:jc w:val="both"/>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008"/>
        <w:ind w:firstLine="425"/>
        <w:jc w:val="both"/>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合同签订地：苏州市吴江区。</w:t>
      </w:r>
      <w:r>
        <w:rPr>
          <w:rFonts w:hint="eastAsia" w:ascii="宋体" w:hAnsi="宋体" w:eastAsia="宋体" w:cs="宋体"/>
          <w:b/>
          <w:bCs/>
          <w:color w:val="000000"/>
          <w:sz w:val="21"/>
          <w:szCs w:val="21"/>
          <w:highlight w:val="none"/>
          <w:lang w:val="en-US" w:eastAsia="zh-CN"/>
        </w:rPr>
      </w:r>
      <w:r/>
    </w:p>
    <w:p>
      <w:pPr>
        <w:pStyle w:val="1009"/>
        <w:jc w:val="center"/>
        <w:spacing w:after="0"/>
        <w:rPr>
          <w:rFonts w:hint="eastAsia"/>
          <w:color w:val="000000"/>
          <w:highlight w:val="none"/>
        </w:rPr>
      </w:pPr>
      <w:r>
        <w:rPr>
          <w:rFonts w:hint="eastAsia"/>
          <w:color w:val="000000"/>
          <w:sz w:val="21"/>
          <w:szCs w:val="21"/>
          <w:highlight w:val="none"/>
          <w:lang w:val="zh-CN"/>
        </w:rPr>
        <w:br w:type="page" w:clear="all"/>
      </w:r>
      <w:bookmarkStart w:id="110" w:name="_Toc26836"/>
      <w:r/>
      <w:bookmarkStart w:id="111" w:name="_Toc48639263"/>
      <w:r>
        <w:rPr>
          <w:rFonts w:hint="eastAsia"/>
          <w:color w:val="000000"/>
          <w:highlight w:val="none"/>
        </w:rPr>
        <w:t xml:space="preserve">第</w:t>
      </w:r>
      <w:r>
        <w:rPr>
          <w:rFonts w:hint="eastAsia"/>
          <w:color w:val="000000"/>
          <w:highlight w:val="none"/>
          <w:lang w:val="en-US" w:eastAsia="zh-CN"/>
        </w:rPr>
        <w:t xml:space="preserve">六</w:t>
      </w:r>
      <w:r>
        <w:rPr>
          <w:rFonts w:hint="eastAsia"/>
          <w:color w:val="000000"/>
          <w:highlight w:val="none"/>
        </w:rPr>
        <w:t xml:space="preserve">章 </w:t>
      </w:r>
      <w:r>
        <w:rPr>
          <w:rFonts w:hint="eastAsia"/>
          <w:color w:val="000000"/>
          <w:highlight w:val="none"/>
          <w:lang w:val="en-US" w:eastAsia="zh-CN"/>
        </w:rPr>
        <w:t xml:space="preserve"> </w:t>
      </w:r>
      <w:r>
        <w:rPr>
          <w:rFonts w:hint="eastAsia"/>
          <w:color w:val="000000"/>
          <w:highlight w:val="none"/>
        </w:rPr>
        <w:t xml:space="preserve">评标方法、评分标准</w:t>
      </w:r>
      <w:bookmarkEnd w:id="110"/>
      <w:r/>
      <w:bookmarkEnd w:id="111"/>
      <w:r>
        <w:rPr>
          <w:rFonts w:hint="eastAsia"/>
          <w:color w:val="000000"/>
          <w:highlight w:val="none"/>
        </w:rPr>
      </w:r>
      <w:r/>
    </w:p>
    <w:p>
      <w:pPr>
        <w:pStyle w:val="1008"/>
        <w:ind w:firstLine="422"/>
        <w:jc w:val="both"/>
        <w:spacing w:line="360" w:lineRule="auto"/>
        <w:widowControl w:val="off"/>
        <w:rPr>
          <w:rFonts w:hint="eastAsia" w:ascii="宋体" w:hAnsi="宋体" w:cs="宋体"/>
          <w:b/>
          <w:bCs/>
          <w:color w:val="000000"/>
          <w:sz w:val="21"/>
          <w:szCs w:val="21"/>
          <w:highlight w:val="none"/>
        </w:rPr>
        <w:outlineLvl w:val="9"/>
      </w:pPr>
      <w:r/>
      <w:bookmarkStart w:id="112" w:name="_Toc48639393"/>
      <w:r/>
      <w:bookmarkStart w:id="113" w:name="_Toc48639264"/>
      <w:r>
        <w:rPr>
          <w:rFonts w:hint="eastAsia" w:ascii="宋体" w:hAnsi="宋体" w:cs="宋体"/>
          <w:b/>
          <w:bCs/>
          <w:color w:val="000000"/>
          <w:sz w:val="21"/>
          <w:szCs w:val="21"/>
          <w:highlight w:val="none"/>
        </w:rPr>
        <w:t xml:space="preserve">一、评标方法：</w:t>
      </w:r>
      <w:bookmarkEnd w:id="112"/>
      <w:r/>
      <w:bookmarkEnd w:id="113"/>
      <w:r>
        <w:rPr>
          <w:rFonts w:hint="eastAsia" w:ascii="宋体" w:hAnsi="宋体" w:cs="宋体"/>
          <w:b/>
          <w:bCs/>
          <w:color w:val="000000"/>
          <w:sz w:val="21"/>
          <w:szCs w:val="21"/>
          <w:highlight w:val="none"/>
        </w:rPr>
      </w:r>
      <w:r/>
    </w:p>
    <w:p>
      <w:pPr>
        <w:pStyle w:val="1008"/>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本次采购评审方法为综合评分法。即在最大限度地满足采购文件实质性要求前提下，按照采购文件中规定的各项因素进行综合评审后，以评审总得分最高的供应商作为成交供应商的评审方法。</w:t>
      </w:r>
      <w:r>
        <w:rPr>
          <w:rFonts w:hint="eastAsia" w:ascii="宋体" w:hAnsi="宋体" w:cs="宋体"/>
          <w:color w:val="000000"/>
          <w:sz w:val="21"/>
          <w:szCs w:val="21"/>
          <w:highlight w:val="none"/>
        </w:rPr>
      </w:r>
      <w:r/>
    </w:p>
    <w:p>
      <w:pPr>
        <w:pStyle w:val="1008"/>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综合评分的主要因素为：综合实力、业绩、技术、财务状况、信誉、服务、对采购文件的响应程度，以及相应的比重或者数值等。</w:t>
      </w:r>
      <w:r>
        <w:rPr>
          <w:rFonts w:hint="eastAsia" w:ascii="宋体" w:hAnsi="宋体" w:cs="宋体"/>
          <w:color w:val="000000"/>
          <w:sz w:val="21"/>
          <w:szCs w:val="21"/>
          <w:highlight w:val="none"/>
        </w:rPr>
      </w:r>
      <w:r/>
    </w:p>
    <w:p>
      <w:pPr>
        <w:pStyle w:val="1008"/>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预中标人。（保留小数点后2位）</w:t>
      </w:r>
      <w:r>
        <w:rPr>
          <w:rFonts w:hint="eastAsia" w:ascii="宋体" w:hAnsi="宋体" w:cs="宋体"/>
          <w:color w:val="000000"/>
          <w:sz w:val="21"/>
          <w:szCs w:val="21"/>
          <w:highlight w:val="none"/>
        </w:rPr>
      </w:r>
      <w:r/>
    </w:p>
    <w:p>
      <w:pPr>
        <w:pStyle w:val="1008"/>
        <w:ind w:firstLine="422"/>
        <w:jc w:val="both"/>
        <w:spacing w:line="360" w:lineRule="auto"/>
        <w:widowControl w:val="off"/>
        <w:rPr>
          <w:rFonts w:hint="eastAsia" w:ascii="宋体" w:hAnsi="宋体" w:cs="宋体"/>
          <w:b/>
          <w:bCs/>
          <w:color w:val="000000"/>
          <w:sz w:val="21"/>
          <w:szCs w:val="21"/>
          <w:highlight w:val="none"/>
        </w:rPr>
        <w:outlineLvl w:val="9"/>
      </w:pPr>
      <w:r>
        <w:rPr>
          <w:rFonts w:hint="eastAsia" w:ascii="宋体" w:hAnsi="宋体" w:cs="宋体"/>
          <w:b/>
          <w:bCs/>
          <w:color w:val="000000"/>
          <w:sz w:val="21"/>
          <w:szCs w:val="21"/>
          <w:highlight w:val="none"/>
        </w:rPr>
        <w:t xml:space="preserve">多标段中标限制及核心产品（相同品牌）认定规则</w:t>
      </w:r>
      <w:r>
        <w:rPr>
          <w:rFonts w:hint="eastAsia" w:ascii="宋体" w:hAnsi="宋体" w:cs="宋体"/>
          <w:b/>
          <w:bCs/>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rPr>
        <w:t xml:space="preserve">本项目评标委员会按标段编号由小到大的顺序依次开展各标段评审工作。投标人可投一个或多个标段，但本项目投标人最多只能</w:t>
      </w:r>
      <w:r>
        <w:rPr>
          <w:rFonts w:hint="eastAsia" w:ascii="宋体" w:hAnsi="宋体" w:cs="宋体"/>
          <w:b w:val="0"/>
          <w:bCs w:val="0"/>
          <w:color w:val="000000"/>
          <w:sz w:val="21"/>
          <w:szCs w:val="21"/>
          <w:highlight w:val="none"/>
          <w:lang w:val="en-US" w:eastAsia="zh-CN"/>
        </w:rPr>
        <w:t xml:space="preserve">中标1</w:t>
      </w:r>
      <w:r>
        <w:rPr>
          <w:rFonts w:hint="eastAsia" w:ascii="宋体" w:hAnsi="宋体" w:cs="宋体"/>
          <w:b w:val="0"/>
          <w:bCs w:val="0"/>
          <w:color w:val="000000"/>
          <w:sz w:val="21"/>
          <w:szCs w:val="21"/>
          <w:highlight w:val="none"/>
        </w:rPr>
        <w:t xml:space="preserve">个标段。</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lang w:val="en-US" w:eastAsia="zh-CN"/>
        </w:rPr>
        <w:t xml:space="preserve">2.已对某标段递交有效且实质性响应投标文件的供应商，均可进入该标段评审；若该供应商在序号靠前标段评审中已经被推荐为中标候选人（达到本项目中标标段数量上限），则该供应商不再具备后续标段的中标资格，且不再参与后续标段的评审打分。</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rPr>
        <w:t xml:space="preserve">若某标段综合得分排名靠前的供应商已达到</w:t>
      </w:r>
      <w:r>
        <w:rPr>
          <w:rFonts w:hint="eastAsia" w:ascii="宋体" w:hAnsi="宋体" w:cs="宋体"/>
          <w:b w:val="0"/>
          <w:bCs w:val="0"/>
          <w:color w:val="000000"/>
          <w:sz w:val="21"/>
          <w:szCs w:val="21"/>
          <w:highlight w:val="none"/>
          <w:lang w:val="en-US" w:eastAsia="zh-CN"/>
        </w:rPr>
        <w:t xml:space="preserve">中标</w:t>
      </w:r>
      <w:r>
        <w:rPr>
          <w:rFonts w:hint="eastAsia" w:ascii="宋体" w:hAnsi="宋体" w:cs="宋体"/>
          <w:b w:val="0"/>
          <w:bCs w:val="0"/>
          <w:color w:val="000000"/>
          <w:sz w:val="21"/>
          <w:szCs w:val="21"/>
          <w:highlight w:val="none"/>
        </w:rPr>
        <w:t xml:space="preserve">上限，则由该标段内得分次高、具备得标权的供应商顺位递补成为中标候选人。</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val="0"/>
          <w:bCs w:val="0"/>
          <w:color w:val="000000"/>
          <w:sz w:val="21"/>
          <w:szCs w:val="21"/>
          <w:highlight w:val="none"/>
        </w:rPr>
        <w:t xml:space="preserve">各标段评审相互独立；合同签订前，某标段因质疑、投诉造成中标结果改变的，不影响其余标段评审及中标结果。</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val="0"/>
          <w:bCs w:val="0"/>
          <w:color w:val="000000"/>
          <w:sz w:val="21"/>
          <w:szCs w:val="21"/>
          <w:highlight w:val="none"/>
        </w:rPr>
        <w:t xml:space="preserve">投标人仅可参与报名时已选择的标段投标，超出报名标段范围的对应标段投标按无效投标处理。</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color w:val="000000"/>
          <w:sz w:val="21"/>
          <w:szCs w:val="21"/>
          <w:highlight w:val="none"/>
        </w:rPr>
        <w:outlineLvl w:val="9"/>
      </w:pPr>
      <w:r>
        <w:rPr>
          <w:rFonts w:hint="eastAsia" w:ascii="宋体" w:hAnsi="宋体" w:cs="宋体"/>
          <w:b w:val="0"/>
          <w:bCs w:val="0"/>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各标段核心产品详见第一章投标邀请函《各标段核心产品一览表》</w:t>
      </w:r>
      <w:r>
        <w:rPr>
          <w:rFonts w:hint="eastAsia" w:ascii="宋体" w:hAnsi="宋体" w:cs="宋体"/>
          <w:b w:val="0"/>
          <w:bCs w:val="0"/>
          <w:color w:val="000000"/>
          <w:sz w:val="21"/>
          <w:szCs w:val="21"/>
          <w:highlight w:val="none"/>
        </w:rPr>
        <w:t xml:space="preserve">；同一标段内不同投标人提供本标段任意一项核心产品品牌相同且通过资格审查、符合性审查的，按一家投标人计算；得分最高同品牌投标人获得中标候选人推荐资格，得分相同取技术得分高者，技术得分相同由评标委员会随机抽取确定，其余同品牌投标人不作为本标段中标候选人；本规则仅约束本标段，跨标段无效。</w:t>
      </w:r>
      <w:r>
        <w:rPr>
          <w:rFonts w:hint="eastAsia" w:ascii="宋体" w:hAnsi="宋体" w:cs="宋体"/>
          <w:color w:val="000000"/>
          <w:sz w:val="21"/>
          <w:szCs w:val="21"/>
          <w:highlight w:val="none"/>
        </w:rPr>
      </w:r>
      <w:r/>
    </w:p>
    <w:p>
      <w:pPr>
        <w:pStyle w:val="1008"/>
        <w:ind w:firstLine="422"/>
        <w:jc w:val="both"/>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针对中小型企业的评审：</w:t>
      </w:r>
      <w:r>
        <w:rPr>
          <w:rFonts w:ascii="宋体" w:hAnsi="宋体"/>
          <w:b/>
          <w:color w:val="000000"/>
          <w:sz w:val="21"/>
          <w:szCs w:val="21"/>
          <w:highlight w:val="none"/>
        </w:rPr>
      </w:r>
      <w:r/>
    </w:p>
    <w:p>
      <w:pPr>
        <w:pStyle w:val="1008"/>
        <w:ind w:firstLine="420"/>
        <w:spacing w:line="360" w:lineRule="auto"/>
        <w:rPr>
          <w:rFonts w:hint="eastAsia" w:ascii="宋体" w:hAnsi="宋体" w:cs="宋体"/>
          <w:b/>
          <w:bCs/>
          <w:color w:val="000000"/>
          <w:sz w:val="21"/>
          <w:szCs w:val="21"/>
          <w:highlight w:val="none"/>
          <w:u w:val="single"/>
        </w:rPr>
      </w:pPr>
      <w:r>
        <w:rPr>
          <w:rFonts w:hint="eastAsia" w:ascii="宋体" w:hAnsi="宋体" w:cs="宋体"/>
          <w:bCs/>
          <w:color w:val="000000"/>
          <w:sz w:val="21"/>
          <w:szCs w:val="21"/>
          <w:highlight w:val="none"/>
        </w:rPr>
        <w:t xml:space="preserve">根据财政部、工业和信息化部关于印发意见“苏财购〔2022〕16号” 关于印发《苏州市政府采购促进中小企业发展实施意见》的通知规定，</w:t>
      </w:r>
      <w:r>
        <w:rPr>
          <w:rFonts w:hint="eastAsia" w:ascii="宋体" w:hAnsi="宋体" w:cs="宋体"/>
          <w:b/>
          <w:bCs/>
          <w:color w:val="000000"/>
          <w:sz w:val="21"/>
          <w:szCs w:val="21"/>
          <w:highlight w:val="none"/>
          <w:u w:val="single"/>
        </w:rPr>
        <w:t xml:space="preserve">本项目专门面向中小企业，小微企业不再享受优惠评审。</w:t>
      </w:r>
      <w:r>
        <w:rPr>
          <w:rFonts w:hint="eastAsia" w:ascii="宋体" w:hAnsi="宋体" w:cs="宋体"/>
          <w:b/>
          <w:bCs/>
          <w:color w:val="000000"/>
          <w:sz w:val="21"/>
          <w:szCs w:val="21"/>
          <w:highlight w:val="none"/>
          <w:u w:val="single"/>
        </w:rPr>
      </w:r>
      <w:r/>
    </w:p>
    <w:p>
      <w:pPr>
        <w:pStyle w:val="1008"/>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（1）中小企业划分标准详见“工信部联企业〔2011〕300号通知”</w:t>
      </w:r>
      <w:r>
        <w:rPr>
          <w:rFonts w:hint="eastAsia" w:ascii="宋体" w:hAnsi="宋体" w:cs="宋体"/>
          <w:bCs/>
          <w:color w:val="000000"/>
          <w:sz w:val="21"/>
          <w:szCs w:val="21"/>
          <w:highlight w:val="none"/>
        </w:rPr>
      </w:r>
      <w:r/>
    </w:p>
    <w:p>
      <w:pPr>
        <w:pStyle w:val="1008"/>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（2）中小微企业在响应文件中提供签署的《中小企业声明函》。未按采购文件的规定在响应文件中提供《中小企业声明函》的，不享受促进中小微企业发展的相关政府采购政策。</w:t>
      </w:r>
      <w:r>
        <w:rPr>
          <w:rFonts w:hint="eastAsia" w:ascii="宋体" w:hAnsi="宋体" w:cs="宋体"/>
          <w:bCs/>
          <w:color w:val="000000"/>
          <w:sz w:val="21"/>
          <w:szCs w:val="21"/>
          <w:highlight w:val="none"/>
        </w:rPr>
      </w:r>
      <w:r/>
    </w:p>
    <w:p>
      <w:pPr>
        <w:pStyle w:val="1008"/>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（3）以上规定未尽事项，按《政府采购促进中小企业发展暂行办法》等有关制度规定执行。</w:t>
      </w:r>
      <w:r>
        <w:rPr>
          <w:rFonts w:hint="eastAsia" w:ascii="宋体" w:hAnsi="宋体" w:cs="宋体"/>
          <w:bCs/>
          <w:color w:val="000000"/>
          <w:sz w:val="21"/>
          <w:szCs w:val="21"/>
          <w:highlight w:val="none"/>
        </w:rPr>
      </w:r>
      <w:r/>
    </w:p>
    <w:p>
      <w:pPr>
        <w:pStyle w:val="1008"/>
        <w:ind w:firstLine="422"/>
        <w:spacing w:line="360" w:lineRule="auto"/>
        <w:rPr>
          <w:rFonts w:hint="eastAsia" w:ascii="宋体" w:hAnsi="宋体" w:cs="宋体"/>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Cs/>
          <w:color w:val="000000"/>
          <w:sz w:val="21"/>
          <w:szCs w:val="21"/>
          <w:highlight w:val="none"/>
        </w:rPr>
        <w:t xml:space="preserve">①填报“中小企业声明函”需严格按“工信部联企业〔2011〕300号通知”中的《中小企业划型标准规定》进行。</w:t>
      </w:r>
      <w:r>
        <w:rPr>
          <w:rFonts w:hint="eastAsia" w:ascii="宋体" w:hAnsi="宋体" w:cs="宋体"/>
          <w:bCs/>
          <w:color w:val="000000"/>
          <w:sz w:val="21"/>
          <w:szCs w:val="21"/>
          <w:highlight w:val="none"/>
        </w:rPr>
      </w:r>
      <w:r/>
    </w:p>
    <w:p>
      <w:pPr>
        <w:pStyle w:val="1008"/>
        <w:ind w:firstLine="315"/>
        <w:spacing w:line="360" w:lineRule="auto"/>
        <w:rPr>
          <w:rFonts w:ascii="宋体" w:hAnsi="宋体"/>
          <w:color w:val="000000"/>
          <w:sz w:val="21"/>
          <w:szCs w:val="21"/>
          <w:highlight w:val="none"/>
        </w:rPr>
      </w:pPr>
      <w:r>
        <w:rPr>
          <w:rFonts w:hint="eastAsia" w:ascii="宋体" w:hAnsi="宋体" w:cs="宋体"/>
          <w:bCs/>
          <w:color w:val="000000"/>
          <w:sz w:val="21"/>
          <w:szCs w:val="21"/>
          <w:highlight w:val="none"/>
        </w:rPr>
        <w:t xml:space="preserve">②若响应单位提供的 “中小企业声明函”（见第六章格式）为虚假声明则视同提供虚假材料，按“政府采购法”相关规定处理并报请政府监管部门给予行政处罚。</w:t>
      </w:r>
      <w:r>
        <w:rPr>
          <w:rFonts w:ascii="宋体" w:hAnsi="宋体"/>
          <w:color w:val="000000"/>
          <w:sz w:val="21"/>
          <w:szCs w:val="21"/>
          <w:highlight w:val="none"/>
        </w:rPr>
      </w:r>
      <w:r/>
    </w:p>
    <w:p>
      <w:pPr>
        <w:pStyle w:val="1008"/>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针对残疾人福利性单位的评审</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r>
      <w:r/>
    </w:p>
    <w:p>
      <w:pPr>
        <w:pStyle w:val="1008"/>
        <w:ind w:firstLine="420"/>
        <w:spacing w:line="360" w:lineRule="auto"/>
        <w:tabs>
          <w:tab w:val="left" w:pos="567"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根据《关于促进残疾人就业政府采购政策的通知》（财库〔2017〕141号）的通知规定，对属于残疾人福利性单位的响应单位给予评审：</w:t>
      </w:r>
      <w:r>
        <w:rPr>
          <w:rFonts w:hint="eastAsia" w:ascii="宋体" w:hAnsi="宋体"/>
          <w:color w:val="000000"/>
          <w:sz w:val="21"/>
          <w:szCs w:val="21"/>
          <w:highlight w:val="none"/>
        </w:rPr>
      </w:r>
      <w:r/>
    </w:p>
    <w:p>
      <w:pPr>
        <w:pStyle w:val="1008"/>
        <w:ind w:firstLine="420"/>
        <w:spacing w:line="360" w:lineRule="auto"/>
        <w:tabs>
          <w:tab w:val="left" w:pos="567"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color w:val="000000"/>
          <w:sz w:val="21"/>
          <w:szCs w:val="21"/>
          <w:highlight w:val="none"/>
        </w:rPr>
      </w:r>
      <w:r/>
    </w:p>
    <w:p>
      <w:pPr>
        <w:pStyle w:val="1008"/>
        <w:ind w:firstLine="420"/>
        <w:spacing w:line="360" w:lineRule="auto"/>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r>
        <w:rPr>
          <w:rFonts w:ascii="宋体" w:hAnsi="宋体"/>
          <w:color w:val="000000"/>
          <w:sz w:val="21"/>
          <w:szCs w:val="21"/>
          <w:highlight w:val="none"/>
        </w:rPr>
      </w:r>
      <w:r/>
    </w:p>
    <w:p>
      <w:pPr>
        <w:pStyle w:val="1008"/>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针对监狱企业的评审</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r>
      <w:r/>
    </w:p>
    <w:p>
      <w:pPr>
        <w:pStyle w:val="1008"/>
        <w:ind w:firstLine="420"/>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根据《关于政府采购支持监狱企业发展有关问题的通知》（财库〔2014〕68号）的通知规定，对属于监狱企业的响应单位给予评审：</w:t>
      </w:r>
      <w:r>
        <w:rPr>
          <w:rFonts w:hint="eastAsia" w:ascii="宋体" w:hAnsi="宋体"/>
          <w:color w:val="000000"/>
          <w:sz w:val="21"/>
          <w:szCs w:val="21"/>
          <w:highlight w:val="none"/>
        </w:rPr>
      </w:r>
      <w:r/>
    </w:p>
    <w:p>
      <w:pPr>
        <w:pStyle w:val="1008"/>
        <w:ind w:firstLine="420"/>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监狱企业视同小型、微型企业，享受评审中价格扣除等政府采购促进中小企业发展的政府采购政策。</w:t>
      </w:r>
      <w:r>
        <w:rPr>
          <w:rFonts w:hint="eastAsia" w:ascii="宋体" w:hAnsi="宋体"/>
          <w:color w:val="000000"/>
          <w:sz w:val="21"/>
          <w:szCs w:val="21"/>
          <w:highlight w:val="none"/>
        </w:rPr>
      </w:r>
      <w:r/>
    </w:p>
    <w:p>
      <w:pPr>
        <w:pStyle w:val="1008"/>
        <w:ind w:firstLine="420"/>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符合条件的监狱企业参加投标时，应当提供由省级以上监狱管理局、戒毒管理局（含新疆生产建设兵团）出具的属于监狱企业的证明文件。</w:t>
      </w:r>
      <w:r>
        <w:rPr>
          <w:rFonts w:hint="eastAsia" w:ascii="宋体" w:hAnsi="宋体"/>
          <w:color w:val="000000"/>
          <w:sz w:val="21"/>
          <w:szCs w:val="21"/>
          <w:highlight w:val="none"/>
        </w:rPr>
      </w:r>
      <w:r/>
    </w:p>
    <w:p>
      <w:pPr>
        <w:pStyle w:val="1008"/>
        <w:ind w:firstLine="422"/>
        <w:jc w:val="both"/>
        <w:spacing w:line="360" w:lineRule="auto"/>
        <w:widowControl w:val="off"/>
        <w:rPr>
          <w:rFonts w:hint="eastAsia" w:ascii="宋体" w:hAnsi="宋体" w:cs="宋体"/>
          <w:b/>
          <w:bCs/>
          <w:color w:val="000000"/>
          <w:sz w:val="21"/>
          <w:szCs w:val="21"/>
          <w:highlight w:val="none"/>
        </w:rPr>
        <w:outlineLvl w:val="9"/>
      </w:pPr>
      <w:r/>
      <w:bookmarkStart w:id="114" w:name="_Toc48639401"/>
      <w:r/>
      <w:bookmarkStart w:id="115" w:name="_Toc48639272"/>
      <w:r>
        <w:rPr>
          <w:rFonts w:hint="eastAsia" w:ascii="宋体" w:hAnsi="宋体" w:cs="宋体"/>
          <w:b/>
          <w:bCs/>
          <w:color w:val="000000"/>
          <w:sz w:val="21"/>
          <w:szCs w:val="21"/>
          <w:highlight w:val="none"/>
        </w:rPr>
        <w:t xml:space="preserve">上述优惠政策不重复享受。</w:t>
      </w:r>
      <w:r>
        <w:rPr>
          <w:rFonts w:hint="eastAsia" w:ascii="宋体" w:hAnsi="宋体" w:cs="宋体"/>
          <w:b/>
          <w:bCs/>
          <w:color w:val="000000"/>
          <w:sz w:val="21"/>
          <w:szCs w:val="21"/>
          <w:highlight w:val="none"/>
        </w:rPr>
      </w:r>
      <w:r/>
    </w:p>
    <w:p>
      <w:pPr>
        <w:pStyle w:val="1008"/>
        <w:ind w:firstLine="422"/>
        <w:jc w:val="both"/>
        <w:spacing w:line="360" w:lineRule="auto"/>
        <w:widowControl w:val="off"/>
        <w:rPr>
          <w:rFonts w:hint="eastAsia" w:ascii="宋体" w:hAnsi="宋体" w:eastAsia="宋体" w:cs="宋体"/>
          <w:b/>
          <w:bCs/>
          <w:color w:val="000000"/>
          <w:sz w:val="21"/>
          <w:szCs w:val="21"/>
          <w:highlight w:val="none"/>
          <w:lang w:eastAsia="zh-CN"/>
        </w:rPr>
        <w:outlineLvl w:val="9"/>
      </w:pPr>
      <w:r>
        <w:rPr>
          <w:rFonts w:hint="eastAsia" w:ascii="宋体" w:hAnsi="宋体" w:cs="宋体"/>
          <w:b/>
          <w:bCs/>
          <w:color w:val="000000"/>
          <w:sz w:val="21"/>
          <w:szCs w:val="21"/>
          <w:highlight w:val="none"/>
        </w:rPr>
        <w:t xml:space="preserve">采购本国产品的评审加分：</w:t>
      </w:r>
      <w:r>
        <w:rPr>
          <w:rFonts w:hint="eastAsia" w:ascii="宋体" w:hAnsi="宋体" w:cs="宋体"/>
          <w:b/>
          <w:bCs/>
          <w:color w:val="000000"/>
          <w:sz w:val="21"/>
          <w:szCs w:val="21"/>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1"/>
          <w:szCs w:val="21"/>
          <w:highlight w:val="none"/>
          <w:lang w:eastAsia="zh-CN"/>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（2）当采购项目或者采购包中含有多种产品，供应商为该采购项目或者采购包提供的符合本国产品标准的产品成本之和占该供应商提供的全部产品成本之和的比例达到80%以上时（供应商需在“第四章 投标文件格式”的“附件4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（3）供应商需按照招标文件的要求提供《关于符合本国产品标准的声明函》（以下简称《声明函》），如不提供将不享受本国产品价格评审优惠。</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投标人对提供的制造商的认定证明负有核实义务及责任。若投标人提供的 “中小企业声明函”或认定证明（包括制造商）为虚假声明则视同提供虚假材料，投标人将按“政府采购法”相关规定处理并报请政府监管部门给予相应处罚。</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bCs/>
          <w:color w:val="000000"/>
          <w:sz w:val="21"/>
          <w:szCs w:val="21"/>
          <w:highlight w:val="none"/>
        </w:rPr>
        <w:outlineLvl w:val="9"/>
      </w:pPr>
      <w:r>
        <w:rPr>
          <w:rFonts w:hint="eastAsia" w:ascii="宋体" w:hAnsi="宋体"/>
          <w:color w:val="000000"/>
          <w:sz w:val="21"/>
          <w:szCs w:val="21"/>
          <w:highlight w:val="none"/>
          <w:lang w:val="en-US" w:eastAsia="zh-CN"/>
        </w:rPr>
        <w:t xml:space="preserve">根据《苏财购〔2025〕62号》文，异常低价投标（响应）审查按照第二章投标人须知第25.7条相关规定执行。</w:t>
      </w:r>
      <w:r>
        <w:rPr>
          <w:rFonts w:hint="eastAsia" w:ascii="宋体" w:hAnsi="宋体" w:cs="宋体"/>
          <w:b/>
          <w:bCs/>
          <w:color w:val="000000"/>
          <w:sz w:val="21"/>
          <w:szCs w:val="21"/>
          <w:highlight w:val="none"/>
        </w:rPr>
      </w:r>
      <w:r/>
    </w:p>
    <w:p>
      <w:pPr>
        <w:pStyle w:val="1008"/>
        <w:ind w:firstLine="422"/>
        <w:jc w:val="both"/>
        <w:spacing w:line="360" w:lineRule="auto"/>
        <w:widowControl w:val="off"/>
        <w:rPr>
          <w:rFonts w:hint="eastAsia" w:ascii="宋体" w:hAnsi="宋体" w:cs="宋体"/>
          <w:b/>
          <w:bCs/>
          <w:color w:val="000000"/>
          <w:sz w:val="21"/>
          <w:szCs w:val="21"/>
          <w:highlight w:val="none"/>
        </w:rPr>
        <w:outlineLvl w:val="9"/>
      </w:pPr>
      <w:r>
        <w:rPr>
          <w:rFonts w:hint="eastAsia" w:ascii="宋体" w:hAnsi="宋体" w:cs="宋体"/>
          <w:b/>
          <w:bCs/>
          <w:color w:val="000000"/>
          <w:sz w:val="21"/>
          <w:szCs w:val="21"/>
          <w:highlight w:val="none"/>
        </w:rPr>
        <w:t xml:space="preserve">二、综合评分标准：</w:t>
      </w:r>
      <w:bookmarkEnd w:id="114"/>
      <w:r/>
      <w:bookmarkEnd w:id="115"/>
      <w:r>
        <w:rPr>
          <w:rFonts w:hint="eastAsia" w:ascii="宋体" w:hAnsi="宋体" w:cs="宋体"/>
          <w:b/>
          <w:bCs/>
          <w:color w:val="000000"/>
          <w:sz w:val="21"/>
          <w:szCs w:val="21"/>
          <w:highlight w:val="none"/>
        </w:rPr>
      </w:r>
      <w:r/>
    </w:p>
    <w:p>
      <w:pPr>
        <w:pStyle w:val="1008"/>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本次招标的评标方法采用综合评分法，总分值为100分。</w:t>
      </w:r>
      <w:r>
        <w:rPr>
          <w:rFonts w:hint="eastAsia" w:ascii="宋体" w:hAnsi="宋体" w:cs="宋体"/>
          <w:color w:val="000000"/>
          <w:sz w:val="21"/>
          <w:szCs w:val="21"/>
          <w:highlight w:val="none"/>
        </w:rPr>
      </w:r>
      <w:r/>
    </w:p>
    <w:p>
      <w:pPr>
        <w:pStyle w:val="1008"/>
        <w:ind w:firstLine="422"/>
        <w:jc w:val="both"/>
        <w:spacing w:line="360" w:lineRule="auto"/>
        <w:widowControl w:val="off"/>
        <w:rPr>
          <w:rFonts w:hint="eastAsia" w:ascii="宋体" w:hAnsi="宋体"/>
          <w:b/>
          <w:color w:val="000000"/>
          <w:sz w:val="21"/>
          <w:szCs w:val="21"/>
          <w:highlight w:val="none"/>
          <w:lang w:eastAsia="zh-CN"/>
        </w:rPr>
      </w:pPr>
      <w:r>
        <w:rPr>
          <w:rFonts w:hint="eastAsia" w:ascii="宋体" w:hAnsi="宋体" w:eastAsia="宋体" w:cs="宋体"/>
          <w:b/>
          <w:bCs/>
          <w:color w:val="000000"/>
          <w:sz w:val="21"/>
          <w:szCs w:val="21"/>
          <w:highlight w:val="none"/>
        </w:rPr>
        <w:t xml:space="preserve">适用于第</w:t>
      </w:r>
      <w:r>
        <w:rPr>
          <w:rFonts w:hint="eastAsia" w:ascii="宋体" w:hAnsi="宋体" w:eastAsia="宋体" w:cs="宋体"/>
          <w:b/>
          <w:bCs/>
          <w:color w:val="000000"/>
          <w:sz w:val="21"/>
          <w:szCs w:val="21"/>
          <w:highlight w:val="none"/>
          <w:lang w:val="en-US" w:eastAsia="zh-CN"/>
        </w:rPr>
        <w:t xml:space="preserve">一至三</w:t>
      </w:r>
      <w:r>
        <w:rPr>
          <w:rFonts w:hint="eastAsia" w:ascii="宋体" w:hAnsi="宋体" w:eastAsia="宋体" w:cs="宋体"/>
          <w:b/>
          <w:bCs/>
          <w:color w:val="000000"/>
          <w:sz w:val="21"/>
          <w:szCs w:val="21"/>
          <w:highlight w:val="none"/>
        </w:rPr>
        <w:t xml:space="preserve">标段</w:t>
      </w:r>
      <w:r>
        <w:rPr>
          <w:rFonts w:hint="eastAsia" w:ascii="宋体" w:hAnsi="宋体"/>
          <w:b/>
          <w:color w:val="000000"/>
          <w:sz w:val="21"/>
          <w:szCs w:val="21"/>
          <w:highlight w:val="none"/>
          <w:lang w:eastAsia="zh-CN"/>
        </w:rPr>
      </w:r>
      <w:r/>
    </w:p>
    <w:p>
      <w:pPr>
        <w:pStyle w:val="1008"/>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lang w:eastAsia="zh-CN"/>
        </w:rPr>
        <w:t xml:space="preserve">（一）</w:t>
      </w:r>
      <w:r>
        <w:rPr>
          <w:rFonts w:hint="eastAsia" w:ascii="宋体" w:hAnsi="宋体"/>
          <w:b/>
          <w:color w:val="000000"/>
          <w:sz w:val="21"/>
          <w:szCs w:val="21"/>
          <w:highlight w:val="none"/>
          <w:lang w:val="zh-CN" w:eastAsia="zh-CN"/>
        </w:rPr>
        <w:t xml:space="preserve">价格分（</w:t>
      </w:r>
      <w:r>
        <w:rPr>
          <w:rFonts w:hint="eastAsia" w:ascii="宋体" w:hAnsi="宋体"/>
          <w:b/>
          <w:color w:val="000000"/>
          <w:sz w:val="21"/>
          <w:szCs w:val="21"/>
          <w:highlight w:val="none"/>
          <w:lang w:val="en-US" w:eastAsia="zh-CN"/>
        </w:rPr>
        <w:t xml:space="preserve">6</w:t>
      </w:r>
      <w:r>
        <w:rPr>
          <w:rFonts w:hint="eastAsia" w:ascii="宋体" w:hAnsi="宋体"/>
          <w:b/>
          <w:color w:val="000000"/>
          <w:sz w:val="21"/>
          <w:szCs w:val="21"/>
          <w:highlight w:val="none"/>
          <w:lang w:eastAsia="zh-CN"/>
        </w:rPr>
        <w:t xml:space="preserve">0</w:t>
      </w:r>
      <w:r>
        <w:rPr>
          <w:rFonts w:hint="eastAsia" w:ascii="宋体" w:hAnsi="宋体"/>
          <w:b/>
          <w:color w:val="000000"/>
          <w:sz w:val="21"/>
          <w:szCs w:val="21"/>
          <w:highlight w:val="none"/>
          <w:lang w:val="zh-CN" w:eastAsia="zh-CN"/>
        </w:rPr>
        <w:t xml:space="preserve">分）</w:t>
      </w:r>
      <w:r>
        <w:rPr>
          <w:rFonts w:hint="eastAsia" w:ascii="宋体" w:hAnsi="宋体"/>
          <w:b/>
          <w:color w:val="000000"/>
          <w:sz w:val="21"/>
          <w:szCs w:val="21"/>
          <w:highlight w:val="none"/>
        </w:rPr>
      </w:r>
      <w:r/>
    </w:p>
    <w:p>
      <w:pPr>
        <w:pStyle w:val="1008"/>
        <w:ind w:firstLine="420"/>
        <w:spacing w:line="360" w:lineRule="auto"/>
        <w:rPr>
          <w:rFonts w:hint="eastAsia" w:ascii="宋体" w:hAnsi="宋体" w:eastAsia="宋体" w:cs="Times New Roman"/>
          <w:b w:val="0"/>
          <w:bCs w:val="0"/>
          <w:color w:val="000000"/>
          <w:sz w:val="21"/>
          <w:szCs w:val="21"/>
          <w:highlight w:val="none"/>
          <w:lang w:eastAsia="zh-CN"/>
        </w:rPr>
      </w:pPr>
      <w:r>
        <w:rPr>
          <w:rFonts w:hint="eastAsia" w:ascii="宋体" w:hAnsi="宋体" w:eastAsia="宋体" w:cs="Times New Roman"/>
          <w:b w:val="0"/>
          <w:bCs w:val="0"/>
          <w:color w:val="000000"/>
          <w:sz w:val="21"/>
          <w:szCs w:val="21"/>
          <w:highlight w:val="none"/>
          <w:lang w:val="zh-CN" w:eastAsia="zh-CN"/>
        </w:rPr>
        <w:t xml:space="preserve">第一步：投标总报价低于或等于采购预算价格</w:t>
      </w:r>
      <w:r>
        <w:rPr>
          <w:rFonts w:hint="eastAsia" w:ascii="宋体" w:hAnsi="宋体" w:eastAsia="宋体" w:cs="Times New Roman"/>
          <w:b w:val="0"/>
          <w:bCs w:val="0"/>
          <w:color w:val="000000"/>
          <w:sz w:val="21"/>
          <w:szCs w:val="21"/>
          <w:highlight w:val="none"/>
          <w:lang w:val="en-US" w:eastAsia="zh-CN"/>
        </w:rPr>
        <w:t xml:space="preserve">及最高限价</w:t>
      </w:r>
      <w:r>
        <w:rPr>
          <w:rFonts w:hint="eastAsia" w:ascii="宋体" w:hAnsi="宋体" w:eastAsia="宋体" w:cs="Times New Roman"/>
          <w:b w:val="0"/>
          <w:bCs w:val="0"/>
          <w:color w:val="000000"/>
          <w:sz w:val="21"/>
          <w:szCs w:val="21"/>
          <w:highlight w:val="none"/>
          <w:lang w:val="zh-CN" w:eastAsia="zh-CN"/>
        </w:rPr>
        <w:t xml:space="preserve">的，为有效投标报价。超采购预算</w:t>
      </w:r>
      <w:r>
        <w:rPr>
          <w:rFonts w:hint="eastAsia" w:ascii="宋体" w:hAnsi="宋体" w:eastAsia="宋体" w:cs="Times New Roman"/>
          <w:b w:val="0"/>
          <w:bCs w:val="0"/>
          <w:color w:val="000000"/>
          <w:sz w:val="21"/>
          <w:szCs w:val="21"/>
          <w:highlight w:val="none"/>
          <w:lang w:val="en-US" w:eastAsia="zh-CN"/>
        </w:rPr>
        <w:t xml:space="preserve">或最高限价</w:t>
      </w:r>
      <w:r>
        <w:rPr>
          <w:rFonts w:hint="eastAsia" w:ascii="宋体" w:hAnsi="宋体" w:eastAsia="宋体" w:cs="Times New Roman"/>
          <w:b w:val="0"/>
          <w:bCs w:val="0"/>
          <w:color w:val="000000"/>
          <w:sz w:val="21"/>
          <w:szCs w:val="21"/>
          <w:highlight w:val="none"/>
          <w:lang w:val="zh-CN" w:eastAsia="zh-CN"/>
        </w:rPr>
        <w:t xml:space="preserve">的投标报价为无效投标报价。无效投标报价的投标文件不得中标。</w:t>
      </w:r>
      <w:r>
        <w:rPr>
          <w:rFonts w:hint="eastAsia" w:ascii="宋体" w:hAnsi="宋体" w:eastAsia="宋体" w:cs="Times New Roman"/>
          <w:b w:val="0"/>
          <w:bCs w:val="0"/>
          <w:color w:val="000000"/>
          <w:sz w:val="21"/>
          <w:szCs w:val="21"/>
          <w:highlight w:val="none"/>
          <w:lang w:eastAsia="zh-CN"/>
        </w:rPr>
      </w:r>
      <w:r/>
    </w:p>
    <w:p>
      <w:pPr>
        <w:pStyle w:val="1008"/>
        <w:ind w:firstLine="420"/>
        <w:spacing w:line="360" w:lineRule="auto"/>
        <w:rPr>
          <w:rFonts w:hint="eastAsia" w:ascii="宋体" w:hAnsi="宋体" w:eastAsia="宋体" w:cs="Times New Roman"/>
          <w:b w:val="0"/>
          <w:bCs w:val="0"/>
          <w:color w:val="000000"/>
          <w:sz w:val="21"/>
          <w:szCs w:val="21"/>
          <w:highlight w:val="none"/>
          <w:lang w:eastAsia="zh-CN"/>
        </w:rPr>
      </w:pPr>
      <w:r>
        <w:rPr>
          <w:rFonts w:hint="eastAsia" w:ascii="宋体" w:hAnsi="宋体" w:eastAsia="宋体" w:cs="Times New Roman"/>
          <w:b w:val="0"/>
          <w:bCs w:val="0"/>
          <w:color w:val="000000"/>
          <w:sz w:val="21"/>
          <w:szCs w:val="21"/>
          <w:highlight w:val="none"/>
          <w:lang w:val="zh-CN" w:eastAsia="zh-CN"/>
        </w:rPr>
        <w:t xml:space="preserve">第二步：价格分采用低价优先法计算，即满足招标文件要求且投标价格最低的投标报价为评标基准价（报价按小微企业、监狱企业或残疾人福利性单位</w:t>
      </w:r>
      <w:r>
        <w:rPr>
          <w:rFonts w:hint="eastAsia" w:ascii="宋体" w:hAnsi="宋体" w:eastAsia="宋体" w:cs="Times New Roman"/>
          <w:b w:val="0"/>
          <w:bCs w:val="0"/>
          <w:color w:val="000000"/>
          <w:sz w:val="21"/>
          <w:szCs w:val="21"/>
          <w:highlight w:val="none"/>
          <w:lang w:eastAsia="zh-CN"/>
        </w:rPr>
        <w:t xml:space="preserve">等相关</w:t>
      </w:r>
      <w:r>
        <w:rPr>
          <w:rFonts w:hint="eastAsia" w:ascii="宋体" w:hAnsi="宋体" w:eastAsia="宋体" w:cs="Times New Roman"/>
          <w:b w:val="0"/>
          <w:bCs w:val="0"/>
          <w:color w:val="000000"/>
          <w:sz w:val="21"/>
          <w:szCs w:val="21"/>
          <w:highlight w:val="none"/>
          <w:lang w:val="zh-CN" w:eastAsia="zh-CN"/>
        </w:rPr>
        <w:t xml:space="preserve">评审</w:t>
      </w:r>
      <w:r>
        <w:rPr>
          <w:rFonts w:hint="eastAsia" w:ascii="宋体" w:hAnsi="宋体" w:eastAsia="宋体" w:cs="Times New Roman"/>
          <w:b w:val="0"/>
          <w:bCs w:val="0"/>
          <w:color w:val="000000"/>
          <w:sz w:val="21"/>
          <w:szCs w:val="21"/>
          <w:highlight w:val="none"/>
          <w:lang w:eastAsia="zh-CN"/>
        </w:rPr>
        <w:t xml:space="preserve">政策</w:t>
      </w:r>
      <w:r>
        <w:rPr>
          <w:rFonts w:hint="eastAsia" w:ascii="宋体" w:hAnsi="宋体" w:eastAsia="宋体" w:cs="Times New Roman"/>
          <w:b w:val="0"/>
          <w:bCs w:val="0"/>
          <w:color w:val="000000"/>
          <w:sz w:val="21"/>
          <w:szCs w:val="21"/>
          <w:highlight w:val="none"/>
          <w:lang w:val="zh-CN" w:eastAsia="zh-CN"/>
        </w:rPr>
        <w:t xml:space="preserve">调整后的价格为最低价的作为评标基准价，中标金额则以实际投标报价为准），其价格分为满分。其他投标人的价格分统一按照下列公式计算：投标报价得分=（评标基准价/投标报价）*价格权值*100，小数点后</w:t>
      </w:r>
      <w:r>
        <w:rPr>
          <w:rFonts w:hint="eastAsia" w:ascii="宋体" w:hAnsi="宋体" w:eastAsia="宋体" w:cs="Times New Roman"/>
          <w:b w:val="0"/>
          <w:bCs w:val="0"/>
          <w:color w:val="000000"/>
          <w:sz w:val="21"/>
          <w:szCs w:val="21"/>
          <w:highlight w:val="none"/>
          <w:lang w:eastAsia="zh-CN"/>
        </w:rPr>
        <w:t xml:space="preserve">四舍五入</w:t>
      </w:r>
      <w:r>
        <w:rPr>
          <w:rFonts w:hint="eastAsia" w:ascii="宋体" w:hAnsi="宋体" w:eastAsia="宋体" w:cs="Times New Roman"/>
          <w:b w:val="0"/>
          <w:bCs w:val="0"/>
          <w:color w:val="000000"/>
          <w:sz w:val="21"/>
          <w:szCs w:val="21"/>
          <w:highlight w:val="none"/>
          <w:lang w:val="zh-CN" w:eastAsia="zh-CN"/>
        </w:rPr>
        <w:t xml:space="preserve">保留两位（价格权值为</w:t>
      </w:r>
      <w:r>
        <w:rPr>
          <w:rFonts w:hint="eastAsia" w:ascii="宋体" w:hAnsi="宋体" w:eastAsia="宋体" w:cs="Times New Roman"/>
          <w:b w:val="0"/>
          <w:bCs w:val="0"/>
          <w:color w:val="000000"/>
          <w:sz w:val="21"/>
          <w:szCs w:val="21"/>
          <w:highlight w:val="none"/>
          <w:lang w:val="en-US" w:eastAsia="zh-CN"/>
        </w:rPr>
        <w:t xml:space="preserve">6</w:t>
      </w:r>
      <w:r>
        <w:rPr>
          <w:rFonts w:hint="eastAsia" w:ascii="宋体" w:hAnsi="宋体" w:eastAsia="宋体" w:cs="Times New Roman"/>
          <w:b w:val="0"/>
          <w:bCs w:val="0"/>
          <w:color w:val="000000"/>
          <w:sz w:val="21"/>
          <w:szCs w:val="21"/>
          <w:highlight w:val="none"/>
          <w:lang w:eastAsia="zh-CN"/>
        </w:rPr>
        <w:t xml:space="preserve">0</w:t>
      </w:r>
      <w:r>
        <w:rPr>
          <w:rFonts w:hint="eastAsia" w:ascii="宋体" w:hAnsi="宋体" w:eastAsia="宋体" w:cs="Times New Roman"/>
          <w:b w:val="0"/>
          <w:bCs w:val="0"/>
          <w:color w:val="000000"/>
          <w:sz w:val="21"/>
          <w:szCs w:val="21"/>
          <w:highlight w:val="none"/>
          <w:lang w:val="zh-CN" w:eastAsia="zh-CN"/>
        </w:rPr>
        <w:t xml:space="preserve">%）</w:t>
      </w:r>
      <w:r>
        <w:rPr>
          <w:rFonts w:hint="eastAsia" w:ascii="宋体" w:hAnsi="宋体" w:eastAsia="宋体" w:cs="Times New Roman"/>
          <w:b w:val="0"/>
          <w:bCs w:val="0"/>
          <w:color w:val="000000"/>
          <w:sz w:val="21"/>
          <w:szCs w:val="21"/>
          <w:highlight w:val="none"/>
          <w:lang w:eastAsia="zh-CN"/>
        </w:rPr>
      </w:r>
      <w:r/>
    </w:p>
    <w:p>
      <w:pPr>
        <w:pStyle w:val="1008"/>
        <w:ind w:firstLine="422"/>
        <w:spacing w:line="360" w:lineRule="auto"/>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（二）投标产品技术质量（</w:t>
      </w:r>
      <w:r>
        <w:rPr>
          <w:rFonts w:hint="eastAsia" w:ascii="宋体" w:hAnsi="宋体" w:eastAsia="宋体" w:cs="Times New Roman"/>
          <w:b/>
          <w:bCs/>
          <w:color w:val="000000"/>
          <w:sz w:val="21"/>
          <w:szCs w:val="21"/>
          <w:highlight w:val="none"/>
          <w:lang w:val="en-US" w:eastAsia="zh-CN"/>
        </w:rPr>
        <w:t xml:space="preserve">10</w:t>
      </w:r>
      <w:r>
        <w:rPr>
          <w:rFonts w:hint="eastAsia" w:ascii="宋体" w:hAnsi="宋体" w:eastAsia="宋体" w:cs="Times New Roman"/>
          <w:b/>
          <w:bCs/>
          <w:color w:val="000000"/>
          <w:sz w:val="21"/>
          <w:szCs w:val="21"/>
          <w:highlight w:val="none"/>
        </w:rPr>
        <w:t xml:space="preserve">分）</w:t>
      </w:r>
      <w:r>
        <w:rPr>
          <w:rFonts w:hint="eastAsia" w:ascii="宋体" w:hAnsi="宋体" w:eastAsia="宋体" w:cs="Times New Roman"/>
          <w:b/>
          <w:bCs/>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rPr>
        <w:t xml:space="preserve">1、投标产品的技术参数、功能等符合情况：最高为</w:t>
      </w:r>
      <w:r>
        <w:rPr>
          <w:rFonts w:hint="eastAsia" w:ascii="宋体" w:hAnsi="宋体" w:eastAsia="宋体" w:cs="Times New Roman"/>
          <w:color w:val="000000"/>
          <w:sz w:val="21"/>
          <w:szCs w:val="21"/>
          <w:highlight w:val="none"/>
          <w:lang w:val="en-US" w:eastAsia="zh-CN"/>
        </w:rPr>
        <w:t xml:space="preserve">10</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lang w:val="zh-CN"/>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所投产品完全满足或优于招标文件产品技术要求的得最高分10分。标注“★”的条款为实质性条款，投标人必须完全满足，不满足的作无效投标处理，不参与后续评审；标注“▲”的条款为重要技术条款，未提供佐证材料或参数负偏离的，每项扣0.5分；其余普通条款出现一项负偏离扣0.</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分，扣完本项为止。技术参数需按招标文件要求提供相应的佐证材料，若招标文件未作规定的，可提供技术参数响应对照表或厂家盖章的证明材料或其他证明材料，否则评委可视为负偏离处理。</w:t>
      </w:r>
      <w:r>
        <w:rPr>
          <w:rFonts w:hint="eastAsia" w:ascii="宋体" w:hAnsi="宋体" w:eastAsia="宋体" w:cs="Times New Roman"/>
          <w:color w:val="000000"/>
          <w:sz w:val="21"/>
          <w:szCs w:val="21"/>
          <w:highlight w:val="none"/>
        </w:rPr>
      </w:r>
      <w:r/>
    </w:p>
    <w:p>
      <w:pPr>
        <w:pStyle w:val="1008"/>
        <w:ind w:firstLine="422"/>
        <w:spacing w:line="360" w:lineRule="auto"/>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（三）项目实施方案及售后服务（</w:t>
      </w:r>
      <w:r>
        <w:rPr>
          <w:rFonts w:hint="eastAsia" w:ascii="宋体" w:hAnsi="宋体" w:eastAsia="宋体" w:cs="Times New Roman"/>
          <w:b/>
          <w:bCs/>
          <w:color w:val="000000"/>
          <w:sz w:val="21"/>
          <w:szCs w:val="21"/>
          <w:highlight w:val="none"/>
          <w:lang w:val="en-US" w:eastAsia="zh-CN"/>
        </w:rPr>
        <w:t xml:space="preserve">26</w:t>
      </w:r>
      <w:r>
        <w:rPr>
          <w:rFonts w:hint="eastAsia" w:ascii="宋体" w:hAnsi="宋体" w:eastAsia="宋体" w:cs="Times New Roman"/>
          <w:b/>
          <w:bCs/>
          <w:color w:val="000000"/>
          <w:sz w:val="21"/>
          <w:szCs w:val="21"/>
          <w:highlight w:val="none"/>
        </w:rPr>
        <w:t xml:space="preserve">分）</w:t>
      </w:r>
      <w:r>
        <w:rPr>
          <w:rFonts w:hint="eastAsia" w:ascii="宋体" w:hAnsi="宋体" w:eastAsia="宋体" w:cs="Times New Roman"/>
          <w:b/>
          <w:bCs/>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1、针对本项目的项目实施方案（最高为</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根据投标单位针对本项目的项目实施方案评定，包括项目货源组织、产品质量控制、交货进度计划及安装调试验收方案等：方案内容完整不漏项、有针对性说明、切实可行、能切实提供项目进度及质量保证承诺及措施的得</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分；方案各项内容阐述不够全面有缺漏项、针对性说明较为简单、可行性一般、项目进度及质量保证措施一般的得</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分；方案各项内容粗略、有缺漏、缺乏针对性说明、项目进度及质量保证措施较差的得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t xml:space="preserve">未提供方案或方案逻辑错误、前后矛盾的不得分。</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2、售后服务方案（最高6分）</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根据投标单位针对本项目编制的售后服务方案评审，包含售后服务范围、售后服务网点、售后服务人员配置、故障响应时间、售后服务承诺等内容：方案内容完整无缺项、详实合理、贴合项目实际、可行性高得6分；方案阐述不够全面、存在缺项，内容简要，针对性和可行性一般得</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分；方案内容简略、缺少针对性，可行性较差得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分；未提供方案或方案逻辑错误、前后矛盾的不得分。</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3、应急和重大故障解决方案（最高6分）</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根据投标单位针对本项目编制的应急和重大故障解决方案评审，包含应急和重大故障预防措施，以及出现问题的响应时间、补救措施等内容：方案内容完整无缺项、详实合理、贴合项目实际、可行性高得6分；方案阐述不够全面、存在缺项，内容简要，针对性和可行性一般得4分；方案内容简略、缺少针对性，可行性较差得2分；未提供方案或方案逻辑错误、前后矛盾的不得分。</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4、使用方人员技术培训方案（最高5分）</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根据投标单位提供的使用方人员技术培训方案评审，包含设备操作、常规检查、保养维护、日常使用注意事项等：培训方案考虑周全、针对性强、实操性强得5分；培训方案较为完整，针对性、实操性较好得3分；培训方案笼统简略，针对性、可操作性较差得1分；未提供方案或方案逻辑错误、前后矛盾的不得分。</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、免费质保期满后维保情况及配件供应情况（</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根据投标单位对本项目免费质保期满后维保情况及配件供应保障情况进行综合评定，维保及配件价格优惠且保障情况较好的得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分；基本满足项目需求的得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分；供应价格相对较高且保障不力的得1分；未作说明的本项不得分。</w:t>
      </w:r>
      <w:r>
        <w:rPr>
          <w:rFonts w:hint="eastAsia" w:ascii="宋体" w:hAnsi="宋体" w:eastAsia="宋体" w:cs="Times New Roman"/>
          <w:color w:val="000000"/>
          <w:sz w:val="21"/>
          <w:szCs w:val="21"/>
          <w:highlight w:val="none"/>
        </w:rPr>
      </w:r>
      <w:r/>
    </w:p>
    <w:p>
      <w:pPr>
        <w:pStyle w:val="1008"/>
        <w:ind w:firstLine="422"/>
        <w:spacing w:line="360" w:lineRule="auto"/>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（四）投标单位综合履约能力（</w:t>
      </w:r>
      <w:r>
        <w:rPr>
          <w:rFonts w:hint="eastAsia" w:ascii="宋体" w:hAnsi="宋体" w:eastAsia="宋体" w:cs="Times New Roman"/>
          <w:b/>
          <w:bCs/>
          <w:color w:val="000000"/>
          <w:sz w:val="21"/>
          <w:szCs w:val="21"/>
          <w:highlight w:val="none"/>
          <w:lang w:val="en-US" w:eastAsia="zh-CN"/>
        </w:rPr>
        <w:t xml:space="preserve">4</w:t>
      </w:r>
      <w:r>
        <w:rPr>
          <w:rFonts w:hint="eastAsia" w:ascii="宋体" w:hAnsi="宋体" w:eastAsia="宋体" w:cs="Times New Roman"/>
          <w:b/>
          <w:bCs/>
          <w:color w:val="000000"/>
          <w:sz w:val="21"/>
          <w:szCs w:val="21"/>
          <w:highlight w:val="none"/>
        </w:rPr>
        <w:t xml:space="preserve">分）</w:t>
      </w:r>
      <w:r>
        <w:rPr>
          <w:rFonts w:hint="eastAsia" w:ascii="宋体" w:hAnsi="宋体" w:eastAsia="宋体" w:cs="Times New Roman"/>
          <w:b/>
          <w:bCs/>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1、投标单位2021年1月1日起至今（以合同签订时间为准）</w:t>
      </w:r>
      <w:r>
        <w:rPr>
          <w:rFonts w:hint="eastAsia" w:ascii="宋体" w:hAnsi="宋体" w:eastAsia="宋体" w:cs="Times New Roman"/>
          <w:color w:val="000000"/>
          <w:sz w:val="21"/>
          <w:szCs w:val="21"/>
          <w:highlight w:val="none"/>
          <w:lang w:val="en-US" w:eastAsia="zh-CN"/>
        </w:rPr>
        <w:t xml:space="preserve">承担</w:t>
      </w:r>
      <w:r>
        <w:rPr>
          <w:rFonts w:hint="eastAsia" w:ascii="宋体" w:hAnsi="宋体" w:eastAsia="宋体" w:cs="Times New Roman"/>
          <w:color w:val="000000"/>
          <w:sz w:val="21"/>
          <w:szCs w:val="21"/>
          <w:highlight w:val="none"/>
        </w:rPr>
        <w:t xml:space="preserve">的类似项目</w:t>
      </w:r>
      <w:r>
        <w:rPr>
          <w:rFonts w:hint="eastAsia" w:ascii="宋体" w:hAnsi="宋体" w:eastAsia="宋体" w:cs="Times New Roman"/>
          <w:color w:val="000000"/>
          <w:sz w:val="21"/>
          <w:szCs w:val="21"/>
          <w:highlight w:val="none"/>
          <w:lang w:val="en-US" w:eastAsia="zh-CN"/>
        </w:rPr>
        <w:t xml:space="preserve">业绩</w:t>
      </w:r>
      <w:r>
        <w:rPr>
          <w:rFonts w:hint="eastAsia" w:ascii="宋体" w:hAnsi="宋体" w:eastAsia="宋体" w:cs="Times New Roman"/>
          <w:color w:val="000000"/>
          <w:sz w:val="21"/>
          <w:szCs w:val="21"/>
          <w:highlight w:val="none"/>
        </w:rPr>
        <w:t xml:space="preserve">，每提供1个符合要求业绩得2分，本项最高得4分。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投标文件中提供完整合同复印件，并加盖投标人电子公章；</w:t>
      </w:r>
      <w:r>
        <w:rPr>
          <w:rFonts w:hint="eastAsia" w:ascii="宋体" w:hAnsi="宋体" w:eastAsia="宋体" w:cs="Times New Roman"/>
          <w:color w:val="000000"/>
          <w:sz w:val="21"/>
          <w:szCs w:val="21"/>
          <w:highlight w:val="none"/>
          <w:lang w:val="en-US" w:eastAsia="zh-CN"/>
        </w:rPr>
        <w:t xml:space="preserve">未提供或提供不全</w:t>
      </w:r>
      <w:r>
        <w:rPr>
          <w:rFonts w:hint="eastAsia" w:ascii="宋体" w:hAnsi="宋体" w:eastAsia="宋体" w:cs="Times New Roman"/>
          <w:color w:val="000000"/>
          <w:sz w:val="21"/>
          <w:szCs w:val="21"/>
          <w:highlight w:val="none"/>
        </w:rPr>
        <w:t xml:space="preserve">不得分。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r>
      <w:r/>
    </w:p>
    <w:p>
      <w:pPr>
        <w:pStyle w:val="1008"/>
        <w:jc w:val="both"/>
        <w:spacing w:line="360" w:lineRule="auto"/>
        <w:widowControl w:val="off"/>
        <w:rPr>
          <w:rFonts w:ascii="宋体" w:hAnsi="宋体" w:cs="宋体"/>
          <w:b/>
          <w:color w:val="000000"/>
          <w:szCs w:val="21"/>
          <w:highlight w:val="none"/>
        </w:rPr>
        <w:outlineLvl w:val="9"/>
      </w:pPr>
      <w:r>
        <w:rPr>
          <w:rFonts w:hint="eastAsia" w:ascii="宋体" w:hAnsi="宋体" w:cs="宋体"/>
          <w:b/>
          <w:color w:val="000000"/>
          <w:sz w:val="21"/>
          <w:szCs w:val="21"/>
          <w:highlight w:val="none"/>
        </w:rPr>
        <w:br w:type="page" w:clear="all"/>
      </w:r>
      <w:r>
        <w:rPr>
          <w:rFonts w:hint="eastAsia" w:ascii="宋体" w:hAnsi="宋体" w:eastAsia="宋体" w:cs="宋体"/>
          <w:b/>
          <w:bCs/>
          <w:color w:val="000000"/>
          <w:sz w:val="21"/>
          <w:szCs w:val="21"/>
          <w:highlight w:val="none"/>
        </w:rPr>
        <w:t xml:space="preserve">适用于第</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标段</w:t>
      </w:r>
      <w:r>
        <w:rPr>
          <w:rFonts w:ascii="宋体" w:hAnsi="宋体" w:cs="宋体"/>
          <w:b/>
          <w:color w:val="000000"/>
          <w:szCs w:val="21"/>
          <w:highlight w:val="none"/>
        </w:rPr>
      </w:r>
      <w:r/>
    </w:p>
    <w:p>
      <w:pPr>
        <w:pStyle w:val="1008"/>
        <w:ind w:firstLine="422"/>
        <w:spacing w:line="360" w:lineRule="auto"/>
        <w:rPr>
          <w:rFonts w:hint="eastAsia" w:ascii="宋体" w:hAnsi="宋体" w:eastAsia="宋体" w:cs="Times New Roman"/>
          <w:b/>
          <w:bCs w:val="0"/>
          <w:color w:val="000000"/>
          <w:sz w:val="21"/>
          <w:szCs w:val="21"/>
          <w:highlight w:val="none"/>
          <w:lang w:eastAsia="zh-CN"/>
        </w:rPr>
      </w:pPr>
      <w:r>
        <w:rPr>
          <w:rFonts w:hint="eastAsia" w:ascii="宋体" w:hAnsi="宋体" w:eastAsia="宋体" w:cs="Times New Roman"/>
          <w:b/>
          <w:bCs w:val="0"/>
          <w:color w:val="000000"/>
          <w:sz w:val="21"/>
          <w:szCs w:val="21"/>
          <w:highlight w:val="none"/>
          <w:lang w:val="zh-CN" w:eastAsia="zh-CN"/>
        </w:rPr>
        <w:t xml:space="preserve">（一）价格分（</w:t>
      </w:r>
      <w:r>
        <w:rPr>
          <w:rFonts w:hint="eastAsia" w:ascii="宋体" w:hAnsi="宋体" w:eastAsia="宋体" w:cs="Times New Roman"/>
          <w:b/>
          <w:bCs w:val="0"/>
          <w:color w:val="000000"/>
          <w:sz w:val="21"/>
          <w:szCs w:val="21"/>
          <w:highlight w:val="none"/>
          <w:lang w:val="en-US" w:eastAsia="zh-CN"/>
        </w:rPr>
        <w:t xml:space="preserve">6</w:t>
      </w:r>
      <w:r>
        <w:rPr>
          <w:rFonts w:hint="eastAsia" w:ascii="宋体" w:hAnsi="宋体" w:eastAsia="宋体" w:cs="Times New Roman"/>
          <w:b/>
          <w:bCs w:val="0"/>
          <w:color w:val="000000"/>
          <w:sz w:val="21"/>
          <w:szCs w:val="21"/>
          <w:highlight w:val="none"/>
          <w:lang w:eastAsia="zh-CN"/>
        </w:rPr>
        <w:t xml:space="preserve">0</w:t>
      </w:r>
      <w:r>
        <w:rPr>
          <w:rFonts w:hint="eastAsia" w:ascii="宋体" w:hAnsi="宋体" w:eastAsia="宋体" w:cs="Times New Roman"/>
          <w:b/>
          <w:bCs w:val="0"/>
          <w:color w:val="000000"/>
          <w:sz w:val="21"/>
          <w:szCs w:val="21"/>
          <w:highlight w:val="none"/>
          <w:lang w:val="zh-CN" w:eastAsia="zh-CN"/>
        </w:rPr>
        <w:t xml:space="preserve">分）</w:t>
      </w:r>
      <w:r>
        <w:rPr>
          <w:rFonts w:hint="eastAsia" w:ascii="宋体" w:hAnsi="宋体" w:eastAsia="宋体" w:cs="Times New Roman"/>
          <w:b/>
          <w:bCs w:val="0"/>
          <w:color w:val="000000"/>
          <w:sz w:val="21"/>
          <w:szCs w:val="21"/>
          <w:highlight w:val="none"/>
          <w:lang w:eastAsia="zh-CN"/>
        </w:rPr>
      </w:r>
      <w:r/>
    </w:p>
    <w:p>
      <w:pPr>
        <w:pStyle w:val="1008"/>
        <w:ind w:firstLine="420"/>
        <w:spacing w:line="360" w:lineRule="auto"/>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val="zh-CN" w:eastAsia="zh-CN"/>
        </w:rPr>
        <w:t xml:space="preserve">第一步：投标总报价低于或等于采购预算价格的，为有效投标报价。超采购预算的投标报价为无效投标报价。无效投标报价的投标文件不得中标。</w:t>
      </w:r>
      <w:r>
        <w:rPr>
          <w:rFonts w:hint="eastAsia" w:ascii="宋体" w:hAnsi="宋体" w:eastAsia="宋体" w:cs="Times New Roman"/>
          <w:bCs/>
          <w:color w:val="000000"/>
          <w:sz w:val="21"/>
          <w:szCs w:val="21"/>
          <w:highlight w:val="none"/>
          <w:lang w:eastAsia="zh-CN"/>
        </w:rPr>
      </w:r>
      <w:r/>
    </w:p>
    <w:p>
      <w:pPr>
        <w:pStyle w:val="1008"/>
        <w:ind w:firstLine="420"/>
        <w:spacing w:line="360" w:lineRule="auto"/>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val="zh-CN" w:eastAsia="zh-CN"/>
        </w:rPr>
        <w:t xml:space="preserve">第二步：价格分采用低价优先法计算，即满足招标文件要求且投标价格最低的投标报价为评标基准价（报价按小微企业、监狱企业或残疾人福利性单位</w:t>
      </w:r>
      <w:r>
        <w:rPr>
          <w:rFonts w:hint="eastAsia" w:ascii="宋体" w:hAnsi="宋体" w:eastAsia="宋体" w:cs="Times New Roman"/>
          <w:bCs/>
          <w:color w:val="000000"/>
          <w:sz w:val="21"/>
          <w:szCs w:val="21"/>
          <w:highlight w:val="none"/>
          <w:lang w:eastAsia="zh-CN"/>
        </w:rPr>
        <w:t xml:space="preserve">等相关</w:t>
      </w:r>
      <w:r>
        <w:rPr>
          <w:rFonts w:hint="eastAsia" w:ascii="宋体" w:hAnsi="宋体" w:eastAsia="宋体" w:cs="Times New Roman"/>
          <w:bCs/>
          <w:color w:val="000000"/>
          <w:sz w:val="21"/>
          <w:szCs w:val="21"/>
          <w:highlight w:val="none"/>
          <w:lang w:val="zh-CN" w:eastAsia="zh-CN"/>
        </w:rPr>
        <w:t xml:space="preserve">评审</w:t>
      </w:r>
      <w:r>
        <w:rPr>
          <w:rFonts w:hint="eastAsia" w:ascii="宋体" w:hAnsi="宋体" w:eastAsia="宋体" w:cs="Times New Roman"/>
          <w:bCs/>
          <w:color w:val="000000"/>
          <w:sz w:val="21"/>
          <w:szCs w:val="21"/>
          <w:highlight w:val="none"/>
          <w:lang w:eastAsia="zh-CN"/>
        </w:rPr>
        <w:t xml:space="preserve">政策</w:t>
      </w:r>
      <w:r>
        <w:rPr>
          <w:rFonts w:hint="eastAsia" w:ascii="宋体" w:hAnsi="宋体" w:eastAsia="宋体" w:cs="Times New Roman"/>
          <w:bCs/>
          <w:color w:val="000000"/>
          <w:sz w:val="21"/>
          <w:szCs w:val="21"/>
          <w:highlight w:val="none"/>
          <w:lang w:val="zh-CN" w:eastAsia="zh-CN"/>
        </w:rPr>
        <w:t xml:space="preserve">调整后的价格为最低价的作为评标基准价，中标金额则以实际投标报价为准），其价格分为满分。其他投标人的价格分统一按照下列公式计算：投标报价得分=（评标基准价/投标报价）*价格权值*100，小数点后</w:t>
      </w:r>
      <w:r>
        <w:rPr>
          <w:rFonts w:hint="eastAsia" w:ascii="宋体" w:hAnsi="宋体" w:eastAsia="宋体" w:cs="Times New Roman"/>
          <w:bCs/>
          <w:color w:val="000000"/>
          <w:sz w:val="21"/>
          <w:szCs w:val="21"/>
          <w:highlight w:val="none"/>
          <w:lang w:eastAsia="zh-CN"/>
        </w:rPr>
        <w:t xml:space="preserve">四舍五入</w:t>
      </w:r>
      <w:r>
        <w:rPr>
          <w:rFonts w:hint="eastAsia" w:ascii="宋体" w:hAnsi="宋体" w:eastAsia="宋体" w:cs="Times New Roman"/>
          <w:bCs/>
          <w:color w:val="000000"/>
          <w:sz w:val="21"/>
          <w:szCs w:val="21"/>
          <w:highlight w:val="none"/>
          <w:lang w:val="zh-CN" w:eastAsia="zh-CN"/>
        </w:rPr>
        <w:t xml:space="preserve">保留两位（价格权值为</w:t>
      </w:r>
      <w:r>
        <w:rPr>
          <w:rFonts w:hint="eastAsia" w:ascii="宋体" w:hAnsi="宋体" w:eastAsia="宋体" w:cs="Times New Roman"/>
          <w:bCs/>
          <w:color w:val="000000"/>
          <w:sz w:val="21"/>
          <w:szCs w:val="21"/>
          <w:highlight w:val="none"/>
          <w:lang w:val="en-US" w:eastAsia="zh-CN"/>
        </w:rPr>
        <w:t xml:space="preserve">6</w:t>
      </w:r>
      <w:r>
        <w:rPr>
          <w:rFonts w:hint="eastAsia" w:ascii="宋体" w:hAnsi="宋体" w:eastAsia="宋体" w:cs="Times New Roman"/>
          <w:bCs/>
          <w:color w:val="000000"/>
          <w:sz w:val="21"/>
          <w:szCs w:val="21"/>
          <w:highlight w:val="none"/>
          <w:lang w:eastAsia="zh-CN"/>
        </w:rPr>
        <w:t xml:space="preserve">0</w:t>
      </w:r>
      <w:r>
        <w:rPr>
          <w:rFonts w:hint="eastAsia" w:ascii="宋体" w:hAnsi="宋体" w:eastAsia="宋体" w:cs="Times New Roman"/>
          <w:bCs/>
          <w:color w:val="000000"/>
          <w:sz w:val="21"/>
          <w:szCs w:val="21"/>
          <w:highlight w:val="none"/>
          <w:lang w:val="zh-CN" w:eastAsia="zh-CN"/>
        </w:rPr>
        <w:t xml:space="preserve">%）</w:t>
      </w:r>
      <w:r>
        <w:rPr>
          <w:rFonts w:hint="eastAsia" w:ascii="宋体" w:hAnsi="宋体" w:eastAsia="宋体" w:cs="Times New Roman"/>
          <w:bCs/>
          <w:color w:val="000000"/>
          <w:sz w:val="21"/>
          <w:szCs w:val="21"/>
          <w:highlight w:val="none"/>
          <w:lang w:eastAsia="zh-CN"/>
        </w:rPr>
      </w:r>
      <w:r/>
    </w:p>
    <w:p>
      <w:pPr>
        <w:pStyle w:val="1008"/>
        <w:ind w:firstLine="422"/>
        <w:spacing w:line="360" w:lineRule="auto"/>
        <w:rPr>
          <w:rFonts w:hint="eastAsia" w:ascii="宋体" w:hAnsi="宋体" w:eastAsia="宋体" w:cs="Times New Roman"/>
          <w:b/>
          <w:bCs w:val="0"/>
          <w:color w:val="000000"/>
          <w:sz w:val="21"/>
          <w:szCs w:val="21"/>
          <w:highlight w:val="none"/>
          <w:lang w:eastAsia="zh-CN"/>
        </w:rPr>
      </w:pPr>
      <w:r>
        <w:rPr>
          <w:rFonts w:hint="eastAsia" w:ascii="宋体" w:hAnsi="宋体" w:eastAsia="宋体" w:cs="Times New Roman"/>
          <w:b/>
          <w:bCs w:val="0"/>
          <w:color w:val="000000"/>
          <w:sz w:val="21"/>
          <w:szCs w:val="21"/>
          <w:highlight w:val="none"/>
          <w:lang w:eastAsia="zh-CN"/>
        </w:rPr>
        <w:t xml:space="preserve">（二）投标产品技术质量情况比较（</w:t>
      </w:r>
      <w:r>
        <w:rPr>
          <w:rFonts w:hint="eastAsia" w:ascii="宋体" w:hAnsi="宋体" w:eastAsia="宋体" w:cs="Times New Roman"/>
          <w:b/>
          <w:bCs w:val="0"/>
          <w:color w:val="000000"/>
          <w:sz w:val="21"/>
          <w:szCs w:val="21"/>
          <w:highlight w:val="none"/>
          <w:lang w:val="en-US" w:eastAsia="zh-CN"/>
        </w:rPr>
        <w:t xml:space="preserve">9</w:t>
      </w:r>
      <w:r>
        <w:rPr>
          <w:rFonts w:hint="eastAsia" w:ascii="宋体" w:hAnsi="宋体" w:eastAsia="宋体" w:cs="Times New Roman"/>
          <w:b/>
          <w:bCs w:val="0"/>
          <w:color w:val="000000"/>
          <w:sz w:val="21"/>
          <w:szCs w:val="21"/>
          <w:highlight w:val="none"/>
          <w:lang w:eastAsia="zh-CN"/>
        </w:rPr>
        <w:t xml:space="preserve">分）</w:t>
      </w:r>
      <w:r>
        <w:rPr>
          <w:rFonts w:hint="eastAsia" w:ascii="宋体" w:hAnsi="宋体" w:eastAsia="宋体" w:cs="Times New Roman"/>
          <w:b/>
          <w:bCs w:val="0"/>
          <w:color w:val="000000"/>
          <w:sz w:val="21"/>
          <w:szCs w:val="21"/>
          <w:highlight w:val="none"/>
          <w:lang w:eastAsia="zh-CN"/>
        </w:rPr>
      </w:r>
      <w:r/>
    </w:p>
    <w:p>
      <w:pPr>
        <w:pStyle w:val="1008"/>
        <w:ind w:firstLine="420"/>
        <w:spacing w:line="360" w:lineRule="auto"/>
        <w:rPr>
          <w:rFonts w:hint="eastAsia" w:ascii="宋体" w:hAnsi="宋体" w:eastAsia="宋体" w:cs="Times New Roman"/>
          <w:b w:val="0"/>
          <w:bCs/>
          <w:color w:val="000000"/>
          <w:sz w:val="21"/>
          <w:szCs w:val="21"/>
          <w:highlight w:val="none"/>
          <w:lang w:val="zh-CN" w:eastAsia="zh-CN"/>
        </w:rPr>
      </w:pPr>
      <w:r>
        <w:rPr>
          <w:rFonts w:hint="eastAsia" w:ascii="宋体" w:hAnsi="宋体" w:eastAsia="宋体" w:cs="Times New Roman"/>
          <w:b w:val="0"/>
          <w:bCs/>
          <w:color w:val="000000"/>
          <w:sz w:val="21"/>
          <w:szCs w:val="21"/>
          <w:highlight w:val="none"/>
          <w:lang w:val="en-US" w:eastAsia="zh-CN"/>
        </w:rPr>
        <w:t xml:space="preserve">1、</w:t>
      </w:r>
      <w:r>
        <w:rPr>
          <w:rFonts w:hint="eastAsia" w:ascii="宋体" w:hAnsi="宋体" w:eastAsia="宋体" w:cs="Times New Roman"/>
          <w:b w:val="0"/>
          <w:bCs/>
          <w:color w:val="000000"/>
          <w:sz w:val="21"/>
          <w:szCs w:val="21"/>
          <w:highlight w:val="none"/>
          <w:lang w:eastAsia="zh-CN"/>
        </w:rPr>
        <w:t xml:space="preserve">原材料检测报告（最高为</w:t>
      </w:r>
      <w:r>
        <w:rPr>
          <w:rFonts w:hint="eastAsia" w:ascii="宋体" w:hAnsi="宋体" w:eastAsia="宋体" w:cs="Times New Roman"/>
          <w:b w:val="0"/>
          <w:bCs/>
          <w:color w:val="000000"/>
          <w:sz w:val="21"/>
          <w:szCs w:val="21"/>
          <w:highlight w:val="none"/>
          <w:lang w:val="en-US" w:eastAsia="zh-CN"/>
        </w:rPr>
        <w:t xml:space="preserve">7</w:t>
      </w:r>
      <w:r>
        <w:rPr>
          <w:rFonts w:hint="eastAsia" w:ascii="宋体" w:hAnsi="宋体" w:eastAsia="宋体" w:cs="Times New Roman"/>
          <w:b w:val="0"/>
          <w:bCs/>
          <w:color w:val="000000"/>
          <w:sz w:val="21"/>
          <w:szCs w:val="21"/>
          <w:highlight w:val="none"/>
          <w:lang w:eastAsia="zh-CN"/>
        </w:rPr>
        <w:t xml:space="preserve">分）</w:t>
      </w:r>
      <w:r>
        <w:rPr>
          <w:rFonts w:hint="eastAsia" w:ascii="宋体" w:hAnsi="宋体" w:eastAsia="宋体" w:cs="Times New Roman"/>
          <w:b w:val="0"/>
          <w:bCs/>
          <w:color w:val="000000"/>
          <w:sz w:val="21"/>
          <w:szCs w:val="21"/>
          <w:highlight w:val="none"/>
          <w:lang w:val="zh-CN" w:eastAsia="zh-CN"/>
        </w:rPr>
      </w:r>
      <w:r/>
    </w:p>
    <w:p>
      <w:pPr>
        <w:pStyle w:val="1008"/>
        <w:ind w:firstLine="420"/>
        <w:spacing w:line="360" w:lineRule="auto"/>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投标人须提供具备CMA或CNAS资质的检测机构出具的完整检测报告扫描件，并加盖投标人电子公章；原材料供应商出具的符合要求的检测报告同样有效。每类原材料对应1份检测报告，每份得1分，不提供或不符合要求的不得分，本项最高7分。</w:t>
      </w:r>
      <w:r>
        <w:rPr>
          <w:rFonts w:hint="eastAsia" w:ascii="宋体" w:hAnsi="宋体" w:cs="宋体"/>
          <w:bCs/>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中标后采购人将核查检测报告真实性，若存在弄虚作假情形，将上报监管部门处理。 提供的检测报告必须同时符合以下所有要求，否则不得分。</w:t>
      </w:r>
      <w:r>
        <w:rPr>
          <w:rFonts w:hint="eastAsia" w:ascii="宋体" w:hAnsi="宋体" w:eastAsia="宋体" w:cs="宋体"/>
          <w:b/>
          <w:bCs w:val="0"/>
          <w:color w:val="000000"/>
          <w:sz w:val="21"/>
          <w:szCs w:val="21"/>
          <w:highlight w:val="none"/>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1.为落实《市场监管总局关于对检验检测机构资质认定实施“一单一库”管理的公告》相关要求：</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①2026年6月1日前出具的检测报告，需具有CMA认证标志。</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②2026年6月1日及之后出具的检测报告：对应检验检测项目已纳入国家检验检测机构资质认定能力项目库的，须由具备法定CMA资质的检测机构出具，并加盖CMA标志；对应检验检测项目未纳入资质认定能力项目库的，提供符合招标文件要求及执行标准的检测报告即可。若同一份检测报告中同时包含库内、库外两类检验检测项目，整份报告须加盖CMA标志。</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注：“一单一库”是指《检验检测机构资质认定事项清单》和《检验检测机构资质认定能力项目库》。</w:t>
      </w:r>
      <w:r>
        <w:rPr>
          <w:rFonts w:hint="eastAsia" w:ascii="宋体" w:hAnsi="宋体" w:eastAsia="宋体" w:cs="宋体"/>
          <w:b/>
          <w:bCs w:val="0"/>
          <w:color w:val="000000"/>
          <w:sz w:val="21"/>
          <w:szCs w:val="21"/>
          <w:highlight w:val="none"/>
        </w:rPr>
      </w:r>
      <w:r/>
    </w:p>
    <w:p>
      <w:pPr>
        <w:pStyle w:val="1008"/>
        <w:ind w:firstLine="422"/>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检测报告的检测（判定）依据，须参照以下所列检测标准或其他现行国家/行业标准执行。</w:t>
      </w:r>
      <w:r>
        <w:rPr>
          <w:rFonts w:hint="eastAsia" w:ascii="宋体" w:hAnsi="宋体" w:eastAsia="宋体" w:cs="宋体"/>
          <w:b/>
          <w:bCs w:val="0"/>
          <w:color w:val="000000"/>
          <w:sz w:val="21"/>
          <w:szCs w:val="21"/>
          <w:highlight w:val="none"/>
        </w:rPr>
      </w:r>
      <w:r/>
    </w:p>
    <w:p>
      <w:pPr>
        <w:pStyle w:val="1008"/>
        <w:ind w:firstLine="422"/>
        <w:spacing w:line="360" w:lineRule="auto"/>
        <w:widowControl w:val="off"/>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3</w:t>
      </w:r>
      <w:r>
        <w:rPr>
          <w:rFonts w:hint="eastAsia" w:ascii="宋体" w:hAnsi="宋体" w:cs="宋体"/>
          <w:b/>
          <w:bCs w:val="0"/>
          <w:color w:val="000000"/>
          <w:sz w:val="21"/>
          <w:szCs w:val="21"/>
          <w:highlight w:val="none"/>
          <w:lang w:eastAsia="zh-CN"/>
        </w:rPr>
        <w:t xml:space="preserve">.</w:t>
      </w:r>
      <w:r>
        <w:rPr>
          <w:rFonts w:hint="eastAsia" w:ascii="宋体" w:hAnsi="宋体" w:cs="宋体"/>
          <w:b/>
          <w:bCs w:val="0"/>
          <w:color w:val="000000"/>
          <w:sz w:val="21"/>
          <w:szCs w:val="21"/>
          <w:highlight w:val="none"/>
          <w:lang w:val="en-US" w:eastAsia="zh-CN"/>
        </w:rPr>
        <w:t xml:space="preserve">检测报告须覆盖以下全部检测项目，且各项检测结果均为合格。</w:t>
      </w:r>
      <w:r>
        <w:rPr>
          <w:rFonts w:hint="eastAsia" w:ascii="宋体" w:hAnsi="宋体" w:cs="宋体"/>
          <w:b/>
          <w:bCs w:val="0"/>
          <w:color w:val="000000"/>
          <w:sz w:val="21"/>
          <w:szCs w:val="21"/>
          <w:highlight w:val="none"/>
        </w:rPr>
      </w:r>
      <w:r/>
    </w:p>
    <w:p>
      <w:pPr>
        <w:pStyle w:val="1008"/>
        <w:numPr>
          <w:ilvl w:val="0"/>
          <w:numId w:val="0"/>
        </w:numPr>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bidi="ar-SA"/>
        </w:rPr>
        <w:t xml:space="preserve">（1）</w:t>
      </w:r>
      <w:r>
        <w:rPr>
          <w:rFonts w:hint="eastAsia" w:ascii="宋体" w:hAnsi="宋体" w:eastAsia="宋体" w:cs="Times New Roman"/>
          <w:b w:val="0"/>
          <w:bCs/>
          <w:color w:val="000000"/>
          <w:sz w:val="21"/>
          <w:szCs w:val="21"/>
          <w:highlight w:val="none"/>
          <w:lang w:val="en-US" w:eastAsia="zh-CN"/>
        </w:rPr>
        <w:t xml:space="preserve">三聚氰胺饰面刨花板：甲醛释放量达到E0级及以上，符合 GB/T 35601-2024《绿色产品评价 人造板和木质地板》要求；7d 挥发性有机化合物释放浓度中，苯、甲苯、二甲苯均未检出；抗菌性能（金黄色葡萄球菌）抗菌率≥99%，符合 LY/T 1926-2020《人造板与木（竹）制品抗菌性能检测与分级》要求；外观、理化性能（含水率、表面耐磨、表面耐划痕）符合 GB/T 15102-2017《浸渍胶膜纸饰面纤维板和刨花板》要求。</w:t>
      </w:r>
      <w:r>
        <w:rPr>
          <w:rFonts w:hint="eastAsia" w:ascii="宋体" w:hAnsi="宋体" w:eastAsia="宋体" w:cs="Times New Roman"/>
          <w:b w:val="0"/>
          <w:bCs/>
          <w:color w:val="000000"/>
          <w:sz w:val="21"/>
          <w:szCs w:val="21"/>
          <w:highlight w:val="none"/>
          <w:lang w:val="en-US" w:eastAsia="zh-CN"/>
        </w:rPr>
      </w:r>
      <w:r/>
    </w:p>
    <w:p>
      <w:pPr>
        <w:pStyle w:val="1008"/>
        <w:numPr>
          <w:ilvl w:val="0"/>
          <w:numId w:val="0"/>
        </w:numPr>
        <w:ind w:left="0"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bidi="ar-SA"/>
        </w:rPr>
        <w:t xml:space="preserve">（2）</w:t>
      </w:r>
      <w:r>
        <w:rPr>
          <w:rFonts w:hint="eastAsia" w:ascii="宋体" w:hAnsi="宋体" w:eastAsia="宋体" w:cs="Times New Roman"/>
          <w:b w:val="0"/>
          <w:bCs/>
          <w:color w:val="000000"/>
          <w:sz w:val="21"/>
          <w:szCs w:val="21"/>
          <w:highlight w:val="none"/>
          <w:lang w:val="en-US" w:eastAsia="zh-CN"/>
        </w:rPr>
        <w:t xml:space="preserve">生态纺织布：pH 值、甲醛含量、可萃取重金属符合 GB/T 18885-2020《生态纺织品技术要求》要求；可分解有害芳香胺染料、邻苯二甲酸酯总量、有机锡化合物符合 GB/T 35611-2024《绿色产品评价 纺织产品》要求。</w:t>
      </w:r>
      <w:r>
        <w:rPr>
          <w:rFonts w:hint="eastAsia" w:ascii="宋体" w:hAnsi="宋体" w:eastAsia="宋体" w:cs="Times New Roman"/>
          <w:b w:val="0"/>
          <w:bCs/>
          <w:color w:val="000000"/>
          <w:sz w:val="21"/>
          <w:szCs w:val="21"/>
          <w:highlight w:val="none"/>
          <w:lang w:val="en-US" w:eastAsia="zh-CN"/>
        </w:rPr>
      </w:r>
      <w:r/>
    </w:p>
    <w:p>
      <w:pPr>
        <w:pStyle w:val="1008"/>
        <w:numPr>
          <w:ilvl w:val="0"/>
          <w:numId w:val="0"/>
        </w:numPr>
        <w:ind w:left="0"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（3）铝合金：抗拉强度、规定非比例延伸强度、断后伸长率、维氏硬度、压痕硬度、耐冲击性、耐盐酸性、光泽、抗弯曲性符合 GB/T 5237.4-2017《铝合金建筑型材 第 4 部分：喷粉型材》要求。</w:t>
      </w:r>
      <w:r>
        <w:rPr>
          <w:rFonts w:hint="eastAsia" w:ascii="宋体" w:hAnsi="宋体" w:eastAsia="宋体" w:cs="Times New Roman"/>
          <w:b w:val="0"/>
          <w:bCs/>
          <w:color w:val="000000"/>
          <w:sz w:val="21"/>
          <w:szCs w:val="21"/>
          <w:highlight w:val="none"/>
          <w:lang w:val="en-US" w:eastAsia="zh-CN"/>
        </w:rPr>
      </w:r>
      <w:r/>
    </w:p>
    <w:p>
      <w:pPr>
        <w:pStyle w:val="1008"/>
        <w:numPr>
          <w:ilvl w:val="0"/>
          <w:numId w:val="0"/>
        </w:numPr>
        <w:ind w:left="0"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（4）海绵：外观、表观密度偏差、40% 压陷硬度偏差、V 类性能要求（75% 压缩永久变形、恒定负荷反复压陷疲劳后的 40% 压陷硬度损失值、拉伸强度、断裂伸长率、撕裂强度、干热老化后拉伸强度、灰分、甲醛散发）符合 GB/T 10802-2023《通用软质聚氨酯泡沫塑料》要求。</w:t>
      </w:r>
      <w:r>
        <w:rPr>
          <w:rFonts w:hint="eastAsia" w:ascii="宋体" w:hAnsi="宋体" w:eastAsia="宋体" w:cs="Times New Roman"/>
          <w:b w:val="0"/>
          <w:bCs/>
          <w:color w:val="000000"/>
          <w:sz w:val="21"/>
          <w:szCs w:val="21"/>
          <w:highlight w:val="none"/>
          <w:lang w:val="en-US" w:eastAsia="zh-CN"/>
        </w:rPr>
      </w:r>
      <w:r/>
    </w:p>
    <w:p>
      <w:pPr>
        <w:pStyle w:val="1008"/>
        <w:numPr>
          <w:ilvl w:val="0"/>
          <w:numId w:val="0"/>
        </w:numPr>
        <w:ind w:left="0"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（5）PP 聚丙烯材料：塑料材料理化性能（耐老化性、冲击强度）、有害物质限量（多环芳烃、邻苯二甲酸酯）符合 GB/T 32487-2016《塑料家具通用技术条件》要求；拉伸屈服应力、23℃简支梁缺口冲击强度、负荷变形温度符合 GB/T 12670-2008《聚丙烯（PP）树脂》要求。</w:t>
      </w:r>
      <w:r>
        <w:rPr>
          <w:rFonts w:hint="eastAsia" w:ascii="宋体" w:hAnsi="宋体" w:eastAsia="宋体" w:cs="Times New Roman"/>
          <w:b w:val="0"/>
          <w:bCs/>
          <w:color w:val="000000"/>
          <w:sz w:val="21"/>
          <w:szCs w:val="21"/>
          <w:highlight w:val="none"/>
          <w:lang w:val="en-US" w:eastAsia="zh-CN"/>
        </w:rPr>
      </w:r>
      <w:r/>
    </w:p>
    <w:p>
      <w:pPr>
        <w:pStyle w:val="1008"/>
        <w:numPr>
          <w:ilvl w:val="0"/>
          <w:numId w:val="0"/>
        </w:numPr>
        <w:ind w:left="0"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（6）冷轧钢板（牌号 Q195）：力学性能（抗拉强度、规定塑性延伸强度、断后伸长率、弯曲试验）、表面结构（光亮表面）、表面质量（较高级表面）符合 GB/T 11253-2019《碳素结构钢冷轧钢板及钢带》要求。</w:t>
      </w:r>
      <w:r>
        <w:rPr>
          <w:rFonts w:hint="eastAsia" w:ascii="宋体" w:hAnsi="宋体" w:eastAsia="宋体" w:cs="Times New Roman"/>
          <w:b w:val="0"/>
          <w:bCs/>
          <w:color w:val="000000"/>
          <w:sz w:val="21"/>
          <w:szCs w:val="21"/>
          <w:highlight w:val="none"/>
          <w:lang w:val="en-US" w:eastAsia="zh-CN"/>
        </w:rPr>
      </w:r>
      <w:r/>
    </w:p>
    <w:p>
      <w:pPr>
        <w:pStyle w:val="1008"/>
        <w:numPr>
          <w:ilvl w:val="0"/>
          <w:numId w:val="0"/>
        </w:numPr>
        <w:ind w:left="0"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（7）PVC 封边条：理化性能（耐干热性、耐龟裂性、耐光色牢度）、有害物质限量（甲醛释放量、氯乙烯单体、邻苯二甲酸酯、多溴联苯）符合 QB/T 4463-2025《家具用封边条》要求；氙弧灯老化试验 120h 合格，符合 GB/T 16422.2-2022《塑料 实验室光源暴露试验方法 第 2 部分：氙弧灯》要求。</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2、成品检测报告（最高2分）</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投标人须提供所投产品的成品检测报告，由具备CMA或CNAS资质的检测机构出具完整检测报告扫描件，并加盖投标人电子公章。每类产品对应1份检测报告，每份得1分，不提供或不符合要求的不得分，本项最高2分。</w:t>
      </w:r>
      <w:r>
        <w:rPr>
          <w:rFonts w:hint="eastAsia" w:ascii="宋体" w:hAnsi="宋体" w:eastAsia="宋体" w:cs="宋体"/>
          <w:bCs/>
          <w:color w:val="000000"/>
          <w:sz w:val="21"/>
          <w:szCs w:val="21"/>
          <w:highlight w:val="none"/>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中标后采购人将核查检测报告真实性，若存在弄虚作假情形，将上报监管部门处理。 提供的检测报告必须同时符合以下所有要求，否则不得分。</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1.为落实《市场监管总局关于对检验检测机构资质认定实施 “一单一库” 管理的公告》相关要求： </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① 2026 年 6 月 1 日前出具的检测报告，需具有CMA认证标志。</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② 2026 年 6 月 1 日及之后出具的检测报告：对应检验检测项目已纳入国家检验检测机构资质认定能力项目库的，须由具备法定CMA资质的检测机构出具，并加盖CMA标志；对应检验检测项目未纳入资质认定能力项目库的，提供符合招标文件要求及执行标准的检测报告即可。若同一份检测报告中同时包含库内、库外两类检验检测项目，整份报告须加盖CMA标志。 </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注：“一单一库” 是指《检验检测机构资质认定事项清单》和《检验检测机构资质认定能力项目库》。</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2.检测报告的检测判定依据，须参照以下所列检测标准或其他现行国家/行业标准执行。</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3.检测报告须覆盖以下全部检测项目，且各项检测结果均为合格。</w:t>
      </w:r>
      <w:r>
        <w:rPr>
          <w:rFonts w:hint="eastAsia" w:ascii="宋体" w:hAnsi="宋体" w:eastAsia="宋体" w:cs="宋体"/>
          <w:b/>
          <w:bCs w:val="0"/>
          <w:color w:val="000000"/>
          <w:sz w:val="21"/>
          <w:szCs w:val="21"/>
          <w:highlight w:val="none"/>
          <w:lang w:val="en-US" w:eastAsia="zh-CN"/>
        </w:rPr>
      </w:r>
      <w:r/>
    </w:p>
    <w:p>
      <w:pPr>
        <w:pStyle w:val="1008"/>
        <w:ind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（1）单兵战备管理仓：产品的形状和位置公差、外观性能（金属件、塑料件、玻璃件）、安全性能（结构安全、有害物质限量 - 甲醛、电气安全）、力学性能符合 GB/T 3325-2024《金属家具通用技术条件》要求。</w:t>
      </w:r>
      <w:r>
        <w:rPr>
          <w:rFonts w:hint="eastAsia" w:ascii="宋体" w:hAnsi="宋体" w:eastAsia="宋体" w:cs="宋体"/>
          <w:bCs/>
          <w:color w:val="000000"/>
          <w:sz w:val="21"/>
          <w:szCs w:val="21"/>
          <w:highlight w:val="none"/>
        </w:rPr>
      </w:r>
      <w:r/>
    </w:p>
    <w:p>
      <w:pPr>
        <w:pStyle w:val="1008"/>
        <w:ind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（2）餐椅：外观、理化性能（耐冷热循环、硬度）、力学性能（椅、凳类强度和耐久性、椅、凳类稳定性）、甲醛释放量、总挥发性有机化合物符合 GB/T 32487-2016《塑料家具通用技术条件》要求；抑菌率（金黄色葡萄球菌）≥99%，符合 QB/T 4371-2012《家具抗菌性能的评价》要求。</w:t>
      </w:r>
      <w:r>
        <w:rPr>
          <w:rFonts w:hint="eastAsia" w:ascii="宋体" w:hAnsi="宋体" w:eastAsia="宋体" w:cs="宋体"/>
          <w:bCs/>
          <w:color w:val="000000"/>
          <w:sz w:val="21"/>
          <w:szCs w:val="21"/>
          <w:highlight w:val="none"/>
        </w:rPr>
      </w:r>
      <w:r/>
    </w:p>
    <w:p>
      <w:pPr>
        <w:pStyle w:val="1008"/>
        <w:ind w:firstLine="422"/>
        <w:spacing w:line="360" w:lineRule="auto"/>
        <w:rPr>
          <w:rFonts w:hint="eastAsia" w:ascii="宋体" w:hAnsi="宋体" w:eastAsia="宋体" w:cs="Times New Roman"/>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（三）布局设计和产品工艺设计的比较</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20分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1、布局设计比较（最高8分）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投标单位结合本项目特点，制定方案布置图及效果图。</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主要空间（装备区、战士备勤室）上述两个空间应逐条叙述，评委根据提供的方案布置图及效果图进行评审，主要包括以下内容：</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空间布局、动线规划、色彩搭配及点位结合实际场地使用功能等。</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上述布置图及效果图每项应逐条叙述，整体方案全面合理、操作性强、贴合项目实际的得4分；整体方案合理性较弱、操作性不强、与项目实际贴合度不高的得2分；整体方案叙述内容完全脱离采购需求或未作完整叙述的得1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本项共2个空间，每个空间满分4分，本项最高8分。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2、产品工艺图设计（最高12分）</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投标单位结合本项目特点，提供家具清单中下述产品的深化方案：</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① 单兵战备管理仓(序号16）；</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② 多功能单人床（序号21）。</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上述每项应逐条叙述，每个产品的安全性、功能性与实用性贴合项目实际特点的得6分；每个产品的安全性、功能性、实用性与项目实际特点贴合度不高的得3；每项叙述内容完全脱离采购需求或未作完整叙述的得1分。本项共2个产品，每种产品满分6分，本项最高12分。</w:t>
      </w:r>
      <w:r>
        <w:rPr>
          <w:rFonts w:hint="eastAsia" w:ascii="宋体" w:hAnsi="宋体" w:eastAsia="宋体" w:cs="Times New Roman"/>
          <w:bCs/>
          <w:color w:val="000000"/>
          <w:sz w:val="21"/>
          <w:szCs w:val="21"/>
          <w:highlight w:val="none"/>
          <w:lang w:val="en-US" w:eastAsia="zh-CN"/>
        </w:rPr>
      </w:r>
      <w:r/>
    </w:p>
    <w:p>
      <w:pPr>
        <w:pStyle w:val="1008"/>
        <w:ind w:firstLine="422"/>
        <w:spacing w:line="360" w:lineRule="auto"/>
        <w:rPr>
          <w:rFonts w:hint="eastAsia" w:ascii="宋体" w:hAnsi="宋体" w:eastAsia="宋体" w:cs="Times New Roman"/>
          <w:b/>
          <w:bCs w:val="0"/>
          <w:color w:val="000000"/>
          <w:sz w:val="21"/>
          <w:szCs w:val="21"/>
          <w:highlight w:val="none"/>
          <w:lang w:val="en-US" w:eastAsia="zh-CN"/>
        </w:rPr>
      </w:pPr>
      <w:r>
        <w:rPr>
          <w:rFonts w:hint="eastAsia" w:ascii="宋体" w:hAnsi="宋体" w:eastAsia="宋体" w:cs="Times New Roman"/>
          <w:b/>
          <w:bCs w:val="0"/>
          <w:color w:val="000000"/>
          <w:sz w:val="21"/>
          <w:szCs w:val="21"/>
          <w:highlight w:val="none"/>
          <w:lang w:val="en-US" w:eastAsia="zh-CN"/>
        </w:rPr>
        <w:t xml:space="preserve">（四）生产交货、安装调试及售后服务（9分）</w:t>
      </w:r>
      <w:r>
        <w:rPr>
          <w:rFonts w:hint="eastAsia" w:ascii="宋体" w:hAnsi="宋体" w:eastAsia="宋体" w:cs="Times New Roman"/>
          <w:b/>
          <w:bCs w:val="0"/>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1、项目整体交货实施方案比较（</w:t>
      </w:r>
      <w:r>
        <w:rPr>
          <w:rFonts w:hint="eastAsia" w:ascii="宋体" w:hAnsi="宋体" w:eastAsia="宋体" w:cs="Times New Roman"/>
          <w:b w:val="0"/>
          <w:bCs/>
          <w:color w:val="000000"/>
          <w:sz w:val="21"/>
          <w:szCs w:val="21"/>
          <w:highlight w:val="none"/>
          <w:lang w:val="en-US" w:eastAsia="zh-CN"/>
        </w:rPr>
        <w:t xml:space="preserve">最高</w:t>
      </w:r>
      <w:r>
        <w:rPr>
          <w:rFonts w:hint="eastAsia" w:ascii="宋体" w:hAnsi="宋体" w:eastAsia="宋体" w:cs="Times New Roman"/>
          <w:bCs/>
          <w:color w:val="000000"/>
          <w:sz w:val="21"/>
          <w:szCs w:val="21"/>
          <w:highlight w:val="none"/>
          <w:lang w:val="en-US" w:eastAsia="zh-CN"/>
        </w:rPr>
        <w:t xml:space="preserve">3分）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投标单位结合本项目特点，制定工期保障措施、现场维护及安全保障措施方案，主要包括以下内容：</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对本项目整体交货工期保障的措施、现场维护及安全保障措施等。</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上述每项应逐条叙述，整体方案全面合理、操作性强、贴合项目实际特点的得3分；整体方案合理性较弱、操作性不强、与项目实际特点贴合度不高的得2分；整体方案叙述内容完全脱离采购需求或未作完整叙述的得1分。本项最高3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bookmarkStart w:id="116" w:name="OLE_LINK14"/>
      <w:r/>
      <w:bookmarkStart w:id="117" w:name="OLE_LINK13"/>
      <w:r>
        <w:rPr>
          <w:rFonts w:hint="eastAsia" w:ascii="宋体" w:hAnsi="宋体" w:cs="Times New Roman"/>
          <w:bCs/>
          <w:color w:val="000000"/>
          <w:sz w:val="21"/>
          <w:szCs w:val="21"/>
          <w:highlight w:val="none"/>
          <w:lang w:val="en-US" w:eastAsia="zh-CN"/>
        </w:rPr>
        <w:t xml:space="preserve">2、</w:t>
      </w:r>
      <w:r>
        <w:rPr>
          <w:rFonts w:ascii="宋体" w:hAnsi="宋体" w:cs="Times New Roman"/>
          <w:bCs/>
          <w:color w:val="000000"/>
          <w:sz w:val="21"/>
          <w:szCs w:val="21"/>
          <w:highlight w:val="none"/>
        </w:rPr>
        <w:t xml:space="preserve">本项目产品安装、调试</w:t>
      </w:r>
      <w:r>
        <w:rPr>
          <w:rFonts w:hint="eastAsia" w:ascii="宋体" w:hAnsi="宋体" w:cs="Times New Roman"/>
          <w:bCs/>
          <w:color w:val="000000"/>
          <w:sz w:val="21"/>
          <w:szCs w:val="21"/>
          <w:highlight w:val="none"/>
        </w:rPr>
        <w:t xml:space="preserve">检查</w:t>
      </w:r>
      <w:r>
        <w:rPr>
          <w:rFonts w:ascii="宋体" w:hAnsi="宋体" w:cs="Times New Roman"/>
          <w:bCs/>
          <w:color w:val="000000"/>
          <w:sz w:val="21"/>
          <w:szCs w:val="21"/>
          <w:highlight w:val="none"/>
        </w:rPr>
        <w:t xml:space="preserve">方案</w:t>
      </w:r>
      <w:bookmarkEnd w:id="116"/>
      <w:r/>
      <w:bookmarkEnd w:id="117"/>
      <w:r>
        <w:rPr>
          <w:rFonts w:hint="eastAsia" w:ascii="宋体" w:hAnsi="宋体" w:cs="宋体"/>
          <w:bCs/>
          <w:color w:val="000000"/>
          <w:sz w:val="21"/>
          <w:szCs w:val="21"/>
          <w:highlight w:val="none"/>
          <w:lang w:val="en-US" w:eastAsia="zh-CN"/>
        </w:rPr>
        <w:t xml:space="preserve">比较（</w:t>
      </w:r>
      <w:r>
        <w:rPr>
          <w:rFonts w:hint="eastAsia" w:ascii="宋体" w:hAnsi="宋体" w:eastAsia="宋体" w:cs="Times New Roman"/>
          <w:b w:val="0"/>
          <w:bCs/>
          <w:color w:val="000000"/>
          <w:sz w:val="21"/>
          <w:szCs w:val="21"/>
          <w:highlight w:val="none"/>
          <w:lang w:val="en-US" w:eastAsia="zh-CN"/>
        </w:rPr>
        <w:t xml:space="preserve">最高</w:t>
      </w:r>
      <w:r>
        <w:rPr>
          <w:rFonts w:hint="eastAsia" w:ascii="宋体" w:hAnsi="宋体" w:cs="宋体"/>
          <w:bCs/>
          <w:color w:val="000000"/>
          <w:sz w:val="21"/>
          <w:szCs w:val="21"/>
          <w:highlight w:val="none"/>
          <w:lang w:val="en-US" w:eastAsia="zh-CN"/>
        </w:rPr>
        <w:t xml:space="preserve">3分）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lang w:val="en-US" w:eastAsia="zh-CN"/>
        </w:rPr>
        <w:t xml:space="preserve">投标单位结合本项目特点，</w:t>
      </w:r>
      <w:r>
        <w:rPr>
          <w:rFonts w:hint="eastAsia" w:ascii="宋体" w:hAnsi="宋体" w:eastAsia="宋体" w:cs="Times New Roman"/>
          <w:bCs/>
          <w:color w:val="000000"/>
          <w:sz w:val="21"/>
          <w:szCs w:val="21"/>
          <w:highlight w:val="none"/>
        </w:rPr>
        <w:t xml:space="preserve">制定产品安装、调试检查方案</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主要包括以下内容：</w:t>
      </w:r>
      <w:r>
        <w:rPr>
          <w:rFonts w:hint="eastAsia" w:ascii="宋体" w:hAnsi="宋体" w:eastAsia="宋体" w:cs="Times New Roman"/>
          <w:bCs/>
          <w:color w:val="000000"/>
          <w:sz w:val="21"/>
          <w:szCs w:val="21"/>
          <w:highlight w:val="none"/>
        </w:rPr>
      </w:r>
      <w:r/>
    </w:p>
    <w:p>
      <w:pPr>
        <w:pStyle w:val="1008"/>
        <w:ind w:firstLine="420"/>
        <w:spacing w:line="360" w:lineRule="auto"/>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rPr>
        <w:t xml:space="preserve">安装前准备工作</w:t>
      </w:r>
      <w:r>
        <w:rPr>
          <w:rFonts w:hint="eastAsia" w:ascii="宋体" w:hAnsi="宋体" w:eastAsia="宋体" w:cs="Times New Roman"/>
          <w:bCs/>
          <w:color w:val="000000"/>
          <w:sz w:val="21"/>
          <w:szCs w:val="21"/>
          <w:highlight w:val="none"/>
          <w:lang w:val="en-US" w:eastAsia="zh-CN"/>
        </w:rPr>
        <w:t xml:space="preserve">、</w:t>
      </w:r>
      <w:r>
        <w:rPr>
          <w:rFonts w:hint="eastAsia" w:ascii="宋体" w:hAnsi="宋体" w:eastAsia="宋体" w:cs="Times New Roman"/>
          <w:bCs/>
          <w:color w:val="000000"/>
          <w:sz w:val="21"/>
          <w:szCs w:val="21"/>
          <w:highlight w:val="none"/>
        </w:rPr>
        <w:t xml:space="preserve">安装步骤</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设备调试方案</w:t>
      </w:r>
      <w:r>
        <w:rPr>
          <w:rFonts w:hint="eastAsia" w:ascii="宋体" w:hAnsi="宋体" w:eastAsia="宋体" w:cs="Times New Roman"/>
          <w:bCs/>
          <w:color w:val="000000"/>
          <w:sz w:val="21"/>
          <w:szCs w:val="21"/>
          <w:highlight w:val="none"/>
          <w:lang w:val="en-US" w:eastAsia="zh-CN"/>
        </w:rPr>
        <w:t xml:space="preserve">及</w:t>
      </w:r>
      <w:r>
        <w:rPr>
          <w:rFonts w:hint="eastAsia" w:ascii="宋体" w:hAnsi="宋体" w:eastAsia="宋体" w:cs="Times New Roman"/>
          <w:bCs/>
          <w:color w:val="000000"/>
          <w:sz w:val="21"/>
          <w:szCs w:val="21"/>
          <w:highlight w:val="none"/>
        </w:rPr>
        <w:t xml:space="preserve">检查方案</w:t>
      </w:r>
      <w:r>
        <w:rPr>
          <w:rFonts w:hint="eastAsia" w:ascii="宋体" w:hAnsi="宋体" w:eastAsia="宋体" w:cs="Times New Roman"/>
          <w:bCs/>
          <w:color w:val="000000"/>
          <w:sz w:val="21"/>
          <w:szCs w:val="21"/>
          <w:highlight w:val="none"/>
          <w:lang w:val="en-US" w:eastAsia="zh-CN"/>
        </w:rPr>
        <w:t xml:space="preserve">等</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rPr>
        <w:t xml:space="preserve">上述每项应逐条叙述，</w:t>
      </w:r>
      <w:r>
        <w:rPr>
          <w:rFonts w:hint="eastAsia" w:ascii="宋体" w:hAnsi="宋体" w:eastAsia="宋体" w:cs="Times New Roman"/>
          <w:bCs/>
          <w:color w:val="000000"/>
          <w:sz w:val="21"/>
          <w:szCs w:val="21"/>
          <w:highlight w:val="none"/>
          <w:lang w:val="en-US" w:eastAsia="zh-CN"/>
        </w:rPr>
        <w:t xml:space="preserve">整体</w:t>
      </w:r>
      <w:r>
        <w:rPr>
          <w:rFonts w:hint="eastAsia" w:ascii="宋体" w:hAnsi="宋体" w:eastAsia="宋体" w:cs="Times New Roman"/>
          <w:bCs/>
          <w:color w:val="000000"/>
          <w:sz w:val="21"/>
          <w:szCs w:val="21"/>
          <w:highlight w:val="none"/>
        </w:rPr>
        <w:t xml:space="preserve">方案全面合理、操作性强、贴合项目实际</w:t>
      </w:r>
      <w:r>
        <w:rPr>
          <w:rFonts w:hint="eastAsia" w:ascii="宋体" w:hAnsi="宋体" w:eastAsia="宋体" w:cs="Times New Roman"/>
          <w:bCs/>
          <w:color w:val="000000"/>
          <w:sz w:val="21"/>
          <w:szCs w:val="21"/>
          <w:highlight w:val="none"/>
          <w:lang w:val="en-US" w:eastAsia="zh-CN"/>
        </w:rPr>
        <w:t xml:space="preserve">特点</w:t>
      </w:r>
      <w:r>
        <w:rPr>
          <w:rFonts w:hint="eastAsia" w:ascii="宋体" w:hAnsi="宋体" w:eastAsia="宋体" w:cs="Times New Roman"/>
          <w:bCs/>
          <w:color w:val="000000"/>
          <w:sz w:val="21"/>
          <w:szCs w:val="21"/>
          <w:highlight w:val="none"/>
        </w:rPr>
        <w:t xml:space="preserve">的得</w:t>
      </w:r>
      <w:r>
        <w:rPr>
          <w:rFonts w:hint="eastAsia" w:ascii="宋体" w:hAnsi="宋体" w:eastAsia="宋体" w:cs="Times New Roman"/>
          <w:bCs/>
          <w:color w:val="000000"/>
          <w:sz w:val="21"/>
          <w:szCs w:val="21"/>
          <w:highlight w:val="none"/>
          <w:lang w:val="en-US" w:eastAsia="zh-CN"/>
        </w:rPr>
        <w:t xml:space="preserve">3</w:t>
      </w:r>
      <w:r>
        <w:rPr>
          <w:rFonts w:hint="eastAsia" w:ascii="宋体" w:hAnsi="宋体" w:eastAsia="宋体" w:cs="Times New Roman"/>
          <w:bCs/>
          <w:color w:val="000000"/>
          <w:sz w:val="21"/>
          <w:szCs w:val="21"/>
          <w:highlight w:val="none"/>
        </w:rPr>
        <w:t xml:space="preserve">分；</w:t>
      </w:r>
      <w:r>
        <w:rPr>
          <w:rFonts w:hint="eastAsia" w:ascii="宋体" w:hAnsi="宋体" w:eastAsia="宋体" w:cs="Times New Roman"/>
          <w:bCs/>
          <w:color w:val="000000"/>
          <w:sz w:val="21"/>
          <w:szCs w:val="21"/>
          <w:highlight w:val="none"/>
          <w:lang w:val="en-US" w:eastAsia="zh-CN"/>
        </w:rPr>
        <w:t xml:space="preserve">整体</w:t>
      </w:r>
      <w:r>
        <w:rPr>
          <w:rFonts w:hint="eastAsia" w:ascii="宋体" w:hAnsi="宋体" w:eastAsia="宋体" w:cs="Times New Roman"/>
          <w:bCs/>
          <w:color w:val="000000"/>
          <w:sz w:val="21"/>
          <w:szCs w:val="21"/>
          <w:highlight w:val="none"/>
        </w:rPr>
        <w:t xml:space="preserve">方案合理性较弱、操作性不强、与项目实际</w:t>
      </w:r>
      <w:r>
        <w:rPr>
          <w:rFonts w:hint="eastAsia" w:ascii="宋体" w:hAnsi="宋体" w:eastAsia="宋体" w:cs="Times New Roman"/>
          <w:bCs/>
          <w:color w:val="000000"/>
          <w:sz w:val="21"/>
          <w:szCs w:val="21"/>
          <w:highlight w:val="none"/>
          <w:lang w:val="en-US" w:eastAsia="zh-CN"/>
        </w:rPr>
        <w:t xml:space="preserve">特点</w:t>
      </w:r>
      <w:r>
        <w:rPr>
          <w:rFonts w:hint="eastAsia" w:ascii="宋体" w:hAnsi="宋体" w:eastAsia="宋体" w:cs="Times New Roman"/>
          <w:bCs/>
          <w:color w:val="000000"/>
          <w:sz w:val="21"/>
          <w:szCs w:val="21"/>
          <w:highlight w:val="none"/>
        </w:rPr>
        <w:t xml:space="preserve">贴合度不高的得</w:t>
      </w:r>
      <w:r>
        <w:rPr>
          <w:rFonts w:hint="eastAsia" w:ascii="宋体" w:hAnsi="宋体" w:eastAsia="宋体" w:cs="Times New Roman"/>
          <w:bCs/>
          <w:color w:val="000000"/>
          <w:sz w:val="21"/>
          <w:szCs w:val="21"/>
          <w:highlight w:val="none"/>
          <w:lang w:val="en-US" w:eastAsia="zh-CN"/>
        </w:rPr>
        <w:t xml:space="preserve">2</w:t>
      </w:r>
      <w:r>
        <w:rPr>
          <w:rFonts w:hint="eastAsia" w:ascii="宋体" w:hAnsi="宋体" w:eastAsia="宋体" w:cs="Times New Roman"/>
          <w:bCs/>
          <w:color w:val="000000"/>
          <w:sz w:val="21"/>
          <w:szCs w:val="21"/>
          <w:highlight w:val="none"/>
        </w:rPr>
        <w:t xml:space="preserve">分；</w:t>
      </w:r>
      <w:r>
        <w:rPr>
          <w:rFonts w:hint="eastAsia" w:ascii="宋体" w:hAnsi="宋体" w:eastAsia="宋体" w:cs="Times New Roman"/>
          <w:bCs/>
          <w:color w:val="000000"/>
          <w:sz w:val="21"/>
          <w:szCs w:val="21"/>
          <w:highlight w:val="none"/>
          <w:lang w:val="en-US" w:eastAsia="zh-CN"/>
        </w:rPr>
        <w:t xml:space="preserve">整体方案</w:t>
      </w:r>
      <w:r>
        <w:rPr>
          <w:rFonts w:hint="eastAsia" w:ascii="宋体" w:hAnsi="宋体" w:eastAsia="宋体" w:cs="Times New Roman"/>
          <w:bCs/>
          <w:color w:val="000000"/>
          <w:sz w:val="21"/>
          <w:szCs w:val="21"/>
          <w:highlight w:val="none"/>
        </w:rPr>
        <w:t xml:space="preserve">叙述内容完全脱离采购需求或未作完整叙述的得</w:t>
      </w:r>
      <w:r>
        <w:rPr>
          <w:rFonts w:hint="eastAsia" w:ascii="宋体" w:hAnsi="宋体" w:eastAsia="宋体" w:cs="Times New Roman"/>
          <w:bCs/>
          <w:color w:val="000000"/>
          <w:sz w:val="21"/>
          <w:szCs w:val="21"/>
          <w:highlight w:val="none"/>
          <w:lang w:val="en-US" w:eastAsia="zh-CN"/>
        </w:rPr>
        <w:t xml:space="preserve">1</w:t>
      </w:r>
      <w:r>
        <w:rPr>
          <w:rFonts w:hint="eastAsia" w:ascii="宋体" w:hAnsi="宋体" w:eastAsia="宋体" w:cs="Times New Roman"/>
          <w:bCs/>
          <w:color w:val="000000"/>
          <w:sz w:val="21"/>
          <w:szCs w:val="21"/>
          <w:highlight w:val="none"/>
        </w:rPr>
        <w:t xml:space="preserve">分。本项最高得</w:t>
      </w:r>
      <w:r>
        <w:rPr>
          <w:rFonts w:hint="eastAsia" w:ascii="宋体" w:hAnsi="宋体" w:eastAsia="宋体" w:cs="Times New Roman"/>
          <w:bCs/>
          <w:color w:val="000000"/>
          <w:sz w:val="21"/>
          <w:szCs w:val="21"/>
          <w:highlight w:val="none"/>
          <w:lang w:val="en-US" w:eastAsia="zh-CN"/>
        </w:rPr>
        <w:t xml:space="preserve">3</w:t>
      </w:r>
      <w:r>
        <w:rPr>
          <w:rFonts w:hint="eastAsia" w:ascii="宋体" w:hAnsi="宋体" w:eastAsia="宋体" w:cs="Times New Roman"/>
          <w:bCs/>
          <w:color w:val="000000"/>
          <w:sz w:val="21"/>
          <w:szCs w:val="21"/>
          <w:highlight w:val="none"/>
        </w:rPr>
        <w:t xml:space="preserve">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3、售后服务及质量保证方案比较（</w:t>
      </w:r>
      <w:r>
        <w:rPr>
          <w:rFonts w:hint="eastAsia" w:ascii="宋体" w:hAnsi="宋体" w:eastAsia="宋体" w:cs="Times New Roman"/>
          <w:b w:val="0"/>
          <w:bCs/>
          <w:color w:val="000000"/>
          <w:sz w:val="21"/>
          <w:szCs w:val="21"/>
          <w:highlight w:val="none"/>
          <w:lang w:val="en-US" w:eastAsia="zh-CN"/>
        </w:rPr>
        <w:t xml:space="preserve">最高</w:t>
      </w:r>
      <w:r>
        <w:rPr>
          <w:rFonts w:hint="eastAsia" w:ascii="宋体" w:hAnsi="宋体" w:eastAsia="宋体" w:cs="Times New Roman"/>
          <w:bCs/>
          <w:color w:val="000000"/>
          <w:sz w:val="21"/>
          <w:szCs w:val="21"/>
          <w:highlight w:val="none"/>
          <w:lang w:val="en-US" w:eastAsia="zh-CN"/>
        </w:rPr>
        <w:t xml:space="preserve">3分）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投标单位结合本项目特点，制定售后服务及质量保证方案，主要包括以下内容：</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ascii="宋体" w:hAnsi="宋体" w:eastAsia="宋体" w:cs="Times New Roman"/>
          <w:bCs/>
          <w:color w:val="000000"/>
          <w:sz w:val="21"/>
          <w:szCs w:val="21"/>
          <w:highlight w:val="none"/>
          <w:lang w:val="en-US" w:eastAsia="zh-CN"/>
        </w:rPr>
      </w:pPr>
      <w:r/>
      <w:bookmarkStart w:id="118" w:name="OLE_LINK31"/>
      <w:r/>
      <w:bookmarkStart w:id="119" w:name="OLE_LINK30"/>
      <w:r>
        <w:rPr>
          <w:rFonts w:hint="eastAsia" w:ascii="宋体" w:hAnsi="宋体" w:eastAsia="宋体" w:cs="Times New Roman"/>
          <w:bCs/>
          <w:color w:val="000000"/>
          <w:sz w:val="21"/>
          <w:szCs w:val="21"/>
          <w:highlight w:val="none"/>
          <w:lang w:val="en-US" w:eastAsia="zh-CN"/>
        </w:rPr>
        <w:t xml:space="preserve">整体售后服务方案</w:t>
      </w:r>
      <w:bookmarkEnd w:id="118"/>
      <w:r/>
      <w:bookmarkEnd w:id="119"/>
      <w:r>
        <w:rPr>
          <w:rFonts w:hint="eastAsia" w:ascii="宋体" w:hAnsi="宋体" w:eastAsia="宋体" w:cs="Times New Roman"/>
          <w:bCs/>
          <w:color w:val="000000"/>
          <w:sz w:val="21"/>
          <w:szCs w:val="21"/>
          <w:highlight w:val="none"/>
          <w:lang w:val="en-US" w:eastAsia="zh-CN"/>
        </w:rPr>
        <w:t xml:space="preserve">、质量保证方案等。</w:t>
      </w:r>
      <w:r>
        <w:rPr>
          <w:rFonts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上述每项应逐条叙述，整体方案全面合理、操作性强、贴合项目实际特点的得3分；整体方案合理性较弱、操作性不强、与项目实际特点贴合度不高的得2分；整体方案叙述内容完全脱离采购需求或未作完整叙述的得1分。本项最高得3分。</w:t>
      </w:r>
      <w:r>
        <w:rPr>
          <w:rFonts w:hint="eastAsia" w:ascii="宋体" w:hAnsi="宋体" w:eastAsia="宋体" w:cs="Times New Roman"/>
          <w:bCs/>
          <w:color w:val="000000"/>
          <w:sz w:val="21"/>
          <w:szCs w:val="21"/>
          <w:highlight w:val="none"/>
          <w:lang w:val="en-US" w:eastAsia="zh-CN"/>
        </w:rPr>
      </w:r>
      <w:r/>
    </w:p>
    <w:p>
      <w:pPr>
        <w:pStyle w:val="1008"/>
        <w:ind w:firstLine="422"/>
        <w:spacing w:line="360" w:lineRule="auto"/>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w:t>
      </w:r>
      <w:r>
        <w:rPr>
          <w:rFonts w:hint="eastAsia" w:ascii="宋体" w:hAnsi="宋体" w:eastAsia="宋体" w:cs="Times New Roman"/>
          <w:b/>
          <w:bCs/>
          <w:color w:val="000000"/>
          <w:sz w:val="21"/>
          <w:szCs w:val="21"/>
          <w:highlight w:val="none"/>
          <w:lang w:val="en-US" w:eastAsia="zh-CN"/>
        </w:rPr>
        <w:t xml:space="preserve">五</w:t>
      </w:r>
      <w:r>
        <w:rPr>
          <w:rFonts w:hint="eastAsia" w:ascii="宋体" w:hAnsi="宋体" w:eastAsia="宋体" w:cs="Times New Roman"/>
          <w:b/>
          <w:bCs/>
          <w:color w:val="000000"/>
          <w:sz w:val="21"/>
          <w:szCs w:val="21"/>
          <w:highlight w:val="none"/>
        </w:rPr>
        <w:t xml:space="preserve">）投标单位综合履约能力（</w:t>
      </w:r>
      <w:r>
        <w:rPr>
          <w:rFonts w:hint="eastAsia" w:ascii="宋体" w:hAnsi="宋体" w:eastAsia="宋体" w:cs="Times New Roman"/>
          <w:b/>
          <w:bCs/>
          <w:color w:val="000000"/>
          <w:sz w:val="21"/>
          <w:szCs w:val="21"/>
          <w:highlight w:val="none"/>
          <w:lang w:val="en-US" w:eastAsia="zh-CN"/>
        </w:rPr>
        <w:t xml:space="preserve">2</w:t>
      </w:r>
      <w:r>
        <w:rPr>
          <w:rFonts w:hint="eastAsia" w:ascii="宋体" w:hAnsi="宋体" w:eastAsia="宋体" w:cs="Times New Roman"/>
          <w:b/>
          <w:bCs/>
          <w:color w:val="000000"/>
          <w:sz w:val="21"/>
          <w:szCs w:val="21"/>
          <w:highlight w:val="none"/>
        </w:rPr>
        <w:t xml:space="preserve">分）</w:t>
      </w:r>
      <w:r>
        <w:rPr>
          <w:rFonts w:hint="eastAsia" w:ascii="宋体" w:hAnsi="宋体" w:eastAsia="宋体" w:cs="Times New Roman"/>
          <w:b/>
          <w:bCs/>
          <w:color w:val="000000"/>
          <w:sz w:val="21"/>
          <w:szCs w:val="21"/>
          <w:highlight w:val="none"/>
        </w:rPr>
      </w:r>
      <w:r/>
    </w:p>
    <w:p>
      <w:pPr>
        <w:pStyle w:val="1008"/>
        <w:ind w:firstLine="480"/>
        <w:spacing w:line="360" w:lineRule="auto"/>
        <w:rPr>
          <w:rFonts w:hint="eastAsia" w:ascii="宋体" w:hAnsi="宋体"/>
          <w:b/>
          <w:color w:val="000000"/>
          <w:sz w:val="21"/>
          <w:szCs w:val="21"/>
          <w:highlight w:val="none"/>
        </w:rPr>
      </w:pPr>
      <w:r>
        <w:rPr>
          <w:rFonts w:hint="eastAsia" w:ascii="宋体" w:hAnsi="宋体" w:eastAsia="宋体" w:cs="Times New Roman"/>
          <w:color w:val="000000"/>
          <w:sz w:val="21"/>
          <w:szCs w:val="21"/>
          <w:highlight w:val="none"/>
        </w:rPr>
        <w:t xml:space="preserve">1、投标单位2021年1月1日起至今（以合同签订时间为准）</w:t>
      </w:r>
      <w:r>
        <w:rPr>
          <w:rFonts w:hint="eastAsia" w:ascii="宋体" w:hAnsi="宋体" w:eastAsia="宋体" w:cs="Times New Roman"/>
          <w:color w:val="000000"/>
          <w:sz w:val="21"/>
          <w:szCs w:val="21"/>
          <w:highlight w:val="none"/>
          <w:lang w:val="en-US" w:eastAsia="zh-CN"/>
        </w:rPr>
        <w:t xml:space="preserve">承担</w:t>
      </w:r>
      <w:r>
        <w:rPr>
          <w:rFonts w:hint="eastAsia" w:ascii="宋体" w:hAnsi="宋体" w:eastAsia="宋体" w:cs="Times New Roman"/>
          <w:color w:val="000000"/>
          <w:sz w:val="21"/>
          <w:szCs w:val="21"/>
          <w:highlight w:val="none"/>
        </w:rPr>
        <w:t xml:space="preserve">的类似项目</w:t>
      </w:r>
      <w:r>
        <w:rPr>
          <w:rFonts w:hint="eastAsia" w:ascii="宋体" w:hAnsi="宋体" w:eastAsia="宋体" w:cs="Times New Roman"/>
          <w:color w:val="000000"/>
          <w:sz w:val="21"/>
          <w:szCs w:val="21"/>
          <w:highlight w:val="none"/>
          <w:lang w:val="en-US" w:eastAsia="zh-CN"/>
        </w:rPr>
        <w:t xml:space="preserve">业绩</w:t>
      </w:r>
      <w:r>
        <w:rPr>
          <w:rFonts w:hint="eastAsia" w:ascii="宋体" w:hAnsi="宋体" w:eastAsia="宋体" w:cs="Times New Roman"/>
          <w:color w:val="000000"/>
          <w:sz w:val="21"/>
          <w:szCs w:val="21"/>
          <w:highlight w:val="none"/>
        </w:rPr>
        <w:t xml:space="preserve">，每提供1个符合要求业绩得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分，本项最高得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投标文件中提供完整合同复印件，并加盖投标人电子公章；</w:t>
      </w:r>
      <w:r>
        <w:rPr>
          <w:rFonts w:hint="eastAsia" w:ascii="宋体" w:hAnsi="宋体" w:eastAsia="宋体" w:cs="Times New Roman"/>
          <w:color w:val="000000"/>
          <w:sz w:val="21"/>
          <w:szCs w:val="21"/>
          <w:highlight w:val="none"/>
          <w:lang w:val="en-US" w:eastAsia="zh-CN"/>
        </w:rPr>
        <w:t xml:space="preserve">未提供或提供不全</w:t>
      </w:r>
      <w:r>
        <w:rPr>
          <w:rFonts w:hint="eastAsia" w:ascii="宋体" w:hAnsi="宋体" w:eastAsia="宋体" w:cs="Times New Roman"/>
          <w:color w:val="000000"/>
          <w:sz w:val="21"/>
          <w:szCs w:val="21"/>
          <w:highlight w:val="none"/>
        </w:rPr>
        <w:t xml:space="preserve">不得分。</w:t>
      </w:r>
      <w:r>
        <w:rPr>
          <w:rFonts w:hint="eastAsia" w:ascii="宋体" w:hAnsi="宋体" w:eastAsia="宋体" w:cs="Times New Roman"/>
          <w:color w:val="000000"/>
          <w:sz w:val="21"/>
          <w:szCs w:val="21"/>
          <w:highlight w:val="none"/>
          <w:lang w:eastAsia="zh-CN"/>
        </w:rPr>
        <w:t xml:space="preserve">）</w:t>
      </w:r>
      <w:r>
        <w:rPr>
          <w:rFonts w:hint="eastAsia" w:ascii="宋体" w:hAnsi="宋体"/>
          <w:b/>
          <w:color w:val="000000"/>
          <w:sz w:val="21"/>
          <w:szCs w:val="21"/>
          <w:highlight w:val="none"/>
        </w:rPr>
      </w:r>
      <w:r/>
    </w:p>
    <w:p>
      <w:pPr>
        <w:pStyle w:val="1008"/>
        <w:ind w:firstLine="48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注：</w:t>
      </w:r>
      <w:r>
        <w:rPr>
          <w:rFonts w:ascii="宋体" w:hAnsi="宋体"/>
          <w:b/>
          <w:color w:val="000000"/>
          <w:sz w:val="21"/>
          <w:szCs w:val="21"/>
          <w:highlight w:val="none"/>
        </w:rPr>
      </w:r>
      <w:r/>
    </w:p>
    <w:p>
      <w:pPr>
        <w:pStyle w:val="1008"/>
        <w:ind w:firstLine="48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、付款步骤、交货期、免费质保期如有负偏离的不得中标。</w:t>
      </w:r>
      <w:r>
        <w:rPr>
          <w:rFonts w:ascii="宋体" w:hAnsi="宋体" w:cs="宋体"/>
          <w:color w:val="000000"/>
          <w:sz w:val="21"/>
          <w:szCs w:val="21"/>
          <w:highlight w:val="none"/>
        </w:rPr>
      </w:r>
      <w:r/>
    </w:p>
    <w:p>
      <w:pPr>
        <w:pStyle w:val="1008"/>
        <w:ind w:firstLine="480"/>
        <w:spacing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、针对评分标准中评分的每一条，投标单位均应如实提供相关资料和相应说明供评委评判，不提供相关资料的视为不具备该项得分的条件，资料须编好目录及页码。</w:t>
      </w:r>
      <w:r>
        <w:rPr>
          <w:rFonts w:hint="eastAsia" w:ascii="宋体" w:hAnsi="宋体" w:cs="宋体"/>
          <w:color w:val="000000"/>
          <w:sz w:val="21"/>
          <w:szCs w:val="21"/>
          <w:highlight w:val="none"/>
        </w:rPr>
      </w:r>
      <w:r/>
    </w:p>
    <w:p>
      <w:pPr>
        <w:pStyle w:val="1008"/>
        <w:ind w:firstLine="48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投标人必须保证全部投标资料的真实性，如有虚假或对招标文件所要求说明的情况故意隐瞒或虚报，视为不实质性响应招标文件，为无效投标，已中标的将取消中标资格，并按《中华人民共和国政府采购法》“提供虚假材料谋取中标、成交”相关处理。</w:t>
      </w:r>
      <w:r>
        <w:rPr>
          <w:rFonts w:ascii="宋体" w:hAnsi="宋体" w:cs="宋体"/>
          <w:color w:val="000000"/>
          <w:sz w:val="21"/>
          <w:szCs w:val="21"/>
          <w:highlight w:val="none"/>
        </w:rPr>
      </w:r>
      <w:r/>
    </w:p>
    <w:p>
      <w:pPr>
        <w:pStyle w:val="1008"/>
        <w:jc w:val="right"/>
        <w:spacing w:line="360" w:lineRule="auto"/>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rPr>
        <w:t xml:space="preserve">（全文完）</w:t>
      </w:r>
      <w:r>
        <w:rPr>
          <w:rFonts w:hint="eastAsia" w:ascii="宋体" w:hAnsi="宋体" w:cs="宋体"/>
          <w:b/>
          <w:bCs w:val="0"/>
          <w:color w:val="000000"/>
          <w:sz w:val="21"/>
          <w:szCs w:val="21"/>
          <w:highlight w:val="none"/>
        </w:rPr>
      </w:r>
      <w:r/>
    </w:p>
    <w:p>
      <w:pPr>
        <w:pStyle w:val="1008"/>
        <w:ind w:firstLine="420"/>
        <w:jc w:val="left"/>
        <w:spacing w:line="440" w:lineRule="exact"/>
        <w:rPr>
          <w:rFonts w:ascii="宋体" w:hAnsi="宋体" w:cs="宋体"/>
          <w:color w:val="000000"/>
          <w:sz w:val="21"/>
          <w:szCs w:val="21"/>
          <w:highlight w:val="none"/>
          <w:lang w:val="en-US"/>
        </w:rPr>
      </w:pPr>
      <w:r>
        <w:rPr>
          <w:rFonts w:hint="eastAsia" w:ascii="宋体" w:hAnsi="宋体" w:cs="宋体"/>
          <w:b/>
          <w:bCs w:val="0"/>
          <w:color w:val="000000"/>
          <w:sz w:val="21"/>
          <w:szCs w:val="21"/>
          <w:highlight w:val="none"/>
        </w:rPr>
        <w:br w:type="page" w:clear="all"/>
      </w:r>
      <w:r>
        <w:rPr>
          <w:rFonts w:hint="eastAsia" w:ascii="宋体" w:hAnsi="宋体" w:eastAsia="宋体" w:cs="宋体"/>
          <w:color w:val="000000"/>
          <w:sz w:val="21"/>
          <w:szCs w:val="21"/>
          <w:highlight w:val="none"/>
          <w:lang w:val="en-US" w:eastAsia="zh-CN"/>
        </w:rPr>
        <w:t xml:space="preserve">装备区图纸：</w:t>
      </w:r>
      <w:r>
        <w:rPr>
          <w:rFonts w:ascii="宋体" w:hAnsi="宋体" w:cs="宋体"/>
          <w:color w:val="000000"/>
          <w:sz w:val="21"/>
          <w:szCs w:val="21"/>
          <w:highlight w:val="none"/>
          <w:lang w:val="en-US"/>
        </w:rPr>
      </w:r>
      <w:r/>
    </w:p>
    <w:p>
      <w:pPr>
        <w:pStyle w:val="1008"/>
        <w:ind w:firstLine="420"/>
        <w:jc w:val="right"/>
        <w:spacing w:line="440" w:lineRule="exact"/>
        <w:rPr>
          <w:rFonts w:hint="eastAsia" w:ascii="宋体" w:hAnsi="宋体" w:cs="宋体"/>
          <w:color w:val="000000"/>
          <w:sz w:val="21"/>
          <w:szCs w:val="21"/>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266700</wp:posOffset>
                </wp:positionH>
                <wp:positionV relativeFrom="paragraph">
                  <wp:posOffset>205105</wp:posOffset>
                </wp:positionV>
                <wp:extent cx="1969135" cy="1329690"/>
                <wp:effectExtent l="0" t="0" r="0" b="0"/>
                <wp:wrapSquare wrapText="bothSides"/>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969135" cy="1329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241;o:allowoverlap:true;o:allowincell:true;mso-position-horizontal-relative:text;margin-left:21.0pt;mso-position-horizontal:absolute;mso-position-vertical-relative:text;margin-top:16.1pt;mso-position-vertical:absolute;width:155.0pt;height:104.7pt;mso-wrap-distance-left:9.0pt;mso-wrap-distance-top:0.0pt;mso-wrap-distance-right:9.0pt;mso-wrap-distance-bottom:0.0pt;" stroked="f">
                <v:path textboxrect="0,0,0,0"/>
                <w10:wrap type="square"/>
                <v:imagedata r:id="rId128" o:title=""/>
              </v:shape>
            </w:pict>
          </mc:Fallback>
        </mc:AlternateContent>
      </w:r>
      <w:r>
        <w:rPr>
          <w:rFonts w:hint="eastAsia" w:ascii="宋体" w:hAnsi="宋体" w:cs="宋体"/>
          <w:color w:val="000000"/>
          <w:sz w:val="21"/>
          <w:szCs w:val="21"/>
          <w:highlight w:val="none"/>
        </w:rPr>
      </w:r>
      <w:r/>
    </w:p>
    <w:p>
      <w:pPr>
        <w:pStyle w:val="1008"/>
        <w:ind w:firstLine="42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jc w:val="left"/>
        <w:spacing w:line="44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战士备勤室图纸：</w:t>
      </w:r>
      <w:r>
        <w:rPr>
          <w:rFonts w:hint="eastAsia" w:ascii="宋体" w:hAnsi="宋体" w:cs="宋体"/>
          <w:color w:val="000000"/>
          <w:sz w:val="21"/>
          <w:szCs w:val="21"/>
          <w:highlight w:val="none"/>
          <w:lang w:val="en-US" w:eastAsia="zh-CN"/>
        </w:rPr>
      </w:r>
      <w:r/>
    </w:p>
    <w:p>
      <w:pPr>
        <w:pStyle w:val="1008"/>
        <w:ind w:firstLine="420"/>
        <w:jc w:val="left"/>
        <w:spacing w:line="440" w:lineRule="exact"/>
        <w:rPr>
          <w:rFonts w:ascii="宋体" w:hAnsi="宋体" w:cs="宋体"/>
          <w:color w:val="000000"/>
          <w:sz w:val="21"/>
          <w:szCs w:val="21"/>
          <w:highlight w:val="none"/>
          <w:lang w:val="en-US" w:eastAsia="zh-CN"/>
        </w:rPr>
      </w:pPr>
      <w:r>
        <w:rPr>
          <w:rFonts w:ascii="宋体" w:hAnsi="宋体" w:cs="宋体"/>
          <w:color w:val="000000"/>
          <w:sz w:val="21"/>
          <w:szCs w:val="21"/>
          <w:highlight w:val="none"/>
          <w:lang w:val="en-US" w:eastAsia="zh-CN"/>
        </w:rPr>
      </w:r>
      <w:r/>
    </w:p>
    <w:p>
      <w:pPr>
        <w:pStyle w:val="1008"/>
        <w:ind w:firstLine="420"/>
        <w:jc w:val="left"/>
        <w:spacing w:line="240" w:lineRule="auto"/>
        <w:rPr>
          <w:rFonts w:ascii="宋体" w:hAnsi="宋体" w:cs="宋体"/>
          <w:color w:val="000000"/>
          <w:sz w:val="21"/>
          <w:szCs w:val="21"/>
          <w:highlight w:val="none"/>
          <w:lang w:val="en-US" w:eastAsia="zh-CN"/>
        </w:rPr>
      </w:pPr>
      <w:r>
        <w:rPr>
          <w:rFonts w:ascii="宋体" w:hAnsi="宋体" w:cs="宋体"/>
          <w:color w:val="000000"/>
          <w:sz w:val="21"/>
          <w:szCs w:val="21"/>
          <w:highlight w:val="none"/>
          <w:lang w:val="en-US" w:eastAsia="zh-CN"/>
        </w:rPr>
        <mc:AlternateContent>
          <mc:Choice Requires="wpg">
            <w:drawing>
              <wp:inline xmlns:wp="http://schemas.openxmlformats.org/drawingml/2006/wordprocessingDrawing" distT="0" distB="0" distL="0" distR="0">
                <wp:extent cx="4871174" cy="1211031"/>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rcRect l="3830" t="33188" r="4652" b="34637"/>
                        <a:stretch/>
                      </pic:blipFill>
                      <pic:spPr bwMode="auto">
                        <a:xfrm>
                          <a:off x="0" y="0"/>
                          <a:ext cx="4871174" cy="12110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383.6pt;height:95.4pt;mso-wrap-distance-left:0.0pt;mso-wrap-distance-top:0.0pt;mso-wrap-distance-right:0.0pt;mso-wrap-distance-bottom:0.0pt;" stroked="f">
                <v:path textboxrect="0,0,0,0"/>
                <v:imagedata r:id="rId129" o:title=""/>
              </v:shape>
            </w:pict>
          </mc:Fallback>
        </mc:AlternateContent>
      </w:r>
      <w:r>
        <w:rPr>
          <w:rFonts w:ascii="宋体" w:hAnsi="宋体" w:cs="宋体"/>
          <w:color w:val="000000"/>
          <w:sz w:val="21"/>
          <w:szCs w:val="21"/>
          <w:highlight w:val="none"/>
          <w:lang w:val="en-US" w:eastAsia="zh-CN"/>
        </w:rPr>
      </w:r>
      <w:r/>
    </w:p>
    <w:p>
      <w:pPr>
        <w:pStyle w:val="1008"/>
        <w:jc w:val="both"/>
        <w:spacing w:line="360" w:lineRule="auto"/>
        <w:rPr>
          <w:rFonts w:hint="eastAsia" w:ascii="宋体" w:hAnsi="宋体" w:cs="黑体"/>
          <w:b w:val="0"/>
          <w:bCs/>
          <w:color w:val="000000"/>
          <w:sz w:val="21"/>
          <w:szCs w:val="21"/>
          <w:highlight w:val="none"/>
        </w:rPr>
      </w:pPr>
      <w:r>
        <w:rPr>
          <w:rFonts w:hint="eastAsia" w:ascii="宋体" w:hAnsi="宋体" w:cs="黑体"/>
          <w:b w:val="0"/>
          <w:bCs/>
          <w:color w:val="000000"/>
          <w:sz w:val="21"/>
          <w:szCs w:val="21"/>
          <w:highlight w:val="none"/>
        </w:rPr>
      </w:r>
      <w:r/>
    </w:p>
    <w:sectPr>
      <w:footerReference w:type="default" r:id="rId13"/>
      <w:footerReference w:type="first" r:id="rId14"/>
      <w:footnotePr/>
      <w:endnotePr/>
      <w:type w:val="nextPage"/>
      <w:pgSz w:w="11850" w:h="16783" w:orient="portrait"/>
      <w:pgMar w:top="1440" w:right="1797" w:bottom="1440" w:left="1797"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仿宋_GB2312">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rFonts w:hint="eastAsia"/>
        <w:sz w:val="15"/>
        <w:szCs w:val="15"/>
      </w:rPr>
    </w:pPr>
    <w:r>
      <w:rPr>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-38099</wp:posOffset>
              </wp:positionH>
              <wp:positionV relativeFrom="paragraph">
                <wp:posOffset>-9524</wp:posOffset>
              </wp:positionV>
              <wp:extent cx="6223000" cy="63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223000" cy="63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3.0pt;mso-position-horizontal:absolute;mso-position-vertical-relative:text;margin-top:-0.7pt;mso-position-vertical:absolute;width:490.0pt;height:0.0pt;mso-wrap-distance-left:9.0pt;mso-wrap-distance-top:0.0pt;mso-wrap-distance-right:9.0pt;mso-wrap-distance-bottom:0.0pt;visibility:visible;" path="m0,0l100000,100000ee" coordsize="100000,100000" filled="f" strokecolor="#000000">
              <v:path textboxrect="0,0,100000,100000"/>
            </v:shape>
          </w:pict>
        </mc:Fallback>
      </mc:AlternateContent>
    </w:r>
    <w:r>
      <w:rPr>
        <w:rFonts w:hint="eastAsia"/>
        <w:sz w:val="15"/>
        <w:szCs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rPr>
        <w:rStyle w:val="1076"/>
      </w:rPr>
      <w:framePr w:wrap="around" w:vAnchor="text" w:hAnchor="margin" w:xAlign="right" w:y="1"/>
    </w:pPr>
    <w:r>
      <w:fldChar w:fldCharType="begin"/>
    </w:r>
    <w:r>
      <w:rPr>
        <w:rStyle w:val="1076"/>
      </w:rPr>
      <w:instrText xml:space="preserve">PAGE  </w:instrText>
    </w:r>
    <w:r>
      <w:fldChar w:fldCharType="separate"/>
    </w:r>
    <w:r>
      <w:rPr>
        <w:rStyle w:val="1076"/>
      </w:rPr>
      <w:t xml:space="preserve">2</w:t>
    </w:r>
    <w:r>
      <w:fldChar w:fldCharType="end"/>
    </w:r>
    <w:r>
      <w:rPr>
        <w:rStyle w:val="1076"/>
      </w:rPr>
    </w:r>
    <w:r/>
  </w:p>
  <w:p>
    <w:pPr>
      <w:pStyle w:val="105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008"/>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0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6"/>
                            <w:tabs>
                              <w:tab w:val="clear" w:pos="4153" w:leader="none"/>
                              <w:tab w:val="clear" w:pos="8306" w:leader="none"/>
                            </w:tabs>
                          </w:pPr>
                          <w:r/>
                          <w:r/>
                        </w:p>
                        <w:p>
                          <w:pPr>
                            <w:pStyle w:val="100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6"/>
                      <w:tabs>
                        <w:tab w:val="clear" w:pos="4153" w:leader="none"/>
                        <w:tab w:val="clear" w:pos="8306" w:leader="none"/>
                      </w:tabs>
                    </w:pPr>
                    <w:r/>
                    <w:r/>
                  </w:p>
                  <w:p>
                    <w:pPr>
                      <w:pStyle w:val="10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008"/>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0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8"/>
                          </w:pPr>
                          <w:r/>
                          <w:r/>
                        </w:p>
                        <w:p>
                          <w:pPr>
                            <w:pStyle w:val="1008"/>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8"/>
                    </w:pPr>
                    <w:r/>
                    <w:r/>
                  </w:p>
                  <w:p>
                    <w:pPr>
                      <w:pStyle w:val="10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left="3960" w:right="90" w:hanging="3960"/>
      <w:jc w:val="left"/>
      <w:tabs>
        <w:tab w:val="center" w:pos="4153" w:leader="none"/>
        <w:tab w:val="right" w:pos="8306" w:leader="none"/>
      </w:tabs>
      <w:rPr>
        <w:rFonts w:eastAsia="楷体_GB2312"/>
        <w:lang w:val="en-US" w:eastAsia="zh-CN"/>
      </w:rPr>
    </w:pPr>
    <w:r>
      <w:rPr>
        <w:rFonts w:hint="eastAsia" w:ascii="宋体" w:hAnsi="宋体" w:eastAsia="宋体"/>
        <w:lang w:eastAsia="zh-CN"/>
      </w:rPr>
      <w:t xml:space="preserve">苏州中海工程项目管理有限公司</w:t>
    </w:r>
    <w:r>
      <w:rPr>
        <w:rFonts w:hint="eastAsia" w:ascii="宋体" w:hAnsi="宋体" w:eastAsia="宋体"/>
        <w:lang w:val="en-US" w:eastAsia="zh-CN"/>
      </w:rPr>
      <w:t xml:space="preserve">                         </w:t>
    </w:r>
    <w:r>
      <w:rPr>
        <w:rFonts w:hint="eastAsia"/>
        <w:lang w:val="en-US" w:eastAsia="zh-CN"/>
      </w:rPr>
      <w:t xml:space="preserve">JSZC-320509-ZHXM-G2026-0001</w:t>
    </w:r>
    <w:r>
      <w:rPr>
        <w:rFonts w:eastAsia="楷体_GB2312"/>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90"/>
      <w:jc w:val="lef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100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name w:val="Heading 1"/>
    <w:basedOn w:val="1008"/>
    <w:next w:val="1008"/>
    <w:link w:val="832"/>
    <w:uiPriority w:val="9"/>
    <w:qFormat/>
    <w:pPr>
      <w:keepLines/>
      <w:keepNext/>
      <w:spacing w:before="480" w:after="200"/>
      <w:outlineLvl w:val="0"/>
    </w:pPr>
    <w:rPr>
      <w:rFonts w:ascii="Arial" w:hAnsi="Arial" w:eastAsia="Arial" w:cs="Arial"/>
      <w:sz w:val="40"/>
      <w:szCs w:val="40"/>
    </w:rPr>
  </w:style>
  <w:style w:type="character" w:styleId="832">
    <w:name w:val="Heading 1 Char"/>
    <w:link w:val="831"/>
    <w:uiPriority w:val="9"/>
    <w:rPr>
      <w:rFonts w:ascii="Arial" w:hAnsi="Arial" w:eastAsia="Arial" w:cs="Arial"/>
      <w:sz w:val="40"/>
      <w:szCs w:val="40"/>
    </w:rPr>
  </w:style>
  <w:style w:type="paragraph" w:styleId="833">
    <w:name w:val="Heading 2"/>
    <w:basedOn w:val="1008"/>
    <w:next w:val="1008"/>
    <w:link w:val="834"/>
    <w:uiPriority w:val="9"/>
    <w:unhideWhenUsed/>
    <w:qFormat/>
    <w:pPr>
      <w:keepLines/>
      <w:keepNext/>
      <w:spacing w:before="360" w:after="200"/>
      <w:outlineLvl w:val="1"/>
    </w:pPr>
    <w:rPr>
      <w:rFonts w:ascii="Arial" w:hAnsi="Arial" w:eastAsia="Arial" w:cs="Arial"/>
      <w:sz w:val="34"/>
    </w:rPr>
  </w:style>
  <w:style w:type="character" w:styleId="834">
    <w:name w:val="Heading 2 Char"/>
    <w:link w:val="833"/>
    <w:uiPriority w:val="9"/>
    <w:rPr>
      <w:rFonts w:ascii="Arial" w:hAnsi="Arial" w:eastAsia="Arial" w:cs="Arial"/>
      <w:sz w:val="34"/>
    </w:rPr>
  </w:style>
  <w:style w:type="paragraph" w:styleId="835">
    <w:name w:val="Heading 3"/>
    <w:basedOn w:val="1008"/>
    <w:next w:val="1008"/>
    <w:link w:val="836"/>
    <w:uiPriority w:val="9"/>
    <w:unhideWhenUsed/>
    <w:qFormat/>
    <w:pPr>
      <w:keepLines/>
      <w:keepNext/>
      <w:spacing w:before="320" w:after="200"/>
      <w:outlineLvl w:val="2"/>
    </w:pPr>
    <w:rPr>
      <w:rFonts w:ascii="Arial" w:hAnsi="Arial" w:eastAsia="Arial" w:cs="Arial"/>
      <w:sz w:val="30"/>
      <w:szCs w:val="30"/>
    </w:rPr>
  </w:style>
  <w:style w:type="character" w:styleId="836">
    <w:name w:val="Heading 3 Char"/>
    <w:link w:val="835"/>
    <w:uiPriority w:val="9"/>
    <w:rPr>
      <w:rFonts w:ascii="Arial" w:hAnsi="Arial" w:eastAsia="Arial" w:cs="Arial"/>
      <w:sz w:val="30"/>
      <w:szCs w:val="30"/>
    </w:rPr>
  </w:style>
  <w:style w:type="paragraph" w:styleId="837">
    <w:name w:val="Heading 4"/>
    <w:basedOn w:val="1008"/>
    <w:next w:val="1008"/>
    <w:link w:val="838"/>
    <w:uiPriority w:val="9"/>
    <w:unhideWhenUsed/>
    <w:qFormat/>
    <w:pPr>
      <w:keepLines/>
      <w:keepNext/>
      <w:spacing w:before="320" w:after="200"/>
      <w:outlineLvl w:val="3"/>
    </w:pPr>
    <w:rPr>
      <w:rFonts w:ascii="Arial" w:hAnsi="Arial" w:eastAsia="Arial" w:cs="Arial"/>
      <w:b/>
      <w:bCs/>
      <w:sz w:val="26"/>
      <w:szCs w:val="26"/>
    </w:rPr>
  </w:style>
  <w:style w:type="character" w:styleId="838">
    <w:name w:val="Heading 4 Char"/>
    <w:link w:val="837"/>
    <w:uiPriority w:val="9"/>
    <w:rPr>
      <w:rFonts w:ascii="Arial" w:hAnsi="Arial" w:eastAsia="Arial" w:cs="Arial"/>
      <w:b/>
      <w:bCs/>
      <w:sz w:val="26"/>
      <w:szCs w:val="26"/>
    </w:rPr>
  </w:style>
  <w:style w:type="paragraph" w:styleId="839">
    <w:name w:val="Heading 5"/>
    <w:basedOn w:val="1008"/>
    <w:next w:val="1008"/>
    <w:link w:val="840"/>
    <w:uiPriority w:val="9"/>
    <w:unhideWhenUsed/>
    <w:qFormat/>
    <w:pPr>
      <w:keepLines/>
      <w:keepNext/>
      <w:spacing w:before="320" w:after="200"/>
      <w:outlineLvl w:val="4"/>
    </w:pPr>
    <w:rPr>
      <w:rFonts w:ascii="Arial" w:hAnsi="Arial" w:eastAsia="Arial" w:cs="Arial"/>
      <w:b/>
      <w:bCs/>
      <w:sz w:val="24"/>
      <w:szCs w:val="24"/>
    </w:rPr>
  </w:style>
  <w:style w:type="character" w:styleId="840">
    <w:name w:val="Heading 5 Char"/>
    <w:link w:val="839"/>
    <w:uiPriority w:val="9"/>
    <w:rPr>
      <w:rFonts w:ascii="Arial" w:hAnsi="Arial" w:eastAsia="Arial" w:cs="Arial"/>
      <w:b/>
      <w:bCs/>
      <w:sz w:val="24"/>
      <w:szCs w:val="24"/>
    </w:rPr>
  </w:style>
  <w:style w:type="paragraph" w:styleId="841">
    <w:name w:val="Heading 6"/>
    <w:basedOn w:val="1008"/>
    <w:next w:val="1008"/>
    <w:link w:val="842"/>
    <w:uiPriority w:val="9"/>
    <w:unhideWhenUsed/>
    <w:qFormat/>
    <w:pPr>
      <w:keepLines/>
      <w:keepNext/>
      <w:spacing w:before="320" w:after="200"/>
      <w:outlineLvl w:val="5"/>
    </w:pPr>
    <w:rPr>
      <w:rFonts w:ascii="Arial" w:hAnsi="Arial" w:eastAsia="Arial" w:cs="Arial"/>
      <w:b/>
      <w:bCs/>
      <w:sz w:val="22"/>
      <w:szCs w:val="22"/>
    </w:rPr>
  </w:style>
  <w:style w:type="character" w:styleId="842">
    <w:name w:val="Heading 6 Char"/>
    <w:link w:val="841"/>
    <w:uiPriority w:val="9"/>
    <w:rPr>
      <w:rFonts w:ascii="Arial" w:hAnsi="Arial" w:eastAsia="Arial" w:cs="Arial"/>
      <w:b/>
      <w:bCs/>
      <w:sz w:val="22"/>
      <w:szCs w:val="22"/>
    </w:rPr>
  </w:style>
  <w:style w:type="paragraph" w:styleId="843">
    <w:name w:val="Heading 7"/>
    <w:basedOn w:val="1008"/>
    <w:next w:val="1008"/>
    <w:link w:val="844"/>
    <w:uiPriority w:val="9"/>
    <w:unhideWhenUsed/>
    <w:qFormat/>
    <w:pPr>
      <w:keepLines/>
      <w:keepNext/>
      <w:spacing w:before="320" w:after="200"/>
      <w:outlineLvl w:val="6"/>
    </w:pPr>
    <w:rPr>
      <w:rFonts w:ascii="Arial" w:hAnsi="Arial" w:eastAsia="Arial" w:cs="Arial"/>
      <w:b/>
      <w:bCs/>
      <w:i/>
      <w:iCs/>
      <w:sz w:val="22"/>
      <w:szCs w:val="22"/>
    </w:rPr>
  </w:style>
  <w:style w:type="character" w:styleId="844">
    <w:name w:val="Heading 7 Char"/>
    <w:link w:val="843"/>
    <w:uiPriority w:val="9"/>
    <w:rPr>
      <w:rFonts w:ascii="Arial" w:hAnsi="Arial" w:eastAsia="Arial" w:cs="Arial"/>
      <w:b/>
      <w:bCs/>
      <w:i/>
      <w:iCs/>
      <w:sz w:val="22"/>
      <w:szCs w:val="22"/>
    </w:rPr>
  </w:style>
  <w:style w:type="paragraph" w:styleId="845">
    <w:name w:val="Heading 8"/>
    <w:basedOn w:val="1008"/>
    <w:next w:val="1008"/>
    <w:link w:val="846"/>
    <w:uiPriority w:val="9"/>
    <w:unhideWhenUsed/>
    <w:qFormat/>
    <w:pPr>
      <w:keepLines/>
      <w:keepNext/>
      <w:spacing w:before="320" w:after="200"/>
      <w:outlineLvl w:val="7"/>
    </w:pPr>
    <w:rPr>
      <w:rFonts w:ascii="Arial" w:hAnsi="Arial" w:eastAsia="Arial" w:cs="Arial"/>
      <w:i/>
      <w:iCs/>
      <w:sz w:val="22"/>
      <w:szCs w:val="22"/>
    </w:rPr>
  </w:style>
  <w:style w:type="character" w:styleId="846">
    <w:name w:val="Heading 8 Char"/>
    <w:link w:val="845"/>
    <w:uiPriority w:val="9"/>
    <w:rPr>
      <w:rFonts w:ascii="Arial" w:hAnsi="Arial" w:eastAsia="Arial" w:cs="Arial"/>
      <w:i/>
      <w:iCs/>
      <w:sz w:val="22"/>
      <w:szCs w:val="22"/>
    </w:rPr>
  </w:style>
  <w:style w:type="paragraph" w:styleId="847">
    <w:name w:val="Heading 9"/>
    <w:basedOn w:val="1008"/>
    <w:next w:val="1008"/>
    <w:link w:val="848"/>
    <w:uiPriority w:val="9"/>
    <w:unhideWhenUsed/>
    <w:qFormat/>
    <w:pPr>
      <w:keepLines/>
      <w:keepNext/>
      <w:spacing w:before="320" w:after="200"/>
      <w:outlineLvl w:val="8"/>
    </w:pPr>
    <w:rPr>
      <w:rFonts w:ascii="Arial" w:hAnsi="Arial" w:eastAsia="Arial" w:cs="Arial"/>
      <w:i/>
      <w:iCs/>
      <w:sz w:val="21"/>
      <w:szCs w:val="21"/>
    </w:rPr>
  </w:style>
  <w:style w:type="character" w:styleId="848">
    <w:name w:val="Heading 9 Char"/>
    <w:link w:val="847"/>
    <w:uiPriority w:val="9"/>
    <w:rPr>
      <w:rFonts w:ascii="Arial" w:hAnsi="Arial" w:eastAsia="Arial" w:cs="Arial"/>
      <w:i/>
      <w:iCs/>
      <w:sz w:val="21"/>
      <w:szCs w:val="21"/>
    </w:rPr>
  </w:style>
  <w:style w:type="paragraph" w:styleId="849">
    <w:name w:val="No Spacing"/>
    <w:uiPriority w:val="1"/>
    <w:qFormat/>
    <w:pPr>
      <w:spacing w:before="0" w:after="0" w:line="240" w:lineRule="auto"/>
    </w:pPr>
  </w:style>
  <w:style w:type="paragraph" w:styleId="850">
    <w:name w:val="Title"/>
    <w:basedOn w:val="1008"/>
    <w:next w:val="1008"/>
    <w:link w:val="851"/>
    <w:uiPriority w:val="10"/>
    <w:qFormat/>
    <w:pPr>
      <w:contextualSpacing/>
      <w:spacing w:before="300" w:after="200"/>
    </w:pPr>
    <w:rPr>
      <w:sz w:val="48"/>
      <w:szCs w:val="48"/>
    </w:rPr>
  </w:style>
  <w:style w:type="character" w:styleId="851">
    <w:name w:val="Title Char"/>
    <w:link w:val="850"/>
    <w:uiPriority w:val="10"/>
    <w:rPr>
      <w:sz w:val="48"/>
      <w:szCs w:val="48"/>
    </w:rPr>
  </w:style>
  <w:style w:type="paragraph" w:styleId="852">
    <w:name w:val="Subtitle"/>
    <w:basedOn w:val="1008"/>
    <w:next w:val="1008"/>
    <w:link w:val="853"/>
    <w:uiPriority w:val="11"/>
    <w:qFormat/>
    <w:pPr>
      <w:spacing w:before="200" w:after="200"/>
    </w:pPr>
    <w:rPr>
      <w:sz w:val="24"/>
      <w:szCs w:val="24"/>
    </w:rPr>
  </w:style>
  <w:style w:type="character" w:styleId="853">
    <w:name w:val="Subtitle Char"/>
    <w:link w:val="852"/>
    <w:uiPriority w:val="11"/>
    <w:rPr>
      <w:sz w:val="24"/>
      <w:szCs w:val="24"/>
    </w:rPr>
  </w:style>
  <w:style w:type="paragraph" w:styleId="854">
    <w:name w:val="Quote"/>
    <w:basedOn w:val="1008"/>
    <w:next w:val="1008"/>
    <w:link w:val="855"/>
    <w:uiPriority w:val="29"/>
    <w:qFormat/>
    <w:pPr>
      <w:ind w:left="720" w:right="720"/>
    </w:pPr>
    <w:rPr>
      <w:i/>
    </w:rPr>
  </w:style>
  <w:style w:type="character" w:styleId="855">
    <w:name w:val="Quote Char"/>
    <w:link w:val="854"/>
    <w:uiPriority w:val="29"/>
    <w:rPr>
      <w:i/>
    </w:rPr>
  </w:style>
  <w:style w:type="paragraph" w:styleId="856">
    <w:name w:val="Intense Quote"/>
    <w:basedOn w:val="1008"/>
    <w:next w:val="1008"/>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paragraph" w:styleId="858">
    <w:name w:val="Header"/>
    <w:basedOn w:val="1008"/>
    <w:link w:val="859"/>
    <w:uiPriority w:val="99"/>
    <w:unhideWhenUsed/>
    <w:pPr>
      <w:spacing w:after="0" w:line="240" w:lineRule="auto"/>
      <w:tabs>
        <w:tab w:val="center" w:pos="7143" w:leader="none"/>
        <w:tab w:val="right" w:pos="14287" w:leader="none"/>
      </w:tabs>
    </w:pPr>
  </w:style>
  <w:style w:type="character" w:styleId="859">
    <w:name w:val="Header Char"/>
    <w:link w:val="858"/>
    <w:uiPriority w:val="99"/>
  </w:style>
  <w:style w:type="paragraph" w:styleId="860">
    <w:name w:val="Footer"/>
    <w:basedOn w:val="1008"/>
    <w:link w:val="863"/>
    <w:uiPriority w:val="99"/>
    <w:unhideWhenUsed/>
    <w:pPr>
      <w:spacing w:after="0" w:line="240" w:lineRule="auto"/>
      <w:tabs>
        <w:tab w:val="center" w:pos="7143" w:leader="none"/>
        <w:tab w:val="right" w:pos="14287" w:leader="none"/>
      </w:tabs>
    </w:pPr>
  </w:style>
  <w:style w:type="character" w:styleId="861">
    <w:name w:val="Footer Char"/>
    <w:link w:val="860"/>
    <w:uiPriority w:val="99"/>
  </w:style>
  <w:style w:type="paragraph" w:styleId="862">
    <w:name w:val="Caption"/>
    <w:basedOn w:val="1008"/>
    <w:next w:val="1008"/>
    <w:uiPriority w:val="35"/>
    <w:semiHidden/>
    <w:unhideWhenUsed/>
    <w:qFormat/>
    <w:pPr>
      <w:spacing w:line="276" w:lineRule="auto"/>
    </w:pPr>
    <w:rPr>
      <w:b/>
      <w:bCs/>
      <w:color w:val="4f81bd" w:themeColor="accent1"/>
      <w:sz w:val="18"/>
      <w:szCs w:val="18"/>
    </w:rPr>
  </w:style>
  <w:style w:type="character" w:styleId="863">
    <w:name w:val="Caption Char"/>
    <w:basedOn w:val="862"/>
    <w:link w:val="860"/>
    <w:uiPriority w:val="99"/>
  </w:style>
  <w:style w:type="table" w:styleId="8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Hyperlink"/>
    <w:uiPriority w:val="99"/>
    <w:unhideWhenUsed/>
    <w:rPr>
      <w:color w:val="0000ff" w:themeColor="hyperlink"/>
      <w:u w:val="single"/>
    </w:rPr>
  </w:style>
  <w:style w:type="paragraph" w:styleId="991">
    <w:name w:val="footnote text"/>
    <w:basedOn w:val="1008"/>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uiPriority w:val="99"/>
    <w:unhideWhenUsed/>
    <w:rPr>
      <w:vertAlign w:val="superscript"/>
    </w:rPr>
  </w:style>
  <w:style w:type="paragraph" w:styleId="994">
    <w:name w:val="endnote text"/>
    <w:basedOn w:val="1008"/>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uiPriority w:val="99"/>
    <w:semiHidden/>
    <w:unhideWhenUsed/>
    <w:rPr>
      <w:vertAlign w:val="superscript"/>
    </w:rPr>
  </w:style>
  <w:style w:type="paragraph" w:styleId="997">
    <w:name w:val="toc 1"/>
    <w:basedOn w:val="1008"/>
    <w:next w:val="1008"/>
    <w:uiPriority w:val="39"/>
    <w:unhideWhenUsed/>
    <w:pPr>
      <w:ind w:left="0" w:right="0" w:firstLine="0"/>
      <w:spacing w:after="57"/>
    </w:pPr>
  </w:style>
  <w:style w:type="paragraph" w:styleId="998">
    <w:name w:val="toc 2"/>
    <w:basedOn w:val="1008"/>
    <w:next w:val="1008"/>
    <w:uiPriority w:val="39"/>
    <w:unhideWhenUsed/>
    <w:pPr>
      <w:ind w:left="283" w:right="0" w:firstLine="0"/>
      <w:spacing w:after="57"/>
    </w:pPr>
  </w:style>
  <w:style w:type="paragraph" w:styleId="999">
    <w:name w:val="toc 3"/>
    <w:basedOn w:val="1008"/>
    <w:next w:val="1008"/>
    <w:uiPriority w:val="39"/>
    <w:unhideWhenUsed/>
    <w:pPr>
      <w:ind w:left="567" w:right="0" w:firstLine="0"/>
      <w:spacing w:after="57"/>
    </w:pPr>
  </w:style>
  <w:style w:type="paragraph" w:styleId="1000">
    <w:name w:val="toc 4"/>
    <w:basedOn w:val="1008"/>
    <w:next w:val="1008"/>
    <w:uiPriority w:val="39"/>
    <w:unhideWhenUsed/>
    <w:pPr>
      <w:ind w:left="850" w:right="0" w:firstLine="0"/>
      <w:spacing w:after="57"/>
    </w:pPr>
  </w:style>
  <w:style w:type="paragraph" w:styleId="1001">
    <w:name w:val="toc 5"/>
    <w:basedOn w:val="1008"/>
    <w:next w:val="1008"/>
    <w:uiPriority w:val="39"/>
    <w:unhideWhenUsed/>
    <w:pPr>
      <w:ind w:left="1134" w:right="0" w:firstLine="0"/>
      <w:spacing w:after="57"/>
    </w:pPr>
  </w:style>
  <w:style w:type="paragraph" w:styleId="1002">
    <w:name w:val="toc 6"/>
    <w:basedOn w:val="1008"/>
    <w:next w:val="1008"/>
    <w:uiPriority w:val="39"/>
    <w:unhideWhenUsed/>
    <w:pPr>
      <w:ind w:left="1417" w:right="0" w:firstLine="0"/>
      <w:spacing w:after="57"/>
    </w:pPr>
  </w:style>
  <w:style w:type="paragraph" w:styleId="1003">
    <w:name w:val="toc 7"/>
    <w:basedOn w:val="1008"/>
    <w:next w:val="1008"/>
    <w:uiPriority w:val="39"/>
    <w:unhideWhenUsed/>
    <w:pPr>
      <w:ind w:left="1701" w:right="0" w:firstLine="0"/>
      <w:spacing w:after="57"/>
    </w:pPr>
  </w:style>
  <w:style w:type="paragraph" w:styleId="1004">
    <w:name w:val="toc 8"/>
    <w:basedOn w:val="1008"/>
    <w:next w:val="1008"/>
    <w:uiPriority w:val="39"/>
    <w:unhideWhenUsed/>
    <w:pPr>
      <w:ind w:left="1984" w:right="0" w:firstLine="0"/>
      <w:spacing w:after="57"/>
    </w:pPr>
  </w:style>
  <w:style w:type="paragraph" w:styleId="1005">
    <w:name w:val="toc 9"/>
    <w:basedOn w:val="1008"/>
    <w:next w:val="1008"/>
    <w:uiPriority w:val="39"/>
    <w:unhideWhenUsed/>
    <w:pPr>
      <w:ind w:left="2268" w:right="0" w:firstLine="0"/>
      <w:spacing w:after="57"/>
    </w:pPr>
  </w:style>
  <w:style w:type="paragraph" w:styleId="1006">
    <w:name w:val="TOC Heading"/>
    <w:uiPriority w:val="39"/>
    <w:unhideWhenUsed/>
  </w:style>
  <w:style w:type="paragraph" w:styleId="1007">
    <w:name w:val="table of figures"/>
    <w:basedOn w:val="1008"/>
    <w:next w:val="1008"/>
    <w:uiPriority w:val="99"/>
    <w:unhideWhenUsed/>
    <w:pPr>
      <w:spacing w:after="0" w:afterAutospacing="0"/>
    </w:pPr>
  </w:style>
  <w:style w:type="paragraph" w:styleId="1008" w:default="1">
    <w:name w:val="Normal"/>
    <w:next w:val="1008"/>
    <w:link w:val="1008"/>
    <w:qFormat/>
    <w:rPr>
      <w:sz w:val="24"/>
      <w:lang w:val="en-US" w:eastAsia="zh-CN" w:bidi="ar-SA"/>
    </w:rPr>
  </w:style>
  <w:style w:type="paragraph" w:styleId="1009">
    <w:name w:val="标题 1"/>
    <w:basedOn w:val="1008"/>
    <w:next w:val="1008"/>
    <w:link w:val="1020"/>
    <w:qFormat/>
    <w:pPr>
      <w:keepLines/>
      <w:keepNext/>
      <w:spacing w:after="100" w:line="360" w:lineRule="auto"/>
      <w:outlineLvl w:val="0"/>
    </w:pPr>
    <w:rPr>
      <w:b/>
      <w:sz w:val="28"/>
    </w:rPr>
  </w:style>
  <w:style w:type="paragraph" w:styleId="1010">
    <w:name w:val="标题 2"/>
    <w:basedOn w:val="1008"/>
    <w:next w:val="1008"/>
    <w:link w:val="1021"/>
    <w:qFormat/>
    <w:pPr>
      <w:ind w:left="1012" w:hanging="750"/>
      <w:jc w:val="both"/>
      <w:keepLines/>
      <w:keepNext/>
      <w:spacing w:before="260" w:after="260" w:line="416" w:lineRule="auto"/>
      <w:widowControl w:val="off"/>
      <w:tabs>
        <w:tab w:val="left" w:pos="576" w:leader="none"/>
        <w:tab w:val="left" w:pos="1012" w:leader="none"/>
      </w:tabs>
      <w:outlineLvl w:val="1"/>
    </w:pPr>
    <w:rPr>
      <w:rFonts w:ascii="Arial" w:hAnsi="Arial" w:eastAsia="黑体"/>
      <w:b/>
      <w:bCs/>
      <w:sz w:val="32"/>
      <w:szCs w:val="32"/>
    </w:rPr>
  </w:style>
  <w:style w:type="paragraph" w:styleId="1011">
    <w:name w:val="标题 3"/>
    <w:basedOn w:val="1008"/>
    <w:next w:val="1008"/>
    <w:link w:val="1022"/>
    <w:qFormat/>
    <w:pPr>
      <w:jc w:val="both"/>
      <w:keepLines/>
      <w:keepNext/>
      <w:spacing w:before="260" w:beforeAutospacing="0" w:after="260" w:afterAutospacing="0" w:line="415" w:lineRule="auto"/>
      <w:widowControl w:val="off"/>
      <w:outlineLvl w:val="2"/>
    </w:pPr>
    <w:rPr>
      <w:b/>
      <w:sz w:val="32"/>
    </w:rPr>
  </w:style>
  <w:style w:type="paragraph" w:styleId="1012">
    <w:name w:val="标题 4"/>
    <w:basedOn w:val="1008"/>
    <w:next w:val="1008"/>
    <w:link w:val="1023"/>
    <w:qFormat/>
    <w:pPr>
      <w:ind w:left="1536" w:hanging="750"/>
      <w:jc w:val="both"/>
      <w:keepLines/>
      <w:keepNext/>
      <w:spacing w:before="280" w:after="290" w:line="376" w:lineRule="auto"/>
      <w:widowControl w:val="off"/>
      <w:tabs>
        <w:tab w:val="left" w:pos="864" w:leader="none"/>
        <w:tab w:val="left" w:pos="1536" w:leader="none"/>
      </w:tabs>
      <w:outlineLvl w:val="3"/>
    </w:pPr>
    <w:rPr>
      <w:rFonts w:ascii="Arial" w:hAnsi="Arial" w:eastAsia="黑体"/>
      <w:b/>
      <w:bCs/>
      <w:sz w:val="28"/>
      <w:szCs w:val="28"/>
    </w:rPr>
  </w:style>
  <w:style w:type="paragraph" w:styleId="1013">
    <w:name w:val="标题 5"/>
    <w:basedOn w:val="1008"/>
    <w:next w:val="1008"/>
    <w:link w:val="1024"/>
    <w:qFormat/>
    <w:pPr>
      <w:ind w:left="1798" w:hanging="750"/>
      <w:jc w:val="both"/>
      <w:keepLines/>
      <w:keepNext/>
      <w:spacing w:before="280" w:after="290" w:line="376" w:lineRule="auto"/>
      <w:widowControl w:val="off"/>
      <w:tabs>
        <w:tab w:val="left" w:pos="1008" w:leader="none"/>
        <w:tab w:val="left" w:pos="1798" w:leader="none"/>
      </w:tabs>
      <w:outlineLvl w:val="4"/>
    </w:pPr>
    <w:rPr>
      <w:b/>
      <w:bCs/>
      <w:sz w:val="28"/>
      <w:szCs w:val="28"/>
    </w:rPr>
  </w:style>
  <w:style w:type="paragraph" w:styleId="1014">
    <w:name w:val="标题 6"/>
    <w:basedOn w:val="1008"/>
    <w:next w:val="1008"/>
    <w:link w:val="1025"/>
    <w:qFormat/>
    <w:pPr>
      <w:ind w:left="2060" w:hanging="750"/>
      <w:jc w:val="both"/>
      <w:keepLines/>
      <w:keepNext/>
      <w:spacing w:before="240" w:after="64" w:line="320" w:lineRule="auto"/>
      <w:widowControl w:val="off"/>
      <w:tabs>
        <w:tab w:val="left" w:pos="1152" w:leader="none"/>
        <w:tab w:val="left" w:pos="2060" w:leader="none"/>
      </w:tabs>
      <w:outlineLvl w:val="5"/>
    </w:pPr>
    <w:rPr>
      <w:rFonts w:ascii="Arial" w:hAnsi="Arial" w:eastAsia="黑体"/>
      <w:b/>
      <w:bCs/>
      <w:szCs w:val="24"/>
    </w:rPr>
  </w:style>
  <w:style w:type="paragraph" w:styleId="1015">
    <w:name w:val="标题 7"/>
    <w:basedOn w:val="1008"/>
    <w:next w:val="1008"/>
    <w:link w:val="1026"/>
    <w:qFormat/>
    <w:pPr>
      <w:ind w:left="2322" w:hanging="750"/>
      <w:jc w:val="both"/>
      <w:keepLines/>
      <w:keepNext/>
      <w:spacing w:before="240" w:after="64" w:line="320" w:lineRule="auto"/>
      <w:widowControl w:val="off"/>
      <w:tabs>
        <w:tab w:val="left" w:pos="1296" w:leader="none"/>
        <w:tab w:val="left" w:pos="2322" w:leader="none"/>
      </w:tabs>
      <w:outlineLvl w:val="6"/>
    </w:pPr>
    <w:rPr>
      <w:b/>
      <w:bCs/>
      <w:szCs w:val="24"/>
    </w:rPr>
  </w:style>
  <w:style w:type="paragraph" w:styleId="1016">
    <w:name w:val="标题 8"/>
    <w:basedOn w:val="1008"/>
    <w:next w:val="1008"/>
    <w:link w:val="1027"/>
    <w:qFormat/>
    <w:pPr>
      <w:ind w:left="2584" w:hanging="750"/>
      <w:jc w:val="both"/>
      <w:keepLines/>
      <w:keepNext/>
      <w:spacing w:before="240" w:after="64" w:line="320" w:lineRule="auto"/>
      <w:widowControl w:val="off"/>
      <w:tabs>
        <w:tab w:val="left" w:pos="1440" w:leader="none"/>
        <w:tab w:val="left" w:pos="2584" w:leader="none"/>
      </w:tabs>
      <w:outlineLvl w:val="7"/>
    </w:pPr>
    <w:rPr>
      <w:rFonts w:ascii="Arial" w:hAnsi="Arial" w:eastAsia="黑体"/>
      <w:szCs w:val="24"/>
    </w:rPr>
  </w:style>
  <w:style w:type="paragraph" w:styleId="1017">
    <w:name w:val="标题 9"/>
    <w:basedOn w:val="1008"/>
    <w:next w:val="1008"/>
    <w:link w:val="1028"/>
    <w:qFormat/>
    <w:pPr>
      <w:ind w:left="2846" w:hanging="750"/>
      <w:jc w:val="both"/>
      <w:keepLines/>
      <w:keepNext/>
      <w:spacing w:before="240" w:after="64" w:line="320" w:lineRule="auto"/>
      <w:widowControl w:val="off"/>
      <w:tabs>
        <w:tab w:val="left" w:pos="1584" w:leader="none"/>
        <w:tab w:val="left" w:pos="2846" w:leader="none"/>
      </w:tabs>
      <w:outlineLvl w:val="8"/>
    </w:pPr>
    <w:rPr>
      <w:rFonts w:ascii="Arial" w:hAnsi="Arial" w:eastAsia="黑体"/>
      <w:sz w:val="21"/>
      <w:szCs w:val="21"/>
    </w:rPr>
  </w:style>
  <w:style w:type="character" w:styleId="1018">
    <w:name w:val="默认段落字体"/>
    <w:next w:val="1018"/>
    <w:link w:val="1008"/>
    <w:semiHidden/>
  </w:style>
  <w:style w:type="table" w:styleId="1019">
    <w:name w:val="普通表格"/>
    <w:next w:val="1019"/>
    <w:link w:val="1008"/>
    <w:uiPriority w:val="99"/>
    <w:unhideWhenUsed/>
    <w:tblPr/>
  </w:style>
  <w:style w:type="character" w:styleId="1020">
    <w:name w:val="标题 1 字符"/>
    <w:next w:val="1020"/>
    <w:link w:val="1009"/>
    <w:rPr>
      <w:rFonts w:eastAsia="宋体"/>
      <w:b/>
      <w:sz w:val="28"/>
    </w:rPr>
  </w:style>
  <w:style w:type="character" w:styleId="1021">
    <w:name w:val="标题 2 字符"/>
    <w:next w:val="1021"/>
    <w:link w:val="1010"/>
    <w:rPr>
      <w:rFonts w:ascii="Arial" w:hAnsi="Arial" w:eastAsia="黑体"/>
      <w:b/>
      <w:bCs/>
      <w:sz w:val="32"/>
      <w:szCs w:val="32"/>
    </w:rPr>
  </w:style>
  <w:style w:type="character" w:styleId="1022">
    <w:name w:val="标题 3 字符"/>
    <w:next w:val="1022"/>
    <w:link w:val="1011"/>
    <w:rPr>
      <w:b/>
      <w:sz w:val="32"/>
    </w:rPr>
  </w:style>
  <w:style w:type="character" w:styleId="1023">
    <w:name w:val="标题 4 字符"/>
    <w:next w:val="1023"/>
    <w:link w:val="1012"/>
    <w:rPr>
      <w:rFonts w:ascii="Arial" w:hAnsi="Arial" w:eastAsia="黑体"/>
      <w:b/>
      <w:bCs/>
      <w:sz w:val="28"/>
      <w:szCs w:val="28"/>
    </w:rPr>
  </w:style>
  <w:style w:type="character" w:styleId="1024">
    <w:name w:val="标题 5 字符"/>
    <w:next w:val="1024"/>
    <w:link w:val="1013"/>
    <w:rPr>
      <w:b/>
      <w:bCs/>
      <w:sz w:val="28"/>
      <w:szCs w:val="28"/>
    </w:rPr>
  </w:style>
  <w:style w:type="character" w:styleId="1025">
    <w:name w:val="标题 6 字符"/>
    <w:next w:val="1025"/>
    <w:link w:val="1014"/>
    <w:rPr>
      <w:rFonts w:ascii="Arial" w:hAnsi="Arial" w:eastAsia="黑体"/>
      <w:b/>
      <w:bCs/>
      <w:sz w:val="24"/>
      <w:szCs w:val="24"/>
    </w:rPr>
  </w:style>
  <w:style w:type="character" w:styleId="1026">
    <w:name w:val="标题 7 字符"/>
    <w:next w:val="1026"/>
    <w:link w:val="1015"/>
    <w:rPr>
      <w:b/>
      <w:bCs/>
      <w:sz w:val="24"/>
      <w:szCs w:val="24"/>
    </w:rPr>
  </w:style>
  <w:style w:type="character" w:styleId="1027">
    <w:name w:val="标题 8 字符"/>
    <w:next w:val="1027"/>
    <w:link w:val="1016"/>
    <w:rPr>
      <w:rFonts w:ascii="Arial" w:hAnsi="Arial" w:eastAsia="黑体"/>
      <w:sz w:val="24"/>
      <w:szCs w:val="24"/>
    </w:rPr>
  </w:style>
  <w:style w:type="character" w:styleId="1028">
    <w:name w:val="标题 9 字符"/>
    <w:next w:val="1028"/>
    <w:link w:val="1017"/>
    <w:rPr>
      <w:rFonts w:ascii="Arial" w:hAnsi="Arial" w:eastAsia="黑体"/>
      <w:sz w:val="21"/>
      <w:szCs w:val="21"/>
    </w:rPr>
  </w:style>
  <w:style w:type="paragraph" w:styleId="1029">
    <w:name w:val="目录 7"/>
    <w:basedOn w:val="1008"/>
    <w:next w:val="1008"/>
    <w:link w:val="1008"/>
    <w:uiPriority w:val="39"/>
    <w:unhideWhenUsed/>
    <w:pPr>
      <w:ind w:left="2520"/>
      <w:jc w:val="both"/>
      <w:widowControl w:val="off"/>
    </w:pPr>
    <w:rPr>
      <w:rFonts w:ascii="Calibri" w:hAnsi="Calibri" w:eastAsia="宋体" w:cs="Times New Roman"/>
      <w:sz w:val="21"/>
      <w:szCs w:val="22"/>
    </w:rPr>
  </w:style>
  <w:style w:type="paragraph" w:styleId="1030">
    <w:name w:val="正文缩进"/>
    <w:basedOn w:val="1008"/>
    <w:next w:val="1008"/>
    <w:link w:val="1031"/>
    <w:pPr>
      <w:ind w:firstLine="420"/>
      <w:jc w:val="left"/>
    </w:pPr>
    <w:rPr>
      <w:rFonts w:eastAsia="楷体_GB2312"/>
    </w:rPr>
  </w:style>
  <w:style w:type="character" w:styleId="1031">
    <w:name w:val="正文缩进 字符"/>
    <w:next w:val="1031"/>
    <w:link w:val="1030"/>
    <w:rPr>
      <w:rFonts w:eastAsia="楷体_GB2312"/>
      <w:sz w:val="24"/>
    </w:rPr>
  </w:style>
  <w:style w:type="paragraph" w:styleId="1032">
    <w:name w:val="题注"/>
    <w:basedOn w:val="1008"/>
    <w:next w:val="1008"/>
    <w:link w:val="1008"/>
    <w:qFormat/>
    <w:pPr>
      <w:ind w:left="4815"/>
      <w:jc w:val="center"/>
      <w:spacing w:line="360" w:lineRule="auto"/>
      <w:widowControl w:val="off"/>
    </w:pPr>
    <w:rPr>
      <w:rFonts w:ascii="Arial Unicode MS" w:hAnsi="Arial Unicode MS" w:cs="宋体"/>
      <w:sz w:val="21"/>
    </w:rPr>
  </w:style>
  <w:style w:type="paragraph" w:styleId="1033">
    <w:name w:val="文档结构图"/>
    <w:basedOn w:val="1008"/>
    <w:next w:val="1033"/>
    <w:link w:val="1034"/>
    <w:semiHidden/>
    <w:pPr>
      <w:shd w:val="clear" w:color="auto" w:fill="000080"/>
    </w:pPr>
  </w:style>
  <w:style w:type="character" w:styleId="1034">
    <w:name w:val="文档结构图 字符"/>
    <w:next w:val="1034"/>
    <w:link w:val="1033"/>
    <w:semiHidden/>
    <w:rPr>
      <w:sz w:val="24"/>
      <w:shd w:val="clear" w:color="auto" w:fill="000080"/>
    </w:rPr>
  </w:style>
  <w:style w:type="paragraph" w:styleId="1035">
    <w:name w:val="批注文字"/>
    <w:basedOn w:val="1008"/>
    <w:next w:val="1035"/>
    <w:link w:val="1036"/>
  </w:style>
  <w:style w:type="character" w:styleId="1036">
    <w:name w:val="批注文字 字符"/>
    <w:next w:val="1036"/>
    <w:link w:val="1035"/>
    <w:rPr>
      <w:sz w:val="24"/>
    </w:rPr>
  </w:style>
  <w:style w:type="paragraph" w:styleId="1037">
    <w:name w:val="正文文本 3"/>
    <w:basedOn w:val="1008"/>
    <w:next w:val="1037"/>
    <w:link w:val="1038"/>
    <w:pPr>
      <w:spacing w:after="120"/>
    </w:pPr>
    <w:rPr>
      <w:sz w:val="16"/>
      <w:szCs w:val="16"/>
    </w:rPr>
  </w:style>
  <w:style w:type="character" w:styleId="1038">
    <w:name w:val="正文文本 3 字符"/>
    <w:next w:val="1038"/>
    <w:link w:val="1037"/>
    <w:rPr>
      <w:sz w:val="16"/>
      <w:szCs w:val="16"/>
    </w:rPr>
  </w:style>
  <w:style w:type="paragraph" w:styleId="1039">
    <w:name w:val="正文文本"/>
    <w:basedOn w:val="1008"/>
    <w:next w:val="1008"/>
    <w:link w:val="1040"/>
  </w:style>
  <w:style w:type="character" w:styleId="1040">
    <w:name w:val="正文文本 字符"/>
    <w:next w:val="1040"/>
    <w:link w:val="1039"/>
    <w:rPr>
      <w:sz w:val="24"/>
    </w:rPr>
  </w:style>
  <w:style w:type="paragraph" w:styleId="1041">
    <w:name w:val="正文文本缩进"/>
    <w:basedOn w:val="1008"/>
    <w:next w:val="1043"/>
    <w:link w:val="1042"/>
    <w:pPr>
      <w:ind w:firstLine="425"/>
      <w:spacing w:line="360" w:lineRule="auto"/>
    </w:pPr>
  </w:style>
  <w:style w:type="character" w:styleId="1042">
    <w:name w:val="正文文本缩进 字符"/>
    <w:next w:val="1042"/>
    <w:link w:val="1041"/>
    <w:rPr>
      <w:sz w:val="24"/>
    </w:rPr>
  </w:style>
  <w:style w:type="paragraph" w:styleId="1043">
    <w:name w:val="寄信人地址"/>
    <w:basedOn w:val="1008"/>
    <w:next w:val="1043"/>
    <w:link w:val="1008"/>
    <w:qFormat/>
    <w:rPr>
      <w:rFonts w:ascii="Arial" w:hAnsi="Arial"/>
    </w:rPr>
  </w:style>
  <w:style w:type="paragraph" w:styleId="1044">
    <w:name w:val="文本块"/>
    <w:basedOn w:val="1008"/>
    <w:next w:val="1044"/>
    <w:link w:val="1008"/>
    <w:pPr>
      <w:ind w:left="630" w:right="-609" w:firstLine="420"/>
      <w:spacing w:line="360" w:lineRule="auto"/>
    </w:pPr>
    <w:rPr>
      <w:rFonts w:hint="eastAsia" w:ascii="仿宋_GB2312" w:eastAsia="仿宋_GB2312"/>
    </w:rPr>
  </w:style>
  <w:style w:type="paragraph" w:styleId="1045">
    <w:name w:val="目录 5"/>
    <w:basedOn w:val="1008"/>
    <w:next w:val="1008"/>
    <w:link w:val="1008"/>
    <w:uiPriority w:val="39"/>
    <w:unhideWhenUsed/>
    <w:pPr>
      <w:ind w:left="1680"/>
      <w:jc w:val="both"/>
      <w:widowControl w:val="off"/>
    </w:pPr>
    <w:rPr>
      <w:rFonts w:ascii="Calibri" w:hAnsi="Calibri" w:eastAsia="宋体" w:cs="Times New Roman"/>
      <w:sz w:val="21"/>
      <w:szCs w:val="22"/>
    </w:rPr>
  </w:style>
  <w:style w:type="paragraph" w:styleId="1046">
    <w:name w:val="目录 3"/>
    <w:basedOn w:val="1008"/>
    <w:next w:val="1008"/>
    <w:link w:val="1008"/>
    <w:uiPriority w:val="39"/>
    <w:qFormat/>
    <w:pPr>
      <w:ind w:left="840"/>
    </w:pPr>
  </w:style>
  <w:style w:type="paragraph" w:styleId="1047">
    <w:name w:val="纯文本"/>
    <w:basedOn w:val="1008"/>
    <w:next w:val="1047"/>
    <w:link w:val="1048"/>
    <w:qFormat/>
    <w:rPr>
      <w:rFonts w:ascii="宋体" w:hAnsi="Courier New" w:eastAsia="楷体_GB2312"/>
      <w:sz w:val="26"/>
    </w:rPr>
  </w:style>
  <w:style w:type="character" w:styleId="1048">
    <w:name w:val="纯文本 字符"/>
    <w:next w:val="1048"/>
    <w:link w:val="1047"/>
    <w:qFormat/>
    <w:rPr>
      <w:rFonts w:ascii="宋体" w:hAnsi="Courier New" w:eastAsia="楷体_GB2312"/>
      <w:sz w:val="26"/>
      <w:lang w:val="en-US" w:eastAsia="zh-CN" w:bidi="ar-SA"/>
    </w:rPr>
  </w:style>
  <w:style w:type="paragraph" w:styleId="1049">
    <w:name w:val="目录 8"/>
    <w:basedOn w:val="1008"/>
    <w:next w:val="1008"/>
    <w:link w:val="1008"/>
    <w:uiPriority w:val="39"/>
    <w:unhideWhenUsed/>
    <w:pPr>
      <w:ind w:left="2940"/>
      <w:jc w:val="both"/>
      <w:widowControl w:val="off"/>
    </w:pPr>
    <w:rPr>
      <w:rFonts w:ascii="Calibri" w:hAnsi="Calibri" w:eastAsia="宋体" w:cs="Times New Roman"/>
      <w:sz w:val="21"/>
      <w:szCs w:val="22"/>
    </w:rPr>
  </w:style>
  <w:style w:type="paragraph" w:styleId="1050">
    <w:name w:val="日期"/>
    <w:basedOn w:val="1008"/>
    <w:next w:val="1008"/>
    <w:link w:val="1051"/>
    <w:rPr>
      <w:rFonts w:ascii="宋体" w:hAnsi="宋体" w:eastAsia="楷体_GB2312"/>
    </w:rPr>
  </w:style>
  <w:style w:type="character" w:styleId="1051">
    <w:name w:val="日期 字符"/>
    <w:next w:val="1051"/>
    <w:link w:val="1050"/>
    <w:rPr>
      <w:rFonts w:ascii="宋体" w:hAnsi="宋体" w:eastAsia="楷体_GB2312"/>
      <w:sz w:val="24"/>
    </w:rPr>
  </w:style>
  <w:style w:type="paragraph" w:styleId="1052">
    <w:name w:val="正文文本缩进 2"/>
    <w:basedOn w:val="1008"/>
    <w:next w:val="1052"/>
    <w:link w:val="1053"/>
    <w:pPr>
      <w:ind w:left="420"/>
      <w:spacing w:after="120" w:afterAutospacing="0" w:line="480" w:lineRule="auto"/>
    </w:pPr>
  </w:style>
  <w:style w:type="character" w:styleId="1053">
    <w:name w:val="正文文本缩进 2 字符"/>
    <w:next w:val="1053"/>
    <w:link w:val="1052"/>
    <w:rPr>
      <w:sz w:val="24"/>
    </w:rPr>
  </w:style>
  <w:style w:type="paragraph" w:styleId="1054">
    <w:name w:val="批注框文本"/>
    <w:basedOn w:val="1008"/>
    <w:next w:val="1054"/>
    <w:link w:val="1055"/>
    <w:rPr>
      <w:sz w:val="18"/>
    </w:rPr>
  </w:style>
  <w:style w:type="character" w:styleId="1055">
    <w:name w:val="批注框文本 字符"/>
    <w:next w:val="1055"/>
    <w:link w:val="1054"/>
    <w:rPr>
      <w:sz w:val="18"/>
    </w:rPr>
  </w:style>
  <w:style w:type="paragraph" w:styleId="1056">
    <w:name w:val="页脚"/>
    <w:basedOn w:val="1008"/>
    <w:next w:val="1056"/>
    <w:link w:val="1057"/>
    <w:uiPriority w:val="99"/>
    <w:pPr>
      <w:jc w:val="left"/>
      <w:tabs>
        <w:tab w:val="center" w:pos="4153" w:leader="none"/>
        <w:tab w:val="right" w:pos="8306" w:leader="none"/>
      </w:tabs>
    </w:pPr>
    <w:rPr>
      <w:rFonts w:eastAsia="楷体_GB2312"/>
      <w:sz w:val="18"/>
    </w:rPr>
  </w:style>
  <w:style w:type="character" w:styleId="1057">
    <w:name w:val="页脚 字符"/>
    <w:next w:val="1057"/>
    <w:link w:val="1056"/>
    <w:uiPriority w:val="99"/>
    <w:rPr>
      <w:rFonts w:eastAsia="楷体_GB2312"/>
      <w:sz w:val="18"/>
    </w:rPr>
  </w:style>
  <w:style w:type="paragraph" w:styleId="1058">
    <w:name w:val="页眉"/>
    <w:basedOn w:val="1008"/>
    <w:next w:val="1058"/>
    <w:link w:val="1059"/>
    <w:pPr>
      <w:jc w:val="center"/>
      <w:tabs>
        <w:tab w:val="center" w:pos="4153" w:leader="none"/>
        <w:tab w:val="right" w:pos="8306" w:leader="none"/>
      </w:tabs>
      <w:pBdr>
        <w:bottom w:val="single" w:color="000000" w:sz="6" w:space="1"/>
      </w:pBdr>
    </w:pPr>
    <w:rPr>
      <w:rFonts w:eastAsia="楷体_GB2312"/>
      <w:sz w:val="18"/>
    </w:rPr>
  </w:style>
  <w:style w:type="character" w:styleId="1059">
    <w:name w:val="页眉 字符"/>
    <w:next w:val="1059"/>
    <w:link w:val="1058"/>
    <w:rPr>
      <w:rFonts w:eastAsia="楷体_GB2312"/>
      <w:sz w:val="18"/>
    </w:rPr>
  </w:style>
  <w:style w:type="paragraph" w:styleId="1060">
    <w:name w:val="目录 1"/>
    <w:basedOn w:val="1008"/>
    <w:next w:val="1008"/>
    <w:link w:val="1008"/>
    <w:uiPriority w:val="39"/>
    <w:qFormat/>
    <w:pPr>
      <w:jc w:val="left"/>
      <w:spacing w:line="360" w:lineRule="auto"/>
    </w:pPr>
    <w:rPr>
      <w:rFonts w:ascii="Times New Roman" w:hAnsi="Times New Roman" w:eastAsia="宋体"/>
      <w:sz w:val="32"/>
    </w:rPr>
  </w:style>
  <w:style w:type="paragraph" w:styleId="1061">
    <w:name w:val="目录 4"/>
    <w:basedOn w:val="1008"/>
    <w:next w:val="1008"/>
    <w:link w:val="1008"/>
    <w:uiPriority w:val="39"/>
    <w:unhideWhenUsed/>
    <w:pPr>
      <w:ind w:left="1260"/>
      <w:jc w:val="both"/>
      <w:widowControl w:val="off"/>
    </w:pPr>
    <w:rPr>
      <w:rFonts w:ascii="Calibri" w:hAnsi="Calibri" w:eastAsia="宋体" w:cs="Times New Roman"/>
      <w:sz w:val="21"/>
      <w:szCs w:val="22"/>
    </w:rPr>
  </w:style>
  <w:style w:type="paragraph" w:styleId="1062">
    <w:name w:val="目录 6"/>
    <w:basedOn w:val="1008"/>
    <w:next w:val="1008"/>
    <w:link w:val="1008"/>
    <w:uiPriority w:val="39"/>
    <w:unhideWhenUsed/>
    <w:pPr>
      <w:ind w:left="2100"/>
      <w:jc w:val="both"/>
      <w:widowControl w:val="off"/>
    </w:pPr>
    <w:rPr>
      <w:rFonts w:ascii="Calibri" w:hAnsi="Calibri" w:eastAsia="宋体" w:cs="Times New Roman"/>
      <w:sz w:val="21"/>
      <w:szCs w:val="22"/>
    </w:rPr>
  </w:style>
  <w:style w:type="paragraph" w:styleId="1063">
    <w:name w:val="正文文本缩进 3"/>
    <w:basedOn w:val="1008"/>
    <w:next w:val="1063"/>
    <w:link w:val="1064"/>
    <w:pPr>
      <w:ind w:left="420"/>
      <w:spacing w:after="120" w:afterAutospacing="0"/>
    </w:pPr>
    <w:rPr>
      <w:sz w:val="16"/>
    </w:rPr>
  </w:style>
  <w:style w:type="character" w:styleId="1064">
    <w:name w:val="正文文本缩进 3 字符"/>
    <w:next w:val="1064"/>
    <w:link w:val="1063"/>
    <w:rPr>
      <w:sz w:val="16"/>
    </w:rPr>
  </w:style>
  <w:style w:type="paragraph" w:styleId="1065">
    <w:name w:val="目录 2"/>
    <w:basedOn w:val="1008"/>
    <w:next w:val="1008"/>
    <w:link w:val="1008"/>
    <w:uiPriority w:val="39"/>
    <w:qFormat/>
    <w:pPr>
      <w:jc w:val="both"/>
      <w:spacing w:before="156" w:after="156"/>
      <w:widowControl w:val="off"/>
      <w:tabs>
        <w:tab w:val="left" w:pos="840" w:leader="none"/>
        <w:tab w:val="right" w:pos="9344" w:leader="dot"/>
      </w:tabs>
    </w:pPr>
    <w:rPr>
      <w:sz w:val="21"/>
      <w:szCs w:val="24"/>
    </w:rPr>
  </w:style>
  <w:style w:type="paragraph" w:styleId="1066">
    <w:name w:val="目录 9"/>
    <w:basedOn w:val="1008"/>
    <w:next w:val="1008"/>
    <w:link w:val="1008"/>
    <w:uiPriority w:val="39"/>
    <w:unhideWhenUsed/>
    <w:pPr>
      <w:ind w:left="3360"/>
      <w:jc w:val="both"/>
      <w:widowControl w:val="off"/>
    </w:pPr>
    <w:rPr>
      <w:rFonts w:ascii="Calibri" w:hAnsi="Calibri" w:eastAsia="宋体" w:cs="Times New Roman"/>
      <w:sz w:val="21"/>
      <w:szCs w:val="22"/>
    </w:rPr>
  </w:style>
  <w:style w:type="paragraph" w:styleId="1067">
    <w:name w:val="正文文本 2"/>
    <w:basedOn w:val="1008"/>
    <w:next w:val="1067"/>
    <w:link w:val="1068"/>
    <w:pPr>
      <w:spacing w:after="120" w:afterAutospacing="0" w:line="480" w:lineRule="auto"/>
    </w:pPr>
  </w:style>
  <w:style w:type="character" w:styleId="1068">
    <w:name w:val="正文文本 2 字符"/>
    <w:next w:val="1068"/>
    <w:link w:val="1067"/>
    <w:rPr>
      <w:sz w:val="24"/>
    </w:rPr>
  </w:style>
  <w:style w:type="paragraph" w:styleId="1069">
    <w:name w:val="HTML 预设格式"/>
    <w:basedOn w:val="1008"/>
    <w:next w:val="1069"/>
    <w:link w:val="100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paragraph" w:styleId="1070">
    <w:name w:val="普通(网站)"/>
    <w:basedOn w:val="1008"/>
    <w:next w:val="1070"/>
    <w:link w:val="1008"/>
    <w:uiPriority w:val="99"/>
    <w:qFormat/>
    <w:pPr>
      <w:jc w:val="left"/>
      <w:spacing w:before="100" w:beforeAutospacing="1" w:after="100" w:afterAutospacing="1"/>
      <w:widowControl/>
    </w:pPr>
    <w:rPr>
      <w:rFonts w:ascii="宋体" w:hAnsi="宋体"/>
      <w:sz w:val="24"/>
    </w:rPr>
  </w:style>
  <w:style w:type="paragraph" w:styleId="1071">
    <w:name w:val="索引 1"/>
    <w:basedOn w:val="1008"/>
    <w:next w:val="1008"/>
    <w:link w:val="1008"/>
    <w:semiHidden/>
    <w:pPr>
      <w:jc w:val="both"/>
      <w:spacing w:line="280" w:lineRule="exact"/>
      <w:widowControl w:val="off"/>
    </w:pPr>
    <w:rPr>
      <w:color w:val="ff0000"/>
      <w:sz w:val="21"/>
      <w:szCs w:val="24"/>
    </w:rPr>
  </w:style>
  <w:style w:type="paragraph" w:styleId="1072">
    <w:name w:val="批注主题"/>
    <w:basedOn w:val="1035"/>
    <w:next w:val="1035"/>
    <w:link w:val="1073"/>
    <w:rPr>
      <w:b/>
      <w:bCs/>
    </w:rPr>
  </w:style>
  <w:style w:type="character" w:styleId="1073">
    <w:name w:val="批注主题 字符"/>
    <w:next w:val="1073"/>
    <w:link w:val="1072"/>
    <w:rPr>
      <w:b/>
      <w:bCs/>
      <w:sz w:val="24"/>
    </w:rPr>
  </w:style>
  <w:style w:type="table" w:styleId="1074">
    <w:name w:val="网格型"/>
    <w:basedOn w:val="1019"/>
    <w:next w:val="1074"/>
    <w:link w:val="1008"/>
    <w:unhideWhenUsed/>
    <w:qFormat/>
    <w:tblPr/>
  </w:style>
  <w:style w:type="character" w:styleId="1075">
    <w:name w:val="要点"/>
    <w:basedOn w:val="1018"/>
    <w:next w:val="1075"/>
    <w:link w:val="1008"/>
    <w:qFormat/>
    <w:rPr>
      <w:rFonts w:cs="Times New Roman"/>
      <w:b/>
      <w:bCs/>
    </w:rPr>
  </w:style>
  <w:style w:type="character" w:styleId="1076">
    <w:name w:val="页码"/>
    <w:next w:val="1076"/>
    <w:link w:val="1008"/>
  </w:style>
  <w:style w:type="character" w:styleId="1077">
    <w:name w:val="已访问的超链接"/>
    <w:next w:val="1077"/>
    <w:link w:val="1008"/>
    <w:uiPriority w:val="99"/>
    <w:rPr>
      <w:color w:val="800080"/>
      <w:u w:val="none"/>
    </w:rPr>
  </w:style>
  <w:style w:type="character" w:styleId="1078">
    <w:name w:val="强调"/>
    <w:basedOn w:val="1018"/>
    <w:next w:val="1078"/>
    <w:link w:val="1008"/>
    <w:qFormat/>
    <w:rPr>
      <w:i w:val="0"/>
    </w:rPr>
  </w:style>
  <w:style w:type="character" w:styleId="1079">
    <w:name w:val="HTML 定义"/>
    <w:next w:val="1079"/>
    <w:link w:val="1008"/>
    <w:rPr>
      <w:b w:val="0"/>
      <w:i w:val="0"/>
    </w:rPr>
  </w:style>
  <w:style w:type="character" w:styleId="1080">
    <w:name w:val="HTML 变量"/>
    <w:next w:val="1080"/>
    <w:link w:val="1008"/>
    <w:rPr>
      <w:b w:val="0"/>
      <w:i w:val="0"/>
    </w:rPr>
  </w:style>
  <w:style w:type="character" w:styleId="1081">
    <w:name w:val="超链接"/>
    <w:next w:val="1081"/>
    <w:link w:val="1008"/>
    <w:uiPriority w:val="99"/>
    <w:rPr>
      <w:color w:val="0000ff"/>
      <w:u w:val="none"/>
    </w:rPr>
  </w:style>
  <w:style w:type="character" w:styleId="1082">
    <w:name w:val="HTML 代码"/>
    <w:next w:val="1082"/>
    <w:link w:val="1008"/>
    <w:rPr>
      <w:rFonts w:ascii="Courier New" w:hAnsi="Courier New"/>
      <w:b w:val="0"/>
      <w:i w:val="0"/>
      <w:sz w:val="20"/>
    </w:rPr>
  </w:style>
  <w:style w:type="character" w:styleId="1083">
    <w:name w:val="批注引用"/>
    <w:next w:val="1083"/>
    <w:link w:val="1008"/>
    <w:qFormat/>
    <w:rPr>
      <w:sz w:val="21"/>
      <w:szCs w:val="21"/>
    </w:rPr>
  </w:style>
  <w:style w:type="character" w:styleId="1084">
    <w:name w:val="HTML 引文"/>
    <w:next w:val="1084"/>
    <w:link w:val="1008"/>
    <w:rPr>
      <w:b w:val="0"/>
      <w:i w:val="0"/>
    </w:rPr>
  </w:style>
  <w:style w:type="character" w:styleId="1085">
    <w:name w:val="NormalCharacter1"/>
    <w:next w:val="1085"/>
    <w:link w:val="1008"/>
    <w:qFormat/>
    <w:rPr>
      <w:sz w:val="24"/>
      <w:lang w:val="en-US" w:eastAsia="zh-CN" w:bidi="ar-SA"/>
    </w:rPr>
  </w:style>
  <w:style w:type="paragraph" w:styleId="1086">
    <w:name w:val="段"/>
    <w:next w:val="1008"/>
    <w:link w:val="1008"/>
    <w:pPr>
      <w:ind w:firstLine="200"/>
      <w:jc w:val="both"/>
    </w:pPr>
    <w:rPr>
      <w:rFonts w:ascii="宋体" w:hAnsi="Times New Roman" w:eastAsia="Times New Roman"/>
      <w:sz w:val="21"/>
      <w:lang w:val="en-US" w:eastAsia="zh-CN" w:bidi="ar-SA"/>
    </w:rPr>
  </w:style>
  <w:style w:type="paragraph" w:styleId="1087">
    <w:name w:val="首行缩进"/>
    <w:basedOn w:val="1008"/>
    <w:next w:val="1087"/>
    <w:link w:val="1008"/>
    <w:qFormat/>
    <w:pPr>
      <w:ind w:firstLine="480"/>
      <w:jc w:val="left"/>
      <w:spacing w:line="360" w:lineRule="auto"/>
    </w:pPr>
    <w:rPr>
      <w:rFonts w:ascii="宋体" w:hAnsi="宋体"/>
      <w:sz w:val="24"/>
    </w:rPr>
  </w:style>
  <w:style w:type="character" w:styleId="1088">
    <w:name w:val="批注文字 Char"/>
    <w:next w:val="1088"/>
    <w:link w:val="1008"/>
    <w:rPr>
      <w:sz w:val="24"/>
    </w:rPr>
  </w:style>
  <w:style w:type="character" w:styleId="1089">
    <w:name w:val="GP正文(首行缩进) Char Char"/>
    <w:next w:val="1089"/>
    <w:link w:val="1090"/>
    <w:rPr>
      <w:rFonts w:ascii="宋体" w:hAnsi="宋体"/>
      <w:sz w:val="24"/>
      <w:szCs w:val="22"/>
      <w:lang w:val="zh-CN"/>
    </w:rPr>
  </w:style>
  <w:style w:type="paragraph" w:styleId="1090">
    <w:name w:val="GP正文(首行缩进)"/>
    <w:basedOn w:val="1008"/>
    <w:next w:val="1090"/>
    <w:link w:val="1089"/>
    <w:pPr>
      <w:ind w:firstLine="480"/>
      <w:jc w:val="both"/>
      <w:spacing w:line="360" w:lineRule="auto"/>
      <w:widowControl w:val="off"/>
    </w:pPr>
    <w:rPr>
      <w:rFonts w:ascii="宋体" w:hAnsi="宋体"/>
      <w:szCs w:val="22"/>
      <w:lang w:val="zh-CN"/>
    </w:rPr>
  </w:style>
  <w:style w:type="character" w:styleId="1091">
    <w:name w:val="p12"/>
    <w:next w:val="1091"/>
    <w:link w:val="1008"/>
  </w:style>
  <w:style w:type="character" w:styleId="1092">
    <w:name w:val="meter-bar"/>
    <w:next w:val="1092"/>
    <w:link w:val="1008"/>
  </w:style>
  <w:style w:type="character" w:styleId="1093">
    <w:name w:val="HTML 打字机1"/>
    <w:next w:val="1093"/>
    <w:link w:val="1008"/>
    <w:rPr>
      <w:rFonts w:hint="eastAsia" w:ascii="黑体" w:hAnsi="Courier New" w:eastAsia="黑体"/>
      <w:sz w:val="14"/>
    </w:rPr>
  </w:style>
  <w:style w:type="character" w:styleId="1094">
    <w:name w:val="strength-txt"/>
    <w:next w:val="1094"/>
    <w:link w:val="1008"/>
  </w:style>
  <w:style w:type="character" w:styleId="1095">
    <w:name w:val="列出段落 Char,List Paragraph Char,ZJGIS列表项 Char,表格文本 Char,编号 Char,5.1.1 Char,段落重点 Char,List Char,List1 Char,表格段落 Char,符号列表 Char,列出段落2 Char,lp1 Char,List11 Char,List111 Char,List1111 Char,List11111 Char,List111111 Char,List1111111 Char,List11111111 Char"/>
    <w:next w:val="1095"/>
    <w:link w:val="1008"/>
    <w:qFormat/>
    <w:rPr>
      <w:rFonts w:ascii="Calibri" w:hAnsi="Calibri"/>
      <w:sz w:val="21"/>
      <w:szCs w:val="22"/>
    </w:rPr>
  </w:style>
  <w:style w:type="character" w:styleId="1096">
    <w:name w:val="prdltop5oa1"/>
    <w:next w:val="1096"/>
    <w:link w:val="1008"/>
    <w:rPr>
      <w:b/>
      <w:color w:val="222222"/>
    </w:rPr>
  </w:style>
  <w:style w:type="character" w:styleId="1097">
    <w:name w:val="no"/>
    <w:next w:val="1097"/>
    <w:link w:val="1008"/>
    <w:rPr>
      <w:i w:val="0"/>
      <w:color w:val="666666"/>
      <w:sz w:val="18"/>
      <w:szCs w:val="18"/>
    </w:rPr>
  </w:style>
  <w:style w:type="character" w:styleId="1098">
    <w:name w:val="close6"/>
    <w:next w:val="1098"/>
    <w:link w:val="1008"/>
  </w:style>
  <w:style w:type="character" w:styleId="1099">
    <w:name w:val="wp-custom-style-link"/>
    <w:next w:val="1099"/>
    <w:link w:val="1008"/>
    <w:rPr>
      <w:color w:val="000000"/>
    </w:rPr>
  </w:style>
  <w:style w:type="character" w:styleId="1100">
    <w:name w:val="+正文 Char3"/>
    <w:next w:val="1100"/>
    <w:link w:val="1101"/>
    <w:rPr>
      <w:rFonts w:ascii="Times New Roman" w:hAnsi="Times New Roman"/>
      <w:sz w:val="24"/>
      <w:szCs w:val="28"/>
    </w:rPr>
  </w:style>
  <w:style w:type="paragraph" w:styleId="1101">
    <w:name w:val="+正文"/>
    <w:basedOn w:val="1008"/>
    <w:next w:val="1101"/>
    <w:link w:val="1100"/>
    <w:qFormat/>
    <w:pPr>
      <w:ind w:firstLine="200"/>
      <w:jc w:val="both"/>
      <w:spacing w:line="360" w:lineRule="auto"/>
      <w:widowControl w:val="off"/>
    </w:pPr>
    <w:rPr>
      <w:rFonts w:ascii="Times New Roman" w:hAnsi="Times New Roman"/>
      <w:szCs w:val="28"/>
    </w:rPr>
  </w:style>
  <w:style w:type="character" w:styleId="1102">
    <w:name w:val="font41"/>
    <w:next w:val="1102"/>
    <w:link w:val="1008"/>
    <w:rPr>
      <w:rFonts w:hint="eastAsia" w:ascii="宋体" w:hAnsi="宋体" w:eastAsia="宋体" w:cs="宋体"/>
      <w:i w:val="0"/>
      <w:color w:val="000000"/>
      <w:sz w:val="24"/>
      <w:szCs w:val="24"/>
      <w:u w:val="none"/>
    </w:rPr>
  </w:style>
  <w:style w:type="character" w:styleId="1103">
    <w:name w:val="Plain Text Char,普通文字 Char Char1,纯文本 Char Char Char,普通文字 Char Char Char1,普通文字 Char Char Char Char,小 Char,Texte Char,正 文 1 Char,0921 Char"/>
    <w:next w:val="1103"/>
    <w:link w:val="1008"/>
    <w:rPr>
      <w:rFonts w:ascii="宋体" w:hAnsi="Courier New" w:eastAsia="宋体" w:cs="Times New Roman"/>
      <w:sz w:val="24"/>
      <w:szCs w:val="24"/>
    </w:rPr>
  </w:style>
  <w:style w:type="character" w:styleId="1104">
    <w:name w:val="apple-converted-space"/>
    <w:next w:val="1104"/>
    <w:link w:val="1008"/>
    <w:qFormat/>
  </w:style>
  <w:style w:type="character" w:styleId="1105">
    <w:name w:val="列表段落 字符"/>
    <w:next w:val="1105"/>
    <w:link w:val="1106"/>
    <w:qFormat/>
    <w:rPr>
      <w:rFonts w:ascii="Calibri" w:hAnsi="Calibri"/>
      <w:sz w:val="21"/>
      <w:szCs w:val="22"/>
    </w:rPr>
  </w:style>
  <w:style w:type="paragraph" w:styleId="1106">
    <w:name w:val="列表段落"/>
    <w:basedOn w:val="1008"/>
    <w:next w:val="1106"/>
    <w:link w:val="1105"/>
    <w:qFormat/>
    <w:pPr>
      <w:ind w:firstLine="420"/>
      <w:jc w:val="both"/>
      <w:widowControl w:val="off"/>
    </w:pPr>
    <w:rPr>
      <w:sz w:val="21"/>
      <w:szCs w:val="22"/>
    </w:rPr>
  </w:style>
  <w:style w:type="character" w:styleId="1107">
    <w:name w:val="close1"/>
    <w:next w:val="1107"/>
    <w:link w:val="1008"/>
  </w:style>
  <w:style w:type="character" w:styleId="1108">
    <w:name w:val="close"/>
    <w:next w:val="1108"/>
    <w:link w:val="1008"/>
  </w:style>
  <w:style w:type="character" w:styleId="1109">
    <w:name w:val="close7"/>
    <w:next w:val="1109"/>
    <w:link w:val="1008"/>
  </w:style>
  <w:style w:type="character" w:styleId="1110">
    <w:name w:val="Plain Text Char Char"/>
    <w:next w:val="1110"/>
    <w:link w:val="1111"/>
    <w:rPr>
      <w:rFonts w:ascii="宋体" w:hAnsi="Courier New" w:eastAsia="楷体_GB2312"/>
      <w:sz w:val="26"/>
    </w:rPr>
  </w:style>
  <w:style w:type="paragraph" w:styleId="1111">
    <w:name w:val="纯文本1"/>
    <w:basedOn w:val="1008"/>
    <w:next w:val="1061"/>
    <w:link w:val="1110"/>
    <w:qFormat/>
    <w:rPr>
      <w:rFonts w:ascii="宋体" w:hAnsi="Courier New" w:eastAsia="楷体_GB2312"/>
      <w:sz w:val="26"/>
    </w:rPr>
  </w:style>
  <w:style w:type="character" w:styleId="1112">
    <w:name w:val="font21"/>
    <w:next w:val="1112"/>
    <w:link w:val="1008"/>
    <w:rPr>
      <w:rFonts w:hint="eastAsia" w:ascii="宋体" w:hAnsi="宋体" w:eastAsia="宋体" w:cs="宋体"/>
      <w:i w:val="0"/>
      <w:color w:val="000000"/>
      <w:sz w:val="24"/>
      <w:szCs w:val="24"/>
      <w:u w:val="none"/>
    </w:rPr>
  </w:style>
  <w:style w:type="character" w:styleId="1113">
    <w:name w:val="prdltop5oa2"/>
    <w:next w:val="1113"/>
    <w:link w:val="1008"/>
    <w:rPr>
      <w:b/>
      <w:color w:val="222222"/>
    </w:rPr>
  </w:style>
  <w:style w:type="character" w:styleId="1114">
    <w:name w:val="font31"/>
    <w:next w:val="1114"/>
    <w:link w:val="1008"/>
    <w:rPr>
      <w:rFonts w:hint="eastAsia" w:ascii="宋体" w:hAnsi="宋体" w:eastAsia="宋体" w:cs="宋体"/>
      <w:i w:val="0"/>
      <w:color w:val="000000"/>
      <w:sz w:val="24"/>
      <w:szCs w:val="24"/>
      <w:u w:val="none"/>
      <w:vertAlign w:val="superscript"/>
    </w:rPr>
  </w:style>
  <w:style w:type="paragraph" w:styleId="1115">
    <w:name w:val="Char1 Char Char Char"/>
    <w:basedOn w:val="1008"/>
    <w:next w:val="1115"/>
    <w:link w:val="1008"/>
    <w:pPr>
      <w:jc w:val="both"/>
      <w:widowControl w:val="off"/>
    </w:pPr>
    <w:rPr>
      <w:sz w:val="21"/>
      <w:szCs w:val="24"/>
    </w:rPr>
  </w:style>
  <w:style w:type="paragraph" w:styleId="1116">
    <w:name w:val=" Char1 Char Char Char"/>
    <w:basedOn w:val="1008"/>
    <w:next w:val="1116"/>
    <w:link w:val="1008"/>
    <w:pPr>
      <w:jc w:val="both"/>
      <w:widowControl w:val="off"/>
    </w:pPr>
    <w:rPr>
      <w:sz w:val="21"/>
      <w:szCs w:val="24"/>
    </w:rPr>
  </w:style>
  <w:style w:type="paragraph" w:styleId="1117">
    <w:name w:val="编号，小四"/>
    <w:basedOn w:val="1008"/>
    <w:next w:val="1117"/>
    <w:link w:val="1008"/>
    <w:qFormat/>
    <w:pPr>
      <w:ind w:left="420"/>
      <w:jc w:val="both"/>
      <w:spacing w:line="360" w:lineRule="auto"/>
      <w:widowControl w:val="off"/>
    </w:pPr>
    <w:rPr>
      <w:rFonts w:ascii="Verdana" w:hAnsi="Verdana" w:cs="宋体"/>
    </w:rPr>
  </w:style>
  <w:style w:type="paragraph" w:styleId="1118">
    <w:name w:val="_Style 26"/>
    <w:basedOn w:val="1033"/>
    <w:next w:val="1118"/>
    <w:link w:val="1008"/>
    <w:pPr>
      <w:jc w:val="both"/>
      <w:spacing w:line="360" w:lineRule="auto"/>
      <w:widowControl w:val="off"/>
    </w:pPr>
    <w:rPr>
      <w:sz w:val="21"/>
      <w:szCs w:val="24"/>
    </w:rPr>
  </w:style>
  <w:style w:type="paragraph" w:styleId="1119">
    <w:name w:val="font5"/>
    <w:basedOn w:val="1008"/>
    <w:next w:val="1119"/>
    <w:link w:val="1008"/>
    <w:pPr>
      <w:spacing w:before="100" w:beforeAutospacing="1" w:after="100" w:afterAutospacing="1"/>
    </w:pPr>
    <w:rPr>
      <w:rFonts w:hint="eastAsia" w:ascii="宋体" w:hAnsi="宋体"/>
      <w:sz w:val="18"/>
    </w:rPr>
  </w:style>
  <w:style w:type="paragraph" w:styleId="1120">
    <w:name w:val="TOC 标题"/>
    <w:basedOn w:val="1009"/>
    <w:next w:val="1008"/>
    <w:link w:val="1008"/>
    <w:uiPriority w:val="39"/>
    <w:qFormat/>
    <w:pPr>
      <w:spacing w:before="480" w:after="0" w:line="276" w:lineRule="auto"/>
      <w:outlineLvl w:val="9"/>
    </w:pPr>
    <w:rPr>
      <w:rFonts w:ascii="Cambria" w:hAnsi="Cambria" w:eastAsia="宋体" w:cs="Times New Roman"/>
      <w:bCs/>
      <w:color w:val="365f91"/>
      <w:sz w:val="28"/>
      <w:szCs w:val="28"/>
      <w:lang w:val="en-US" w:eastAsia="zh-CN"/>
    </w:rPr>
  </w:style>
  <w:style w:type="paragraph" w:styleId="1121">
    <w:name w:val="列出段落2"/>
    <w:basedOn w:val="1008"/>
    <w:next w:val="1121"/>
    <w:link w:val="1008"/>
    <w:pPr>
      <w:ind w:firstLine="420"/>
      <w:jc w:val="both"/>
      <w:widowControl w:val="off"/>
    </w:pPr>
    <w:rPr>
      <w:rFonts w:ascii="Calibri" w:hAnsi="Calibri"/>
      <w:sz w:val="21"/>
      <w:szCs w:val="22"/>
    </w:rPr>
  </w:style>
  <w:style w:type="paragraph" w:styleId="1122">
    <w:name w:val="Char Char Char Char Char Char1 Char Char Char Char"/>
    <w:basedOn w:val="1033"/>
    <w:next w:val="1122"/>
    <w:link w:val="1008"/>
    <w:pPr>
      <w:spacing w:line="360" w:lineRule="auto"/>
    </w:pPr>
    <w:rPr>
      <w:szCs w:val="24"/>
    </w:rPr>
  </w:style>
  <w:style w:type="paragraph" w:styleId="1123">
    <w:name w:val=" Char Char1"/>
    <w:basedOn w:val="1008"/>
    <w:next w:val="1123"/>
    <w:link w:val="1008"/>
    <w:pPr>
      <w:spacing w:after="160" w:line="240" w:lineRule="exact"/>
    </w:pPr>
    <w:rPr>
      <w:rFonts w:ascii="Verdana" w:hAnsi="Verdana"/>
      <w:sz w:val="20"/>
      <w:lang w:eastAsia="en-US"/>
    </w:rPr>
  </w:style>
  <w:style w:type="paragraph" w:styleId="1124">
    <w:name w:val="列出段落1"/>
    <w:basedOn w:val="1008"/>
    <w:next w:val="1124"/>
    <w:link w:val="1008"/>
    <w:uiPriority w:val="34"/>
    <w:qFormat/>
    <w:pPr>
      <w:ind w:firstLine="420"/>
      <w:jc w:val="both"/>
      <w:widowControl w:val="off"/>
    </w:pPr>
    <w:rPr>
      <w:rFonts w:ascii="Calibri" w:hAnsi="Calibri" w:cs="宋体"/>
      <w:sz w:val="21"/>
      <w:szCs w:val="21"/>
    </w:rPr>
  </w:style>
  <w:style w:type="paragraph" w:styleId="1125">
    <w:name w:val="Plain Text"/>
    <w:basedOn w:val="1008"/>
    <w:next w:val="1125"/>
    <w:link w:val="1008"/>
    <w:qFormat/>
    <w:pPr>
      <w:spacing w:line="360" w:lineRule="auto"/>
    </w:pPr>
    <w:rPr>
      <w:rFonts w:ascii="宋体" w:hAnsi="宋体" w:cs="黑体"/>
      <w:szCs w:val="24"/>
      <w:lang w:val="zh-CN"/>
    </w:rPr>
  </w:style>
  <w:style w:type="paragraph" w:styleId="1126">
    <w:name w:val=" Char Char Char"/>
    <w:basedOn w:val="1008"/>
    <w:next w:val="1126"/>
    <w:link w:val="1008"/>
    <w:pPr>
      <w:jc w:val="both"/>
      <w:widowControl w:val="off"/>
    </w:pPr>
    <w:rPr>
      <w:sz w:val="21"/>
      <w:szCs w:val="24"/>
    </w:rPr>
  </w:style>
  <w:style w:type="paragraph" w:styleId="1127">
    <w:name w:val="Char Char Char Char Char Char Char Char Char1 Char"/>
    <w:basedOn w:val="1033"/>
    <w:next w:val="1127"/>
    <w:link w:val="1008"/>
    <w:pPr>
      <w:jc w:val="both"/>
      <w:spacing w:line="360" w:lineRule="auto"/>
      <w:widowControl w:val="off"/>
    </w:pPr>
    <w:rPr>
      <w:rFonts w:eastAsia="楷体_GB2312"/>
      <w:sz w:val="28"/>
    </w:rPr>
  </w:style>
  <w:style w:type="paragraph" w:styleId="1128">
    <w:name w:val="H-TextFormat"/>
    <w:next w:val="1128"/>
    <w:link w:val="1008"/>
    <w:rPr>
      <w:rFonts w:ascii="Arial" w:hAnsi="Arial"/>
      <w:sz w:val="22"/>
      <w:lang w:val="en-GB" w:eastAsia="en-US" w:bidi="ar-SA"/>
    </w:rPr>
  </w:style>
  <w:style w:type="paragraph" w:styleId="1129">
    <w:name w:val="p3"/>
    <w:basedOn w:val="1008"/>
    <w:next w:val="1129"/>
    <w:link w:val="1008"/>
    <w:pPr>
      <w:spacing w:before="100" w:beforeAutospacing="1" w:after="100" w:afterAutospacing="1"/>
    </w:pPr>
    <w:rPr>
      <w:rFonts w:ascii="宋体" w:hAnsi="宋体" w:cs="宋体"/>
      <w:szCs w:val="24"/>
    </w:rPr>
  </w:style>
  <w:style w:type="paragraph" w:styleId="1130">
    <w:name w:val="NRSection"/>
    <w:basedOn w:val="1008"/>
    <w:next w:val="1130"/>
    <w:link w:val="1008"/>
    <w:pPr>
      <w:outlineLvl w:val="4"/>
    </w:pPr>
    <w:rPr>
      <w:b/>
    </w:rPr>
  </w:style>
  <w:style w:type="paragraph" w:styleId="1131">
    <w:name w:val="Char Char1"/>
    <w:basedOn w:val="1008"/>
    <w:next w:val="1131"/>
    <w:link w:val="1008"/>
    <w:pPr>
      <w:spacing w:after="160" w:line="240" w:lineRule="exact"/>
    </w:pPr>
    <w:rPr>
      <w:rFonts w:ascii="Verdana" w:hAnsi="Verdana"/>
      <w:sz w:val="20"/>
      <w:lang w:eastAsia="en-US"/>
    </w:rPr>
  </w:style>
  <w:style w:type="paragraph" w:styleId="1132">
    <w:name w:val="Char Char Char"/>
    <w:basedOn w:val="1008"/>
    <w:next w:val="1132"/>
    <w:link w:val="1008"/>
    <w:pPr>
      <w:jc w:val="both"/>
      <w:widowControl w:val="off"/>
    </w:pPr>
    <w:rPr>
      <w:sz w:val="21"/>
      <w:szCs w:val="24"/>
    </w:rPr>
  </w:style>
  <w:style w:type="paragraph" w:styleId="1133">
    <w:name w:val="默认段落字体 Para Char Char Char Char Char Char Char Char Char1 Char Char Char Char"/>
    <w:basedOn w:val="1008"/>
    <w:next w:val="1133"/>
    <w:link w:val="1008"/>
    <w:pPr>
      <w:jc w:val="both"/>
      <w:widowControl w:val="off"/>
    </w:pPr>
    <w:rPr>
      <w:rFonts w:ascii="Tahoma" w:hAnsi="Tahoma"/>
    </w:rPr>
  </w:style>
  <w:style w:type="paragraph" w:styleId="1134">
    <w:name w:val="+标题1"/>
    <w:basedOn w:val="1009"/>
    <w:next w:val="1134"/>
    <w:link w:val="1008"/>
    <w:pPr>
      <w:ind w:left="360" w:hanging="360"/>
      <w:keepNext w:val="0"/>
      <w:pageBreakBefore/>
      <w:spacing w:before="240" w:after="240" w:line="360" w:lineRule="auto"/>
      <w:widowControl w:val="off"/>
      <w:tabs>
        <w:tab w:val="left" w:pos="360" w:leader="none"/>
        <w:tab w:val="left" w:pos="432" w:leader="none"/>
      </w:tabs>
    </w:pPr>
    <w:rPr>
      <w:rFonts w:eastAsia="黑体"/>
      <w:bCs/>
      <w:sz w:val="28"/>
      <w:szCs w:val="28"/>
    </w:rPr>
  </w:style>
  <w:style w:type="paragraph" w:styleId="1135">
    <w:name w:val="xl35"/>
    <w:basedOn w:val="1008"/>
    <w:next w:val="1135"/>
    <w:link w:val="1008"/>
    <w:pPr>
      <w:jc w:val="right"/>
      <w:spacing w:before="100" w:beforeAutospacing="1" w:after="100" w:afterAutospacing="1"/>
    </w:pPr>
    <w:rPr>
      <w:rFonts w:ascii="宋体" w:hAnsi="宋体"/>
      <w:sz w:val="18"/>
    </w:rPr>
  </w:style>
  <w:style w:type="paragraph" w:styleId="1136">
    <w:name w:val="_Style 12"/>
    <w:basedOn w:val="1033"/>
    <w:next w:val="1136"/>
    <w:link w:val="1008"/>
    <w:pPr>
      <w:jc w:val="both"/>
      <w:spacing w:line="360" w:lineRule="auto"/>
      <w:widowControl w:val="off"/>
    </w:pPr>
    <w:rPr>
      <w:sz w:val="21"/>
      <w:szCs w:val="24"/>
    </w:rPr>
  </w:style>
  <w:style w:type="paragraph" w:styleId="1137">
    <w:name w:val="Char"/>
    <w:basedOn w:val="1008"/>
    <w:next w:val="1137"/>
    <w:link w:val="1008"/>
    <w:pPr>
      <w:jc w:val="both"/>
      <w:widowControl w:val="off"/>
      <w:tabs>
        <w:tab w:val="left" w:pos="360" w:leader="none"/>
      </w:tabs>
    </w:pPr>
    <w:rPr>
      <w:szCs w:val="24"/>
    </w:rPr>
  </w:style>
  <w:style w:type="paragraph" w:styleId="1138">
    <w:name w:val="图"/>
    <w:basedOn w:val="1008"/>
    <w:next w:val="1138"/>
    <w:link w:val="1008"/>
    <w:pPr>
      <w:jc w:val="center"/>
      <w:keepNext/>
      <w:spacing w:before="60" w:after="60" w:line="300" w:lineRule="auto"/>
      <w:widowControl w:val="off"/>
    </w:pPr>
    <w:rPr>
      <w:spacing w:val="20"/>
    </w:rPr>
  </w:style>
  <w:style w:type="paragraph" w:styleId="1139">
    <w:name w:val="样式 首行缩进:  0 字符"/>
    <w:basedOn w:val="1008"/>
    <w:next w:val="1139"/>
    <w:link w:val="1008"/>
    <w:qFormat/>
    <w:pPr>
      <w:ind w:firstLine="200"/>
      <w:jc w:val="both"/>
      <w:spacing w:line="360" w:lineRule="auto"/>
      <w:widowControl w:val="off"/>
    </w:pPr>
    <w:rPr>
      <w:rFonts w:ascii="Verdana" w:hAnsi="Verdana" w:cs="宋体"/>
    </w:rPr>
  </w:style>
  <w:style w:type="paragraph" w:styleId="1140">
    <w:name w:val="p1"/>
    <w:basedOn w:val="1008"/>
    <w:next w:val="1140"/>
    <w:link w:val="1008"/>
    <w:pPr>
      <w:spacing w:before="100" w:beforeAutospacing="1" w:after="100" w:afterAutospacing="1"/>
    </w:pPr>
    <w:rPr>
      <w:rFonts w:ascii="宋体" w:hAnsi="宋体" w:cs="宋体"/>
      <w:szCs w:val="24"/>
    </w:rPr>
  </w:style>
  <w:style w:type="paragraph" w:styleId="1141">
    <w:name w:val=" Char Char Char Char"/>
    <w:basedOn w:val="1008"/>
    <w:next w:val="1141"/>
    <w:link w:val="1008"/>
    <w:pPr>
      <w:spacing w:after="160" w:line="240" w:lineRule="exact"/>
    </w:pPr>
    <w:rPr>
      <w:rFonts w:eastAsia="仿宋_GB2312"/>
      <w:sz w:val="32"/>
      <w:szCs w:val="24"/>
    </w:rPr>
  </w:style>
  <w:style w:type="paragraph" w:styleId="1142">
    <w:name w:val="3级标题"/>
    <w:basedOn w:val="1008"/>
    <w:next w:val="1142"/>
    <w:link w:val="1008"/>
    <w:pPr>
      <w:contextualSpacing/>
      <w:ind w:left="1680" w:hanging="420"/>
      <w:keepLines/>
      <w:spacing w:before="120" w:after="120" w:line="360" w:lineRule="auto"/>
      <w:widowControl w:val="off"/>
      <w:outlineLvl w:val="2"/>
    </w:pPr>
    <w:rPr>
      <w:rFonts w:ascii="黑体" w:hAnsi="黑体" w:eastAsia="黑体"/>
      <w:sz w:val="28"/>
      <w:szCs w:val="36"/>
      <w:lang w:eastAsia="en-US" w:bidi="en-US"/>
    </w:rPr>
  </w:style>
  <w:style w:type="paragraph" w:styleId="1143">
    <w:name w:val="Char1"/>
    <w:basedOn w:val="1008"/>
    <w:next w:val="1143"/>
    <w:link w:val="1008"/>
    <w:pPr>
      <w:ind w:left="360" w:hanging="360"/>
      <w:jc w:val="both"/>
      <w:widowControl w:val="off"/>
      <w:tabs>
        <w:tab w:val="left" w:pos="360" w:leader="none"/>
      </w:tabs>
    </w:pPr>
  </w:style>
  <w:style w:type="paragraph" w:styleId="1144">
    <w:name w:val="1"/>
    <w:basedOn w:val="1008"/>
    <w:next w:val="1144"/>
    <w:link w:val="1008"/>
    <w:pPr>
      <w:ind w:left="420" w:firstLine="270"/>
      <w:jc w:val="both"/>
      <w:widowControl w:val="off"/>
      <w:tabs>
        <w:tab w:val="left" w:pos="425" w:leader="none"/>
      </w:tabs>
    </w:pPr>
    <w:rPr>
      <w:sz w:val="21"/>
    </w:rPr>
  </w:style>
  <w:style w:type="paragraph" w:styleId="1145">
    <w:name w:val=" Char1"/>
    <w:basedOn w:val="1008"/>
    <w:next w:val="1145"/>
    <w:link w:val="1008"/>
    <w:pPr>
      <w:ind w:left="360" w:hanging="360"/>
      <w:jc w:val="both"/>
      <w:widowControl w:val="off"/>
      <w:tabs>
        <w:tab w:val="left" w:pos="360" w:leader="none"/>
      </w:tabs>
    </w:pPr>
  </w:style>
  <w:style w:type="paragraph" w:styleId="1146">
    <w:name w:val="Char Char Char1 Char Char Char Char"/>
    <w:basedOn w:val="1008"/>
    <w:next w:val="1146"/>
    <w:link w:val="1008"/>
    <w:pPr>
      <w:spacing w:after="160" w:line="240" w:lineRule="exact"/>
    </w:pPr>
  </w:style>
  <w:style w:type="paragraph" w:styleId="1147">
    <w:name w:val=" Char Char Char Char Char Char1 Char Char Char Char"/>
    <w:basedOn w:val="1033"/>
    <w:next w:val="1147"/>
    <w:link w:val="1008"/>
    <w:pPr>
      <w:spacing w:line="360" w:lineRule="auto"/>
    </w:pPr>
    <w:rPr>
      <w:szCs w:val="24"/>
    </w:rPr>
  </w:style>
  <w:style w:type="paragraph" w:styleId="1148">
    <w:name w:val="+标题2"/>
    <w:basedOn w:val="1010"/>
    <w:next w:val="1148"/>
    <w:link w:val="1008"/>
    <w:pPr>
      <w:numPr>
        <w:ilvl w:val="0"/>
        <w:numId w:val="0"/>
      </w:numPr>
      <w:jc w:val="left"/>
      <w:keepLines w:val="0"/>
      <w:spacing w:before="120" w:after="120" w:line="240" w:lineRule="atLeast"/>
      <w:tabs>
        <w:tab w:val="left" w:pos="576" w:leader="none"/>
        <w:tab w:val="left" w:pos="630" w:leader="none"/>
        <w:tab w:val="left" w:pos="1012" w:leader="none"/>
      </w:tabs>
    </w:pPr>
    <w:rPr>
      <w:rFonts w:ascii="Times New Roman" w:hAnsi="Times New Roman" w:eastAsia="宋体"/>
      <w:sz w:val="24"/>
      <w:szCs w:val="24"/>
    </w:rPr>
  </w:style>
  <w:style w:type="paragraph" w:styleId="1149">
    <w:name w:val="List Paragraph"/>
    <w:basedOn w:val="1008"/>
    <w:next w:val="1149"/>
    <w:link w:val="1008"/>
    <w:pPr>
      <w:ind w:firstLine="420"/>
      <w:jc w:val="both"/>
      <w:widowControl w:val="off"/>
    </w:pPr>
    <w:rPr>
      <w:rFonts w:ascii="Calibri" w:hAnsi="Calibri"/>
      <w:sz w:val="21"/>
      <w:szCs w:val="22"/>
    </w:rPr>
  </w:style>
  <w:style w:type="paragraph" w:styleId="1150">
    <w:name w:val="p16"/>
    <w:basedOn w:val="1008"/>
    <w:next w:val="1150"/>
    <w:link w:val="1008"/>
    <w:pPr>
      <w:spacing w:before="100" w:beforeAutospacing="1" w:after="100" w:afterAutospacing="1"/>
    </w:pPr>
    <w:rPr>
      <w:rFonts w:ascii="宋体" w:hAnsi="宋体" w:cs="宋体"/>
      <w:szCs w:val="24"/>
    </w:rPr>
  </w:style>
  <w:style w:type="paragraph" w:styleId="1151">
    <w:name w:val=" Char Char Char Char Char Char"/>
    <w:basedOn w:val="1033"/>
    <w:next w:val="1151"/>
    <w:link w:val="1008"/>
    <w:pPr>
      <w:jc w:val="both"/>
      <w:spacing w:line="360" w:lineRule="auto"/>
      <w:widowControl w:val="off"/>
    </w:pPr>
    <w:rPr>
      <w:rFonts w:ascii="Tahoma" w:hAnsi="Tahoma"/>
    </w:rPr>
  </w:style>
  <w:style w:type="paragraph" w:styleId="1152">
    <w:name w:val="my正文"/>
    <w:basedOn w:val="1008"/>
    <w:next w:val="1152"/>
    <w:link w:val="1008"/>
    <w:pPr>
      <w:ind w:firstLine="480"/>
      <w:jc w:val="both"/>
      <w:spacing w:line="360" w:lineRule="auto"/>
      <w:widowControl w:val="off"/>
    </w:pPr>
    <w:rPr>
      <w:szCs w:val="24"/>
    </w:rPr>
  </w:style>
  <w:style w:type="paragraph" w:styleId="1153">
    <w:name w:val=" Char Char Char Char Char Char Char Char Char Char"/>
    <w:basedOn w:val="1008"/>
    <w:next w:val="1153"/>
    <w:link w:val="1008"/>
    <w:pPr>
      <w:ind w:left="360" w:hanging="360"/>
      <w:jc w:val="both"/>
      <w:widowControl w:val="off"/>
      <w:tabs>
        <w:tab w:val="left" w:pos="360" w:leader="none"/>
      </w:tabs>
    </w:pPr>
    <w:rPr>
      <w:szCs w:val="24"/>
    </w:rPr>
  </w:style>
  <w:style w:type="paragraph" w:styleId="1154">
    <w:name w:val="纯文本2"/>
    <w:basedOn w:val="1008"/>
    <w:next w:val="1154"/>
    <w:link w:val="1008"/>
    <w:qFormat/>
    <w:rPr>
      <w:rFonts w:ascii="宋体" w:hAnsi="Courier New" w:eastAsia="楷体_GB2312"/>
      <w:sz w:val="26"/>
    </w:rPr>
  </w:style>
  <w:style w:type="paragraph" w:styleId="1155">
    <w:name w:val="--规划正文"/>
    <w:basedOn w:val="1008"/>
    <w:next w:val="1155"/>
    <w:link w:val="1008"/>
    <w:pPr>
      <w:ind w:firstLine="200"/>
      <w:jc w:val="both"/>
      <w:spacing w:line="360" w:lineRule="auto"/>
      <w:widowControl w:val="off"/>
    </w:pPr>
    <w:rPr>
      <w:sz w:val="21"/>
    </w:rPr>
  </w:style>
  <w:style w:type="paragraph" w:styleId="1156">
    <w:name w:val=" Char"/>
    <w:basedOn w:val="1008"/>
    <w:next w:val="1156"/>
    <w:link w:val="1008"/>
    <w:pPr>
      <w:ind w:left="840" w:hanging="420"/>
      <w:jc w:val="both"/>
      <w:widowControl w:val="off"/>
      <w:tabs>
        <w:tab w:val="left" w:pos="840" w:leader="none"/>
      </w:tabs>
    </w:pPr>
    <w:rPr>
      <w:szCs w:val="24"/>
    </w:rPr>
  </w:style>
  <w:style w:type="paragraph" w:styleId="1157">
    <w:name w:val="HTML 预设格式1"/>
    <w:basedOn w:val="1008"/>
    <w:next w:val="1157"/>
    <w:link w:val="1008"/>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158">
    <w:name w:val="Char Char Char Char"/>
    <w:basedOn w:val="1033"/>
    <w:next w:val="1158"/>
    <w:link w:val="1008"/>
    <w:pPr>
      <w:jc w:val="both"/>
      <w:spacing w:line="360" w:lineRule="auto"/>
      <w:widowControl w:val="off"/>
    </w:pPr>
    <w:rPr>
      <w:rFonts w:ascii="Tahoma" w:hAnsi="Tahoma"/>
      <w:szCs w:val="24"/>
    </w:rPr>
  </w:style>
  <w:style w:type="paragraph" w:styleId="1159">
    <w:name w:val=" Char Char Char1 Char Char Char Char"/>
    <w:basedOn w:val="1008"/>
    <w:next w:val="1159"/>
    <w:link w:val="1008"/>
    <w:pPr>
      <w:spacing w:after="160" w:line="240" w:lineRule="exact"/>
    </w:pPr>
  </w:style>
  <w:style w:type="paragraph" w:styleId="1160">
    <w:name w:val="p25"/>
    <w:basedOn w:val="1008"/>
    <w:next w:val="1160"/>
    <w:link w:val="1008"/>
    <w:qFormat/>
    <w:rPr>
      <w:rFonts w:ascii="宋体" w:hAnsi="宋体" w:cs="宋体"/>
      <w:sz w:val="26"/>
      <w:szCs w:val="26"/>
    </w:rPr>
  </w:style>
  <w:style w:type="paragraph" w:styleId="1161">
    <w:name w:val="Char Char Char Char Char Char Char Char Char Char"/>
    <w:basedOn w:val="1008"/>
    <w:next w:val="1161"/>
    <w:link w:val="1008"/>
    <w:pPr>
      <w:ind w:left="360" w:hanging="360"/>
      <w:jc w:val="both"/>
      <w:widowControl w:val="off"/>
      <w:tabs>
        <w:tab w:val="left" w:pos="360" w:leader="none"/>
      </w:tabs>
    </w:pPr>
    <w:rPr>
      <w:szCs w:val="24"/>
    </w:rPr>
  </w:style>
  <w:style w:type="paragraph" w:styleId="1162">
    <w:name w:val="Char Char Char Char Char Char"/>
    <w:basedOn w:val="1033"/>
    <w:next w:val="1162"/>
    <w:link w:val="1008"/>
    <w:pPr>
      <w:jc w:val="both"/>
      <w:spacing w:line="360" w:lineRule="auto"/>
      <w:widowControl w:val="off"/>
    </w:pPr>
    <w:rPr>
      <w:rFonts w:ascii="Tahoma" w:hAnsi="Tahoma"/>
    </w:rPr>
  </w:style>
  <w:style w:type="paragraph" w:styleId="1163">
    <w:name w:val="xl31"/>
    <w:basedOn w:val="1008"/>
    <w:next w:val="1163"/>
    <w:link w:val="1008"/>
    <w:pPr>
      <w:jc w:val="center"/>
      <w:spacing w:before="100" w:beforeAutospacing="1" w:after="100" w:afterAutospacing="1"/>
      <w:pBdr>
        <w:bottom w:val="single" w:color="000000" w:sz="4" w:space="0"/>
        <w:right w:val="single" w:color="000000" w:sz="4" w:space="0"/>
      </w:pBdr>
    </w:pPr>
    <w:rPr>
      <w:rFonts w:ascii="宋体" w:hAnsi="宋体"/>
      <w:sz w:val="21"/>
    </w:rPr>
  </w:style>
  <w:style w:type="table" w:styleId="1164">
    <w:name w:val="网格型1"/>
    <w:basedOn w:val="1019"/>
    <w:next w:val="1164"/>
    <w:link w:val="1008"/>
    <w:uiPriority w:val="59"/>
    <w:unhideWhenUsed/>
    <w:qFormat/>
    <w:rPr>
      <w:rFonts w:ascii="Calibri" w:hAnsi="Calibri" w:eastAsia="宋体" w:cs="Times New Roman"/>
    </w:rPr>
    <w:tblPr/>
  </w:style>
  <w:style w:type="paragraph" w:styleId="1165">
    <w:name w:val="_Style 30"/>
    <w:basedOn w:val="1008"/>
    <w:next w:val="1047"/>
    <w:link w:val="1008"/>
    <w:qFormat/>
    <w:rPr>
      <w:rFonts w:ascii="宋体" w:hAnsi="Courier New"/>
    </w:rPr>
  </w:style>
  <w:style w:type="character" w:styleId="1166">
    <w:name w:val="NormalCharacter1"/>
    <w:next w:val="1166"/>
    <w:link w:val="1008"/>
    <w:qFormat/>
    <w:rPr>
      <w:rFonts w:ascii="Times New Roman" w:hAnsi="Times New Roman" w:eastAsia="宋体" w:cs="Times New Roman"/>
      <w:sz w:val="21"/>
      <w:lang w:val="en-US" w:eastAsia="zh-CN" w:bidi="ar-SA"/>
    </w:rPr>
  </w:style>
  <w:style w:type="paragraph" w:styleId="1167">
    <w:name w:val="UserStyle_78"/>
    <w:basedOn w:val="1008"/>
    <w:next w:val="1167"/>
    <w:link w:val="1008"/>
    <w:qFormat/>
    <w:pPr>
      <w:jc w:val="both"/>
    </w:pPr>
    <w:rPr>
      <w:rFonts w:ascii="宋体" w:hAnsi="Courier New" w:eastAsia="楷体_GB2312"/>
      <w:sz w:val="26"/>
      <w:szCs w:val="26"/>
      <w:lang w:val="en-US" w:eastAsia="zh-CN" w:bidi="ar-SA"/>
    </w:rPr>
  </w:style>
  <w:style w:type="paragraph" w:styleId="1168">
    <w:name w:val="NormalIndent1"/>
    <w:basedOn w:val="1008"/>
    <w:next w:val="1168"/>
    <w:link w:val="1008"/>
    <w:qFormat/>
    <w:pPr>
      <w:ind w:firstLine="420"/>
      <w:jc w:val="left"/>
    </w:pPr>
    <w:rPr>
      <w:rFonts w:ascii="Times New Roman" w:hAnsi="Times New Roman" w:eastAsia="楷体_GB2312"/>
      <w:sz w:val="24"/>
      <w:szCs w:val="20"/>
      <w:lang w:val="en-US" w:eastAsia="zh-CN" w:bidi="ar-SA"/>
    </w:rPr>
  </w:style>
  <w:style w:type="paragraph" w:styleId="1169">
    <w:name w:val="正文缩进111"/>
    <w:basedOn w:val="1008"/>
    <w:next w:val="1169"/>
    <w:link w:val="1008"/>
    <w:qFormat/>
    <w:pPr>
      <w:ind w:firstLine="420"/>
    </w:pPr>
    <w:rPr>
      <w:rFonts w:ascii="Calibri" w:hAnsi="Calibri"/>
      <w:sz w:val="24"/>
    </w:rPr>
  </w:style>
  <w:style w:type="paragraph" w:styleId="1170">
    <w:name w:val="正文缩进11"/>
    <w:basedOn w:val="1008"/>
    <w:next w:val="1170"/>
    <w:link w:val="1008"/>
    <w:qFormat/>
    <w:pPr>
      <w:ind w:firstLine="420"/>
      <w:jc w:val="left"/>
      <w:widowControl/>
    </w:pPr>
    <w:rPr>
      <w:rFonts w:eastAsia="楷体_GB2312"/>
      <w:sz w:val="24"/>
      <w:szCs w:val="20"/>
    </w:rPr>
  </w:style>
  <w:style w:type="paragraph" w:styleId="1171">
    <w:name w:val="正文带缩进"/>
    <w:basedOn w:val="1008"/>
    <w:next w:val="1171"/>
    <w:link w:val="1008"/>
    <w:qFormat/>
    <w:pPr>
      <w:ind w:firstLine="200"/>
      <w:jc w:val="left"/>
      <w:spacing w:line="300" w:lineRule="auto"/>
    </w:pPr>
    <w:rPr>
      <w:rFonts w:ascii="宋体" w:hAnsi="宋体" w:cs="Times New Roman"/>
      <w:sz w:val="24"/>
      <w:szCs w:val="21"/>
    </w:rPr>
  </w:style>
  <w:style w:type="paragraph" w:styleId="1172">
    <w:name w:val="纯文本11"/>
    <w:basedOn w:val="1008"/>
    <w:next w:val="1172"/>
    <w:link w:val="1008"/>
    <w:qFormat/>
    <w:rPr>
      <w:rFonts w:hAnsi="Courier New" w:eastAsia="方正仿宋_GB2312"/>
      <w:sz w:val="26"/>
    </w:rPr>
  </w:style>
  <w:style w:type="paragraph" w:styleId="1173">
    <w:name w:val="正文缩进1"/>
    <w:basedOn w:val="1008"/>
    <w:next w:val="1173"/>
    <w:link w:val="1008"/>
    <w:qFormat/>
    <w:pPr>
      <w:ind w:firstLine="420"/>
      <w:jc w:val="left"/>
    </w:pPr>
    <w:rPr>
      <w:rFonts w:eastAsia="楷体_GB2312"/>
    </w:rPr>
  </w:style>
  <w:style w:type="paragraph" w:styleId="1174">
    <w:name w:val="正文文本缩进 31"/>
    <w:basedOn w:val="1008"/>
    <w:next w:val="1174"/>
    <w:link w:val="1008"/>
    <w:qFormat/>
    <w:pPr>
      <w:ind w:firstLine="570"/>
      <w:spacing w:line="520" w:lineRule="exact"/>
    </w:pPr>
    <w:rPr>
      <w:rFonts w:ascii="宋体" w:hAnsi="宋体"/>
      <w:bCs/>
      <w:sz w:val="24"/>
      <w:u w:val="single"/>
    </w:rPr>
  </w:style>
  <w:style w:type="paragraph" w:styleId="1175">
    <w:name w:val="正文文本缩进1"/>
    <w:basedOn w:val="1008"/>
    <w:next w:val="1175"/>
    <w:link w:val="1008"/>
    <w:qFormat/>
    <w:pPr>
      <w:ind w:firstLine="425"/>
      <w:spacing w:line="360" w:lineRule="auto"/>
    </w:pPr>
    <w:rPr>
      <w:sz w:val="24"/>
    </w:rPr>
  </w:style>
  <w:style w:type="paragraph" w:styleId="1176">
    <w:name w:val="正文 New New New New New New New New New New New New New New New12"/>
    <w:next w:val="1176"/>
    <w:link w:val="1008"/>
    <w:qFormat/>
    <w:pPr>
      <w:jc w:val="both"/>
      <w:widowControl w:val="off"/>
    </w:pPr>
    <w:rPr>
      <w:rFonts w:ascii="Times New Roman" w:hAnsi="Times New Roman" w:eastAsia="宋体" w:cs="Times New Roman"/>
      <w:sz w:val="21"/>
      <w:szCs w:val="24"/>
      <w:lang w:val="en-US" w:eastAsia="zh-CN" w:bidi="ar-SA"/>
    </w:rPr>
  </w:style>
  <w:style w:type="paragraph" w:styleId="1177">
    <w:name w:val="Table Paragraph"/>
    <w:basedOn w:val="1008"/>
    <w:next w:val="1177"/>
    <w:link w:val="1008"/>
    <w:uiPriority w:val="1"/>
    <w:qFormat/>
    <w:pPr>
      <w:jc w:val="left"/>
    </w:pPr>
    <w:rPr>
      <w:rFonts w:ascii="Calibri" w:hAnsi="Calibri"/>
      <w:sz w:val="22"/>
      <w:szCs w:val="22"/>
      <w:lang w:eastAsia="en-US"/>
    </w:rPr>
  </w:style>
  <w:style w:type="paragraph" w:styleId="1178">
    <w:name w:val="页脚1"/>
    <w:basedOn w:val="1008"/>
    <w:next w:val="1178"/>
    <w:link w:val="1008"/>
    <w:uiPriority w:val="99"/>
    <w:qFormat/>
    <w:pPr>
      <w:jc w:val="left"/>
      <w:tabs>
        <w:tab w:val="center" w:pos="4153" w:leader="none"/>
        <w:tab w:val="right" w:pos="8306" w:leader="none"/>
      </w:tabs>
    </w:pPr>
    <w:rPr>
      <w:rFonts w:eastAsia="楷体_GB2312"/>
      <w:sz w:val="18"/>
    </w:rPr>
  </w:style>
  <w:style w:type="character" w:styleId="1179" w:default="1">
    <w:name w:val="Default Paragraph Font"/>
    <w:uiPriority w:val="1"/>
    <w:semiHidden/>
    <w:unhideWhenUsed/>
  </w:style>
  <w:style w:type="numbering" w:styleId="1180" w:default="1">
    <w:name w:val="No List"/>
    <w:uiPriority w:val="99"/>
    <w:semiHidden/>
    <w:unhideWhenUsed/>
  </w:style>
  <w:style w:type="table" w:styleId="11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wmf"/><Relationship Id="rId18" Type="http://schemas.openxmlformats.org/officeDocument/2006/relationships/oleObject" Target="embeddings/oleObject1.bin"/><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oleObject" Target="embeddings/oleObject2.bin"/><Relationship Id="rId23" Type="http://schemas.openxmlformats.org/officeDocument/2006/relationships/image" Target="media/image7.jp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oleObject" Target="embeddings/oleObject3.bin"/><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oleObject" Target="embeddings/oleObject4.bin"/><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oleObject" Target="embeddings/oleObject5.bin"/><Relationship Id="rId46" Type="http://schemas.openxmlformats.org/officeDocument/2006/relationships/image" Target="media/image27.png"/><Relationship Id="rId47" Type="http://schemas.openxmlformats.org/officeDocument/2006/relationships/oleObject" Target="embeddings/oleObject6.bin"/><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wmf"/><Relationship Id="rId51" Type="http://schemas.openxmlformats.org/officeDocument/2006/relationships/image" Target="media/image31.jpg"/><Relationship Id="rId52" Type="http://schemas.openxmlformats.org/officeDocument/2006/relationships/image" Target="media/image32.jpg"/><Relationship Id="rId53" Type="http://schemas.openxmlformats.org/officeDocument/2006/relationships/image" Target="media/image33.jp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jpg"/><Relationship Id="rId59" Type="http://schemas.openxmlformats.org/officeDocument/2006/relationships/image" Target="media/image39.jpg"/><Relationship Id="rId60" Type="http://schemas.openxmlformats.org/officeDocument/2006/relationships/image" Target="media/image40.jpg"/><Relationship Id="rId61" Type="http://schemas.openxmlformats.org/officeDocument/2006/relationships/image" Target="media/image41.jpg"/><Relationship Id="rId62" Type="http://schemas.openxmlformats.org/officeDocument/2006/relationships/image" Target="media/image42.png"/><Relationship Id="rId63" Type="http://schemas.openxmlformats.org/officeDocument/2006/relationships/image" Target="media/image43.jp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jpg"/><Relationship Id="rId70" Type="http://schemas.openxmlformats.org/officeDocument/2006/relationships/image" Target="media/image50.jpg"/><Relationship Id="rId71" Type="http://schemas.openxmlformats.org/officeDocument/2006/relationships/image" Target="media/image51.png"/><Relationship Id="rId72" Type="http://schemas.openxmlformats.org/officeDocument/2006/relationships/image" Target="media/image52.jpg"/><Relationship Id="rId73" Type="http://schemas.openxmlformats.org/officeDocument/2006/relationships/image" Target="media/image53.jpg"/><Relationship Id="rId74" Type="http://schemas.openxmlformats.org/officeDocument/2006/relationships/image" Target="media/image54.jpg"/><Relationship Id="rId75" Type="http://schemas.openxmlformats.org/officeDocument/2006/relationships/image" Target="media/image55.jpg"/><Relationship Id="rId76" Type="http://schemas.openxmlformats.org/officeDocument/2006/relationships/image" Target="media/image56.jpg"/><Relationship Id="rId77" Type="http://schemas.openxmlformats.org/officeDocument/2006/relationships/image" Target="media/image57.jp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jpg"/><Relationship Id="rId81" Type="http://schemas.openxmlformats.org/officeDocument/2006/relationships/image" Target="media/image61.jpg"/><Relationship Id="rId82" Type="http://schemas.openxmlformats.org/officeDocument/2006/relationships/image" Target="media/image62.jpg"/><Relationship Id="rId83" Type="http://schemas.openxmlformats.org/officeDocument/2006/relationships/image" Target="media/image63.jpg"/><Relationship Id="rId84" Type="http://schemas.openxmlformats.org/officeDocument/2006/relationships/image" Target="media/image64.png"/><Relationship Id="rId85" Type="http://schemas.openxmlformats.org/officeDocument/2006/relationships/image" Target="media/image65.jpg"/><Relationship Id="rId86" Type="http://schemas.openxmlformats.org/officeDocument/2006/relationships/image" Target="media/image66.jpg"/><Relationship Id="rId87" Type="http://schemas.openxmlformats.org/officeDocument/2006/relationships/image" Target="media/image67.png"/><Relationship Id="rId88" Type="http://schemas.openxmlformats.org/officeDocument/2006/relationships/image" Target="media/image68.jpg"/><Relationship Id="rId89" Type="http://schemas.openxmlformats.org/officeDocument/2006/relationships/image" Target="media/image69.png"/><Relationship Id="rId90" Type="http://schemas.openxmlformats.org/officeDocument/2006/relationships/image" Target="media/image70.jp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jpg"/><Relationship Id="rId94" Type="http://schemas.openxmlformats.org/officeDocument/2006/relationships/image" Target="media/image74.jpg"/><Relationship Id="rId95" Type="http://schemas.openxmlformats.org/officeDocument/2006/relationships/image" Target="media/image75.jpg"/><Relationship Id="rId96" Type="http://schemas.openxmlformats.org/officeDocument/2006/relationships/image" Target="media/image76.jpg"/><Relationship Id="rId97" Type="http://schemas.openxmlformats.org/officeDocument/2006/relationships/image" Target="media/image77.jpg"/><Relationship Id="rId98" Type="http://schemas.openxmlformats.org/officeDocument/2006/relationships/image" Target="media/image78.jpg"/><Relationship Id="rId99" Type="http://schemas.openxmlformats.org/officeDocument/2006/relationships/image" Target="media/image79.png"/><Relationship Id="rId100" Type="http://schemas.openxmlformats.org/officeDocument/2006/relationships/image" Target="media/image80.jpg"/><Relationship Id="rId101" Type="http://schemas.openxmlformats.org/officeDocument/2006/relationships/image" Target="media/image81.jpg"/><Relationship Id="rId102" Type="http://schemas.openxmlformats.org/officeDocument/2006/relationships/image" Target="media/image82.jpg"/><Relationship Id="rId103" Type="http://schemas.openxmlformats.org/officeDocument/2006/relationships/image" Target="media/image83.png"/><Relationship Id="rId104" Type="http://schemas.openxmlformats.org/officeDocument/2006/relationships/image" Target="media/image84.jpg"/><Relationship Id="rId105" Type="http://schemas.openxmlformats.org/officeDocument/2006/relationships/image" Target="media/image85.jp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jpg"/><Relationship Id="rId109" Type="http://schemas.openxmlformats.org/officeDocument/2006/relationships/image" Target="media/image89.jpg"/><Relationship Id="rId110" Type="http://schemas.openxmlformats.org/officeDocument/2006/relationships/image" Target="media/image90.png"/><Relationship Id="rId111" Type="http://schemas.openxmlformats.org/officeDocument/2006/relationships/image" Target="media/image91.emf"/><Relationship Id="rId112" Type="http://schemas.openxmlformats.org/officeDocument/2006/relationships/image" Target="media/image92.jp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jpg"/><Relationship Id="rId117" Type="http://schemas.openxmlformats.org/officeDocument/2006/relationships/image" Target="media/image97.jp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jp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jpg"/><Relationship Id="rId124" Type="http://schemas.openxmlformats.org/officeDocument/2006/relationships/image" Target="media/image104.jp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王新东</cp:lastModifiedBy>
  <cp:revision>12</cp:revision>
  <dcterms:created xsi:type="dcterms:W3CDTF">2018-11-15T07:58:00Z</dcterms:created>
  <dcterms:modified xsi:type="dcterms:W3CDTF">2026-10-09T06:42:14Z</dcterms:modified>
</cp:coreProperties>
</file>