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_GB2312" w:hAnsi="仿宋_GB2312" w:eastAsia="仿宋_GB2312" w:cs="仿宋_GB2312"/>
          <w:b/>
          <w:spacing w:val="76"/>
          <w:sz w:val="24"/>
        </w:rPr>
      </w:pPr>
      <w:r>
        <w:rPr>
          <w:rFonts w:hint="eastAsia" w:ascii="仿宋_GB2312" w:hAnsi="仿宋_GB2312" w:eastAsia="仿宋_GB2312" w:cs="仿宋_GB2312"/>
          <w:b/>
          <w:spacing w:val="76"/>
          <w:sz w:val="24"/>
        </w:rPr>
      </w:r>
      <w:r/>
    </w:p>
    <w:p>
      <w:pPr>
        <w:pStyle w:val="854"/>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854"/>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854"/>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854"/>
        <w:jc w:val="center"/>
        <w:spacing w:line="920" w:lineRule="exact"/>
        <w:rPr>
          <w:rFonts w:hint="eastAsia" w:ascii="仿宋_GB2312" w:hAnsi="仿宋_GB2312" w:eastAsia="仿宋_GB2312" w:cs="仿宋_GB2312"/>
          <w:b/>
          <w:color w:val="auto"/>
          <w:spacing w:val="-20"/>
          <w:sz w:val="72"/>
          <w:szCs w:val="72"/>
          <w:highlight w:val="none"/>
        </w:rPr>
      </w:pPr>
      <w:r>
        <w:rPr>
          <w:rFonts w:hint="eastAsia" w:ascii="仿宋_GB2312" w:hAnsi="仿宋_GB2312" w:eastAsia="仿宋_GB2312" w:cs="仿宋_GB2312"/>
          <w:b/>
          <w:color w:val="auto"/>
          <w:sz w:val="72"/>
          <w:szCs w:val="72"/>
          <w:highlight w:val="none"/>
        </w:rPr>
        <w:t xml:space="preserve">竞争性磋商文件</w:t>
      </w:r>
      <w:r/>
    </w:p>
    <w:p>
      <w:pPr>
        <w:pStyle w:val="854"/>
        <w:jc w:val="left"/>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66"/>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54"/>
        <w:jc w:val="left"/>
        <w:spacing w:line="9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3"/>
        <w:ind w:left="0" w:firstLine="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3"/>
        <w:ind w:left="0" w:firstLine="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3"/>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53"/>
        <w:rPr>
          <w:rFonts w:hint="eastAsia"/>
        </w:rPr>
      </w:pPr>
      <w:r>
        <w:rPr>
          <w:rFonts w:hint="eastAsia"/>
        </w:rPr>
      </w:r>
      <w:r/>
    </w:p>
    <w:p>
      <w:pPr>
        <w:pStyle w:val="866"/>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r>
      <w:r/>
    </w:p>
    <w:p>
      <w:pPr>
        <w:pStyle w:val="854"/>
        <w:ind w:firstLine="2380"/>
        <w:spacing w:line="960" w:lineRule="exact"/>
        <w:rPr>
          <w:rFonts w:hint="eastAsia" w:ascii="仿宋_GB2312" w:hAnsi="仿宋_GB2312" w:eastAsia="仿宋_GB2312" w:cs="仿宋_GB2312"/>
          <w:sz w:val="24"/>
        </w:rPr>
      </w:pPr>
      <w:r>
        <w:rPr>
          <w:rFonts w:hint="eastAsia" w:ascii="仿宋_GB2312" w:hAnsi="仿宋_GB2312" w:eastAsia="仿宋_GB2312" w:cs="仿宋_GB2312"/>
          <w:bCs/>
          <w:color w:val="auto"/>
          <w:sz w:val="32"/>
          <w:szCs w:val="32"/>
          <w:highlight w:val="none"/>
          <w:lang w:val="en-US" w:eastAsia="zh-CN"/>
        </w:rPr>
        <w:t xml:space="preserve"> </w:t>
      </w:r>
      <w:r/>
    </w:p>
    <w:p>
      <w:pPr>
        <w:pStyle w:val="1036"/>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1036"/>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1205"/>
        <w:jc w:val="left"/>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项目编号：</w:t>
      </w:r>
      <w:bookmarkStart w:id="0" w:name="OLE_LINK1"/>
      <w:r>
        <w:rPr>
          <w:rFonts w:hint="eastAsia" w:ascii="仿宋_GB2312" w:hAnsi="仿宋_GB2312" w:eastAsia="仿宋_GB2312" w:cs="仿宋_GB2312"/>
          <w:b/>
          <w:bCs/>
          <w:sz w:val="30"/>
          <w:szCs w:val="30"/>
          <w:lang w:val="en-US" w:eastAsia="zh-CN"/>
        </w:rPr>
        <w:t xml:space="preserve">JSZC-320382-HWDK-C2026-0001</w:t>
      </w:r>
      <w:bookmarkEnd w:id="0"/>
      <w:r/>
      <w:r/>
    </w:p>
    <w:p>
      <w:pPr>
        <w:ind w:firstLine="1205"/>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项目名称：邳州市“一河一案”“一镇一案”“一库一案”编制</w:t>
      </w:r>
      <w:r/>
    </w:p>
    <w:p>
      <w:pPr>
        <w:ind w:firstLine="1205"/>
        <w:jc w:val="left"/>
        <w:spacing w:line="360" w:lineRule="auto"/>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 xml:space="preserve">采 购 人：</w:t>
      </w:r>
      <w:r>
        <w:rPr>
          <w:rFonts w:hint="eastAsia" w:ascii="仿宋_GB2312" w:hAnsi="仿宋_GB2312" w:eastAsia="仿宋_GB2312" w:cs="仿宋_GB2312"/>
          <w:b/>
          <w:bCs/>
          <w:sz w:val="30"/>
          <w:szCs w:val="30"/>
          <w:lang w:eastAsia="zh-CN"/>
        </w:rPr>
        <w:t xml:space="preserve">邳州市水务局</w:t>
      </w:r>
      <w:r/>
    </w:p>
    <w:p>
      <w:pPr>
        <w:ind w:firstLine="1205"/>
        <w:jc w:val="left"/>
        <w:spacing w:line="360" w:lineRule="auto"/>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 xml:space="preserve">代理机构：</w:t>
      </w:r>
      <w:r>
        <w:rPr>
          <w:rFonts w:hint="eastAsia" w:ascii="仿宋_GB2312" w:hAnsi="仿宋_GB2312" w:eastAsia="仿宋_GB2312" w:cs="仿宋_GB2312"/>
          <w:b/>
          <w:bCs/>
          <w:sz w:val="30"/>
          <w:szCs w:val="30"/>
          <w:lang w:eastAsia="zh-CN"/>
        </w:rPr>
        <w:t xml:space="preserve">徐州甲禾项目管理咨询有限公司</w:t>
      </w:r>
      <w:r/>
    </w:p>
    <w:p>
      <w:pPr>
        <w:ind w:firstLine="1205"/>
        <w:jc w:val="left"/>
        <w:spacing w:line="360" w:lineRule="auto"/>
        <w:rPr>
          <w:rFonts w:hint="eastAsia" w:ascii="仿宋_GB2312" w:hAnsi="仿宋_GB2312" w:eastAsia="仿宋_GB2312" w:cs="仿宋_GB2312"/>
        </w:rPr>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仿宋_GB2312" w:hAnsi="仿宋_GB2312" w:eastAsia="仿宋_GB2312" w:cs="仿宋_GB2312"/>
          <w:b/>
          <w:bCs/>
          <w:sz w:val="30"/>
          <w:szCs w:val="30"/>
        </w:rPr>
        <w:t xml:space="preserve">编制时间：</w:t>
      </w:r>
      <w:r>
        <w:rPr>
          <w:rFonts w:hint="eastAsia" w:ascii="仿宋_GB2312" w:hAnsi="仿宋_GB2312" w:eastAsia="仿宋_GB2312" w:cs="仿宋_GB2312"/>
          <w:b/>
          <w:bCs/>
          <w:sz w:val="30"/>
          <w:szCs w:val="30"/>
          <w:lang w:val="en-US" w:eastAsia="zh-CN"/>
        </w:rPr>
        <w:t xml:space="preserve">二〇二六年十月</w:t>
      </w:r>
      <w:r>
        <w:rPr>
          <w:rFonts w:hint="eastAsia" w:ascii="仿宋_GB2312" w:hAnsi="仿宋_GB2312" w:eastAsia="仿宋_GB2312" w:cs="仿宋_GB2312"/>
        </w:rPr>
        <w:br w:type="page" w:clear="all"/>
      </w:r>
      <w:r/>
    </w:p>
    <w:p>
      <w:pPr>
        <w:pStyle w:val="870"/>
        <w:rPr>
          <w:rFonts w:hint="eastAsia" w:ascii="仿宋_GB2312" w:hAnsi="仿宋_GB2312" w:eastAsia="仿宋_GB2312" w:cs="仿宋_GB2312"/>
          <w:sz w:val="24"/>
        </w:rPr>
      </w:pPr>
      <w:r>
        <w:rPr>
          <w:rFonts w:hint="eastAsia" w:ascii="仿宋_GB2312" w:hAnsi="仿宋_GB2312" w:eastAsia="仿宋_GB2312" w:cs="仿宋_GB2312"/>
          <w:b/>
          <w:bCs/>
          <w:sz w:val="44"/>
          <w:szCs w:val="44"/>
        </w:rPr>
        <w:t xml:space="preserve">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按照《中华人民共和国政府采购法》、《中华人民共和国政府采购法实施条例》及《政府采购非招标采购方式管理办法》的规定,受</w:t>
      </w:r>
      <w:r>
        <w:rPr>
          <w:rFonts w:hint="eastAsia" w:ascii="仿宋_GB2312" w:hAnsi="仿宋_GB2312" w:eastAsia="仿宋_GB2312" w:cs="仿宋_GB2312"/>
          <w:sz w:val="24"/>
          <w:lang w:eastAsia="zh-CN"/>
        </w:rPr>
        <w:t xml:space="preserve">邳州市水务局</w:t>
      </w:r>
      <w:r>
        <w:rPr>
          <w:rFonts w:hint="eastAsia" w:ascii="仿宋_GB2312" w:hAnsi="仿宋_GB2312" w:eastAsia="仿宋_GB2312" w:cs="仿宋_GB2312"/>
          <w:sz w:val="24"/>
        </w:rPr>
        <w:t xml:space="preserve">委托，</w:t>
      </w:r>
      <w:r>
        <w:rPr>
          <w:rFonts w:hint="eastAsia" w:ascii="仿宋_GB2312" w:hAnsi="仿宋_GB2312" w:eastAsia="仿宋_GB2312" w:cs="仿宋_GB2312"/>
          <w:sz w:val="24"/>
          <w:lang w:eastAsia="zh-CN"/>
        </w:rPr>
        <w:t xml:space="preserve">徐州甲禾项目管理咨询有限公司</w:t>
      </w:r>
      <w:r>
        <w:rPr>
          <w:rFonts w:hint="eastAsia" w:ascii="仿宋_GB2312" w:hAnsi="仿宋_GB2312" w:eastAsia="仿宋_GB2312" w:cs="仿宋_GB2312"/>
          <w:sz w:val="24"/>
        </w:rPr>
        <w:t xml:space="preserve">对</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u w:val="single"/>
          <w:lang w:eastAsia="zh-CN"/>
        </w:rPr>
        <w:t xml:space="preserve">邳州市“一河一案”“一镇一案”“一库一案”编制</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采取竞争性磋商发布公告方式进行采购。如贵单位有意与本单位合作，请按以下要求参加磋商。</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第一章 项目说明</w:t>
      </w:r>
      <w:r/>
    </w:p>
    <w:p>
      <w:pPr>
        <w:ind w:firstLine="472"/>
        <w:spacing w:line="360" w:lineRule="auto"/>
        <w:rPr>
          <w:rFonts w:hint="eastAsia" w:ascii="仿宋_GB2312" w:hAnsi="仿宋_GB2312" w:eastAsia="仿宋_GB2312" w:cs="仿宋_GB2312"/>
          <w:b/>
          <w:sz w:val="24"/>
          <w:lang w:eastAsia="zh-CN"/>
        </w:rPr>
      </w:pPr>
      <w:r>
        <w:rPr>
          <w:rFonts w:hint="eastAsia" w:ascii="仿宋_GB2312" w:hAnsi="仿宋_GB2312" w:eastAsia="仿宋_GB2312" w:cs="仿宋_GB2312"/>
          <w:b/>
          <w:sz w:val="24"/>
        </w:rPr>
        <w:t xml:space="preserve">一、采购人：</w:t>
      </w:r>
      <w:r>
        <w:rPr>
          <w:rFonts w:hint="eastAsia" w:ascii="仿宋_GB2312" w:hAnsi="仿宋_GB2312" w:eastAsia="仿宋_GB2312" w:cs="仿宋_GB2312"/>
          <w:b/>
          <w:sz w:val="24"/>
          <w:lang w:eastAsia="zh-CN"/>
        </w:rPr>
        <w:t xml:space="preserve">邳州市水务局</w:t>
      </w:r>
      <w:r/>
    </w:p>
    <w:p>
      <w:pPr>
        <w:ind w:firstLine="472"/>
        <w:spacing w:line="360" w:lineRule="auto"/>
        <w:rPr>
          <w:rFonts w:hint="eastAsia" w:ascii="仿宋_GB2312" w:hAnsi="仿宋_GB2312" w:eastAsia="仿宋_GB2312" w:cs="仿宋_GB2312"/>
          <w:b/>
          <w:sz w:val="24"/>
          <w:lang w:eastAsia="zh-CN"/>
        </w:rPr>
      </w:pPr>
      <w:r>
        <w:rPr>
          <w:rFonts w:hint="eastAsia" w:ascii="仿宋_GB2312" w:hAnsi="仿宋_GB2312" w:eastAsia="仿宋_GB2312" w:cs="仿宋_GB2312"/>
          <w:b/>
          <w:sz w:val="24"/>
        </w:rPr>
        <w:t xml:space="preserve">二、项目名称：</w:t>
      </w:r>
      <w:r>
        <w:rPr>
          <w:rFonts w:hint="eastAsia" w:ascii="仿宋_GB2312" w:hAnsi="仿宋_GB2312" w:eastAsia="仿宋_GB2312" w:cs="仿宋_GB2312"/>
          <w:b/>
          <w:sz w:val="24"/>
          <w:lang w:eastAsia="zh-CN"/>
        </w:rPr>
        <w:t xml:space="preserve">邳州市“一河一案”“一镇一案”“一库一案”编制</w:t>
      </w:r>
      <w:r/>
    </w:p>
    <w:p>
      <w:pPr>
        <w:ind w:firstLine="472"/>
        <w:spacing w:line="360" w:lineRule="auto"/>
        <w:rPr>
          <w:rFonts w:hint="eastAsia" w:ascii="仿宋_GB2312" w:hAnsi="仿宋_GB2312" w:eastAsia="仿宋_GB2312" w:cs="仿宋_GB2312"/>
          <w:b/>
          <w:sz w:val="24"/>
          <w:highlight w:val="yellow"/>
          <w:lang w:eastAsia="zh-CN"/>
        </w:rPr>
      </w:pPr>
      <w:r>
        <w:rPr>
          <w:rFonts w:hint="eastAsia" w:ascii="仿宋_GB2312" w:hAnsi="仿宋_GB2312" w:eastAsia="仿宋_GB2312" w:cs="仿宋_GB2312"/>
          <w:b/>
          <w:sz w:val="24"/>
        </w:rPr>
        <w:t xml:space="preserve">三、项目编号：</w:t>
      </w:r>
      <w:r>
        <w:rPr>
          <w:rFonts w:hint="eastAsia" w:ascii="仿宋_GB2312" w:hAnsi="仿宋_GB2312" w:eastAsia="仿宋_GB2312" w:cs="仿宋_GB2312"/>
          <w:b/>
          <w:sz w:val="24"/>
          <w:lang w:eastAsia="zh-CN"/>
        </w:rPr>
        <w:t xml:space="preserve">JSZC-320382-HWDK-C2026-0001</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四、采购方式：本项目采用竞争性磋商采购。</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五、供应商资格条件：</w:t>
      </w:r>
      <w:r/>
    </w:p>
    <w:p>
      <w:pPr>
        <w:pStyle w:val="1037"/>
        <w:ind w:firstLine="472"/>
        <w:spacing w:line="4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5.1符合《中华人民共和国政府采购法》第二十二条的规定</w:t>
      </w:r>
      <w:r>
        <w:rPr>
          <w:rFonts w:hint="eastAsia" w:ascii="仿宋_GB2312" w:hAnsi="仿宋_GB2312" w:eastAsia="仿宋_GB2312" w:cs="仿宋_GB2312"/>
          <w:sz w:val="24"/>
          <w:szCs w:val="24"/>
          <w:lang w:eastAsia="zh-CN"/>
        </w:rPr>
        <w:t xml:space="preserve">。</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5.2 采购项目需要落实的政府采购政策：此项目属于专门面向中小微企业采购的项目</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供应商应为中小微企业、监狱企业、残疾人福利性单位。</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5.3（一）</w:t>
      </w:r>
      <w:r>
        <w:rPr>
          <w:rFonts w:hint="eastAsia" w:ascii="仿宋_GB2312" w:hAnsi="仿宋_GB2312" w:eastAsia="仿宋_GB2312" w:cs="仿宋_GB2312"/>
          <w:sz w:val="24"/>
          <w:szCs w:val="24"/>
          <w:highlight w:val="none"/>
          <w:lang w:eastAsia="zh-CN"/>
        </w:rPr>
        <w:t xml:space="preserve">供应商</w:t>
      </w:r>
      <w:r>
        <w:rPr>
          <w:rFonts w:hint="eastAsia" w:ascii="仿宋_GB2312" w:hAnsi="仿宋_GB2312" w:eastAsia="仿宋_GB2312" w:cs="仿宋_GB2312"/>
          <w:sz w:val="24"/>
          <w:szCs w:val="24"/>
          <w:highlight w:val="none"/>
        </w:rPr>
        <w:t xml:space="preserve">基</w:t>
      </w:r>
      <w:r>
        <w:rPr>
          <w:rFonts w:hint="eastAsia" w:ascii="仿宋_GB2312" w:hAnsi="仿宋_GB2312" w:eastAsia="仿宋_GB2312" w:cs="仿宋_GB2312"/>
          <w:sz w:val="24"/>
          <w:szCs w:val="24"/>
        </w:rPr>
        <w:t xml:space="preserve">本条件</w:t>
      </w:r>
      <w:r/>
    </w:p>
    <w:p>
      <w:pPr>
        <w:pStyle w:val="1037"/>
        <w:numPr>
          <w:ilvl w:val="0"/>
          <w:numId w:val="0"/>
        </w:numPr>
        <w:ind w:firstLine="480"/>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具有独立承担民事责任的能力；</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2.具有良好的商业信誉和健全的财务会计制度；</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3.具有履行合同所必需的设备和专业技术能力；</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4.有依法缴纳税收和社会保障资金的良好记录；</w:t>
      </w:r>
      <w:r/>
    </w:p>
    <w:p>
      <w:pPr>
        <w:pStyle w:val="1037"/>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5.参加投标活动前三年内，在经营活动中没有重大违法记录；</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6.法律、行政法规规定的其他条件。</w:t>
      </w:r>
      <w:r/>
    </w:p>
    <w:p>
      <w:pPr>
        <w:ind w:firstLine="708"/>
        <w:jc w:val="left"/>
        <w:spacing w:line="400" w:lineRule="exact"/>
        <w:widowControl/>
        <w:rPr>
          <w:rFonts w:hint="eastAsia" w:ascii="仿宋_GB2312" w:hAnsi="仿宋_GB2312" w:eastAsia="仿宋_GB2312" w:cs="仿宋_GB2312"/>
          <w:b/>
          <w:color w:val="auto"/>
          <w:sz w:val="24"/>
        </w:rPr>
      </w:pPr>
      <w:r>
        <w:rPr>
          <w:rFonts w:hint="eastAsia" w:ascii="仿宋_GB2312" w:hAnsi="仿宋_GB2312" w:eastAsia="仿宋_GB2312" w:cs="仿宋_GB2312"/>
          <w:sz w:val="24"/>
        </w:rPr>
        <w:t xml:space="preserve">（二）项目要求</w:t>
      </w:r>
      <w:r>
        <w:rPr>
          <w:rFonts w:hint="eastAsia" w:ascii="仿宋_GB2312" w:hAnsi="仿宋_GB2312" w:eastAsia="仿宋_GB2312" w:cs="仿宋_GB2312"/>
          <w:sz w:val="24"/>
          <w:highlight w:val="none"/>
          <w:lang w:eastAsia="zh-CN"/>
        </w:rPr>
        <w:t xml:space="preserve">供应商</w:t>
      </w:r>
      <w:r>
        <w:rPr>
          <w:rFonts w:hint="eastAsia" w:ascii="仿宋_GB2312" w:hAnsi="仿宋_GB2312" w:eastAsia="仿宋_GB2312" w:cs="仿宋_GB2312"/>
          <w:sz w:val="24"/>
        </w:rPr>
        <w:t xml:space="preserve">具备的特定</w:t>
      </w:r>
      <w:r>
        <w:rPr>
          <w:rFonts w:hint="eastAsia" w:ascii="仿宋_GB2312" w:hAnsi="仿宋_GB2312" w:eastAsia="仿宋_GB2312" w:cs="仿宋_GB2312"/>
          <w:color w:val="auto"/>
          <w:sz w:val="24"/>
        </w:rPr>
        <w:t xml:space="preserve">条件</w:t>
      </w:r>
      <w:r/>
    </w:p>
    <w:p>
      <w:pPr>
        <w:contextualSpacing/>
        <w:ind w:firstLine="472"/>
        <w:jc w:val="left"/>
        <w:spacing w:line="440" w:lineRule="exact"/>
        <w:widowControl/>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xml:space="preserve">1、本项目专门面向中小微企业，供应商应提供中小企业声明函。</w:t>
      </w:r>
      <w:r/>
    </w:p>
    <w:p>
      <w:pPr>
        <w:contextualSpacing/>
        <w:ind w:firstLine="472"/>
        <w:jc w:val="left"/>
        <w:spacing w:line="440" w:lineRule="exact"/>
        <w:widowControl/>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highlight w:val="none"/>
          <w:lang w:val="en-US" w:eastAsia="zh-CN"/>
        </w:rPr>
        <w:t xml:space="preserve">2、</w:t>
      </w:r>
      <w:r>
        <w:rPr>
          <w:rFonts w:hint="eastAsia" w:ascii="仿宋_GB2312" w:hAnsi="仿宋_GB2312" w:eastAsia="仿宋_GB2312" w:cs="仿宋_GB2312"/>
          <w:color w:val="auto"/>
          <w:sz w:val="24"/>
          <w:highlight w:val="none"/>
          <w:lang w:eastAsia="zh-CN"/>
        </w:rPr>
        <w:t xml:space="preserve">供应商</w:t>
      </w:r>
      <w:r>
        <w:rPr>
          <w:rFonts w:hint="eastAsia" w:ascii="仿宋_GB2312" w:hAnsi="仿宋_GB2312" w:eastAsia="仿宋_GB2312" w:cs="仿宋_GB2312"/>
          <w:color w:val="auto"/>
          <w:sz w:val="24"/>
          <w:highlight w:val="none"/>
        </w:rPr>
        <w:t xml:space="preserve">须具有</w:t>
      </w:r>
      <w:r>
        <w:rPr>
          <w:rFonts w:hint="eastAsia" w:ascii="仿宋_GB2312" w:hAnsi="仿宋_GB2312" w:eastAsia="仿宋_GB2312" w:cs="仿宋_GB2312"/>
          <w:color w:val="auto"/>
          <w:sz w:val="24"/>
          <w:highlight w:val="none"/>
          <w:lang w:val="en-US" w:eastAsia="zh-CN"/>
        </w:rPr>
        <w:t xml:space="preserve">行政主管部门颁发的水利行业（河道整治）专业设计乙级及以上资质</w:t>
      </w:r>
      <w:r>
        <w:rPr>
          <w:rFonts w:hint="eastAsia" w:ascii="仿宋_GB2312" w:hAnsi="仿宋_GB2312" w:eastAsia="仿宋_GB2312" w:cs="仿宋_GB2312"/>
          <w:color w:val="auto"/>
          <w:sz w:val="24"/>
          <w:szCs w:val="24"/>
          <w:highlight w:val="none"/>
          <w:lang w:val="en-US" w:eastAsia="zh-CN" w:bidi="ar"/>
        </w:rPr>
        <w:t xml:space="preserve">。</w:t>
      </w:r>
      <w:r/>
    </w:p>
    <w:p>
      <w:pPr>
        <w:contextualSpacing/>
        <w:ind w:firstLine="472"/>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lang w:val="en-US" w:eastAsia="zh-CN"/>
        </w:rPr>
        <w:t xml:space="preserve">三</w:t>
      </w: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rPr>
        <w:t xml:space="preserve">本项目不接受联合体投标。</w:t>
      </w:r>
      <w:r/>
    </w:p>
    <w:p>
      <w:pPr>
        <w:contextualSpacing/>
        <w:ind w:firstLine="480"/>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5.4.查询及使用供应商信用记录：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（1）由采购人查询信用信息；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（2）查询渠道包括：</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①“信用中国”网（www.creditchina.gov.cn）；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②“中国政府采购”网（www.ccgp.gov.cn）；</w:t>
      </w:r>
      <w:r/>
    </w:p>
    <w:p>
      <w:pPr>
        <w:ind w:firstLine="472"/>
        <w:spacing w:line="360" w:lineRule="auto"/>
        <w:rPr>
          <w:rFonts w:hint="eastAsia" w:ascii="仿宋_GB2312" w:hAnsi="仿宋_GB2312" w:eastAsia="仿宋_GB2312" w:cs="仿宋_GB2312"/>
          <w:color w:val="000000"/>
          <w:sz w:val="24"/>
          <w:highlight w:val="red"/>
        </w:rPr>
      </w:pPr>
      <w:r>
        <w:rPr>
          <w:rFonts w:hint="eastAsia" w:ascii="仿宋_GB2312" w:hAnsi="仿宋_GB2312" w:eastAsia="仿宋_GB2312" w:cs="仿宋_GB2312"/>
          <w:sz w:val="24"/>
        </w:rPr>
        <w:t xml:space="preserve">③</w:t>
      </w:r>
      <w:r>
        <w:rPr>
          <w:rFonts w:hint="eastAsia" w:ascii="仿宋_GB2312" w:hAnsi="仿宋_GB2312" w:eastAsia="仿宋_GB2312" w:cs="仿宋_GB2312"/>
          <w:color w:val="000000"/>
          <w:sz w:val="24"/>
        </w:rPr>
        <w:t xml:space="preserve">“信用江苏”网（http://credit.jiangsu.gov.cn/）；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④</w:t>
      </w:r>
      <w:r>
        <w:rPr>
          <w:rFonts w:hint="eastAsia" w:ascii="仿宋_GB2312" w:hAnsi="仿宋_GB2312" w:eastAsia="仿宋_GB2312" w:cs="仿宋_GB2312"/>
          <w:color w:val="000000"/>
          <w:sz w:val="24"/>
        </w:rPr>
        <w:t xml:space="preserve">“信用中国(江苏徐州)”网</w:t>
      </w:r>
      <w:r>
        <w:rPr>
          <w:rFonts w:hint="eastAsia" w:ascii="仿宋_GB2312" w:hAnsi="仿宋_GB2312" w:eastAsia="仿宋_GB2312" w:cs="仿宋_GB2312"/>
          <w:sz w:val="24"/>
        </w:rPr>
        <w:t xml:space="preserve">（</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"http://www.xuzhoucredit.gov.cn"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http://www.xuzhoucredit.gov.cn</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（3）截止时点（查询环节）：磋商结束前；</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（4）信用信息查询记录和证据留存方式：网页截屏打印，与其他采购文件一并保存；</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（5）信用信息的使用规则：</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六、项目预算金额：</w:t>
      </w:r>
      <w:r>
        <w:rPr>
          <w:rFonts w:hint="eastAsia" w:ascii="仿宋_GB2312" w:hAnsi="仿宋_GB2312" w:eastAsia="仿宋_GB2312" w:cs="仿宋_GB2312"/>
          <w:b/>
          <w:sz w:val="24"/>
          <w:lang w:val="en-US" w:eastAsia="zh-CN"/>
        </w:rPr>
        <w:t xml:space="preserve">158万元</w:t>
      </w:r>
      <w:r>
        <w:rPr>
          <w:rFonts w:hint="eastAsia" w:ascii="仿宋_GB2312" w:hAnsi="仿宋_GB2312" w:eastAsia="仿宋_GB2312" w:cs="仿宋_GB2312"/>
          <w:b/>
          <w:sz w:val="24"/>
        </w:rPr>
        <w:t xml:space="preserve">，本项目不接受超过</w:t>
      </w:r>
      <w:r>
        <w:rPr>
          <w:rFonts w:hint="eastAsia" w:ascii="仿宋_GB2312" w:hAnsi="仿宋_GB2312" w:eastAsia="仿宋_GB2312" w:cs="仿宋_GB2312"/>
          <w:b/>
          <w:sz w:val="24"/>
          <w:lang w:val="en-US" w:eastAsia="zh-CN"/>
        </w:rPr>
        <w:t xml:space="preserve">158万元</w:t>
      </w:r>
      <w:r>
        <w:rPr>
          <w:rFonts w:hint="eastAsia" w:ascii="仿宋_GB2312" w:hAnsi="仿宋_GB2312" w:eastAsia="仿宋_GB2312" w:cs="仿宋_GB2312"/>
          <w:b/>
          <w:sz w:val="24"/>
        </w:rPr>
        <w:t xml:space="preserve">以上报价。</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七、采购需求：详见《磋商文件》第八章附件《采购需求》，采购人确定的采购项目属性为服务。</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八、合同草案条款：详见《磋商文件》第八章附件《合同草案条款》。</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九、报价要求：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1、供应商报价为要约，采购人无承诺表示时视为未成交，采购人认为必要时可重新进行竞争性磋商采购或采取其它方式采购。</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2、按照《磋商报价表》要求填写首次报价：详见《磋商文件》第八章附件《磋商报价表》。</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3、报价包含本项目范围内的全部费用。供应商有漏报或不报的，采购人将视为有关费用已包括在本项目的报价中而不予支付。采购人不支付报价以外的任何费用。</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lang w:val="en-US" w:eastAsia="zh-CN"/>
        </w:rPr>
        <w:t xml:space="preserve">    </w:t>
      </w:r>
      <w:r>
        <w:rPr>
          <w:rFonts w:hint="eastAsia" w:ascii="仿宋_GB2312" w:hAnsi="仿宋_GB2312" w:eastAsia="仿宋_GB2312" w:cs="仿宋_GB2312"/>
          <w:b/>
          <w:sz w:val="24"/>
        </w:rPr>
        <w:t xml:space="preserve">第二章 招标代理服务费</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十、成交供应商在领取成交通知书前，缴纳招标代理服务费，收取标准见附件。</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第三章 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sz w:val="24"/>
        </w:rPr>
        <w:t xml:space="preserve">十一、响应文件编制要求</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第一部分 基本要求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1、供应商应当按照《磋商文件》的要求编制响应文件，并对其提交的响应文件的真实性、合法性承担法律责任。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（2）供应商应对 CA 证书妥善保管，如被他人盗用投标，因此带来的结果均由供应商自行承担。</w:t>
      </w:r>
      <w:r/>
    </w:p>
    <w:p>
      <w:pPr>
        <w:ind w:firstLine="472"/>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rPr>
        <w:t xml:space="preserve">（3</w:t>
      </w:r>
      <w:r>
        <w:rPr>
          <w:rFonts w:hint="eastAsia" w:ascii="仿宋_GB2312" w:hAnsi="仿宋_GB2312" w:eastAsia="仿宋_GB2312" w:cs="仿宋_GB2312"/>
          <w:sz w:val="24"/>
          <w:highlight w:val="none"/>
        </w:rPr>
        <w:t xml:space="preserve">）</w:t>
      </w:r>
      <w:r>
        <w:rPr>
          <w:rFonts w:hint="eastAsia" w:ascii="仿宋_GB2312" w:hAnsi="仿宋_GB2312" w:eastAsia="仿宋_GB2312" w:cs="仿宋_GB2312"/>
          <w:sz w:val="24"/>
          <w:highlight w:val="none"/>
          <w:lang w:eastAsia="zh-CN"/>
        </w:rPr>
        <w:t xml:space="preserve">供应商</w:t>
      </w:r>
      <w:r>
        <w:rPr>
          <w:rFonts w:hint="eastAsia" w:ascii="仿宋_GB2312" w:hAnsi="仿宋_GB2312" w:eastAsia="仿宋_GB2312" w:cs="仿宋_GB2312"/>
          <w:sz w:val="24"/>
          <w:highlight w:val="none"/>
        </w:rPr>
        <w:t xml:space="preserve">应</w:t>
      </w:r>
      <w:r>
        <w:rPr>
          <w:rFonts w:hint="eastAsia" w:ascii="仿宋_GB2312" w:hAnsi="仿宋_GB2312" w:eastAsia="仿宋_GB2312" w:cs="仿宋_GB2312"/>
          <w:sz w:val="24"/>
        </w:rPr>
        <w:t xml:space="preserve">凭CA数字证书以及自备的能够登录“苏采云”系统的笔记本电脑，在达到开标时间</w:t>
      </w:r>
      <w:r>
        <w:rPr>
          <w:rFonts w:hint="eastAsia" w:ascii="仿宋_GB2312" w:hAnsi="仿宋_GB2312" w:eastAsia="仿宋_GB2312" w:cs="仿宋_GB2312"/>
          <w:sz w:val="24"/>
          <w:highlight w:val="none"/>
        </w:rPr>
        <w:t xml:space="preserve">后，使用CA数字证书解密各自投标文件。因此带来的结果均由供应商自行承担。</w:t>
      </w:r>
      <w:r>
        <w:rPr>
          <w:rFonts w:hint="eastAsia" w:ascii="仿宋_GB2312" w:hAnsi="仿宋_GB2312" w:eastAsia="仿宋_GB2312" w:cs="仿宋_GB2312"/>
          <w:b/>
          <w:bCs/>
          <w:sz w:val="24"/>
          <w:highlight w:val="none"/>
        </w:rPr>
      </w:r>
    </w:p>
    <w:p>
      <w:pPr>
        <w:ind w:firstLine="472"/>
        <w:spacing w:line="360" w:lineRule="auto"/>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highlight w:val="none"/>
        </w:rPr>
      </w:r>
      <w:r>
        <w:rPr>
          <w:rFonts w:hint="eastAsia" w:ascii="仿宋_GB2312" w:hAnsi="仿宋_GB2312" w:eastAsia="仿宋_GB2312" w:cs="仿宋_GB2312"/>
          <w:b/>
          <w:bCs/>
          <w:sz w:val="24"/>
          <w:highlight w:val="none"/>
        </w:rPr>
        <w:t xml:space="preserve">本项目开标时间为：</w:t>
      </w:r>
      <w:r>
        <w:rPr>
          <w:rFonts w:hint="eastAsia" w:ascii="仿宋_GB2312" w:hAnsi="仿宋_GB2312" w:eastAsia="仿宋_GB2312" w:cs="仿宋_GB2312"/>
          <w:b/>
          <w:bCs/>
          <w:sz w:val="24"/>
          <w:highlight w:val="none"/>
          <w:lang w:eastAsia="zh-CN"/>
        </w:rPr>
        <w:t xml:space="preserve">2026年10月21日</w:t>
      </w:r>
      <w:r>
        <w:rPr>
          <w:rFonts w:hint="eastAsia" w:ascii="仿宋_GB2312" w:hAnsi="仿宋_GB2312" w:eastAsia="仿宋_GB2312" w:cs="仿宋_GB2312"/>
          <w:b/>
          <w:bCs/>
          <w:sz w:val="24"/>
          <w:highlight w:val="none"/>
        </w:rPr>
        <w:t xml:space="preserve">北京时间上午09：30分。</w:t>
      </w:r>
      <w:r>
        <w:rPr>
          <w:rFonts w:hint="eastAsia" w:ascii="仿宋_GB2312" w:hAnsi="仿宋_GB2312" w:eastAsia="仿宋_GB2312" w:cs="仿宋_GB2312"/>
          <w:b/>
          <w:bCs/>
          <w:sz w:val="24"/>
          <w:highlight w:val="none"/>
        </w:rPr>
        <w:t xml:space="preserve"> </w:t>
      </w:r>
      <w:r/>
      <w:r/>
    </w:p>
    <w:p>
      <w:pPr>
        <w:ind w:firstLine="472"/>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（4）供应商应当对《磋商文件》提出的要求和条件作出实质性响应，并在电子投标系统逐条应答。</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highlight w:val="none"/>
        </w:rPr>
        <w:t xml:space="preserve">（5）供应商应对要求提供的资格证明文件（</w:t>
      </w:r>
      <w:r>
        <w:rPr>
          <w:rFonts w:hint="eastAsia" w:ascii="仿宋_GB2312" w:hAnsi="仿宋_GB2312" w:eastAsia="仿宋_GB2312" w:cs="仿宋_GB2312"/>
          <w:sz w:val="24"/>
        </w:rPr>
        <w:t xml:space="preserve">如资质证书、资格证书）、技术资料（如白皮书、彩页、手册、检测报告等）原件扫描上传。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3、获取竞争性磋商文件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（1）潜在供应商访问电子招标投标交易平台的网络地址和方法：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①登录 http://jszfcg.jsczt.cn/ ，或进入徐州政府采购网--业务工作--用户登录，点击“苏采云”进入系统。</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“苏采云”系统政务CA办理材料、操作手册及控件下载</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（2）采购代理机构将数据电文形式的采购文件加载至电子招标投标交易平台，供潜在供应商下载或者查阅。</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（3）售价：免费。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（4）技术支持</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如有疑问，请联系客服人员。（工作时间：法定工作日9:00-17:00）</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进入政府采购交易系统，遇到任何问题，请联系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电话：0516-67669051 、0516-67669158</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 江苏省政府采购管理交易系统（苏采云）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4、有下列情形之一的，其投标无效：</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)电子响应文件未按规定期限投标的；</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(2)电子响应文件未按磋商文件要求签章的；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(3)供应商未在规定时间内解密电子响应文件的；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(4)不同供应商响应文件内容存在非正常一致、项目组成员出现同一人、响应文件中错误（或异常）一致或雷同、电子文档信息一致或雷同的、报价呈规律性差异的。</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第二部分 响应文件的组成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（一）《承诺书》（加盖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（二）《磋商报价表》（加盖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（三）其他文件，包括：</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1、供应商的资格证明文件（必须提供，否则投标将被拒绝）</w:t>
      </w:r>
      <w:r/>
    </w:p>
    <w:p>
      <w:pPr>
        <w:ind w:firstLine="472"/>
        <w:spacing w:line="360" w:lineRule="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1</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具有独立承担民事责任的能力，提供</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合法有效的法人的营业执照或其他组织应提供合法证明文件的原件扫描件(加盖电子签章)。</w:t>
      </w:r>
      <w:r/>
    </w:p>
    <w:p>
      <w:pPr>
        <w:ind w:firstLine="472"/>
        <w:spacing w:line="360" w:lineRule="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lang w:val="en-US" w:eastAsia="zh-CN"/>
        </w:rPr>
        <w:t xml:space="preserve">2</w:t>
      </w: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rPr>
        <w:t xml:space="preserve">财务状况报告，至少提供：即提供</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的本项目开标时间前6个月内任何1月（不含开标当月）的资产负债表原件的扫描件1份；</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的本项目开标时间前6个月内任何1月（不含开标当月）利润表月报表原件的扫描件1份(加盖电子签章)。</w:t>
      </w:r>
      <w:r/>
    </w:p>
    <w:p>
      <w:pPr>
        <w:ind w:firstLine="472"/>
        <w:spacing w:line="360" w:lineRule="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lang w:val="en-US" w:eastAsia="zh-CN"/>
        </w:rPr>
        <w:t xml:space="preserve">3</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的本项目开标时间前6个月内（不含开标当月）任何1月的依法缴纳税收和社会保障资金的相关材料扫描件；依法免税或不需要缴纳社会保障资金的</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应提供相应其依法免税或不需要缴纳社会保障资金的证明文件扫描件(加盖电子签章)；</w:t>
      </w:r>
      <w:r/>
    </w:p>
    <w:p>
      <w:pPr>
        <w:ind w:firstLine="472"/>
        <w:spacing w:line="360" w:lineRule="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lang w:val="en-US" w:eastAsia="zh-CN"/>
        </w:rPr>
        <w:t xml:space="preserve">4</w:t>
      </w: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rPr>
        <w:t xml:space="preserve">具备履行合同所必需的设备和专业技术能力的证明材料提供具备履行合同所必需的设备和专业技术能力的书面声明（加盖电子签章，格式见《磋商文件》附件）；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highlight w:val="none"/>
          <w:lang w:eastAsia="zh-CN"/>
        </w:rPr>
        <w:t xml:space="preserve">（</w:t>
      </w:r>
      <w:r>
        <w:rPr>
          <w:rFonts w:hint="eastAsia" w:ascii="仿宋_GB2312" w:hAnsi="仿宋_GB2312" w:eastAsia="仿宋_GB2312" w:cs="仿宋_GB2312"/>
          <w:b w:val="0"/>
          <w:bCs w:val="0"/>
          <w:color w:val="auto"/>
          <w:sz w:val="24"/>
          <w:highlight w:val="none"/>
          <w:lang w:val="en-US" w:eastAsia="zh-CN"/>
        </w:rPr>
        <w:t xml:space="preserve">5</w:t>
      </w:r>
      <w:r>
        <w:rPr>
          <w:rFonts w:hint="eastAsia" w:ascii="仿宋_GB2312" w:hAnsi="仿宋_GB2312" w:eastAsia="仿宋_GB2312" w:cs="仿宋_GB2312"/>
          <w:b w:val="0"/>
          <w:bCs w:val="0"/>
          <w:color w:val="auto"/>
          <w:sz w:val="24"/>
          <w:highlight w:val="none"/>
          <w:lang w:eastAsia="zh-CN"/>
        </w:rPr>
        <w:t xml:space="preserve">）供应商</w:t>
      </w:r>
      <w:r>
        <w:rPr>
          <w:rFonts w:hint="eastAsia" w:ascii="仿宋_GB2312" w:hAnsi="仿宋_GB2312" w:eastAsia="仿宋_GB2312" w:cs="仿宋_GB2312"/>
          <w:b w:val="0"/>
          <w:bCs w:val="0"/>
          <w:color w:val="auto"/>
          <w:sz w:val="24"/>
          <w:highlight w:val="none"/>
        </w:rPr>
        <w:t xml:space="preserve">参加政府采购活动前3年内在</w:t>
      </w:r>
      <w:r>
        <w:rPr>
          <w:rFonts w:hint="eastAsia" w:ascii="仿宋_GB2312" w:hAnsi="仿宋_GB2312" w:eastAsia="仿宋_GB2312" w:cs="仿宋_GB2312"/>
          <w:b w:val="0"/>
          <w:bCs w:val="0"/>
          <w:color w:val="auto"/>
          <w:sz w:val="24"/>
        </w:rPr>
        <w:t xml:space="preserve">经营活动中没有重大违法记录的书面声明（加盖电子签章，格式见《磋商文件》附件）。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6</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此项目属于专门面向中小微企业采购的项目，供应商应为中小微企业、监狱企业、残疾人福利性单位。提供《中小企业声明函》（必须提供，填写完整，加盖电子签章，如不</w:t>
      </w:r>
      <w:r>
        <w:rPr>
          <w:rFonts w:hint="eastAsia" w:ascii="仿宋_GB2312" w:hAnsi="仿宋_GB2312" w:eastAsia="仿宋_GB2312" w:cs="仿宋_GB2312"/>
          <w:b w:val="0"/>
          <w:bCs w:val="0"/>
          <w:color w:val="auto"/>
          <w:sz w:val="24"/>
          <w:highlight w:val="none"/>
        </w:rPr>
        <w:t xml:space="preserve">填写完整，视为无效，格式见《磋商文件》附件）。</w:t>
      </w:r>
      <w:r/>
    </w:p>
    <w:p>
      <w:pPr>
        <w:ind w:firstLine="472"/>
        <w:spacing w:line="360" w:lineRule="auto"/>
        <w:rPr>
          <w:rFonts w:hint="eastAsia" w:ascii="仿宋_GB2312" w:hAnsi="仿宋_GB2312" w:eastAsia="仿宋_GB2312" w:cs="仿宋_GB2312"/>
          <w:b w:val="0"/>
          <w:bCs w:val="0"/>
          <w:color w:val="auto"/>
          <w:sz w:val="24"/>
          <w:highlight w:val="none"/>
          <w:lang w:val="en-US" w:eastAsia="zh-CN"/>
        </w:rPr>
      </w:pP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lang w:val="en-US" w:eastAsia="zh-CN"/>
        </w:rPr>
        <w:t xml:space="preserve">7</w:t>
      </w: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shd w:val="clear" w:color="auto" w:fill="auto"/>
          <w:lang w:eastAsia="zh-CN"/>
        </w:rPr>
        <w:t xml:space="preserve">供应商</w:t>
      </w:r>
      <w:r>
        <w:rPr>
          <w:rFonts w:hint="eastAsia" w:ascii="仿宋_GB2312" w:hAnsi="仿宋_GB2312" w:eastAsia="仿宋_GB2312" w:cs="仿宋_GB2312"/>
          <w:b w:val="0"/>
          <w:bCs w:val="0"/>
          <w:color w:val="auto"/>
          <w:sz w:val="24"/>
          <w:highlight w:val="none"/>
          <w:shd w:val="clear" w:color="auto" w:fill="auto"/>
        </w:rPr>
        <w:t xml:space="preserve">须具有</w:t>
      </w:r>
      <w:r>
        <w:rPr>
          <w:rFonts w:hint="eastAsia" w:ascii="仿宋_GB2312" w:hAnsi="仿宋_GB2312" w:eastAsia="仿宋_GB2312" w:cs="仿宋_GB2312"/>
          <w:b w:val="0"/>
          <w:bCs w:val="0"/>
          <w:color w:val="auto"/>
          <w:sz w:val="24"/>
          <w:highlight w:val="none"/>
          <w:shd w:val="clear" w:color="auto" w:fill="auto"/>
          <w:lang w:eastAsia="zh-CN"/>
        </w:rPr>
        <w:t xml:space="preserve">行政主管部门颁发的水利行业（河道整治）专业设计乙级及以上资质</w:t>
      </w:r>
      <w:r>
        <w:rPr>
          <w:rFonts w:hint="eastAsia" w:ascii="仿宋_GB2312" w:hAnsi="仿宋_GB2312" w:eastAsia="仿宋_GB2312" w:cs="仿宋_GB2312"/>
          <w:color w:val="auto"/>
          <w:sz w:val="24"/>
          <w:szCs w:val="24"/>
          <w:highlight w:val="none"/>
          <w:lang w:val="en-US" w:eastAsia="zh-CN" w:bidi="ar"/>
        </w:rPr>
        <w:t xml:space="preserve">。</w:t>
      </w:r>
      <w:r>
        <w:rPr>
          <w:rFonts w:hint="eastAsia" w:ascii="仿宋_GB2312" w:hAnsi="仿宋_GB2312" w:eastAsia="仿宋_GB2312" w:cs="仿宋_GB2312"/>
          <w:b w:val="0"/>
          <w:bCs w:val="0"/>
          <w:color w:val="auto"/>
          <w:sz w:val="24"/>
          <w:highlight w:val="none"/>
          <w:lang w:val="en-US" w:eastAsia="zh-CN"/>
        </w:rPr>
        <w:t xml:space="preserve">（原件扫描上传</w:t>
      </w:r>
      <w:r>
        <w:rPr>
          <w:rFonts w:hint="eastAsia" w:ascii="仿宋_GB2312" w:hAnsi="仿宋_GB2312" w:eastAsia="仿宋_GB2312" w:cs="仿宋_GB2312"/>
          <w:b w:val="0"/>
          <w:bCs w:val="0"/>
          <w:color w:val="auto"/>
          <w:sz w:val="24"/>
          <w:highlight w:val="none"/>
        </w:rPr>
        <w:t xml:space="preserve">并加盖电子签章</w:t>
      </w:r>
      <w:r>
        <w:rPr>
          <w:rFonts w:hint="eastAsia" w:ascii="仿宋_GB2312" w:hAnsi="仿宋_GB2312" w:eastAsia="仿宋_GB2312" w:cs="仿宋_GB2312"/>
          <w:b w:val="0"/>
          <w:bCs w:val="0"/>
          <w:color w:val="auto"/>
          <w:sz w:val="24"/>
          <w:highlight w:val="none"/>
          <w:lang w:val="en-US" w:eastAsia="zh-CN"/>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highlight w:val="none"/>
        </w:rPr>
        <w:t xml:space="preserve">2、授权委托书</w:t>
      </w:r>
      <w:r>
        <w:rPr>
          <w:rFonts w:hint="eastAsia" w:ascii="仿宋_GB2312" w:hAnsi="仿宋_GB2312" w:eastAsia="仿宋_GB2312" w:cs="仿宋_GB2312"/>
          <w:color w:val="auto"/>
          <w:sz w:val="24"/>
          <w:highlight w:val="none"/>
        </w:rPr>
        <w:t xml:space="preserve">（原件扫描上</w:t>
      </w:r>
      <w:r>
        <w:rPr>
          <w:rFonts w:hint="eastAsia" w:ascii="仿宋_GB2312" w:hAnsi="仿宋_GB2312" w:eastAsia="仿宋_GB2312" w:cs="仿宋_GB2312"/>
          <w:color w:val="auto"/>
          <w:sz w:val="24"/>
        </w:rPr>
        <w:t xml:space="preserve">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3、偏离表</w:t>
      </w:r>
      <w:r>
        <w:rPr>
          <w:rFonts w:hint="eastAsia" w:ascii="仿宋_GB2312" w:hAnsi="仿宋_GB2312" w:eastAsia="仿宋_GB2312" w:cs="仿宋_GB2312"/>
          <w:color w:val="auto"/>
          <w:sz w:val="24"/>
        </w:rPr>
        <w:t xml:space="preserve">（上传并加盖电子签章，格式见《磋商文件》附件）；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4、投标所要求的其他证明材料等（如有）</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5、供应商为监狱企业的，提供省级以上监狱管理局、戒毒管理局（含新疆生产建设兵团）出具的属于监狱企业的证明文件原件扫描上传并加盖电子签章。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注：具体以《财政部 司法部关于政府采购支持监狱企业发展有关问题的通知》（财库〔2014〕68号）的规定为准(非必须提供）。</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6、供应商如为中小企业（含中型、小型、微型企业，下同）的，需提供《中小企业声明函》（上传并加盖电子签章，填写完整。格式见《磋商文件》附件）。《中小企业声明函》查询渠道参考工业和信息化部发布的中小企业规模自测小程序。</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注：中小微企业，应当符合以下条件：</w:t>
      </w:r>
      <w:r/>
    </w:p>
    <w:p>
      <w:pPr>
        <w:ind w:firstLine="472"/>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sz w:val="24"/>
        </w:rPr>
        <w:t xml:space="preserve">中小企业需满足的条件具体以《政府采购促进中小企业发展管理办法》（财库﹝2020﹞46 号）和《工业和信息化部、国家统计局、国家发展和改革委员会、财政部关于印发</w:t>
      </w:r>
      <w:r>
        <w:rPr>
          <w:rFonts w:hint="eastAsia" w:ascii="仿宋_GB2312" w:hAnsi="仿宋_GB2312" w:eastAsia="仿宋_GB2312" w:cs="仿宋_GB2312"/>
          <w:sz w:val="24"/>
          <w:highlight w:val="none"/>
        </w:rPr>
        <w:t xml:space="preserve">中小企业划型标准规定的通知》（工信部联企业[2011]300号）的规定为准。</w:t>
      </w:r>
      <w:r/>
    </w:p>
    <w:p>
      <w:pPr>
        <w:ind w:firstLine="472"/>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sz w:val="24"/>
          <w:highlight w:val="none"/>
          <w:lang w:eastAsia="zh-CN"/>
        </w:rPr>
        <w:t xml:space="preserve">供应商</w:t>
      </w:r>
      <w:r>
        <w:rPr>
          <w:rFonts w:hint="eastAsia" w:ascii="仿宋_GB2312" w:hAnsi="仿宋_GB2312" w:eastAsia="仿宋_GB2312" w:cs="仿宋_GB2312"/>
          <w:sz w:val="24"/>
          <w:highlight w:val="none"/>
        </w:rPr>
        <w:t xml:space="preserve">为残疾人福利性单位的，视同小微企业，提供《残疾人福利性单位声明函》（原件扫描并加盖电子签章，格式见《磋商文件》附件）。具体以《关于促进残疾人就业政府采购政策的通知》（财库〔2017〕141号）的规定为准。</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highlight w:val="none"/>
          <w:lang w:eastAsia="zh-CN"/>
        </w:rPr>
        <w:t xml:space="preserve">供应商</w:t>
      </w:r>
      <w:r>
        <w:rPr>
          <w:rFonts w:hint="eastAsia" w:ascii="仿宋_GB2312" w:hAnsi="仿宋_GB2312" w:eastAsia="仿宋_GB2312" w:cs="仿宋_GB2312"/>
          <w:sz w:val="24"/>
          <w:highlight w:val="none"/>
        </w:rPr>
        <w:t xml:space="preserve">为监狱企业的，视同小微企业，提供省级以上监狱管理局、戒毒管理局（含新疆生产建设兵团）出</w:t>
      </w:r>
      <w:r>
        <w:rPr>
          <w:rFonts w:hint="eastAsia" w:ascii="仿宋_GB2312" w:hAnsi="仿宋_GB2312" w:eastAsia="仿宋_GB2312" w:cs="仿宋_GB2312"/>
          <w:sz w:val="24"/>
        </w:rPr>
        <w:t xml:space="preserve">具的属于监狱企业的证明文件原件扫描上传并加盖电子签章。具体以《财政部 司法部关于政府采购支持监狱企业发展有关问题的通知》（财库〔2014〕68号）的规定为准。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7、供应商为享受政府采购支持政策的残疾人福利性单位的，提供《残疾人福利性单位声明函》（上传并加盖电子签章，格式见《磋商文件》附件，非必须提供）。</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享受政府采购支持政策的残疾人福利性单位应当同时满足以下条件：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（一）安置的残疾人占本单位在职职工人数的比例不低于25%（含25%），并且安置的残疾人人数不少于10人（含10人）；</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（二）依法与安置的每位残疾人签订了一年以上（含一年）的劳动合同或服务协议；</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（三）为安置的每位残疾人按月足额缴纳了基本养老保险、基本医疗保险、失业保险、工伤保险和生育保险等社会保险费；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（四）通过银行等金融机构向安置的每位残疾人，按月支付了不低于单位所在区县适用的经省级人民政府批准的月最低工资标准的工资；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（五）提供本单位制造的货物、承担的工程或者服务（以下简称产品），或者提供其他残疾人福利性单位制造的货物（不包括使用非残疾人福利性单位注册商标的货物）。</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具体以《三部门联合发布关于促进残疾人就业政府采购政策的通知》（财库〔2017〕141号）规定为准。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8、“环境标志产品” 有关证明材料（如有）。</w:t>
      </w:r>
      <w:r/>
    </w:p>
    <w:p>
      <w:pPr>
        <w:ind w:firstLine="708"/>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9、“节能产品” 有关证明材料（如有）。</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有关证明材料原件扫描上传并加盖电子签章。</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第四章 磋商相关说明</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十二、评审程序：</w:t>
      </w:r>
      <w:r/>
    </w:p>
    <w:p>
      <w:pPr>
        <w:ind w:firstLine="472"/>
        <w:spacing w:line="360" w:lineRule="auto"/>
        <w:rPr>
          <w:rFonts w:hint="eastAsia" w:ascii="仿宋_GB2312" w:hAnsi="仿宋_GB2312" w:eastAsia="仿宋_GB2312" w:cs="仿宋_GB2312"/>
          <w:b/>
          <w:bCs/>
          <w:color w:val="ff0000"/>
          <w:sz w:val="24"/>
        </w:rPr>
      </w:pPr>
      <w:r>
        <w:rPr>
          <w:rFonts w:hint="eastAsia" w:ascii="仿宋_GB2312" w:hAnsi="仿宋_GB2312" w:eastAsia="仿宋_GB2312" w:cs="仿宋_GB2312"/>
          <w:sz w:val="24"/>
        </w:rPr>
        <w:t xml:space="preserve">磋商方式：</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b/>
          <w:color w:val="auto"/>
          <w:sz w:val="24"/>
          <w:szCs w:val="24"/>
          <w:highlight w:val="none"/>
          <w:lang w:eastAsia="zh-CN"/>
        </w:rPr>
        <w:t xml:space="preserve">，磋商结束后，请及时对磋商进行磋商函响应，未响应的视同放弃</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_GB2312" w:hAnsi="仿宋_GB2312" w:eastAsia="仿宋_GB2312" w:cs="仿宋_GB2312"/>
          <w:b/>
          <w:bCs/>
          <w:sz w:val="24"/>
        </w:rPr>
        <w:t xml:space="preserve">本项目报价采用二轮报价，</w:t>
      </w:r>
      <w:r>
        <w:rPr>
          <w:rFonts w:hint="eastAsia" w:ascii="仿宋_GB2312" w:hAnsi="仿宋_GB2312" w:eastAsia="仿宋_GB2312" w:cs="仿宋_GB2312"/>
          <w:b/>
          <w:bCs/>
          <w:sz w:val="24"/>
          <w:highlight w:val="none"/>
          <w:lang w:eastAsia="zh-CN"/>
        </w:rPr>
        <w:t xml:space="preserve">供应商</w:t>
      </w:r>
      <w:r>
        <w:rPr>
          <w:rFonts w:hint="eastAsia" w:ascii="仿宋_GB2312" w:hAnsi="仿宋_GB2312" w:eastAsia="仿宋_GB2312" w:cs="仿宋_GB2312"/>
          <w:b/>
          <w:bCs/>
          <w:sz w:val="24"/>
          <w:highlight w:val="none"/>
        </w:rPr>
        <w:t xml:space="preserve">应</w:t>
      </w:r>
      <w:r>
        <w:rPr>
          <w:rFonts w:hint="eastAsia" w:ascii="仿宋_GB2312" w:hAnsi="仿宋_GB2312" w:eastAsia="仿宋_GB2312" w:cs="仿宋_GB2312"/>
          <w:b/>
          <w:bCs/>
          <w:sz w:val="24"/>
        </w:rPr>
        <w:t xml:space="preserve">凭CA数字证书以及自备的能够登录“苏采云”系统的电脑在规定时间内进行二轮报价，</w:t>
      </w:r>
      <w:r>
        <w:rPr>
          <w:rFonts w:hint="eastAsia" w:ascii="仿宋_GB2312" w:hAnsi="仿宋_GB2312" w:eastAsia="仿宋_GB2312" w:cs="仿宋_GB2312"/>
          <w:b/>
          <w:bCs/>
          <w:color w:val="ff0000"/>
          <w:sz w:val="24"/>
        </w:rPr>
        <w:t xml:space="preserve">如未报价，视为响应无效，将不参与后续评标。</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注：评审过程中出现下列情形之一的，评审委员会应当启动异常低价投标（响应）审查程序：</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①投标（响应）报价低于采购项目预算50%的，即投标（响应）报价&lt;采购项目预算×50%；</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②投标（响应）报价低于最高限价45%的，即投标（响应）报价&lt;采购项目预算×45%；</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③评审委员会认定的供应商报价过低、有可能影响产品质量或者不能诚信履约的其他情形。</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十三、评审方法和评审标准：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1、评审方法：综合评分法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十四、磋商过程中可能实质性变动的内容：</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在磋商过程中，磋商小组可以根据《磋商文件》和磋商情况实质性变动采购需求中的技术、服务要求以及合同草案条款。</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 xml:space="preserve">十五、</w:t>
      </w:r>
      <w:r>
        <w:rPr>
          <w:rFonts w:hint="eastAsia" w:ascii="仿宋_GB2312" w:hAnsi="仿宋_GB2312" w:eastAsia="仿宋_GB2312" w:cs="仿宋_GB2312"/>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0"/>
        <w:rPr>
          <w:rFonts w:hint="eastAsia" w:ascii="仿宋_GB2312" w:hAnsi="仿宋_GB2312" w:eastAsia="仿宋_GB2312" w:cs="仿宋_GB2312"/>
          <w:bCs w:val="0"/>
          <w:sz w:val="24"/>
          <w:szCs w:val="24"/>
        </w:rPr>
      </w:pPr>
      <w:r>
        <w:rPr>
          <w:rFonts w:hint="eastAsia" w:ascii="仿宋_GB2312" w:hAnsi="仿宋_GB2312" w:eastAsia="仿宋_GB2312" w:cs="仿宋_GB2312"/>
          <w:sz w:val="24"/>
          <w:szCs w:val="24"/>
        </w:rPr>
        <w:t xml:space="preserve">第五章 确定成交供应商及合同签订等</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十六、成交结果确认：</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十七、</w:t>
      </w:r>
      <w:r>
        <w:rPr>
          <w:rFonts w:hint="eastAsia" w:ascii="仿宋_GB2312" w:hAnsi="仿宋_GB2312" w:eastAsia="仿宋_GB2312" w:cs="仿宋_GB2312"/>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十八、</w:t>
      </w:r>
      <w:r>
        <w:rPr>
          <w:rFonts w:hint="eastAsia" w:ascii="仿宋_GB2312" w:hAnsi="仿宋_GB2312" w:eastAsia="仿宋_GB2312" w:cs="仿宋_GB2312"/>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十九、成交结果公告</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自在采购结果确认后，采购代理机构将在法定网站发布成交公告，将采购结果告知采购当事人，成交结果在</w:t>
      </w:r>
      <w:r>
        <w:rPr>
          <w:rFonts w:hint="eastAsia" w:ascii="仿宋_GB2312" w:hAnsi="仿宋_GB2312" w:eastAsia="仿宋_GB2312" w:cs="仿宋_GB2312"/>
          <w:b/>
          <w:sz w:val="24"/>
        </w:rPr>
        <w:t xml:space="preserve">徐州政府采购网https://czj.xz.gov.cn/zfcg/index.html</w:t>
      </w:r>
      <w:r>
        <w:rPr>
          <w:rFonts w:hint="eastAsia" w:ascii="仿宋_GB2312" w:hAnsi="仿宋_GB2312" w:eastAsia="仿宋_GB2312" w:cs="仿宋_GB2312"/>
          <w:sz w:val="24"/>
        </w:rPr>
        <w:t xml:space="preserve">上公布。</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采购人：</w:t>
      </w:r>
      <w:r>
        <w:rPr>
          <w:rFonts w:hint="eastAsia" w:ascii="仿宋_GB2312" w:hAnsi="仿宋_GB2312" w:eastAsia="仿宋_GB2312" w:cs="仿宋_GB2312"/>
          <w:sz w:val="24"/>
          <w:lang w:eastAsia="zh-CN"/>
        </w:rPr>
        <w:t xml:space="preserve">邳州市水务局</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联系人：石宇豪</w:t>
      </w:r>
      <w:r/>
    </w:p>
    <w:p>
      <w:pPr>
        <w:ind w:firstLine="472"/>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eastAsia="zh-CN"/>
        </w:rPr>
        <w:t xml:space="preserve">联系电话：18361337738</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采购代理公司：徐州甲禾项目管理咨询有限公司</w:t>
      </w:r>
      <w:r/>
    </w:p>
    <w:p>
      <w:pPr>
        <w:ind w:firstLine="472"/>
        <w:spacing w:line="360" w:lineRule="auto"/>
        <w:rPr>
          <w:rFonts w:hint="eastAsia" w:ascii="仿宋_GB2312" w:hAnsi="仿宋_GB2312" w:eastAsia="仿宋_GB2312" w:cs="仿宋_GB2312"/>
          <w:sz w:val="24"/>
          <w:lang w:val="en-US" w:eastAsia="zh-CN"/>
        </w:rPr>
      </w:pPr>
      <w:r/>
      <w:bookmarkStart w:id="1" w:name="OLE_LINK3"/>
      <w:r>
        <w:rPr>
          <w:rFonts w:hint="eastAsia" w:ascii="仿宋_GB2312" w:hAnsi="仿宋_GB2312" w:eastAsia="仿宋_GB2312" w:cs="仿宋_GB2312"/>
          <w:sz w:val="24"/>
          <w:lang w:eastAsia="zh-CN"/>
        </w:rPr>
        <w:t xml:space="preserve">联系人：胡工</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电  话：</w:t>
      </w:r>
      <w:bookmarkStart w:id="2" w:name="OLE_LINK5"/>
      <w:r>
        <w:rPr>
          <w:rFonts w:hint="eastAsia" w:ascii="仿宋_GB2312" w:hAnsi="仿宋_GB2312" w:eastAsia="仿宋_GB2312" w:cs="仿宋_GB2312"/>
          <w:sz w:val="24"/>
          <w:lang w:eastAsia="zh-CN"/>
        </w:rPr>
        <w:t xml:space="preserve">18751599972</w:t>
      </w:r>
      <w:bookmarkEnd w:id="1"/>
      <w:r/>
      <w:bookmarkEnd w:id="2"/>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联系地址：江苏省徐州市铜山区淮河路路南，黄山路东商住楼（现为淮河西路21#-105铺）</w:t>
      </w:r>
      <w:r/>
    </w:p>
    <w:p>
      <w:pPr>
        <w:pStyle w:val="87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第六章 磋商文件的澄清或者修改</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二十、《磋商文件》的澄清或者修改：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7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第七章 询问和质疑</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二十一、询问和质疑：</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政府采购投诉网上平台，请登陆江苏政务服务网站（http://xzxy.jszwfw.gov.cn），选择</w:t>
      </w:r>
      <w:r>
        <w:rPr>
          <w:rFonts w:hint="eastAsia" w:ascii="仿宋_GB2312" w:hAnsi="仿宋_GB2312" w:eastAsia="仿宋_GB2312" w:cs="仿宋_GB2312"/>
          <w:color w:val="auto"/>
          <w:sz w:val="24"/>
          <w:lang w:eastAsia="zh-CN"/>
        </w:rPr>
        <w:t xml:space="preserve">徐州市</w:t>
      </w:r>
      <w:r>
        <w:rPr>
          <w:rFonts w:hint="eastAsia" w:ascii="仿宋_GB2312" w:hAnsi="仿宋_GB2312" w:eastAsia="仿宋_GB2312" w:cs="仿宋_GB2312"/>
          <w:color w:val="auto"/>
          <w:sz w:val="24"/>
        </w:rPr>
        <w:t xml:space="preserve">--个人服务--按部门--市财政局--政府采购投诉处理--在线办理。（注意在线办理前须注册江苏政务服务网站帐号）。</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质疑接收人：</w:t>
      </w:r>
      <w:r>
        <w:rPr>
          <w:rFonts w:hint="eastAsia" w:ascii="仿宋_GB2312" w:hAnsi="仿宋_GB2312" w:eastAsia="仿宋_GB2312" w:cs="仿宋_GB2312"/>
          <w:sz w:val="24"/>
          <w:lang w:eastAsia="zh-CN"/>
        </w:rPr>
        <w:t xml:space="preserve">胡工</w:t>
      </w:r>
      <w:r>
        <w:rPr>
          <w:rFonts w:hint="eastAsia" w:ascii="仿宋_GB2312" w:hAnsi="仿宋_GB2312" w:eastAsia="仿宋_GB2312" w:cs="仿宋_GB2312"/>
          <w:color w:val="auto"/>
          <w:sz w:val="24"/>
        </w:rPr>
        <w:t xml:space="preserve">      </w:t>
      </w:r>
      <w:r/>
    </w:p>
    <w:p>
      <w:pPr>
        <w:ind w:firstLine="472"/>
        <w:spacing w:line="360" w:lineRule="auto"/>
        <w:widowControl/>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联系电话：</w:t>
      </w:r>
      <w:r>
        <w:rPr>
          <w:rFonts w:hint="eastAsia" w:ascii="仿宋_GB2312" w:hAnsi="仿宋_GB2312" w:eastAsia="仿宋_GB2312" w:cs="仿宋_GB2312"/>
          <w:sz w:val="24"/>
          <w:lang w:eastAsia="zh-CN"/>
        </w:rPr>
        <w:t xml:space="preserve">18751599972</w:t>
      </w:r>
      <w:r/>
    </w:p>
    <w:p>
      <w:pPr>
        <w:ind w:firstLine="472"/>
        <w:spacing w:line="360" w:lineRule="auto"/>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地址：</w:t>
      </w:r>
      <w:r>
        <w:rPr>
          <w:rFonts w:hint="eastAsia" w:ascii="仿宋_GB2312" w:hAnsi="仿宋_GB2312" w:eastAsia="仿宋_GB2312" w:cs="仿宋_GB2312"/>
          <w:sz w:val="24"/>
          <w:lang w:eastAsia="zh-CN"/>
        </w:rPr>
        <w:t xml:space="preserve">江苏省徐州市铜山区淮河路路南，黄山路东商住楼（现为淮河西路21#-105铺）</w:t>
      </w:r>
      <w:r/>
    </w:p>
    <w:p>
      <w:pPr>
        <w:pStyle w:val="870"/>
        <w:numPr>
          <w:ilvl w:val="0"/>
          <w:numId w:val="1"/>
        </w:num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rPr>
          <w:rFonts w:hint="eastAsia" w:ascii="仿宋_GB2312" w:hAnsi="仿宋_GB2312" w:eastAsia="仿宋_GB2312" w:cs="仿宋_GB2312"/>
          <w:sz w:val="24"/>
          <w:szCs w:val="24"/>
        </w:rPr>
        <w:t xml:space="preserve">附  件</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二十二、附件：附后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1、《评分细则》</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2、《采购需求》</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3、《磋商报价表》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4、《偏离表》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5、《承诺书》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6、《法人授权委托书》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7、《供应商参加政府采购活动前3年内在经营活动中没有重大违法记录的书面声明》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8、《中小企业声明函》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9、《残疾人福利性单位声明函》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10、《方案》</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11、《合同草案条款》</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12、《具备履行合同所必需的设备和专业技术能力的书面声明》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13、《招标代理服务收费标准》</w:t>
      </w:r>
      <w:r/>
    </w:p>
    <w:p>
      <w:pPr>
        <w:pStyle w:val="1039"/>
        <w:rPr>
          <w:rFonts w:hint="eastAsia" w:ascii="仿宋_GB2312" w:hAnsi="仿宋_GB2312" w:eastAsia="仿宋_GB2312" w:cs="仿宋_GB2312"/>
          <w:sz w:val="24"/>
        </w:rPr>
      </w:pPr>
      <w:r>
        <w:rPr>
          <w:rFonts w:hint="eastAsia" w:ascii="仿宋_GB2312" w:hAnsi="仿宋_GB2312" w:eastAsia="仿宋_GB2312" w:cs="仿宋_GB2312"/>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59"/>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59"/>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59"/>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59"/>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59"/>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1、评分细则</w:t>
      </w:r>
      <w:bookmarkStart w:id="3" w:name="第六章__采购需求"/>
      <w:r/>
      <w:bookmarkEnd w:id="3"/>
      <w:r/>
      <w:r/>
    </w:p>
    <w:p>
      <w:pPr>
        <w:rPr>
          <w:rStyle w:val="103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tbl>
      <w:tblPr>
        <w:tblStyle w:val="809"/>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1405"/>
        <w:gridCol w:w="6446"/>
        <w:gridCol w:w="5"/>
      </w:tblGrid>
      <w:tr>
        <w:trPr>
          <w:jc w:val="center"/>
          <w:trHeight w:val="699"/>
        </w:trPr>
        <w:tc>
          <w:tcPr>
            <w:gridSpan w:val="2"/>
            <w:tcMar>
              <w:left w:w="108" w:type="dxa"/>
              <w:top w:w="0" w:type="dxa"/>
              <w:right w:w="108" w:type="dxa"/>
              <w:bottom w:w="0" w:type="dxa"/>
            </w:tcMar>
            <w:tcW w:w="2325"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lang w:val="en-US" w:eastAsia="zh-CN"/>
              </w:rPr>
              <w:t xml:space="preserve">评审项目</w:t>
            </w:r>
            <w:r/>
          </w:p>
        </w:tc>
        <w:tc>
          <w:tcPr>
            <w:gridSpan w:val="2"/>
            <w:tcMar>
              <w:left w:w="108" w:type="dxa"/>
              <w:top w:w="0" w:type="dxa"/>
              <w:right w:w="108" w:type="dxa"/>
              <w:bottom w:w="0" w:type="dxa"/>
            </w:tcMar>
            <w:tcW w:w="6451"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rPr>
              <w:t xml:space="preserve">评分标准</w:t>
            </w:r>
            <w:r/>
          </w:p>
        </w:tc>
      </w:tr>
      <w:tr>
        <w:trPr>
          <w:jc w:val="center"/>
          <w:trHeight w:val="1619"/>
        </w:trPr>
        <w:tc>
          <w:tcPr>
            <w:tcMar>
              <w:left w:w="108" w:type="dxa"/>
              <w:top w:w="0" w:type="dxa"/>
              <w:right w:w="108" w:type="dxa"/>
              <w:bottom w:w="0" w:type="dxa"/>
            </w:tcMar>
            <w:tcW w:w="920" w:type="dxa"/>
            <w:vAlign w:val="center"/>
            <w:textDirection w:val="lrTb"/>
            <w:noWrap w:val="false"/>
          </w:tcPr>
          <w:p>
            <w:pPr>
              <w:pStyle w:val="1101"/>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价格部分</w:t>
            </w:r>
            <w:r/>
          </w:p>
          <w:p>
            <w:pPr>
              <w:jc w:val="center"/>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15</w:t>
            </w:r>
            <w:r>
              <w:rPr>
                <w:rFonts w:hint="eastAsia" w:ascii="仿宋_GB2312" w:hAnsi="仿宋_GB2312" w:eastAsia="仿宋_GB2312" w:cs="仿宋_GB2312"/>
                <w:color w:val="auto"/>
                <w:sz w:val="22"/>
                <w:szCs w:val="22"/>
              </w:rPr>
              <w:t xml:space="preserve">分）</w:t>
            </w:r>
            <w:r/>
          </w:p>
        </w:tc>
        <w:tc>
          <w:tcPr>
            <w:tcMar>
              <w:left w:w="108" w:type="dxa"/>
              <w:top w:w="0" w:type="dxa"/>
              <w:right w:w="108" w:type="dxa"/>
              <w:bottom w:w="0" w:type="dxa"/>
            </w:tcMar>
            <w:tcW w:w="1405" w:type="dxa"/>
            <w:vAlign w:val="center"/>
            <w:textDirection w:val="lrTb"/>
            <w:noWrap w:val="false"/>
          </w:tcPr>
          <w:p>
            <w:pPr>
              <w:pStyle w:val="1101"/>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价格分</w:t>
            </w:r>
            <w:r/>
          </w:p>
          <w:p>
            <w:pPr>
              <w:pStyle w:val="1101"/>
              <w:jc w:val="both"/>
              <w:spacing w:line="360" w:lineRule="auto"/>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 xml:space="preserve">（15</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451" w:type="dxa"/>
            <w:vAlign w:val="center"/>
            <w:textDirection w:val="lrTb"/>
            <w:noWrap w:val="false"/>
          </w:tcPr>
          <w:p>
            <w:pPr>
              <w:ind w:right="0" w:firstLine="44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本项目价格评分采用低价优先法计算，即满足磋商文件要求且投标价格最低的有效投标报价为评标基准价，其价格分为满分。其他供应商报价得分：投标报价得分=(评标基准价／投标报价)×15（四舍五入后保留小数点后两位)。</w:t>
            </w:r>
            <w:r/>
          </w:p>
        </w:tc>
      </w:tr>
      <w:tr>
        <w:trPr>
          <w:jc w:val="center"/>
          <w:trHeight w:val="1140"/>
        </w:trPr>
        <w:tc>
          <w:tcPr>
            <w:tcMar>
              <w:left w:w="108" w:type="dxa"/>
              <w:top w:w="0" w:type="dxa"/>
              <w:right w:w="108" w:type="dxa"/>
              <w:bottom w:w="0" w:type="dxa"/>
            </w:tcMar>
            <w:tcW w:w="920" w:type="dxa"/>
            <w:vAlign w:val="center"/>
            <w:vMerge w:val="restart"/>
            <w:textDirection w:val="lrTb"/>
            <w:noWrap w:val="false"/>
          </w:tcPr>
          <w:p>
            <w:pPr>
              <w:ind w:left="0" w:right="0" w:firstLine="0"/>
              <w:jc w:val="center"/>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商务部分</w:t>
            </w:r>
            <w:r/>
          </w:p>
          <w:p>
            <w:pPr>
              <w:ind w:left="0" w:right="0" w:firstLine="0"/>
              <w:jc w:val="center"/>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（22分）</w:t>
            </w:r>
            <w:r/>
          </w:p>
        </w:tc>
        <w:tc>
          <w:tcPr>
            <w:tcMar>
              <w:left w:w="108" w:type="dxa"/>
              <w:top w:w="0" w:type="dxa"/>
              <w:right w:w="108" w:type="dxa"/>
              <w:bottom w:w="0" w:type="dxa"/>
            </w:tcMar>
            <w:tcW w:w="1405" w:type="dxa"/>
            <w:vAlign w:val="center"/>
            <w:textDirection w:val="lrTb"/>
            <w:noWrap w:val="false"/>
          </w:tcPr>
          <w:p>
            <w:pPr>
              <w:ind w:left="0" w:right="0" w:firstLine="0"/>
              <w:jc w:val="center"/>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供应商业绩</w:t>
            </w:r>
            <w:r/>
          </w:p>
          <w:p>
            <w:pPr>
              <w:ind w:left="0" w:right="0" w:firstLine="0"/>
              <w:jc w:val="center"/>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（4分）</w:t>
            </w:r>
            <w:r/>
          </w:p>
        </w:tc>
        <w:tc>
          <w:tcPr>
            <w:gridSpan w:val="2"/>
            <w:tcMar>
              <w:left w:w="108" w:type="dxa"/>
              <w:top w:w="0" w:type="dxa"/>
              <w:right w:w="108" w:type="dxa"/>
              <w:bottom w:w="0" w:type="dxa"/>
            </w:tcMar>
            <w:tcW w:w="6451" w:type="dxa"/>
            <w:vAlign w:val="top"/>
            <w:textDirection w:val="lrTb"/>
            <w:noWrap w:val="false"/>
          </w:tcPr>
          <w:p>
            <w:pPr>
              <w:ind w:left="0" w:right="0" w:firstLine="44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自2021年06月01日以来（以合同签订日期为准）供应商承接过类似项目的业绩证明材料，每提供一个得2分，最高得4分；</w:t>
            </w:r>
            <w:r/>
          </w:p>
          <w:p>
            <w:pPr>
              <w:ind w:left="0" w:right="0" w:firstLine="44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注：业绩需提供合同协议书，合同协议书原件的扫描上传并加盖电子签章，否则不得分。</w:t>
            </w:r>
            <w:r/>
          </w:p>
        </w:tc>
      </w:tr>
      <w:tr>
        <w:trPr>
          <w:jc w:val="center"/>
          <w:trHeight w:val="1464"/>
        </w:trPr>
        <w:tc>
          <w:tcPr>
            <w:tcW w:w="920"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405" w:type="dxa"/>
            <w:vAlign w:val="center"/>
            <w:textDirection w:val="lrTb"/>
            <w:noWrap w:val="false"/>
          </w:tcPr>
          <w:p>
            <w:pPr>
              <w:ind w:left="0" w:right="0" w:firstLine="0"/>
              <w:jc w:val="center"/>
              <w:spacing w:before="0" w:after="0" w:line="300" w:lineRule="atLeast"/>
              <w:rPr>
                <w:rFonts w:hint="eastAsia" w:ascii="仿宋_GB2312" w:hAnsi="仿宋_GB2312" w:eastAsia="仿宋_GB2312" w:cs="仿宋_GB2312"/>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企业资信</w:t>
            </w: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3</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451" w:type="dxa"/>
            <w:vAlign w:val="center"/>
            <w:textDirection w:val="lrTb"/>
            <w:noWrap w:val="false"/>
          </w:tcPr>
          <w:p>
            <w:pPr>
              <w:numPr>
                <w:ilvl w:val="0"/>
                <w:numId w:val="0"/>
              </w:numPr>
              <w:ind w:left="10" w:right="0" w:firstLine="409"/>
              <w:spacing w:before="0" w:after="0" w:line="300" w:lineRule="atLeast"/>
              <w:rPr>
                <w:rFonts w:hint="eastAsia" w:ascii="仿宋_GB2312" w:hAnsi="仿宋_GB2312" w:eastAsia="仿宋_GB2312" w:cs="仿宋_GB2312"/>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eastAsia="zh-CN"/>
              </w:rPr>
              <w:t xml:space="preserve">供应商</w:t>
            </w:r>
            <w:r>
              <w:rPr>
                <w:rFonts w:hint="eastAsia" w:ascii="仿宋_GB2312" w:hAnsi="仿宋_GB2312" w:eastAsia="仿宋_GB2312" w:cs="仿宋_GB2312"/>
                <w:color w:val="auto"/>
                <w:sz w:val="22"/>
                <w:szCs w:val="22"/>
                <w:highlight w:val="none"/>
              </w:rPr>
              <w:t xml:space="preserve">具有有效的ISO三体系认证（ISO9001质量管理体系认证、ISO14001环境管理体系认证、ISO45001职业健康安全管理体系）证书，每有一项得1分，最高得3分。</w:t>
            </w:r>
            <w:r/>
          </w:p>
          <w:p>
            <w:pPr>
              <w:numPr>
                <w:ilvl w:val="0"/>
                <w:numId w:val="0"/>
              </w:numPr>
              <w:ind w:left="10" w:right="0" w:firstLine="198"/>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rPr>
              <w:t xml:space="preserve">（注：认证须在国家市场监督管理总局全国认证认可信息公共服务平台(http://cx.cnca.cn/CertECloud/result/skipResultList)可查询，且证书状态须为有效，否则不得分。提供证书原件扫描件及查询截图加盖公章，未提供的不得分。）</w:t>
            </w:r>
            <w:r/>
          </w:p>
        </w:tc>
      </w:tr>
      <w:tr>
        <w:trPr>
          <w:jc w:val="center"/>
          <w:trHeight w:val="629"/>
        </w:trPr>
        <w:tc>
          <w:tcPr>
            <w:tcW w:w="920"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405" w:type="dxa"/>
            <w:vAlign w:val="center"/>
            <w:textDirection w:val="lrTb"/>
            <w:noWrap w:val="false"/>
          </w:tcPr>
          <w:p>
            <w:pPr>
              <w:pStyle w:val="1101"/>
              <w:jc w:val="center"/>
              <w:spacing w:line="360" w:lineRule="auto"/>
              <w:rPr>
                <w:rFonts w:hint="eastAsia" w:ascii="仿宋_GB2312" w:hAnsi="仿宋_GB2312" w:eastAsia="仿宋_GB2312" w:cs="仿宋_GB2312"/>
                <w:color w:val="auto"/>
                <w:sz w:val="22"/>
                <w:szCs w:val="22"/>
                <w:highlight w:val="none"/>
                <w:lang w:val="en-US" w:eastAsia="zh-CN"/>
              </w:rPr>
            </w:pPr>
            <w:r>
              <w:rPr>
                <w:rFonts w:hint="eastAsia" w:ascii="仿宋_GB2312" w:hAnsi="仿宋_GB2312" w:eastAsia="仿宋_GB2312" w:cs="仿宋_GB2312"/>
                <w:color w:val="auto"/>
                <w:sz w:val="22"/>
                <w:szCs w:val="22"/>
                <w:highlight w:val="none"/>
                <w:lang w:val="en-US" w:eastAsia="zh-CN"/>
              </w:rPr>
              <w:t xml:space="preserve">项目组成员（15</w:t>
            </w:r>
            <w:r>
              <w:rPr>
                <w:rFonts w:hint="eastAsia" w:ascii="仿宋_GB2312" w:hAnsi="仿宋_GB2312" w:eastAsia="仿宋_GB2312" w:cs="仿宋_GB2312"/>
                <w:color w:val="auto"/>
                <w:sz w:val="22"/>
                <w:szCs w:val="22"/>
                <w:highlight w:val="none"/>
              </w:rPr>
              <w:t xml:space="preserve">分）</w:t>
            </w:r>
            <w:r/>
          </w:p>
        </w:tc>
        <w:tc>
          <w:tcPr>
            <w:gridSpan w:val="2"/>
            <w:tcMar>
              <w:left w:w="108" w:type="dxa"/>
              <w:top w:w="0" w:type="dxa"/>
              <w:right w:w="108" w:type="dxa"/>
              <w:bottom w:w="0" w:type="dxa"/>
            </w:tcMar>
            <w:tcW w:w="6451" w:type="dxa"/>
            <w:vAlign w:val="center"/>
            <w:textDirection w:val="lrTb"/>
            <w:noWrap w:val="false"/>
          </w:tcPr>
          <w:p>
            <w:pPr>
              <w:numPr>
                <w:ilvl w:val="0"/>
                <w:numId w:val="2"/>
              </w:numPr>
              <w:ind w:left="0" w:right="0" w:firstLine="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项目负责人：拟派项目负责人具有水利工程类高级工程师职称得2分；取得注册土木工程师（水利水电工程）证书得1分。本项最多得3分。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技术负责人：拟派技术负责人具有水利工程类高级工程师职称得2分；取得注册土木工程师（水利水电工程）证书得1分。本项最多得3分。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勘查专业负责人：具有中级及以上工程师职称得1分；具有注册土木工程师（岩土）证书得1分。本项最多得2分。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水工结构专业负责人：具有中级及以上工程师职称得1分；具有注册土木工程师（水利水电工程水工结构）证书得1分。本项最多得2分。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造价专业负责人：具有中级及以上工程师职称得1分；具有注册一级造价工程师（水利工程）证书得1分。本项最多得2分。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环境工程专业负责人：具有中级及以上工程师职称得1分；具有注册环保工程师证书得1分。本项最多得2分。</w:t>
            </w:r>
            <w:r/>
          </w:p>
          <w:p>
            <w:pPr>
              <w:numPr>
                <w:ilvl w:val="0"/>
                <w:numId w:val="2"/>
              </w:numPr>
              <w:ind w:left="0" w:right="0" w:firstLine="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水务专业负责人：具有中级及以上工程师职称得1分；本项最多得1分。</w:t>
            </w:r>
            <w:r/>
          </w:p>
          <w:p>
            <w:pPr>
              <w:numPr>
                <w:ilvl w:val="0"/>
                <w:numId w:val="0"/>
              </w:numPr>
              <w:ind w:right="0"/>
              <w:spacing w:before="0" w:after="0" w:line="300" w:lineRule="atLeast"/>
              <w:rPr>
                <w:rFonts w:hint="default"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注：项目组成员之间不得相互兼任，需提供拟投入项目组成员的相应职称证书、资格证书或注册证书及供应商自此项目开标时间前6以来任意一个月在本单位为其依法缴纳的社保证明，退休人员、事业编制人员无法提供社保的，可提供聘用合同、退休证明或人事编制证明</w:t>
            </w:r>
            <w:r>
              <w:rPr>
                <w:rFonts w:hint="eastAsia" w:ascii="仿宋_GB2312" w:hAnsi="仿宋_GB2312" w:eastAsia="仿宋_GB2312" w:cs="仿宋_GB2312"/>
                <w:color w:val="auto"/>
                <w:sz w:val="22"/>
                <w:szCs w:val="22"/>
                <w:highlight w:val="none"/>
                <w:lang w:val="en-US" w:eastAsia="zh-CN"/>
              </w:rPr>
              <w:t xml:space="preserve">提供材料不全或者提供材料不符合要求的不得分。</w:t>
            </w:r>
            <w:r/>
          </w:p>
        </w:tc>
      </w:tr>
      <w:tr>
        <w:trPr>
          <w:gridAfter w:val="1"/>
          <w:jc w:val="center"/>
          <w:trHeight w:val="557"/>
        </w:trPr>
        <w:tc>
          <w:tcPr>
            <w:tcW w:w="920" w:type="dxa"/>
            <w:vAlign w:val="center"/>
            <w:vMerge w:val="restart"/>
            <w:textDirection w:val="lrTb"/>
            <w:noWrap w:val="false"/>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sz w:val="22"/>
                <w:szCs w:val="22"/>
              </w:rPr>
              <w:t xml:space="preserve">技术</w:t>
            </w:r>
            <w:r>
              <w:rPr>
                <w:rFonts w:hint="eastAsia" w:ascii="仿宋_GB2312" w:hAnsi="仿宋_GB2312" w:eastAsia="仿宋_GB2312" w:cs="仿宋_GB2312"/>
                <w:color w:val="000000"/>
                <w:sz w:val="22"/>
                <w:szCs w:val="22"/>
                <w:lang w:val="en-US" w:eastAsia="zh-CN"/>
              </w:rPr>
              <w:t xml:space="preserve">部分（63分）</w:t>
            </w:r>
            <w:r/>
          </w:p>
        </w:tc>
        <w:tc>
          <w:tcPr>
            <w:tcW w:w="1405"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项目理解及分析</w:t>
            </w:r>
            <w:r/>
          </w:p>
          <w:p>
            <w:pPr>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10分）</w:t>
            </w:r>
            <w:r/>
          </w:p>
        </w:tc>
        <w:tc>
          <w:tcPr>
            <w:tcW w:w="6446" w:type="dxa"/>
            <w:vAlign w:val="top"/>
            <w:textDirection w:val="lrTb"/>
            <w:noWrap w:val="false"/>
          </w:tcPr>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根据供应商提供的</w:t>
            </w:r>
            <w:r>
              <w:rPr>
                <w:rFonts w:hint="eastAsia" w:ascii="仿宋_GB2312" w:hAnsi="仿宋_GB2312" w:eastAsia="仿宋_GB2312" w:cs="仿宋_GB2312"/>
                <w:color w:val="auto"/>
                <w:sz w:val="22"/>
                <w:szCs w:val="22"/>
                <w:highlight w:val="none"/>
              </w:rPr>
              <w:t xml:space="preserve">项目需求理解及分析</w:t>
            </w:r>
            <w:r>
              <w:rPr>
                <w:rFonts w:hint="eastAsia" w:ascii="仿宋_GB2312" w:hAnsi="仿宋_GB2312" w:eastAsia="仿宋_GB2312" w:cs="仿宋_GB2312"/>
                <w:color w:val="auto"/>
                <w:sz w:val="22"/>
                <w:szCs w:val="22"/>
                <w:highlight w:val="none"/>
                <w:lang w:val="en-US" w:eastAsia="zh-CN" w:bidi="ar-SA"/>
              </w:rPr>
              <w:t xml:space="preserve">方案</w:t>
            </w:r>
            <w:r>
              <w:rPr>
                <w:rFonts w:hint="eastAsia" w:ascii="仿宋_GB2312" w:hAnsi="仿宋_GB2312" w:eastAsia="仿宋_GB2312" w:cs="仿宋_GB2312"/>
                <w:color w:val="auto"/>
                <w:sz w:val="22"/>
                <w:szCs w:val="22"/>
                <w:highlight w:val="none"/>
                <w:lang w:val="en-US" w:eastAsia="zh-CN"/>
              </w:rPr>
              <w:t xml:space="preserve">进行综合打分。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分；较合理得2分；不太合理的得1分。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针对性（4分)：针对性强得4分；针对性较强得3分；针对性一般的得2分，欠缺针对性的得1分。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分；较切实可行得2分；可行性欠缺得1分；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未提供的不得分。最高得1</w:t>
            </w:r>
            <w:r>
              <w:rPr>
                <w:rFonts w:hint="eastAsia" w:ascii="仿宋_GB2312" w:hAnsi="仿宋_GB2312" w:eastAsia="仿宋_GB2312" w:cs="仿宋_GB2312"/>
                <w:sz w:val="22"/>
                <w:szCs w:val="22"/>
                <w:highlight w:val="none"/>
                <w:lang w:val="en-US" w:eastAsia="zh-CN"/>
              </w:rPr>
              <w:t xml:space="preserve">0</w:t>
            </w:r>
            <w:r>
              <w:rPr>
                <w:rFonts w:hint="eastAsia" w:ascii="仿宋_GB2312" w:hAnsi="仿宋_GB2312" w:eastAsia="仿宋_GB2312" w:cs="仿宋_GB2312"/>
                <w:sz w:val="22"/>
                <w:szCs w:val="22"/>
                <w:highlight w:val="none"/>
              </w:rPr>
              <w:t xml:space="preserve">分，最低不得分。</w:t>
            </w:r>
            <w:r/>
          </w:p>
        </w:tc>
      </w:tr>
      <w:tr>
        <w:trPr>
          <w:gridAfter w:val="1"/>
          <w:jc w:val="center"/>
          <w:trHeight w:val="1629"/>
        </w:trPr>
        <w:tc>
          <w:tcPr>
            <w:tcW w:w="920"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405" w:type="dxa"/>
            <w:vAlign w:val="center"/>
            <w:textDirection w:val="lrTb"/>
            <w:noWrap w:val="false"/>
          </w:tcPr>
          <w:p>
            <w:pPr>
              <w:jc w:val="center"/>
              <w:rPr>
                <w:rFonts w:hint="default" w:ascii="仿宋_GB2312" w:hAnsi="仿宋_GB2312" w:eastAsia="仿宋_GB2312" w:cs="仿宋_GB2312"/>
                <w:sz w:val="22"/>
                <w:szCs w:val="22"/>
                <w:lang w:val="en-US" w:eastAsia="zh-CN"/>
              </w:rPr>
            </w:pPr>
            <w:r>
              <w:rPr>
                <w:rFonts w:hint="eastAsia" w:ascii="仿宋_GB2312" w:hAnsi="仿宋_GB2312" w:eastAsia="仿宋_GB2312" w:cs="仿宋_GB2312"/>
                <w:sz w:val="22"/>
                <w:szCs w:val="22"/>
                <w:highlight w:val="none"/>
                <w:lang w:val="en-US" w:eastAsia="zh-CN" w:bidi="ar-SA"/>
              </w:rPr>
              <w:t xml:space="preserve">现状水体底数核查方案（15）</w:t>
            </w:r>
            <w:r/>
          </w:p>
        </w:tc>
        <w:tc>
          <w:tcPr>
            <w:tcW w:w="6446" w:type="dxa"/>
            <w:vAlign w:val="top"/>
            <w:textDirection w:val="lrTb"/>
            <w:noWrap w:val="false"/>
          </w:tcPr>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根据供应商提供的</w:t>
            </w:r>
            <w:r>
              <w:rPr>
                <w:rFonts w:hint="eastAsia" w:ascii="仿宋_GB2312" w:hAnsi="仿宋_GB2312" w:eastAsia="仿宋_GB2312" w:cs="仿宋_GB2312"/>
                <w:sz w:val="22"/>
                <w:szCs w:val="22"/>
                <w:highlight w:val="none"/>
                <w:lang w:val="en-US" w:eastAsia="zh-CN" w:bidi="ar-SA"/>
              </w:rPr>
              <w:t xml:space="preserve">现状水体底数核查方案</w:t>
            </w:r>
            <w:r>
              <w:rPr>
                <w:rFonts w:hint="eastAsia" w:ascii="仿宋_GB2312" w:hAnsi="仿宋_GB2312" w:eastAsia="仿宋_GB2312" w:cs="仿宋_GB2312"/>
                <w:sz w:val="22"/>
                <w:szCs w:val="22"/>
                <w:lang w:val="en-US" w:eastAsia="zh-CN" w:bidi="ar-SA"/>
              </w:rPr>
              <w:t xml:space="preserve">进行综合打分。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分；较合理得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一般的得</w:t>
            </w:r>
            <w:r>
              <w:rPr>
                <w:rFonts w:hint="eastAsia" w:ascii="仿宋_GB2312" w:hAnsi="仿宋_GB2312" w:eastAsia="仿宋_GB2312" w:cs="仿宋_GB2312"/>
                <w:sz w:val="22"/>
                <w:szCs w:val="22"/>
                <w:highlight w:val="none"/>
                <w:lang w:val="en-US" w:eastAsia="zh-CN"/>
              </w:rPr>
              <w:t xml:space="preserve">3分；</w:t>
            </w:r>
            <w:r>
              <w:rPr>
                <w:rFonts w:hint="eastAsia" w:ascii="仿宋_GB2312" w:hAnsi="仿宋_GB2312" w:eastAsia="仿宋_GB2312" w:cs="仿宋_GB2312"/>
                <w:sz w:val="22"/>
                <w:szCs w:val="22"/>
                <w:highlight w:val="none"/>
              </w:rPr>
              <w:t xml:space="preserve">不太合理的得1分。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分)：针对性强得</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分；针对性较强得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分；针对性一般的得2分，欠缺针对性的得1分。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分；较切实可行得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可行性一般的得</w:t>
            </w:r>
            <w:r>
              <w:rPr>
                <w:rFonts w:hint="eastAsia" w:ascii="仿宋_GB2312" w:hAnsi="仿宋_GB2312" w:eastAsia="仿宋_GB2312" w:cs="仿宋_GB2312"/>
                <w:sz w:val="22"/>
                <w:szCs w:val="22"/>
                <w:highlight w:val="none"/>
                <w:lang w:val="en-US" w:eastAsia="zh-CN"/>
              </w:rPr>
              <w:t xml:space="preserve">2分；</w:t>
            </w:r>
            <w:r>
              <w:rPr>
                <w:rFonts w:hint="eastAsia" w:ascii="仿宋_GB2312" w:hAnsi="仿宋_GB2312" w:eastAsia="仿宋_GB2312" w:cs="仿宋_GB2312"/>
                <w:sz w:val="22"/>
                <w:szCs w:val="22"/>
                <w:highlight w:val="none"/>
              </w:rPr>
              <w:t xml:space="preserve">可行性欠缺得1分；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rPr>
              <w:t xml:space="preserve">未提供的不得分。最高得1</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分，最低不得分。</w:t>
            </w:r>
            <w:r/>
          </w:p>
        </w:tc>
      </w:tr>
      <w:tr>
        <w:trPr>
          <w:gridAfter w:val="1"/>
          <w:jc w:val="center"/>
          <w:trHeight w:val="1629"/>
        </w:trPr>
        <w:tc>
          <w:tcPr>
            <w:tcW w:w="920"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405"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 xml:space="preserve">整体实施</w:t>
            </w:r>
            <w:r>
              <w:rPr>
                <w:rFonts w:hint="eastAsia" w:ascii="仿宋_GB2312" w:hAnsi="仿宋_GB2312" w:eastAsia="仿宋_GB2312" w:cs="仿宋_GB2312"/>
                <w:sz w:val="22"/>
                <w:szCs w:val="22"/>
              </w:rPr>
              <w:t xml:space="preserve">方案</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12</w:t>
            </w:r>
            <w:r>
              <w:rPr>
                <w:rFonts w:hint="eastAsia" w:ascii="仿宋_GB2312" w:hAnsi="仿宋_GB2312" w:eastAsia="仿宋_GB2312" w:cs="仿宋_GB2312"/>
                <w:color w:val="000000"/>
                <w:sz w:val="22"/>
                <w:szCs w:val="22"/>
              </w:rPr>
              <w:t xml:space="preserve">分）</w:t>
            </w:r>
            <w:r/>
          </w:p>
        </w:tc>
        <w:tc>
          <w:tcPr>
            <w:tcW w:w="6446" w:type="dxa"/>
            <w:vAlign w:val="top"/>
            <w:textDirection w:val="lrTb"/>
            <w:noWrap w:val="false"/>
          </w:tcPr>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根据供应商提供的项目整体实施方案</w:t>
            </w:r>
            <w:r>
              <w:rPr>
                <w:rFonts w:hint="eastAsia" w:ascii="仿宋_GB2312" w:hAnsi="仿宋_GB2312" w:eastAsia="仿宋_GB2312" w:cs="仿宋_GB2312"/>
                <w:sz w:val="22"/>
                <w:szCs w:val="22"/>
                <w:lang w:val="en-US" w:eastAsia="zh-CN" w:bidi="ar-SA"/>
              </w:rPr>
              <w:t xml:space="preserve">进行综合打分。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分；较合理得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一般的得</w:t>
            </w:r>
            <w:r>
              <w:rPr>
                <w:rFonts w:hint="eastAsia" w:ascii="仿宋_GB2312" w:hAnsi="仿宋_GB2312" w:eastAsia="仿宋_GB2312" w:cs="仿宋_GB2312"/>
                <w:sz w:val="22"/>
                <w:szCs w:val="22"/>
                <w:highlight w:val="none"/>
                <w:lang w:val="en-US" w:eastAsia="zh-CN"/>
              </w:rPr>
              <w:t xml:space="preserve">2分；</w:t>
            </w:r>
            <w:r>
              <w:rPr>
                <w:rFonts w:hint="eastAsia" w:ascii="仿宋_GB2312" w:hAnsi="仿宋_GB2312" w:eastAsia="仿宋_GB2312" w:cs="仿宋_GB2312"/>
                <w:sz w:val="22"/>
                <w:szCs w:val="22"/>
                <w:highlight w:val="none"/>
              </w:rPr>
              <w:t xml:space="preserve">不太合理的得1分。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分)：针对性强得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分；针对性较强得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分；针对性一般的得2分，欠缺针对性的得1分。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分；较切实可行得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可行性一般的得</w:t>
            </w:r>
            <w:r>
              <w:rPr>
                <w:rFonts w:hint="eastAsia" w:ascii="仿宋_GB2312" w:hAnsi="仿宋_GB2312" w:eastAsia="仿宋_GB2312" w:cs="仿宋_GB2312"/>
                <w:sz w:val="22"/>
                <w:szCs w:val="22"/>
                <w:highlight w:val="none"/>
                <w:lang w:val="en-US" w:eastAsia="zh-CN"/>
              </w:rPr>
              <w:t xml:space="preserve">2分；</w:t>
            </w:r>
            <w:r>
              <w:rPr>
                <w:rFonts w:hint="eastAsia" w:ascii="仿宋_GB2312" w:hAnsi="仿宋_GB2312" w:eastAsia="仿宋_GB2312" w:cs="仿宋_GB2312"/>
                <w:sz w:val="22"/>
                <w:szCs w:val="22"/>
                <w:highlight w:val="none"/>
              </w:rPr>
              <w:t xml:space="preserve">可行性欠缺得1分；</w:t>
            </w:r>
            <w:r/>
          </w:p>
          <w:p>
            <w:pPr>
              <w:jc w:val="left"/>
              <w:rPr>
                <w:rFonts w:hint="eastAsia" w:ascii="仿宋_GB2312" w:hAnsi="仿宋_GB2312" w:eastAsia="仿宋_GB2312" w:cs="仿宋_GB2312"/>
                <w:sz w:val="22"/>
                <w:szCs w:val="22"/>
              </w:rPr>
            </w:pPr>
            <w:r>
              <w:rPr>
                <w:rFonts w:hint="eastAsia" w:ascii="仿宋_GB2312" w:hAnsi="仿宋_GB2312" w:eastAsia="仿宋_GB2312" w:cs="仿宋_GB2312"/>
                <w:sz w:val="22"/>
                <w:szCs w:val="22"/>
                <w:highlight w:val="none"/>
              </w:rPr>
              <w:t xml:space="preserve">未提供的不得分。最高得1</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分，最低不得分。</w:t>
            </w:r>
            <w:r/>
          </w:p>
        </w:tc>
      </w:tr>
      <w:tr>
        <w:trPr>
          <w:gridAfter w:val="1"/>
          <w:jc w:val="center"/>
        </w:trPr>
        <w:tc>
          <w:tcPr>
            <w:tcW w:w="920"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405"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质量</w:t>
            </w:r>
            <w:r>
              <w:rPr>
                <w:rFonts w:hint="eastAsia" w:ascii="仿宋_GB2312" w:hAnsi="仿宋_GB2312" w:eastAsia="仿宋_GB2312" w:cs="仿宋_GB2312"/>
                <w:sz w:val="22"/>
                <w:szCs w:val="22"/>
                <w:lang w:eastAsia="zh-CN"/>
              </w:rPr>
              <w:t xml:space="preserve">保障</w:t>
            </w:r>
            <w:r>
              <w:rPr>
                <w:rFonts w:hint="eastAsia" w:ascii="仿宋_GB2312" w:hAnsi="仿宋_GB2312" w:eastAsia="仿宋_GB2312" w:cs="仿宋_GB2312"/>
                <w:sz w:val="22"/>
                <w:szCs w:val="22"/>
              </w:rPr>
              <w:t xml:space="preserve">措施</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446"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服务质量保障措施</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eastAsia="zh-CN"/>
              </w:rPr>
              <w:t xml:space="preserve">（</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一般的得</w:t>
            </w:r>
            <w:r>
              <w:rPr>
                <w:rFonts w:hint="eastAsia" w:ascii="仿宋_GB2312" w:hAnsi="仿宋_GB2312" w:eastAsia="仿宋_GB2312" w:cs="仿宋_GB2312"/>
                <w:sz w:val="22"/>
                <w:szCs w:val="22"/>
                <w:highlight w:val="none"/>
                <w:lang w:val="en-US" w:eastAsia="zh-CN"/>
              </w:rPr>
              <w:t xml:space="preserve">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分)：针对性强得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分；针对性一般的得</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分；较切实可行得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可行性一般的得</w:t>
            </w:r>
            <w:r>
              <w:rPr>
                <w:rFonts w:hint="eastAsia" w:ascii="仿宋_GB2312" w:hAnsi="仿宋_GB2312" w:eastAsia="仿宋_GB2312" w:cs="仿宋_GB2312"/>
                <w:sz w:val="22"/>
                <w:szCs w:val="22"/>
                <w:highlight w:val="none"/>
                <w:lang w:val="en-US" w:eastAsia="zh-CN"/>
              </w:rPr>
              <w:t xml:space="preserve">1分。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rPr>
              <w:t xml:space="preserve">未提供的不得分。最高得</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分，最低不得分。</w:t>
            </w:r>
            <w:r/>
          </w:p>
        </w:tc>
      </w:tr>
      <w:tr>
        <w:trPr>
          <w:gridAfter w:val="1"/>
          <w:jc w:val="center"/>
        </w:trPr>
        <w:tc>
          <w:tcPr>
            <w:tcW w:w="920"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405" w:type="dxa"/>
            <w:vAlign w:val="center"/>
            <w:textDirection w:val="lrTb"/>
            <w:noWrap w:val="false"/>
          </w:tcPr>
          <w:p>
            <w:pPr>
              <w:jc w:val="both"/>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项目进度控制措施</w:t>
            </w:r>
            <w:r/>
          </w:p>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446"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项目进度控制措施</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eastAsia="zh-CN"/>
              </w:rPr>
              <w:t xml:space="preserve">（</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一般的得</w:t>
            </w:r>
            <w:r>
              <w:rPr>
                <w:rFonts w:hint="eastAsia" w:ascii="仿宋_GB2312" w:hAnsi="仿宋_GB2312" w:eastAsia="仿宋_GB2312" w:cs="仿宋_GB2312"/>
                <w:sz w:val="22"/>
                <w:szCs w:val="22"/>
                <w:highlight w:val="none"/>
                <w:lang w:val="en-US" w:eastAsia="zh-CN"/>
              </w:rPr>
              <w:t xml:space="preserve">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分)：针对性强得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分；针对性一般的得</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分；较切实可行得</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可行性一般的得</w:t>
            </w:r>
            <w:r>
              <w:rPr>
                <w:rFonts w:hint="eastAsia" w:ascii="仿宋_GB2312" w:hAnsi="仿宋_GB2312" w:eastAsia="仿宋_GB2312" w:cs="仿宋_GB2312"/>
                <w:sz w:val="22"/>
                <w:szCs w:val="22"/>
                <w:highlight w:val="none"/>
                <w:lang w:val="en-US" w:eastAsia="zh-CN"/>
              </w:rPr>
              <w:t xml:space="preserve">1分。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rPr>
              <w:t xml:space="preserve">未提供的不得分。最高得</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分，最低不得分。</w:t>
            </w:r>
            <w:r/>
          </w:p>
        </w:tc>
      </w:tr>
      <w:tr>
        <w:trPr>
          <w:gridAfter w:val="1"/>
          <w:jc w:val="center"/>
        </w:trPr>
        <w:tc>
          <w:tcPr>
            <w:tcW w:w="920"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405"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重难点分析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12</w:t>
            </w:r>
            <w:r>
              <w:rPr>
                <w:rFonts w:hint="eastAsia" w:ascii="仿宋_GB2312" w:hAnsi="仿宋_GB2312" w:eastAsia="仿宋_GB2312" w:cs="仿宋_GB2312"/>
                <w:color w:val="000000"/>
                <w:sz w:val="22"/>
                <w:szCs w:val="22"/>
              </w:rPr>
              <w:t xml:space="preserve">分）</w:t>
            </w:r>
            <w:r/>
          </w:p>
        </w:tc>
        <w:tc>
          <w:tcPr>
            <w:tcW w:w="6446" w:type="dxa"/>
            <w:vAlign w:val="top"/>
            <w:textDirection w:val="lrTb"/>
            <w:noWrap w:val="false"/>
          </w:tcPr>
          <w:p>
            <w:pPr>
              <w:jc w:val="left"/>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本项目的重点、难点分析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sz w:val="22"/>
                <w:szCs w:val="22"/>
              </w:rPr>
              <w:t xml:space="preserve">多角度系统分析，在服务于本项目的重点、难点等方面，有不同于其他</w:t>
            </w:r>
            <w:r>
              <w:rPr>
                <w:rFonts w:hint="eastAsia" w:ascii="仿宋_GB2312" w:hAnsi="仿宋_GB2312" w:eastAsia="仿宋_GB2312" w:cs="仿宋_GB2312"/>
                <w:sz w:val="22"/>
                <w:szCs w:val="22"/>
                <w:highlight w:val="none"/>
                <w:lang w:eastAsia="zh-CN"/>
              </w:rPr>
              <w:t xml:space="preserve">供应商</w:t>
            </w:r>
            <w:r>
              <w:rPr>
                <w:rFonts w:hint="eastAsia" w:ascii="仿宋_GB2312" w:hAnsi="仿宋_GB2312" w:eastAsia="仿宋_GB2312" w:cs="仿宋_GB2312"/>
                <w:sz w:val="22"/>
                <w:szCs w:val="22"/>
                <w:highlight w:val="none"/>
              </w:rPr>
              <w:t xml:space="preserve">的新颖思路，且能提出合理建议</w:t>
            </w:r>
            <w:r>
              <w:rPr>
                <w:rFonts w:hint="eastAsia" w:ascii="仿宋_GB2312" w:hAnsi="仿宋_GB2312" w:eastAsia="仿宋_GB2312" w:cs="仿宋_GB2312"/>
                <w:sz w:val="22"/>
                <w:szCs w:val="22"/>
                <w:highlight w:val="none"/>
                <w:lang w:eastAsia="zh-CN"/>
              </w:rPr>
              <w:t xml:space="preserve">）</w:t>
            </w:r>
            <w:r>
              <w:rPr>
                <w:rFonts w:hint="eastAsia" w:ascii="仿宋_GB2312" w:hAnsi="仿宋_GB2312" w:eastAsia="仿宋_GB2312" w:cs="仿宋_GB2312"/>
                <w:sz w:val="22"/>
                <w:szCs w:val="22"/>
                <w:highlight w:val="none"/>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合理性(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分)：合理得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分；较合理得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一般的得</w:t>
            </w:r>
            <w:r>
              <w:rPr>
                <w:rFonts w:hint="eastAsia" w:ascii="仿宋_GB2312" w:hAnsi="仿宋_GB2312" w:eastAsia="仿宋_GB2312" w:cs="仿宋_GB2312"/>
                <w:sz w:val="22"/>
                <w:szCs w:val="22"/>
                <w:highlight w:val="none"/>
                <w:lang w:val="en-US" w:eastAsia="zh-CN"/>
              </w:rPr>
              <w:t xml:space="preserve">2分；</w:t>
            </w:r>
            <w:r>
              <w:rPr>
                <w:rFonts w:hint="eastAsia" w:ascii="仿宋_GB2312" w:hAnsi="仿宋_GB2312" w:eastAsia="仿宋_GB2312" w:cs="仿宋_GB2312"/>
                <w:sz w:val="22"/>
                <w:szCs w:val="22"/>
                <w:highlight w:val="none"/>
              </w:rPr>
              <w:t xml:space="preserve">不太合理的得1分。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针对性（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分)：针对性强得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分；针对性较强得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分；针对性一般的得2分，欠缺针对性的得1分。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可行性（</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分)：符合实际切实可行得</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分；较切实可行得</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可行性一般的得</w:t>
            </w:r>
            <w:r>
              <w:rPr>
                <w:rFonts w:hint="eastAsia" w:ascii="仿宋_GB2312" w:hAnsi="仿宋_GB2312" w:eastAsia="仿宋_GB2312" w:cs="仿宋_GB2312"/>
                <w:sz w:val="22"/>
                <w:szCs w:val="22"/>
                <w:highlight w:val="none"/>
                <w:lang w:val="en-US" w:eastAsia="zh-CN"/>
              </w:rPr>
              <w:t xml:space="preserve">2分；</w:t>
            </w:r>
            <w:r>
              <w:rPr>
                <w:rFonts w:hint="eastAsia" w:ascii="仿宋_GB2312" w:hAnsi="仿宋_GB2312" w:eastAsia="仿宋_GB2312" w:cs="仿宋_GB2312"/>
                <w:sz w:val="22"/>
                <w:szCs w:val="22"/>
                <w:highlight w:val="none"/>
              </w:rPr>
              <w:t xml:space="preserve">可行性欠缺得1分；</w:t>
            </w:r>
            <w:r/>
          </w:p>
          <w:p>
            <w:pPr>
              <w:pStyle w:val="792"/>
              <w:ind w:left="0" w:right="6" w:firstLine="0"/>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rPr>
              <w:t xml:space="preserve">未提供的不得分。最高得1</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分，最低不得分。</w:t>
            </w:r>
            <w:r/>
          </w:p>
        </w:tc>
      </w:tr>
    </w:tbl>
    <w:p>
      <w:pPr>
        <w:rPr>
          <w:rFonts w:hint="eastAsia" w:ascii="仿宋_GB2312" w:hAnsi="仿宋_GB2312" w:eastAsia="仿宋_GB2312" w:cs="仿宋_GB2312"/>
        </w:rPr>
        <w:sectPr>
          <w:footerReference w:type="default" r:id="rId12"/>
          <w:footnotePr/>
          <w:endnotePr/>
          <w:type w:val="nextColumn"/>
          <w:pgSz w:w="11906" w:h="16838" w:orient="portrait"/>
          <w:pgMar w:top="1440" w:right="1701" w:bottom="1440" w:left="1701" w:header="851" w:footer="992" w:gutter="0"/>
          <w:pgNumType w:start="1"/>
          <w:cols w:num="1" w:sep="0" w:space="0" w:equalWidth="1"/>
          <w:docGrid w:linePitch="360"/>
        </w:sectPr>
      </w:pPr>
      <w:r>
        <w:rPr>
          <w:rFonts w:hint="eastAsia" w:ascii="仿宋_GB2312" w:hAnsi="仿宋_GB2312" w:eastAsia="仿宋_GB2312" w:cs="仿宋_GB2312"/>
        </w:rPr>
      </w:r>
      <w:r/>
    </w:p>
    <w:p>
      <w:pPr>
        <w:ind w:firstLine="480"/>
        <w:jc w:val="center"/>
        <w:keepLines w:val="0"/>
        <w:keepNext w:val="0"/>
        <w:pageBreakBefore w:val="0"/>
        <w:spacing w:line="360" w:lineRule="auto"/>
        <w:widowControl w:val="off"/>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2、采购需求</w:t>
      </w:r>
      <w:r/>
    </w:p>
    <w:p>
      <w:pPr>
        <w:pStyle w:val="1101"/>
        <w:ind w:firstLine="482"/>
        <w:jc w:val="both"/>
        <w:keepLines w:val="0"/>
        <w:keepNext w:val="0"/>
        <w:pageBreakBefore w:val="0"/>
        <w:spacing w:line="360" w:lineRule="auto"/>
        <w:widowControl w:val="off"/>
        <w:rPr>
          <w:rFonts w:hint="eastAsia" w:ascii="仿宋" w:hAnsi="仿宋" w:eastAsia="仿宋" w:cs="仿宋"/>
          <w:b/>
          <w:bCs/>
          <w:szCs w:val="22"/>
          <w:highlight w:val="none"/>
          <w:lang w:val="en-US" w:eastAsia="zh-CN"/>
        </w:rPr>
        <w:outlineLvl w:val="9"/>
      </w:pPr>
      <w:r/>
      <w:bookmarkStart w:id="4" w:name="_Toc80122298"/>
      <w:r>
        <w:rPr>
          <w:rFonts w:hint="eastAsia" w:ascii="仿宋" w:hAnsi="仿宋" w:eastAsia="仿宋" w:cs="仿宋"/>
          <w:b/>
          <w:bCs/>
          <w:szCs w:val="22"/>
          <w:highlight w:val="none"/>
          <w:lang w:val="en-US" w:eastAsia="zh-CN"/>
        </w:rPr>
        <w:t xml:space="preserve">一、项目内容</w:t>
      </w:r>
      <w:r/>
    </w:p>
    <w:p>
      <w:pPr>
        <w:pStyle w:val="1101"/>
        <w:ind w:firstLine="480"/>
        <w:jc w:val="both"/>
        <w:keepLines w:val="0"/>
        <w:keepNext w:val="0"/>
        <w:pageBreakBefore w:val="0"/>
        <w:spacing w:line="360" w:lineRule="auto"/>
        <w:widowControl w:val="off"/>
        <w:rPr>
          <w:rFonts w:hint="eastAsia" w:ascii="仿宋" w:hAnsi="仿宋" w:eastAsia="仿宋" w:cs="仿宋"/>
          <w:highlight w:val="none"/>
          <w:lang w:eastAsia="zh-CN"/>
        </w:rPr>
      </w:pPr>
      <w:r>
        <w:rPr>
          <w:rFonts w:hint="eastAsia" w:ascii="仿宋" w:hAnsi="仿宋" w:eastAsia="仿宋" w:cs="仿宋"/>
          <w:highlight w:val="none"/>
        </w:rPr>
        <w:t xml:space="preserve">项目名称：</w:t>
      </w:r>
      <w:r>
        <w:rPr>
          <w:rFonts w:hint="eastAsia" w:ascii="仿宋" w:hAnsi="仿宋" w:eastAsia="仿宋" w:cs="仿宋"/>
          <w:highlight w:val="none"/>
          <w:lang w:eastAsia="zh-CN"/>
        </w:rPr>
        <w:t xml:space="preserve">邳州市“一河一案”“一镇一案”“一库一案”编制</w:t>
      </w:r>
      <w:r/>
    </w:p>
    <w:p>
      <w:pPr>
        <w:pStyle w:val="1101"/>
        <w:ind w:firstLine="480"/>
        <w:jc w:val="both"/>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采购预算：本项目采购预算金额为</w:t>
      </w:r>
      <w:r>
        <w:rPr>
          <w:rFonts w:hint="eastAsia" w:ascii="仿宋" w:hAnsi="仿宋" w:eastAsia="仿宋" w:cs="仿宋"/>
          <w:highlight w:val="none"/>
          <w:lang w:val="en-US" w:eastAsia="zh-CN"/>
        </w:rPr>
        <w:t xml:space="preserve">158万元</w:t>
      </w:r>
      <w:r>
        <w:rPr>
          <w:rFonts w:hint="eastAsia" w:ascii="仿宋" w:hAnsi="仿宋" w:eastAsia="仿宋" w:cs="仿宋"/>
          <w:highlight w:val="none"/>
        </w:rPr>
        <w:t xml:space="preserve">。</w:t>
      </w:r>
      <w:bookmarkEnd w:id="4"/>
      <w:r>
        <w:rPr>
          <w:rFonts w:hint="eastAsia" w:ascii="仿宋" w:hAnsi="仿宋" w:eastAsia="仿宋" w:cs="仿宋"/>
          <w:highlight w:val="none"/>
          <w:lang w:eastAsia="zh-CN"/>
        </w:rPr>
        <w:t xml:space="preserve">报价包含完成项目的所有费用，</w:t>
      </w:r>
      <w:r>
        <w:rPr>
          <w:rFonts w:hint="eastAsia" w:ascii="仿宋" w:hAnsi="仿宋" w:eastAsia="仿宋" w:cs="仿宋"/>
          <w:highlight w:val="none"/>
        </w:rPr>
        <w:t xml:space="preserve">采购人不再支付报价以外的任何费用。</w:t>
      </w:r>
      <w:r/>
    </w:p>
    <w:p>
      <w:pPr>
        <w:pStyle w:val="1101"/>
        <w:ind w:firstLine="482"/>
        <w:jc w:val="both"/>
        <w:keepLines w:val="0"/>
        <w:keepNext w:val="0"/>
        <w:pageBreakBefore w:val="0"/>
        <w:spacing w:line="360" w:lineRule="auto"/>
        <w:widowControl w:val="off"/>
        <w:rPr>
          <w:rFonts w:hint="eastAsia" w:ascii="仿宋" w:hAnsi="仿宋" w:eastAsia="仿宋" w:cs="仿宋"/>
          <w:b/>
          <w:bCs/>
          <w:szCs w:val="22"/>
          <w:highlight w:val="none"/>
          <w:lang w:val="en-US" w:eastAsia="zh-CN"/>
        </w:rPr>
        <w:outlineLvl w:val="9"/>
      </w:pPr>
      <w:r>
        <w:rPr>
          <w:rFonts w:hint="eastAsia" w:ascii="仿宋" w:hAnsi="仿宋" w:eastAsia="仿宋" w:cs="仿宋"/>
          <w:b/>
          <w:bCs/>
          <w:szCs w:val="22"/>
          <w:highlight w:val="none"/>
          <w:lang w:val="en-US" w:eastAsia="zh-CN"/>
        </w:rPr>
        <w:t xml:space="preserve">二、项目背景</w:t>
      </w:r>
      <w:r/>
    </w:p>
    <w:p>
      <w:pPr>
        <w:ind w:firstLine="480"/>
        <w:keepLines w:val="0"/>
        <w:keepNext w:val="0"/>
        <w:pageBreakBefore w:val="0"/>
        <w:spacing w:line="360" w:lineRule="auto"/>
        <w:widowControl w:val="off"/>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为深入贯彻习近平总书记“河长制必须一以贯之”重要指示精神，全面落实省总河长决策部署和省水利厅完善加强河湖长制试点工作会议要求，高标准推进试点建设，打造河湖治理保护“邳州样板”。根据省河长办《完善和加强河湖长制工作试点工作方案》（省河长办【2026】8号）文件要求，需采集邳州市域内全部水体地理信息数据，编制全市32条骨干及长度较短非重要河道的“一河一案”报告（中运河及京杭运河不牢河除外）逐镇编制全市25个镇街“一镇一案”报告，逐库编制全市7个水库和所有塘坝“一库一案”报告。</w:t>
      </w:r>
      <w:r/>
    </w:p>
    <w:p>
      <w:pPr>
        <w:pStyle w:val="1101"/>
        <w:ind w:firstLine="482"/>
        <w:jc w:val="both"/>
        <w:keepLines w:val="0"/>
        <w:keepNext w:val="0"/>
        <w:pageBreakBefore w:val="0"/>
        <w:spacing w:line="360" w:lineRule="auto"/>
        <w:widowControl w:val="off"/>
        <w:rPr>
          <w:rFonts w:hint="default"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三、主要工作任务</w:t>
      </w:r>
      <w:r/>
    </w:p>
    <w:p>
      <w:pPr>
        <w:ind w:firstLine="480"/>
        <w:keepLines w:val="0"/>
        <w:keepNext w:val="0"/>
        <w:pageBreakBefore w:val="0"/>
        <w:spacing w:line="360" w:lineRule="auto"/>
        <w:widowControl w:val="off"/>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根据省河长办《完善和加强河湖长制工作试点工作方案》（省河长办【2026】8号）文件要求，需采集邳州市域内全部水体地理信息数据，编制全市32条骨干及长度较短非重要河道的“一河一案”报告（中运河及京杭运河不牢河除外），逐镇编制全市25个镇街“一镇一案”报告，逐库编制全市7个水库和所有塘坝“一库一案”报告。</w:t>
      </w:r>
      <w:r/>
    </w:p>
    <w:p>
      <w:pPr>
        <w:pStyle w:val="1101"/>
        <w:ind w:firstLine="482"/>
        <w:jc w:val="both"/>
        <w:keepLines w:val="0"/>
        <w:keepNext w:val="0"/>
        <w:pageBreakBefore w:val="0"/>
        <w:spacing w:line="360" w:lineRule="auto"/>
        <w:widowControl w:val="off"/>
        <w:rPr>
          <w:rFonts w:hint="eastAsia" w:ascii="仿宋" w:hAnsi="仿宋" w:eastAsia="仿宋" w:cs="仿宋"/>
          <w:b/>
          <w:bCs/>
          <w:szCs w:val="22"/>
          <w:highlight w:val="none"/>
          <w:lang w:val="zh-CN" w:eastAsia="zh-CN"/>
        </w:rPr>
        <w:outlineLvl w:val="9"/>
      </w:pPr>
      <w:r>
        <w:rPr>
          <w:rFonts w:hint="eastAsia" w:ascii="仿宋" w:hAnsi="仿宋" w:eastAsia="仿宋" w:cs="仿宋"/>
          <w:b/>
          <w:bCs/>
          <w:szCs w:val="22"/>
          <w:highlight w:val="none"/>
          <w:lang w:val="en-US" w:eastAsia="zh-CN"/>
        </w:rPr>
        <w:t xml:space="preserve">四、服务成果</w:t>
      </w:r>
      <w:r/>
    </w:p>
    <w:p>
      <w:pPr>
        <w:ind w:firstLine="480"/>
        <w:keepLines w:val="0"/>
        <w:keepNext w:val="0"/>
        <w:pageBreakBefore w:val="0"/>
        <w:spacing w:line="360" w:lineRule="auto"/>
        <w:widowControl w:val="off"/>
        <w:rPr>
          <w:rFonts w:hint="eastAsia" w:ascii="仿宋" w:hAnsi="仿宋" w:eastAsia="仿宋" w:cs="仿宋"/>
          <w:b/>
          <w:bCs/>
          <w:highlight w:val="yellow"/>
        </w:rPr>
      </w:pPr>
      <w:r>
        <w:rPr>
          <w:rFonts w:hint="eastAsia" w:ascii="仿宋_GB2312" w:hAnsi="仿宋_GB2312" w:eastAsia="仿宋_GB2312" w:cs="仿宋_GB2312"/>
          <w:sz w:val="24"/>
          <w:szCs w:val="24"/>
          <w:lang w:val="en-US" w:eastAsia="zh-CN"/>
        </w:rPr>
        <w:t xml:space="preserve">编制全市32条骨干及长度较短非重要河道的“一河一案”报告（中运河及京杭运河不牢河除外）；逐镇编制全市25个镇街“一镇一案”报告；逐库编制全市7个水库和所有塘坝“一库一案”报告。</w:t>
      </w:r>
      <w:r/>
    </w:p>
    <w:p>
      <w:pPr>
        <w:pStyle w:val="1101"/>
        <w:ind w:firstLine="482"/>
        <w:jc w:val="both"/>
        <w:keepLines w:val="0"/>
        <w:keepNext w:val="0"/>
        <w:pageBreakBefore w:val="0"/>
        <w:spacing w:line="360" w:lineRule="auto"/>
        <w:widowControl w:val="off"/>
        <w:rPr>
          <w:rFonts w:hint="eastAsia" w:ascii="仿宋" w:hAnsi="仿宋" w:eastAsia="仿宋" w:cs="仿宋"/>
          <w:b/>
          <w:bCs/>
          <w:highlight w:val="none"/>
          <w:lang w:val="zh-CN" w:eastAsia="zh-CN"/>
        </w:rPr>
        <w:outlineLvl w:val="9"/>
      </w:pPr>
      <w:r>
        <w:rPr>
          <w:rFonts w:hint="eastAsia" w:ascii="仿宋" w:hAnsi="仿宋" w:eastAsia="仿宋" w:cs="仿宋"/>
          <w:b/>
          <w:bCs/>
          <w:highlight w:val="none"/>
          <w:lang w:val="zh-CN" w:eastAsia="zh-CN"/>
        </w:rPr>
        <w:t xml:space="preserve">五、质量要求</w:t>
      </w:r>
      <w:r/>
    </w:p>
    <w:p>
      <w:pPr>
        <w:ind w:firstLine="480"/>
        <w:keepLines w:val="0"/>
        <w:keepNext w:val="0"/>
        <w:pageBreakBefore w:val="0"/>
        <w:spacing w:line="360" w:lineRule="auto"/>
        <w:widowControl w:val="off"/>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eastAsia="zh-CN"/>
        </w:rPr>
        <w:t xml:space="preserve">项目中标单位必须保证成果数据质量合格，项目成果需通过水利部、江苏省水利厅及采购人等上级部门的检查</w:t>
      </w:r>
      <w:r>
        <w:rPr>
          <w:rFonts w:hint="eastAsia" w:ascii="仿宋_GB2312" w:hAnsi="仿宋_GB2312" w:eastAsia="仿宋_GB2312" w:cs="仿宋_GB2312"/>
          <w:bCs/>
          <w:sz w:val="24"/>
          <w:szCs w:val="24"/>
        </w:rPr>
        <w:t xml:space="preserve">。</w:t>
      </w:r>
      <w:r/>
    </w:p>
    <w:p>
      <w:pPr>
        <w:ind w:firstLine="482"/>
        <w:keepLines w:val="0"/>
        <w:keepNext w:val="0"/>
        <w:pageBreakBefore w:val="0"/>
        <w:spacing w:line="360" w:lineRule="auto"/>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六、报价要求</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本项目报价为固定总价（总价包干）。投标报价应包括采购文件要求范围内的全部工作内容的价格体现，包括实施和完成本次招标内容所需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2、报价货币为人民币，评审时以人民币为准。</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outlineLvl w:val="9"/>
      </w:pPr>
      <w:r/>
      <w:bookmarkStart w:id="5" w:name="_Toc93563409"/>
      <w:r>
        <w:rPr>
          <w:rFonts w:hint="eastAsia" w:ascii="仿宋" w:hAnsi="仿宋" w:eastAsia="仿宋" w:cs="仿宋"/>
          <w:b/>
          <w:bCs/>
          <w:sz w:val="24"/>
          <w:szCs w:val="24"/>
          <w:highlight w:val="none"/>
          <w:lang w:val="en-US" w:eastAsia="zh-CN"/>
        </w:rPr>
        <w:t xml:space="preserve">七、工期要求</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30日历天。</w:t>
      </w:r>
      <w:r/>
    </w:p>
    <w:p>
      <w:pPr>
        <w:ind w:firstLine="482"/>
        <w:keepLines w:val="0"/>
        <w:keepNext w:val="0"/>
        <w:pageBreakBefore w:val="0"/>
        <w:spacing w:line="360" w:lineRule="auto"/>
        <w:widowControl w:val="off"/>
        <w:rPr>
          <w:rFonts w:hint="default"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八、</w:t>
      </w:r>
      <w:r>
        <w:rPr>
          <w:rFonts w:hint="default" w:ascii="仿宋" w:hAnsi="仿宋" w:eastAsia="仿宋" w:cs="仿宋"/>
          <w:b/>
          <w:bCs/>
          <w:sz w:val="24"/>
          <w:szCs w:val="24"/>
          <w:lang w:val="en-US" w:eastAsia="zh-CN"/>
        </w:rPr>
        <w:t xml:space="preserve">安全要求</w:t>
      </w:r>
      <w:bookmarkEnd w:id="5"/>
      <w:r/>
      <w:r/>
    </w:p>
    <w:p>
      <w:pPr>
        <w:ind w:firstLine="480"/>
        <w:keepLines w:val="0"/>
        <w:keepNext w:val="0"/>
        <w:pageBreakBefore w:val="0"/>
        <w:spacing w:line="360" w:lineRule="auto"/>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实施单位在项目的实施过程中应做好人身、财产、交通、数据成果等的安全工作，如自身管理疏忽造成的安全问题，所有的损失皆由实施单位自行承担，与采购人无关。</w:t>
      </w:r>
      <w:r/>
    </w:p>
    <w:p>
      <w:pPr>
        <w:pStyle w:val="1101"/>
        <w:numPr>
          <w:ilvl w:val="0"/>
          <w:numId w:val="0"/>
        </w:numPr>
        <w:ind w:firstLine="482"/>
        <w:jc w:val="both"/>
        <w:keepLines w:val="0"/>
        <w:keepNext w:val="0"/>
        <w:pageBreakBefore w:val="0"/>
        <w:spacing w:line="360" w:lineRule="auto"/>
        <w:widowControl w:val="off"/>
        <w:rPr>
          <w:rFonts w:hint="eastAsia"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九、其他要求：见采购文件 《拟签订的合同文本》。</w:t>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3、（一）磋商报价表</w:t>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（首次报价）</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货币单位：人民币元</w:t>
      </w:r>
      <w:r/>
    </w:p>
    <w:tbl>
      <w:tblPr>
        <w:tblStyle w:val="784"/>
        <w:tblW w:w="881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259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报价（小写）</w:t>
            </w:r>
            <w:r/>
          </w:p>
        </w:tc>
        <w:tc>
          <w:tcPr>
            <w:tcW w:w="2590"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邳州市“一河一案”“一镇一案”“一库一案”编制</w:t>
            </w:r>
            <w:r/>
          </w:p>
        </w:tc>
        <w:tc>
          <w:tcPr>
            <w:tcW w:w="406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2590"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报价（大写）：</w:t>
            </w:r>
            <w:r/>
          </w:p>
        </w:tc>
        <w:tc>
          <w:tcPr>
            <w:gridSpan w:val="2"/>
            <w:tcW w:w="66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bl>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供应商承诺：本报价（总价）为供应商本企业提供的服务。</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报价说明：</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2、报价以总价为准，大小写不一致以大写为准；</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3、偏离说明：详见《偏离表》；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4、如最后报价未列明单价，则最后所报各项单价计算方法为：（最后总价/最初总价）*各项最初报价的单价。</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1035"/>
        <w:ind w:left="0" w:firstLine="0"/>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Style w:val="1031"/>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jc w:val="center"/>
        <w:rPr>
          <w:rStyle w:val="1031"/>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4、偏离表</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p>
    <w:tbl>
      <w:tblPr>
        <w:tblStyle w:val="78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jc w:val="center"/>
          <w:trHeight w:val="414"/>
        </w:trPr>
        <w:tc>
          <w:tcPr>
            <w:tcW w:w="959"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w:t>
            </w:r>
            <w:r/>
          </w:p>
        </w:tc>
      </w:tr>
      <w:tr>
        <w:trPr>
          <w:jc w:val="center"/>
          <w:trHeight w:val="794"/>
        </w:trPr>
        <w:tc>
          <w:tcPr>
            <w:tcW w:w="959"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273"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356"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76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59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980"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bl>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spacing w:line="360" w:lineRule="auto"/>
        <w:rPr>
          <w:rStyle w:val="1031"/>
          <w:rFonts w:hint="eastAsia" w:ascii="仿宋_GB2312" w:hAnsi="仿宋_GB2312" w:eastAsia="仿宋_GB2312" w:cs="仿宋_GB2312"/>
          <w:b w:val="0"/>
          <w:bCs w:val="0"/>
          <w:sz w:val="24"/>
          <w:szCs w:val="24"/>
        </w:rPr>
      </w:pPr>
      <w:r>
        <w:rPr>
          <w:rStyle w:val="1031"/>
          <w:rFonts w:hint="eastAsia" w:ascii="仿宋_GB2312" w:hAnsi="仿宋_GB2312" w:eastAsia="仿宋_GB2312" w:cs="仿宋_GB2312"/>
          <w:b w:val="0"/>
          <w:bCs w:val="0"/>
          <w:sz w:val="24"/>
          <w:szCs w:val="24"/>
        </w:rPr>
        <w:t xml:space="preserve">日期：    年   月   日</w:t>
      </w:r>
      <w:r/>
    </w:p>
    <w:p>
      <w:pPr>
        <w:jc w:val="center"/>
        <w:spacing w:line="360" w:lineRule="auto"/>
        <w:rPr>
          <w:rStyle w:val="1031"/>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866"/>
        <w:ind w:firstLine="0"/>
        <w:rPr>
          <w:rFonts w:hint="eastAsia" w:ascii="仿宋_GB2312" w:hAnsi="仿宋_GB2312" w:eastAsia="仿宋_GB2312" w:cs="仿宋_GB2312"/>
        </w:rPr>
      </w:pPr>
      <w:r>
        <w:rPr>
          <w:rFonts w:hint="eastAsia" w:ascii="仿宋_GB2312" w:hAnsi="仿宋_GB2312" w:eastAsia="仿宋_GB2312" w:cs="仿宋_GB2312"/>
        </w:rPr>
      </w:r>
      <w:r/>
    </w:p>
    <w:p>
      <w:pPr>
        <w:spacing w:line="360" w:lineRule="auto"/>
        <w:rPr>
          <w:rStyle w:val="1031"/>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5、承诺书</w:t>
      </w:r>
      <w:r/>
    </w:p>
    <w:p>
      <w:pPr>
        <w:ind w:firstLine="472"/>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致：</w:t>
      </w:r>
      <w:r>
        <w:rPr>
          <w:rFonts w:hint="eastAsia" w:ascii="仿宋_GB2312" w:hAnsi="仿宋_GB2312" w:eastAsia="仿宋_GB2312" w:cs="仿宋_GB2312"/>
          <w:sz w:val="24"/>
          <w:lang w:eastAsia="zh-CN"/>
        </w:rPr>
        <w:t xml:space="preserve">徐州甲禾项目管理咨询有限公司</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根据贵方</w:t>
      </w:r>
      <w:r>
        <w:rPr>
          <w:rFonts w:hint="eastAsia" w:ascii="仿宋_GB2312" w:hAnsi="仿宋_GB2312" w:eastAsia="仿宋_GB2312" w:cs="仿宋_GB2312"/>
          <w:sz w:val="24"/>
          <w:u w:val="single"/>
          <w:lang w:eastAsia="zh-CN"/>
        </w:rPr>
        <w:t xml:space="preserve">邳州市“一河一案”“一镇一案”“一库一案”编制</w:t>
      </w:r>
      <w:r>
        <w:rPr>
          <w:rFonts w:hint="eastAsia" w:ascii="仿宋_GB2312" w:hAnsi="仿宋_GB2312" w:eastAsia="仿宋_GB2312" w:cs="仿宋_GB2312"/>
          <w:sz w:val="24"/>
        </w:rPr>
        <w:t xml:space="preserve">《竞争性磋商文件》（项目编号：</w:t>
      </w:r>
      <w:r>
        <w:rPr>
          <w:rFonts w:hint="eastAsia" w:ascii="仿宋_GB2312" w:hAnsi="仿宋_GB2312" w:eastAsia="仿宋_GB2312" w:cs="仿宋_GB2312"/>
          <w:sz w:val="24"/>
          <w:lang w:eastAsia="zh-CN"/>
        </w:rPr>
        <w:t xml:space="preserve">JSZC-320382-HWDK-C2026-0001</w:t>
      </w:r>
      <w:r>
        <w:rPr>
          <w:rFonts w:hint="eastAsia" w:ascii="仿宋_GB2312" w:hAnsi="仿宋_GB2312" w:eastAsia="仿宋_GB2312" w:cs="仿宋_GB2312"/>
          <w:sz w:val="24"/>
        </w:rPr>
        <w:t xml:space="preserve">）要求，本供应商正式提交以下首次响应文件。</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sz w:val="24"/>
        </w:rPr>
        <w:t xml:space="preserve">（1）承诺书；</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w:t xml:space="preserve">（2）磋商报价表；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（4）磋商文件要求提供的其他响应文件。</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我单位符合《中华人民共和国政府采购法》第二十二条的规定，符合本项目供应商资格要求。</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我单位按照磋商文件的要求编制响应文件，并对其提交的响应文件的真实性、合法性承担法律责任。</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供应商兹宣布同意如下: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sz w:val="24"/>
        </w:rPr>
        <w:t xml:space="preserve">一、完全承担根据《磋商文件》规定完成合同的责任和义务（如有偏离，将全部填写在偏离表中）。</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w:t xml:space="preserve">二、保证所提供的响应文件及所有材料的真实、合法、有效，并对其负责。</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三、已详细审核竞争性磋商文件（含竞争性磋商文件的澄清或者修改），本供应商完全理解并同意放弃对这方面不明及误解的权利。</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四、所供服务保证符合国家有关产品质量、性能和安全标准，无权利瑕疵。</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五、同意向贵方提供贵方可能要求的与本次磋商采购有关的任何证据或资料。</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六、</w:t>
      </w:r>
      <w:r>
        <w:rPr>
          <w:rFonts w:hint="eastAsia" w:ascii="仿宋_GB2312" w:hAnsi="仿宋_GB2312" w:eastAsia="仿宋_GB2312" w:cs="仿宋_GB2312"/>
          <w:sz w:val="24"/>
          <w:lang w:eastAsia="zh-CN"/>
        </w:rPr>
        <w:t xml:space="preserve">徐州甲禾项目管理咨询有限公司</w:t>
      </w:r>
      <w:r>
        <w:rPr>
          <w:rFonts w:hint="eastAsia" w:ascii="仿宋_GB2312" w:hAnsi="仿宋_GB2312" w:eastAsia="仿宋_GB2312" w:cs="仿宋_GB2312"/>
          <w:sz w:val="24"/>
        </w:rPr>
        <w:t xml:space="preserve">有权将我单位本项目的《磋商报价表》予以公示，公示的方式由</w:t>
      </w:r>
      <w:r>
        <w:rPr>
          <w:rFonts w:hint="eastAsia" w:ascii="仿宋_GB2312" w:hAnsi="仿宋_GB2312" w:eastAsia="仿宋_GB2312" w:cs="仿宋_GB2312"/>
          <w:sz w:val="24"/>
          <w:lang w:eastAsia="zh-CN"/>
        </w:rPr>
        <w:t xml:space="preserve">徐州甲禾项目管理咨询有限公司</w:t>
      </w:r>
      <w:r>
        <w:rPr>
          <w:rFonts w:hint="eastAsia" w:ascii="仿宋_GB2312" w:hAnsi="仿宋_GB2312" w:eastAsia="仿宋_GB2312" w:cs="仿宋_GB2312"/>
          <w:sz w:val="24"/>
        </w:rPr>
        <w:t xml:space="preserve">确定。</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八、同意在收到成交通知书后，按照有关规定支付代理服务费。</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859"/>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w:t>
      </w:r>
      <w:r/>
    </w:p>
    <w:p>
      <w:pPr>
        <w:pStyle w:val="866"/>
        <w:ind w:firstLine="0"/>
        <w:rPr>
          <w:rFonts w:hint="eastAsia" w:ascii="仿宋_GB2312" w:hAnsi="仿宋_GB2312" w:eastAsia="仿宋_GB2312" w:cs="仿宋_GB2312"/>
        </w:rPr>
      </w:pPr>
      <w:r>
        <w:rPr>
          <w:rFonts w:hint="eastAsia" w:ascii="仿宋_GB2312" w:hAnsi="仿宋_GB2312" w:eastAsia="仿宋_GB2312" w:cs="仿宋_GB2312"/>
        </w:rPr>
      </w:r>
      <w:r/>
    </w:p>
    <w:p>
      <w:pPr>
        <w:pStyle w:val="859"/>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6、法人授权委托书</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委托人（全称）：</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地  址：</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法人营业执照注册号（统一社会信用代码）：</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                  先生（女士）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身份证号：</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兹委托（           ）全权代表我企业（公司）参与</w:t>
      </w:r>
      <w:r>
        <w:rPr>
          <w:rFonts w:hint="eastAsia" w:ascii="仿宋_GB2312" w:hAnsi="仿宋_GB2312" w:eastAsia="仿宋_GB2312" w:cs="仿宋_GB2312"/>
          <w:sz w:val="24"/>
          <w:u w:val="single"/>
          <w:lang w:eastAsia="zh-CN"/>
        </w:rPr>
        <w:t xml:space="preserve">邳州市“一河一案”“一镇一案”“一库一案”编制</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rPr>
          <w:rFonts w:hint="eastAsia" w:ascii="仿宋_GB2312" w:hAnsi="仿宋_GB2312" w:eastAsia="仿宋_GB2312" w:cs="仿宋_GB2312"/>
          <w:sz w:val="24"/>
        </w:rPr>
        <w:t xml:space="preserve">]的磋商活动。（           ）以我单位名义所为的行为及签署的文件，我单位均予以认可。有关法律责任均由我单位承担。（           ）无转委托权。</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委托期限自     年   月  日起至    年   月   日止。</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受托人（签字）：</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(受托人身份证正反面附后)</w:t>
      </w:r>
      <w:r/>
    </w:p>
    <w:p>
      <w:pPr>
        <w:jc w:val="center"/>
        <w:rPr>
          <w:rStyle w:val="1031"/>
          <w:rFonts w:hint="eastAsia" w:ascii="仿宋_GB2312" w:hAnsi="仿宋_GB2312" w:eastAsia="仿宋_GB2312" w:cs="仿宋_GB2312"/>
          <w:sz w:val="24"/>
          <w:szCs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7、供应商参加政府采购活动前3年内在经营活动中没有重大违法记录的书面声明</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我单位在参加</w:t>
      </w:r>
      <w:r>
        <w:rPr>
          <w:rFonts w:hint="eastAsia" w:ascii="仿宋_GB2312" w:hAnsi="仿宋_GB2312" w:eastAsia="仿宋_GB2312" w:cs="仿宋_GB2312"/>
          <w:sz w:val="24"/>
          <w:lang w:eastAsia="zh-CN"/>
        </w:rPr>
        <w:t xml:space="preserve">邳州市“一河一案”“一镇一案”“一库一案”编制</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rPr>
          <w:rFonts w:hint="eastAsia" w:ascii="仿宋_GB2312" w:hAnsi="仿宋_GB2312" w:eastAsia="仿宋_GB2312" w:cs="仿宋_GB2312"/>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pStyle w:val="859"/>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pStyle w:val="859"/>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8、中小企业声明函</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邳州市“一河一案”“一镇一案”“一库一案”编制</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本公司（联合体）郑重声明，根据《政府采购促进中小企业发展管理办法》（财库﹝2020﹞46 号）的规定，本公司（联合体）参加</w:t>
      </w:r>
      <w:r>
        <w:rPr>
          <w:rFonts w:hint="eastAsia" w:ascii="仿宋_GB2312" w:hAnsi="仿宋_GB2312" w:eastAsia="仿宋_GB2312" w:cs="仿宋_GB2312"/>
          <w:sz w:val="24"/>
          <w:u w:val="single"/>
        </w:rPr>
        <w:t xml:space="preserve">（单位名称）</w:t>
      </w:r>
      <w:r>
        <w:rPr>
          <w:rFonts w:hint="eastAsia" w:ascii="仿宋_GB2312" w:hAnsi="仿宋_GB2312" w:eastAsia="仿宋_GB2312" w:cs="仿宋_GB2312"/>
          <w:sz w:val="24"/>
        </w:rPr>
        <w:t xml:space="preserve">的</w:t>
      </w:r>
      <w:r>
        <w:rPr>
          <w:rFonts w:hint="eastAsia" w:ascii="仿宋_GB2312" w:hAnsi="仿宋_GB2312" w:eastAsia="仿宋_GB2312" w:cs="仿宋_GB2312"/>
          <w:sz w:val="24"/>
          <w:u w:val="single"/>
        </w:rPr>
        <w:t xml:space="preserve">（项目名称）</w:t>
      </w:r>
      <w:r>
        <w:rPr>
          <w:rFonts w:hint="eastAsia" w:ascii="仿宋_GB2312" w:hAnsi="仿宋_GB2312" w:eastAsia="仿宋_GB2312" w:cs="仿宋_GB2312"/>
          <w:sz w:val="24"/>
        </w:rPr>
        <w:t xml:space="preserve">采购活动，服务全部由符合政策要求的中小企业承接。相关企业（含联合体中的中小企业、签订分包意向协议的中小企业）的具体情况如下：</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rPr>
          <w:rFonts w:hint="eastAsia" w:ascii="仿宋_GB2312" w:hAnsi="仿宋_GB2312" w:eastAsia="仿宋_GB2312" w:cs="仿宋_GB2312"/>
          <w:sz w:val="24"/>
          <w:u w:val="single"/>
        </w:rPr>
        <w:t xml:space="preserve">（标的名称）</w:t>
      </w:r>
      <w:r>
        <w:rPr>
          <w:rFonts w:hint="eastAsia" w:ascii="仿宋_GB2312" w:hAnsi="仿宋_GB2312" w:eastAsia="仿宋_GB2312" w:cs="仿宋_GB2312"/>
          <w:sz w:val="24"/>
        </w:rPr>
        <w:t xml:space="preserve"> ，属于</w:t>
      </w:r>
      <w:r>
        <w:rPr>
          <w:rFonts w:hint="eastAsia" w:ascii="仿宋_GB2312" w:hAnsi="仿宋_GB2312" w:eastAsia="仿宋_GB2312" w:cs="仿宋_GB2312"/>
          <w:sz w:val="24"/>
          <w:u w:val="single"/>
        </w:rPr>
        <w:t xml:space="preserve">（技术服务业）</w:t>
      </w:r>
      <w:r>
        <w:rPr>
          <w:rFonts w:hint="eastAsia" w:ascii="仿宋_GB2312" w:hAnsi="仿宋_GB2312" w:eastAsia="仿宋_GB2312" w:cs="仿宋_GB2312"/>
          <w:sz w:val="24"/>
        </w:rPr>
        <w:t xml:space="preserve">； 承建（承接）企业为</w:t>
      </w:r>
      <w:r>
        <w:rPr>
          <w:rFonts w:hint="eastAsia" w:ascii="仿宋_GB2312" w:hAnsi="仿宋_GB2312" w:eastAsia="仿宋_GB2312" w:cs="仿宋_GB2312"/>
          <w:sz w:val="24"/>
          <w:u w:val="single"/>
        </w:rPr>
        <w:t xml:space="preserve">（企业名称）</w:t>
      </w:r>
      <w:r>
        <w:rPr>
          <w:rFonts w:hint="eastAsia" w:ascii="仿宋_GB2312" w:hAnsi="仿宋_GB2312" w:eastAsia="仿宋_GB2312" w:cs="仿宋_GB2312"/>
          <w:sz w:val="24"/>
        </w:rPr>
        <w:t xml:space="preserve">，从业人员</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人，营业收入为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万元，资产总额为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 ，属于</w:t>
      </w:r>
      <w:r>
        <w:rPr>
          <w:rFonts w:hint="eastAsia" w:ascii="仿宋_GB2312" w:hAnsi="仿宋_GB2312" w:eastAsia="仿宋_GB2312" w:cs="仿宋_GB2312"/>
          <w:sz w:val="24"/>
          <w:u w:val="single"/>
        </w:rPr>
        <w:t xml:space="preserve">    （中型企业、 小型企业、微型企业）</w:t>
      </w:r>
      <w:r>
        <w:rPr>
          <w:rFonts w:hint="eastAsia" w:ascii="仿宋_GB2312" w:hAnsi="仿宋_GB2312" w:eastAsia="仿宋_GB2312" w:cs="仿宋_GB2312"/>
          <w:sz w:val="24"/>
        </w:rPr>
        <w:t xml:space="preserve">；</w:t>
      </w:r>
      <w:r/>
    </w:p>
    <w:p>
      <w:pPr>
        <w:ind w:firstLine="472"/>
        <w:rPr>
          <w:rFonts w:hint="eastAsia" w:ascii="仿宋_GB2312" w:hAnsi="仿宋_GB2312" w:eastAsia="仿宋_GB2312" w:cs="仿宋_GB2312"/>
          <w:sz w:val="24"/>
        </w:rPr>
      </w:pPr>
      <w:r>
        <w:rPr>
          <w:rFonts w:hint="eastAsia" w:ascii="仿宋_GB2312" w:hAnsi="仿宋_GB2312" w:eastAsia="仿宋_GB2312" w:cs="仿宋_GB2312"/>
          <w:b/>
          <w:sz w:val="24"/>
        </w:rPr>
        <w:t xml:space="preserve">.........</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以上企业，不属于大企业的分支机构，不存在控股股东为大企业的情形，也不存在与大企业的负责人为同一人的情形。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本企业对上述声明内容的真实性负责。如有虚假，将依法承担相应责任。 </w:t>
      </w:r>
      <w:r/>
    </w:p>
    <w:p>
      <w:pPr>
        <w:jc w:val="cente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企业名称（</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日 期：   年  月  日</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说明：如提供虚假中小企业声明函的，则采购人有权取消投标、中标候选或中标资格，有权终止合同，并报政府采购监管部门。</w:t>
      </w:r>
      <w:r/>
    </w:p>
    <w:p>
      <w:pPr>
        <w:jc w:val="center"/>
        <w:rPr>
          <w:rStyle w:val="1031"/>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859"/>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color w:val="333333"/>
          <w:spacing w:val="8"/>
          <w:sz w:val="33"/>
          <w:szCs w:val="33"/>
          <w:shd w:val="clear" w:color="auto" w:fill="ffffff"/>
        </w:rPr>
      </w:pPr>
      <w:r>
        <w:rPr>
          <w:rFonts w:hint="eastAsia" w:ascii="仿宋_GB2312" w:hAnsi="仿宋_GB2312" w:eastAsia="仿宋_GB2312" w:cs="仿宋_GB2312"/>
          <w:color w:val="333333"/>
          <w:spacing w:val="8"/>
          <w:sz w:val="33"/>
          <w:szCs w:val="33"/>
          <w:shd w:val="clear" w:color="auto" w:fill="ffffff"/>
        </w:rPr>
        <w:br w:type="page" w:clear="all"/>
      </w:r>
      <w:r/>
    </w:p>
    <w:p>
      <w:pPr>
        <w:pStyle w:val="1025"/>
        <w:jc w:val="center"/>
        <w:keepLines w:val="0"/>
        <w:keepNext w:val="0"/>
        <w:spacing w:before="0" w:after="210" w:line="21" w:lineRule="atLeast"/>
        <w:shd w:val="clear" w:color="auto" w:fill="ffffff"/>
        <w:widowControl/>
        <w:rPr>
          <w:rFonts w:hint="eastAsia" w:ascii="仿宋_GB2312" w:hAnsi="仿宋_GB2312" w:eastAsia="仿宋_GB2312" w:cs="仿宋_GB2312"/>
          <w:color w:val="333333"/>
          <w:spacing w:val="8"/>
          <w:sz w:val="33"/>
          <w:szCs w:val="33"/>
        </w:rPr>
        <w:outlineLvl w:val="9"/>
      </w:pPr>
      <w:r>
        <w:rPr>
          <w:rFonts w:hint="eastAsia" w:ascii="仿宋_GB2312" w:hAnsi="仿宋_GB2312" w:eastAsia="仿宋_GB2312" w:cs="仿宋_GB2312"/>
          <w:color w:val="333333"/>
          <w:spacing w:val="8"/>
          <w:sz w:val="33"/>
          <w:szCs w:val="33"/>
          <w:shd w:val="clear" w:color="auto" w:fill="ffffff"/>
        </w:rPr>
        <w:t xml:space="preserve">中小企业规模类型自测小程序</w:t>
      </w:r>
      <w:r/>
    </w:p>
    <w:p>
      <w:pPr>
        <w:pStyle w:val="1036"/>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1036"/>
        <w:ind w:left="0" w:firstLine="0"/>
        <w:rPr>
          <w:rFonts w:hint="eastAsia" w:ascii="仿宋_GB2312" w:hAnsi="仿宋_GB2312" w:eastAsia="仿宋_GB2312" w:cs="仿宋_GB2312"/>
          <w:sz w:val="24"/>
          <w:lang w:eastAsia="zh-CN"/>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8"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descr="c29a4c76a23db129dee4dec6a5f8c29a"/>
                        <pic:cNvPicPr>
                          <a:picLocks noChangeAspect="1"/>
                        </pic:cNvPicPr>
                        <pic:nvPr/>
                      </pic:nvPicPr>
                      <pic:blipFill>
                        <a:blip r:embed="rId17"/>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3.7pt;height:211.9pt;mso-wrap-distance-left:0.0pt;mso-wrap-distance-top:0.0pt;mso-wrap-distance-right:0.0pt;mso-wrap-distance-bottom:0.0pt;" stroked="false">
                <v:path textboxrect="0,0,0,0"/>
                <v:imagedata r:id="rId17" o:title=""/>
              </v:shape>
            </w:pict>
          </mc:Fallback>
        </mc:AlternateContent>
      </w:r>
      <w:r/>
    </w:p>
    <w:p>
      <w:pPr>
        <w:pStyle w:val="1036"/>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both"/>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9、残疾人福利性单位声明函</w:t>
      </w:r>
      <w:r/>
    </w:p>
    <w:p>
      <w:pPr>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邳州市“一河一案”“一镇一案”“一库一案”编制</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单位的</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1025"/>
        <w:rPr>
          <w:rFonts w:hint="eastAsia" w:ascii="仿宋_GB2312" w:hAnsi="仿宋_GB2312" w:eastAsia="仿宋_GB2312" w:cs="仿宋_GB2312"/>
          <w:sz w:val="24"/>
        </w:rPr>
        <w:outlineLvl w:val="9"/>
      </w:pPr>
      <w:r>
        <w:rPr>
          <w:rFonts w:hint="eastAsia" w:ascii="仿宋_GB2312" w:hAnsi="仿宋_GB2312" w:eastAsia="仿宋_GB2312" w:cs="仿宋_GB2312"/>
          <w:sz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br w:type="page" w:clear="all"/>
      </w:r>
      <w:r>
        <w:rPr>
          <w:rFonts w:hint="eastAsia" w:ascii="仿宋_GB2312" w:hAnsi="仿宋_GB2312" w:eastAsia="仿宋_GB2312" w:cs="仿宋_GB2312"/>
          <w:b/>
          <w:bCs/>
          <w:sz w:val="30"/>
          <w:szCs w:val="30"/>
          <w:lang w:val="en-US" w:eastAsia="zh-CN"/>
        </w:rPr>
        <w:t xml:space="preserve">10、方案</w:t>
      </w:r>
      <w:r/>
    </w:p>
    <w:p>
      <w:pPr>
        <w:pStyle w:val="1039"/>
        <w:ind w:left="1275"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39"/>
        <w:ind w:left="0"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cs="仿宋_GB2312"/>
          <w:sz w:val="28"/>
          <w:szCs w:val="28"/>
          <w:lang w:eastAsia="zh-CN"/>
        </w:rPr>
        <w:t xml:space="preserve">参照评分细则，格式自拟</w:t>
      </w:r>
      <w:r>
        <w:rPr>
          <w:rFonts w:hint="eastAsia" w:ascii="仿宋_GB2312" w:hAnsi="仿宋_GB2312" w:eastAsia="仿宋_GB2312" w:cs="仿宋_GB2312"/>
          <w:sz w:val="28"/>
          <w:szCs w:val="28"/>
        </w:rPr>
        <w:t xml:space="preserve">）</w:t>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39"/>
        <w:ind w:left="1275" w:firstLine="0"/>
        <w:rPr>
          <w:rFonts w:hint="eastAsia" w:ascii="仿宋_GB2312" w:hAnsi="仿宋_GB2312" w:eastAsia="仿宋_GB2312" w:cs="仿宋_GB2312"/>
        </w:rPr>
      </w:pPr>
      <w:r>
        <w:rPr>
          <w:rFonts w:hint="eastAsia" w:ascii="仿宋_GB2312" w:hAnsi="仿宋_GB2312" w:eastAsia="仿宋_GB2312" w:cs="仿宋_GB2312"/>
        </w:rPr>
      </w:r>
      <w:r/>
    </w:p>
    <w:p>
      <w:pPr>
        <w:jc w:val="both"/>
        <w:rPr>
          <w:rFonts w:hint="eastAsia" w:ascii="仿宋_GB2312" w:hAnsi="仿宋_GB2312" w:eastAsia="仿宋_GB2312" w:cs="仿宋_GB2312"/>
          <w:b/>
          <w:sz w:val="24"/>
        </w:rPr>
      </w:pPr>
      <w:r>
        <w:rPr>
          <w:rFonts w:hint="eastAsia" w:ascii="仿宋_GB2312" w:hAnsi="仿宋_GB2312" w:eastAsia="仿宋_GB2312" w:cs="仿宋_GB2312"/>
          <w:b/>
          <w:sz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numPr>
          <w:ilvl w:val="0"/>
          <w:numId w:val="3"/>
        </w:num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合同草案条款</w:t>
      </w:r>
      <w:r/>
    </w:p>
    <w:p>
      <w:pPr>
        <w:pStyle w:val="792"/>
        <w:numPr>
          <w:ilvl w:val="0"/>
          <w:numId w:val="0"/>
        </w:numPr>
        <w:ind w:left="880" w:right="6"/>
        <w:rPr>
          <w:rFonts w:hint="eastAsia"/>
          <w:lang w:val="en-US" w:eastAsia="zh-CN"/>
        </w:rPr>
      </w:pPr>
      <w:r>
        <w:rPr>
          <w:rFonts w:hint="eastAsia"/>
          <w:lang w:val="en-US" w:eastAsia="zh-CN"/>
        </w:rPr>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合同编号：</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pStyle w:val="856"/>
        <w:jc w:val="center"/>
        <w:rPr>
          <w:rFonts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政府采购合同</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项目名称：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委托方（甲方）：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受托方（乙方）：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签订地点：</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签订日期：   年   月  日</w:t>
      </w:r>
      <w:r/>
    </w:p>
    <w:p>
      <w:pPr>
        <w:pStyle w:val="854"/>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t xml:space="preserve">有效期限：   年   月  日至    年  月  日</w:t>
      </w:r>
      <w:r/>
    </w:p>
    <w:p>
      <w:pPr>
        <w:pStyle w:val="854"/>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854"/>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854"/>
        <w:ind w:firstLine="480"/>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854"/>
        <w:ind w:firstLine="562"/>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4"/>
        <w:ind w:firstLine="480"/>
        <w:keepLines w:val="0"/>
        <w:keepNext w:val="0"/>
        <w:pageBreakBefore w:val="0"/>
        <w:spacing w:line="400" w:lineRule="exact"/>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本合同买方委托卖方就</w:t>
      </w:r>
      <w:r>
        <w:rPr>
          <w:rFonts w:hint="eastAsia" w:ascii="仿宋" w:hAnsi="仿宋" w:eastAsia="仿宋" w:cs="仿宋"/>
          <w:color w:val="auto"/>
          <w:sz w:val="24"/>
          <w:szCs w:val="24"/>
          <w:highlight w:val="none"/>
          <w:lang w:eastAsia="zh-CN"/>
        </w:rPr>
        <w:t xml:space="preserve">邳州市“一河一案”“一镇一案”“一库一案”编制</w:t>
      </w:r>
      <w:r>
        <w:rPr>
          <w:rFonts w:hint="eastAsia" w:ascii="仿宋" w:hAnsi="仿宋" w:eastAsia="仿宋" w:cs="仿宋"/>
          <w:color w:val="auto"/>
          <w:sz w:val="24"/>
          <w:szCs w:val="24"/>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合同通用条款</w:t>
      </w:r>
      <w:r/>
    </w:p>
    <w:p>
      <w:pPr>
        <w:ind w:firstLine="560"/>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目录</w:t>
      </w:r>
      <w:r/>
    </w:p>
    <w:p>
      <w:pPr>
        <w:ind w:firstLine="56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合同范围</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包装和标记</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售后服务和技术培训</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适用法律</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权利保证</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spacing w:line="520" w:lineRule="exact"/>
        <w:rPr>
          <w:rStyle w:val="1110"/>
          <w:rFonts w:ascii="仿宋" w:hAnsi="仿宋" w:eastAsia="仿宋" w:cs="仿宋"/>
          <w:color w:val="auto"/>
          <w:highlight w:val="none"/>
        </w:rPr>
      </w:pPr>
      <w:r>
        <w:rPr>
          <w:rFonts w:hint="eastAsia" w:ascii="仿宋" w:hAnsi="仿宋" w:eastAsia="仿宋" w:cs="仿宋"/>
          <w:color w:val="auto"/>
          <w:sz w:val="24"/>
          <w:highlight w:val="none"/>
        </w:rPr>
        <w:br w:type="page" w:clear="all"/>
      </w:r>
      <w:r>
        <w:rPr>
          <w:rStyle w:val="1110"/>
          <w:rFonts w:hint="eastAsia" w:ascii="仿宋" w:hAnsi="仿宋" w:eastAsia="仿宋" w:cs="仿宋"/>
          <w:color w:val="auto"/>
          <w:highlight w:val="none"/>
        </w:rPr>
        <w:t xml:space="preserve">合同通用条款</w:t>
      </w:r>
      <w:r/>
    </w:p>
    <w:p>
      <w:pPr>
        <w:ind w:firstLine="48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除本合同上下文中另有规定外，下列各词语定义如下：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1.1“买方”见《合同专用条款》。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1.2“卖方”见《合同专用条款》。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1.3“工作现场”见《合同专用条款》。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1.4“合同标的”见合同附件4。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1.5“技术资料”是指与合同标的的安装、试运行、验收、操作以及维修有关的技术指标、规格、图纸和文件。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1.6“技术培训”是指在合同标的的安装、试运行、验收、操作、维修以及其他方面卖方给予买方的培训。</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1.7“安装”是指有关合同标的、备件和材料的安装工作。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1.8“试运行”是指为验明合同标的的技术性能，在安装完毕后对合同标的进行的测试。</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1.10“合同货币”见《合同专用条款》。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1.11“合同价格”见合同附件。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1.12“合同生效日”见《合同协议书》。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1.13“日”是指日历天数。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1.14“月”是指日历月数。</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2.1买方同意从卖方购买、卖方同意向买方出售和提供的合同标的以及相关售后服务、技术培训和技术资料。</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合同总价见《合同专用条款》。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 合同总价是固定价格。</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4.2卖方有义务根据合同的规定向买方支付违约金和/或赔偿金时，买方有权从任何一笔应付款中予以扣除。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第五条 服务周期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5.1服务周期和交付条件见《合同专用条款》。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5.2交付地点见《合同专用条款》。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5.3在《合同专用条款》规定的期限内，卖方应将合同号、合同标的的名称、数量、件数以及交付的时间以书面方式通知买方。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5.4卖方应按下列规定交付合同标的：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5.4.1卖方负责将合同标的送至《合同专用条款》规定的交货地点。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5.4.2买方出具的收据日期是合同标的的实际交货日期。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5.5如果卖方未能按照合同规定的服务期限交付，卖方应按《合同专用条款》的规定支付违约金或提供其他救济。</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 包装与标记</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6.1除非合同中另有规定，合同标的应保持产品制造企业原包装完好。</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6.2在合同标的的每件包装中都应附有下列单据：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装箱明细单；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质量合格证；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 技术资料交付的期限和方式见《合同专用条款》。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 合同标的的交付期限见《合同专用条款》。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9.1合同标的的试运行、验收见《合同专用条款》。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9.2如果合同附件2 所规定的所有技术性能在验收中都已经达到，双方应在验收合格后5 日内签署验收书。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9.3买方派出1-3名技术人员参加项目实施，卖方应积极配合买方派出的1-3名技术人员监督管理。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售后服务和技术培训</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10.1售后服务和技术培训见合同附件3。</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第十一条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11.2卖方保证所提供产品符合技术要求，并兑现质量保证。如验收未通过，卖方应赔偿买方损失。</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11.3卖方应按期交付产品。如未能如期交付，视为违约，且从第二天起每延迟一天按合同总价的1‰计算违约金，从合同总价款中扣除。支付违约金后仍应履行合同义务。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第十二条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12.4如一方迟延通知，给合同相对方造成损失扩大的，迟延通知方应对相对方损失扩大部分承担赔偿责任。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第十三条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卖方在合同规定的交付期限后未能按《合同专用条款》中规定的最终期限交付合同标的和/或技术资料；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合同标的未能达到合同附件2 规定的技术性能；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卖方未能履行合同项下任何其它义务，并且在收到买方违约通知后未能按《合同专用条款》中规定的期限对其违约行为作出补救。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13.3如果买方认定卖方在投标或执行合同中有腐败或欺诈行为,买方有权在任何时候发出书面通知终止合同。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A.“腐败行为”系指在招标、采购和合同执行等过程中，为谋求利益、影响相关人员而提供、给予、接受或索取任何有价物的行为。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B.“欺诈行为”系指为了影响招标、采购和合同执行等过程而隐瞒事实，从而给买方造成损害的行为，其中包括供应商之间的串通行为。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13.4 在买方全部或部分终止合同的情况下，卖方应按《合同专用条款》的规定对买方给予补偿。</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第十四条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14.1 因执行本合同所发生的或者与本合同有关的一切争议由合同双方通过友好协商解决，如果不能协商一致，按《合同专用条款》规定的方式解决。</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第十五条 适用法律</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15.1 本合同的执行和争议的解决适用中华人民共和国的法律并按中华人民共和国的法律进行解释。</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第十六条  权利保证</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16.1卖方应保证买方在使用合同标的时不受第三方提出侵犯其专利权、版权、商标权或其他权利的起诉。一旦出现侵权，卖方承担全部责任。</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第十七条  保密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17.2上述秘密，卖方只能用于本合同，而且只能由卖方相应的人员使用；没有必要接触的卖方人员，不得接触。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17.3卖方应当采取适当有效的方式保护所获取的上述秘密。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第十八条 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 本合同在合同协议书（合同附件1）规定的条件全部满足后生效。</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18.3 合同双方各自承担与本合同有关的应负税费。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18.4合同双方除非《合同专用条款》另有规定，所有合同文件及相关的修订和合同双方之间的书面联络，应使用中文书就并按中文解释。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18.5对本合同的任何补充、增添或修改以书面方式进行。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18.6没有另一方的事先书面同意，合同任何一方不得将合同项下的任何权利和义务转让给第三方。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18.8合同条款中的标题和边注仅供参考使用，不应视为合同的一部分，也不影响本文的解释。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18.10合同双方之间的一切联络往来应以书面形式按《合同专用条款》中规定的通讯地址发往合同另一方。有关重要事项的传真应及时用挂号信或快件确认。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第十九条 通知和送达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19.2.1采用面呈传递时，被通知人(含其法定代表人、约定收件人、雇员或代理人，下同)签收视为送达。若被通知人拒绝签收的，通知留置被通知人通讯地址处视为送达。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19.3上述通讯地址和联系方式适用至本合同履行完毕或争议经过一审、二审至案件执行终结时止，除非双方依下款告知变更。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仿宋" w:hAnsi="仿宋" w:eastAsia="仿宋" w:cs="仿宋"/>
          <w:b w:val="0"/>
          <w:bCs w:val="0"/>
          <w:color w:val="auto"/>
          <w:sz w:val="24"/>
          <w:highlight w:val="none"/>
        </w:rPr>
        <w:t xml:space="preserve">书面</w:t>
      </w:r>
      <w:r>
        <w:rPr>
          <w:rFonts w:hint="eastAsia" w:ascii="仿宋" w:hAnsi="仿宋" w:eastAsia="仿宋" w:cs="仿宋"/>
          <w:color w:val="auto"/>
          <w:sz w:val="24"/>
          <w:highlight w:val="none"/>
        </w:rPr>
        <w:t xml:space="preserve">通知变更后的通讯地址、收件人或联系方式不详，导致通知迟延或不能送达的后果，由该方自行承担。</w:t>
      </w:r>
      <w:r/>
    </w:p>
    <w:p>
      <w:pPr>
        <w:ind w:firstLine="24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bookmarkStart w:id="6" w:name="_GoBack"/>
      <w:r/>
      <w:bookmarkEnd w:id="6"/>
      <w:r/>
      <w:r/>
    </w:p>
    <w:p>
      <w:pPr>
        <w:jc w:val="center"/>
        <w:rPr>
          <w:b/>
          <w:bCs/>
          <w:sz w:val="40"/>
          <w:szCs w:val="48"/>
        </w:rPr>
      </w:pPr>
      <w:r>
        <w:rPr>
          <w:rFonts w:hint="eastAsia"/>
          <w:b/>
          <w:bCs/>
          <w:sz w:val="40"/>
          <w:szCs w:val="48"/>
        </w:rPr>
        <w:t xml:space="preserve">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 “买方”为</w:t>
      </w:r>
      <w:r>
        <w:rPr>
          <w:rFonts w:hint="eastAsia" w:ascii="仿宋" w:hAnsi="仿宋" w:eastAsia="仿宋" w:cs="仿宋"/>
          <w:color w:val="auto"/>
          <w:sz w:val="24"/>
          <w:highlight w:val="none"/>
          <w:u w:val="single"/>
          <w:lang w:eastAsia="zh-CN"/>
        </w:rPr>
        <w:t xml:space="preserve">邳州市水务局</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 “卖方”为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 “工作现场”为</w:t>
      </w:r>
      <w:r>
        <w:rPr>
          <w:rFonts w:hint="eastAsia" w:ascii="仿宋" w:hAnsi="仿宋" w:eastAsia="仿宋" w:cs="仿宋"/>
          <w:color w:val="auto"/>
          <w:sz w:val="24"/>
          <w:highlight w:val="none"/>
          <w:u w:val="single"/>
        </w:rPr>
        <w:t xml:space="preserve">买方指定地点</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 “合同货币”即</w:t>
      </w:r>
      <w:r>
        <w:rPr>
          <w:rFonts w:hint="eastAsia" w:ascii="仿宋" w:hAnsi="仿宋" w:eastAsia="仿宋" w:cs="仿宋"/>
          <w:color w:val="auto"/>
          <w:sz w:val="24"/>
          <w:highlight w:val="none"/>
          <w:u w:val="single"/>
        </w:rPr>
        <w:t xml:space="preserve">人民币</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2.1买方同意从卖方购买、卖方同意向买方出售的合同标的是</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。详见合同附件。</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pStyle w:val="1101"/>
        <w:ind w:firstLine="480"/>
        <w:jc w:val="both"/>
        <w:keepLines w:val="0"/>
        <w:keepNext w:val="0"/>
        <w:pageBreakBefore w:val="0"/>
        <w:spacing w:line="360" w:lineRule="auto"/>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1.本合同项下所有款项均以人民币支付。</w:t>
      </w:r>
      <w:r/>
    </w:p>
    <w:p>
      <w:pPr>
        <w:pStyle w:val="1101"/>
        <w:ind w:firstLine="480"/>
        <w:jc w:val="both"/>
        <w:keepLines w:val="0"/>
        <w:keepNext w:val="0"/>
        <w:pageBreakBefore w:val="0"/>
        <w:spacing w:line="360" w:lineRule="auto"/>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2.付款方式：</w:t>
      </w:r>
      <w:r/>
    </w:p>
    <w:p>
      <w:pPr>
        <w:ind w:firstLine="480"/>
        <w:spacing w:line="312"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付款方式：</w:t>
      </w:r>
      <w:r/>
    </w:p>
    <w:p>
      <w:pPr>
        <w:ind w:firstLine="480"/>
        <w:spacing w:line="312"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乙方完成调查工作任务，项目成果经甲方验收合格后，甲方向乙方支付合同总价的 50%；剩余合同总价 50% 款项，于项目验收合格之日起不超过 60 日内支付完毕。</w:t>
      </w:r>
      <w:r/>
    </w:p>
    <w:p>
      <w:pPr>
        <w:ind w:firstLine="480"/>
        <w:spacing w:line="312"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 发票及付款资料：采购人每次付款前，乙方须向采购人提供等额有效的增值税正式发票。乙方申请付款时应提交资料包括但不限于</w:t>
      </w:r>
      <w:r>
        <w:rPr>
          <w:rFonts w:hint="eastAsia" w:ascii="仿宋" w:hAnsi="仿宋" w:eastAsia="仿宋" w:cs="仿宋"/>
          <w:color w:val="auto"/>
          <w:sz w:val="24"/>
          <w:highlight w:val="none"/>
        </w:rPr>
        <w:t xml:space="preserve">成交通知书、合同、</w:t>
      </w:r>
      <w:r>
        <w:rPr>
          <w:rFonts w:hint="eastAsia" w:ascii="仿宋" w:hAnsi="仿宋" w:eastAsia="仿宋" w:cs="仿宋"/>
          <w:color w:val="000000"/>
          <w:sz w:val="24"/>
          <w:szCs w:val="20"/>
          <w:highlight w:val="none"/>
          <w:lang w:val="en-US" w:eastAsia="zh-CN" w:bidi="ar-SA"/>
        </w:rPr>
        <w:t xml:space="preserve">当期等额发票、项目验收报告。</w:t>
      </w:r>
      <w:r/>
    </w:p>
    <w:p>
      <w:pPr>
        <w:ind w:firstLine="480"/>
        <w:spacing w:line="312"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付款说明：在满足合同约定付款条件且乙方提交合规资料后，甲方按规定办理内部支付流程，支付流程审核通过后甲方按规定付款。如因乙方提交发票不合规、资料缺失导致付款延误的，甲方有权延期付款且不承担逾期付款违约责任，乙方仍应继续履行合同全部义务。本合同履行产生的全部税费，均由乙方承担。</w:t>
      </w:r>
      <w:r/>
    </w:p>
    <w:p>
      <w:pPr>
        <w:spacing w:line="312"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第五条 成果交付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5.1卖方严格按照相关规程、规范操作，确保成果符合采购需求及相关规定，成果编制完成后按规定程序上报。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如果卖方未能按照合同规定的服务期限</w:t>
      </w:r>
      <w:r>
        <w:rPr>
          <w:rFonts w:hint="eastAsia" w:ascii="仿宋" w:hAnsi="仿宋" w:eastAsia="仿宋" w:cs="仿宋"/>
          <w:color w:val="auto"/>
          <w:sz w:val="24"/>
          <w:highlight w:val="none"/>
          <w:lang w:val="en-US" w:eastAsia="zh-CN"/>
        </w:rPr>
        <w:t xml:space="preserve">提交服务成果</w:t>
      </w:r>
      <w:r>
        <w:rPr>
          <w:rFonts w:hint="eastAsia" w:ascii="仿宋" w:hAnsi="仿宋" w:eastAsia="仿宋" w:cs="仿宋"/>
          <w:color w:val="auto"/>
          <w:sz w:val="24"/>
          <w:highlight w:val="none"/>
        </w:rPr>
        <w:t xml:space="preserve">，卖方应按每天迟交合同标的金额的百分之一 (1%)的比率支付违约金。违约金的总金额不超过合同总价的百分之十(10%) ，违约金的支付不能免除卖方继续交付相关合同标的的义务。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如果卖方在合同规定的服务期限后十日内仍未能交付全部或部分标的，在不妨碍买方采取其他救济手段的情况下，买方可以向卖方发出书面违约通知从而全部或部分地终止合同。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第六条、履约保证金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本项目无需缴纳履约保证金。</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技术资料随合同标的同时交付给买方。</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8.1 按照省厅要求提交全部成果。</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 根据《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一河（湖）一策</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方案编制指南</w:t>
      </w:r>
      <w:r>
        <w:rPr>
          <w:rFonts w:hint="eastAsia" w:ascii="仿宋" w:hAnsi="仿宋" w:eastAsia="仿宋" w:cs="仿宋"/>
          <w:color w:val="auto"/>
          <w:sz w:val="24"/>
          <w:highlight w:val="none"/>
        </w:rPr>
        <w:t xml:space="preserve">》等规范标准</w:t>
      </w:r>
      <w:r>
        <w:rPr>
          <w:rFonts w:hint="eastAsia" w:ascii="仿宋" w:hAnsi="仿宋" w:eastAsia="仿宋" w:cs="仿宋"/>
          <w:color w:val="auto"/>
          <w:sz w:val="24"/>
          <w:highlight w:val="none"/>
          <w:lang w:eastAsia="zh-CN"/>
        </w:rPr>
        <w:t xml:space="preserve">进行验收</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.1买方有权选择本条款规定的任意或全部救济方式。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.3如果合同标的在服务期间、试运行和验收中卖方未能履行其在本合同项下承担的义务，买方有权向卖方提出索赔并寻求《合同专用条款》中规定的救济方式，救济方式包括：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卖方替换不符合合同规定的合同标的。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按质量低劣的程度、买方受损害的程度及损失的数额对合同标的进行降价。</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拒收合同标的。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D. 赔偿由卖方违约引起的其他损失。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一</w:t>
      </w:r>
      <w:r>
        <w:rPr>
          <w:rFonts w:hint="eastAsia" w:ascii="仿宋" w:hAnsi="仿宋" w:eastAsia="仿宋" w:cs="仿宋"/>
          <w:b/>
          <w:bCs/>
          <w:color w:val="auto"/>
          <w:sz w:val="24"/>
          <w:highlight w:val="none"/>
        </w:rPr>
        <w:t xml:space="preserve">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不可抗力事件持续超过30日，任一方均有权解除本合同。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如果卖方有下述违约行为，买方可以全部或部分地终止合同：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卖方在合同规定的交付期限后</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日内仍未能对其违约行为作出补救。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如果不能协商一致，合同任何一方有权向买方所在地人民法院提起诉讼。</w:t>
      </w:r>
      <w:r/>
    </w:p>
    <w:p>
      <w:pPr>
        <w:numPr>
          <w:ilvl w:val="0"/>
          <w:numId w:val="0"/>
        </w:num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第十四条 </w:t>
      </w:r>
      <w:r>
        <w:rPr>
          <w:rFonts w:hint="eastAsia" w:ascii="仿宋" w:hAnsi="仿宋" w:eastAsia="仿宋" w:cs="仿宋"/>
          <w:b/>
          <w:bCs/>
          <w:color w:val="auto"/>
          <w:sz w:val="24"/>
          <w:highlight w:val="none"/>
        </w:rPr>
        <w:t xml:space="preserve">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14.1</w:t>
      </w:r>
      <w:r>
        <w:rPr>
          <w:rFonts w:hint="eastAsia" w:ascii="仿宋" w:hAnsi="仿宋" w:eastAsia="仿宋" w:cs="仿宋"/>
          <w:color w:val="auto"/>
          <w:sz w:val="24"/>
          <w:highlight w:val="none"/>
        </w:rPr>
        <w:t xml:space="preserve">（1）合同附件包括：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①买方发布的磋商文件；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②卖方提交的响应文件；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③《成交通知书》；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④买方和卖方商定的其他必要文件。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（2）合同附件与合同具有同等效力。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（3）合同文件应能相互解释、相互说明。若合同文件之间有矛盾，则以最新的文件为准。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14.2</w:t>
      </w:r>
      <w:r>
        <w:rPr>
          <w:rFonts w:hint="eastAsia" w:ascii="仿宋" w:hAnsi="仿宋" w:eastAsia="仿宋" w:cs="仿宋"/>
          <w:color w:val="auto"/>
          <w:sz w:val="24"/>
          <w:highlight w:val="none"/>
        </w:rPr>
        <w:t xml:space="preserve">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部分涉及商业秘密，该涉及商业秘密部分不公告。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14.3</w:t>
      </w:r>
      <w:r>
        <w:rPr>
          <w:rFonts w:hint="eastAsia" w:ascii="仿宋" w:hAnsi="仿宋" w:eastAsia="仿宋" w:cs="仿宋"/>
          <w:color w:val="auto"/>
          <w:sz w:val="24"/>
          <w:highlight w:val="none"/>
        </w:rPr>
        <w:t xml:space="preserve"> 合同双方： </w:t>
      </w:r>
      <w:r/>
    </w:p>
    <w:p>
      <w:pPr>
        <w:ind w:firstLine="480"/>
        <w:spacing w:line="360" w:lineRule="auto"/>
        <w:rPr>
          <w:rFonts w:ascii="仿宋_GB2312" w:eastAsia="仿宋_GB2312"/>
          <w:color w:val="auto"/>
          <w:sz w:val="24"/>
          <w:szCs w:val="24"/>
          <w:highlight w:val="none"/>
        </w:rPr>
      </w:pPr>
      <w:r>
        <w:rPr>
          <w:rFonts w:hint="eastAsia" w:ascii="仿宋" w:hAnsi="仿宋" w:eastAsia="仿宋" w:cs="仿宋"/>
          <w:color w:val="auto"/>
          <w:sz w:val="24"/>
          <w:highlight w:val="none"/>
        </w:rPr>
        <w:t xml:space="preserve">买方:</w:t>
      </w:r>
      <w:r>
        <w:rPr>
          <w:rFonts w:hint="eastAsia" w:ascii="仿宋_GB2312" w:eastAsia="仿宋_GB2312"/>
          <w:color w:val="auto"/>
          <w:sz w:val="24"/>
          <w:szCs w:val="24"/>
          <w:highlight w:val="none"/>
        </w:rPr>
        <w:t xml:space="preserve"> </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卖方: </w:t>
      </w:r>
      <w:r>
        <w:rPr>
          <w:rFonts w:hint="eastAsia" w:ascii="仿宋_GB2312" w:eastAsia="仿宋_GB2312"/>
          <w:color w:val="auto"/>
          <w:sz w:val="24"/>
          <w:szCs w:val="24"/>
          <w:highlight w:val="none"/>
        </w:rPr>
        <w:t xml:space="preserve"> (公章)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法定代表人或其委托代理人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（签字）：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地址: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邮编:</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邮编: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电话: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传真: </w:t>
      </w:r>
      <w:r/>
    </w:p>
    <w:p>
      <w:pPr>
        <w:ind w:firstLine="480"/>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_GB2312" w:eastAsia="仿宋_GB2312"/>
          <w:color w:val="auto"/>
          <w:sz w:val="24"/>
          <w:szCs w:val="24"/>
          <w:highlight w:val="none"/>
        </w:rPr>
        <w:t xml:space="preserve">开户银行：</w:t>
      </w:r>
      <w:r/>
    </w:p>
    <w:p>
      <w:pPr>
        <w:ind w:firstLine="480"/>
        <w:spacing w:line="360" w:lineRule="auto"/>
        <w:widowControl w:val="off"/>
        <w:rPr>
          <w:rFonts w:ascii="Times New Roman" w:hAnsi="Times New Roman" w:eastAsia="宋体"/>
          <w:color w:val="auto"/>
          <w:sz w:val="24"/>
          <w:szCs w:val="24"/>
          <w:highlight w:val="none"/>
        </w:rPr>
      </w:pPr>
      <w:r>
        <w:rPr>
          <w:rFonts w:hint="eastAsia" w:ascii="仿宋_GB2312" w:hAnsi="Times New Roman" w:eastAsia="仿宋_GB2312"/>
          <w:color w:val="auto"/>
          <w:sz w:val="24"/>
          <w:szCs w:val="24"/>
          <w:highlight w:val="none"/>
        </w:rPr>
        <w:t xml:space="preserve">账号：</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账号：</w:t>
      </w:r>
      <w:r/>
    </w:p>
    <w:p>
      <w:pPr>
        <w:ind w:firstLine="480"/>
        <w:spacing w:line="360" w:lineRule="auto"/>
        <w:widowControl w:val="off"/>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日期：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日期：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合</w:t>
      </w:r>
      <w:r>
        <w:rPr>
          <w:rFonts w:hint="eastAsia" w:ascii="仿宋" w:hAnsi="仿宋" w:eastAsia="仿宋" w:cs="仿宋"/>
          <w:color w:val="auto"/>
          <w:sz w:val="24"/>
          <w:highlight w:val="none"/>
          <w:lang w:val="zh-CN"/>
        </w:rPr>
        <w:t xml:space="preserve">同一式</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份，具有同等法律效力，买方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份，卖方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w:t>
      </w:r>
      <w:r>
        <w:rPr>
          <w:rFonts w:hint="eastAsia" w:ascii="仿宋" w:hAnsi="仿宋" w:eastAsia="仿宋" w:cs="仿宋"/>
          <w:color w:val="auto"/>
          <w:sz w:val="24"/>
          <w:highlight w:val="none"/>
        </w:rPr>
        <w:t xml:space="preserve">代理机构</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一</w:t>
      </w:r>
      <w:r>
        <w:rPr>
          <w:rFonts w:hint="eastAsia" w:ascii="仿宋" w:hAnsi="仿宋" w:eastAsia="仿宋" w:cs="仿宋"/>
          <w:color w:val="auto"/>
          <w:sz w:val="24"/>
          <w:highlight w:val="none"/>
          <w:lang w:val="zh-CN"/>
        </w:rPr>
        <w:t xml:space="preserve">份。</w:t>
      </w:r>
      <w:r/>
    </w:p>
    <w:p>
      <w:pPr>
        <w:ind w:firstLine="24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注：甲乙双方可根据项目实际情况，经协商一致可对本合同范本内容作出相应调整。</w:t>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12、具备履行合同所必需的设备和专业技术能力的书面声明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邳州市“一河一案”“一镇一案”“一库一案”编制</w:t>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我单位郑重声明：我单位具备履行合同（项目名称：</w:t>
      </w:r>
      <w:r>
        <w:rPr>
          <w:rFonts w:hint="eastAsia" w:ascii="仿宋_GB2312" w:hAnsi="仿宋_GB2312" w:eastAsia="仿宋_GB2312" w:cs="仿宋_GB2312"/>
          <w:sz w:val="24"/>
          <w:lang w:eastAsia="zh-CN"/>
        </w:rPr>
        <w:t xml:space="preserve">邳州市“一河一案”“一镇一案”“一库一案”编制</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JSZC-320382-HWDK-C2026-0001</w:t>
      </w:r>
      <w:r>
        <w:rPr>
          <w:rFonts w:hint="eastAsia" w:ascii="仿宋_GB2312" w:hAnsi="仿宋_GB2312" w:eastAsia="仿宋_GB2312" w:cs="仿宋_GB2312"/>
          <w:sz w:val="24"/>
        </w:rPr>
        <w:t xml:space="preserve">）所必需的设备和专业技术能力。</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特此声明。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80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sz w:val="24"/>
        </w:rPr>
        <w:t xml:space="preserve">日期：   年  月  日</w:t>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66"/>
        <w:rPr>
          <w:rFonts w:hint="eastAsia" w:ascii="仿宋_GB2312" w:hAnsi="仿宋_GB2312" w:eastAsia="仿宋_GB2312" w:cs="仿宋_GB2312"/>
        </w:rPr>
      </w:pPr>
      <w:r>
        <w:rPr>
          <w:rFonts w:hint="eastAsia" w:ascii="仿宋_GB2312" w:hAnsi="仿宋_GB2312" w:eastAsia="仿宋_GB2312" w:cs="仿宋_GB2312"/>
        </w:rPr>
      </w:r>
      <w:r/>
    </w:p>
    <w:p>
      <w:pPr>
        <w:pStyle w:val="865"/>
        <w:rPr>
          <w:rFonts w:hint="eastAsia" w:ascii="仿宋_GB2312" w:hAnsi="仿宋_GB2312" w:eastAsia="仿宋_GB2312" w:cs="仿宋_GB2312"/>
        </w:rPr>
      </w:pPr>
      <w:r>
        <w:rPr>
          <w:rFonts w:hint="eastAsia" w:ascii="仿宋_GB2312" w:hAnsi="仿宋_GB2312" w:eastAsia="仿宋_GB2312" w:cs="仿宋_GB2312"/>
        </w:rPr>
      </w:r>
      <w:r/>
    </w:p>
    <w:p>
      <w:pPr>
        <w:pStyle w:val="858"/>
        <w:rPr>
          <w:rFonts w:hint="eastAsia"/>
        </w:rPr>
      </w:pPr>
      <w:r>
        <w:rPr>
          <w:rFonts w:hint="eastAsia"/>
        </w:rPr>
      </w:r>
      <w:r/>
    </w:p>
    <w:p>
      <w:pPr>
        <w:pStyle w:val="876"/>
        <w:rPr>
          <w:rFonts w:hint="eastAsia" w:ascii="仿宋_GB2312" w:hAnsi="仿宋_GB2312" w:eastAsia="仿宋_GB2312" w:cs="仿宋_GB2312"/>
        </w:rPr>
      </w:pPr>
      <w:r>
        <w:rPr>
          <w:rFonts w:hint="eastAsia" w:ascii="仿宋_GB2312" w:hAnsi="仿宋_GB2312" w:eastAsia="仿宋_GB2312" w:cs="仿宋_GB2312"/>
        </w:rPr>
      </w:r>
      <w:r/>
    </w:p>
    <w:p>
      <w:pPr>
        <w:pStyle w:val="854"/>
        <w:rPr>
          <w:rFonts w:hint="eastAsia" w:ascii="仿宋_GB2312" w:hAnsi="仿宋_GB2312" w:eastAsia="仿宋_GB2312" w:cs="仿宋_GB2312"/>
        </w:rPr>
      </w:pPr>
      <w:r>
        <w:rPr>
          <w:rFonts w:hint="eastAsia" w:ascii="仿宋_GB2312" w:hAnsi="仿宋_GB2312" w:eastAsia="仿宋_GB2312" w:cs="仿宋_GB2312"/>
        </w:rPr>
      </w:r>
      <w:r/>
    </w:p>
    <w:p>
      <w:pPr>
        <w:pStyle w:val="806"/>
        <w:ind w:left="0" w:right="0"/>
        <w:jc w:val="center"/>
        <w:keepLines w:val="0"/>
        <w:keepNext w:val="0"/>
        <w:pageBreakBefore w:val="0"/>
        <w:spacing w:before="0" w:beforeAutospacing="0" w:after="0" w:afterAutospacing="0" w:line="460" w:lineRule="exact"/>
        <w:widowControl w:val="off"/>
        <w:rPr>
          <w:rFonts w:hint="eastAsia" w:ascii="仿宋_GB2312" w:hAnsi="仿宋_GB2312" w:eastAsia="仿宋_GB2312" w:cs="仿宋_GB2312"/>
          <w:b/>
          <w:bCs/>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sz w:val="30"/>
          <w:szCs w:val="30"/>
          <w:lang w:val="en-US" w:eastAsia="zh-CN" w:bidi="ar-SA"/>
        </w:rPr>
        <w:t xml:space="preserve">13.招标代理服务收费标准</w:t>
      </w:r>
      <w:r/>
    </w:p>
    <w:p>
      <w:pPr>
        <w:pStyle w:val="806"/>
        <w:ind w:left="0" w:right="0"/>
        <w:jc w:val="center"/>
        <w:keepLines w:val="0"/>
        <w:keepNext w:val="0"/>
        <w:pageBreakBefore w:val="0"/>
        <w:spacing w:before="0" w:beforeAutospacing="0" w:after="0" w:afterAutospacing="0" w:line="460" w:lineRule="exact"/>
        <w:widowControl/>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江苏省政府采购代理常规服务收费指导价</w:t>
      </w:r>
      <w:r>
        <w:rPr>
          <w:rFonts w:hint="eastAsia" w:ascii="仿宋" w:hAnsi="仿宋" w:eastAsia="仿宋" w:cs="仿宋"/>
          <w:color w:val="000000"/>
          <w:sz w:val="24"/>
          <w:szCs w:val="24"/>
          <w:lang w:eastAsia="zh-CN"/>
        </w:rPr>
        <w:t xml:space="preserve">（苏政采协【2024】20号）</w:t>
      </w:r>
      <w:r/>
    </w:p>
    <w:p>
      <w:pPr>
        <w:pStyle w:val="806"/>
        <w:jc w:val="both"/>
        <w:keepLines w:val="0"/>
        <w:keepNext w:val="0"/>
        <w:pageBreakBefore w:val="0"/>
        <w:spacing w:before="0" w:beforeAutospacing="0" w:after="0" w:afterAutospacing="0" w:line="460" w:lineRule="exac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r>
      <w:r/>
    </w:p>
    <w:tbl>
      <w:tblPr>
        <w:tblStyle w:val="784"/>
        <w:tblW w:w="8780" w:type="dxa"/>
        <w:tblCellSpacing w:w="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5"/>
        <w:gridCol w:w="2755"/>
      </w:tblGrid>
      <w:tr>
        <w:trPr>
          <w:tblCellSpacing w:w="0" w:type="dxa"/>
          <w:trHeight w:val="492"/>
        </w:trPr>
        <w:tc>
          <w:tcPr>
            <w:shd w:val="clear" w:color="auto" w:fill="auto"/>
            <w:tcW w:w="602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中标或成交金额</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费率</w:t>
            </w:r>
            <w:r/>
          </w:p>
        </w:tc>
      </w:tr>
      <w:tr>
        <w:trPr>
          <w:tblCellSpacing w:w="0" w:type="dxa"/>
          <w:trHeight w:val="502"/>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最低收费金额(每个委托项目)</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5000元</w:t>
            </w:r>
            <w:r/>
          </w:p>
        </w:tc>
      </w:tr>
      <w:tr>
        <w:trPr>
          <w:tblCellSpacing w:w="0" w:type="dxa"/>
          <w:trHeight w:val="492"/>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50万元以</w:t>
            </w:r>
            <w:r>
              <w:rPr>
                <w:rFonts w:hint="eastAsia" w:ascii="仿宋" w:hAnsi="仿宋" w:eastAsia="仿宋" w:cs="仿宋"/>
                <w:b w:val="0"/>
                <w:bCs w:val="0"/>
                <w:color w:val="000000"/>
                <w:sz w:val="24"/>
                <w:szCs w:val="24"/>
                <w:lang w:val="en-US" w:eastAsia="zh-CN"/>
              </w:rPr>
              <w:t xml:space="preserve">下</w:t>
            </w:r>
            <w:r>
              <w:rPr>
                <w:rFonts w:hint="eastAsia" w:ascii="仿宋" w:hAnsi="仿宋" w:eastAsia="仿宋" w:cs="仿宋"/>
                <w:b w:val="0"/>
                <w:bCs w:val="0"/>
                <w:color w:val="000000"/>
                <w:sz w:val="24"/>
                <w:szCs w:val="24"/>
              </w:rPr>
              <w:t xml:space="preserve">（含50万元）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1.60%</w:t>
            </w:r>
            <w:r/>
          </w:p>
        </w:tc>
      </w:tr>
      <w:tr>
        <w:trPr>
          <w:tblCellSpacing w:w="0" w:type="dxa"/>
          <w:trHeight w:val="492"/>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50-400万元以上（含400万元）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1.50%</w:t>
            </w:r>
            <w:r/>
          </w:p>
        </w:tc>
      </w:tr>
      <w:tr>
        <w:trPr>
          <w:tblCellSpacing w:w="0" w:type="dxa"/>
          <w:trHeight w:val="612"/>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400-1000万元以上（含1000万元）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w:t>
            </w:r>
            <w:r/>
          </w:p>
        </w:tc>
      </w:tr>
      <w:tr>
        <w:trPr>
          <w:tblCellSpacing w:w="0" w:type="dxa"/>
          <w:trHeight w:val="494"/>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1000-5000万元以上（含5000万元）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0.80%</w:t>
            </w:r>
            <w:r/>
          </w:p>
        </w:tc>
      </w:tr>
      <w:tr>
        <w:trPr>
          <w:tblCellSpacing w:w="0" w:type="dxa"/>
          <w:trHeight w:val="499"/>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5000-1亿元以上（含1亿元）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0.25%</w:t>
            </w:r>
            <w:r/>
          </w:p>
        </w:tc>
      </w:tr>
      <w:tr>
        <w:trPr>
          <w:tblCellSpacing w:w="0" w:type="dxa"/>
          <w:trHeight w:val="494"/>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1-10亿以上（含10亿元）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0.05%</w:t>
            </w:r>
            <w:r/>
          </w:p>
        </w:tc>
      </w:tr>
      <w:tr>
        <w:trPr>
          <w:tblCellSpacing w:w="0" w:type="dxa"/>
          <w:trHeight w:val="494"/>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10-50亿元以上（含50亿元）</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r>
        <w:trPr>
          <w:tblCellSpacing w:w="0" w:type="dxa"/>
          <w:trHeight w:val="513"/>
        </w:trPr>
        <w:tc>
          <w:tcPr>
            <w:shd w:val="clear" w:color="auto" w:fill="auto"/>
            <w:tcW w:w="6025" w:type="dxa"/>
            <w:vAlign w:val="center"/>
            <w:textDirection w:val="lrTb"/>
            <w:noWrap w:val="false"/>
          </w:tcPr>
          <w:p>
            <w:pPr>
              <w:pStyle w:val="806"/>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50亿元以上</w:t>
            </w:r>
            <w:r/>
          </w:p>
        </w:tc>
        <w:tc>
          <w:tcPr>
            <w:shd w:val="clear" w:color="auto" w:fill="auto"/>
            <w:tcW w:w="2755" w:type="dxa"/>
            <w:vAlign w:val="center"/>
            <w:textDirection w:val="lrTb"/>
            <w:noWrap w:val="false"/>
          </w:tcPr>
          <w:p>
            <w:pPr>
              <w:pStyle w:val="806"/>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bl>
    <w:p>
      <w:pPr>
        <w:pStyle w:val="806"/>
        <w:ind w:left="0" w:firstLine="2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说明：</w:t>
      </w:r>
      <w:r/>
    </w:p>
    <w:p>
      <w:pPr>
        <w:pStyle w:val="806"/>
        <w:ind w:left="0" w:firstLine="56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1.按上表计算的收费为代理服务全过程的收费金额。各社会代理机构不另外收取采购文件制作售卖费用。</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2.代理服务费按差额定率累进法计算。</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3.代理服务费基准金额（按差额定率累进法计算的）=中标金额（按差额定率累进法计算的）* 费率（%）</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4.代理服务费应收取金额=代理服务费基准金额（按差额定率累进法计算的）的合计数。</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5.计算出的代理服务费应收取金额如低于5千元，按5千元收取；</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6.定点类等无金额或事先不能计算出价格总额的项目，按中标（成交）金额100万元计算服务费。</w:t>
      </w:r>
      <w:r/>
    </w:p>
    <w:p>
      <w:pPr>
        <w:pStyle w:val="806"/>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r/>
    </w:p>
    <w:p>
      <w:pPr>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sectPr>
      <w:headerReference w:type="default" r:id="rId10"/>
      <w:headerReference w:type="first" r:id="rId11"/>
      <w:footerReference w:type="default" r:id="rId13"/>
      <w:footerReference w:type="even" r:id="rId14"/>
      <w:footerReference w:type="first" r:id="rId15"/>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PMingLiU">
    <w:panose1 w:val="02020500000000000000"/>
  </w:font>
  <w:font w:name="Cambria">
    <w:panose1 w:val="02040503050406030204"/>
  </w:font>
  <w:font w:name="黑体">
    <w:panose1 w:val="02010609060101010101"/>
  </w:font>
  <w:font w:name="仿宋_GB2312">
    <w:panose1 w:val="02010609060101010101"/>
  </w:font>
  <w:font w:name="Calibri">
    <w:panose1 w:val="020F0502020204030204"/>
  </w:font>
  <w:font w:name="微软雅黑">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lang w:val="zh-CN"/>
      </w:rPr>
      <w:t xml:space="preserve"> </w:t>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52"/>
      </w:rPr>
      <w:framePr w:wrap="around" w:vAnchor="text" w:hAnchor="margin" w:xAlign="center" w:y="1"/>
    </w:pPr>
    <w:r>
      <w:fldChar w:fldCharType="begin"/>
    </w:r>
    <w:r>
      <w:rPr>
        <w:rStyle w:val="1052"/>
      </w:rPr>
      <w:instrText xml:space="preserve">PAGE  </w:instrText>
    </w:r>
    <w:r>
      <w:fldChar w:fldCharType="separate"/>
    </w:r>
    <w:r>
      <w:rPr>
        <w:rStyle w:val="1052"/>
      </w:rPr>
      <w:t xml:space="preserve">1</w:t>
    </w:r>
    <w:r>
      <w:fldChar w:fldCharType="end"/>
    </w:r>
    <w:r/>
  </w:p>
  <w:p>
    <w:pPr>
      <w:pStyle w:val="10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874"/>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name w:val="Heading 1"/>
    <w:basedOn w:val="773"/>
    <w:next w:val="773"/>
    <w:link w:val="1110"/>
    <w:uiPriority w:val="1"/>
    <w:qFormat/>
    <w:pPr>
      <w:ind w:left="1373"/>
      <w:jc w:val="left"/>
      <w:spacing w:before="59"/>
      <w:outlineLvl w:val="0"/>
    </w:pPr>
    <w:rPr>
      <w:rFonts w:ascii="仿宋" w:hAnsi="仿宋" w:eastAsia="仿宋" w:cs="仿宋"/>
      <w:b/>
      <w:bCs/>
      <w:sz w:val="30"/>
      <w:szCs w:val="30"/>
      <w:lang w:val="zh-CN" w:bidi="zh-CN"/>
    </w:rPr>
  </w:style>
  <w:style w:type="paragraph" w:styleId="775">
    <w:name w:val="Heading 2"/>
    <w:basedOn w:val="773"/>
    <w:next w:val="773"/>
    <w:link w:val="878"/>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79"/>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80"/>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81"/>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82"/>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84"/>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85"/>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spacing w:after="57"/>
    </w:pPr>
  </w:style>
  <w:style w:type="paragraph" w:styleId="786">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Body Text"/>
    <w:basedOn w:val="773"/>
    <w:next w:val="788"/>
    <w:uiPriority w:val="99"/>
    <w:semiHidden/>
    <w:unhideWhenUsed/>
    <w:qFormat/>
    <w:pPr>
      <w:spacing w:after="120"/>
    </w:pPr>
  </w:style>
  <w:style w:type="paragraph" w:styleId="788">
    <w:name w:val="Body Text First Indent"/>
    <w:basedOn w:val="787"/>
    <w:next w:val="789"/>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89">
    <w:name w:val="toc 6"/>
    <w:basedOn w:val="773"/>
    <w:next w:val="773"/>
    <w:uiPriority w:val="39"/>
    <w:unhideWhenUsed/>
    <w:qFormat/>
    <w:pPr>
      <w:ind w:left="1417"/>
      <w:spacing w:after="57"/>
    </w:pPr>
  </w:style>
  <w:style w:type="paragraph" w:styleId="790">
    <w:name w:val="Body Text Indent"/>
    <w:basedOn w:val="773"/>
    <w:next w:val="791"/>
    <w:uiPriority w:val="0"/>
    <w:qFormat/>
    <w:pPr>
      <w:ind w:firstLine="567"/>
      <w:spacing w:line="500" w:lineRule="exact"/>
      <w:tabs>
        <w:tab w:val="left" w:pos="0" w:leader="none"/>
        <w:tab w:val="left" w:pos="993" w:leader="none"/>
        <w:tab w:val="left" w:pos="1134" w:leader="none"/>
      </w:tabs>
    </w:pPr>
    <w:rPr>
      <w:rFonts w:ascii="宋体"/>
    </w:rPr>
  </w:style>
  <w:style w:type="paragraph" w:styleId="791">
    <w:name w:val="envelope return"/>
    <w:basedOn w:val="773"/>
    <w:uiPriority w:val="0"/>
    <w:qFormat/>
    <w:pPr>
      <w:spacing w:after="200"/>
    </w:pPr>
    <w:rPr>
      <w:rFonts w:ascii="Arial" w:hAnsi="Arial" w:eastAsia="微软雅黑"/>
      <w:sz w:val="22"/>
      <w:szCs w:val="22"/>
    </w:rPr>
  </w:style>
  <w:style w:type="paragraph" w:styleId="792">
    <w:name w:val="Block Text"/>
    <w:basedOn w:val="773"/>
    <w:uiPriority w:val="0"/>
    <w:qFormat/>
    <w:pPr>
      <w:ind w:left="256" w:right="6" w:firstLine="624"/>
    </w:pPr>
    <w:rPr>
      <w:rFonts w:eastAsia="仿宋_GB2312"/>
      <w:sz w:val="28"/>
      <w:szCs w:val="20"/>
    </w:rPr>
  </w:style>
  <w:style w:type="paragraph" w:styleId="793">
    <w:name w:val="toc 5"/>
    <w:basedOn w:val="773"/>
    <w:next w:val="773"/>
    <w:uiPriority w:val="39"/>
    <w:unhideWhenUsed/>
    <w:qFormat/>
    <w:pPr>
      <w:ind w:left="1134"/>
      <w:spacing w:after="57"/>
    </w:pPr>
  </w:style>
  <w:style w:type="paragraph" w:styleId="794">
    <w:name w:val="toc 3"/>
    <w:basedOn w:val="773"/>
    <w:next w:val="773"/>
    <w:uiPriority w:val="39"/>
    <w:unhideWhenUsed/>
    <w:qFormat/>
    <w:pPr>
      <w:ind w:left="567"/>
      <w:spacing w:after="57"/>
    </w:pPr>
  </w:style>
  <w:style w:type="paragraph" w:styleId="795">
    <w:name w:val="toc 8"/>
    <w:basedOn w:val="773"/>
    <w:next w:val="773"/>
    <w:uiPriority w:val="39"/>
    <w:unhideWhenUsed/>
    <w:qFormat/>
    <w:pPr>
      <w:ind w:left="1984"/>
      <w:spacing w:after="57"/>
    </w:pPr>
  </w:style>
  <w:style w:type="paragraph" w:styleId="796">
    <w:name w:val="endnote text"/>
    <w:basedOn w:val="773"/>
    <w:link w:val="1023"/>
    <w:uiPriority w:val="99"/>
    <w:semiHidden/>
    <w:unhideWhenUsed/>
    <w:qFormat/>
    <w:rPr>
      <w:sz w:val="20"/>
    </w:rPr>
  </w:style>
  <w:style w:type="paragraph" w:styleId="797">
    <w:name w:val="Footer"/>
    <w:basedOn w:val="773"/>
    <w:link w:val="896"/>
    <w:uiPriority w:val="99"/>
    <w:unhideWhenUsed/>
    <w:qFormat/>
    <w:pPr>
      <w:tabs>
        <w:tab w:val="center" w:pos="7143" w:leader="none"/>
        <w:tab w:val="right" w:pos="14287" w:leader="none"/>
      </w:tabs>
    </w:pPr>
  </w:style>
  <w:style w:type="paragraph" w:styleId="798">
    <w:name w:val="Header"/>
    <w:basedOn w:val="773"/>
    <w:link w:val="894"/>
    <w:uiPriority w:val="99"/>
    <w:unhideWhenUsed/>
    <w:qFormat/>
    <w:pPr>
      <w:tabs>
        <w:tab w:val="center" w:pos="7143" w:leader="none"/>
        <w:tab w:val="right" w:pos="14287" w:leader="none"/>
      </w:tabs>
    </w:pPr>
  </w:style>
  <w:style w:type="paragraph" w:styleId="799">
    <w:name w:val="toc 1"/>
    <w:basedOn w:val="773"/>
    <w:next w:val="773"/>
    <w:uiPriority w:val="39"/>
    <w:unhideWhenUsed/>
    <w:qFormat/>
    <w:pPr>
      <w:spacing w:after="57"/>
    </w:pPr>
  </w:style>
  <w:style w:type="paragraph" w:styleId="800">
    <w:name w:val="toc 4"/>
    <w:basedOn w:val="773"/>
    <w:next w:val="773"/>
    <w:uiPriority w:val="39"/>
    <w:unhideWhenUsed/>
    <w:qFormat/>
    <w:pPr>
      <w:ind w:left="850"/>
      <w:spacing w:after="57"/>
    </w:pPr>
  </w:style>
  <w:style w:type="paragraph" w:styleId="801">
    <w:name w:val="Subtitle"/>
    <w:basedOn w:val="773"/>
    <w:next w:val="773"/>
    <w:link w:val="889"/>
    <w:uiPriority w:val="11"/>
    <w:qFormat/>
    <w:pPr>
      <w:spacing w:before="200" w:after="200"/>
    </w:pPr>
    <w:rPr>
      <w:sz w:val="24"/>
    </w:rPr>
  </w:style>
  <w:style w:type="paragraph" w:styleId="802">
    <w:name w:val="footnote text"/>
    <w:basedOn w:val="773"/>
    <w:link w:val="1022"/>
    <w:uiPriority w:val="99"/>
    <w:semiHidden/>
    <w:unhideWhenUsed/>
    <w:qFormat/>
    <w:pPr>
      <w:spacing w:after="40"/>
    </w:pPr>
    <w:rPr>
      <w:sz w:val="18"/>
    </w:rPr>
  </w:style>
  <w:style w:type="paragraph" w:styleId="803">
    <w:name w:val="table of figures"/>
    <w:basedOn w:val="773"/>
    <w:next w:val="773"/>
    <w:uiPriority w:val="99"/>
    <w:unhideWhenUsed/>
    <w:qFormat/>
  </w:style>
  <w:style w:type="paragraph" w:styleId="804">
    <w:name w:val="toc 2"/>
    <w:basedOn w:val="773"/>
    <w:next w:val="773"/>
    <w:uiPriority w:val="39"/>
    <w:unhideWhenUsed/>
    <w:qFormat/>
    <w:pPr>
      <w:ind w:left="283"/>
      <w:spacing w:after="57"/>
    </w:pPr>
  </w:style>
  <w:style w:type="paragraph" w:styleId="805">
    <w:name w:val="toc 9"/>
    <w:basedOn w:val="773"/>
    <w:next w:val="773"/>
    <w:uiPriority w:val="39"/>
    <w:unhideWhenUsed/>
    <w:qFormat/>
    <w:pPr>
      <w:ind w:left="2268"/>
      <w:spacing w:after="57"/>
    </w:pPr>
  </w:style>
  <w:style w:type="paragraph" w:styleId="806">
    <w:name w:val="Normal (Web)"/>
    <w:basedOn w:val="773"/>
    <w:uiPriority w:val="99"/>
    <w:semiHidden/>
    <w:unhideWhenUsed/>
    <w:qFormat/>
    <w:rPr>
      <w:sz w:val="24"/>
    </w:rPr>
  </w:style>
  <w:style w:type="paragraph" w:styleId="807">
    <w:name w:val="Title"/>
    <w:basedOn w:val="773"/>
    <w:next w:val="773"/>
    <w:link w:val="888"/>
    <w:uiPriority w:val="10"/>
    <w:qFormat/>
    <w:pPr>
      <w:contextualSpacing/>
      <w:spacing w:before="300" w:after="200"/>
    </w:pPr>
    <w:rPr>
      <w:sz w:val="48"/>
      <w:szCs w:val="48"/>
    </w:rPr>
  </w:style>
  <w:style w:type="paragraph" w:styleId="808">
    <w:name w:val="Body Text First Indent 2"/>
    <w:basedOn w:val="790"/>
    <w:next w:val="773"/>
    <w:uiPriority w:val="0"/>
    <w:qFormat/>
    <w:pPr>
      <w:ind w:left="420" w:firstLine="420"/>
      <w:spacing w:after="120" w:line="240" w:lineRule="auto"/>
    </w:pPr>
    <w:rPr>
      <w:rFonts w:ascii="Times New Roman"/>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FollowedHyperlink"/>
    <w:basedOn w:val="783"/>
    <w:uiPriority w:val="99"/>
    <w:semiHidden/>
    <w:unhideWhenUsed/>
    <w:qFormat/>
    <w:rPr>
      <w:color w:val="333333"/>
      <w:u w:val="none"/>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paragraph" w:styleId="814" w:customStyle="1">
    <w:name w:val="style4"/>
    <w:basedOn w:val="815"/>
    <w:next w:val="816"/>
    <w:uiPriority w:val="0"/>
    <w:qFormat/>
    <w:pPr>
      <w:spacing w:before="280" w:after="280"/>
      <w:widowControl/>
    </w:pPr>
    <w:rPr>
      <w:rFonts w:ascii="宋体"/>
      <w:sz w:val="18"/>
    </w:rPr>
  </w:style>
  <w:style w:type="paragraph" w:styleId="815" w:customStyle="1">
    <w:name w:val="正文_0"/>
    <w:next w:val="788"/>
    <w:uiPriority w:val="0"/>
    <w:qFormat/>
    <w:pPr>
      <w:jc w:val="both"/>
      <w:widowControl w:val="off"/>
    </w:pPr>
    <w:rPr>
      <w:rFonts w:hint="default" w:ascii="Calibri" w:hAnsi="Calibri" w:eastAsia="宋体" w:cs="Times New Roman"/>
      <w:sz w:val="21"/>
      <w:szCs w:val="24"/>
    </w:rPr>
  </w:style>
  <w:style w:type="paragraph" w:styleId="816" w:customStyle="1">
    <w:name w:val="2"/>
    <w:next w:val="773"/>
    <w:uiPriority w:val="0"/>
    <w:qFormat/>
    <w:pPr>
      <w:jc w:val="both"/>
      <w:widowControl w:val="off"/>
    </w:pPr>
    <w:rPr>
      <w:rFonts w:hint="default" w:ascii="Times New Roman" w:hAnsi="Times New Roman" w:eastAsia="宋体" w:cs="Times New Roman"/>
      <w:sz w:val="21"/>
      <w:szCs w:val="22"/>
    </w:rPr>
  </w:style>
  <w:style w:type="character" w:styleId="817" w:customStyle="1">
    <w:name w:val="Heading 2 Char"/>
    <w:basedOn w:val="783"/>
    <w:uiPriority w:val="9"/>
    <w:qFormat/>
    <w:rPr>
      <w:rFonts w:ascii="Arial" w:hAnsi="Arial" w:eastAsia="Arial" w:cs="Arial"/>
      <w:sz w:val="34"/>
    </w:rPr>
  </w:style>
  <w:style w:type="character" w:styleId="818" w:customStyle="1">
    <w:name w:val="Heading 3 Char"/>
    <w:basedOn w:val="783"/>
    <w:uiPriority w:val="9"/>
    <w:qFormat/>
    <w:rPr>
      <w:rFonts w:ascii="Arial" w:hAnsi="Arial" w:eastAsia="Arial" w:cs="Arial"/>
      <w:sz w:val="30"/>
      <w:szCs w:val="30"/>
    </w:rPr>
  </w:style>
  <w:style w:type="character" w:styleId="819" w:customStyle="1">
    <w:name w:val="Heading 4 Char"/>
    <w:basedOn w:val="783"/>
    <w:uiPriority w:val="9"/>
    <w:qFormat/>
    <w:rPr>
      <w:rFonts w:ascii="Arial" w:hAnsi="Arial" w:eastAsia="Arial" w:cs="Arial"/>
      <w:b/>
      <w:bCs/>
      <w:sz w:val="26"/>
      <w:szCs w:val="26"/>
    </w:rPr>
  </w:style>
  <w:style w:type="character" w:styleId="820" w:customStyle="1">
    <w:name w:val="Heading 5 Char"/>
    <w:basedOn w:val="783"/>
    <w:uiPriority w:val="9"/>
    <w:qFormat/>
    <w:rPr>
      <w:rFonts w:ascii="Arial" w:hAnsi="Arial" w:eastAsia="Arial" w:cs="Arial"/>
      <w:b/>
      <w:bCs/>
      <w:sz w:val="24"/>
      <w:szCs w:val="24"/>
    </w:rPr>
  </w:style>
  <w:style w:type="character" w:styleId="821" w:customStyle="1">
    <w:name w:val="Heading 6 Char"/>
    <w:basedOn w:val="783"/>
    <w:uiPriority w:val="9"/>
    <w:qFormat/>
    <w:rPr>
      <w:rFonts w:ascii="Arial" w:hAnsi="Arial" w:eastAsia="Arial" w:cs="Arial"/>
      <w:b/>
      <w:bCs/>
      <w:sz w:val="22"/>
      <w:szCs w:val="22"/>
    </w:rPr>
  </w:style>
  <w:style w:type="character" w:styleId="822" w:customStyle="1">
    <w:name w:val="Heading 7 Char"/>
    <w:basedOn w:val="783"/>
    <w:uiPriority w:val="9"/>
    <w:qFormat/>
    <w:rPr>
      <w:rFonts w:ascii="Arial" w:hAnsi="Arial" w:eastAsia="Arial" w:cs="Arial"/>
      <w:b/>
      <w:bCs/>
      <w:i/>
      <w:iCs/>
      <w:sz w:val="22"/>
      <w:szCs w:val="22"/>
    </w:rPr>
  </w:style>
  <w:style w:type="character" w:styleId="823" w:customStyle="1">
    <w:name w:val="Heading 8 Char"/>
    <w:basedOn w:val="783"/>
    <w:uiPriority w:val="9"/>
    <w:qFormat/>
    <w:rPr>
      <w:rFonts w:ascii="Arial" w:hAnsi="Arial" w:eastAsia="Arial" w:cs="Arial"/>
      <w:i/>
      <w:iCs/>
      <w:sz w:val="22"/>
      <w:szCs w:val="22"/>
    </w:rPr>
  </w:style>
  <w:style w:type="character" w:styleId="824" w:customStyle="1">
    <w:name w:val="Heading 9 Char"/>
    <w:basedOn w:val="783"/>
    <w:uiPriority w:val="9"/>
    <w:qFormat/>
    <w:rPr>
      <w:rFonts w:ascii="Arial" w:hAnsi="Arial" w:eastAsia="Arial" w:cs="Arial"/>
      <w:i/>
      <w:iCs/>
      <w:sz w:val="21"/>
      <w:szCs w:val="21"/>
    </w:rPr>
  </w:style>
  <w:style w:type="character" w:styleId="825" w:customStyle="1">
    <w:name w:val="Title Char"/>
    <w:basedOn w:val="783"/>
    <w:uiPriority w:val="10"/>
    <w:qFormat/>
    <w:rPr>
      <w:sz w:val="48"/>
      <w:szCs w:val="48"/>
    </w:rPr>
  </w:style>
  <w:style w:type="character" w:styleId="826" w:customStyle="1">
    <w:name w:val="Subtitle Char"/>
    <w:basedOn w:val="783"/>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Header Char"/>
    <w:basedOn w:val="783"/>
    <w:uiPriority w:val="99"/>
    <w:qFormat/>
  </w:style>
  <w:style w:type="character" w:styleId="830" w:customStyle="1">
    <w:name w:val="Caption Char"/>
    <w:uiPriority w:val="99"/>
    <w:qFormat/>
  </w:style>
  <w:style w:type="table" w:styleId="831"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段"/>
    <w:basedOn w:val="854"/>
    <w:next w:val="854"/>
    <w:uiPriority w:val="99"/>
    <w:qFormat/>
    <w:pPr>
      <w:ind w:firstLine="200"/>
      <w:widowControl/>
    </w:pPr>
    <w:rPr>
      <w:rFonts w:ascii="宋体"/>
      <w:sz w:val="20"/>
      <w:szCs w:val="20"/>
    </w:rPr>
  </w:style>
  <w:style w:type="paragraph" w:styleId="854"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首行缩进11"/>
    <w:basedOn w:val="856"/>
    <w:next w:val="861"/>
    <w:uiPriority w:val="0"/>
    <w:qFormat/>
    <w:pPr>
      <w:ind w:firstLine="200"/>
      <w:spacing w:line="360" w:lineRule="auto"/>
      <w:tabs>
        <w:tab w:val="left" w:pos="420" w:leader="none"/>
      </w:tabs>
    </w:pPr>
    <w:rPr>
      <w:rFonts w:ascii="仿宋_GB2312" w:hAnsi="Calibri" w:eastAsia="仿宋_GB2312"/>
      <w:sz w:val="30"/>
      <w:szCs w:val="30"/>
    </w:rPr>
  </w:style>
  <w:style w:type="paragraph" w:styleId="856" w:customStyle="1">
    <w:name w:val="正文文本1"/>
    <w:basedOn w:val="857"/>
    <w:next w:val="863"/>
    <w:uiPriority w:val="0"/>
    <w:qFormat/>
    <w:pPr>
      <w:tabs>
        <w:tab w:val="left" w:pos="420" w:leader="none"/>
      </w:tabs>
    </w:pPr>
    <w:rPr>
      <w:rFonts w:eastAsia="黑体"/>
      <w:bCs/>
      <w:spacing w:val="20"/>
      <w:sz w:val="56"/>
    </w:rPr>
  </w:style>
  <w:style w:type="paragraph" w:styleId="857" w:customStyle="1">
    <w:name w:val="正文13"/>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首行缩进1"/>
    <w:basedOn w:val="859"/>
    <w:next w:val="861"/>
    <w:uiPriority w:val="0"/>
    <w:qFormat/>
    <w:pPr>
      <w:ind w:firstLine="100"/>
      <w:tabs>
        <w:tab w:val="left" w:pos="180" w:leader="none"/>
      </w:tabs>
    </w:pPr>
  </w:style>
  <w:style w:type="paragraph" w:styleId="859" w:customStyle="1">
    <w:name w:val="正文文本11"/>
    <w:basedOn w:val="860"/>
    <w:next w:val="854"/>
    <w:uiPriority w:val="0"/>
    <w:qFormat/>
    <w:pPr>
      <w:spacing w:after="120"/>
    </w:pPr>
  </w:style>
  <w:style w:type="paragraph" w:styleId="860" w:customStyle="1">
    <w:name w:val="正文112"/>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首行缩进 211"/>
    <w:basedOn w:val="862"/>
    <w:uiPriority w:val="0"/>
    <w:qFormat/>
    <w:pPr>
      <w:ind w:left="0" w:firstLine="420"/>
      <w:spacing w:after="0"/>
    </w:pPr>
    <w:rPr>
      <w:sz w:val="24"/>
    </w:rPr>
  </w:style>
  <w:style w:type="paragraph" w:styleId="862" w:customStyle="1">
    <w:name w:val="正文文本缩进11"/>
    <w:basedOn w:val="860"/>
    <w:next w:val="860"/>
    <w:uiPriority w:val="0"/>
    <w:qFormat/>
    <w:pPr>
      <w:ind w:left="420"/>
      <w:spacing w:after="120"/>
    </w:pPr>
  </w:style>
  <w:style w:type="paragraph" w:styleId="863" w:customStyle="1">
    <w:name w:val="一级条标题"/>
    <w:basedOn w:val="864"/>
    <w:next w:val="853"/>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64" w:customStyle="1">
    <w:name w:val="章标题"/>
    <w:next w:val="773"/>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65" w:customStyle="1">
    <w:name w:val="正文111"/>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首行缩进 21"/>
    <w:basedOn w:val="867"/>
    <w:next w:val="865"/>
    <w:uiPriority w:val="0"/>
    <w:qFormat/>
    <w:pPr>
      <w:ind w:left="0" w:firstLine="420"/>
      <w:spacing w:after="0" w:line="360" w:lineRule="auto"/>
    </w:pPr>
    <w:rPr>
      <w:rFonts w:ascii="宋体" w:hAnsi="宋体"/>
      <w:sz w:val="20"/>
      <w:szCs w:val="20"/>
    </w:rPr>
  </w:style>
  <w:style w:type="paragraph" w:styleId="867" w:customStyle="1">
    <w:name w:val="正文文本缩进1"/>
    <w:basedOn w:val="854"/>
    <w:next w:val="868"/>
    <w:uiPriority w:val="0"/>
    <w:qFormat/>
    <w:pPr>
      <w:ind w:left="420"/>
      <w:spacing w:after="120"/>
    </w:pPr>
  </w:style>
  <w:style w:type="paragraph" w:styleId="868" w:customStyle="1">
    <w:name w:val="寄信人地址1"/>
    <w:basedOn w:val="773"/>
    <w:uiPriority w:val="99"/>
    <w:unhideWhenUsed/>
    <w:qFormat/>
    <w:rPr>
      <w:rFonts w:ascii="Arial" w:hAnsi="Arial"/>
    </w:rPr>
  </w:style>
  <w:style w:type="paragraph" w:styleId="869" w:customStyle="1">
    <w:name w:val="正文1"/>
    <w:basedOn w:val="773"/>
    <w:next w:val="870"/>
    <w:uiPriority w:val="0"/>
    <w:qFormat/>
    <w:pPr>
      <w:ind w:firstLine="432"/>
      <w:spacing w:line="360" w:lineRule="auto"/>
      <w:tabs>
        <w:tab w:val="left" w:pos="420" w:leader="none"/>
      </w:tabs>
    </w:pPr>
    <w:rPr>
      <w:rFonts w:ascii="宋体" w:hAnsi="宋体"/>
      <w:b/>
      <w:sz w:val="24"/>
    </w:rPr>
  </w:style>
  <w:style w:type="paragraph" w:styleId="870" w:customStyle="1">
    <w:name w:val="标题 21"/>
    <w:basedOn w:val="773"/>
    <w:next w:val="854"/>
    <w:link w:val="1031"/>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71" w:customStyle="1">
    <w:name w:val="正文12"/>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列出段落1"/>
    <w:basedOn w:val="873"/>
    <w:next w:val="874"/>
    <w:uiPriority w:val="0"/>
    <w:qFormat/>
    <w:pPr>
      <w:ind w:left="480"/>
      <w:jc w:val="left"/>
    </w:pPr>
    <w:rPr>
      <w:rFonts w:eastAsia="PMingLiU"/>
      <w:sz w:val="24"/>
      <w:szCs w:val="20"/>
      <w:lang w:eastAsia="zh-TW"/>
    </w:rPr>
  </w:style>
  <w:style w:type="paragraph" w:styleId="87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标题 71"/>
    <w:basedOn w:val="860"/>
    <w:next w:val="860"/>
    <w:uiPriority w:val="0"/>
    <w:qFormat/>
    <w:pPr>
      <w:numPr>
        <w:ilvl w:val="6"/>
        <w:numId w:val="1"/>
      </w:numPr>
      <w:keepLines/>
      <w:keepNext/>
      <w:spacing w:before="240" w:after="64" w:line="320" w:lineRule="auto"/>
      <w:outlineLvl w:val="6"/>
    </w:pPr>
    <w:rPr>
      <w:b/>
      <w:bCs/>
      <w:sz w:val="24"/>
    </w:rPr>
  </w:style>
  <w:style w:type="paragraph" w:styleId="875" w:customStyle="1">
    <w:name w:val="寄信人地址11"/>
    <w:basedOn w:val="773"/>
    <w:uiPriority w:val="99"/>
    <w:unhideWhenUsed/>
    <w:qFormat/>
    <w:rPr>
      <w:rFonts w:ascii="Arial" w:hAnsi="Arial"/>
    </w:rPr>
  </w:style>
  <w:style w:type="paragraph" w:styleId="876" w:customStyle="1">
    <w:name w:val="正文缩进1"/>
    <w:basedOn w:val="773"/>
    <w:next w:val="854"/>
    <w:uiPriority w:val="99"/>
    <w:unhideWhenUsed/>
    <w:qFormat/>
    <w:pPr>
      <w:ind w:firstLine="420"/>
    </w:pPr>
  </w:style>
  <w:style w:type="character" w:styleId="877" w:customStyle="1">
    <w:name w:val="Heading 1 Char"/>
    <w:uiPriority w:val="9"/>
    <w:qFormat/>
    <w:rPr>
      <w:rFonts w:ascii="Arial" w:hAnsi="Arial" w:eastAsia="Arial" w:cs="Arial"/>
      <w:sz w:val="40"/>
      <w:szCs w:val="40"/>
    </w:rPr>
  </w:style>
  <w:style w:type="character" w:styleId="878" w:customStyle="1">
    <w:name w:val="标题 2 字符"/>
    <w:link w:val="775"/>
    <w:uiPriority w:val="9"/>
    <w:qFormat/>
    <w:rPr>
      <w:rFonts w:ascii="Arial" w:hAnsi="Arial" w:eastAsia="Arial" w:cs="Arial"/>
      <w:sz w:val="34"/>
    </w:rPr>
  </w:style>
  <w:style w:type="character" w:styleId="879" w:customStyle="1">
    <w:name w:val="标题 3 字符"/>
    <w:link w:val="776"/>
    <w:uiPriority w:val="9"/>
    <w:qFormat/>
    <w:rPr>
      <w:rFonts w:ascii="Arial" w:hAnsi="Arial" w:eastAsia="Arial" w:cs="Arial"/>
      <w:sz w:val="30"/>
      <w:szCs w:val="30"/>
    </w:rPr>
  </w:style>
  <w:style w:type="character" w:styleId="880" w:customStyle="1">
    <w:name w:val="标题 4 字符"/>
    <w:link w:val="777"/>
    <w:uiPriority w:val="9"/>
    <w:qFormat/>
    <w:rPr>
      <w:rFonts w:ascii="Arial" w:hAnsi="Arial" w:eastAsia="Arial" w:cs="Arial"/>
      <w:b/>
      <w:bCs/>
      <w:sz w:val="26"/>
      <w:szCs w:val="26"/>
    </w:rPr>
  </w:style>
  <w:style w:type="character" w:styleId="881" w:customStyle="1">
    <w:name w:val="标题 5 字符"/>
    <w:link w:val="778"/>
    <w:uiPriority w:val="9"/>
    <w:qFormat/>
    <w:rPr>
      <w:rFonts w:ascii="Arial" w:hAnsi="Arial" w:eastAsia="Arial" w:cs="Arial"/>
      <w:b/>
      <w:bCs/>
      <w:sz w:val="24"/>
      <w:szCs w:val="24"/>
    </w:rPr>
  </w:style>
  <w:style w:type="character" w:styleId="882" w:customStyle="1">
    <w:name w:val="标题 6 字符"/>
    <w:link w:val="779"/>
    <w:uiPriority w:val="9"/>
    <w:qFormat/>
    <w:rPr>
      <w:rFonts w:ascii="Arial" w:hAnsi="Arial" w:eastAsia="Arial" w:cs="Arial"/>
      <w:b/>
      <w:bCs/>
      <w:sz w:val="22"/>
      <w:szCs w:val="22"/>
    </w:rPr>
  </w:style>
  <w:style w:type="character" w:styleId="883" w:customStyle="1">
    <w:name w:val="标题 7 字符"/>
    <w:link w:val="780"/>
    <w:uiPriority w:val="9"/>
    <w:qFormat/>
    <w:rPr>
      <w:rFonts w:ascii="Arial" w:hAnsi="Arial" w:eastAsia="Arial" w:cs="Arial"/>
      <w:b/>
      <w:bCs/>
      <w:i/>
      <w:iCs/>
      <w:sz w:val="22"/>
      <w:szCs w:val="22"/>
    </w:rPr>
  </w:style>
  <w:style w:type="character" w:styleId="884" w:customStyle="1">
    <w:name w:val="标题 8 字符"/>
    <w:link w:val="781"/>
    <w:uiPriority w:val="9"/>
    <w:qFormat/>
    <w:rPr>
      <w:rFonts w:ascii="Arial" w:hAnsi="Arial" w:eastAsia="Arial" w:cs="Arial"/>
      <w:i/>
      <w:iCs/>
      <w:sz w:val="22"/>
      <w:szCs w:val="22"/>
    </w:rPr>
  </w:style>
  <w:style w:type="character" w:styleId="885" w:customStyle="1">
    <w:name w:val="标题 9 字符"/>
    <w:link w:val="782"/>
    <w:uiPriority w:val="9"/>
    <w:qFormat/>
    <w:rPr>
      <w:rFonts w:ascii="Arial" w:hAnsi="Arial" w:eastAsia="Arial" w:cs="Arial"/>
      <w:i/>
      <w:iCs/>
      <w:sz w:val="21"/>
      <w:szCs w:val="21"/>
    </w:rPr>
  </w:style>
  <w:style w:type="paragraph" w:styleId="886">
    <w:name w:val="List Paragraph"/>
    <w:basedOn w:val="773"/>
    <w:uiPriority w:val="34"/>
    <w:qFormat/>
    <w:pPr>
      <w:contextualSpacing/>
      <w:ind w:left="720"/>
    </w:pPr>
  </w:style>
  <w:style w:type="paragraph" w:styleId="887">
    <w:name w:val="No Spacing"/>
    <w:uiPriority w:val="1"/>
    <w:qFormat/>
    <w:rPr>
      <w:rFonts w:hint="default" w:ascii="Times New Roman" w:hAnsi="Times New Roman" w:eastAsia="宋体" w:cs="Times New Roman"/>
      <w:lang w:val="en-US" w:eastAsia="zh-CN" w:bidi="ar-SA"/>
    </w:rPr>
  </w:style>
  <w:style w:type="character" w:styleId="888" w:customStyle="1">
    <w:name w:val="标题 字符"/>
    <w:link w:val="807"/>
    <w:uiPriority w:val="10"/>
    <w:qFormat/>
    <w:rPr>
      <w:sz w:val="48"/>
      <w:szCs w:val="48"/>
    </w:rPr>
  </w:style>
  <w:style w:type="character" w:styleId="889" w:customStyle="1">
    <w:name w:val="副标题 字符"/>
    <w:link w:val="801"/>
    <w:uiPriority w:val="11"/>
    <w:qFormat/>
    <w:rPr>
      <w:sz w:val="24"/>
      <w:szCs w:val="24"/>
    </w:rPr>
  </w:style>
  <w:style w:type="paragraph" w:styleId="890">
    <w:name w:val="Quote"/>
    <w:basedOn w:val="773"/>
    <w:next w:val="773"/>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73"/>
    <w:next w:val="773"/>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页眉 字符"/>
    <w:link w:val="798"/>
    <w:uiPriority w:val="99"/>
    <w:qFormat/>
  </w:style>
  <w:style w:type="character" w:styleId="895" w:customStyle="1">
    <w:name w:val="Footer Char"/>
    <w:uiPriority w:val="99"/>
    <w:qFormat/>
  </w:style>
  <w:style w:type="character" w:styleId="896" w:customStyle="1">
    <w:name w:val="页脚 字符"/>
    <w:link w:val="797"/>
    <w:uiPriority w:val="99"/>
    <w:qFormat/>
  </w:style>
  <w:style w:type="table" w:styleId="8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字符"/>
    <w:link w:val="802"/>
    <w:uiPriority w:val="99"/>
    <w:qFormat/>
    <w:rPr>
      <w:sz w:val="18"/>
    </w:rPr>
  </w:style>
  <w:style w:type="character" w:styleId="1023" w:customStyle="1">
    <w:name w:val="尾注文本 字符"/>
    <w:link w:val="796"/>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paragraph" w:styleId="1025" w:customStyle="1">
    <w:name w:val="标题 11"/>
    <w:basedOn w:val="773"/>
    <w:next w:val="773"/>
    <w:link w:val="1030"/>
    <w:uiPriority w:val="0"/>
    <w:qFormat/>
    <w:pPr>
      <w:keepLines/>
      <w:keepNext/>
      <w:spacing w:before="340" w:after="330" w:line="576" w:lineRule="auto"/>
      <w:outlineLvl w:val="0"/>
    </w:pPr>
    <w:rPr>
      <w:b/>
      <w:sz w:val="44"/>
      <w:szCs w:val="20"/>
    </w:rPr>
  </w:style>
  <w:style w:type="paragraph" w:styleId="1026" w:customStyle="1">
    <w:name w:val="标题 31"/>
    <w:basedOn w:val="773"/>
    <w:next w:val="773"/>
    <w:uiPriority w:val="1"/>
    <w:qFormat/>
    <w:pPr>
      <w:ind w:left="50" w:right="31"/>
      <w:jc w:val="center"/>
      <w:spacing w:before="39"/>
      <w:outlineLvl w:val="2"/>
    </w:pPr>
    <w:rPr>
      <w:sz w:val="30"/>
      <w:szCs w:val="30"/>
    </w:rPr>
  </w:style>
  <w:style w:type="paragraph" w:styleId="1027" w:customStyle="1">
    <w:name w:val="标题 411"/>
    <w:basedOn w:val="773"/>
    <w:next w:val="773"/>
    <w:uiPriority w:val="0"/>
    <w:qFormat/>
    <w:pPr>
      <w:keepLines/>
      <w:keepNext/>
      <w:spacing w:before="280" w:after="290" w:line="376" w:lineRule="auto"/>
      <w:outlineLvl w:val="3"/>
    </w:pPr>
    <w:rPr>
      <w:rFonts w:ascii="Cambria" w:hAnsi="Cambria"/>
      <w:b/>
      <w:bCs/>
      <w:sz w:val="28"/>
      <w:szCs w:val="28"/>
    </w:rPr>
  </w:style>
  <w:style w:type="character" w:styleId="1028" w:customStyle="1">
    <w:name w:val="默认段落字体1"/>
    <w:uiPriority w:val="0"/>
    <w:qFormat/>
    <w:rPr>
      <w:rFonts w:ascii="Times New Roman" w:hAnsi="Times New Roman" w:eastAsia="宋体" w:cs="Times New Roman"/>
    </w:rPr>
  </w:style>
  <w:style w:type="table" w:styleId="1029" w:customStyle="1">
    <w:name w:val="普通表格1"/>
    <w:uiPriority w:val="0"/>
    <w:qFormat/>
    <w:tblPr>
      <w:tblCellMar>
        <w:left w:w="0" w:type="dxa"/>
        <w:top w:w="0" w:type="dxa"/>
        <w:right w:w="0" w:type="dxa"/>
        <w:bottom w:w="0" w:type="dxa"/>
      </w:tblCellMar>
    </w:tblPr>
  </w:style>
  <w:style w:type="character" w:styleId="1030" w:customStyle="1">
    <w:name w:val="标题 1 Char"/>
    <w:link w:val="1025"/>
    <w:uiPriority w:val="0"/>
    <w:qFormat/>
    <w:rPr>
      <w:b/>
      <w:sz w:val="44"/>
    </w:rPr>
  </w:style>
  <w:style w:type="character" w:styleId="1031" w:customStyle="1">
    <w:name w:val="标题 2 Char"/>
    <w:link w:val="870"/>
    <w:uiPriority w:val="0"/>
    <w:qFormat/>
    <w:rPr>
      <w:rFonts w:ascii="Cambria" w:hAnsi="Cambria" w:eastAsia="宋体" w:cs="Times New Roman"/>
      <w:b/>
      <w:bCs/>
      <w:sz w:val="28"/>
      <w:szCs w:val="32"/>
    </w:rPr>
  </w:style>
  <w:style w:type="paragraph" w:styleId="1032" w:customStyle="1">
    <w:name w:val="索引 51"/>
    <w:basedOn w:val="773"/>
    <w:next w:val="773"/>
    <w:uiPriority w:val="0"/>
    <w:qFormat/>
    <w:pPr>
      <w:ind w:left="798"/>
      <w:jc w:val="left"/>
    </w:pPr>
    <w:rPr>
      <w:rFonts w:ascii="Calibri" w:hAnsi="Calibri"/>
    </w:rPr>
  </w:style>
  <w:style w:type="paragraph" w:styleId="1033" w:customStyle="1">
    <w:name w:val="批注文字1"/>
    <w:basedOn w:val="773"/>
    <w:link w:val="1034"/>
    <w:uiPriority w:val="0"/>
    <w:qFormat/>
    <w:pPr>
      <w:jc w:val="left"/>
    </w:pPr>
  </w:style>
  <w:style w:type="character" w:styleId="1034" w:customStyle="1">
    <w:name w:val="批注文字 Char"/>
    <w:link w:val="1033"/>
    <w:uiPriority w:val="0"/>
    <w:qFormat/>
    <w:rPr>
      <w:rFonts w:ascii="Times New Roman" w:hAnsi="Times New Roman" w:eastAsia="宋体" w:cs="Times New Roman"/>
      <w:sz w:val="21"/>
      <w:szCs w:val="24"/>
    </w:rPr>
  </w:style>
  <w:style w:type="paragraph" w:styleId="1035" w:customStyle="1">
    <w:name w:val="列表 21"/>
    <w:basedOn w:val="773"/>
    <w:uiPriority w:val="0"/>
    <w:qFormat/>
    <w:pPr>
      <w:ind w:left="100" w:hanging="200"/>
    </w:pPr>
  </w:style>
  <w:style w:type="paragraph" w:styleId="1036" w:customStyle="1">
    <w:name w:val="文本块1"/>
    <w:basedOn w:val="773"/>
    <w:next w:val="773"/>
    <w:uiPriority w:val="0"/>
    <w:qFormat/>
    <w:pPr>
      <w:ind w:left="256" w:right="6" w:firstLine="624"/>
    </w:pPr>
    <w:rPr>
      <w:rFonts w:eastAsia="仿宋_GB2312"/>
      <w:sz w:val="28"/>
      <w:szCs w:val="20"/>
    </w:rPr>
  </w:style>
  <w:style w:type="paragraph" w:styleId="1037" w:customStyle="1">
    <w:name w:val="纯文本1"/>
    <w:basedOn w:val="773"/>
    <w:link w:val="1038"/>
    <w:uiPriority w:val="0"/>
    <w:qFormat/>
    <w:rPr>
      <w:rFonts w:ascii="宋体" w:hAnsi="Courier New"/>
      <w:szCs w:val="21"/>
    </w:rPr>
  </w:style>
  <w:style w:type="character" w:styleId="1038" w:customStyle="1">
    <w:name w:val="纯文本 Char"/>
    <w:link w:val="1037"/>
    <w:uiPriority w:val="0"/>
    <w:qFormat/>
    <w:rPr>
      <w:rFonts w:ascii="宋体" w:hAnsi="Courier New" w:eastAsia="宋体" w:cs="Times New Roman"/>
      <w:sz w:val="21"/>
      <w:szCs w:val="21"/>
      <w:lang w:bidi="ar-SA"/>
    </w:rPr>
  </w:style>
  <w:style w:type="paragraph" w:styleId="1039" w:customStyle="1">
    <w:name w:val="正文文本缩进 21"/>
    <w:basedOn w:val="773"/>
    <w:uiPriority w:val="99"/>
    <w:qFormat/>
    <w:pPr>
      <w:ind w:left="630" w:firstLine="645"/>
    </w:pPr>
    <w:rPr>
      <w:rFonts w:ascii="Arial" w:hAnsi="Arial" w:eastAsia="仿宋_GB2312" w:cs="Arial"/>
      <w:sz w:val="32"/>
      <w:szCs w:val="32"/>
    </w:rPr>
  </w:style>
  <w:style w:type="paragraph" w:styleId="1040" w:customStyle="1">
    <w:name w:val="批注框文本1"/>
    <w:basedOn w:val="773"/>
    <w:link w:val="1041"/>
    <w:uiPriority w:val="0"/>
    <w:qFormat/>
    <w:rPr>
      <w:sz w:val="18"/>
      <w:szCs w:val="18"/>
    </w:rPr>
  </w:style>
  <w:style w:type="character" w:styleId="1041" w:customStyle="1">
    <w:name w:val="批注框文本 Char"/>
    <w:link w:val="1040"/>
    <w:uiPriority w:val="0"/>
    <w:qFormat/>
    <w:rPr>
      <w:rFonts w:ascii="Times New Roman" w:hAnsi="Times New Roman" w:eastAsia="宋体" w:cs="Times New Roman"/>
      <w:sz w:val="18"/>
      <w:szCs w:val="18"/>
    </w:rPr>
  </w:style>
  <w:style w:type="paragraph" w:styleId="1042" w:customStyle="1">
    <w:name w:val="页脚1"/>
    <w:basedOn w:val="773"/>
    <w:link w:val="1043"/>
    <w:uiPriority w:val="99"/>
    <w:qFormat/>
    <w:pPr>
      <w:jc w:val="left"/>
      <w:tabs>
        <w:tab w:val="center" w:pos="4153" w:leader="none"/>
        <w:tab w:val="right" w:pos="8306" w:leader="none"/>
      </w:tabs>
    </w:pPr>
    <w:rPr>
      <w:sz w:val="18"/>
      <w:szCs w:val="18"/>
    </w:rPr>
  </w:style>
  <w:style w:type="character" w:styleId="1043" w:customStyle="1">
    <w:name w:val="页脚 Char"/>
    <w:link w:val="1042"/>
    <w:uiPriority w:val="99"/>
    <w:qFormat/>
    <w:rPr>
      <w:sz w:val="18"/>
      <w:szCs w:val="18"/>
    </w:rPr>
  </w:style>
  <w:style w:type="paragraph" w:styleId="1044" w:customStyle="1">
    <w:name w:val="页眉1"/>
    <w:basedOn w:val="773"/>
    <w:link w:val="1045"/>
    <w:uiPriority w:val="99"/>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99"/>
    <w:qFormat/>
    <w:rPr>
      <w:sz w:val="18"/>
      <w:szCs w:val="18"/>
    </w:rPr>
  </w:style>
  <w:style w:type="paragraph" w:styleId="1046" w:customStyle="1">
    <w:name w:val="脚注文本1"/>
    <w:basedOn w:val="773"/>
    <w:next w:val="1032"/>
    <w:uiPriority w:val="0"/>
    <w:qFormat/>
    <w:pPr>
      <w:jc w:val="left"/>
    </w:pPr>
    <w:rPr>
      <w:rFonts w:ascii="宋体" w:eastAsia="Times New Roman"/>
      <w:sz w:val="18"/>
      <w:szCs w:val="18"/>
    </w:rPr>
  </w:style>
  <w:style w:type="paragraph" w:styleId="1047" w:customStyle="1">
    <w:name w:val="普通(网站)1"/>
    <w:basedOn w:val="773"/>
    <w:uiPriority w:val="0"/>
    <w:qFormat/>
    <w:pPr>
      <w:jc w:val="left"/>
      <w:spacing w:before="100" w:beforeAutospacing="1" w:after="100" w:afterAutospacing="1"/>
      <w:widowControl/>
    </w:pPr>
    <w:rPr>
      <w:rFonts w:ascii="宋体" w:hAnsi="宋体" w:cs="宋体"/>
      <w:sz w:val="24"/>
    </w:rPr>
  </w:style>
  <w:style w:type="paragraph" w:styleId="1048" w:customStyle="1">
    <w:name w:val="标题1"/>
    <w:basedOn w:val="773"/>
    <w:next w:val="773"/>
    <w:uiPriority w:val="10"/>
    <w:qFormat/>
    <w:pPr>
      <w:jc w:val="center"/>
      <w:spacing w:before="240" w:after="60"/>
      <w:outlineLvl w:val="0"/>
    </w:pPr>
    <w:rPr>
      <w:rFonts w:ascii="Cambria" w:hAnsi="Cambria"/>
      <w:b/>
      <w:bCs/>
      <w:sz w:val="32"/>
      <w:szCs w:val="32"/>
    </w:rPr>
  </w:style>
  <w:style w:type="paragraph" w:styleId="1049" w:customStyle="1">
    <w:name w:val="批注主题1"/>
    <w:basedOn w:val="1033"/>
    <w:next w:val="1033"/>
    <w:link w:val="1050"/>
    <w:uiPriority w:val="0"/>
    <w:qFormat/>
    <w:rPr>
      <w:b/>
      <w:bCs/>
    </w:rPr>
  </w:style>
  <w:style w:type="character" w:styleId="1050" w:customStyle="1">
    <w:name w:val="批注主题 Char"/>
    <w:link w:val="1049"/>
    <w:uiPriority w:val="0"/>
    <w:qFormat/>
    <w:rPr>
      <w:rFonts w:ascii="Times New Roman" w:hAnsi="Times New Roman" w:eastAsia="宋体" w:cs="Times New Roman"/>
      <w:b/>
      <w:bCs/>
      <w:sz w:val="21"/>
      <w:szCs w:val="24"/>
    </w:rPr>
  </w:style>
  <w:style w:type="table" w:styleId="1051" w:customStyle="1">
    <w:name w:val="网格型1"/>
    <w:basedOn w:val="1029"/>
    <w:uiPriority w:val="0"/>
    <w:qFormat/>
    <w:tblPr>
      <w:tblCellMar>
        <w:left w:w="0" w:type="dxa"/>
        <w:top w:w="0" w:type="dxa"/>
        <w:right w:w="0" w:type="dxa"/>
        <w:bottom w:w="0" w:type="dxa"/>
      </w:tblCellMar>
    </w:tblPr>
  </w:style>
  <w:style w:type="character" w:styleId="1052" w:customStyle="1">
    <w:name w:val="页码1"/>
    <w:basedOn w:val="1028"/>
    <w:uiPriority w:val="0"/>
    <w:qFormat/>
    <w:rPr>
      <w:rFonts w:ascii="Times New Roman" w:hAnsi="Times New Roman" w:eastAsia="宋体" w:cs="Times New Roman"/>
    </w:rPr>
  </w:style>
  <w:style w:type="character" w:styleId="1053" w:customStyle="1">
    <w:name w:val="已访问的超链接1"/>
    <w:uiPriority w:val="0"/>
    <w:qFormat/>
    <w:rPr>
      <w:color w:val="771caa"/>
      <w:u w:val="none"/>
    </w:rPr>
  </w:style>
  <w:style w:type="character" w:styleId="1054" w:customStyle="1">
    <w:name w:val="强调1"/>
    <w:uiPriority w:val="0"/>
    <w:qFormat/>
    <w:rPr>
      <w:color w:val="f73131"/>
    </w:rPr>
  </w:style>
  <w:style w:type="character" w:styleId="1055" w:customStyle="1">
    <w:name w:val="超链接1"/>
    <w:uiPriority w:val="99"/>
    <w:unhideWhenUsed/>
    <w:qFormat/>
    <w:rPr>
      <w:color w:val="2440b3"/>
      <w:u w:val="none"/>
    </w:rPr>
  </w:style>
  <w:style w:type="character" w:styleId="1056" w:customStyle="1">
    <w:name w:val="批注引用1"/>
    <w:uiPriority w:val="0"/>
    <w:qFormat/>
    <w:rPr>
      <w:rFonts w:ascii="Times New Roman" w:hAnsi="Times New Roman" w:eastAsia="宋体" w:cs="Times New Roman"/>
      <w:sz w:val="21"/>
      <w:szCs w:val="21"/>
    </w:rPr>
  </w:style>
  <w:style w:type="character" w:styleId="1057" w:customStyle="1">
    <w:name w:val="HTML 引文1"/>
    <w:uiPriority w:val="0"/>
    <w:qFormat/>
    <w:rPr>
      <w:color w:val="008000"/>
    </w:rPr>
  </w:style>
  <w:style w:type="paragraph" w:styleId="1058" w:customStyle="1">
    <w:name w:val="样式 正文文本缩进 + 首行缩进:  2 字符 行距: 1.5 倍行距"/>
    <w:basedOn w:val="867"/>
    <w:uiPriority w:val="0"/>
    <w:qFormat/>
    <w:pPr>
      <w:ind w:firstLine="645"/>
      <w:spacing w:before="156"/>
    </w:pPr>
    <w:rPr>
      <w:rFonts w:ascii="Calibri" w:hAnsi="Calibri" w:cs="宋体"/>
      <w:sz w:val="28"/>
    </w:rPr>
  </w:style>
  <w:style w:type="paragraph" w:styleId="1059" w:customStyle="1">
    <w:name w:val="首行缩进"/>
    <w:basedOn w:val="773"/>
    <w:next w:val="773"/>
    <w:uiPriority w:val="0"/>
    <w:qFormat/>
    <w:pPr>
      <w:ind w:firstLine="480"/>
      <w:spacing w:line="360" w:lineRule="auto"/>
    </w:pPr>
    <w:rPr>
      <w:rFonts w:ascii="宋体" w:hAnsi="宋体" w:cs="宋体"/>
      <w:sz w:val="24"/>
    </w:rPr>
  </w:style>
  <w:style w:type="paragraph" w:styleId="1060" w:customStyle="1">
    <w:name w:val="表格文字"/>
    <w:basedOn w:val="773"/>
    <w:next w:val="859"/>
    <w:uiPriority w:val="0"/>
    <w:qFormat/>
    <w:pPr>
      <w:jc w:val="left"/>
    </w:pPr>
    <w:rPr>
      <w:bCs/>
      <w:spacing w:val="10"/>
      <w:szCs w:val="20"/>
    </w:rPr>
  </w:style>
  <w:style w:type="character" w:styleId="1061" w:customStyle="1">
    <w:name w:val="无间隔 Char"/>
    <w:link w:val="1062"/>
    <w:uiPriority w:val="1"/>
    <w:qFormat/>
    <w:rPr>
      <w:sz w:val="22"/>
      <w:szCs w:val="22"/>
      <w:lang w:val="en-US" w:eastAsia="zh-CN" w:bidi="ar-SA"/>
    </w:rPr>
  </w:style>
  <w:style w:type="paragraph" w:styleId="1062" w:customStyle="1">
    <w:name w:val="无间隔1"/>
    <w:link w:val="1061"/>
    <w:uiPriority w:val="1"/>
    <w:qFormat/>
    <w:rPr>
      <w:rFonts w:hint="default" w:ascii="Times New Roman" w:hAnsi="Times New Roman" w:eastAsia="宋体" w:cs="Times New Roman"/>
      <w:sz w:val="22"/>
      <w:szCs w:val="22"/>
      <w:lang w:val="en-US" w:eastAsia="zh-CN" w:bidi="ar-SA"/>
    </w:rPr>
  </w:style>
  <w:style w:type="paragraph" w:styleId="1063" w:customStyle="1">
    <w:name w:val="Table Paragraph"/>
    <w:basedOn w:val="773"/>
    <w:uiPriority w:val="1"/>
    <w:qFormat/>
    <w:pPr>
      <w:jc w:val="left"/>
    </w:pPr>
    <w:rPr>
      <w:rFonts w:ascii="仿宋" w:hAnsi="仿宋" w:eastAsia="仿宋" w:cs="仿宋"/>
      <w:sz w:val="22"/>
      <w:szCs w:val="22"/>
      <w:lang w:val="zh-CN" w:bidi="zh-CN"/>
    </w:rPr>
  </w:style>
  <w:style w:type="paragraph" w:styleId="1064" w:customStyle="1">
    <w:name w:val="+正文"/>
    <w:basedOn w:val="773"/>
    <w:uiPriority w:val="0"/>
    <w:qFormat/>
    <w:pPr>
      <w:ind w:firstLine="200"/>
      <w:jc w:val="left"/>
      <w:spacing w:line="500" w:lineRule="exact"/>
    </w:pPr>
    <w:rPr>
      <w:sz w:val="24"/>
      <w:szCs w:val="28"/>
    </w:rPr>
  </w:style>
  <w:style w:type="paragraph" w:styleId="1065" w:customStyle="1">
    <w:name w:val="Char"/>
    <w:basedOn w:val="773"/>
    <w:uiPriority w:val="0"/>
    <w:qFormat/>
    <w:pPr>
      <w:tabs>
        <w:tab w:val="left" w:pos="360" w:leader="none"/>
      </w:tabs>
    </w:pPr>
    <w:rPr>
      <w:sz w:val="24"/>
    </w:rPr>
  </w:style>
  <w:style w:type="paragraph" w:styleId="1066" w:customStyle="1">
    <w:name w:val="默认段落字体 Para Char Char Char Char Char Char Char"/>
    <w:basedOn w:val="773"/>
    <w:uiPriority w:val="0"/>
    <w:qFormat/>
    <w:rPr>
      <w:rFonts w:ascii="Tahoma" w:hAnsi="Tahoma"/>
      <w:sz w:val="24"/>
      <w:szCs w:val="20"/>
    </w:rPr>
  </w:style>
  <w:style w:type="paragraph" w:styleId="1067" w:customStyle="1">
    <w:name w:val="表格3"/>
    <w:basedOn w:val="773"/>
    <w:uiPriority w:val="0"/>
    <w:qFormat/>
    <w:pPr>
      <w:jc w:val="center"/>
    </w:pPr>
  </w:style>
  <w:style w:type="paragraph" w:styleId="1068" w:customStyle="1">
    <w:name w:val="列出段落"/>
    <w:basedOn w:val="773"/>
    <w:next w:val="773"/>
    <w:uiPriority w:val="34"/>
    <w:qFormat/>
    <w:pPr>
      <w:ind w:firstLine="420"/>
      <w:jc w:val="left"/>
      <w:spacing w:line="360" w:lineRule="atLeast"/>
    </w:pPr>
    <w:rPr>
      <w:sz w:val="24"/>
    </w:rPr>
  </w:style>
  <w:style w:type="table" w:styleId="106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70" w:customStyle="1">
    <w:name w:val="样式"/>
    <w:basedOn w:val="773"/>
    <w:uiPriority w:val="0"/>
    <w:qFormat/>
    <w:pPr>
      <w:jc w:val="left"/>
    </w:pPr>
    <w:rPr>
      <w:rFonts w:ascii="宋体" w:hAnsi="宋体" w:cs="宋体"/>
      <w:sz w:val="24"/>
    </w:rPr>
  </w:style>
  <w:style w:type="character" w:styleId="1071" w:customStyle="1">
    <w:name w:val="c-icon"/>
    <w:uiPriority w:val="0"/>
    <w:qFormat/>
  </w:style>
  <w:style w:type="character" w:styleId="1072" w:customStyle="1">
    <w:name w:val="hover24"/>
    <w:uiPriority w:val="0"/>
    <w:qFormat/>
    <w:rPr>
      <w:color w:val="315efb"/>
    </w:rPr>
  </w:style>
  <w:style w:type="character" w:styleId="1073" w:customStyle="1">
    <w:name w:val="hover25"/>
    <w:uiPriority w:val="0"/>
    <w:qFormat/>
  </w:style>
  <w:style w:type="character" w:styleId="1074" w:customStyle="1">
    <w:name w:val="hover26"/>
    <w:uiPriority w:val="0"/>
    <w:qFormat/>
  </w:style>
  <w:style w:type="character" w:styleId="1075" w:customStyle="1">
    <w:name w:val="hover27"/>
    <w:uiPriority w:val="0"/>
    <w:qFormat/>
    <w:rPr>
      <w:color w:val="315efb"/>
    </w:rPr>
  </w:style>
  <w:style w:type="character" w:styleId="1076" w:customStyle="1">
    <w:name w:val="c-icon30"/>
    <w:uiPriority w:val="0"/>
    <w:qFormat/>
  </w:style>
  <w:style w:type="character" w:styleId="1077" w:customStyle="1">
    <w:name w:val="page-cur"/>
    <w:uiPriority w:val="0"/>
    <w:qFormat/>
    <w:rPr>
      <w:color w:val="999999"/>
      <w:u w:val="none"/>
      <w:shd w:val="clear" w:color="auto" w:fill="fafafa"/>
    </w:rPr>
  </w:style>
  <w:style w:type="character" w:styleId="1078" w:customStyle="1">
    <w:name w:val="page-start"/>
    <w:uiPriority w:val="0"/>
    <w:qFormat/>
    <w:rPr>
      <w:color w:val="999999"/>
      <w:u w:val="none"/>
      <w:shd w:val="clear" w:color="auto" w:fill="fafafa"/>
    </w:rPr>
  </w:style>
  <w:style w:type="character" w:styleId="1079" w:customStyle="1">
    <w:name w:val="chewduserlogo"/>
    <w:uiPriority w:val="0"/>
    <w:qFormat/>
  </w:style>
  <w:style w:type="character" w:styleId="1080" w:customStyle="1">
    <w:name w:val="font11"/>
    <w:basedOn w:val="1028"/>
    <w:uiPriority w:val="0"/>
    <w:qFormat/>
    <w:rPr>
      <w:rFonts w:hint="eastAsia" w:ascii="宋体" w:hAnsi="宋体" w:eastAsia="宋体" w:cs="宋体"/>
      <w:color w:val="000000"/>
      <w:sz w:val="28"/>
      <w:szCs w:val="28"/>
      <w:u w:val="none"/>
      <w:vertAlign w:val="superscript"/>
    </w:rPr>
  </w:style>
  <w:style w:type="character" w:styleId="1081" w:customStyle="1">
    <w:name w:val="awspan"/>
    <w:uiPriority w:val="0"/>
    <w:qFormat/>
  </w:style>
  <w:style w:type="paragraph" w:styleId="1082" w:customStyle="1">
    <w:name w:val="表格文本"/>
    <w:basedOn w:val="773"/>
    <w:uiPriority w:val="0"/>
    <w:qFormat/>
    <w:pPr>
      <w:jc w:val="center"/>
    </w:pPr>
    <w:rPr>
      <w:rFonts w:ascii="宋体" w:hAnsi="宋体"/>
      <w:bCs/>
      <w:szCs w:val="21"/>
    </w:rPr>
  </w:style>
  <w:style w:type="character" w:styleId="1083" w:customStyle="1">
    <w:name w:val="awspan1"/>
    <w:uiPriority w:val="0"/>
    <w:qFormat/>
    <w:rPr>
      <w:color w:val="000000"/>
      <w:sz w:val="24"/>
      <w:szCs w:val="24"/>
    </w:rPr>
  </w:style>
  <w:style w:type="paragraph" w:styleId="1084" w:customStyle="1">
    <w:name w:val="[基本段落]"/>
    <w:basedOn w:val="773"/>
    <w:uiPriority w:val="99"/>
    <w:qFormat/>
    <w:pPr>
      <w:spacing w:line="288" w:lineRule="auto"/>
    </w:pPr>
    <w:rPr>
      <w:rFonts w:ascii="宋体" w:cs="宋体"/>
      <w:color w:val="000000"/>
      <w:sz w:val="24"/>
      <w:lang w:val="zh-CN"/>
    </w:rPr>
  </w:style>
  <w:style w:type="character" w:styleId="1085" w:customStyle="1">
    <w:name w:val="font01"/>
    <w:uiPriority w:val="0"/>
    <w:qFormat/>
    <w:rPr>
      <w:rFonts w:hint="eastAsia" w:ascii="宋体" w:hAnsi="宋体" w:eastAsia="宋体" w:cs="宋体"/>
      <w:color w:val="000000"/>
      <w:sz w:val="18"/>
      <w:szCs w:val="18"/>
      <w:u w:val="none"/>
    </w:rPr>
  </w:style>
  <w:style w:type="paragraph" w:styleId="1086" w:customStyle="1">
    <w:name w:val="列表段落1"/>
    <w:basedOn w:val="773"/>
    <w:uiPriority w:val="0"/>
    <w:qFormat/>
    <w:pPr>
      <w:ind w:firstLine="420"/>
    </w:pPr>
    <w:rPr>
      <w:rFonts w:ascii="Calibri" w:hAnsi="Calibri"/>
      <w:szCs w:val="22"/>
    </w:rPr>
  </w:style>
  <w:style w:type="paragraph" w:styleId="1087" w:customStyle="1">
    <w:name w:val="样式 首行缩进:  2 字符"/>
    <w:basedOn w:val="773"/>
    <w:uiPriority w:val="0"/>
    <w:qFormat/>
    <w:pPr>
      <w:ind w:firstLine="200"/>
      <w:spacing w:line="400" w:lineRule="exact"/>
    </w:pPr>
    <w:rPr>
      <w:rFonts w:ascii="Calibri" w:hAnsi="Calibri" w:cs="宋体"/>
      <w:sz w:val="24"/>
    </w:rPr>
  </w:style>
  <w:style w:type="paragraph" w:styleId="1088" w:customStyle="1">
    <w:name w:val="标题 41"/>
    <w:basedOn w:val="871"/>
    <w:next w:val="871"/>
    <w:uiPriority w:val="0"/>
    <w:qFormat/>
    <w:pPr>
      <w:keepLines/>
      <w:keepNext/>
      <w:spacing w:before="280" w:after="290" w:line="376" w:lineRule="auto"/>
      <w:outlineLvl w:val="3"/>
    </w:pPr>
    <w:rPr>
      <w:rFonts w:ascii="Cambria" w:hAnsi="Cambria"/>
      <w:b/>
      <w:bCs/>
      <w:sz w:val="28"/>
      <w:szCs w:val="28"/>
    </w:rPr>
  </w:style>
  <w:style w:type="character" w:styleId="1089" w:customStyle="1">
    <w:name w:val="NormalCharacter1"/>
    <w:uiPriority w:val="0"/>
    <w:qFormat/>
    <w:rPr>
      <w:sz w:val="21"/>
      <w:szCs w:val="24"/>
      <w:lang w:val="en-US" w:eastAsia="zh-CN" w:bidi="ar-SA"/>
    </w:rPr>
  </w:style>
  <w:style w:type="paragraph" w:styleId="1090" w:customStyle="1">
    <w:name w:val="正文360首行缩进"/>
    <w:basedOn w:val="773"/>
    <w:uiPriority w:val="0"/>
    <w:qFormat/>
    <w:pPr>
      <w:ind w:firstLine="200"/>
      <w:spacing w:before="120" w:line="300" w:lineRule="auto"/>
    </w:pPr>
    <w:rPr>
      <w:szCs w:val="20"/>
    </w:rPr>
  </w:style>
  <w:style w:type="paragraph" w:styleId="1091" w:customStyle="1">
    <w:name w:val="BodyTextIndent1"/>
    <w:basedOn w:val="773"/>
    <w:next w:val="1092"/>
    <w:uiPriority w:val="0"/>
    <w:qFormat/>
    <w:pPr>
      <w:ind w:left="420"/>
      <w:spacing w:after="120"/>
    </w:pPr>
  </w:style>
  <w:style w:type="paragraph" w:styleId="1092" w:customStyle="1">
    <w:name w:val="EnvelopeReturn1"/>
    <w:basedOn w:val="773"/>
    <w:uiPriority w:val="0"/>
    <w:qFormat/>
    <w:rPr>
      <w:rFonts w:ascii="Arial" w:hAnsi="Arial"/>
    </w:rPr>
  </w:style>
  <w:style w:type="character" w:styleId="1093" w:customStyle="1">
    <w:name w:val="font21"/>
    <w:basedOn w:val="1028"/>
    <w:uiPriority w:val="0"/>
    <w:qFormat/>
    <w:rPr>
      <w:rFonts w:hint="eastAsia" w:ascii="宋体" w:hAnsi="宋体" w:eastAsia="宋体" w:cs="宋体"/>
      <w:color w:val="ff0000"/>
      <w:sz w:val="22"/>
      <w:szCs w:val="22"/>
      <w:u w:val="none"/>
    </w:rPr>
  </w:style>
  <w:style w:type="paragraph" w:styleId="1094" w:customStyle="1">
    <w:name w:val="UserStyle_291"/>
    <w:uiPriority w:val="0"/>
    <w:qFormat/>
    <w:rPr>
      <w:rFonts w:hint="default" w:ascii="黑体" w:hAnsi="黑体" w:eastAsia="黑体" w:cs="Times New Roman"/>
      <w:b/>
      <w:sz w:val="32"/>
      <w:szCs w:val="24"/>
      <w:lang w:val="en-US" w:eastAsia="zh-CN" w:bidi="ar-SA"/>
    </w:rPr>
  </w:style>
  <w:style w:type="paragraph" w:styleId="1095" w:customStyle="1">
    <w:name w:val="目录 11"/>
    <w:basedOn w:val="865"/>
    <w:next w:val="865"/>
    <w:uiPriority w:val="0"/>
    <w:qFormat/>
    <w:pPr>
      <w:jc w:val="left"/>
      <w:spacing w:after="100" w:line="259" w:lineRule="auto"/>
      <w:widowControl/>
    </w:pPr>
    <w:rPr>
      <w:rFonts w:ascii="Calibri" w:hAnsi="Calibri"/>
      <w:sz w:val="22"/>
      <w:szCs w:val="22"/>
    </w:rPr>
  </w:style>
  <w:style w:type="character" w:styleId="1096" w:customStyle="1">
    <w:name w:val="font91"/>
    <w:basedOn w:val="1028"/>
    <w:uiPriority w:val="0"/>
    <w:qFormat/>
    <w:rPr>
      <w:rFonts w:hint="eastAsia" w:ascii="宋体" w:hAnsi="宋体" w:eastAsia="宋体" w:cs="宋体"/>
      <w:color w:val="ff0000"/>
      <w:sz w:val="22"/>
      <w:szCs w:val="22"/>
      <w:u w:val="none"/>
    </w:rPr>
  </w:style>
  <w:style w:type="character" w:styleId="1097" w:customStyle="1">
    <w:name w:val="font112"/>
    <w:basedOn w:val="1028"/>
    <w:uiPriority w:val="0"/>
    <w:qFormat/>
    <w:rPr>
      <w:rFonts w:hint="eastAsia" w:ascii="宋体" w:hAnsi="宋体" w:eastAsia="宋体" w:cs="宋体"/>
      <w:color w:val="000000"/>
      <w:sz w:val="22"/>
      <w:szCs w:val="22"/>
      <w:u w:val="none"/>
    </w:rPr>
  </w:style>
  <w:style w:type="paragraph" w:styleId="1098" w:customStyle="1">
    <w:name w:val="正文文本 21"/>
    <w:basedOn w:val="773"/>
    <w:uiPriority w:val="0"/>
    <w:qFormat/>
    <w:pPr>
      <w:ind w:firstLine="640"/>
      <w:jc w:val="center"/>
      <w:spacing w:line="300" w:lineRule="auto"/>
    </w:pPr>
    <w:rPr>
      <w:rFonts w:hint="eastAsia" w:ascii="宋体" w:hAnsi="宋体"/>
    </w:rPr>
  </w:style>
  <w:style w:type="paragraph" w:styleId="1099" w:customStyle="1">
    <w:name w:val="正文1111"/>
    <w:next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目录 112"/>
    <w:basedOn w:val="1099"/>
    <w:next w:val="1099"/>
    <w:uiPriority w:val="0"/>
    <w:qFormat/>
  </w:style>
  <w:style w:type="paragraph" w:styleId="1101"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102" w:customStyle="1">
    <w:name w:val="公文正文"/>
    <w:basedOn w:val="773"/>
    <w:uiPriority w:val="0"/>
    <w:qFormat/>
    <w:pPr>
      <w:ind w:firstLine="200"/>
      <w:spacing w:line="560" w:lineRule="exact"/>
    </w:pPr>
    <w:rPr>
      <w:rFonts w:ascii="仿宋_GB2312" w:hAnsi="仿宋_GB2312" w:eastAsia="仿宋_GB2312" w:cs="仿宋_GB2312"/>
      <w:sz w:val="32"/>
      <w:szCs w:val="32"/>
      <w:lang w:val="zh-CN"/>
    </w:rPr>
  </w:style>
  <w:style w:type="paragraph" w:styleId="1103" w:customStyle="1">
    <w:name w:val="Table Text"/>
    <w:basedOn w:val="773"/>
    <w:uiPriority w:val="0"/>
    <w:semiHidden/>
    <w:qFormat/>
    <w:rPr>
      <w:rFonts w:ascii="宋体" w:hAnsi="宋体" w:cs="宋体"/>
      <w:sz w:val="20"/>
      <w:szCs w:val="20"/>
    </w:rPr>
  </w:style>
  <w:style w:type="paragraph" w:styleId="1104" w:customStyle="1">
    <w:name w:val="表格"/>
    <w:basedOn w:val="773"/>
    <w:uiPriority w:val="0"/>
    <w:qFormat/>
    <w:pPr>
      <w:ind w:firstLine="0"/>
      <w:jc w:val="center"/>
      <w:spacing w:line="240" w:lineRule="auto"/>
    </w:pPr>
    <w:rPr>
      <w:rFonts w:hint="eastAsia"/>
    </w:rPr>
  </w:style>
  <w:style w:type="paragraph" w:styleId="1105" w:customStyle="1">
    <w:name w:val="Heading 4"/>
    <w:basedOn w:val="773"/>
    <w:next w:val="773"/>
    <w:uiPriority w:val="0"/>
    <w:qFormat/>
    <w:pPr>
      <w:jc w:val="center"/>
      <w:keepNext/>
      <w:outlineLvl w:val="3"/>
    </w:pPr>
    <w:rPr>
      <w:rFonts w:eastAsia="新宋体"/>
      <w:sz w:val="30"/>
      <w:szCs w:val="21"/>
    </w:rPr>
  </w:style>
  <w:style w:type="paragraph" w:styleId="1106" w:customStyle="1">
    <w:name w:val="标题 211"/>
    <w:basedOn w:val="773"/>
    <w:next w:val="773"/>
    <w:uiPriority w:val="0"/>
    <w:qFormat/>
    <w:pPr>
      <w:keepLines/>
      <w:keepNext/>
      <w:spacing w:before="260" w:after="260" w:line="416" w:lineRule="auto"/>
      <w:outlineLvl w:val="1"/>
    </w:pPr>
    <w:rPr>
      <w:rFonts w:ascii="Arial" w:hAnsi="Arial" w:eastAsia="黑体"/>
      <w:b/>
      <w:bCs/>
      <w:sz w:val="32"/>
      <w:szCs w:val="32"/>
    </w:rPr>
  </w:style>
  <w:style w:type="paragraph" w:styleId="1107" w:customStyle="1">
    <w:name w:val="文本块111"/>
    <w:basedOn w:val="773"/>
    <w:uiPriority w:val="6"/>
    <w:qFormat/>
    <w:pPr>
      <w:ind w:left="256" w:right="6" w:firstLine="624"/>
    </w:pPr>
    <w:rPr>
      <w:rFonts w:ascii="Times New Roman" w:hAnsi="Times New Roman" w:eastAsia="仿宋" w:cs="Times New Roman"/>
      <w:sz w:val="28"/>
      <w:szCs w:val="20"/>
    </w:rPr>
  </w:style>
  <w:style w:type="paragraph" w:styleId="1108" w:customStyle="1">
    <w:name w:val="footer1"/>
    <w:basedOn w:val="773"/>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109" w:customStyle="1">
    <w:name w:val="正文_16_0_0"/>
    <w:next w:val="773"/>
    <w:uiPriority w:val="0"/>
    <w:qFormat/>
    <w:pPr>
      <w:jc w:val="both"/>
      <w:widowControl w:val="off"/>
    </w:pPr>
    <w:rPr>
      <w:rFonts w:hint="default" w:ascii="Calibri" w:hAnsi="Calibri" w:eastAsia="宋体" w:cs="Times New Roman"/>
      <w:sz w:val="21"/>
      <w:szCs w:val="22"/>
      <w:lang w:val="en-US" w:eastAsia="zh-CN" w:bidi="ar-SA"/>
    </w:rPr>
  </w:style>
  <w:style w:type="character" w:styleId="1110" w:customStyle="1">
    <w:name w:val="标题 1 字符"/>
    <w:link w:val="774"/>
    <w:uiPriority w:val="0"/>
    <w:qFormat/>
    <w:rPr>
      <w:rFonts w:ascii="仿宋" w:hAnsi="仿宋" w:eastAsia="仿宋" w:cs="仿宋"/>
      <w:b/>
      <w:bCs/>
      <w:sz w:val="30"/>
      <w:szCs w:val="30"/>
      <w:lang w:val="zh-CN" w:bidi="zh-CN"/>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HCX</cp:lastModifiedBy>
  <cp:revision>28</cp:revision>
  <dcterms:created xsi:type="dcterms:W3CDTF">2021-06-11T03:05:00Z</dcterms:created>
  <dcterms:modified xsi:type="dcterms:W3CDTF">2026-10-10T03:01:06Z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74E1687D2AC04E28B3136CE753C6EF1B_13</vt:lpwstr>
  </property>
  <property fmtid="{D5CDD505-2E9C-101B-9397-08002B2CF9AE}" pid="4" name="KSOTemplateDocerSaveRecord">
    <vt:lpwstr>eyJoZGlkIjoiMDc3MjdkOWYyMTI5OWFiYTM5MTgzNWYxYjRlNzZmMzIiLCJ1c2VySWQiOiI4Mjc5OTQ0NTkifQ==</vt:lpwstr>
  </property>
</Properties>
</file>