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项目名称：江苏省财政厅行政办公平台升级改造项目</w:t>
      </w:r>
      <w:r/>
    </w:p>
    <w:p>
      <w:pPr>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JSZC-320000-SCZX-C2026-0500</w:t>
      </w:r>
      <w:r/>
    </w:p>
    <w:p>
      <w:pPr>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66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236925622"/>
      <w:r/>
      <w:bookmarkStart w:id="2" w:name="_Toc479757206"/>
      <w:r/>
      <w:bookmarkStart w:id="3" w:name="_Toc513029200"/>
      <w:r/>
      <w:bookmarkStart w:id="4" w:name="_Toc523127445"/>
      <w:r/>
      <w:bookmarkStart w:id="5" w:name="_Toc16938516"/>
      <w:r/>
      <w:bookmarkStart w:id="6" w:name="_Toc20823272"/>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bookmarkEnd w:id="1"/>
      <w:r/>
      <w:r/>
    </w:p>
    <w:p>
      <w:pPr>
        <w:spacing w:line="480" w:lineRule="auto"/>
        <w:rPr>
          <w:rFonts w:ascii="仿宋_GB2312" w:hAnsi="Arial" w:eastAsia="仿宋_GB2312"/>
          <w:b/>
          <w:sz w:val="28"/>
        </w:rPr>
      </w:pPr>
      <w:r>
        <w:rPr>
          <w:rFonts w:ascii="仿宋_GB2312" w:hAnsi="Arial" w:eastAsia="仿宋_GB2312"/>
          <w:b/>
          <w:sz w:val="28"/>
        </w:rPr>
      </w:r>
      <w:r/>
    </w:p>
    <w:p>
      <w:pPr>
        <w:pStyle w:val="768"/>
        <w:tabs>
          <w:tab w:val="right" w:pos="8296" w:leader="dot"/>
        </w:tabs>
        <w:rPr>
          <w:rFonts w:ascii="Arial" w:hAnsi="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6925622" w:anchor="_Toc236925622" w:history="1">
        <w:r>
          <w:rPr>
            <w:rStyle w:val="788"/>
            <w:rFonts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_Toc236925622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68"/>
        <w:tabs>
          <w:tab w:val="right" w:pos="8296" w:leader="dot"/>
        </w:tabs>
        <w:rPr>
          <w:rFonts w:ascii="Arial" w:hAnsi="Arial"/>
          <w:sz w:val="22"/>
          <w:szCs w:val="24"/>
        </w:rPr>
      </w:pPr>
      <w:r/>
      <w:hyperlink w:tooltip="#_Toc236925623" w:anchor="_Toc236925623" w:history="1">
        <w:r>
          <w:rPr>
            <w:rStyle w:val="788"/>
            <w:rFonts w:ascii="方正黑体_GBK" w:hAnsi="方正黑体_GBK" w:eastAsia="方正黑体_GBK" w:cs="方正黑体_GBK"/>
          </w:rPr>
          <w:t xml:space="preserve">第一章  磋商邀请</w:t>
        </w:r>
        <w:r>
          <w:rPr>
            <w:rFonts w:hint="eastAsia"/>
          </w:rPr>
          <w:tab/>
        </w:r>
        <w:r>
          <w:rPr>
            <w:rFonts w:hint="eastAsia"/>
          </w:rPr>
          <w:fldChar w:fldCharType="begin"/>
        </w:r>
        <w:r>
          <w:rPr>
            <w:rFonts w:hint="eastAsia"/>
          </w:rPr>
          <w:instrText xml:space="preserve"> </w:instrText>
        </w:r>
        <w:r>
          <w:instrText xml:space="preserve">PAGEREF _Toc236925623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59"/>
        <w:tabs>
          <w:tab w:val="right" w:pos="8296" w:leader="dot"/>
        </w:tabs>
        <w:rPr>
          <w:rFonts w:ascii="Arial" w:hAnsi="Arial"/>
          <w:sz w:val="22"/>
          <w:szCs w:val="24"/>
        </w:rPr>
      </w:pPr>
      <w:r/>
      <w:hyperlink w:tooltip="#_Toc236925624" w:anchor="_Toc236925624" w:history="1">
        <w:r>
          <w:rPr>
            <w:rStyle w:val="788"/>
            <w:rFonts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_Toc236925624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59"/>
        <w:tabs>
          <w:tab w:val="right" w:pos="8296" w:leader="dot"/>
        </w:tabs>
        <w:rPr>
          <w:rFonts w:ascii="Arial" w:hAnsi="Arial"/>
          <w:sz w:val="22"/>
          <w:szCs w:val="24"/>
        </w:rPr>
      </w:pPr>
      <w:r/>
      <w:hyperlink w:tooltip="#_Toc236925625" w:anchor="_Toc236925625" w:history="1">
        <w:r>
          <w:rPr>
            <w:rStyle w:val="788"/>
            <w:rFonts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_Toc236925625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9"/>
        <w:tabs>
          <w:tab w:val="right" w:pos="8296" w:leader="dot"/>
        </w:tabs>
        <w:rPr>
          <w:rFonts w:ascii="Arial" w:hAnsi="Arial"/>
          <w:sz w:val="22"/>
          <w:szCs w:val="24"/>
        </w:rPr>
      </w:pPr>
      <w:r/>
      <w:hyperlink w:tooltip="#_Toc236925626" w:anchor="_Toc236925626" w:history="1">
        <w:r>
          <w:rPr>
            <w:rStyle w:val="788"/>
            <w:rFonts w:ascii="方正黑体_GBK" w:hAnsi="方正黑体_GBK" w:eastAsia="方正黑体_GBK" w:cs="方正黑体_GBK"/>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_Toc236925626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9"/>
        <w:tabs>
          <w:tab w:val="right" w:pos="8296" w:leader="dot"/>
        </w:tabs>
        <w:rPr>
          <w:rFonts w:ascii="Arial" w:hAnsi="Arial"/>
          <w:sz w:val="22"/>
          <w:szCs w:val="24"/>
        </w:rPr>
      </w:pPr>
      <w:r/>
      <w:hyperlink w:tooltip="#_Toc236925627" w:anchor="_Toc236925627" w:history="1">
        <w:r>
          <w:rPr>
            <w:rStyle w:val="788"/>
            <w:rFonts w:ascii="方正黑体_GBK" w:hAnsi="方正黑体_GBK" w:eastAsia="方正黑体_GBK" w:cs="方正黑体_GBK"/>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_Toc236925627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9"/>
        <w:tabs>
          <w:tab w:val="right" w:pos="8296" w:leader="dot"/>
        </w:tabs>
        <w:rPr>
          <w:rFonts w:ascii="Arial" w:hAnsi="Arial"/>
          <w:sz w:val="22"/>
          <w:szCs w:val="24"/>
        </w:rPr>
      </w:pPr>
      <w:r/>
      <w:hyperlink w:tooltip="#_Toc236925628" w:anchor="_Toc236925628" w:history="1">
        <w:r>
          <w:rPr>
            <w:rStyle w:val="788"/>
            <w:rFonts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_Toc236925628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9"/>
        <w:tabs>
          <w:tab w:val="right" w:pos="8296" w:leader="dot"/>
        </w:tabs>
        <w:rPr>
          <w:rFonts w:ascii="Arial" w:hAnsi="Arial"/>
          <w:sz w:val="22"/>
          <w:szCs w:val="24"/>
        </w:rPr>
      </w:pPr>
      <w:r/>
      <w:hyperlink w:tooltip="#_Toc236925629" w:anchor="_Toc236925629" w:history="1">
        <w:r>
          <w:rPr>
            <w:rStyle w:val="788"/>
            <w:rFonts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_Toc236925629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9"/>
        <w:tabs>
          <w:tab w:val="right" w:pos="8296" w:leader="dot"/>
        </w:tabs>
        <w:rPr>
          <w:rFonts w:ascii="Arial" w:hAnsi="Arial"/>
          <w:sz w:val="22"/>
          <w:szCs w:val="24"/>
        </w:rPr>
      </w:pPr>
      <w:r/>
      <w:hyperlink w:tooltip="#_Toc236925630" w:anchor="_Toc236925630" w:history="1">
        <w:r>
          <w:rPr>
            <w:rStyle w:val="788"/>
            <w:rFonts w:ascii="方正黑体_GBK" w:hAnsi="方正黑体_GBK" w:eastAsia="方正黑体_GBK" w:cs="方正黑体_GBK"/>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_Toc236925630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9"/>
        <w:tabs>
          <w:tab w:val="right" w:pos="8296" w:leader="dot"/>
        </w:tabs>
        <w:rPr>
          <w:rFonts w:ascii="Arial" w:hAnsi="Arial"/>
          <w:sz w:val="22"/>
          <w:szCs w:val="24"/>
        </w:rPr>
      </w:pPr>
      <w:r/>
      <w:hyperlink w:tooltip="#_Toc236925631" w:anchor="_Toc236925631" w:history="1">
        <w:r>
          <w:rPr>
            <w:rStyle w:val="788"/>
            <w:rFonts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_Toc236925631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68"/>
        <w:tabs>
          <w:tab w:val="right" w:pos="8296" w:leader="dot"/>
        </w:tabs>
        <w:rPr>
          <w:rFonts w:ascii="Arial" w:hAnsi="Arial"/>
          <w:sz w:val="22"/>
          <w:szCs w:val="24"/>
        </w:rPr>
      </w:pPr>
      <w:r/>
      <w:hyperlink w:tooltip="#_Toc236925632" w:anchor="_Toc236925632" w:history="1">
        <w:r>
          <w:rPr>
            <w:rStyle w:val="788"/>
            <w:rFonts w:ascii="方正黑体_GBK" w:hAnsi="方正黑体_GBK" w:eastAsia="方正黑体_GBK" w:cs="方正黑体_GBK"/>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_Toc236925632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6"/>
        <w:tabs>
          <w:tab w:val="right" w:pos="8296" w:leader="dot"/>
        </w:tabs>
        <w:rPr>
          <w:rFonts w:ascii="Arial" w:hAnsi="Arial"/>
          <w:sz w:val="22"/>
          <w:szCs w:val="24"/>
        </w:rPr>
      </w:pPr>
      <w:r/>
      <w:hyperlink w:tooltip="#_Toc236925633" w:anchor="_Toc236925633" w:history="1">
        <w:r>
          <w:rPr>
            <w:rStyle w:val="788"/>
            <w:rFonts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_Toc236925633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6"/>
        <w:tabs>
          <w:tab w:val="right" w:pos="8296" w:leader="dot"/>
        </w:tabs>
        <w:rPr>
          <w:rFonts w:ascii="Arial" w:hAnsi="Arial"/>
          <w:sz w:val="22"/>
          <w:szCs w:val="24"/>
        </w:rPr>
      </w:pPr>
      <w:r/>
      <w:hyperlink w:tooltip="#_Toc236925634" w:anchor="_Toc236925634" w:history="1">
        <w:r>
          <w:rPr>
            <w:rStyle w:val="788"/>
            <w:rFonts w:ascii="方正黑体_GBK" w:hAnsi="方正黑体_GBK" w:eastAsia="方正黑体_GBK" w:cs="方正黑体_GBK"/>
          </w:rPr>
          <w:t xml:space="preserve">二、磋商文件</w:t>
        </w:r>
        <w:r>
          <w:rPr>
            <w:rFonts w:hint="eastAsia"/>
          </w:rPr>
          <w:tab/>
        </w:r>
        <w:r>
          <w:rPr>
            <w:rFonts w:hint="eastAsia"/>
          </w:rPr>
          <w:fldChar w:fldCharType="begin"/>
        </w:r>
        <w:r>
          <w:rPr>
            <w:rFonts w:hint="eastAsia"/>
          </w:rPr>
          <w:instrText xml:space="preserve"> </w:instrText>
        </w:r>
        <w:r>
          <w:instrText xml:space="preserve">PAGEREF _Toc236925634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6"/>
        <w:tabs>
          <w:tab w:val="right" w:pos="8296" w:leader="dot"/>
        </w:tabs>
        <w:rPr>
          <w:rFonts w:ascii="Arial" w:hAnsi="Arial"/>
          <w:sz w:val="22"/>
          <w:szCs w:val="24"/>
        </w:rPr>
      </w:pPr>
      <w:r/>
      <w:hyperlink w:tooltip="#_Toc236925635" w:anchor="_Toc236925635" w:history="1">
        <w:r>
          <w:rPr>
            <w:rStyle w:val="788"/>
            <w:rFonts w:ascii="方正黑体_GBK" w:hAnsi="方正黑体_GBK" w:eastAsia="方正黑体_GBK" w:cs="方正黑体_GBK"/>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_Toc236925635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76"/>
        <w:tabs>
          <w:tab w:val="right" w:pos="8296" w:leader="dot"/>
        </w:tabs>
        <w:rPr>
          <w:rFonts w:ascii="Arial" w:hAnsi="Arial"/>
          <w:sz w:val="22"/>
          <w:szCs w:val="24"/>
        </w:rPr>
      </w:pPr>
      <w:r/>
      <w:hyperlink w:tooltip="#_Toc236925636" w:anchor="_Toc236925636" w:history="1">
        <w:r>
          <w:rPr>
            <w:rStyle w:val="788"/>
            <w:rFonts w:ascii="方正黑体_GBK" w:hAnsi="方正黑体_GBK" w:eastAsia="方正黑体_GBK" w:cs="方正黑体_GBK"/>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_Toc236925636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76"/>
        <w:tabs>
          <w:tab w:val="right" w:pos="8296" w:leader="dot"/>
        </w:tabs>
        <w:rPr>
          <w:rFonts w:ascii="Arial" w:hAnsi="Arial"/>
          <w:sz w:val="22"/>
          <w:szCs w:val="24"/>
        </w:rPr>
      </w:pPr>
      <w:r/>
      <w:hyperlink w:tooltip="#_Toc236925637" w:anchor="_Toc236925637" w:history="1">
        <w:r>
          <w:rPr>
            <w:rStyle w:val="788"/>
            <w:rFonts w:ascii="方正黑体_GBK" w:hAnsi="方正黑体_GBK" w:eastAsia="方正黑体_GBK" w:cs="方正黑体_GBK"/>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_Toc236925637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76"/>
        <w:tabs>
          <w:tab w:val="right" w:pos="8296" w:leader="dot"/>
        </w:tabs>
        <w:rPr>
          <w:rFonts w:ascii="Arial" w:hAnsi="Arial"/>
          <w:sz w:val="22"/>
          <w:szCs w:val="24"/>
        </w:rPr>
      </w:pPr>
      <w:r/>
      <w:hyperlink w:tooltip="#_Toc236925638" w:anchor="_Toc236925638" w:history="1">
        <w:r>
          <w:rPr>
            <w:rStyle w:val="788"/>
            <w:rFonts w:ascii="方正黑体_GBK" w:hAnsi="方正黑体_GBK" w:eastAsia="方正黑体_GBK" w:cs="方正黑体_GBK"/>
          </w:rPr>
          <w:t xml:space="preserve">六、成交</w:t>
        </w:r>
        <w:r>
          <w:rPr>
            <w:rFonts w:hint="eastAsia"/>
          </w:rPr>
          <w:tab/>
        </w:r>
        <w:r>
          <w:rPr>
            <w:rFonts w:hint="eastAsia"/>
          </w:rPr>
          <w:fldChar w:fldCharType="begin"/>
        </w:r>
        <w:r>
          <w:rPr>
            <w:rFonts w:hint="eastAsia"/>
          </w:rPr>
          <w:instrText xml:space="preserve"> </w:instrText>
        </w:r>
        <w:r>
          <w:instrText xml:space="preserve">PAGEREF _Toc236925638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76"/>
        <w:tabs>
          <w:tab w:val="right" w:pos="8296" w:leader="dot"/>
        </w:tabs>
        <w:rPr>
          <w:rFonts w:ascii="Arial" w:hAnsi="Arial"/>
          <w:sz w:val="22"/>
          <w:szCs w:val="24"/>
        </w:rPr>
      </w:pPr>
      <w:r/>
      <w:hyperlink w:tooltip="#_Toc236925639" w:anchor="_Toc236925639" w:history="1">
        <w:r>
          <w:rPr>
            <w:rStyle w:val="788"/>
            <w:rFonts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_Toc236925639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68"/>
        <w:tabs>
          <w:tab w:val="right" w:pos="8296" w:leader="dot"/>
        </w:tabs>
        <w:rPr>
          <w:rFonts w:ascii="Arial" w:hAnsi="Arial"/>
          <w:sz w:val="22"/>
          <w:szCs w:val="24"/>
        </w:rPr>
      </w:pPr>
      <w:r/>
      <w:hyperlink w:tooltip="#_Toc236925640" w:anchor="_Toc236925640" w:history="1">
        <w:r>
          <w:rPr>
            <w:rStyle w:val="788"/>
            <w:rFonts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_Toc236925640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768"/>
        <w:tabs>
          <w:tab w:val="right" w:pos="8296" w:leader="dot"/>
        </w:tabs>
        <w:rPr>
          <w:rFonts w:ascii="Arial" w:hAnsi="Arial"/>
          <w:sz w:val="22"/>
          <w:szCs w:val="24"/>
        </w:rPr>
      </w:pPr>
      <w:r/>
      <w:hyperlink w:tooltip="#_Toc236925641" w:anchor="_Toc236925641" w:history="1">
        <w:r>
          <w:rPr>
            <w:rStyle w:val="788"/>
            <w:rFonts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_Toc236925641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68"/>
        <w:tabs>
          <w:tab w:val="right" w:pos="8296" w:leader="dot"/>
        </w:tabs>
        <w:rPr>
          <w:rFonts w:ascii="Arial" w:hAnsi="Arial"/>
          <w:sz w:val="22"/>
          <w:szCs w:val="24"/>
        </w:rPr>
      </w:pPr>
      <w:r/>
      <w:hyperlink w:tooltip="#_Toc236925642" w:anchor="_Toc236925642" w:history="1">
        <w:r>
          <w:rPr>
            <w:rStyle w:val="788"/>
            <w:rFonts w:ascii="方正黑体_GBK" w:hAnsi="方正黑体_GBK" w:eastAsia="方正黑体_GBK" w:cs="方正黑体_GBK"/>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_Toc236925642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68"/>
        <w:tabs>
          <w:tab w:val="right" w:pos="8296" w:leader="dot"/>
        </w:tabs>
        <w:rPr>
          <w:rStyle w:val="788"/>
        </w:rPr>
      </w:pPr>
      <w:r/>
      <w:hyperlink w:tooltip="#_Toc236925643" w:anchor="_Toc236925643" w:history="1">
        <w:r>
          <w:rPr>
            <w:rStyle w:val="788"/>
            <w:rFonts w:ascii="方正黑体_GBK" w:hAnsi="方正黑体_GBK" w:eastAsia="方正黑体_GBK" w:cs="方正黑体_GBK"/>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_Toc236925643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jc w:val="left"/>
        <w:widowControl/>
        <w:rPr>
          <w:rStyle w:val="788"/>
        </w:rPr>
      </w:pPr>
      <w:r>
        <w:rPr>
          <w:rStyle w:val="788"/>
        </w:rPr>
        <w:br w:type="page" w:clear="all"/>
      </w:r>
      <w:r/>
    </w:p>
    <w:p>
      <w:pPr>
        <w:pStyle w:val="768"/>
        <w:tabs>
          <w:tab w:val="right" w:pos="8296" w:leader="dot"/>
        </w:tabs>
        <w:rPr>
          <w:rFonts w:ascii="Arial" w:hAnsi="Arial"/>
          <w:sz w:val="22"/>
          <w:szCs w:val="24"/>
        </w:rPr>
      </w:pPr>
      <w:r>
        <w:rPr>
          <w:rFonts w:ascii="Arial" w:hAnsi="Arial"/>
          <w:sz w:val="22"/>
          <w:szCs w:val="24"/>
        </w:rPr>
      </w:r>
      <w:r/>
    </w:p>
    <w:p>
      <w:pPr>
        <w:jc w:val="center"/>
        <w:keepNext/>
        <w:spacing w:line="400" w:lineRule="exact"/>
        <w:rPr>
          <w:rFonts w:hint="eastAsia" w:ascii="方正黑体_GBK" w:hAnsi="方正黑体_GBK" w:eastAsia="方正黑体_GBK" w:cs="方正黑体_GBK"/>
          <w:sz w:val="28"/>
          <w:szCs w:val="28"/>
        </w:rPr>
        <w:outlineLvl w:val="0"/>
      </w:pPr>
      <w:r>
        <w:rPr>
          <w:rFonts w:ascii="宋体" w:hAnsi="宋体"/>
          <w:bCs/>
          <w:lang w:val="zh-CN"/>
        </w:rPr>
        <w:fldChar w:fldCharType="end"/>
      </w:r>
      <w:bookmarkStart w:id="7" w:name="_Toc236925623"/>
      <w:r>
        <w:rPr>
          <w:rFonts w:hint="eastAsia" w:ascii="方正黑体_GBK" w:hAnsi="方正黑体_GBK" w:eastAsia="方正黑体_GBK" w:cs="方正黑体_GBK"/>
          <w:sz w:val="28"/>
          <w:szCs w:val="28"/>
        </w:rPr>
        <w:t xml:space="preserve">第一章  磋商邀请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受江苏省财政厅财政信息管理中心的委托，江苏省政府采购中心就江苏省财政厅行政办公平台升级改造项目（</w:t>
      </w:r>
      <w:r>
        <w:rPr>
          <w:rFonts w:ascii="方正仿宋_GBK" w:hAnsi="方正仿宋_GBK" w:eastAsia="方正仿宋_GBK" w:cs="方正仿宋_GBK"/>
          <w:sz w:val="28"/>
          <w:szCs w:val="28"/>
        </w:rPr>
        <w:t xml:space="preserve">JSZC-320000-SCZX-C2026-0500</w:t>
      </w:r>
      <w:r>
        <w:rPr>
          <w:rFonts w:hint="eastAsia" w:ascii="方正仿宋_GBK" w:hAnsi="方正仿宋_GBK" w:eastAsia="方正仿宋_GBK" w:cs="方正仿宋_GBK"/>
          <w:sz w:val="28"/>
          <w:szCs w:val="28"/>
        </w:rPr>
        <w:t xml:space="preserve">）项目进行竞争性磋商采购，欢迎符合条件的供应商参加磋商。</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江苏省财政厅行政办公平台升级改造项目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11</w:t>
      </w:r>
      <w:r>
        <w:rPr>
          <w:rFonts w:hint="eastAsia" w:ascii="Times New Roman" w:hAnsi="Times New Roman" w:eastAsia="方正黑体_GBK"/>
          <w:sz w:val="28"/>
          <w:szCs w:val="28"/>
        </w:rPr>
        <w:t xml:space="preserve">月</w:t>
      </w:r>
      <w:r>
        <w:rPr>
          <w:rFonts w:hint="eastAsia" w:ascii="Times New Roman" w:hAnsi="Times New Roman" w:eastAsia="方正黑体_GBK"/>
          <w:sz w:val="28"/>
          <w:szCs w:val="28"/>
        </w:rPr>
        <w:t xml:space="preserve">2</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时30分（北京时间）前递交响应文件</w:t>
      </w:r>
      <w:r>
        <w:rPr>
          <w:rFonts w:hint="eastAsia" w:ascii="方正仿宋_GBK" w:hAnsi="方正仿宋_GBK" w:eastAsia="方正仿宋_GBK" w:cs="方正仿宋_GBK"/>
          <w:sz w:val="28"/>
          <w:szCs w:val="28"/>
        </w:rPr>
        <w:t xml:space="preserve">。</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8" w:name="_Toc28359079"/>
      <w:r/>
      <w:bookmarkStart w:id="9" w:name="_Toc28359002"/>
      <w:r/>
      <w:bookmarkStart w:id="10" w:name="_Toc236925624"/>
      <w:r/>
      <w:bookmarkStart w:id="11" w:name="_Toc38985263"/>
      <w:r/>
      <w:bookmarkStart w:id="12" w:name="_Toc35393790"/>
      <w:r/>
      <w:bookmarkStart w:id="13" w:name="_Toc35393621"/>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JSZC-320000-SCZX-C2026-0500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2.项目名称：江苏省财政厅行政办公平台升级改造项目</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3250"/>
      </w:tblGrid>
      <w:tr>
        <w:trPr/>
        <w:tc>
          <w:tcPr>
            <w:tcW w:w="11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11.26 </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11.26 </w:t>
            </w:r>
            <w:r/>
          </w:p>
        </w:tc>
      </w:tr>
    </w:tbl>
    <w:p>
      <w:pPr>
        <w:ind w:firstLine="560"/>
        <w:spacing w:line="400" w:lineRule="exact"/>
        <w:rPr>
          <w:rFonts w:hint="eastAsia"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ascii="方正仿宋_GBK" w:hAnsi="方正仿宋_GBK" w:eastAsia="方正仿宋_GBK" w:cs="方正仿宋_GBK"/>
          <w:sz w:val="28"/>
          <w:szCs w:val="28"/>
        </w:rPr>
        <w:t xml:space="preserve">为进一步提升厅机关行政办公水平，提高公文运转、日程管理、人事管理和督办工作效能，依托现有行政办公平台进行升级改造。本项目在充分利用现有系统资源和用户使用习惯的基础上，围绕领导日程与值班管理、休假计划申报、政府采购投诉办理、督办管理四方面业务进行功能优化和扩展，实现相关业务全流程线上化、规范化管理，提升机关办公效率。</w:t>
      </w:r>
      <w:r>
        <w:rPr>
          <w:rFonts w:hint="eastAsia" w:ascii="方正仿宋_GBK" w:hAnsi="方正仿宋_GBK" w:eastAsia="方正仿宋_GBK" w:cs="方正仿宋_GBK"/>
          <w:sz w:val="28"/>
          <w:szCs w:val="28"/>
        </w:rPr>
        <w:t xml:space="preserve">（详细内容见本磋商文件第四章）</w:t>
      </w:r>
      <w:r/>
    </w:p>
    <w:p>
      <w:pPr>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ascii="方正仿宋_GBK" w:hAnsi="方正仿宋_GBK" w:eastAsia="方正仿宋_GBK" w:cs="方正仿宋_GBK"/>
          <w:sz w:val="28"/>
          <w:szCs w:val="28"/>
        </w:rPr>
        <w:t xml:space="preserve">项目建设期为2个月。项目建设期内完成全部建设内容的需求分析、功能设计、代码开发、测试、部署实施、上线及培训等工作。</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5" w:name="_Toc28359080"/>
      <w:r/>
      <w:bookmarkStart w:id="16" w:name="_Toc28359003"/>
      <w:r/>
      <w:bookmarkStart w:id="17" w:name="_Toc38985264"/>
      <w:r/>
      <w:bookmarkStart w:id="18" w:name="_Toc35393791"/>
      <w:r/>
      <w:bookmarkStart w:id="19" w:name="_Toc35393622"/>
      <w:r/>
      <w:bookmarkStart w:id="20" w:name="_Toc236925625"/>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35393792"/>
      <w:r/>
      <w:bookmarkStart w:id="22" w:name="_Toc28359004"/>
      <w:r/>
      <w:bookmarkStart w:id="23" w:name="_Toc35393623"/>
      <w:r/>
      <w:bookmarkStart w:id="24" w:name="_Toc28359081"/>
      <w:r/>
      <w:bookmarkStart w:id="25" w:name="_Toc38985265"/>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6" w:name="_Toc236925626"/>
      <w:r>
        <w:rPr>
          <w:rFonts w:hint="eastAsia" w:ascii="方正黑体_GBK" w:hAnsi="方正黑体_GBK" w:eastAsia="方正黑体_GBK" w:cs="方正黑体_GBK"/>
          <w:sz w:val="28"/>
          <w:szCs w:val="28"/>
        </w:rPr>
        <w:t xml:space="preserve">三、获取磋商文件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82"/>
      <w:r/>
      <w:bookmarkStart w:id="28" w:name="_Toc28359005"/>
      <w:r/>
      <w:bookmarkStart w:id="29" w:name="_Toc35393624"/>
      <w:r/>
      <w:bookmarkStart w:id="30" w:name="_Toc38985266"/>
      <w:r/>
      <w:bookmarkStart w:id="31" w:name="_Toc35393793"/>
      <w:r/>
      <w:bookmarkStart w:id="32" w:name="_Toc236925627"/>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w:t>
      </w:r>
      <w:bookmarkEnd w:id="27"/>
      <w:r/>
      <w:bookmarkEnd w:id="28"/>
      <w:r>
        <w:rPr>
          <w:rFonts w:hint="eastAsia" w:ascii="方正黑体_GBK" w:hAnsi="方正黑体_GBK" w:eastAsia="方正黑体_GBK" w:cs="方正黑体_GBK"/>
          <w:sz w:val="28"/>
          <w:szCs w:val="28"/>
        </w:rPr>
        <w:t xml:space="preserve">响应文件截止时间</w:t>
      </w:r>
      <w:bookmarkEnd w:id="29"/>
      <w:r/>
      <w:bookmarkEnd w:id="30"/>
      <w:r/>
      <w:bookmarkEnd w:id="31"/>
      <w:r>
        <w:rPr>
          <w:rFonts w:hint="eastAsia" w:ascii="方正黑体_GBK" w:hAnsi="方正黑体_GBK" w:eastAsia="方正黑体_GBK" w:cs="方正黑体_GBK"/>
          <w:sz w:val="28"/>
          <w:szCs w:val="28"/>
        </w:rPr>
        <w:t xml:space="preserve">、开启时间及地点</w:t>
      </w:r>
      <w:bookmarkEnd w:id="32"/>
      <w:r/>
      <w:r/>
    </w:p>
    <w:p>
      <w:pPr>
        <w:ind w:firstLine="560"/>
        <w:spacing w:line="400" w:lineRule="exact"/>
        <w:rPr>
          <w:rFonts w:hint="eastAsia" w:ascii="宋体" w:hAnsi="宋体" w:cs="宋体"/>
          <w:sz w:val="28"/>
          <w:szCs w:val="28"/>
        </w:rPr>
      </w:pPr>
      <w:r>
        <w:rPr>
          <w:rFonts w:hint="eastAsia" w:ascii="方正仿宋_GBK" w:hAnsi="方正仿宋_GBK" w:eastAsia="方正仿宋_GBK" w:cs="方正仿宋_GBK"/>
          <w:bCs/>
          <w:sz w:val="28"/>
          <w:szCs w:val="28"/>
        </w:rPr>
        <w:t xml:space="preserve">1. </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11</w:t>
      </w:r>
      <w:r>
        <w:rPr>
          <w:rFonts w:hint="eastAsia" w:ascii="Times New Roman" w:hAnsi="Times New Roman" w:eastAsia="方正黑体_GBK"/>
          <w:sz w:val="28"/>
          <w:szCs w:val="28"/>
        </w:rPr>
        <w:t xml:space="preserve">月2</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8985267"/>
      <w:r/>
      <w:bookmarkStart w:id="34" w:name="_Toc35393794"/>
      <w:r/>
      <w:bookmarkStart w:id="35" w:name="_Toc28359007"/>
      <w:r/>
      <w:bookmarkStart w:id="36" w:name="_Toc35393625"/>
      <w:r/>
      <w:bookmarkStart w:id="37" w:name="_Toc28359084"/>
      <w:r/>
      <w:bookmarkStart w:id="38" w:name="_Toc236925628"/>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9" w:name="_Toc35393795"/>
      <w:r/>
      <w:bookmarkStart w:id="40" w:name="_Toc236925629"/>
      <w:r/>
      <w:bookmarkStart w:id="41" w:name="_Toc38985268"/>
      <w:r/>
      <w:bookmarkStart w:id="42" w:name="_Toc35393626"/>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43" w:name="_Toc38985269"/>
      <w:r/>
      <w:bookmarkStart w:id="44" w:name="_Toc28359008"/>
      <w:r/>
      <w:bookmarkStart w:id="45" w:name="_Toc35393796"/>
      <w:r/>
      <w:bookmarkStart w:id="46" w:name="_Toc28359085"/>
      <w:r/>
      <w:bookmarkStart w:id="47" w:name="_Toc236925630"/>
      <w:r/>
      <w:bookmarkStart w:id="48" w:name="_Toc35393627"/>
      <w:r>
        <w:rPr>
          <w:rFonts w:hint="eastAsia" w:ascii="方正黑体_GBK" w:hAnsi="方正黑体_GBK" w:eastAsia="方正黑体_GBK" w:cs="方正黑体_GBK"/>
          <w:sz w:val="28"/>
          <w:szCs w:val="28"/>
        </w:rPr>
        <w:t xml:space="preserve">七、本次磋商联系方式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9" w:name="_Toc28359010"/>
      <w:r/>
      <w:bookmarkStart w:id="50"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江苏省财政厅财政信息管理中心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ascii="方正仿宋_GBK" w:hAnsi="方正仿宋_GBK" w:eastAsia="方正仿宋_GBK" w:cs="方正仿宋_GBK"/>
          <w:sz w:val="28"/>
          <w:szCs w:val="28"/>
          <w:u w:val="single"/>
        </w:rPr>
        <w:t xml:space="preserve">江苏省南京市</w:t>
      </w:r>
      <w:r>
        <w:rPr>
          <w:rFonts w:hint="eastAsia" w:ascii="方正仿宋_GBK" w:hAnsi="方正仿宋_GBK" w:eastAsia="方正仿宋_GBK" w:cs="方正仿宋_GBK"/>
          <w:sz w:val="28"/>
          <w:szCs w:val="28"/>
          <w:u w:val="single"/>
        </w:rPr>
        <w:t xml:space="preserve">北京西路63</w:t>
      </w:r>
      <w:r>
        <w:rPr>
          <w:rFonts w:ascii="方正仿宋_GBK" w:hAnsi="方正仿宋_GBK" w:eastAsia="方正仿宋_GBK" w:cs="方正仿宋_GBK"/>
          <w:sz w:val="28"/>
          <w:szCs w:val="28"/>
          <w:u w:val="single"/>
        </w:rPr>
        <w:t xml:space="preserve">号</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常少华</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025-</w:t>
      </w:r>
      <w:r>
        <w:rPr>
          <w:rFonts w:ascii="方正仿宋_GBK" w:hAnsi="方正仿宋_GBK" w:eastAsia="方正仿宋_GBK" w:cs="方正仿宋_GBK"/>
          <w:sz w:val="28"/>
          <w:szCs w:val="28"/>
          <w:u w:val="single"/>
        </w:rPr>
        <w:t xml:space="preserve">83633316</w:t>
      </w:r>
      <w:r>
        <w:rPr>
          <w:rFonts w:hint="eastAsia" w:ascii="方正仿宋_GBK" w:hAnsi="方正仿宋_GBK" w:eastAsia="方正仿宋_GBK" w:cs="方正仿宋_GBK"/>
          <w:sz w:val="28"/>
          <w:szCs w:val="28"/>
          <w:u w:val="single"/>
        </w:rPr>
        <w:t xml:space="preserve">        </w:t>
      </w:r>
      <w:bookmarkStart w:id="51" w:name="_Toc28359086"/>
      <w:r/>
      <w:bookmarkStart w:id="52" w:name="_Toc28359009"/>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51"/>
      <w:r/>
      <w:bookmarkEnd w:id="52"/>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付钢、唐文</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025-83668520、83668519</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53" w:name="_Toc236925631"/>
      <w:r/>
      <w:bookmarkEnd w:id="49"/>
      <w:r/>
      <w:bookmarkEnd w:id="50"/>
      <w:r>
        <w:rPr>
          <w:rFonts w:hint="eastAsia" w:ascii="方正黑体_GBK" w:hAnsi="方正黑体_GBK" w:eastAsia="方正黑体_GBK" w:cs="方正黑体_GBK"/>
          <w:sz w:val="28"/>
          <w:szCs w:val="28"/>
        </w:rPr>
        <w:t xml:space="preserve">八、其他</w:t>
      </w:r>
      <w:bookmarkEnd w:id="5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ascii="Times New Roman" w:hAnsi="Times New Roman" w:eastAsia="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36925632"/>
      <w:r/>
      <w:bookmarkStart w:id="56" w:name="_Toc513029203"/>
      <w:r/>
      <w:bookmarkStart w:id="57" w:name="_Toc16938519"/>
      <w:r/>
      <w:bookmarkStart w:id="58" w:name="_Toc20823275"/>
      <w:r/>
      <w:bookmarkStart w:id="59" w:name="_Toc120614214"/>
      <w:r/>
      <w:bookmarkEnd w:id="2"/>
      <w:r/>
      <w:bookmarkEnd w:id="3"/>
      <w:r/>
      <w:bookmarkEnd w:id="4"/>
      <w:r/>
      <w:bookmarkEnd w:id="5"/>
      <w:r/>
      <w:bookmarkEnd w:id="6"/>
      <w:r>
        <w:rPr>
          <w:rFonts w:hint="eastAsia" w:ascii="方正黑体_GBK" w:hAnsi="方正黑体_GBK" w:eastAsia="方正黑体_GBK" w:cs="方正黑体_GBK"/>
          <w:sz w:val="28"/>
          <w:szCs w:val="28"/>
        </w:rPr>
        <w:t xml:space="preserve">第二章  </w:t>
      </w:r>
      <w:bookmarkEnd w:id="54"/>
      <w:r>
        <w:rPr>
          <w:rFonts w:hint="eastAsia" w:ascii="方正黑体_GBK" w:hAnsi="方正黑体_GBK" w:eastAsia="方正黑体_GBK" w:cs="方正黑体_GBK"/>
          <w:sz w:val="28"/>
          <w:szCs w:val="28"/>
        </w:rPr>
        <w:t xml:space="preserve">供应商须知</w:t>
      </w:r>
      <w:bookmarkEnd w:id="55"/>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60" w:name="_Toc236925633"/>
      <w:r/>
      <w:bookmarkStart w:id="61" w:name="_Toc120614215"/>
      <w:r/>
      <w:bookmarkStart w:id="62" w:name="_Toc513029209"/>
      <w:r/>
      <w:bookmarkStart w:id="63" w:name="_Toc16938525"/>
      <w:r/>
      <w:bookmarkStart w:id="64" w:name="_Toc20823281"/>
      <w:r/>
      <w:bookmarkEnd w:id="56"/>
      <w:r/>
      <w:bookmarkEnd w:id="57"/>
      <w:r/>
      <w:bookmarkEnd w:id="58"/>
      <w:r/>
      <w:bookmarkEnd w:id="59"/>
      <w:r>
        <w:rPr>
          <w:rFonts w:hint="eastAsia" w:ascii="方正黑体_GBK" w:hAnsi="方正黑体_GBK" w:eastAsia="方正黑体_GBK" w:cs="方正黑体_GBK"/>
          <w:sz w:val="28"/>
          <w:szCs w:val="28"/>
        </w:rPr>
        <w:t xml:space="preserve">一、总则</w:t>
      </w:r>
      <w:bookmarkEnd w:id="6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20823276"/>
      <w:r/>
      <w:bookmarkStart w:id="68" w:name="_Toc513029204"/>
      <w:r/>
      <w:bookmarkStart w:id="69" w:name="_Toc16938520"/>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.采购方式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w:t>
      </w:r>
      <w:r>
        <w:rPr>
          <w:rFonts w:hint="eastAsia" w:ascii="方正仿宋_GBK" w:hAnsi="方正仿宋_GBK" w:eastAsia="方正仿宋_GBK" w:cs="方正仿宋_GBK"/>
          <w:bCs/>
          <w:sz w:val="28"/>
          <w:szCs w:val="28"/>
        </w:rPr>
        <w:t xml:space="preserve">(以下简称磋商)</w:t>
      </w:r>
      <w:r>
        <w:rPr>
          <w:rFonts w:hint="eastAsia" w:ascii="方正仿宋_GBK" w:hAnsi="方正仿宋_GBK" w:eastAsia="方正仿宋_GBK" w:cs="方正仿宋_GBK"/>
          <w:bCs/>
          <w:sz w:val="28"/>
          <w:szCs w:val="28"/>
        </w:rPr>
        <w:t xml:space="preserve">方式，本磋商文件仅适用于磋商公告中所述项目。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513029205"/>
      <w:r/>
      <w:bookmarkStart w:id="71" w:name="_Toc20823277"/>
      <w:r/>
      <w:bookmarkStart w:id="72" w:name="_Toc16938521"/>
      <w:r>
        <w:rPr>
          <w:rFonts w:hint="eastAsia" w:ascii="方正仿宋_GBK" w:hAnsi="方正仿宋_GBK" w:eastAsia="方正仿宋_GBK" w:cs="方正仿宋_GBK"/>
          <w:bCs/>
          <w:sz w:val="28"/>
          <w:szCs w:val="28"/>
        </w:rPr>
        <w:t xml:space="preserve">2.合格的</w:t>
      </w:r>
      <w:bookmarkEnd w:id="70"/>
      <w:r/>
      <w:bookmarkEnd w:id="71"/>
      <w:r/>
      <w:bookmarkEnd w:id="72"/>
      <w:r>
        <w:rPr>
          <w:rFonts w:hint="eastAsia" w:ascii="方正仿宋_GBK" w:hAnsi="方正仿宋_GBK" w:eastAsia="方正仿宋_GBK" w:cs="方正仿宋_GBK"/>
          <w:bCs/>
          <w:sz w:val="28"/>
          <w:szCs w:val="28"/>
        </w:rPr>
        <w:t xml:space="preserve">供应商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06"/>
      <w:r/>
      <w:bookmarkStart w:id="74" w:name="_Toc20823278"/>
      <w:r/>
      <w:bookmarkStart w:id="75" w:name="_Toc16938522"/>
      <w:r/>
      <w:bookmarkStart w:id="76" w:name="_Toc20823279"/>
      <w:r/>
      <w:bookmarkStart w:id="77" w:name="_Toc462564067"/>
      <w:r/>
      <w:bookmarkStart w:id="78" w:name="_Toc513029207"/>
      <w:r/>
      <w:bookmarkStart w:id="79" w:name="_Toc16938523"/>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80" w:name="_Toc236925634"/>
      <w:r/>
      <w:bookmarkStart w:id="81" w:name="_Toc120614216"/>
      <w:r/>
      <w:bookmarkStart w:id="82" w:name="_Toc20823285"/>
      <w:r/>
      <w:bookmarkStart w:id="83" w:name="_Toc513029213"/>
      <w:r/>
      <w:bookmarkStart w:id="84" w:name="_Toc462564072"/>
      <w:r/>
      <w:bookmarkStart w:id="85" w:name="_Toc16938529"/>
      <w:r/>
      <w:bookmarkEnd w:id="61"/>
      <w:r/>
      <w:bookmarkEnd w:id="62"/>
      <w:r/>
      <w:bookmarkEnd w:id="63"/>
      <w:r/>
      <w:bookmarkEnd w:id="64"/>
      <w:r>
        <w:rPr>
          <w:rFonts w:hint="eastAsia" w:ascii="方正黑体_GBK" w:hAnsi="方正黑体_GBK" w:eastAsia="方正黑体_GBK" w:cs="方正黑体_GBK"/>
          <w:sz w:val="28"/>
          <w:szCs w:val="28"/>
        </w:rPr>
        <w:t xml:space="preserve">二、磋商文件</w:t>
      </w:r>
      <w:bookmarkEnd w:id="8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513029210"/>
      <w:r/>
      <w:bookmarkStart w:id="87" w:name="_Toc16938526"/>
      <w:r/>
      <w:bookmarkStart w:id="88" w:name="_Toc20823282"/>
      <w:r>
        <w:rPr>
          <w:rFonts w:hint="eastAsia" w:ascii="方正仿宋_GBK" w:hAnsi="方正仿宋_GBK" w:eastAsia="方正仿宋_GBK" w:cs="方正仿宋_GBK"/>
          <w:bCs/>
          <w:sz w:val="28"/>
          <w:szCs w:val="28"/>
        </w:rPr>
        <w:t xml:space="preserve">6.磋商文件构成</w:t>
      </w:r>
      <w:bookmarkEnd w:id="86"/>
      <w:r/>
      <w:bookmarkEnd w:id="87"/>
      <w:r/>
      <w:bookmarkEnd w:id="8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9" w:name="_Toc16938528"/>
      <w:r/>
      <w:bookmarkStart w:id="90" w:name="_Toc513029212"/>
      <w:r/>
      <w:bookmarkStart w:id="91" w:name="_Toc462564071"/>
      <w:r/>
      <w:bookmarkStart w:id="92" w:name="_Toc20823284"/>
      <w:r>
        <w:rPr>
          <w:rFonts w:hint="eastAsia" w:ascii="方正仿宋_GBK" w:hAnsi="方正仿宋_GBK" w:eastAsia="方正仿宋_GBK" w:cs="方正仿宋_GBK"/>
          <w:bCs/>
          <w:sz w:val="28"/>
          <w:szCs w:val="28"/>
        </w:rPr>
        <w:t xml:space="preserve">7.磋商文件的澄清和修改</w:t>
      </w:r>
      <w:bookmarkEnd w:id="89"/>
      <w:r/>
      <w:bookmarkEnd w:id="90"/>
      <w:r/>
      <w:bookmarkEnd w:id="91"/>
      <w:r/>
      <w:bookmarkEnd w:id="9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w:t>
      </w:r>
      <w:r>
        <w:rPr>
          <w:rFonts w:hint="eastAsia" w:ascii="方正仿宋_GBK" w:hAnsi="方正仿宋_GBK" w:eastAsia="方正仿宋_GBK" w:cs="方正仿宋_GBK"/>
          <w:bCs/>
          <w:sz w:val="28"/>
          <w:szCs w:val="28"/>
        </w:rPr>
        <w:t xml:space="preserve">修改,</w:t>
      </w:r>
      <w:r>
        <w:rPr>
          <w:rFonts w:hint="eastAsia" w:ascii="方正仿宋_GBK" w:hAnsi="方正仿宋_GBK" w:eastAsia="方正仿宋_GBK" w:cs="方正仿宋_GBK"/>
          <w:bCs/>
          <w:sz w:val="28"/>
          <w:szCs w:val="28"/>
        </w:rPr>
        <w:t xml:space="preserve"> 澄清或者修改的内容作为磋商文件的组成部分。澄清或者修改的内容可能影响响应文件编制的，采购中心将在提交首次响应文件截止时间至少5日前，在“江苏政府采购网”上发布书面更正公告形式通知所有获取磋商文件的</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t xml:space="preserve"> 更正公告内容将作为磋商文件的组成部分，并对供应商具有约束力。不足5日的，采购中心将顺延提交首次响应文件截止时间。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93" w:name="_Hlt26954739"/>
      <w:r/>
      <w:bookmarkStart w:id="94" w:name="_Hlt26954852"/>
      <w:r/>
      <w:bookmarkStart w:id="95" w:name="_Toc236925635"/>
      <w:r/>
      <w:bookmarkStart w:id="96" w:name="_Toc16938530"/>
      <w:r/>
      <w:bookmarkStart w:id="97" w:name="_Toc513029214"/>
      <w:r/>
      <w:bookmarkStart w:id="98" w:name="_Toc462564073"/>
      <w:r/>
      <w:bookmarkStart w:id="99" w:name="_Toc20823286"/>
      <w:r/>
      <w:bookmarkStart w:id="100" w:name="_Toc513029224"/>
      <w:r/>
      <w:bookmarkStart w:id="101" w:name="_Toc16938540"/>
      <w:r/>
      <w:bookmarkStart w:id="102" w:name="_Toc20823296"/>
      <w:r/>
      <w:bookmarkStart w:id="103" w:name="_Toc120614217"/>
      <w:r/>
      <w:bookmarkEnd w:id="81"/>
      <w:r/>
      <w:bookmarkEnd w:id="82"/>
      <w:r/>
      <w:bookmarkEnd w:id="83"/>
      <w:r/>
      <w:bookmarkEnd w:id="84"/>
      <w:r/>
      <w:bookmarkEnd w:id="85"/>
      <w:r/>
      <w:bookmarkEnd w:id="93"/>
      <w:r/>
      <w:bookmarkEnd w:id="94"/>
      <w:r>
        <w:rPr>
          <w:rFonts w:hint="eastAsia" w:ascii="方正黑体_GBK" w:hAnsi="方正黑体_GBK" w:eastAsia="方正黑体_GBK" w:cs="方正黑体_GBK"/>
          <w:sz w:val="28"/>
          <w:szCs w:val="28"/>
        </w:rPr>
        <w:t xml:space="preserve">三、响应文件的编制</w:t>
      </w:r>
      <w:bookmarkEnd w:id="9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96"/>
      <w:r/>
      <w:bookmarkEnd w:id="97"/>
      <w:r/>
      <w:bookmarkEnd w:id="98"/>
      <w:r/>
      <w:bookmarkEnd w:id="9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4" w:name="_Toc513029215"/>
      <w:r/>
      <w:bookmarkStart w:id="105" w:name="_Toc20823287"/>
      <w:r/>
      <w:bookmarkStart w:id="106" w:name="_Toc462564074"/>
      <w:r/>
      <w:bookmarkStart w:id="107" w:name="_Toc16938531"/>
      <w:r>
        <w:rPr>
          <w:rFonts w:hint="eastAsia" w:ascii="方正仿宋_GBK" w:hAnsi="方正仿宋_GBK" w:eastAsia="方正仿宋_GBK" w:cs="方正仿宋_GBK"/>
          <w:bCs/>
          <w:sz w:val="28"/>
          <w:szCs w:val="28"/>
        </w:rPr>
        <w:t xml:space="preserve">9.响应文件构成</w:t>
      </w:r>
      <w:bookmarkEnd w:id="104"/>
      <w:r/>
      <w:bookmarkEnd w:id="105"/>
      <w:r/>
      <w:bookmarkEnd w:id="106"/>
      <w:r/>
      <w:bookmarkEnd w:id="10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Hlt26670360"/>
      <w:r/>
      <w:bookmarkStart w:id="109" w:name="_Hlt26668975"/>
      <w:r/>
      <w:bookmarkStart w:id="110" w:name="_Hlt26954838"/>
      <w:r/>
      <w:bookmarkStart w:id="111" w:name="_Toc49090507"/>
      <w:r/>
      <w:bookmarkStart w:id="112" w:name="_Toc14577354"/>
      <w:r/>
      <w:bookmarkStart w:id="113" w:name="_Toc49090509"/>
      <w:r/>
      <w:bookmarkStart w:id="114" w:name="_Toc513029216"/>
      <w:r/>
      <w:bookmarkStart w:id="115" w:name="_Toc14577357"/>
      <w:r/>
      <w:bookmarkStart w:id="116" w:name="_Toc513029219"/>
      <w:r/>
      <w:bookmarkStart w:id="117" w:name="_Toc49090508"/>
      <w:r/>
      <w:bookmarkStart w:id="118" w:name="_Toc14577355"/>
      <w:r/>
      <w:bookmarkEnd w:id="108"/>
      <w:r/>
      <w:bookmarkEnd w:id="109"/>
      <w:r/>
      <w:bookmarkEnd w:id="110"/>
      <w:r>
        <w:rPr>
          <w:rFonts w:hint="eastAsia" w:ascii="方正仿宋_GBK" w:hAnsi="方正仿宋_GBK" w:eastAsia="方正仿宋_GBK" w:cs="方正仿宋_GBK"/>
          <w:bCs/>
          <w:sz w:val="28"/>
          <w:szCs w:val="28"/>
        </w:rPr>
        <w:t xml:space="preserve">10.证明磋商响应标的符合磋商文件规定的文件</w:t>
      </w:r>
      <w:bookmarkEnd w:id="111"/>
      <w:r/>
      <w:bookmarkEnd w:id="112"/>
      <w:r/>
      <w:bookmarkEnd w:id="113"/>
      <w:r/>
      <w:bookmarkEnd w:id="114"/>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17"/>
      <w:r/>
      <w:bookmarkEnd w:id="11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954731"/>
      <w:r/>
      <w:bookmarkStart w:id="120" w:name="_Hlt26954848"/>
      <w:r/>
      <w:bookmarkStart w:id="121" w:name="_Hlt26954846"/>
      <w:r/>
      <w:bookmarkStart w:id="122" w:name="_Hlt26670486"/>
      <w:r/>
      <w:bookmarkStart w:id="123" w:name="_Hlt26670482"/>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14577359"/>
      <w:r/>
      <w:bookmarkStart w:id="125" w:name="_Toc49090510"/>
      <w:r>
        <w:rPr>
          <w:rFonts w:hint="eastAsia" w:ascii="方正仿宋_GBK" w:hAnsi="方正仿宋_GBK" w:eastAsia="方正仿宋_GBK" w:cs="方正仿宋_GBK"/>
          <w:bCs/>
          <w:sz w:val="28"/>
          <w:szCs w:val="28"/>
        </w:rPr>
        <w:t xml:space="preserve">14.磋商响应函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4577360"/>
      <w:r/>
      <w:bookmarkStart w:id="127" w:name="_Toc49090511"/>
      <w:r/>
      <w:bookmarkEnd w:id="124"/>
      <w:r/>
      <w:bookmarkEnd w:id="125"/>
      <w:r>
        <w:rPr>
          <w:rFonts w:hint="eastAsia" w:ascii="方正仿宋_GBK" w:hAnsi="方正仿宋_GBK" w:eastAsia="方正仿宋_GBK" w:cs="方正仿宋_GBK"/>
          <w:bCs/>
          <w:sz w:val="28"/>
          <w:szCs w:val="28"/>
        </w:rPr>
        <w:t xml:space="preserve">15.磋商有效期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28" w:name="_Toc236925636"/>
      <w:r/>
      <w:bookmarkStart w:id="129" w:name="_Toc20823301"/>
      <w:r/>
      <w:bookmarkStart w:id="130" w:name="_Toc120614218"/>
      <w:r/>
      <w:bookmarkStart w:id="131" w:name="_Toc513029229"/>
      <w:r/>
      <w:bookmarkStart w:id="132" w:name="_Toc16938545"/>
      <w:r/>
      <w:bookmarkEnd w:id="100"/>
      <w:r/>
      <w:bookmarkEnd w:id="101"/>
      <w:r/>
      <w:bookmarkEnd w:id="102"/>
      <w:r/>
      <w:bookmarkEnd w:id="103"/>
      <w:r>
        <w:rPr>
          <w:rFonts w:hint="eastAsia" w:ascii="方正黑体_GBK" w:hAnsi="方正黑体_GBK" w:eastAsia="方正黑体_GBK" w:cs="方正黑体_GBK"/>
          <w:sz w:val="28"/>
          <w:szCs w:val="28"/>
        </w:rPr>
        <w:t xml:space="preserve">四、响应文件的递交</w:t>
      </w:r>
      <w:bookmarkEnd w:id="128"/>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3" w:name="_Toc16938541"/>
      <w:r/>
      <w:bookmarkStart w:id="134" w:name="_Toc20823297"/>
      <w:r/>
      <w:bookmarkStart w:id="135" w:name="_Toc513029225"/>
      <w:r/>
      <w:bookmarkStart w:id="136" w:name="_Toc462564084"/>
      <w:r>
        <w:rPr>
          <w:rFonts w:hint="eastAsia" w:ascii="方正仿宋_GBK" w:hAnsi="方正仿宋_GBK" w:eastAsia="方正仿宋_GBK" w:cs="方正仿宋_GBK"/>
          <w:bCs/>
          <w:sz w:val="28"/>
          <w:szCs w:val="28"/>
        </w:rPr>
        <w:t xml:space="preserve">17.电子磋商</w:t>
      </w:r>
      <w:bookmarkEnd w:id="133"/>
      <w:r/>
      <w:bookmarkEnd w:id="134"/>
      <w:r/>
      <w:bookmarkEnd w:id="135"/>
      <w:r/>
      <w:bookmarkEnd w:id="136"/>
      <w:r>
        <w:rPr>
          <w:rFonts w:hint="eastAsia" w:ascii="方正仿宋_GBK" w:hAnsi="方正仿宋_GBK" w:eastAsia="方正仿宋_GBK" w:cs="方正仿宋_GBK"/>
          <w:bCs/>
          <w:sz w:val="28"/>
          <w:szCs w:val="28"/>
        </w:rPr>
        <w:t xml:space="preserve">响应文件的递交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37" w:name="_Toc513029226"/>
      <w:r/>
      <w:bookmarkStart w:id="138" w:name="_Toc16938542"/>
      <w:r/>
      <w:bookmarkStart w:id="139" w:name="_Toc2082329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37"/>
      <w:r/>
      <w:bookmarkEnd w:id="138"/>
      <w:r/>
      <w:bookmarkEnd w:id="13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513029227"/>
      <w:r/>
      <w:bookmarkStart w:id="141" w:name="_Toc16938543"/>
      <w:r/>
      <w:bookmarkStart w:id="142" w:name="_Toc20823299"/>
      <w:r>
        <w:rPr>
          <w:rFonts w:hint="eastAsia" w:ascii="方正仿宋_GBK" w:hAnsi="方正仿宋_GBK" w:eastAsia="方正仿宋_GBK" w:cs="方正仿宋_GBK"/>
          <w:bCs/>
          <w:sz w:val="28"/>
          <w:szCs w:val="28"/>
        </w:rPr>
        <w:t xml:space="preserve">19.响应文件</w:t>
      </w:r>
      <w:bookmarkEnd w:id="140"/>
      <w:r/>
      <w:bookmarkEnd w:id="141"/>
      <w:r/>
      <w:bookmarkEnd w:id="142"/>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3" w:name="_Toc513029228"/>
      <w:r/>
      <w:bookmarkStart w:id="144" w:name="_Toc16938544"/>
      <w:r/>
      <w:bookmarkStart w:id="145" w:name="_Toc20823300"/>
      <w:r>
        <w:rPr>
          <w:rFonts w:hint="eastAsia" w:ascii="方正仿宋_GBK" w:hAnsi="方正仿宋_GBK" w:eastAsia="方正仿宋_GBK" w:cs="方正仿宋_GBK"/>
          <w:bCs/>
          <w:sz w:val="28"/>
          <w:szCs w:val="28"/>
        </w:rPr>
        <w:t xml:space="preserve">20.响应文件的撤回和修改</w:t>
      </w:r>
      <w:bookmarkEnd w:id="143"/>
      <w:r/>
      <w:bookmarkEnd w:id="144"/>
      <w:r/>
      <w:bookmarkEnd w:id="14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236925637"/>
      <w:r>
        <w:rPr>
          <w:rFonts w:hint="eastAsia" w:ascii="方正黑体_GBK" w:hAnsi="方正黑体_GBK" w:eastAsia="方正黑体_GBK" w:cs="方正黑体_GBK"/>
          <w:sz w:val="28"/>
          <w:szCs w:val="28"/>
        </w:rPr>
        <w:t xml:space="preserve">五、响应文件的解密与评审</w:t>
      </w:r>
      <w:bookmarkEnd w:id="129"/>
      <w:r/>
      <w:bookmarkEnd w:id="130"/>
      <w:r/>
      <w:bookmarkEnd w:id="131"/>
      <w:r/>
      <w:bookmarkEnd w:id="132"/>
      <w:r/>
      <w:bookmarkEnd w:id="146"/>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16938546"/>
      <w:r/>
      <w:bookmarkStart w:id="148" w:name="_Toc513029230"/>
      <w:r/>
      <w:bookmarkStart w:id="149" w:name="_Toc20823302"/>
      <w:r/>
      <w:bookmarkStart w:id="150" w:name="_Toc20823304"/>
      <w:r/>
      <w:bookmarkStart w:id="151" w:name="_Toc16938548"/>
      <w:r/>
      <w:bookmarkStart w:id="152" w:name="_Toc513029232"/>
      <w:r>
        <w:rPr>
          <w:rFonts w:hint="eastAsia" w:ascii="方正仿宋_GBK" w:hAnsi="方正仿宋_GBK" w:eastAsia="方正仿宋_GBK" w:cs="方正仿宋_GBK"/>
          <w:bCs/>
          <w:sz w:val="28"/>
          <w:szCs w:val="28"/>
        </w:rPr>
        <w:t xml:space="preserve">21</w:t>
      </w:r>
      <w:bookmarkEnd w:id="147"/>
      <w:r/>
      <w:bookmarkEnd w:id="148"/>
      <w:r/>
      <w:bookmarkEnd w:id="149"/>
      <w:r>
        <w:rPr>
          <w:rFonts w:hint="eastAsia" w:ascii="方正仿宋_GBK" w:hAnsi="方正仿宋_GBK" w:eastAsia="方正仿宋_GBK" w:cs="方正仿宋_GBK"/>
          <w:bCs/>
          <w:sz w:val="28"/>
          <w:szCs w:val="28"/>
        </w:rPr>
        <w:t xml:space="preserve">.响应文件解密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20823303"/>
      <w:r/>
      <w:bookmarkStart w:id="154" w:name="_Toc513029231"/>
      <w:r/>
      <w:bookmarkStart w:id="155" w:name="_Toc16938547"/>
      <w:r>
        <w:rPr>
          <w:rFonts w:hint="eastAsia" w:ascii="方正仿宋_GBK" w:hAnsi="方正仿宋_GBK" w:eastAsia="方正仿宋_GBK" w:cs="方正仿宋_GBK"/>
          <w:bCs/>
          <w:sz w:val="28"/>
          <w:szCs w:val="28"/>
        </w:rPr>
        <w:t xml:space="preserve">22.磋商小组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20823305"/>
      <w:r/>
      <w:bookmarkStart w:id="157" w:name="_Toc513029233"/>
      <w:r/>
      <w:bookmarkStart w:id="158" w:name="_Toc16938549"/>
      <w:r/>
      <w:bookmarkEnd w:id="150"/>
      <w:r/>
      <w:bookmarkEnd w:id="151"/>
      <w:r/>
      <w:bookmarkEnd w:id="152"/>
      <w:r>
        <w:rPr>
          <w:rFonts w:hint="eastAsia" w:ascii="方正仿宋_GBK" w:hAnsi="方正仿宋_GBK" w:eastAsia="方正仿宋_GBK" w:cs="方正仿宋_GBK"/>
          <w:bCs/>
          <w:sz w:val="28"/>
          <w:szCs w:val="28"/>
        </w:rPr>
        <w:t xml:space="preserve">24.评审过程中</w:t>
      </w:r>
      <w:r>
        <w:rPr>
          <w:rFonts w:hint="eastAsia" w:ascii="方正仿宋_GBK" w:hAnsi="方正仿宋_GBK" w:eastAsia="方正仿宋_GBK" w:cs="方正仿宋_GBK"/>
          <w:bCs/>
          <w:sz w:val="28"/>
          <w:szCs w:val="28"/>
        </w:rPr>
        <w:t xml:space="preserve">的的</w:t>
      </w:r>
      <w:r>
        <w:rPr>
          <w:rFonts w:hint="eastAsia" w:ascii="方正仿宋_GBK" w:hAnsi="方正仿宋_GBK" w:eastAsia="方正仿宋_GBK" w:cs="方正仿宋_GBK"/>
          <w:bCs/>
          <w:sz w:val="28"/>
          <w:szCs w:val="28"/>
        </w:rPr>
        <w:t xml:space="preserve">澄清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25.对响应文件的审</w:t>
      </w:r>
      <w:bookmarkEnd w:id="156"/>
      <w:r/>
      <w:bookmarkEnd w:id="157"/>
      <w:r/>
      <w:bookmarkEnd w:id="158"/>
      <w:r>
        <w:rPr>
          <w:rFonts w:hint="eastAsia" w:ascii="方正仿宋_GBK" w:hAnsi="方正仿宋_GBK" w:eastAsia="方正仿宋_GBK" w:cs="方正仿宋_GBK"/>
          <w:bCs/>
          <w:sz w:val="28"/>
          <w:szCs w:val="28"/>
        </w:rPr>
        <w:t xml:space="preserve">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w:t>
      </w:r>
      <w:r>
        <w:rPr>
          <w:rFonts w:hint="eastAsia" w:ascii="方正仿宋_GBK" w:hAnsi="方正仿宋_GBK" w:eastAsia="方正仿宋_GBK" w:cs="方正仿宋_GBK"/>
          <w:bCs/>
          <w:sz w:val="28"/>
          <w:szCs w:val="28"/>
        </w:rPr>
        <w:t xml:space="preserve">加磋商的资格。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w:t>
      </w:r>
      <w:r>
        <w:rPr>
          <w:rFonts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w:t>
      </w:r>
      <w:r>
        <w:rPr>
          <w:rFonts w:hint="eastAsia" w:ascii="方正仿宋_GBK" w:hAnsi="方正仿宋_GBK" w:eastAsia="方正仿宋_GBK" w:cs="方正仿宋_GBK"/>
          <w:bCs/>
          <w:sz w:val="28"/>
          <w:szCs w:val="28"/>
        </w:rPr>
        <w:t xml:space="preserve">8-2）</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p>
    <w:p>
      <w:pPr>
        <w:ind w:firstLine="560"/>
        <w:spacing w:line="400" w:lineRule="exact"/>
        <w:rPr>
          <w:rFonts w:hint="eastAsia" w:ascii="方正仿宋_GBK" w:hAnsi="方正仿宋_GBK" w:eastAsia="方正仿宋_GBK" w:cs="方正仿宋_GBK"/>
          <w:sz w:val="28"/>
          <w:szCs w:val="28"/>
        </w:rPr>
      </w:pPr>
      <w:r/>
      <w:bookmarkStart w:id="159" w:name="_Toc20823306"/>
      <w:r/>
      <w:bookmarkStart w:id="160" w:name="_Toc513029234"/>
      <w:r/>
      <w:bookmarkStart w:id="161"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spacing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26</w:t>
      </w:r>
      <w:bookmarkEnd w:id="159"/>
      <w:r/>
      <w:bookmarkEnd w:id="160"/>
      <w:r/>
      <w:bookmarkEnd w:id="161"/>
      <w:r>
        <w:rPr>
          <w:rFonts w:hint="eastAsia" w:ascii="方正仿宋_GBK" w:hAnsi="方正仿宋_GBK" w:eastAsia="方正仿宋_GBK" w:cs="方正仿宋_GBK"/>
          <w:bCs/>
          <w:sz w:val="28"/>
          <w:szCs w:val="28"/>
        </w:rPr>
        <w:t xml:space="preserve">.磋商程序及评审方法与评审标准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w:t>
      </w:r>
      <w:r>
        <w:rPr>
          <w:rFonts w:hint="eastAsia" w:ascii="方正仿宋_GBK" w:hAnsi="方正仿宋_GBK" w:eastAsia="方正仿宋_GBK" w:cs="方正仿宋_GBK"/>
          <w:sz w:val="28"/>
          <w:szCs w:val="28"/>
        </w:rPr>
        <w:t xml:space="preserve">的供应商在规定时间内提交最后报价。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w:t>
      </w:r>
      <w:r>
        <w:rPr>
          <w:rFonts w:hint="eastAsia" w:ascii="方正仿宋_GBK" w:hAnsi="方正仿宋_GBK" w:eastAsia="方正仿宋_GBK" w:cs="方正仿宋_GBK"/>
          <w:sz w:val="28"/>
          <w:szCs w:val="28"/>
        </w:rPr>
        <w:t xml:space="preserve">公章,</w:t>
      </w:r>
      <w:r>
        <w:rPr>
          <w:rFonts w:hint="eastAsia" w:ascii="方正仿宋_GBK" w:hAnsi="方正仿宋_GBK" w:eastAsia="方正仿宋_GBK" w:cs="方正仿宋_GBK"/>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w:t>
      </w:r>
      <w:r>
        <w:rPr>
          <w:rFonts w:hint="eastAsia" w:ascii="方正仿宋_GBK" w:hAnsi="方正仿宋_GBK" w:eastAsia="方正仿宋_GBK" w:cs="方正仿宋_GBK"/>
          <w:sz w:val="28"/>
          <w:szCs w:val="28"/>
        </w:rPr>
        <w:t xml:space="preserve">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62" w:name="_Toc120614219"/>
      <w:r/>
      <w:bookmarkStart w:id="163" w:name="_Toc16938551"/>
      <w:r/>
      <w:bookmarkStart w:id="164" w:name="_Toc20823307"/>
      <w:r/>
      <w:bookmarkStart w:id="165" w:name="_Toc513029235"/>
      <w:r/>
      <w:bookmarkStart w:id="166" w:name="_Toc236925638"/>
      <w:r>
        <w:rPr>
          <w:rFonts w:hint="eastAsia" w:ascii="方正黑体_GBK" w:hAnsi="方正黑体_GBK" w:eastAsia="方正黑体_GBK" w:cs="方正黑体_GBK"/>
          <w:sz w:val="28"/>
          <w:szCs w:val="28"/>
        </w:rPr>
        <w:t xml:space="preserve">六、</w:t>
      </w:r>
      <w:bookmarkEnd w:id="162"/>
      <w:r/>
      <w:bookmarkEnd w:id="163"/>
      <w:r/>
      <w:bookmarkEnd w:id="164"/>
      <w:r/>
      <w:bookmarkEnd w:id="165"/>
      <w:r>
        <w:rPr>
          <w:rFonts w:hint="eastAsia" w:ascii="方正黑体_GBK" w:hAnsi="方正黑体_GBK" w:eastAsia="方正黑体_GBK" w:cs="方正黑体_GBK"/>
          <w:sz w:val="28"/>
          <w:szCs w:val="28"/>
        </w:rPr>
        <w:t xml:space="preserve">成交</w:t>
      </w:r>
      <w:bookmarkEnd w:id="166"/>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67" w:name="_Toc513029238"/>
      <w:r/>
      <w:bookmarkStart w:id="168" w:name="_Toc16938554"/>
      <w:r/>
      <w:bookmarkStart w:id="169" w:name="_Toc20823310"/>
      <w:r>
        <w:rPr>
          <w:rFonts w:hint="eastAsia" w:ascii="方正仿宋_GBK" w:hAnsi="方正仿宋_GBK" w:eastAsia="方正仿宋_GBK" w:cs="方正仿宋_GBK"/>
          <w:sz w:val="28"/>
          <w:szCs w:val="28"/>
        </w:rPr>
        <w:t xml:space="preserve">27</w:t>
      </w:r>
      <w:bookmarkEnd w:id="167"/>
      <w:r>
        <w:rPr>
          <w:rFonts w:hint="eastAsia" w:ascii="方正仿宋_GBK" w:hAnsi="方正仿宋_GBK" w:eastAsia="方正仿宋_GBK" w:cs="方正仿宋_GBK"/>
          <w:sz w:val="28"/>
          <w:szCs w:val="28"/>
        </w:rPr>
        <w:t xml:space="preserve">.确定</w:t>
      </w:r>
      <w:bookmarkEnd w:id="168"/>
      <w:r/>
      <w:bookmarkEnd w:id="169"/>
      <w:r>
        <w:rPr>
          <w:rFonts w:hint="eastAsia" w:ascii="方正仿宋_GBK" w:hAnsi="方正仿宋_GBK" w:eastAsia="方正仿宋_GBK" w:cs="方正仿宋_GBK"/>
          <w:sz w:val="28"/>
          <w:szCs w:val="28"/>
        </w:rPr>
        <w:t xml:space="preserve">成交单位</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0" w:name="_Toc200451960"/>
      <w:r>
        <w:rPr>
          <w:rFonts w:hint="eastAsia" w:ascii="方正仿宋_GBK" w:hAnsi="方正仿宋_GBK" w:eastAsia="方正仿宋_GBK" w:cs="方正仿宋_GBK"/>
          <w:bCs/>
          <w:sz w:val="28"/>
          <w:szCs w:val="28"/>
        </w:rPr>
        <w:t xml:space="preserve">28.质疑处理</w:t>
      </w:r>
      <w:bookmarkEnd w:id="170"/>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w:t>
      </w:r>
      <w:r>
        <w:rPr>
          <w:rFonts w:hint="eastAsia" w:ascii="方正仿宋_GBK" w:hAnsi="方正仿宋_GBK" w:eastAsia="方正仿宋_GBK" w:cs="方正仿宋_GBK"/>
          <w:sz w:val="28"/>
          <w:szCs w:val="28"/>
        </w:rPr>
        <w:t xml:space="preserve">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t xml:space="preserve">　　28.2.3对成交结果提出质疑的，为成交结果公告期限届满之日。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1" w:name="_Toc120614220"/>
      <w:r/>
      <w:bookmarkStart w:id="172" w:name="_Toc16938552"/>
      <w:r/>
      <w:bookmarkStart w:id="173" w:name="_Toc513029236"/>
      <w:r/>
      <w:bookmarkStart w:id="174" w:name="_Toc20823308"/>
      <w:r>
        <w:rPr>
          <w:rFonts w:hint="eastAsia" w:ascii="方正仿宋_GBK" w:hAnsi="方正仿宋_GBK" w:eastAsia="方正仿宋_GBK" w:cs="方正仿宋_GBK"/>
          <w:bCs/>
          <w:sz w:val="28"/>
          <w:szCs w:val="28"/>
        </w:rPr>
        <w:t xml:space="preserve">29.成交通知书</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w:t>
      </w:r>
      <w:r>
        <w:rPr>
          <w:rFonts w:hint="eastAsia" w:ascii="方正仿宋_GBK" w:hAnsi="方正仿宋_GBK" w:eastAsia="方正仿宋_GBK" w:cs="方正仿宋_GBK"/>
          <w:bCs/>
          <w:sz w:val="28"/>
          <w:szCs w:val="28"/>
        </w:rPr>
        <w:t xml:space="preserve">日内,</w:t>
      </w:r>
      <w:r>
        <w:rPr>
          <w:rFonts w:hint="eastAsia" w:ascii="方正仿宋_GBK" w:hAnsi="方正仿宋_GBK" w:eastAsia="方正仿宋_GBK" w:cs="方正仿宋_GBK"/>
          <w:bCs/>
          <w:sz w:val="28"/>
          <w:szCs w:val="28"/>
        </w:rPr>
        <w:t xml:space="preserve">使用CA数字证书登录苏采云系统及时下载成交通知书。因系统存储空间有限，自成交结果公告届满之日起30日后，苏采云系统不再保证提供下载成交通知书</w:t>
      </w:r>
      <w:r>
        <w:rPr>
          <w:rFonts w:hint="eastAsia" w:ascii="方正仿宋_GBK" w:hAnsi="方正仿宋_GBK" w:eastAsia="方正仿宋_GBK" w:cs="方正仿宋_GBK"/>
          <w:bCs/>
          <w:sz w:val="28"/>
          <w:szCs w:val="28"/>
        </w:rPr>
        <w:t xml:space="preserve">服务,</w:t>
      </w:r>
      <w:r>
        <w:rPr>
          <w:rFonts w:hint="eastAsia" w:ascii="方正仿宋_GBK" w:hAnsi="方正仿宋_GBK" w:eastAsia="方正仿宋_GBK" w:cs="方正仿宋_GBK"/>
          <w:bCs/>
          <w:sz w:val="28"/>
          <w:szCs w:val="28"/>
        </w:rPr>
        <w:t xml:space="preserve">因未及时下载而造成的不利后果由成交供应商自行承担。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75" w:name="_Toc236925639"/>
      <w:r/>
      <w:bookmarkStart w:id="176" w:name="_Toc16938558"/>
      <w:r/>
      <w:bookmarkStart w:id="177" w:name="_Toc120614221"/>
      <w:r/>
      <w:bookmarkStart w:id="178" w:name="_Toc479757207"/>
      <w:r/>
      <w:bookmarkStart w:id="179" w:name="_Toc513029242"/>
      <w:r/>
      <w:bookmarkStart w:id="180" w:name="_Toc20823314"/>
      <w:r/>
      <w:bookmarkEnd w:id="171"/>
      <w:r/>
      <w:bookmarkEnd w:id="172"/>
      <w:r/>
      <w:bookmarkEnd w:id="173"/>
      <w:r/>
      <w:bookmarkEnd w:id="174"/>
      <w:r>
        <w:rPr>
          <w:rFonts w:hint="eastAsia" w:ascii="方正黑体_GBK" w:hAnsi="方正黑体_GBK" w:eastAsia="方正黑体_GBK" w:cs="方正黑体_GBK"/>
          <w:sz w:val="28"/>
          <w:szCs w:val="28"/>
        </w:rPr>
        <w:t xml:space="preserve">七、授予合同</w:t>
      </w:r>
      <w:bookmarkEnd w:id="175"/>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81" w:name="_Toc513029237"/>
      <w:r/>
      <w:bookmarkStart w:id="182" w:name="_Toc20823309"/>
      <w:r/>
      <w:bookmarkStart w:id="183" w:name="_Toc16938553"/>
      <w:r>
        <w:rPr>
          <w:rFonts w:hint="eastAsia" w:ascii="方正仿宋_GBK" w:hAnsi="方正仿宋_GBK" w:eastAsia="方正仿宋_GBK" w:cs="方正仿宋_GBK"/>
          <w:bCs/>
          <w:sz w:val="28"/>
          <w:szCs w:val="28"/>
        </w:rPr>
        <w:t xml:space="preserve">30.签订合同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w:t>
      </w:r>
      <w:r>
        <w:rPr>
          <w:rFonts w:hint="eastAsia" w:ascii="方正仿宋_GBK" w:hAnsi="方正仿宋_GBK" w:eastAsia="方正仿宋_GBK" w:cs="方正仿宋_GBK"/>
          <w:bCs/>
          <w:sz w:val="28"/>
          <w:szCs w:val="28"/>
        </w:rPr>
        <w:t xml:space="preserve">合同,</w:t>
      </w:r>
      <w:r>
        <w:rPr>
          <w:rFonts w:hint="eastAsia" w:ascii="方正仿宋_GBK" w:hAnsi="方正仿宋_GBK" w:eastAsia="方正仿宋_GBK" w:cs="方正仿宋_GBK"/>
          <w:bCs/>
          <w:sz w:val="28"/>
          <w:szCs w:val="28"/>
        </w:rPr>
        <w:t xml:space="preserve">否则采购人有权终止合同。转包或分包造成采购人损失的，成交供应商应承担相应赔偿责任。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81"/>
      <w:r/>
      <w:bookmarkEnd w:id="182"/>
      <w:r/>
      <w:bookmarkEnd w:id="18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32.政府采购履约资金扶持政策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r/>
      <w:r/>
    </w:p>
    <w:p>
      <w:pPr>
        <w:jc w:val="left"/>
        <w:widowControl/>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keepNext/>
        <w:spacing w:line="400" w:lineRule="exact"/>
        <w:rPr>
          <w:rFonts w:hint="eastAsia" w:ascii="方正黑体_GBK" w:hAnsi="方正黑体_GBK" w:eastAsia="方正黑体_GBK" w:cs="方正黑体_GBK"/>
          <w:sz w:val="28"/>
          <w:szCs w:val="28"/>
        </w:rPr>
        <w:outlineLvl w:val="0"/>
      </w:pPr>
      <w:r/>
      <w:bookmarkStart w:id="184" w:name="_Toc236925640"/>
      <w:r>
        <w:rPr>
          <w:rFonts w:hint="eastAsia" w:ascii="方正黑体_GBK" w:hAnsi="方正黑体_GBK" w:eastAsia="方正黑体_GBK" w:cs="方正黑体_GBK"/>
          <w:sz w:val="28"/>
          <w:szCs w:val="28"/>
        </w:rPr>
        <w:t xml:space="preserve">第三章  合同</w:t>
      </w:r>
      <w:bookmarkEnd w:id="176"/>
      <w:r/>
      <w:bookmarkEnd w:id="177"/>
      <w:r/>
      <w:bookmarkEnd w:id="178"/>
      <w:r/>
      <w:bookmarkEnd w:id="179"/>
      <w:r/>
      <w:bookmarkEnd w:id="180"/>
      <w:r>
        <w:rPr>
          <w:rFonts w:hint="eastAsia" w:ascii="方正黑体_GBK" w:hAnsi="方正黑体_GBK" w:eastAsia="方正黑体_GBK" w:cs="方正黑体_GBK"/>
          <w:sz w:val="28"/>
          <w:szCs w:val="28"/>
        </w:rPr>
        <w:t xml:space="preserve">文本</w:t>
      </w:r>
      <w:bookmarkEnd w:id="184"/>
      <w:r/>
      <w:r/>
    </w:p>
    <w:p>
      <w:pPr>
        <w:pStyle w:val="755"/>
        <w:jc w:val="center"/>
        <w:spacing w:line="400" w:lineRule="exact"/>
        <w:rPr>
          <w:rFonts w:hint="eastAsia" w:ascii="方正黑体_GBK" w:hAnsi="方正黑体_GBK" w:eastAsia="方正黑体_GBK" w:cs="方正黑体_GBK"/>
          <w:spacing w:val="-20"/>
        </w:rPr>
      </w:pPr>
      <w:r/>
      <w:bookmarkStart w:id="185" w:name="_Toc20823315"/>
      <w:r/>
      <w:bookmarkStart w:id="186" w:name="_Toc513029243"/>
      <w:r/>
      <w:bookmarkStart w:id="187" w:name="_Toc16938559"/>
      <w:r>
        <w:rPr>
          <w:rFonts w:hint="eastAsia" w:ascii="方正黑体_GBK" w:hAnsi="方正黑体_GBK" w:eastAsia="方正黑体_GBK" w:cs="方正黑体_GBK"/>
          <w:spacing w:val="-20"/>
        </w:rPr>
        <w:t xml:space="preserve">江苏省政府采购合同（服务）（合同编号）</w:t>
      </w:r>
      <w:r/>
    </w:p>
    <w:p>
      <w:pPr>
        <w:spacing w:line="400" w:lineRule="exact"/>
        <w:rPr>
          <w:rFonts w:hint="eastAsia" w:ascii="宋体" w:hAnsi="宋体"/>
          <w:bCs/>
          <w:sz w:val="28"/>
          <w:szCs w:val="28"/>
        </w:rPr>
      </w:pPr>
      <w:r>
        <w:rPr>
          <w:rFonts w:hint="eastAsia" w:ascii="宋体" w:hAnsi="宋体"/>
          <w:bCs/>
          <w:sz w:val="28"/>
          <w:szCs w:val="28"/>
        </w:rPr>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p>
    <w:p>
      <w:pPr>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项目经办人应提醒采购人注意，采购项目涉及采购标的的知识产权归属、处理的，如订购、设计、定制开发的信息化建设项目等，应当约定知识产权的归属和处理方式。磋商文件采购人确认后正式发布前删除该备注）。</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1：根据江苏省财政厅《关于开展政府采购货物和服务采购项目违规收取质量保证金清理工作的通知》第一条规定，项目收取履约保证金的，采购人应当在采购合同中约定退还履约保证金的方式、时间、条件和不予退还的情形，明确逾期退还履约保证金的违约责任。政府采购货物和服务采购项目不得收取质量保证金，也不得将已收取的履约保证金转为质量保证金。磋商文件定稿后该备注删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2：如果项目收取履约保证金，支持和鼓励成交供应商自愿使用履约保函（保险）代替缴纳履约保证金，具体详见《关于在全省政府采购领域推行电子履约保函（保险）的通知》（苏财购〔2023〕150号）规定。磋商文件定稿后该备注删除。）</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或7.2 乙方应当按照响应文件中提供的分包意向协议履行合同。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（备注：请项目经办人与采购人确定采用哪种说法。磋商文件定稿后该备注删除）</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w:t>
      </w:r>
      <w:r>
        <w:rPr>
          <w:rFonts w:hint="eastAsia" w:ascii="方正仿宋_GBK" w:hAnsi="方正仿宋_GBK" w:eastAsia="方正仿宋_GBK" w:cs="方正仿宋_GBK"/>
          <w:bCs/>
          <w:sz w:val="28"/>
          <w:szCs w:val="28"/>
        </w:rPr>
        <w:t xml:space="preserve">预付款  支付时间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w:t>
      </w:r>
      <w:r>
        <w:rPr>
          <w:rFonts w:hint="eastAsia" w:ascii="方正仿宋_GBK" w:hAnsi="方正仿宋_GBK" w:eastAsia="方正仿宋_GBK" w:cs="方正仿宋_GBK"/>
          <w:bCs/>
          <w:sz w:val="28"/>
          <w:szCs w:val="28"/>
        </w:rPr>
        <w:t xml:space="preserve">尾款  支付时间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1：根据《关于进一步提高政府采购透明度和采购效率相关事项的通知》（财办库〔2023〕243号）规定，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磋商文件定稿后该备注删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(备注</w:t>
      </w:r>
      <w:r>
        <w:rPr>
          <w:rFonts w:hint="eastAsia" w:ascii="方正仿宋_GBK" w:hAnsi="方正仿宋_GBK" w:eastAsia="方正仿宋_GBK" w:cs="方正仿宋_GBK"/>
          <w:bCs/>
          <w:sz w:val="28"/>
          <w:szCs w:val="28"/>
        </w:rPr>
        <w:t xml:space="preserve">2:项目经办人可根据项目具体情况自行调整。磋商文件定稿后该备注删除</w:t>
      </w:r>
      <w:r>
        <w:rPr>
          <w:rFonts w:hint="eastAsia" w:ascii="方正仿宋_GBK" w:hAnsi="方正仿宋_GBK" w:eastAsia="方正仿宋_GBK" w:cs="方正仿宋_GBK"/>
          <w:bCs/>
          <w:sz w:val="28"/>
          <w:szCs w:val="28"/>
        </w:rPr>
        <w:t xml:space="preserve">。)</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w:t>
      </w:r>
      <w:r>
        <w:rPr>
          <w:rFonts w:hint="eastAsia" w:ascii="方正仿宋_GBK" w:hAnsi="方正仿宋_GBK" w:eastAsia="方正仿宋_GBK" w:cs="方正仿宋_GBK"/>
          <w:bCs/>
          <w:sz w:val="28"/>
          <w:szCs w:val="28"/>
        </w:rPr>
        <w:t xml:space="preserve">行验收。乙方应根据验收方案内容做好相应配合工作。</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w:t>
      </w:r>
      <w:r>
        <w:rPr>
          <w:rFonts w:hint="eastAsia" w:ascii="方正仿宋_GBK" w:hAnsi="方正仿宋_GBK" w:eastAsia="方正仿宋_GBK" w:cs="方正仿宋_GBK"/>
          <w:bCs/>
          <w:sz w:val="28"/>
          <w:szCs w:val="28"/>
        </w:rPr>
        <w:t xml:space="preserve">时,</w:t>
      </w:r>
      <w:r>
        <w:rPr>
          <w:rFonts w:hint="eastAsia" w:ascii="方正仿宋_GBK" w:hAnsi="方正仿宋_GBK" w:eastAsia="方正仿宋_GBK" w:cs="方正仿宋_GBK"/>
          <w:bCs/>
          <w:sz w:val="28"/>
          <w:szCs w:val="28"/>
        </w:rPr>
        <w:t xml:space="preserve">甲方按照采购合同的约定对每一项技术、服务、安全标准的履约情况进行确认。验收结束</w:t>
      </w:r>
      <w:r>
        <w:rPr>
          <w:rFonts w:hint="eastAsia" w:ascii="方正仿宋_GBK" w:hAnsi="方正仿宋_GBK" w:eastAsia="方正仿宋_GBK" w:cs="方正仿宋_GBK"/>
          <w:bCs/>
          <w:sz w:val="28"/>
          <w:szCs w:val="28"/>
        </w:rPr>
        <w:t xml:space="preserve">后,</w:t>
      </w:r>
      <w:r>
        <w:rPr>
          <w:rFonts w:hint="eastAsia" w:ascii="方正仿宋_GBK" w:hAnsi="方正仿宋_GBK" w:eastAsia="方正仿宋_GBK" w:cs="方正仿宋_GBK"/>
          <w:bCs/>
          <w:sz w:val="28"/>
          <w:szCs w:val="28"/>
        </w:rPr>
        <w:t xml:space="preserve">验收小组出具验收</w:t>
      </w:r>
      <w:r>
        <w:rPr>
          <w:rFonts w:hint="eastAsia" w:ascii="方正仿宋_GBK" w:hAnsi="方正仿宋_GBK" w:eastAsia="方正仿宋_GBK" w:cs="方正仿宋_GBK"/>
          <w:bCs/>
          <w:sz w:val="28"/>
          <w:szCs w:val="28"/>
        </w:rPr>
        <w:t xml:space="preserve">书,</w:t>
      </w:r>
      <w:r>
        <w:rPr>
          <w:rFonts w:hint="eastAsia" w:ascii="方正仿宋_GBK" w:hAnsi="方正仿宋_GBK" w:eastAsia="方正仿宋_GBK" w:cs="方正仿宋_GBK"/>
          <w:bCs/>
          <w:sz w:val="28"/>
          <w:szCs w:val="28"/>
        </w:rPr>
        <w:t xml:space="preserve">列明各项标准的验收情况及项目总体</w:t>
      </w:r>
      <w:r>
        <w:rPr>
          <w:rFonts w:hint="eastAsia" w:ascii="方正仿宋_GBK" w:hAnsi="方正仿宋_GBK" w:eastAsia="方正仿宋_GBK" w:cs="方正仿宋_GBK"/>
          <w:bCs/>
          <w:sz w:val="28"/>
          <w:szCs w:val="28"/>
        </w:rPr>
        <w:t xml:space="preserve">评价,</w:t>
      </w:r>
      <w:r>
        <w:rPr>
          <w:rFonts w:hint="eastAsia" w:ascii="方正仿宋_GBK" w:hAnsi="方正仿宋_GBK" w:eastAsia="方正仿宋_GBK" w:cs="方正仿宋_GBK"/>
          <w:bCs/>
          <w:sz w:val="28"/>
          <w:szCs w:val="28"/>
        </w:rPr>
        <w:t xml:space="preserve">由验收双方共同签署。验收结果与采购合同约定的资金支付及履约保证金返还条件挂钩。履约验收的各项资料存档备查。</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w:t>
      </w:r>
      <w:r>
        <w:rPr>
          <w:rFonts w:hint="eastAsia" w:ascii="方正仿宋_GBK" w:hAnsi="方正仿宋_GBK" w:eastAsia="方正仿宋_GBK" w:cs="方正仿宋_GBK"/>
          <w:bCs/>
          <w:sz w:val="28"/>
          <w:szCs w:val="28"/>
        </w:rPr>
        <w:t xml:space="preserve">项目,</w:t>
      </w:r>
      <w:r>
        <w:rPr>
          <w:rFonts w:hint="eastAsia" w:ascii="方正仿宋_GBK" w:hAnsi="方正仿宋_GBK" w:eastAsia="方正仿宋_GBK" w:cs="方正仿宋_GBK"/>
          <w:bCs/>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甲方将及时报告本级财政部门。</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w:t>
      </w:r>
      <w:r>
        <w:rPr>
          <w:rFonts w:hint="eastAsia" w:ascii="方正仿宋_GBK" w:hAnsi="方正仿宋_GBK" w:eastAsia="方正仿宋_GBK" w:cs="方正仿宋_GBK"/>
          <w:bCs/>
          <w:sz w:val="28"/>
          <w:szCs w:val="28"/>
        </w:rPr>
        <w:t xml:space="preserve">合同，则合同履行期可延长，其延长期与不可抗力影响 期相同。</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p>
    <w:p>
      <w:pPr>
        <w:pStyle w:val="76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p>
    <w:p>
      <w:pPr>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p>
    <w:p>
      <w:pPr>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ind w:firstLine="480"/>
        <w:jc w:val="right"/>
        <w:spacing w:line="500" w:lineRule="exact"/>
        <w:rPr>
          <w:rFonts w:ascii="Times New Roman" w:hAnsi="Times New Roman"/>
          <w:sz w:val="24"/>
          <w:szCs w:val="24"/>
        </w:rPr>
      </w:pPr>
      <w:r>
        <w:rPr>
          <w:rFonts w:ascii="Times New Roman" w:hAnsi="Times New Roman"/>
          <w:sz w:val="24"/>
          <w:szCs w:val="24"/>
        </w:rPr>
      </w:r>
      <w:r/>
    </w:p>
    <w:p>
      <w:pPr>
        <w:jc w:val="left"/>
        <w:widowControl/>
        <w:rPr>
          <w:rFonts w:hint="eastAsia" w:ascii="方正黑体_GBK" w:hAnsi="方正黑体_GBK" w:eastAsia="方正黑体_GBK" w:cs="方正黑体_GBK"/>
          <w:sz w:val="28"/>
          <w:szCs w:val="28"/>
        </w:rPr>
      </w:pPr>
      <w:r>
        <w:rPr>
          <w:rFonts w:ascii="Times New Roman" w:hAnsi="Times New Roman"/>
          <w:sz w:val="24"/>
          <w:szCs w:val="24"/>
        </w:rPr>
        <w:br w:type="page" w:clear="all"/>
      </w:r>
      <w:r/>
    </w:p>
    <w:p>
      <w:pPr>
        <w:jc w:val="center"/>
        <w:keepNext/>
        <w:spacing w:line="400" w:lineRule="exact"/>
        <w:rPr>
          <w:rFonts w:hint="eastAsia" w:ascii="方正黑体_GBK" w:hAnsi="方正黑体_GBK" w:eastAsia="方正黑体_GBK" w:cs="方正黑体_GBK"/>
          <w:sz w:val="28"/>
          <w:szCs w:val="28"/>
        </w:rPr>
        <w:outlineLvl w:val="0"/>
      </w:pPr>
      <w:r/>
      <w:bookmarkStart w:id="188" w:name="_Toc236925641"/>
      <w:r/>
      <w:bookmarkStart w:id="189" w:name="_Toc26554093"/>
      <w:r/>
      <w:bookmarkStart w:id="190" w:name="_Toc49090575"/>
      <w:r/>
      <w:bookmarkStart w:id="191" w:name="_Toc462564139"/>
      <w:r/>
      <w:bookmarkStart w:id="192" w:name="_Toc479757211"/>
      <w:r/>
      <w:bookmarkEnd w:id="185"/>
      <w:r/>
      <w:bookmarkEnd w:id="186"/>
      <w:r/>
      <w:bookmarkEnd w:id="187"/>
      <w:r>
        <w:rPr>
          <w:rFonts w:hint="eastAsia" w:ascii="方正黑体_GBK" w:hAnsi="方正黑体_GBK" w:eastAsia="方正黑体_GBK" w:cs="方正黑体_GBK"/>
          <w:sz w:val="28"/>
          <w:szCs w:val="28"/>
        </w:rPr>
        <w:t xml:space="preserve">第四章 采购需求</w:t>
      </w:r>
      <w:bookmarkEnd w:id="188"/>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项目背景</w:t>
      </w:r>
      <w:r/>
    </w:p>
    <w:p>
      <w:pPr>
        <w:ind w:firstLine="640"/>
        <w:spacing w:line="560" w:lineRule="exact"/>
        <w:rPr>
          <w:rFonts w:hint="eastAsia"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为进一步提升厅机关行政办公水平，提高公文运转、日程管理、人事管理和督办工作效能，依托现有行政办公平台进行升级改造。本项目在充分利用现有系统资源和用户使用习惯的基础上，围绕领导日程与值班管理、休假计划申报、政府采购投诉办理、督办管理四方面业务进行功能优化和扩展，实现相关业务全流程线上化、规范化管理，提升机关办公效率。</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采购标的清单</w:t>
      </w:r>
      <w:r/>
    </w:p>
    <w:tbl>
      <w:tblPr>
        <w:tblW w:w="7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9"/>
        <w:gridCol w:w="1007"/>
        <w:gridCol w:w="2764"/>
        <w:gridCol w:w="2738"/>
      </w:tblGrid>
      <w:tr>
        <w:trPr>
          <w:cantSplit/>
          <w:jc w:val="center"/>
        </w:trPr>
        <w:tc>
          <w:tcPr>
            <w:tcW w:w="1249"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w:t>
            </w:r>
            <w:r/>
          </w:p>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包号</w:t>
            </w:r>
            <w:r/>
          </w:p>
        </w:tc>
        <w:tc>
          <w:tcPr>
            <w:tcW w:w="100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序号</w:t>
            </w:r>
            <w:r/>
          </w:p>
        </w:tc>
        <w:tc>
          <w:tcPr>
            <w:tcW w:w="2764"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采购标的</w:t>
            </w:r>
            <w:r/>
          </w:p>
        </w:tc>
        <w:tc>
          <w:tcPr>
            <w:tcW w:w="2738"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249"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Times New Roman" w:hAnsi="Times New Roman" w:eastAsia="方正仿宋_GBK"/>
                <w:sz w:val="32"/>
                <w:szCs w:val="32"/>
              </w:rPr>
              <w:t xml:space="preserve">1</w:t>
            </w:r>
            <w:r/>
          </w:p>
        </w:tc>
        <w:tc>
          <w:tcPr>
            <w:tcW w:w="1007"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2764"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江苏省财政厅行政办公平台升级改造项目</w:t>
            </w:r>
            <w:r/>
          </w:p>
        </w:tc>
        <w:tc>
          <w:tcPr>
            <w:tcW w:w="2738"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软件和信息技术服务业</w:t>
            </w:r>
            <w:r/>
          </w:p>
        </w:tc>
      </w:tr>
    </w:tbl>
    <w:p>
      <w:pPr>
        <w:ind w:left="975" w:hanging="975"/>
        <w:spacing w:line="360" w:lineRule="auto"/>
        <w:rPr>
          <w:sz w:val="24"/>
        </w:rPr>
      </w:pPr>
      <w:r>
        <w:rPr>
          <w:sz w:val="24"/>
        </w:rPr>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技术要求</w:t>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1.总体要求</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1.1基本要求</w:t>
      </w:r>
      <w:r/>
    </w:p>
    <w:p>
      <w:pPr>
        <w:ind w:firstLine="420"/>
        <w:spacing w:line="360" w:lineRule="auto"/>
        <w:rPr>
          <w:rFonts w:hint="eastAsia" w:ascii="宋体" w:hAnsi="宋体"/>
          <w:sz w:val="24"/>
          <w:szCs w:val="24"/>
        </w:rPr>
      </w:pPr>
      <w:r>
        <w:rPr>
          <w:rFonts w:ascii="宋体" w:hAnsi="宋体"/>
          <w:sz w:val="24"/>
          <w:szCs w:val="24"/>
        </w:rPr>
        <w:t xml:space="preserve">本项目是对现有行政办公平台进行升级改造，需按照行政办公平台建设标准，复用平台应用支撑平台能力，进行系统功能优化与拓展。供应商需基于行政办公平台技术架构进行方案规划和功能开发。新增功能以平台子模块（组件）方式开发并集成至现有平台，统一登录入口、统一待办推送，界面风格、操作习惯与现有平台保持一致。新增功能需与现有平台用户体系、组织架构、权限</w:t>
      </w:r>
      <w:r>
        <w:rPr>
          <w:rFonts w:ascii="宋体" w:hAnsi="宋体"/>
          <w:sz w:val="24"/>
          <w:szCs w:val="24"/>
        </w:rPr>
        <w:t xml:space="preserve">体系无缝融合，系统维护权限与业务权限分离。</w:t>
      </w:r>
      <w:r/>
    </w:p>
    <w:p>
      <w:pPr>
        <w:ind w:firstLine="420"/>
        <w:spacing w:line="360" w:lineRule="auto"/>
        <w:rPr>
          <w:rFonts w:hint="eastAsia" w:ascii="宋体" w:hAnsi="宋体"/>
          <w:sz w:val="24"/>
          <w:szCs w:val="24"/>
        </w:rPr>
      </w:pPr>
      <w:r>
        <w:rPr>
          <w:rFonts w:ascii="宋体" w:hAnsi="宋体"/>
          <w:sz w:val="24"/>
          <w:szCs w:val="24"/>
        </w:rPr>
        <w:t xml:space="preserve">系统总体可用率不低于99.9%，提供7×24小时连续运行保障，平均故障修复时间不超过30分钟。</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1.2现有平台现状</w:t>
      </w:r>
      <w:r/>
    </w:p>
    <w:p>
      <w:pPr>
        <w:ind w:firstLine="420"/>
        <w:spacing w:line="360" w:lineRule="auto"/>
        <w:rPr>
          <w:rFonts w:hint="eastAsia" w:ascii="宋体" w:hAnsi="宋体"/>
          <w:color w:val="000000"/>
          <w:sz w:val="24"/>
          <w:szCs w:val="24"/>
        </w:rPr>
      </w:pPr>
      <w:r/>
      <w:bookmarkStart w:id="193" w:name="OLE_LINK34"/>
      <w:r>
        <w:rPr>
          <w:rFonts w:ascii="宋体" w:hAnsi="宋体"/>
          <w:sz w:val="24"/>
          <w:szCs w:val="24"/>
        </w:rPr>
        <w:t xml:space="preserve">江苏省财政厅</w:t>
      </w:r>
      <w:bookmarkStart w:id="194" w:name="OLE_LINK31"/>
      <w:r>
        <w:rPr>
          <w:rFonts w:ascii="宋体" w:hAnsi="宋体"/>
          <w:sz w:val="24"/>
          <w:szCs w:val="24"/>
        </w:rPr>
        <w:t xml:space="preserve">行政办公平台</w:t>
      </w:r>
      <w:bookmarkEnd w:id="193"/>
      <w:r>
        <w:rPr>
          <w:rFonts w:ascii="宋体" w:hAnsi="宋体"/>
          <w:sz w:val="24"/>
          <w:szCs w:val="24"/>
        </w:rPr>
        <w:t xml:space="preserve">是财政厅各类公文流转、各项厅内行政审批事务审批、厅绩效考核、法制财政、监督检查、公文交换等业务统一管理平台。</w:t>
      </w:r>
      <w:r>
        <w:rPr>
          <w:rFonts w:ascii="宋体" w:hAnsi="宋体"/>
          <w:color w:val="000000"/>
          <w:sz w:val="24"/>
          <w:szCs w:val="24"/>
        </w:rPr>
        <w:t xml:space="preserve">平台核心架构、开发语言、接口规范及数据对接核心信息如下：</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平台基于Java技术体系搭建，采用B/S/D三层架构及SOA面向服务架构，具备粗粒度、松耦合、服务可复用特性。</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平台依托SOA服务架构构建标准化交互体系，具备成熟的外部系统集成能力，通过标准化服务接口实现跨系统、跨平台业务交互与数据联动，支持内外系统业务流程协同、数据同步对接。</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认证方式采用OAuth2.0客户端凭证模式，所有网络传输均通过HTTPS加密处理，保障数据传输安全。</w:t>
      </w:r>
      <w:bookmarkEnd w:id="194"/>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1.3应用架构要求</w:t>
      </w:r>
      <w:r/>
    </w:p>
    <w:p>
      <w:pPr>
        <w:ind w:firstLine="420"/>
        <w:spacing w:line="360" w:lineRule="auto"/>
        <w:rPr>
          <w:rFonts w:ascii="宋体" w:hAnsi="宋体"/>
          <w:sz w:val="24"/>
          <w:szCs w:val="24"/>
          <w:highlight w:val="none"/>
        </w:rPr>
      </w:pPr>
      <w:r>
        <w:rPr>
          <w:rFonts w:ascii="宋体" w:hAnsi="宋体"/>
          <w:sz w:val="24"/>
          <w:szCs w:val="24"/>
        </w:rPr>
        <w:t xml:space="preserve">本次功能拓展基于现有行政办公平台上构建，采用模块化松耦合应用架构，复用平台统一身份、组织架构、消息通知等能力。主要包含领导日程和值班管理、休假计划、采购投诉办理功能、督办管理系统的优化及改造。系统建设要遵循高复用、松耦合、可扩展、易运维原则，实现领导日程、休假计划、采购投诉办理、督办管理等功能的智能化、规范化、协同化管理，同时保障功能独立迭代、不影响原有办公系统核心业务运行。</w:t>
      </w:r>
      <w:r/>
    </w:p>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具体技术指标要求如下：</w:t>
      </w:r>
      <w:r>
        <w:rPr>
          <w:color w:val="ff0000"/>
        </w:rP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843"/>
        <w:gridCol w:w="5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序号</w:t>
            </w:r>
            <w:r>
              <w:rPr>
                <w:color w:val="ff0000"/>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技术指标</w:t>
            </w:r>
            <w:r>
              <w:rPr>
                <w:color w:val="ff0000"/>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具体要求</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1</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集成性要求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新增功能需复用现有平台的用户体系、组织架构、统一身份认证（OAuth2.0客户端凭证模式）、流程引擎、文件中心等公共能力，相关业务数据存放于平台统一数据库。</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2</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接口规范要求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与平台外部系统的交互需通过平台标准化服务接口实现，遵循平台既有接口规范，全部网络传输采用HTTPS加密。</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3</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兼容性要求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涉及现有模块改造的（如收文转督办等），需兼容既有业务流程和历史数据，确保升级过程不影响平台在用业务的连续性。</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4</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可扩展性要求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架构应具备良好的扩展性，支持前端或后端业务逻辑的二次扩展，便于后续功能迭代。</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5</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可移植性要求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系统应具备良好的可移植性，能够适配政务云提供的国产化软硬件环境（服务器操作系统、数据库、中间件等），支持在不同部署环境间的迁移部署，不依赖特定厂商的专有技术。</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可维护性要求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系统应具备良好的可维护性，提供统一的运行日志、错误提示和运维管理功能，支持参数化配置管理，日常运维操作简便，故障定位及时准确。</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7</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易用性要求</w:t>
            </w:r>
            <w:r>
              <w:rPr>
                <w:color w:val="ff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5" w:type="dxa"/>
            <w:vAlign w:val="top"/>
            <w:textDirection w:val="lrTb"/>
            <w:noWrap w:val="false"/>
          </w:tcPr>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系统界面风格与现有平台保持一致，操作简便、布局合理，贴合办公人员使用习惯；常用功能操作步骤简明，提示信息清晰准确，降低使用培训成本。</w:t>
            </w:r>
            <w:r>
              <w:rPr>
                <w:color w:val="ff0000"/>
              </w:rPr>
            </w:r>
          </w:p>
        </w:tc>
      </w:tr>
    </w:tbl>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1"/>
        </w:rPr>
        <w:t xml:space="preserve"> </w:t>
      </w:r>
      <w:r>
        <w:rPr>
          <w:color w:val="ff0000"/>
        </w:rP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1.4知识产权要求</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应保证采购人在使用、接受本项目服务（包含与服务相关的产品）或其任何一部分时不受第三方提出侵犯其专利权、版权、商标权和工业设计权等知识产权的起诉。一旦出现侵权，由供应商承担全部责任。</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本项目建设过程中产生的全部知识成果的知识产权（包括但不限于著</w:t>
      </w:r>
      <w:r>
        <w:rPr>
          <w:rFonts w:ascii="宋体" w:hAnsi="宋体"/>
          <w:sz w:val="24"/>
          <w:szCs w:val="24"/>
        </w:rPr>
        <w:t xml:space="preserve">作权、专利权、专有技术等权利以及软件源代码和各种技术文档资料所有权）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1.5保密要求</w:t>
      </w:r>
      <w:r/>
    </w:p>
    <w:p>
      <w:pPr>
        <w:ind w:firstLine="480"/>
        <w:spacing w:line="500" w:lineRule="exact"/>
        <w:tabs>
          <w:tab w:val="left" w:pos="420" w:leader="none"/>
        </w:tabs>
        <w:rPr>
          <w:rFonts w:hint="eastAsia" w:ascii="宋体" w:hAnsi="宋体"/>
          <w:color w:val="000000"/>
          <w:sz w:val="24"/>
          <w:szCs w:val="24"/>
        </w:rPr>
      </w:pPr>
      <w:r>
        <w:rPr>
          <w:rFonts w:ascii="宋体" w:hAnsi="宋体"/>
          <w:color w:val="000000"/>
          <w:sz w:val="24"/>
          <w:szCs w:val="24"/>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w:t>
      </w:r>
      <w:r>
        <w:rPr>
          <w:rFonts w:hint="eastAsia" w:ascii="宋体" w:hAnsi="宋体"/>
          <w:color w:val="000000"/>
          <w:sz w:val="24"/>
          <w:szCs w:val="24"/>
        </w:rPr>
        <w:t xml:space="preserve">成交</w:t>
      </w:r>
      <w:r>
        <w:rPr>
          <w:rFonts w:ascii="宋体" w:hAnsi="宋体"/>
          <w:color w:val="000000"/>
          <w:sz w:val="24"/>
          <w:szCs w:val="24"/>
        </w:rPr>
        <w:t xml:space="preserve">后应在项目实施前与采购人签订保密协议，与项目实施成员签订保密协议。</w:t>
      </w:r>
      <w:r>
        <w:rPr>
          <w:rFonts w:ascii="宋体" w:hAnsi="宋体"/>
          <w:b/>
          <w:bCs/>
          <w:color w:val="000000"/>
          <w:sz w:val="24"/>
          <w:szCs w:val="24"/>
        </w:rPr>
        <w:t xml:space="preserve">（供应商应出具保密承诺，并加盖供应商公章）。</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1.6验收要求</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启动验收的基本条件：业务应用已完成代码开发、测试、部署及上线，系统功能、性能均达设计要求，相关问题均已整改完成。</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本项目的成果资料要求如下。</w:t>
      </w:r>
      <w:r/>
    </w:p>
    <w:p>
      <w:pPr>
        <w:ind w:firstLine="420"/>
        <w:spacing w:line="360" w:lineRule="auto"/>
        <w:rPr>
          <w:rFonts w:hint="eastAsia" w:ascii="宋体" w:hAnsi="宋体"/>
          <w:sz w:val="24"/>
          <w:szCs w:val="24"/>
        </w:rPr>
      </w:pPr>
      <w:r>
        <w:rPr>
          <w:rFonts w:ascii="宋体" w:hAnsi="宋体"/>
          <w:sz w:val="24"/>
          <w:szCs w:val="24"/>
        </w:rPr>
        <w:t xml:space="preserve">源代码：供应商应提供本项目软件的全部源代码文件，以光盘的形式提交给采购人。</w:t>
      </w:r>
      <w:r/>
    </w:p>
    <w:p>
      <w:pPr>
        <w:ind w:firstLine="420"/>
        <w:spacing w:line="360" w:lineRule="auto"/>
        <w:rPr>
          <w:rFonts w:hint="eastAsia" w:ascii="宋体" w:hAnsi="宋体"/>
          <w:sz w:val="24"/>
          <w:szCs w:val="24"/>
        </w:rPr>
      </w:pPr>
      <w:r>
        <w:rPr>
          <w:rFonts w:ascii="宋体" w:hAnsi="宋体"/>
          <w:sz w:val="24"/>
          <w:szCs w:val="24"/>
        </w:rPr>
        <w:t xml:space="preserve">文档：供应商应提供本项目的需求规格说明书、概要设计说明书、详细设计说明书、系统测试报告、软件部署手册、系统使用手册、项目验收报告等。其中需求规格说明书需通过采购人的审核及确认。</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1.7国产化建设要求</w:t>
      </w:r>
      <w:r/>
    </w:p>
    <w:p>
      <w:pPr>
        <w:ind w:firstLine="420"/>
        <w:spacing w:line="360" w:lineRule="auto"/>
        <w:rPr>
          <w:rFonts w:hint="eastAsia" w:ascii="宋体" w:hAnsi="宋体"/>
          <w:sz w:val="24"/>
          <w:szCs w:val="24"/>
        </w:rPr>
      </w:pPr>
      <w:r>
        <w:rPr>
          <w:rFonts w:ascii="宋体" w:hAnsi="宋体"/>
          <w:sz w:val="24"/>
          <w:szCs w:val="24"/>
        </w:rPr>
        <w:t xml:space="preserve">本项目所有新增组件均需适配政务云提供的国产化环境（服务器操作系统、数据库、中间件等）。</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1.8系统安全要求</w:t>
      </w:r>
      <w:r/>
    </w:p>
    <w:p>
      <w:pPr>
        <w:ind w:firstLine="420"/>
        <w:spacing w:line="360" w:lineRule="auto"/>
        <w:rPr>
          <w:rFonts w:hint="eastAsia" w:ascii="宋体" w:hAnsi="宋体"/>
          <w:sz w:val="24"/>
          <w:szCs w:val="24"/>
        </w:rPr>
      </w:pPr>
      <w:r>
        <w:rPr>
          <w:rFonts w:ascii="宋体" w:hAnsi="宋体"/>
          <w:sz w:val="24"/>
          <w:szCs w:val="24"/>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p>
    <w:p>
      <w:pPr>
        <w:ind w:firstLine="420"/>
        <w:spacing w:line="360" w:lineRule="auto"/>
        <w:rPr>
          <w:rFonts w:hint="eastAsia" w:ascii="宋体" w:hAnsi="宋体"/>
          <w:sz w:val="24"/>
          <w:szCs w:val="24"/>
        </w:rPr>
      </w:pPr>
      <w:r>
        <w:rPr>
          <w:rFonts w:ascii="宋体" w:hAnsi="宋体"/>
          <w:sz w:val="24"/>
          <w:szCs w:val="24"/>
        </w:rPr>
        <w:t xml:space="preserve">系统健壮性强，应能处理系统运行过程中出现的各种异常情况，如：人为操作错误、输入非法数据等，系统应能正确处理，妥善回避。</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1.9质量保障要求</w:t>
      </w:r>
      <w:r/>
    </w:p>
    <w:p>
      <w:pPr>
        <w:ind w:firstLine="420"/>
        <w:spacing w:line="360" w:lineRule="auto"/>
        <w:rPr>
          <w:rFonts w:hint="eastAsia" w:ascii="宋体" w:hAnsi="宋体"/>
          <w:b/>
          <w:bCs/>
          <w:sz w:val="24"/>
          <w:szCs w:val="24"/>
        </w:rPr>
      </w:pPr>
      <w:r>
        <w:rPr>
          <w:rFonts w:ascii="宋体" w:hAnsi="宋体"/>
          <w:sz w:val="24"/>
          <w:szCs w:val="24"/>
        </w:rPr>
        <w:t xml:space="preserve">本项目应提供2年质保，质保期自通过采购人组织的验收之日起。质保期内，供应商需提供质保服务，确保本项目范围内的产品和服务能够正常使用</w:t>
      </w:r>
      <w:r>
        <w:rPr>
          <w:rFonts w:ascii="宋体" w:hAnsi="宋体"/>
          <w:b/>
          <w:bCs/>
          <w:sz w:val="24"/>
          <w:szCs w:val="24"/>
        </w:rPr>
        <w:t xml:space="preserve">（供应商应出具承诺函，并加盖供应商公章）。</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1.10测试要求</w:t>
      </w:r>
      <w:r/>
    </w:p>
    <w:p>
      <w:pPr>
        <w:ind w:firstLine="420"/>
        <w:spacing w:after="192" w:line="360" w:lineRule="auto"/>
        <w:rPr>
          <w:rFonts w:hint="eastAsia" w:ascii="宋体" w:hAnsi="宋体" w:cs="宋体"/>
          <w:sz w:val="24"/>
          <w:szCs w:val="24"/>
        </w:rPr>
      </w:pPr>
      <w:r>
        <w:rPr>
          <w:rFonts w:ascii="宋体" w:hAnsi="宋体" w:cs="宋体"/>
          <w:sz w:val="24"/>
          <w:szCs w:val="24"/>
        </w:rPr>
        <w:t xml:space="preserve">供应商应依据软件需求分析、系统概要设计、系统详细设计等编写测试方案，在建设过程中充分开展安全测试、功能测试与性能测试，形成测试报告，配合采购人完成第三方测试。</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1.11售后保障</w:t>
      </w:r>
      <w:r/>
    </w:p>
    <w:p>
      <w:pPr>
        <w:ind w:firstLine="420"/>
        <w:spacing w:line="360" w:lineRule="auto"/>
        <w:rPr>
          <w:rFonts w:hint="eastAsia" w:ascii="宋体" w:hAnsi="宋体"/>
          <w:sz w:val="24"/>
          <w:szCs w:val="24"/>
        </w:rPr>
      </w:pPr>
      <w:r>
        <w:rPr>
          <w:rFonts w:ascii="宋体" w:hAnsi="宋体"/>
          <w:sz w:val="24"/>
          <w:szCs w:val="24"/>
        </w:rPr>
        <w:t xml:space="preserve">供应商应提供系统运行保障和技术支持服务；服务级别不低于5×8小时，并提供7×24小时的技术支持响应。出现一般故障，供应商应在30分钟内赶到现场，2小时内处置完成；出现重大故障，供应商应在30分钟内赶到现场，4小时内处置完成。</w:t>
      </w:r>
      <w:r/>
    </w:p>
    <w:p>
      <w:pPr>
        <w:ind w:firstLine="420"/>
        <w:spacing w:after="192" w:line="360" w:lineRule="auto"/>
        <w:rPr>
          <w:rFonts w:hint="eastAsia" w:ascii="宋体" w:hAnsi="宋体" w:cs="宋体"/>
          <w:sz w:val="24"/>
          <w:szCs w:val="24"/>
        </w:rPr>
      </w:pPr>
      <w:r>
        <w:rPr>
          <w:rFonts w:hint="eastAsia" w:ascii="宋体" w:hAnsi="宋体" w:cs="宋体"/>
          <w:sz w:val="24"/>
          <w:szCs w:val="24"/>
        </w:rPr>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2.功能建设要求</w:t>
      </w:r>
      <w:r/>
    </w:p>
    <w:p>
      <w:pPr>
        <w:ind w:firstLine="420"/>
        <w:spacing w:line="360" w:lineRule="auto"/>
        <w:rPr>
          <w:rFonts w:hint="eastAsia" w:ascii="宋体" w:hAnsi="宋体"/>
          <w:sz w:val="24"/>
          <w:szCs w:val="24"/>
        </w:rPr>
      </w:pPr>
      <w:r>
        <w:rPr>
          <w:rFonts w:ascii="宋体" w:hAnsi="宋体"/>
          <w:sz w:val="24"/>
          <w:szCs w:val="24"/>
        </w:rPr>
        <w:t xml:space="preserve">主要建设包括四项建设内容：一是优化领导日程和值班管理功能、二是新增休假计划、三是新增采购投诉办理、四是完善督办管理。</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2.1优化领导日程和值班管理功能</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值班管理：支持值班安排的在线维护与发布，提供列表、月历等视图方式。支持领导组、总值班组、值班司机组等值班组别及人员的维护。值班发布后自动通知值班人员并生成值班表，支持定时发布；支持值班表、值班记录的查询和导出。</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领导日程管理：支持以周历、月视图等方式集中展示和维护厅领导日程，办公室秘书可维护、厅领导可查看。新增日程信息自动同步至会议登记模块，避免重复登记，支持日程检索、编辑和导出。</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2.2新增休假计划功能</w:t>
      </w:r>
      <w:r/>
    </w:p>
    <w:p>
      <w:pPr>
        <w:ind w:firstLine="420"/>
        <w:spacing w:line="360" w:lineRule="auto"/>
        <w:rPr>
          <w:rFonts w:hint="eastAsia" w:ascii="宋体" w:hAnsi="宋体"/>
          <w:sz w:val="24"/>
          <w:szCs w:val="24"/>
        </w:rPr>
      </w:pPr>
      <w:r>
        <w:rPr>
          <w:rFonts w:ascii="宋体" w:hAnsi="宋体"/>
          <w:sz w:val="24"/>
          <w:szCs w:val="24"/>
        </w:rPr>
        <w:t xml:space="preserve">新增</w:t>
      </w:r>
      <w:r>
        <w:rPr>
          <w:rFonts w:ascii="宋体" w:hAnsi="宋体"/>
          <w:sz w:val="24"/>
          <w:szCs w:val="24"/>
        </w:rPr>
        <w:t xml:space="preserve">"休假计划"</w:t>
      </w:r>
      <w:r>
        <w:rPr>
          <w:rFonts w:ascii="宋体" w:hAnsi="宋体"/>
          <w:sz w:val="24"/>
          <w:szCs w:val="24"/>
        </w:rPr>
        <w:t xml:space="preserve">模块，主要功能要求如下：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计划申报与汇总：每年年初向全体干部职工推送年休假计划申报待办，按照</w:t>
      </w:r>
      <w:r>
        <w:rPr>
          <w:rFonts w:ascii="宋体" w:hAnsi="宋体"/>
          <w:sz w:val="24"/>
          <w:szCs w:val="24"/>
        </w:rPr>
        <w:t xml:space="preserve">"本人</w:t>
      </w:r>
      <w:r>
        <w:rPr>
          <w:rFonts w:ascii="宋体" w:hAnsi="宋体"/>
          <w:sz w:val="24"/>
          <w:szCs w:val="24"/>
        </w:rPr>
        <w:t xml:space="preserve">—所在处室负责人（汇总）—人教处经办人—人教处</w:t>
      </w:r>
      <w:r>
        <w:rPr>
          <w:rFonts w:ascii="宋体" w:hAnsi="宋体"/>
          <w:sz w:val="24"/>
          <w:szCs w:val="24"/>
        </w:rPr>
        <w:t xml:space="preserve">负责人"</w:t>
      </w:r>
      <w:r>
        <w:rPr>
          <w:rFonts w:ascii="宋体" w:hAnsi="宋体"/>
          <w:sz w:val="24"/>
          <w:szCs w:val="24"/>
        </w:rPr>
        <w:t xml:space="preserve">的权限流程逐级报送，由人教处统一汇总管理。</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计划关联：休假计划与干部职工实际请休假申请关联，计划数据作为参阅信息。</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计划调整：支持人教处对全厅干部职工年休假计划进行调整维护。</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2.3新增采购投诉办理功能</w:t>
      </w:r>
      <w:r/>
    </w:p>
    <w:p>
      <w:pPr>
        <w:ind w:firstLine="420"/>
        <w:spacing w:line="360" w:lineRule="auto"/>
        <w:rPr>
          <w:rFonts w:hint="eastAsia" w:ascii="宋体" w:hAnsi="宋体"/>
          <w:sz w:val="24"/>
          <w:szCs w:val="24"/>
        </w:rPr>
      </w:pPr>
      <w:r>
        <w:rPr>
          <w:rFonts w:ascii="宋体" w:hAnsi="宋体"/>
          <w:sz w:val="24"/>
          <w:szCs w:val="24"/>
        </w:rPr>
        <w:t xml:space="preserve">实现政府采购投诉从受理审查、调查办理到作出处理决定的全流程线上化管控，形成办理闭环，主要功能要求如下：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投诉审查：支持在法定时限内完成投诉审查，作出受理或不予受理决定并出具相应书面通知。</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文书办理：支持不予受理通知书、答复通知书等文书按厅发文流程完成拟稿、审批、会签、签发、编号盖章，仅对政府采购处用户开放相关功能入口。</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跟踪办理：审批同意后自动生成投诉办理跟踪单，支持调查取证通知书、暂停通知书、补正通知书、告知书、投诉处理决定书等过程文书和最终处</w:t>
      </w:r>
      <w:r>
        <w:rPr>
          <w:rFonts w:ascii="宋体" w:hAnsi="宋体"/>
          <w:sz w:val="24"/>
          <w:szCs w:val="24"/>
        </w:rPr>
        <w:t xml:space="preserve">理决定的发起，并按标准模板生成文书内容。</w:t>
      </w:r>
      <w:r/>
    </w:p>
    <w:p>
      <w:pPr>
        <w:ind w:firstLine="42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关联管理：投诉收文、受理通知及全部过程性文件在跟踪办理单上关联展示，办理过程自动回写投诉收文登记表单，支持历史投诉的检索查询。</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2.4</w:t>
      </w:r>
      <w:bookmarkStart w:id="195" w:name="OLE_LINK9"/>
      <w:r>
        <w:rPr>
          <w:rFonts w:ascii="宋体" w:hAnsi="宋体"/>
          <w:b/>
          <w:bCs/>
          <w:sz w:val="24"/>
          <w:szCs w:val="24"/>
        </w:rPr>
        <w:t xml:space="preserve">完善督办管理</w:t>
      </w:r>
      <w:bookmarkEnd w:id="195"/>
      <w:r>
        <w:rPr>
          <w:rFonts w:ascii="宋体" w:hAnsi="宋体"/>
          <w:b/>
          <w:bCs/>
          <w:sz w:val="24"/>
          <w:szCs w:val="24"/>
        </w:rPr>
        <w:t xml:space="preserve">功能</w:t>
      </w:r>
      <w:r/>
    </w:p>
    <w:p>
      <w:pPr>
        <w:ind w:firstLine="420"/>
        <w:spacing w:line="360" w:lineRule="auto"/>
        <w:rPr>
          <w:rFonts w:hint="eastAsia" w:ascii="宋体" w:hAnsi="宋体"/>
          <w:sz w:val="24"/>
          <w:szCs w:val="24"/>
        </w:rPr>
      </w:pPr>
      <w:r>
        <w:rPr>
          <w:rFonts w:ascii="宋体" w:hAnsi="宋体"/>
          <w:sz w:val="24"/>
          <w:szCs w:val="24"/>
        </w:rPr>
        <w:t xml:space="preserve">实现督办事项从登记、分办、办理、反馈到办结的全流程线上闭环管理，主要功能要求如下：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事项录入：支持手工登记、模板批量导入、OA收文批示自动转入等多来源事项录入。</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流程管理：支持事项分办（含一事项多承办处室）、办理反馈、审核办结的全流程管理和状态跟踪，支持对未办结事项再次发起督办。</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催办提醒：支持对未反馈处室发起催办并记录催办情况；建立统一的在督事项中心，集中展示用户在办、待办事项并提供提醒功能。</w:t>
      </w:r>
      <w:r/>
    </w:p>
    <w:p>
      <w:pPr>
        <w:ind w:firstLine="42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统计导出：提供督办事项的多维度统计和报表导出，满足日常管理和汇总上报需要。</w:t>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3.实施要求</w:t>
      </w:r>
      <w:r/>
    </w:p>
    <w:p>
      <w:pPr>
        <w:ind w:firstLine="480"/>
        <w:spacing w:line="400" w:lineRule="exact"/>
        <w:rPr>
          <w:sz w:val="24"/>
          <w:szCs w:val="24"/>
        </w:rPr>
      </w:pPr>
      <w:r>
        <w:rPr>
          <w:sz w:val="24"/>
          <w:szCs w:val="24"/>
        </w:rPr>
        <w:t xml:space="preserve">供应商应提供项目实施服务，包括项目进度计划及保障措施、项目质量保障措施、项目风险管理、项目管理制度、项目测试方案、实施人员组织规划等，能确保在交付期内完成所有合同标的开发、部署安装、集成及调试工作，并确保项目整体质量控制达到项目设计及各参数要求。质保期内，供应商应免费提供所投软件产品的版本迭代及配套接口升级改造等服务。</w:t>
      </w:r>
      <w:r/>
    </w:p>
    <w:p>
      <w:pPr>
        <w:ind w:firstLine="480"/>
        <w:spacing w:line="400" w:lineRule="exact"/>
        <w:rPr>
          <w:rFonts w:hint="eastAsia" w:ascii="宋体" w:hAnsi="宋体"/>
          <w:sz w:val="24"/>
          <w:szCs w:val="24"/>
        </w:rPr>
      </w:pPr>
      <w:r>
        <w:rPr>
          <w:sz w:val="24"/>
          <w:szCs w:val="24"/>
        </w:rPr>
        <w:t xml:space="preserve">供应商成员需具备项目管理、系统建设相关经验，具备良好的沟通协调能力、文档撰写能力和保密意识，人员配置合理且保持稳定，未经采购人书面同意不得擅自更换。供应商需严格按照时间节点推进工作，确保摸底排查数据真实、准确、完整；团队成员需遵守采购人工作纪律，保守工作中接触到的敏感数据，如因供应商原因造成数据泄露或工作延误，采购人有权追究其违约责任。</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商务要求</w:t>
      </w:r>
      <w:r/>
    </w:p>
    <w:p>
      <w:pPr>
        <w:numPr>
          <w:ilvl w:val="0"/>
          <w:numId w:val="5"/>
        </w:numPr>
        <w:ind w:firstLine="420"/>
        <w:spacing w:line="360" w:lineRule="auto"/>
        <w:rPr>
          <w:rFonts w:hint="eastAsia" w:ascii="宋体" w:hAnsi="宋体"/>
          <w:sz w:val="24"/>
          <w:szCs w:val="24"/>
        </w:rPr>
      </w:pPr>
      <w:r>
        <w:rPr>
          <w:rFonts w:ascii="宋体" w:hAnsi="宋体"/>
          <w:sz w:val="24"/>
          <w:szCs w:val="24"/>
        </w:rPr>
        <w:t xml:space="preserve">交付期：项目建设期为2个月。项目建设期内完成全部建设内容的需求</w:t>
      </w:r>
      <w:r>
        <w:rPr>
          <w:rFonts w:ascii="宋体" w:hAnsi="宋体"/>
          <w:sz w:val="24"/>
          <w:szCs w:val="24"/>
        </w:rPr>
        <w:t xml:space="preserve">分析、功能设计、代码开发、测试、部署实施、上线及培训等工作。</w:t>
      </w:r>
      <w:r/>
    </w:p>
    <w:p>
      <w:pPr>
        <w:ind w:firstLine="420"/>
        <w:spacing w:line="360" w:lineRule="auto"/>
        <w:rPr>
          <w:rFonts w:hint="eastAsia" w:ascii="宋体" w:hAnsi="宋体"/>
          <w:sz w:val="24"/>
          <w:szCs w:val="24"/>
        </w:rPr>
      </w:pPr>
      <w:r>
        <w:rPr>
          <w:rFonts w:ascii="宋体" w:hAnsi="宋体"/>
          <w:sz w:val="24"/>
          <w:szCs w:val="24"/>
        </w:rPr>
        <w:t xml:space="preserve">2. 交付方式：产品和服务现场交付，并提交相关交付物。</w:t>
      </w:r>
      <w:r/>
    </w:p>
    <w:p>
      <w:pPr>
        <w:ind w:firstLine="420"/>
        <w:spacing w:line="360" w:lineRule="auto"/>
        <w:rPr>
          <w:rFonts w:hint="eastAsia" w:ascii="宋体" w:hAnsi="宋体"/>
          <w:sz w:val="24"/>
          <w:szCs w:val="24"/>
        </w:rPr>
      </w:pPr>
      <w:r>
        <w:rPr>
          <w:rFonts w:ascii="宋体" w:hAnsi="宋体"/>
          <w:sz w:val="24"/>
          <w:szCs w:val="24"/>
        </w:rPr>
        <w:t xml:space="preserve">3. 交付地点：南京市鼓楼区北京西路63号天目大厦。</w:t>
      </w:r>
      <w:r/>
    </w:p>
    <w:p>
      <w:pPr>
        <w:ind w:firstLine="420"/>
        <w:spacing w:line="360" w:lineRule="auto"/>
        <w:rPr>
          <w:rFonts w:hint="eastAsia" w:ascii="宋体" w:hAnsi="宋体"/>
          <w:sz w:val="24"/>
          <w:szCs w:val="24"/>
        </w:rPr>
      </w:pPr>
      <w:r>
        <w:rPr>
          <w:rFonts w:ascii="宋体" w:hAnsi="宋体"/>
          <w:sz w:val="24"/>
          <w:szCs w:val="24"/>
        </w:rPr>
        <w:t xml:space="preserve">4. 款项支付： 合同签订后，支付合同总额的40%；项目全部建设内容完成且通过验收后，支付合同总额的60%。</w:t>
      </w:r>
      <w:r/>
    </w:p>
    <w:p>
      <w:pPr>
        <w:ind w:firstLine="420"/>
        <w:spacing w:line="360" w:lineRule="auto"/>
        <w:rPr>
          <w:rFonts w:hint="eastAsia" w:ascii="宋体" w:hAnsi="宋体"/>
          <w:sz w:val="24"/>
          <w:szCs w:val="24"/>
        </w:rPr>
      </w:pPr>
      <w:r>
        <w:rPr>
          <w:rFonts w:ascii="宋体" w:hAnsi="宋体"/>
          <w:sz w:val="24"/>
          <w:szCs w:val="24"/>
        </w:rPr>
        <w:t xml:space="preserve">5. 本项目合同不得转让，不得分包。</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方案要求</w:t>
      </w:r>
      <w:r/>
    </w:p>
    <w:p>
      <w:pPr>
        <w:ind w:firstLine="420"/>
        <w:spacing w:line="360" w:lineRule="auto"/>
        <w:rPr>
          <w:rFonts w:hint="eastAsia" w:ascii="宋体" w:hAnsi="宋体"/>
          <w:sz w:val="24"/>
          <w:szCs w:val="24"/>
        </w:rPr>
      </w:pPr>
      <w:r>
        <w:rPr>
          <w:rFonts w:ascii="宋体" w:hAnsi="宋体"/>
          <w:sz w:val="24"/>
          <w:szCs w:val="24"/>
        </w:rPr>
        <w:t xml:space="preserve">供应商应具有较高的IT服务能力水平，具有与本项目软件相关的经验，提供技术方案支撑。</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5.1总体设计方案</w:t>
      </w:r>
      <w:r/>
    </w:p>
    <w:p>
      <w:pPr>
        <w:ind w:firstLine="420"/>
        <w:spacing w:line="360" w:lineRule="auto"/>
        <w:rPr>
          <w:sz w:val="24"/>
        </w:rPr>
      </w:pPr>
      <w:r>
        <w:rPr>
          <w:sz w:val="24"/>
        </w:rPr>
        <w:t xml:space="preserve">供应商应提供详实完善的总体设计方案，内容包括但不限于系统总体架构设计（含与现有平台的集成架构）、页面设计、功能模块规划、技术路线、国产化建设等内容。总体架构须基于现有平台</w:t>
      </w:r>
      <w:r>
        <w:rPr>
          <w:sz w:val="24"/>
        </w:rPr>
        <w:t xml:space="preserve">Java</w:t>
      </w:r>
      <w:r>
        <w:rPr>
          <w:sz w:val="24"/>
        </w:rPr>
        <w:t xml:space="preserve">技术体系，层级划分清晰、逻辑合理；页面设计需与现有平台风格一致，操作便捷、布局美观，贴合办公人员使用习惯；功能模块规划须覆盖本项目全部四项建设内容，模块划分科学、权责清晰；技术路线需与现有平台技术体系保持一致，明确开发框架、开发工具、服务接口规范等选型及选用理由，成熟先进、切实可行；国产化建设需适配政务云提供的国产化环境（服务器操作系统、数据库、中间件等），与现有平台国产化适配水平保持一致，满足自主可控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5.2项目实施方案</w:t>
      </w:r>
      <w:r/>
    </w:p>
    <w:p>
      <w:pPr>
        <w:ind w:firstLine="420"/>
        <w:spacing w:line="360" w:lineRule="auto"/>
        <w:rPr>
          <w:sz w:val="24"/>
        </w:rPr>
      </w:pPr>
      <w:r>
        <w:rPr>
          <w:sz w:val="24"/>
        </w:rPr>
        <w:t xml:space="preserve">供应商应提供完整可行的项目实施保障方案，内容应包括但不限于质量保障方案、进度保障方案、人员配置具体实施方案。质量保障需明确全过程质量管控节点、检验标准、问题整改措施；进度保障应制定详细实施计划、关键里程碑节点、应急预案；人员配置方案需列明项目团队组成、岗位职责、投入时长及岗位保障措施。方案应针对性强、落地可行，充分保障项目质量、工期目标顺利实现。</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5.3项目管理方案</w:t>
      </w:r>
      <w:r/>
    </w:p>
    <w:p>
      <w:pPr>
        <w:ind w:firstLine="420"/>
        <w:spacing w:line="360" w:lineRule="auto"/>
        <w:rPr>
          <w:sz w:val="24"/>
        </w:rPr>
      </w:pPr>
      <w:r>
        <w:rPr>
          <w:sz w:val="24"/>
        </w:rPr>
        <w:t xml:space="preserve">供应商应提供完整可行的项目管理方案，内容应包含项目管理目标、项目管理制度、项目建设周期及进度计划、项目质量保障等方面。项目管理目标需明确质量、工期、安全、成本及沟通管控目标，目标清晰可考核；项目管理制度应建立例会沟通、变更管控、文档管理等配套制度；项目进度计划划分各阶段工作任务，明确关键里程碑节点，工期排布科学合理；质量保障需落实全过程检查、问题闭环整改措施，同时明确组织协调、沟通汇报等管理保障举措。方案需贴合本项目升级改造实际，措施落地可行。</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5.4安全保障方案</w:t>
      </w:r>
      <w:r/>
    </w:p>
    <w:p>
      <w:pPr>
        <w:ind w:firstLine="420"/>
        <w:spacing w:line="360" w:lineRule="auto"/>
        <w:rPr>
          <w:sz w:val="24"/>
        </w:rPr>
      </w:pPr>
      <w:r>
        <w:rPr>
          <w:sz w:val="24"/>
        </w:rPr>
        <w:t xml:space="preserve">供应商应提供安全保障技术方案，包括但不限于按照信息化系统建设安全防护要求，提供详细的安全性设计方案，包括信息访问、网络安全、应用安全、数据安全、密码安全等层面对系统的安全管理体系进行架构设计，要求所设计的架构符合现有平台安全体系和实际业务需求，且对各层级涉及的具体内容进行描述。支持身份认证与授权（与平台</w:t>
      </w:r>
      <w:r>
        <w:rPr>
          <w:sz w:val="24"/>
        </w:rPr>
        <w:t xml:space="preserve">OAuth2.0</w:t>
      </w:r>
      <w:r>
        <w:rPr>
          <w:sz w:val="24"/>
        </w:rPr>
        <w:t xml:space="preserve">统一认证体系一致），支持自定义的密码安全策略，满足《财政网络安全总体策略》《财政应用系统安全开发规范》等文件要求。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5.5运维服务方案</w:t>
      </w:r>
      <w:r/>
    </w:p>
    <w:p>
      <w:pPr>
        <w:ind w:firstLine="420"/>
        <w:spacing w:line="360" w:lineRule="auto"/>
        <w:rPr>
          <w:sz w:val="24"/>
        </w:rPr>
      </w:pPr>
      <w:r>
        <w:rPr>
          <w:sz w:val="24"/>
        </w:rPr>
        <w:t xml:space="preserve">供应商应提供全面、规范、可落地的售后维保服务方案，内容包含但不限于系统日常维护、技术支持、故障问题处置等核心服务。系统维护需明确常态化巡检、系统优化、数据运维、漏洞修复、版本升级等具体工作内容；技术支持需提供线上答疑、远程协助、现场服务等全方位服务，明确服务响应时限；问题解决需建立故障分级处置机制，规范受理、研判、处置、复核、回访全流程，明确不同等级故障修复时效与应急预案。方案需贴合本项目特性，服务机制完善、措施具体可行。</w:t>
      </w:r>
      <w:r>
        <w:rPr>
          <w:b/>
          <w:bCs/>
          <w:sz w:val="24"/>
        </w:rPr>
        <w:t xml:space="preserve">供应商需提供正式的书面承诺函，明确承诺满足上述要求。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5.6项目培训方案</w:t>
      </w:r>
      <w:r/>
    </w:p>
    <w:p>
      <w:pPr>
        <w:ind w:firstLine="420"/>
        <w:spacing w:line="360" w:lineRule="auto"/>
        <w:rPr>
          <w:sz w:val="24"/>
        </w:rPr>
      </w:pPr>
      <w:r>
        <w:rPr>
          <w:sz w:val="24"/>
        </w:rPr>
        <w:t xml:space="preserve">供应商应提供完整的项目培训方案，内容包括但不限于培训对象、培训内容、培训方式、培训场次及时间安排、培训考核与效果评估等。培训对象应覆盖各处室普通用户、各业务模块管理员及系统运维人员，培训内容与本项目四项建设功能及平台集成使用方式相对应；培训方式结合操作演练、线上指导等形式，提供配套操作手册和培训材料；培训安排与系统上线计划衔接，确保各角色用户在系统上线前具备独立使用能力。</w:t>
      </w:r>
      <w:r>
        <w:rPr>
          <w:b/>
          <w:bCs/>
          <w:sz w:val="24"/>
        </w:rPr>
        <w:t xml:space="preserve">供应商需提供正式的书面承诺函，明确承诺满足上述要求。</w:t>
      </w:r>
      <w:r/>
    </w:p>
    <w:p>
      <w:pPr>
        <w:jc w:val="left"/>
        <w:widowControl/>
        <w:rPr>
          <w:rFonts w:hint="eastAsia" w:ascii="宋体" w:hAnsi="宋体"/>
          <w:sz w:val="24"/>
          <w:szCs w:val="24"/>
        </w:rPr>
      </w:pPr>
      <w:r>
        <w:rPr>
          <w:rFonts w:ascii="宋体" w:hAnsi="宋体"/>
          <w:sz w:val="24"/>
          <w:szCs w:val="24"/>
        </w:rPr>
        <w:br w:type="page" w:clear="all"/>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政府采购中实施本国产品标准及相关政策</w:t>
      </w:r>
      <w:r/>
    </w:p>
    <w:p>
      <w:pPr>
        <w:ind w:firstLine="640"/>
        <w:spacing w:line="560" w:lineRule="exact"/>
        <w:rPr>
          <w:rFonts w:hint="eastAsia" w:ascii="方正魏碑_GBK" w:hAnsi="方正魏碑_GBK" w:eastAsia="方正魏碑_GBK" w:cs="方正魏碑_GBK"/>
          <w:bCs/>
          <w:sz w:val="32"/>
          <w:szCs w:val="32"/>
        </w:rPr>
      </w:pPr>
      <w:r>
        <w:rPr>
          <w:rFonts w:ascii="方正魏碑_GBK" w:hAnsi="方正魏碑_GBK" w:eastAsia="方正魏碑_GBK" w:cs="方正魏碑_GBK"/>
          <w:bCs/>
          <w:sz w:val="32"/>
          <w:szCs w:val="32"/>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643"/>
        <w:spacing w:line="560" w:lineRule="exact"/>
        <w:rPr>
          <w:rFonts w:hint="eastAsia" w:ascii="方正魏碑_GBK" w:hAnsi="方正魏碑_GBK" w:eastAsia="方正魏碑_GBK" w:cs="方正魏碑_GBK"/>
          <w:bCs/>
          <w:sz w:val="32"/>
          <w:szCs w:val="32"/>
        </w:rPr>
      </w:pPr>
      <w:r>
        <w:rPr>
          <w:rFonts w:ascii="方正魏碑_GBK" w:hAnsi="方正魏碑_GBK" w:eastAsia="方正魏碑_GBK" w:cs="方正魏碑_GBK"/>
          <w:b/>
          <w:sz w:val="32"/>
          <w:szCs w:val="32"/>
        </w:rPr>
        <w:t xml:space="preserve">2.本国产品标准适用于服务项目中涉及的货物。</w:t>
      </w:r>
      <w:r>
        <w:rPr>
          <w:rFonts w:ascii="方正魏碑_GBK" w:hAnsi="方正魏碑_GBK" w:eastAsia="方正魏碑_GBK" w:cs="方正魏碑_GBK"/>
          <w:bCs/>
          <w:sz w:val="32"/>
          <w:szCs w:val="3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spacing w:line="560" w:lineRule="exact"/>
        <w:rPr>
          <w:rFonts w:hint="eastAsia" w:ascii="宋体" w:hAnsi="宋体"/>
          <w:sz w:val="24"/>
          <w:szCs w:val="24"/>
        </w:rPr>
      </w:pPr>
      <w:r>
        <w:rPr>
          <w:rFonts w:ascii="方正魏碑_GBK" w:hAnsi="方正魏碑_GBK" w:eastAsia="方正魏碑_GBK" w:cs="方正魏碑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hint="eastAsia" w:ascii="方正仿宋_GBK" w:hAnsi="方正仿宋_GBK" w:eastAsia="方正仿宋_GBK" w:cs="方正仿宋_GBK"/>
          <w:b/>
          <w:bCs/>
          <w:color w:val="ff0000"/>
          <w:sz w:val="28"/>
          <w:szCs w:val="28"/>
        </w:rPr>
      </w:pPr>
      <w:r>
        <w:rPr>
          <w:rFonts w:hint="eastAsia" w:ascii="方正仿宋_GBK" w:hAnsi="方正仿宋_GBK" w:eastAsia="方正仿宋_GBK" w:cs="方正仿宋_GBK"/>
          <w:b/>
          <w:bCs/>
          <w:color w:val="ff0000"/>
          <w:sz w:val="28"/>
          <w:szCs w:val="28"/>
        </w:rPr>
        <w:t xml:space="preserve">（本项目不包含货物，不需提供《关于符合本国产品标准的声明函》）</w:t>
      </w:r>
      <w:r/>
    </w:p>
    <w:p>
      <w:pPr>
        <w:rPr>
          <w:rFonts w:ascii="Times New Roman" w:hAnsi="Times New Roman"/>
        </w:rPr>
      </w:pPr>
      <w:r>
        <w:rPr>
          <w:rFonts w:ascii="Times New Roman" w:hAnsi="Times New Roman"/>
        </w:rPr>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其他要求</w:t>
      </w:r>
      <w:r/>
    </w:p>
    <w:p>
      <w:pPr>
        <w:ind w:firstLine="640"/>
        <w:spacing w:line="560" w:lineRule="exact"/>
        <w:rPr>
          <w:rFonts w:hint="eastAsia"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1.项目</w:t>
      </w:r>
      <w:r>
        <w:rPr>
          <w:rFonts w:ascii="方正仿宋_GBK" w:hAnsi="方正仿宋_GBK" w:eastAsia="方正仿宋_GBK" w:cs="方正仿宋_GBK"/>
          <w:sz w:val="32"/>
          <w:szCs w:val="32"/>
        </w:rPr>
        <w:t xml:space="preserve">属性:</w:t>
      </w:r>
      <w:r>
        <w:rPr>
          <w:rFonts w:ascii="方正仿宋_GBK" w:hAnsi="方正仿宋_GBK" w:eastAsia="方正仿宋_GBK" w:cs="方正仿宋_GBK"/>
          <w:sz w:val="32"/>
          <w:szCs w:val="32"/>
        </w:rPr>
        <w:t xml:space="preserve">服务类项目。</w:t>
      </w:r>
      <w:r/>
    </w:p>
    <w:p>
      <w:pPr>
        <w:jc w:val="center"/>
        <w:keepNext/>
        <w:spacing w:line="400" w:lineRule="exact"/>
        <w:rPr>
          <w:rFonts w:ascii="黑体" w:hAnsi="Times New Roman" w:eastAsia="黑体"/>
          <w:bCs/>
          <w:sz w:val="28"/>
          <w:szCs w:val="28"/>
        </w:rPr>
        <w:outlineLvl w:val="0"/>
      </w:pPr>
      <w:r>
        <w:rPr>
          <w:rFonts w:ascii="宋体" w:hAnsi="Courier New" w:cs="Courier New"/>
          <w:sz w:val="24"/>
          <w:szCs w:val="24"/>
        </w:rPr>
        <w:br w:type="page" w:clear="all"/>
      </w:r>
      <w:bookmarkStart w:id="196" w:name="_Toc236925642"/>
      <w:r/>
      <w:bookmarkStart w:id="197" w:name="_Toc120614281"/>
      <w:r>
        <w:rPr>
          <w:rFonts w:hint="eastAsia" w:ascii="方正黑体_GBK" w:hAnsi="方正黑体_GBK" w:eastAsia="方正黑体_GBK" w:cs="方正黑体_GBK"/>
          <w:sz w:val="28"/>
          <w:szCs w:val="28"/>
        </w:rPr>
        <w:t xml:space="preserve">第五章  评审方法与评审标准</w:t>
      </w:r>
      <w:bookmarkEnd w:id="196"/>
      <w:r/>
      <w:r/>
    </w:p>
    <w:p>
      <w:pPr>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书面声明格式见竞争性谈判文件第五章附件8-2），供应商将不享受《政府采购促进中小企业发展管理办法》规定的价格扣除优惠政策。</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w:t>
      </w:r>
      <w:r>
        <w:rPr>
          <w:rFonts w:hint="eastAsia" w:ascii="方正仿宋_GBK" w:hAnsi="方正仿宋_GBK" w:eastAsia="方正仿宋_GBK" w:cs="方正仿宋_GBK"/>
          <w:sz w:val="28"/>
          <w:szCs w:val="28"/>
        </w:rPr>
        <w:t xml:space="preserve">享受政策。</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562"/>
        <w:jc w:val="left"/>
        <w:spacing w:before="120" w:after="120" w:line="400" w:lineRule="exact"/>
        <w:rPr>
          <w:rFonts w:hint="eastAsia" w:ascii="宋体" w:hAnsi="宋体"/>
          <w:b/>
          <w:sz w:val="28"/>
          <w:szCs w:val="28"/>
        </w:rPr>
      </w:pPr>
      <w:r>
        <w:rPr>
          <w:rFonts w:hint="eastAsia" w:ascii="宋体" w:hAnsi="宋体"/>
          <w:b/>
          <w:sz w:val="28"/>
          <w:szCs w:val="28"/>
        </w:rPr>
      </w:r>
      <w:r/>
    </w:p>
    <w:p>
      <w:pPr>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ind w:firstLine="640"/>
        <w:jc w:val="left"/>
        <w:spacing w:before="120" w:after="120" w:line="0" w:lineRule="atLeast"/>
        <w:rPr>
          <w:rFonts w:hint="eastAsia" w:ascii="方正仿宋_GBK" w:hAnsi="方正仿宋_GBK" w:eastAsia="方正仿宋_GBK" w:cs="方正仿宋_GBK"/>
          <w:b/>
          <w:color w:val="000000"/>
          <w:sz w:val="32"/>
          <w:szCs w:val="32"/>
        </w:rPr>
      </w:pPr>
      <w:r>
        <w:rPr>
          <w:rFonts w:ascii="方正仿宋_GBK" w:hAnsi="方正仿宋_GBK" w:eastAsia="方正仿宋_GBK" w:cs="方正仿宋_GBK"/>
          <w:b/>
          <w:color w:val="000000"/>
          <w:sz w:val="32"/>
          <w:szCs w:val="32"/>
        </w:rPr>
        <w:t xml:space="preserve">评审方法与评审标准</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558"/>
        <w:gridCol w:w="5529"/>
        <w:gridCol w:w="708"/>
      </w:tblGrid>
      <w:tr>
        <w:trPr>
          <w:jc w:val="center"/>
          <w:trHeight w:val="558"/>
        </w:trPr>
        <w:tc>
          <w:tcPr>
            <w:tcW w:w="705"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序号</w:t>
            </w:r>
            <w:r/>
          </w:p>
        </w:tc>
        <w:tc>
          <w:tcPr>
            <w:tcW w:w="1558"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评审因素</w:t>
            </w:r>
            <w:r/>
          </w:p>
        </w:tc>
        <w:tc>
          <w:tcPr>
            <w:tcW w:w="5529"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评审细则</w:t>
            </w:r>
            <w:r/>
          </w:p>
        </w:tc>
        <w:tc>
          <w:tcPr>
            <w:tcW w:w="708"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分值</w:t>
            </w:r>
            <w:r/>
          </w:p>
        </w:tc>
      </w:tr>
      <w:tr>
        <w:trPr>
          <w:jc w:val="center"/>
          <w:trHeight w:val="410"/>
        </w:trPr>
        <w:tc>
          <w:tcPr>
            <w:gridSpan w:val="4"/>
            <w:tcW w:w="8500" w:type="dxa"/>
            <w:textDirection w:val="lrTb"/>
            <w:noWrap w:val="false"/>
          </w:tcPr>
          <w:p>
            <w:pPr>
              <w:spacing w:line="312" w:lineRule="auto"/>
              <w:rPr>
                <w:rFonts w:hint="eastAsia" w:asciiTheme="minorEastAsia" w:hAnsiTheme="minorEastAsia"/>
                <w:b/>
                <w:bCs/>
                <w:szCs w:val="24"/>
              </w:rPr>
            </w:pPr>
            <w:r>
              <w:rPr>
                <w:rFonts w:hint="eastAsia" w:asciiTheme="minorEastAsia" w:hAnsiTheme="minorEastAsia"/>
                <w:b/>
                <w:bCs/>
                <w:szCs w:val="24"/>
              </w:rPr>
              <w:t xml:space="preserve">一、价格（10分）</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1.1</w:t>
            </w:r>
            <w:r/>
          </w:p>
        </w:tc>
        <w:tc>
          <w:tcPr>
            <w:gridSpan w:val="2"/>
            <w:tcW w:w="7087" w:type="dxa"/>
            <w:vAlign w:val="center"/>
            <w:textDirection w:val="lrTb"/>
            <w:noWrap w:val="false"/>
          </w:tcPr>
          <w:p>
            <w:pPr>
              <w:spacing w:line="312" w:lineRule="auto"/>
              <w:rPr>
                <w:rFonts w:hint="eastAsia" w:asciiTheme="minorEastAsia" w:hAnsiTheme="minorEastAsia"/>
                <w:szCs w:val="24"/>
              </w:rPr>
            </w:pPr>
            <w:r>
              <w:rPr>
                <w:rFonts w:asciiTheme="minorEastAsia" w:hAnsiTheme="minorEastAsia"/>
                <w:szCs w:val="24"/>
              </w:rPr>
              <w:t xml:space="preserve">采用低价优先法计算，即满足磋商文件要求且最终报价最低的为评审基准价，其价格分为满分。其他供应商的价格分统一按照下列公式计算：报价得分=（评标基准价/最终报价）×10。</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10</w:t>
            </w:r>
            <w:r/>
          </w:p>
        </w:tc>
      </w:tr>
      <w:tr>
        <w:trPr>
          <w:jc w:val="center"/>
          <w:trHeight w:val="293"/>
        </w:trPr>
        <w:tc>
          <w:tcPr>
            <w:gridSpan w:val="4"/>
            <w:tcW w:w="8500" w:type="dxa"/>
            <w:textDirection w:val="lrTb"/>
            <w:noWrap w:val="false"/>
          </w:tcPr>
          <w:p>
            <w:pPr>
              <w:spacing w:line="312" w:lineRule="auto"/>
              <w:rPr>
                <w:rFonts w:hint="eastAsia" w:asciiTheme="minorEastAsia" w:hAnsiTheme="minorEastAsia"/>
                <w:b/>
                <w:bCs/>
                <w:szCs w:val="24"/>
              </w:rPr>
            </w:pPr>
            <w:r>
              <w:rPr>
                <w:rFonts w:hint="eastAsia" w:asciiTheme="minorEastAsia" w:hAnsiTheme="minorEastAsia"/>
                <w:b/>
                <w:bCs/>
                <w:szCs w:val="24"/>
              </w:rPr>
              <w:t xml:space="preserve">二、技术方案（30分）</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2.1</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总体技术方案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评委根据磋商响应文件对竞争性磋商文件第四章“采购需求”中“总体设计方案”要求的响应情况评审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中系统分层架构设计、数据架构设计、系统安全设计要求的响应内容全部优于竞争性磋商文件要求的（除上述要求外其他要求响应内容符合竞争性磋商文件要求），本项得5分。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2.2</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项目</w:t>
            </w:r>
            <w:r>
              <w:rPr>
                <w:rFonts w:asciiTheme="minorEastAsia" w:hAnsiTheme="minorEastAsia"/>
                <w:szCs w:val="24"/>
              </w:rPr>
              <w:t xml:space="preserve">实施方案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评委根据磋商响应文件对竞争性磋商文件第四章“采购需求”中“实施方案”要求的响应情况评审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"实施方案"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"实施方案"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"实施方案"</w:t>
            </w:r>
            <w:r>
              <w:rPr>
                <w:rFonts w:hint="eastAsia" w:asciiTheme="minorEastAsia" w:hAnsiTheme="minorEastAsia"/>
                <w:szCs w:val="24"/>
              </w:rPr>
              <w:t xml:space="preserve">中质量保障方案、进度保障方案、人员配置要求的响应内容全部优于竞争性磋商文件要求的（除上述要求外其他要求响应内容符合竞争性磋商文件要求），本项得5分。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2.3</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项目管理方案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评委根据磋商响应文件对竞争性磋商文件第四章“采购需求”中“项目管理方案”要求的响应情况评审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中项目建设周期及实施进度计划、项目质量、进度和管理保障要求的响应内容全部优于竞争性磋商文件要求的（除上述</w:t>
            </w:r>
            <w:r>
              <w:rPr>
                <w:rFonts w:hint="eastAsia" w:asciiTheme="minorEastAsia" w:hAnsiTheme="minorEastAsia"/>
                <w:szCs w:val="24"/>
              </w:rPr>
              <w:t xml:space="preserve">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2.4</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安全保障方案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评委根据磋商响应文件对竞争性磋商文件第四章“采购需求”中“安全保障方案”要求的响应情况评审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中安全性设计方案，包括信息访问、应用安全、数据安全要求的响应内容全部优于竞争性磋商文件要求的（除上述要求外其他要求响应内容符合竞争性磋商文件要求），本项得5分。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2.5</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运维服务方案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评委根据磋商响应文件对竞争性磋商文件第四章“采购需求”中“运维服务方案”要求的响应情况评审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中系统日常维护、故障问题处置要求的响应内容全部优于竞争性磋商文件要求的（除上述要求外其他要求响应内容符合竞争性磋商文件要求），本项得5分。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2.6</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项目培训方案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评委根据磋商响应文件对竞争性磋商文件第四章“采购需求”中“培训方案”要求的响应情况进行评审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（1）磋商响应文件未符合“培训方案”中全部条款要求的，视为不符合竞争性磋商文件，本项得0分；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（2）磋商响应文件符合“培训方案”中全部条款要求的，视为符合竞争性磋商文件，本项得3分；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（3）经评委认定，磋商响应文件对“培训方案”中 “培训方式”、“培训内容”两项要求的响应内容全部优于竞争性磋商文件要求的（磋商响应文件对“培训方案”中 “培训方式”、“培训内容”外其他要求响应内容符合竞争性磋商文件要求），本项得5分。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gridSpan w:val="4"/>
            <w:tcW w:w="8500" w:type="dxa"/>
            <w:vAlign w:val="center"/>
            <w:textDirection w:val="lrTb"/>
            <w:noWrap w:val="false"/>
          </w:tcPr>
          <w:p>
            <w:pPr>
              <w:jc w:val="left"/>
              <w:spacing w:line="312" w:lineRule="auto"/>
              <w:rPr>
                <w:rFonts w:hint="eastAsia" w:asciiTheme="minorEastAsia" w:hAnsiTheme="minorEastAsia"/>
                <w:szCs w:val="24"/>
              </w:rPr>
            </w:pPr>
            <w:r>
              <w:rPr>
                <w:rFonts w:hint="eastAsia" w:asciiTheme="minorEastAsia" w:hAnsiTheme="minorEastAsia"/>
                <w:szCs w:val="24"/>
              </w:rPr>
              <w:t xml:space="preserve">三、需求响应及服务（40分）</w:t>
            </w:r>
            <w:r/>
          </w:p>
        </w:tc>
      </w:tr>
      <w:tr>
        <w:trPr>
          <w:jc w:val="center"/>
          <w:trHeight w:val="293"/>
        </w:trPr>
        <w:tc>
          <w:tcPr>
            <w:gridSpan w:val="2"/>
            <w:tcW w:w="2263" w:type="dxa"/>
            <w:vAlign w:val="center"/>
            <w:vMerge w:val="restart"/>
            <w:textDirection w:val="lrTb"/>
            <w:noWrap w:val="false"/>
          </w:tcPr>
          <w:p>
            <w:pPr>
              <w:jc w:val="left"/>
              <w:spacing w:line="312" w:lineRule="auto"/>
              <w:rPr>
                <w:rFonts w:hint="eastAsia" w:asciiTheme="minorEastAsia" w:hAnsiTheme="minorEastAsia"/>
                <w:szCs w:val="24"/>
              </w:rPr>
            </w:pPr>
            <w:r>
              <w:rPr>
                <w:rFonts w:hint="eastAsia" w:asciiTheme="minorEastAsia" w:hAnsiTheme="minorEastAsia"/>
                <w:szCs w:val="24"/>
              </w:rPr>
              <w:t xml:space="preserve">需求响应</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3.1</w:t>
            </w:r>
            <w:r>
              <w:rPr>
                <w:rFonts w:asciiTheme="minorEastAsia" w:hAnsiTheme="minorEastAsia"/>
                <w:szCs w:val="24"/>
              </w:rPr>
              <w:t xml:space="preserve">根据</w:t>
            </w:r>
            <w:r>
              <w:rPr>
                <w:rFonts w:hint="eastAsia" w:asciiTheme="minorEastAsia" w:hAnsiTheme="minorEastAsia"/>
                <w:szCs w:val="24"/>
              </w:rPr>
              <w:t xml:space="preserve">“</w:t>
            </w:r>
            <w:r>
              <w:rPr>
                <w:rFonts w:asciiTheme="minorEastAsia" w:hAnsiTheme="minorEastAsia"/>
                <w:szCs w:val="24"/>
              </w:rPr>
              <w:t xml:space="preserve">采购需求-技术要求-项目建设内容要求下</w:t>
            </w:r>
            <w:r>
              <w:rPr>
                <w:rFonts w:hint="eastAsia" w:asciiTheme="minorEastAsia" w:hAnsiTheme="minorEastAsia"/>
                <w:szCs w:val="24"/>
              </w:rPr>
              <w:t xml:space="preserve">四</w:t>
            </w:r>
            <w:r>
              <w:rPr>
                <w:rFonts w:asciiTheme="minorEastAsia" w:hAnsiTheme="minorEastAsia"/>
                <w:szCs w:val="24"/>
              </w:rPr>
              <w:t xml:space="preserve">大功能模块</w:t>
            </w:r>
            <w:r>
              <w:rPr>
                <w:rFonts w:hint="eastAsia" w:asciiTheme="minorEastAsia" w:hAnsiTheme="minorEastAsia"/>
                <w:szCs w:val="24"/>
              </w:rPr>
              <w:t xml:space="preserve">”</w:t>
            </w:r>
            <w:r>
              <w:rPr>
                <w:rFonts w:asciiTheme="minorEastAsia" w:hAnsiTheme="minorEastAsia"/>
                <w:szCs w:val="24"/>
              </w:rPr>
              <w:t xml:space="preserve">中合计1</w:t>
            </w:r>
            <w:r>
              <w:rPr>
                <w:rFonts w:hint="eastAsia" w:asciiTheme="minorEastAsia" w:hAnsiTheme="minorEastAsia"/>
                <w:szCs w:val="24"/>
              </w:rPr>
              <w:t xml:space="preserve">3</w:t>
            </w:r>
            <w:r>
              <w:rPr>
                <w:rFonts w:asciiTheme="minorEastAsia" w:hAnsiTheme="minorEastAsia"/>
                <w:szCs w:val="24"/>
              </w:rPr>
              <w:t xml:space="preserve">项技术参数逐条响应，响应内容包括但不限于功能描述、界面设计、权限及流程</w:t>
            </w:r>
            <w:r>
              <w:rPr>
                <w:rFonts w:hint="eastAsia" w:asciiTheme="minorEastAsia" w:hAnsiTheme="minorEastAsia"/>
                <w:szCs w:val="24"/>
              </w:rPr>
              <w:t xml:space="preserve">设计</w:t>
            </w:r>
            <w:r>
              <w:rPr>
                <w:rFonts w:asciiTheme="minorEastAsia" w:hAnsiTheme="minorEastAsia"/>
                <w:szCs w:val="24"/>
              </w:rPr>
              <w:t xml:space="preserve">等。技术参数要求如下：</w:t>
            </w:r>
            <w:r/>
          </w:p>
          <w:p>
            <w:pPr>
              <w:spacing w:line="312" w:lineRule="auto"/>
              <w:rPr>
                <w:rFonts w:hint="eastAsia" w:asciiTheme="minorEastAsia" w:hAnsiTheme="minorEastAsia"/>
                <w:szCs w:val="24"/>
              </w:rPr>
            </w:pPr>
            <w:r>
              <w:rPr>
                <w:rFonts w:hint="eastAsia" w:asciiTheme="minorEastAsia" w:hAnsiTheme="minorEastAsia"/>
                <w:szCs w:val="24"/>
              </w:rPr>
              <w:t xml:space="preserve">（1）2.1</w:t>
            </w:r>
            <w:r>
              <w:rPr>
                <w:rFonts w:asciiTheme="minorEastAsia" w:hAnsiTheme="minorEastAsia"/>
                <w:szCs w:val="24"/>
              </w:rPr>
              <w:t xml:space="preserve">优化领导日程和值班管理功能</w:t>
            </w:r>
            <w:r>
              <w:rPr>
                <w:rFonts w:hint="eastAsia" w:asciiTheme="minorEastAsia" w:hAnsiTheme="minorEastAsia"/>
                <w:szCs w:val="24"/>
              </w:rPr>
              <w:t xml:space="preserve">建设中的共2项技术参数。</w:t>
            </w:r>
            <w:r/>
          </w:p>
          <w:p>
            <w:pPr>
              <w:spacing w:line="312" w:lineRule="auto"/>
              <w:rPr>
                <w:rFonts w:hint="eastAsia" w:asciiTheme="minorEastAsia" w:hAnsiTheme="minorEastAsia"/>
                <w:szCs w:val="24"/>
              </w:rPr>
            </w:pPr>
            <w:r>
              <w:rPr>
                <w:rFonts w:hint="eastAsia" w:asciiTheme="minorEastAsia" w:hAnsiTheme="minorEastAsia"/>
                <w:szCs w:val="24"/>
              </w:rPr>
              <w:t xml:space="preserve">（2）2.2</w:t>
            </w:r>
            <w:r>
              <w:rPr>
                <w:rFonts w:asciiTheme="minorEastAsia" w:hAnsiTheme="minorEastAsia"/>
                <w:szCs w:val="24"/>
              </w:rPr>
              <w:t xml:space="preserve">新增带新年休假计划功能</w:t>
            </w:r>
            <w:r>
              <w:rPr>
                <w:rFonts w:hint="eastAsia" w:asciiTheme="minorEastAsia" w:hAnsiTheme="minorEastAsia"/>
                <w:szCs w:val="24"/>
              </w:rPr>
              <w:t xml:space="preserve">建设中的共3项技术参数。</w:t>
            </w:r>
            <w:r/>
          </w:p>
          <w:p>
            <w:pPr>
              <w:spacing w:line="312" w:lineRule="auto"/>
              <w:rPr>
                <w:rFonts w:hint="eastAsia" w:asciiTheme="minorEastAsia" w:hAnsiTheme="minorEastAsia"/>
                <w:szCs w:val="24"/>
              </w:rPr>
            </w:pPr>
            <w:r>
              <w:rPr>
                <w:rFonts w:hint="eastAsia" w:asciiTheme="minorEastAsia" w:hAnsiTheme="minorEastAsia"/>
                <w:szCs w:val="24"/>
              </w:rPr>
              <w:t xml:space="preserve">（3）2.3</w:t>
            </w:r>
            <w:r>
              <w:rPr>
                <w:rFonts w:asciiTheme="minorEastAsia" w:hAnsiTheme="minorEastAsia"/>
                <w:szCs w:val="24"/>
              </w:rPr>
              <w:t xml:space="preserve">新增采购投诉办理</w:t>
            </w:r>
            <w:bookmarkStart w:id="198" w:name="OLE_LINK2"/>
            <w:r>
              <w:rPr>
                <w:rFonts w:asciiTheme="minorEastAsia" w:hAnsiTheme="minorEastAsia"/>
                <w:szCs w:val="24"/>
              </w:rPr>
              <w:t xml:space="preserve">功能</w:t>
            </w:r>
            <w:r>
              <w:rPr>
                <w:rFonts w:hint="eastAsia" w:asciiTheme="minorEastAsia" w:hAnsiTheme="minorEastAsia"/>
                <w:szCs w:val="24"/>
              </w:rPr>
              <w:t xml:space="preserve">建设中的共4</w:t>
            </w:r>
            <w:r>
              <w:rPr>
                <w:rFonts w:asciiTheme="minorEastAsia" w:hAnsiTheme="minorEastAsia"/>
                <w:szCs w:val="24"/>
              </w:rPr>
              <w:t xml:space="preserve">项技术参数</w:t>
            </w:r>
            <w:r>
              <w:rPr>
                <w:rFonts w:hint="eastAsia" w:asciiTheme="minorEastAsia" w:hAnsiTheme="minorEastAsia"/>
                <w:szCs w:val="24"/>
              </w:rPr>
              <w:t xml:space="preserve">。</w:t>
            </w:r>
            <w:bookmarkEnd w:id="198"/>
            <w:r/>
            <w:r/>
          </w:p>
          <w:p>
            <w:pPr>
              <w:spacing w:line="312" w:lineRule="auto"/>
              <w:rPr>
                <w:rFonts w:hint="eastAsia" w:asciiTheme="minorEastAsia" w:hAnsiTheme="minorEastAsia"/>
                <w:szCs w:val="24"/>
              </w:rPr>
            </w:pPr>
            <w:r>
              <w:rPr>
                <w:rFonts w:hint="eastAsia" w:asciiTheme="minorEastAsia" w:hAnsiTheme="minorEastAsia"/>
                <w:szCs w:val="24"/>
              </w:rPr>
              <w:t xml:space="preserve">（4）2.4完善督办管理功能</w:t>
            </w:r>
            <w:r>
              <w:rPr>
                <w:rFonts w:asciiTheme="minorEastAsia" w:hAnsiTheme="minorEastAsia"/>
                <w:szCs w:val="24"/>
              </w:rPr>
              <w:t xml:space="preserve">功能</w:t>
            </w:r>
            <w:r>
              <w:rPr>
                <w:rFonts w:hint="eastAsia" w:asciiTheme="minorEastAsia" w:hAnsiTheme="minorEastAsia"/>
                <w:szCs w:val="24"/>
              </w:rPr>
              <w:t xml:space="preserve">建设中的共4</w:t>
            </w:r>
            <w:r>
              <w:rPr>
                <w:rFonts w:asciiTheme="minorEastAsia" w:hAnsiTheme="minorEastAsia"/>
                <w:szCs w:val="24"/>
              </w:rPr>
              <w:t xml:space="preserve">项技术参数</w:t>
            </w:r>
            <w:r>
              <w:rPr>
                <w:rFonts w:hint="eastAsia" w:asciiTheme="minorEastAsia" w:hAnsiTheme="minorEastAsia"/>
                <w:szCs w:val="24"/>
              </w:rPr>
              <w:t xml:space="preserve">。</w:t>
            </w:r>
            <w:r/>
          </w:p>
          <w:p>
            <w:pPr>
              <w:spacing w:line="312" w:lineRule="auto"/>
              <w:rPr>
                <w:rFonts w:hint="eastAsia" w:asciiTheme="minorEastAsia" w:hAnsiTheme="minorEastAsia"/>
                <w:szCs w:val="24"/>
              </w:rPr>
            </w:pPr>
            <w:r>
              <w:rPr>
                <w:rFonts w:hint="eastAsia" w:asciiTheme="minorEastAsia" w:hAnsiTheme="minorEastAsia"/>
                <w:szCs w:val="24"/>
              </w:rPr>
              <w:t xml:space="preserve">以上技术参数全部满足得26分，存在负偏离的，每有一项负偏离扣2分，扣完为止。</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26</w:t>
            </w:r>
            <w:r/>
          </w:p>
        </w:tc>
      </w:tr>
      <w:tr>
        <w:trPr>
          <w:jc w:val="center"/>
          <w:trHeight w:val="293"/>
        </w:trPr>
        <w:tc>
          <w:tcPr>
            <w:gridSpan w:val="2"/>
            <w:tcW w:w="2263" w:type="dxa"/>
            <w:vAlign w:val="center"/>
            <w:vMerge w:val="continue"/>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3.2根据第四章“采购需求-技术要求-总体要求-1.3应用架构”要求中的技术指标要求逐条响应，</w:t>
            </w:r>
            <w:r>
              <w:rPr>
                <w:rFonts w:asciiTheme="minorEastAsia" w:hAnsiTheme="minorEastAsia"/>
                <w:szCs w:val="24"/>
              </w:rPr>
              <w:t xml:space="preserve">合计</w:t>
            </w:r>
            <w:r>
              <w:rPr>
                <w:rFonts w:hint="eastAsia" w:asciiTheme="minorEastAsia" w:hAnsiTheme="minorEastAsia"/>
                <w:szCs w:val="24"/>
              </w:rPr>
              <w:t xml:space="preserve">7项技术指标。</w:t>
            </w:r>
            <w:r/>
          </w:p>
          <w:p>
            <w:pPr>
              <w:spacing w:line="312" w:lineRule="auto"/>
              <w:rPr>
                <w:rFonts w:hint="eastAsia" w:asciiTheme="minorEastAsia" w:hAnsiTheme="minorEastAsia"/>
                <w:szCs w:val="24"/>
              </w:rPr>
            </w:pPr>
            <w:r>
              <w:rPr>
                <w:rFonts w:hint="eastAsia" w:asciiTheme="minorEastAsia" w:hAnsiTheme="minorEastAsia"/>
                <w:szCs w:val="24"/>
              </w:rPr>
              <w:t xml:space="preserve">以上技术指标要求全部满足得14分，存在负偏离的，每有一项负偏离扣2分，扣完为止。</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14</w:t>
            </w:r>
            <w:r/>
          </w:p>
        </w:tc>
      </w:tr>
      <w:tr>
        <w:trPr>
          <w:jc w:val="center"/>
          <w:trHeight w:val="534"/>
        </w:trPr>
        <w:tc>
          <w:tcPr>
            <w:gridSpan w:val="4"/>
            <w:tcW w:w="8500"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四、业绩及履约能力（20）</w:t>
            </w:r>
            <w:r/>
          </w:p>
        </w:tc>
      </w:tr>
      <w:tr>
        <w:trPr>
          <w:jc w:val="center"/>
          <w:trHeight w:val="534"/>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4.1</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供应商业绩</w:t>
            </w:r>
            <w:r/>
          </w:p>
        </w:tc>
        <w:tc>
          <w:tcPr>
            <w:tcW w:w="5529"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供应商自2023年1月1日（以合同签订日期为准）以来，承担过</w:t>
            </w:r>
            <w:r>
              <w:rPr>
                <w:rFonts w:asciiTheme="minorEastAsia" w:hAnsiTheme="minorEastAsia"/>
                <w:szCs w:val="24"/>
              </w:rPr>
              <w:t xml:space="preserve">行政办公系统</w:t>
            </w:r>
            <w:r>
              <w:rPr>
                <w:rFonts w:hint="eastAsia" w:asciiTheme="minorEastAsia" w:hAnsiTheme="minorEastAsia"/>
                <w:szCs w:val="24"/>
              </w:rPr>
              <w:t xml:space="preserve">相关项目案例项目的，每提供一个案例得2分，本项满分8分。</w:t>
            </w:r>
            <w:r/>
          </w:p>
          <w:p>
            <w:pPr>
              <w:jc w:val="left"/>
              <w:spacing w:line="312" w:lineRule="auto"/>
              <w:widowControl/>
              <w:rPr>
                <w:rFonts w:hint="eastAsia" w:asciiTheme="minorEastAsia" w:hAnsiTheme="minorEastAsia"/>
                <w:szCs w:val="24"/>
              </w:rPr>
            </w:pPr>
            <w:r>
              <w:rPr>
                <w:rFonts w:hint="eastAsia" w:asciiTheme="minorEastAsia" w:hAnsiTheme="minorEastAsia"/>
                <w:color w:val="000000" w:themeColor="text1"/>
                <w:szCs w:val="24"/>
              </w:rPr>
              <w:t xml:space="preserve">注：供应商需提供合同复印件并加盖供应商公章（合同复印件必需包含甲乙双方名称及公章、服务内容及合同签订日期），未提供或未提供完整不得分。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8</w:t>
            </w:r>
            <w:r/>
          </w:p>
        </w:tc>
      </w:tr>
      <w:tr>
        <w:trPr>
          <w:jc w:val="center"/>
          <w:trHeight w:val="534"/>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4.2</w:t>
            </w:r>
            <w:r/>
          </w:p>
        </w:tc>
        <w:tc>
          <w:tcPr>
            <w:tcW w:w="155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履约能力1</w:t>
            </w:r>
            <w:r/>
          </w:p>
        </w:tc>
        <w:tc>
          <w:tcPr>
            <w:tcW w:w="5529" w:type="dxa"/>
            <w:vAlign w:val="center"/>
            <w:textDirection w:val="lrTb"/>
            <w:noWrap w:val="false"/>
          </w:tcPr>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具有“国产化办公平台”“国产化采购管理”或“国产化督办管理”相关的计算机软件著作权登记证书，供应商需提供国家版权局颁发的计算机软件著作权登记证书扫描件或复印件加盖供应商公章，每提供一类软著得1分，本项满分3分，未提供不得分。</w:t>
            </w:r>
            <w:r/>
          </w:p>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（如磋商响应文件中提供的著作权名称表述与竞争性磋商文件描述的关键字样不一致，而该磋商响应文件中能证明供应商拥有的软件著作权具有相同或相似功能和效果，且评标委员会认可的，视同符合要求。）</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3</w:t>
            </w:r>
            <w:r/>
          </w:p>
        </w:tc>
      </w:tr>
      <w:tr>
        <w:trPr>
          <w:jc w:val="center"/>
          <w:trHeight w:val="534"/>
        </w:trPr>
        <w:tc>
          <w:tcPr>
            <w:tcW w:w="705" w:type="dxa"/>
            <w:vAlign w:val="center"/>
            <w:vMerge w:val="restart"/>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4.3</w:t>
            </w:r>
            <w:r/>
          </w:p>
        </w:tc>
        <w:tc>
          <w:tcPr>
            <w:tcW w:w="1558" w:type="dxa"/>
            <w:vAlign w:val="center"/>
            <w:vMerge w:val="restart"/>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履约能力2</w:t>
            </w:r>
            <w:r/>
          </w:p>
        </w:tc>
        <w:tc>
          <w:tcPr>
            <w:tcW w:w="5529" w:type="dxa"/>
            <w:vAlign w:val="center"/>
            <w:textDirection w:val="lrTb"/>
            <w:noWrap w:val="false"/>
          </w:tcPr>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1.项目经理</w:t>
            </w:r>
            <w:r/>
          </w:p>
          <w:p>
            <w:pPr>
              <w:pStyle w:val="1031"/>
              <w:rPr>
                <w:rFonts w:hint="eastAsia" w:asciiTheme="minorEastAsia" w:hAnsiTheme="minorEastAsia"/>
                <w:sz w:val="24"/>
                <w:szCs w:val="24"/>
              </w:rPr>
            </w:pPr>
            <w:r>
              <w:rPr>
                <w:rFonts w:hint="eastAsia" w:asciiTheme="minorEastAsia" w:hAnsiTheme="minorEastAsia"/>
                <w:sz w:val="24"/>
                <w:szCs w:val="24"/>
              </w:rPr>
              <w:t xml:space="preserve">具有</w:t>
            </w:r>
            <w:r>
              <w:rPr>
                <w:rFonts w:asciiTheme="minorEastAsia" w:hAnsiTheme="minorEastAsia"/>
                <w:sz w:val="24"/>
                <w:szCs w:val="24"/>
              </w:rPr>
              <w:t xml:space="preserve">行政主管部门颁发的计算机技术与软件专业资格证书</w:t>
            </w:r>
            <w:r>
              <w:rPr>
                <w:rFonts w:hint="eastAsia" w:asciiTheme="minorEastAsia" w:hAnsiTheme="minorEastAsia"/>
                <w:sz w:val="24"/>
                <w:szCs w:val="24"/>
              </w:rPr>
              <w:t xml:space="preserve"> - </w:t>
            </w:r>
            <w:bookmarkStart w:id="199" w:name="OLE_LINK52"/>
            <w:r>
              <w:rPr>
                <w:rFonts w:hint="eastAsia" w:asciiTheme="minorEastAsia" w:hAnsiTheme="minorEastAsia"/>
                <w:sz w:val="24"/>
                <w:szCs w:val="24"/>
              </w:rPr>
              <w:t xml:space="preserve">信息系统项目管理师证书</w:t>
            </w:r>
            <w:bookmarkEnd w:id="199"/>
            <w:r>
              <w:rPr>
                <w:rFonts w:hint="eastAsia" w:asciiTheme="minorEastAsia" w:hAnsiTheme="minorEastAsia"/>
                <w:sz w:val="24"/>
                <w:szCs w:val="24"/>
              </w:rPr>
              <w:t xml:space="preserve">，满足得2</w:t>
            </w:r>
            <w:r>
              <w:rPr>
                <w:rFonts w:hint="eastAsia" w:asciiTheme="minorEastAsia" w:hAnsiTheme="minorEastAsia"/>
                <w:sz w:val="24"/>
                <w:szCs w:val="24"/>
              </w:rPr>
              <w:t xml:space="preserve">分。</w:t>
            </w:r>
            <w:r/>
          </w:p>
          <w:p>
            <w:pPr>
              <w:spacing w:line="312" w:lineRule="auto"/>
              <w:widowControl/>
              <w:rPr>
                <w:rFonts w:hint="eastAsia" w:asciiTheme="minorEastAsia" w:hAnsiTheme="minorEastAsia"/>
                <w:szCs w:val="24"/>
              </w:rPr>
            </w:pPr>
            <w:r>
              <w:rPr>
                <w:rFonts w:hint="eastAsia" w:asciiTheme="minorEastAsia" w:hAnsiTheme="minorEastAsia"/>
                <w:szCs w:val="24"/>
              </w:rPr>
              <w:t xml:space="preserve">注：供应商需提供人员毕业证、学信网查验截图、有效期内的证书扫描件或复印件，</w:t>
            </w:r>
            <w:bookmarkStart w:id="200" w:name="OLE_LINK53"/>
            <w:r>
              <w:rPr>
                <w:rFonts w:hint="eastAsia" w:asciiTheme="minorEastAsia" w:hAnsiTheme="minorEastAsia"/>
                <w:szCs w:val="24"/>
              </w:rPr>
              <w:t xml:space="preserve">并加盖供应商公章，并同时提交该人员在磋商截止日期前3个月内任意一个月供应商为其缴纳社保的证明。</w:t>
            </w:r>
            <w:bookmarkEnd w:id="200"/>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w:t>
            </w:r>
            <w:r/>
          </w:p>
        </w:tc>
      </w:tr>
      <w:tr>
        <w:trPr>
          <w:jc w:val="center"/>
          <w:trHeight w:val="534"/>
        </w:trPr>
        <w:tc>
          <w:tcPr>
            <w:tcW w:w="705"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1558"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2、项目团队成员</w:t>
            </w:r>
            <w:r/>
          </w:p>
          <w:p>
            <w:pPr>
              <w:pStyle w:val="1031"/>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具</w:t>
            </w:r>
            <w:r>
              <w:rPr>
                <w:rFonts w:hint="eastAsia" w:cs="Times New Roman" w:asciiTheme="minorEastAsia" w:hAnsiTheme="minorEastAsia"/>
                <w:color w:val="000000"/>
                <w:sz w:val="24"/>
                <w:szCs w:val="24"/>
              </w:rPr>
              <w:t xml:space="preserve">有</w:t>
            </w:r>
            <w:r>
              <w:rPr>
                <w:rFonts w:cs="Times New Roman" w:asciiTheme="minorEastAsia" w:hAnsiTheme="minorEastAsia"/>
                <w:color w:val="000000"/>
                <w:sz w:val="24"/>
                <w:szCs w:val="24"/>
              </w:rPr>
              <w:t xml:space="preserve">行政主管部门颁发的计算机技术与软件专业资格证书中级</w:t>
            </w:r>
            <w:r>
              <w:rPr>
                <w:rFonts w:hint="eastAsia" w:cs="Times New Roman" w:asciiTheme="minorEastAsia" w:hAnsiTheme="minorEastAsia"/>
                <w:color w:val="000000"/>
                <w:sz w:val="24"/>
                <w:szCs w:val="24"/>
              </w:rPr>
              <w:t xml:space="preserve">及以上</w:t>
            </w:r>
            <w:r>
              <w:rPr>
                <w:rFonts w:cs="Times New Roman" w:asciiTheme="minorEastAsia" w:hAnsiTheme="minorEastAsia"/>
                <w:color w:val="000000"/>
                <w:sz w:val="24"/>
                <w:szCs w:val="24"/>
              </w:rPr>
              <w:t xml:space="preserve">证书，每具有1个证书得</w:t>
            </w: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分，本项</w:t>
            </w:r>
            <w:r>
              <w:rPr>
                <w:rFonts w:hint="eastAsia" w:cs="Times New Roman" w:asciiTheme="minorEastAsia" w:hAnsiTheme="minorEastAsia"/>
                <w:color w:val="000000"/>
                <w:sz w:val="24"/>
                <w:szCs w:val="24"/>
              </w:rPr>
              <w:t xml:space="preserve">满分3</w:t>
            </w:r>
            <w:r>
              <w:rPr>
                <w:rFonts w:cs="Times New Roman" w:asciiTheme="minorEastAsia" w:hAnsiTheme="minorEastAsia"/>
                <w:color w:val="000000"/>
                <w:sz w:val="24"/>
                <w:szCs w:val="24"/>
              </w:rPr>
              <w:t xml:space="preserve">分</w:t>
            </w:r>
            <w:r>
              <w:rPr>
                <w:rFonts w:hint="eastAsia" w:cs="Times New Roman" w:asciiTheme="minorEastAsia" w:hAnsiTheme="minorEastAsia"/>
                <w:color w:val="000000"/>
                <w:sz w:val="24"/>
                <w:szCs w:val="24"/>
              </w:rPr>
              <w:t xml:space="preserve">，未提供不得分。</w:t>
            </w:r>
            <w:r/>
          </w:p>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注：①供应商需</w:t>
            </w:r>
            <w:r>
              <w:rPr>
                <w:rFonts w:cs="Times New Roman" w:asciiTheme="minorEastAsia" w:hAnsiTheme="minorEastAsia"/>
                <w:color w:val="000000"/>
                <w:sz w:val="24"/>
                <w:szCs w:val="24"/>
              </w:rPr>
              <w:t xml:space="preserve">提供人员配置清单、证书复印件及近半年内任意1个月社保证明并加盖供应商单位公章</w:t>
            </w:r>
            <w:r>
              <w:rPr>
                <w:rFonts w:hint="eastAsia" w:cs="Times New Roman" w:asciiTheme="minorEastAsia" w:hAnsiTheme="minorEastAsia"/>
                <w:color w:val="000000"/>
                <w:sz w:val="24"/>
                <w:szCs w:val="24"/>
              </w:rPr>
              <w:t xml:space="preserve">。②同一人员有多项证书的不允许重复使用、不重复得分。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3</w:t>
            </w:r>
            <w:r/>
          </w:p>
        </w:tc>
      </w:tr>
      <w:tr>
        <w:trPr>
          <w:jc w:val="center"/>
          <w:trHeight w:val="534"/>
        </w:trPr>
        <w:tc>
          <w:tcPr>
            <w:tcW w:w="705"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1558"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3、所投人员具有参与“行政办公系统”项目建设实施经验，每提供一人经验得1分，本项满分4分，未提供不得分。</w:t>
            </w:r>
            <w:r/>
          </w:p>
          <w:p>
            <w:pPr>
              <w:pStyle w:val="103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注：①供应商需提供能证明团队人员具备相关项目经验的材料，加盖用户和供应商公章，并同时提交该人员在磋商截止日期前3个月内任意一个月供应商为其缴纳社保的证明。②同一人员有多项项目经验的材料不允许重复使用、不重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w:t>
            </w:r>
            <w:r/>
          </w:p>
        </w:tc>
      </w:tr>
    </w:tbl>
    <w:p>
      <w:pPr>
        <w:rPr>
          <w:rFonts w:hint="eastAsia" w:asciiTheme="minorEastAsia" w:hAnsiTheme="minorEastAsia"/>
          <w:szCs w:val="24"/>
        </w:rPr>
      </w:pPr>
      <w:r>
        <w:rPr>
          <w:rFonts w:hint="eastAsia" w:asciiTheme="minorEastAsia" w:hAnsiTheme="minorEastAsia"/>
          <w:szCs w:val="24"/>
        </w:rPr>
      </w:r>
      <w:r/>
    </w:p>
    <w:p>
      <w:pPr>
        <w:jc w:val="left"/>
        <w:widowControl/>
        <w:rPr>
          <w:rFonts w:hint="eastAsia" w:asciiTheme="minorEastAsia" w:hAnsiTheme="minorEastAsia"/>
          <w:szCs w:val="24"/>
        </w:rPr>
      </w:pPr>
      <w:r>
        <w:rPr>
          <w:rFonts w:hint="eastAsia" w:asciiTheme="minorEastAsia" w:hAnsiTheme="minorEastAsia"/>
          <w:szCs w:val="24"/>
        </w:rPr>
        <w:br w:type="page" w:clear="all"/>
      </w:r>
      <w:r/>
    </w:p>
    <w:p>
      <w:pPr>
        <w:rPr>
          <w:rFonts w:hint="eastAsia" w:asciiTheme="minorEastAsia" w:hAnsiTheme="minorEastAsia"/>
          <w:szCs w:val="24"/>
        </w:rPr>
      </w:pPr>
      <w:r>
        <w:rPr>
          <w:rFonts w:hint="eastAsia" w:asciiTheme="minorEastAsia" w:hAnsiTheme="minorEastAsia"/>
          <w:szCs w:val="24"/>
        </w:rPr>
      </w:r>
      <w:r/>
    </w:p>
    <w:p>
      <w:pPr>
        <w:rPr>
          <w:rFonts w:ascii="Times New Roman" w:hAnsi="Times New Roman"/>
          <w:szCs w:val="21"/>
        </w:rPr>
      </w:pPr>
      <w:r>
        <w:rPr>
          <w:rFonts w:ascii="Times New Roman" w:hAnsi="Times New Roman"/>
          <w:szCs w:val="21"/>
        </w:rPr>
      </w:r>
      <w:r/>
    </w:p>
    <w:p>
      <w:pPr>
        <w:jc w:val="center"/>
        <w:keepNext/>
        <w:spacing w:line="400" w:lineRule="exact"/>
        <w:rPr>
          <w:rFonts w:hint="eastAsia" w:ascii="方正黑体_GBK" w:hAnsi="方正黑体_GBK" w:eastAsia="方正黑体_GBK" w:cs="方正黑体_GBK"/>
          <w:sz w:val="28"/>
          <w:szCs w:val="28"/>
        </w:rPr>
        <w:outlineLvl w:val="0"/>
      </w:pPr>
      <w:r/>
      <w:bookmarkStart w:id="201" w:name="_Toc236925643"/>
      <w:r/>
      <w:bookmarkStart w:id="202" w:name="_Toc120614282"/>
      <w:r/>
      <w:bookmarkStart w:id="203" w:name="_Toc26554094"/>
      <w:r/>
      <w:bookmarkStart w:id="204" w:name="_Toc49090576"/>
      <w:r/>
      <w:bookmarkEnd w:id="189"/>
      <w:r/>
      <w:bookmarkEnd w:id="190"/>
      <w:r/>
      <w:bookmarkEnd w:id="197"/>
      <w:r>
        <w:rPr>
          <w:rFonts w:hint="eastAsia" w:ascii="方正黑体_GBK" w:hAnsi="方正黑体_GBK" w:eastAsia="方正黑体_GBK" w:cs="方正黑体_GBK"/>
          <w:sz w:val="28"/>
          <w:szCs w:val="28"/>
        </w:rPr>
        <w:t xml:space="preserve">第六章  响应文件格式</w:t>
      </w:r>
      <w:bookmarkEnd w:id="201"/>
      <w:r>
        <w:rPr>
          <w:rFonts w:hint="eastAsia" w:ascii="方正黑体_GBK" w:hAnsi="方正黑体_GBK" w:eastAsia="方正黑体_GBK" w:cs="方正黑体_GBK"/>
          <w:sz w:val="28"/>
          <w:szCs w:val="28"/>
        </w:rPr>
        <w:t xml:space="preserve"> </w:t>
      </w:r>
      <w:r/>
    </w:p>
    <w:p>
      <w:pPr>
        <w:jc w:val="center"/>
        <w:rPr>
          <w:rFonts w:hint="eastAsia" w:ascii="宋体" w:hAnsi="宋体"/>
          <w:b/>
          <w:sz w:val="72"/>
          <w:szCs w:val="21"/>
        </w:rPr>
      </w:pPr>
      <w:r/>
      <w:bookmarkStart w:id="205" w:name="_Hlt26671244"/>
      <w:r/>
      <w:bookmarkStart w:id="206" w:name="_Hlt26955039"/>
      <w:r/>
      <w:bookmarkEnd w:id="205"/>
      <w:r/>
      <w:bookmarkEnd w:id="206"/>
      <w:r/>
      <w:r/>
    </w:p>
    <w:p>
      <w:pPr>
        <w:jc w:val="center"/>
        <w:spacing w:line="66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响  应</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总备注：上述“资格审查内容”中1-5条、8、9条供应商必须在响应文件中提供相关材料，否则按无效响应处理。</w:t>
      </w:r>
      <w:r>
        <w:rPr>
          <w:rFonts w:ascii="方正仿宋_GBK" w:hAnsi="方正仿宋_GBK" w:eastAsia="方正仿宋_GBK" w:cs="方正仿宋_GBK"/>
          <w:sz w:val="28"/>
          <w:szCs w:val="28"/>
        </w:rPr>
        <w:t xml:space="preserve"> </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的实质性要求逐条做出响应，并按照磋商文件要求提供证明材料，否则按无效响应处理。（格式见附件10）</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p>
    <w:p>
      <w:pPr>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3.关于符合本国产品标准的声明函（格式见附件11）</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国产化适配改造</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网站优化提升</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网站运维服务</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年</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861" w:type="dxa"/>
            <w:textDirection w:val="lrTb"/>
            <w:noWrap w:val="false"/>
          </w:tcPr>
          <w:p>
            <w:pPr>
              <w:pStyle w:val="779"/>
              <w:spacing w:before="0" w:beforeAutospacing="0" w:after="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ff0000"/>
                <w:sz w:val="28"/>
                <w:szCs w:val="28"/>
              </w:rPr>
              <w:t xml:space="preserve">本项目不包含货物</w:t>
            </w: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w:t>
      </w:r>
      <w:r>
        <w:rPr>
          <w:rFonts w:hint="eastAsia" w:ascii="方正仿宋_GBK" w:hAnsi="方正仿宋_GBK" w:eastAsia="方正仿宋_GBK" w:cs="方正仿宋_GBK"/>
          <w:sz w:val="28"/>
          <w:szCs w:val="28"/>
        </w:rPr>
        <w:t xml:space="preserve">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jc w:val="left"/>
        <w:widowControl/>
        <w:rPr>
          <w:rFonts w:hint="eastAsia" w:ascii="方正黑体_GBK" w:hAnsi="方正黑体_GBK" w:eastAsia="方正黑体_GBK" w:cs="方正黑体_GBK"/>
          <w:bCs/>
          <w:sz w:val="28"/>
          <w:szCs w:val="28"/>
        </w:rPr>
      </w:pPr>
      <w:r>
        <w:rPr>
          <w:rFonts w:ascii="宋体" w:hAnsi="宋体"/>
          <w:b/>
          <w:sz w:val="28"/>
          <w:szCs w:val="28"/>
        </w:rPr>
        <w:br w:type="page" w:clear="all"/>
      </w: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eastAsia" w:ascii="宋体" w:hAnsi="宋体"/>
          <w:b/>
          <w:sz w:val="28"/>
          <w:szCs w:val="28"/>
        </w:rPr>
      </w:pPr>
      <w:r/>
      <w:bookmarkStart w:id="207" w:name="_Toc120614284"/>
      <w:r/>
      <w:bookmarkEnd w:id="202"/>
      <w:r/>
      <w:bookmarkEnd w:id="203"/>
      <w:r/>
      <w:bookmarkEnd w:id="204"/>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（响应供应商名称）授权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08" w:name="_Hlt26955070"/>
      <w:r/>
      <w:bookmarkStart w:id="209" w:name="_Hlt26671380"/>
      <w:r/>
      <w:bookmarkStart w:id="210" w:name="_格式3__银行出具的资信证明"/>
      <w:r/>
      <w:bookmarkEnd w:id="208"/>
      <w:r/>
      <w:bookmarkEnd w:id="209"/>
      <w:r/>
      <w:bookmarkEnd w:id="210"/>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420"/>
        <w:spacing w:line="400" w:lineRule="exact"/>
        <w:rPr>
          <w:rFonts w:ascii="Times New Roman" w:hAnsi="Times New Roman"/>
          <w:i/>
          <w:sz w:val="28"/>
          <w:szCs w:val="28"/>
          <w:u w:val="single"/>
        </w:rPr>
      </w:pPr>
      <w:r>
        <w:rPr>
          <w:rFonts w:ascii="Times New Roman" w:hAnsi="Times New Roman"/>
          <w:i/>
          <w:sz w:val="28"/>
          <w:szCs w:val="28"/>
          <w:u w:val="single"/>
        </w:rPr>
      </w:r>
      <w:r/>
    </w:p>
    <w:p>
      <w:pPr>
        <w:spacing w:line="400" w:lineRule="exact"/>
        <w:rPr>
          <w:rFonts w:ascii="Times New Roman" w:hAnsi="Times New Roman"/>
          <w:sz w:val="28"/>
          <w:szCs w:val="28"/>
        </w:rPr>
      </w:pPr>
      <w:r>
        <w:rPr>
          <w:rFonts w:ascii="Times New Roman" w:hAnsi="Times New Roman"/>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成交,</w:t>
      </w:r>
      <w:r>
        <w:rPr>
          <w:rFonts w:hint="eastAsia" w:ascii="方正仿宋_GBK" w:hAnsi="方正仿宋_GBK" w:eastAsia="方正仿宋_GBK" w:cs="方正仿宋_GBK"/>
          <w:sz w:val="28"/>
          <w:szCs w:val="28"/>
        </w:rPr>
        <w:t xml:space="preserve">我方将根据磋商文件的规定，严格履行合同的责任和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并保证在磋商文件规定的时间完成项目，交付买方验收、使用。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firstLine="584"/>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jc w:val="righ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附件8-1 中小微企业声明函（服务类项目）（采购包号：XX）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p>
    <w:p>
      <w:pPr>
        <w:jc w:val="left"/>
        <w:widowControl/>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br w:type="page" w:clear="all"/>
      </w:r>
      <w:r/>
    </w:p>
    <w:p>
      <w:pPr>
        <w:spacing w:line="560" w:lineRule="atLeast"/>
        <w:rPr>
          <w:rFonts w:eastAsia="方正仿宋_GBK"/>
          <w:sz w:val="22"/>
        </w:rPr>
      </w:pP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color w:val="333333"/>
          <w:sz w:val="32"/>
          <w:szCs w:val="32"/>
        </w:rPr>
        <w:t xml:space="preserve">附件</w:t>
      </w:r>
      <w:r>
        <w:rPr>
          <w:rFonts w:hint="eastAsia" w:ascii="方正仿宋_GBK" w:hAnsi="方正仿宋_GBK" w:eastAsia="方正仿宋_GBK" w:cs="方正仿宋_GBK"/>
          <w:color w:val="333333"/>
          <w:sz w:val="32"/>
          <w:szCs w:val="32"/>
        </w:rPr>
        <w:t xml:space="preserve">8-2</w:t>
      </w:r>
      <w:r/>
    </w:p>
    <w:p>
      <w:pPr>
        <w:ind w:firstLine="640"/>
        <w:jc w:val="center"/>
        <w:spacing w:line="560" w:lineRule="atLeast"/>
        <w:rPr>
          <w:rFonts w:hint="eastAsia"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提供服务的人员均为</w:t>
      </w:r>
      <w:r>
        <w:rPr>
          <w:rFonts w:ascii="方正仿宋_GBK" w:hAnsi="方正仿宋_GBK" w:eastAsia="方正仿宋_GBK" w:cs="方正仿宋_GBK"/>
          <w:color w:val="333333"/>
          <w:sz w:val="32"/>
          <w:szCs w:val="32"/>
        </w:rPr>
        <w:t xml:space="preserve">订立劳动合同的从业人员的</w:t>
      </w:r>
      <w:r>
        <w:rPr>
          <w:rFonts w:ascii="方正仿宋_GBK" w:hAnsi="方正仿宋_GBK" w:eastAsia="方正仿宋_GBK" w:cs="方正仿宋_GBK"/>
          <w:sz w:val="32"/>
          <w:szCs w:val="20"/>
        </w:rPr>
        <w:t xml:space="preserve">书面声明</w:t>
      </w:r>
      <w:r/>
    </w:p>
    <w:p>
      <w:pPr>
        <w:ind w:firstLine="640"/>
        <w:jc w:val="center"/>
        <w:spacing w:line="560" w:lineRule="atLeast"/>
        <w:rPr>
          <w:rFonts w:hint="eastAsia"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（采购包号：XX）</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本企业（本联合体，如项目采购包接受联合体参加的）参加江苏省政府采购中心组织的项目编号为</w:t>
      </w:r>
      <w:r>
        <w:rPr>
          <w:rFonts w:ascii="Times New Roman" w:hAnsi="Times New Roman" w:eastAsia="方正仿宋_GBK"/>
          <w:sz w:val="32"/>
          <w:szCs w:val="20"/>
        </w:rPr>
        <w:t xml:space="preserve">JSZC-320000-SCZX-G</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C</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T</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K</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20XX-XXXX</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XXXX</w:t>
      </w:r>
      <w:r>
        <w:rPr>
          <w:rFonts w:ascii="Times New Roman" w:hAnsi="Times New Roman" w:eastAsia="方正仿宋_GBK"/>
          <w:sz w:val="32"/>
          <w:szCs w:val="20"/>
        </w:rPr>
        <w:t xml:space="preserve">（项目名称）（采购包号：</w:t>
      </w:r>
      <w:r>
        <w:rPr>
          <w:rFonts w:ascii="Times New Roman" w:hAnsi="Times New Roman" w:eastAsia="方正仿宋_GBK"/>
          <w:sz w:val="32"/>
          <w:szCs w:val="20"/>
        </w:rPr>
        <w:t xml:space="preserve">XX</w:t>
      </w:r>
      <w:r>
        <w:rPr>
          <w:rFonts w:ascii="Times New Roman" w:hAnsi="Times New Roman" w:eastAsia="方正仿宋_GBK"/>
          <w:sz w:val="32"/>
          <w:szCs w:val="20"/>
        </w:rPr>
        <w:t xml:space="preserve">）项目采购活动，根据</w:t>
      </w:r>
      <w:r>
        <w:rPr>
          <w:rFonts w:ascii="方正仿宋_GBK" w:hAnsi="方正仿宋_GBK" w:eastAsia="方正仿宋_GBK" w:cs="方正仿宋_GBK"/>
          <w:color w:val="333333"/>
          <w:sz w:val="32"/>
          <w:szCs w:val="32"/>
        </w:rPr>
        <w:t xml:space="preserve">《政府采购促进中小企业发展管理办法》第四条规定</w:t>
      </w:r>
      <w:r>
        <w:rPr>
          <w:rFonts w:ascii="Times New Roman" w:hAnsi="Times New Roman" w:eastAsia="方正仿宋_GBK"/>
          <w:sz w:val="32"/>
          <w:szCs w:val="20"/>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rPr>
        <w:t xml:space="preserve">依照《中华人民共和国劳动合同法》订立劳动合同的从业人员。</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本企业（联合体）对上述声明的真实性负责。如有虚假，将依法承担相应责任。</w:t>
      </w:r>
      <w:r/>
    </w:p>
    <w:p>
      <w:pPr>
        <w:ind w:firstLine="624"/>
        <w:jc w:val="left"/>
        <w:spacing w:after="100" w:line="259" w:lineRule="auto"/>
        <w:widowControl/>
        <w:rPr>
          <w:rFonts w:eastAsia="方正仿宋_GBK"/>
          <w:sz w:val="22"/>
        </w:rPr>
      </w:pPr>
      <w:r>
        <w:rPr>
          <w:rFonts w:eastAsia="方正仿宋_GBK"/>
          <w:sz w:val="22"/>
        </w:rPr>
      </w:r>
      <w:r/>
    </w:p>
    <w:p>
      <w:pPr>
        <w:ind w:firstLine="624"/>
        <w:spacing w:line="590" w:lineRule="atLeast"/>
        <w:rPr>
          <w:rFonts w:hint="eastAsia" w:ascii="方正黑体_GBK" w:hAnsi="方正黑体_GBK" w:eastAsia="方正黑体_GBK" w:cs="方正黑体_GBK"/>
          <w:b/>
          <w:bCs/>
          <w:sz w:val="32"/>
          <w:szCs w:val="20"/>
        </w:rPr>
      </w:pPr>
      <w:r>
        <w:rPr>
          <w:rFonts w:ascii="方正黑体_GBK" w:hAnsi="方正黑体_GBK" w:eastAsia="方正黑体_GBK" w:cs="方正黑体_GBK"/>
          <w:b/>
          <w:bCs/>
          <w:color w:val="333333"/>
          <w:sz w:val="32"/>
          <w:szCs w:val="32"/>
        </w:rPr>
        <w:t xml:space="preserve">注：专门面向中小微型企业采购的采购项目采购包，供应商（供应商）未提供该书面声明的，投标（响应）无效。</w:t>
      </w:r>
      <w:r/>
    </w:p>
    <w:p>
      <w:pPr>
        <w:ind w:firstLine="560"/>
        <w:spacing w:line="400" w:lineRule="exact"/>
        <w:rPr>
          <w:rFonts w:hint="eastAsia" w:ascii="宋体" w:hAnsi="宋体"/>
          <w:sz w:val="28"/>
          <w:szCs w:val="28"/>
        </w:rPr>
      </w:pPr>
      <w:r>
        <w:rPr>
          <w:rFonts w:hint="eastAsia" w:ascii="宋体" w:hAnsi="宋体"/>
          <w:sz w:val="28"/>
          <w:szCs w:val="28"/>
        </w:rPr>
      </w:r>
      <w:r/>
    </w:p>
    <w:p>
      <w:pPr>
        <w:jc w:val="left"/>
        <w:widowControl/>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bookmarkEnd w:id="191"/>
      <w:r/>
      <w:bookmarkEnd w:id="192"/>
      <w:r/>
      <w:bookmarkEnd w:id="207"/>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附件11 关于符合本国产品标准的声明函（采购包号：XX）</w:t>
      </w:r>
      <w:r/>
    </w:p>
    <w:p>
      <w:pPr>
        <w:pStyle w:val="779"/>
        <w:ind w:firstLine="420"/>
        <w:spacing w:before="0" w:beforeAutospacing="0" w:after="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w:t>
      </w:r>
      <w:r>
        <w:rPr>
          <w:rStyle w:val="787"/>
          <w:rFonts w:hint="eastAsia" w:ascii="方正仿宋_GBK" w:hAnsi="方正仿宋_GBK" w:eastAsia="方正仿宋_GBK" w:cs="方正仿宋_GBK"/>
          <w:i w:val="0"/>
          <w:sz w:val="28"/>
          <w:szCs w:val="28"/>
          <w:u w:val="single"/>
          <w:shd w:val="clear" w:color="auto" w:fill="ffffff"/>
        </w:rPr>
        <w:t xml:space="preserve">（产品名称1）</w:t>
      </w:r>
      <w:r>
        <w:rPr>
          <w:rStyle w:val="78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87"/>
          <w:rFonts w:hint="eastAsia" w:ascii="方正仿宋_GBK" w:hAnsi="方正仿宋_GBK" w:eastAsia="方正仿宋_GBK" w:cs="方正仿宋_GBK"/>
          <w:i w:val="0"/>
          <w:sz w:val="28"/>
          <w:szCs w:val="28"/>
          <w:u w:val="single"/>
          <w:shd w:val="clear" w:color="auto" w:fill="ffffff"/>
        </w:rPr>
        <w:t xml:space="preserve">（厂名）</w:t>
      </w:r>
      <w:r>
        <w:rPr>
          <w:rStyle w:val="78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8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w:t>
      </w:r>
      <w:r>
        <w:rPr>
          <w:rStyle w:val="787"/>
          <w:rFonts w:hint="eastAsia" w:ascii="方正仿宋_GBK" w:hAnsi="方正仿宋_GBK" w:eastAsia="方正仿宋_GBK" w:cs="方正仿宋_GBK"/>
          <w:i w:val="0"/>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77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w:t>
      </w:r>
      <w:r>
        <w:rPr>
          <w:rStyle w:val="78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8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8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w:t>
      </w:r>
      <w:r>
        <w:rPr>
          <w:rStyle w:val="787"/>
          <w:rFonts w:hint="eastAsia" w:ascii="方正仿宋_GBK" w:hAnsi="方正仿宋_GBK" w:eastAsia="方正仿宋_GBK" w:cs="方正仿宋_GBK"/>
          <w:i w:val="0"/>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77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w:t>
      </w:r>
      <w:r/>
    </w:p>
    <w:p>
      <w:pPr>
        <w:pStyle w:val="77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779"/>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r>
      <w:r/>
    </w:p>
    <w:p>
      <w:pPr>
        <w:pStyle w:val="779"/>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p>
    <w:p>
      <w:pPr>
        <w:pStyle w:val="779"/>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w:t>
      </w:r>
      <w:r/>
    </w:p>
    <w:p>
      <w:pPr>
        <w:pStyle w:val="779"/>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__________________</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7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78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的地方不填。</w:t>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2580005</wp:posOffset>
              </wp:positionH>
              <wp:positionV relativeFrom="paragraph">
                <wp:posOffset>3175</wp:posOffset>
              </wp:positionV>
              <wp:extent cx="20764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7818" cy="1828800"/>
                      </a:xfrm>
                      <a:prstGeom prst="rect">
                        <a:avLst/>
                      </a:prstGeom>
                      <a:noFill/>
                      <a:ln>
                        <a:noFill/>
                      </a:ln>
                      <a:effectLst/>
                    </wps:spPr>
                    <wps:txbx>
                      <w:txbxContent>
                        <w:p>
                          <w:pPr>
                            <w:pStyle w:val="76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2pt;mso-position-vertical:absolute;width:16.3pt;height:144.0pt;mso-wrap-distance-left:9.0pt;mso-wrap-distance-top:0.0pt;mso-wrap-distance-right:9.0pt;mso-wrap-distance-bottom:0.0pt;visibility:visible;" filled="f" stroked="f">
              <v:textbox inset="0,0,0,0">
                <w:txbxContent>
                  <w:p>
                    <w:pPr>
                      <w:pStyle w:val="76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86"/>
      </w:rPr>
      <w:framePr w:wrap="around" w:vAnchor="text" w:hAnchor="margin" w:xAlign="center" w:y="1"/>
    </w:pPr>
    <w:r>
      <w:fldChar w:fldCharType="begin"/>
    </w:r>
    <w:r>
      <w:rPr>
        <w:rStyle w:val="786"/>
      </w:rPr>
      <w:instrText xml:space="preserve">PAGE  </w:instrText>
    </w:r>
    <w:r>
      <w:fldChar w:fldCharType="separate"/>
    </w:r>
    <w:r>
      <w:rPr>
        <w:rStyle w:val="786"/>
      </w:rPr>
      <w:t xml:space="preserve">1</w:t>
    </w:r>
    <w:r>
      <w:fldChar w:fldCharType="end"/>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3">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5">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4">
    <w:name w:val="TOC Heading"/>
    <w:uiPriority w:val="39"/>
    <w:unhideWhenUsed/>
  </w:style>
  <w:style w:type="paragraph" w:styleId="735" w:default="1">
    <w:name w:val="Normal"/>
    <w:qFormat/>
    <w:pPr>
      <w:jc w:val="both"/>
      <w:widowControl w:val="off"/>
    </w:pPr>
    <w:rPr>
      <w:sz w:val="21"/>
      <w:szCs w:val="22"/>
    </w:rPr>
  </w:style>
  <w:style w:type="paragraph" w:styleId="736">
    <w:name w:val="Heading 1"/>
    <w:basedOn w:val="735"/>
    <w:next w:val="735"/>
    <w:link w:val="823"/>
    <w:qFormat/>
    <w:pPr>
      <w:jc w:val="center"/>
      <w:keepNext/>
      <w:outlineLvl w:val="0"/>
    </w:pPr>
    <w:rPr>
      <w:rFonts w:ascii="楷体_GB2312" w:hAnsi="Times New Roman" w:eastAsia="楷体_GB2312"/>
      <w:sz w:val="28"/>
      <w:szCs w:val="28"/>
    </w:rPr>
  </w:style>
  <w:style w:type="paragraph" w:styleId="737">
    <w:name w:val="Heading 2"/>
    <w:basedOn w:val="735"/>
    <w:next w:val="748"/>
    <w:link w:val="824"/>
    <w:qFormat/>
    <w:pPr>
      <w:jc w:val="center"/>
      <w:keepLines/>
      <w:keepNext/>
      <w:spacing w:before="260" w:after="260" w:line="416" w:lineRule="auto"/>
      <w:outlineLvl w:val="1"/>
    </w:pPr>
    <w:rPr>
      <w:rFonts w:ascii="Arial" w:hAnsi="Arial" w:eastAsia="幼圆" w:cs="Arial"/>
      <w:b/>
      <w:bCs/>
      <w:sz w:val="44"/>
      <w:szCs w:val="44"/>
    </w:rPr>
  </w:style>
  <w:style w:type="paragraph" w:styleId="738">
    <w:name w:val="Heading 3"/>
    <w:basedOn w:val="735"/>
    <w:next w:val="748"/>
    <w:link w:val="826"/>
    <w:qFormat/>
    <w:pPr>
      <w:keepLines/>
      <w:keepNext/>
      <w:spacing w:before="260" w:after="260" w:line="416" w:lineRule="auto"/>
      <w:outlineLvl w:val="2"/>
    </w:pPr>
    <w:rPr>
      <w:rFonts w:ascii="Times New Roman" w:hAnsi="Times New Roman"/>
      <w:b/>
      <w:bCs/>
      <w:sz w:val="32"/>
      <w:szCs w:val="32"/>
    </w:rPr>
  </w:style>
  <w:style w:type="paragraph" w:styleId="739">
    <w:name w:val="Heading 4"/>
    <w:basedOn w:val="735"/>
    <w:next w:val="748"/>
    <w:link w:val="827"/>
    <w:qFormat/>
    <w:pPr>
      <w:keepLines/>
      <w:keepNext/>
      <w:spacing w:before="280" w:after="290" w:line="376" w:lineRule="auto"/>
      <w:outlineLvl w:val="3"/>
    </w:pPr>
    <w:rPr>
      <w:rFonts w:ascii="Arial" w:hAnsi="Arial" w:eastAsia="黑体" w:cs="Arial"/>
      <w:b/>
      <w:bCs/>
      <w:sz w:val="28"/>
      <w:szCs w:val="28"/>
    </w:rPr>
  </w:style>
  <w:style w:type="paragraph" w:styleId="740">
    <w:name w:val="Heading 5"/>
    <w:basedOn w:val="735"/>
    <w:next w:val="748"/>
    <w:link w:val="828"/>
    <w:qFormat/>
    <w:pPr>
      <w:keepNext/>
      <w:outlineLvl w:val="4"/>
    </w:pPr>
    <w:rPr>
      <w:rFonts w:ascii="宋体" w:hAnsi="Times New Roman"/>
      <w:color w:val="000000"/>
      <w:sz w:val="28"/>
      <w:szCs w:val="28"/>
    </w:rPr>
  </w:style>
  <w:style w:type="paragraph" w:styleId="741">
    <w:name w:val="Heading 6"/>
    <w:basedOn w:val="735"/>
    <w:next w:val="735"/>
    <w:link w:val="82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name w:val="Heading 7"/>
    <w:basedOn w:val="735"/>
    <w:next w:val="735"/>
    <w:link w:val="83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3">
    <w:name w:val="Heading 8"/>
    <w:basedOn w:val="735"/>
    <w:next w:val="735"/>
    <w:link w:val="831"/>
    <w:qFormat/>
    <w:pPr>
      <w:numPr>
        <w:ilvl w:val="7"/>
        <w:numId w:val="1"/>
      </w:numPr>
      <w:keepLines/>
      <w:keepNext/>
      <w:spacing w:before="240" w:after="64" w:line="320" w:lineRule="auto"/>
      <w:outlineLvl w:val="7"/>
    </w:pPr>
    <w:rPr>
      <w:rFonts w:ascii="Arial" w:hAnsi="Arial" w:eastAsia="黑体"/>
      <w:sz w:val="24"/>
      <w:szCs w:val="24"/>
    </w:rPr>
  </w:style>
  <w:style w:type="paragraph" w:styleId="744">
    <w:name w:val="Heading 9"/>
    <w:basedOn w:val="735"/>
    <w:next w:val="735"/>
    <w:link w:val="832"/>
    <w:qFormat/>
    <w:pPr>
      <w:numPr>
        <w:ilvl w:val="8"/>
        <w:numId w:val="1"/>
      </w:numPr>
      <w:keepLines/>
      <w:keepNext/>
      <w:spacing w:before="240" w:after="64" w:line="320" w:lineRule="auto"/>
      <w:outlineLvl w:val="8"/>
    </w:pPr>
    <w:rPr>
      <w:rFonts w:ascii="Arial" w:hAnsi="Arial" w:eastAsia="黑体"/>
      <w:szCs w:val="21"/>
    </w:rPr>
  </w:style>
  <w:style w:type="character" w:styleId="745" w:default="1">
    <w:name w:val="Default Paragraph Font"/>
    <w:uiPriority w:val="1"/>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Normal Indent"/>
    <w:basedOn w:val="735"/>
    <w:link w:val="825"/>
    <w:qFormat/>
    <w:pPr>
      <w:ind w:firstLine="420"/>
    </w:pPr>
    <w:rPr>
      <w:szCs w:val="21"/>
    </w:rPr>
  </w:style>
  <w:style w:type="paragraph" w:styleId="749">
    <w:name w:val="List 3"/>
    <w:basedOn w:val="735"/>
    <w:qFormat/>
    <w:pPr>
      <w:ind w:left="100" w:hanging="200"/>
    </w:pPr>
    <w:rPr>
      <w:rFonts w:ascii="Times New Roman" w:hAnsi="Times New Roman"/>
      <w:szCs w:val="21"/>
    </w:rPr>
  </w:style>
  <w:style w:type="paragraph" w:styleId="750">
    <w:name w:val="toc 7"/>
    <w:basedOn w:val="735"/>
    <w:next w:val="735"/>
    <w:uiPriority w:val="39"/>
    <w:unhideWhenUsed/>
    <w:qFormat/>
    <w:pPr>
      <w:ind w:left="1701"/>
      <w:spacing w:after="57"/>
    </w:pPr>
  </w:style>
  <w:style w:type="paragraph" w:styleId="751">
    <w:name w:val="Caption"/>
    <w:basedOn w:val="735"/>
    <w:next w:val="735"/>
    <w:uiPriority w:val="35"/>
    <w:qFormat/>
    <w:pPr>
      <w:spacing w:line="276" w:lineRule="auto"/>
    </w:pPr>
    <w:rPr>
      <w:b/>
      <w:bCs/>
      <w:color w:val="4f81bd"/>
      <w:sz w:val="18"/>
      <w:szCs w:val="18"/>
    </w:rPr>
  </w:style>
  <w:style w:type="paragraph" w:styleId="752">
    <w:name w:val="Document Map"/>
    <w:basedOn w:val="735"/>
    <w:link w:val="834"/>
    <w:semiHidden/>
    <w:qFormat/>
    <w:pPr>
      <w:shd w:val="clear" w:color="auto" w:fill="000080"/>
    </w:pPr>
    <w:rPr>
      <w:rFonts w:ascii="Times New Roman" w:hAnsi="Times New Roman"/>
      <w:szCs w:val="21"/>
    </w:rPr>
  </w:style>
  <w:style w:type="paragraph" w:styleId="753">
    <w:name w:val="annotation text"/>
    <w:basedOn w:val="735"/>
    <w:link w:val="835"/>
    <w:unhideWhenUsed/>
    <w:qFormat/>
    <w:pPr>
      <w:jc w:val="left"/>
    </w:pPr>
  </w:style>
  <w:style w:type="paragraph" w:styleId="754">
    <w:name w:val="Body Text 3"/>
    <w:basedOn w:val="735"/>
    <w:link w:val="836"/>
    <w:qFormat/>
    <w:rPr>
      <w:rFonts w:ascii="仿宋_GB2312" w:hAnsi="Arial" w:eastAsia="仿宋_GB2312"/>
      <w:sz w:val="32"/>
      <w:szCs w:val="32"/>
    </w:rPr>
  </w:style>
  <w:style w:type="paragraph" w:styleId="755">
    <w:name w:val="Body Text"/>
    <w:basedOn w:val="735"/>
    <w:link w:val="837"/>
    <w:qFormat/>
    <w:rPr>
      <w:rFonts w:ascii="楷体_GB2312" w:hAnsi="Arial" w:eastAsia="楷体_GB2312"/>
      <w:sz w:val="28"/>
      <w:szCs w:val="28"/>
    </w:rPr>
  </w:style>
  <w:style w:type="paragraph" w:styleId="756">
    <w:name w:val="Body Text Indent"/>
    <w:basedOn w:val="735"/>
    <w:link w:val="838"/>
    <w:unhideWhenUsed/>
    <w:qFormat/>
    <w:pPr>
      <w:ind w:left="420"/>
      <w:spacing w:after="120"/>
    </w:pPr>
  </w:style>
  <w:style w:type="paragraph" w:styleId="757">
    <w:name w:val="List 2"/>
    <w:basedOn w:val="735"/>
    <w:qFormat/>
    <w:pPr>
      <w:ind w:left="100" w:hanging="200"/>
    </w:pPr>
    <w:rPr>
      <w:rFonts w:ascii="Times New Roman" w:hAnsi="Times New Roman"/>
      <w:szCs w:val="21"/>
    </w:rPr>
  </w:style>
  <w:style w:type="paragraph" w:styleId="758">
    <w:name w:val="toc 5"/>
    <w:basedOn w:val="735"/>
    <w:next w:val="735"/>
    <w:uiPriority w:val="39"/>
    <w:unhideWhenUsed/>
    <w:qFormat/>
    <w:pPr>
      <w:ind w:left="1134"/>
      <w:spacing w:after="57"/>
    </w:pPr>
  </w:style>
  <w:style w:type="paragraph" w:styleId="759">
    <w:name w:val="toc 3"/>
    <w:basedOn w:val="735"/>
    <w:next w:val="735"/>
    <w:uiPriority w:val="39"/>
    <w:unhideWhenUsed/>
    <w:qFormat/>
    <w:pPr>
      <w:ind w:left="567"/>
      <w:spacing w:after="57"/>
    </w:pPr>
  </w:style>
  <w:style w:type="paragraph" w:styleId="760">
    <w:name w:val="Plain Text"/>
    <w:basedOn w:val="735"/>
    <w:link w:val="841"/>
    <w:qFormat/>
    <w:rPr>
      <w:rFonts w:ascii="宋体" w:hAnsi="Courier New" w:cs="Courier New"/>
      <w:szCs w:val="21"/>
    </w:rPr>
  </w:style>
  <w:style w:type="paragraph" w:styleId="761">
    <w:name w:val="toc 8"/>
    <w:basedOn w:val="735"/>
    <w:next w:val="735"/>
    <w:uiPriority w:val="39"/>
    <w:unhideWhenUsed/>
    <w:qFormat/>
    <w:pPr>
      <w:ind w:left="1984"/>
      <w:spacing w:after="57"/>
    </w:pPr>
  </w:style>
  <w:style w:type="paragraph" w:styleId="762">
    <w:name w:val="Date"/>
    <w:basedOn w:val="735"/>
    <w:next w:val="735"/>
    <w:link w:val="843"/>
    <w:qFormat/>
    <w:rPr>
      <w:rFonts w:ascii="Times New Roman" w:hAnsi="Times New Roman"/>
      <w:sz w:val="24"/>
      <w:szCs w:val="24"/>
    </w:rPr>
  </w:style>
  <w:style w:type="paragraph" w:styleId="763">
    <w:name w:val="Body Text Indent 2"/>
    <w:basedOn w:val="735"/>
    <w:link w:val="844"/>
    <w:qFormat/>
    <w:pPr>
      <w:ind w:left="630" w:firstLine="645"/>
    </w:pPr>
    <w:rPr>
      <w:rFonts w:ascii="Arial" w:hAnsi="Arial" w:eastAsia="仿宋_GB2312" w:cs="Arial"/>
      <w:sz w:val="32"/>
      <w:szCs w:val="32"/>
    </w:rPr>
  </w:style>
  <w:style w:type="paragraph" w:styleId="764">
    <w:name w:val="endnote text"/>
    <w:basedOn w:val="735"/>
    <w:link w:val="845"/>
    <w:uiPriority w:val="99"/>
    <w:unhideWhenUsed/>
    <w:qFormat/>
    <w:rPr>
      <w:sz w:val="20"/>
    </w:rPr>
  </w:style>
  <w:style w:type="paragraph" w:styleId="765">
    <w:name w:val="Balloon Text"/>
    <w:basedOn w:val="735"/>
    <w:link w:val="846"/>
    <w:semiHidden/>
    <w:qFormat/>
    <w:rPr>
      <w:rFonts w:ascii="Times New Roman" w:hAnsi="Times New Roman"/>
      <w:sz w:val="18"/>
      <w:szCs w:val="18"/>
    </w:rPr>
  </w:style>
  <w:style w:type="paragraph" w:styleId="766">
    <w:name w:val="Footer"/>
    <w:basedOn w:val="735"/>
    <w:link w:val="847"/>
    <w:uiPriority w:val="99"/>
    <w:qFormat/>
    <w:pPr>
      <w:jc w:val="left"/>
      <w:tabs>
        <w:tab w:val="center" w:pos="4153" w:leader="none"/>
        <w:tab w:val="right" w:pos="8306" w:leader="none"/>
      </w:tabs>
    </w:pPr>
    <w:rPr>
      <w:rFonts w:ascii="Times New Roman" w:hAnsi="Times New Roman"/>
      <w:sz w:val="18"/>
      <w:szCs w:val="18"/>
    </w:rPr>
  </w:style>
  <w:style w:type="paragraph" w:styleId="767">
    <w:name w:val="Header"/>
    <w:basedOn w:val="735"/>
    <w:link w:val="848"/>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8">
    <w:name w:val="toc 1"/>
    <w:basedOn w:val="735"/>
    <w:next w:val="735"/>
    <w:uiPriority w:val="39"/>
    <w:unhideWhenUsed/>
    <w:qFormat/>
    <w:pPr>
      <w:spacing w:after="57"/>
    </w:pPr>
  </w:style>
  <w:style w:type="paragraph" w:styleId="769">
    <w:name w:val="toc 4"/>
    <w:basedOn w:val="735"/>
    <w:next w:val="735"/>
    <w:uiPriority w:val="39"/>
    <w:unhideWhenUsed/>
    <w:qFormat/>
    <w:pPr>
      <w:ind w:left="850"/>
      <w:spacing w:after="57"/>
    </w:pPr>
  </w:style>
  <w:style w:type="paragraph" w:styleId="770">
    <w:name w:val="Subtitle"/>
    <w:basedOn w:val="735"/>
    <w:next w:val="735"/>
    <w:link w:val="851"/>
    <w:uiPriority w:val="11"/>
    <w:qFormat/>
    <w:pPr>
      <w:spacing w:before="200" w:after="200"/>
    </w:pPr>
    <w:rPr>
      <w:sz w:val="24"/>
      <w:szCs w:val="24"/>
    </w:rPr>
  </w:style>
  <w:style w:type="paragraph" w:styleId="771">
    <w:name w:val="List"/>
    <w:basedOn w:val="735"/>
    <w:qFormat/>
    <w:pPr>
      <w:ind w:left="200" w:hanging="200"/>
    </w:pPr>
    <w:rPr>
      <w:rFonts w:ascii="Times New Roman" w:hAnsi="Times New Roman"/>
      <w:szCs w:val="21"/>
    </w:rPr>
  </w:style>
  <w:style w:type="paragraph" w:styleId="772">
    <w:name w:val="footnote text"/>
    <w:basedOn w:val="735"/>
    <w:link w:val="852"/>
    <w:uiPriority w:val="99"/>
    <w:unhideWhenUsed/>
    <w:qFormat/>
    <w:pPr>
      <w:spacing w:after="40"/>
    </w:pPr>
    <w:rPr>
      <w:sz w:val="18"/>
    </w:rPr>
  </w:style>
  <w:style w:type="paragraph" w:styleId="773">
    <w:name w:val="toc 6"/>
    <w:basedOn w:val="735"/>
    <w:next w:val="735"/>
    <w:uiPriority w:val="39"/>
    <w:unhideWhenUsed/>
    <w:qFormat/>
    <w:pPr>
      <w:ind w:left="1417"/>
      <w:spacing w:after="57"/>
    </w:pPr>
  </w:style>
  <w:style w:type="paragraph" w:styleId="774">
    <w:name w:val="Body Text Indent 3"/>
    <w:basedOn w:val="735"/>
    <w:link w:val="854"/>
    <w:qFormat/>
    <w:pPr>
      <w:ind w:left="645" w:firstLine="645"/>
    </w:pPr>
    <w:rPr>
      <w:rFonts w:ascii="Arial" w:hAnsi="Arial" w:eastAsia="仿宋_GB2312" w:cs="Arial"/>
      <w:color w:val="ffff00"/>
      <w:sz w:val="32"/>
      <w:szCs w:val="32"/>
    </w:rPr>
  </w:style>
  <w:style w:type="paragraph" w:styleId="775">
    <w:name w:val="table of figures"/>
    <w:basedOn w:val="735"/>
    <w:next w:val="735"/>
    <w:semiHidden/>
    <w:qFormat/>
    <w:pPr>
      <w:ind w:left="840" w:hanging="420"/>
    </w:pPr>
    <w:rPr>
      <w:rFonts w:ascii="Times New Roman" w:hAnsi="Times New Roman"/>
      <w:szCs w:val="21"/>
    </w:rPr>
  </w:style>
  <w:style w:type="paragraph" w:styleId="776">
    <w:name w:val="toc 2"/>
    <w:basedOn w:val="735"/>
    <w:next w:val="735"/>
    <w:uiPriority w:val="39"/>
    <w:unhideWhenUsed/>
    <w:qFormat/>
    <w:pPr>
      <w:ind w:left="283"/>
      <w:spacing w:after="57"/>
    </w:pPr>
  </w:style>
  <w:style w:type="paragraph" w:styleId="777">
    <w:name w:val="toc 9"/>
    <w:basedOn w:val="735"/>
    <w:next w:val="735"/>
    <w:uiPriority w:val="39"/>
    <w:unhideWhenUsed/>
    <w:qFormat/>
    <w:pPr>
      <w:ind w:left="2268"/>
      <w:spacing w:after="57"/>
    </w:pPr>
  </w:style>
  <w:style w:type="paragraph" w:styleId="778">
    <w:name w:val="Body Text 2"/>
    <w:basedOn w:val="735"/>
    <w:link w:val="857"/>
    <w:qFormat/>
    <w:pPr>
      <w:jc w:val="center"/>
      <w:widowControl/>
    </w:pPr>
    <w:rPr>
      <w:rFonts w:ascii="楷体_GB2312" w:hAnsi="Times New Roman" w:eastAsia="楷体_GB2312"/>
      <w:sz w:val="28"/>
      <w:szCs w:val="28"/>
    </w:rPr>
  </w:style>
  <w:style w:type="paragraph" w:styleId="779">
    <w:name w:val="Normal (Web)"/>
    <w:basedOn w:val="735"/>
    <w:uiPriority w:val="99"/>
    <w:qFormat/>
    <w:pPr>
      <w:jc w:val="left"/>
      <w:spacing w:before="100" w:beforeAutospacing="1" w:after="100" w:afterAutospacing="1"/>
      <w:widowControl/>
    </w:pPr>
    <w:rPr>
      <w:rFonts w:ascii="宋体" w:hAnsi="宋体" w:cs="宋体"/>
      <w:sz w:val="24"/>
      <w:szCs w:val="24"/>
    </w:rPr>
  </w:style>
  <w:style w:type="paragraph" w:styleId="780">
    <w:name w:val="index 1"/>
    <w:basedOn w:val="735"/>
    <w:next w:val="735"/>
    <w:semiHidden/>
    <w:qFormat/>
    <w:pPr>
      <w:spacing w:line="240" w:lineRule="atLeast"/>
    </w:pPr>
    <w:rPr>
      <w:rFonts w:ascii="Times New Roman" w:hAnsi="Times New Roman"/>
      <w:b/>
      <w:bCs/>
      <w:szCs w:val="21"/>
    </w:rPr>
  </w:style>
  <w:style w:type="paragraph" w:styleId="781">
    <w:name w:val="Title"/>
    <w:basedOn w:val="735"/>
    <w:next w:val="735"/>
    <w:link w:val="858"/>
    <w:uiPriority w:val="10"/>
    <w:qFormat/>
    <w:pPr>
      <w:contextualSpacing/>
      <w:spacing w:before="300" w:after="200"/>
    </w:pPr>
    <w:rPr>
      <w:sz w:val="48"/>
      <w:szCs w:val="48"/>
    </w:rPr>
  </w:style>
  <w:style w:type="paragraph" w:styleId="782">
    <w:name w:val="annotation subject"/>
    <w:basedOn w:val="753"/>
    <w:next w:val="753"/>
    <w:link w:val="859"/>
    <w:semiHidden/>
    <w:qFormat/>
    <w:rPr>
      <w:rFonts w:ascii="Times New Roman" w:hAnsi="Times New Roman"/>
      <w:b/>
      <w:bCs/>
      <w:szCs w:val="21"/>
    </w:rPr>
  </w:style>
  <w:style w:type="table" w:styleId="783">
    <w:name w:val="Table Grid"/>
    <w:basedOn w:val="74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22"/>
    <w:qFormat/>
    <w:rPr>
      <w:b/>
      <w:bCs/>
    </w:rPr>
  </w:style>
  <w:style w:type="character" w:styleId="785">
    <w:name w:val="endnote reference"/>
    <w:uiPriority w:val="99"/>
    <w:unhideWhenUsed/>
    <w:qFormat/>
    <w:rPr>
      <w:vertAlign w:val="superscript"/>
    </w:rPr>
  </w:style>
  <w:style w:type="character" w:styleId="786">
    <w:name w:val="page number"/>
    <w:qFormat/>
  </w:style>
  <w:style w:type="character" w:styleId="787">
    <w:name w:val="Emphasis"/>
    <w:qFormat/>
    <w:rPr>
      <w:i/>
    </w:rPr>
  </w:style>
  <w:style w:type="character" w:styleId="788">
    <w:name w:val="Hyperlink"/>
    <w:uiPriority w:val="99"/>
    <w:qFormat/>
    <w:rPr>
      <w:color w:val="0000ff"/>
      <w:u w:val="single"/>
    </w:rPr>
  </w:style>
  <w:style w:type="character" w:styleId="789">
    <w:name w:val="annotation reference"/>
    <w:semiHidden/>
    <w:qFormat/>
    <w:rPr>
      <w:sz w:val="21"/>
      <w:szCs w:val="21"/>
    </w:rPr>
  </w:style>
  <w:style w:type="character" w:styleId="790">
    <w:name w:val="footnote reference"/>
    <w:uiPriority w:val="99"/>
    <w:unhideWhenUsed/>
    <w:qFormat/>
    <w:rPr>
      <w:vertAlign w:val="superscript"/>
    </w:rPr>
  </w:style>
  <w:style w:type="table" w:styleId="791" w:customStyle="1">
    <w:name w:val="无格式表格 11"/>
    <w:basedOn w:val="746"/>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46"/>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4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4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4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46"/>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4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4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46"/>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46"/>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46"/>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网格表 7 彩色1"/>
    <w:basedOn w:val="746"/>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46"/>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4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清单表 31"/>
    <w:basedOn w:val="746"/>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4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46"/>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清单表 6 彩色1"/>
    <w:basedOn w:val="746"/>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清单表 7 彩色1"/>
    <w:basedOn w:val="746"/>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style>
  <w:style w:type="paragraph" w:styleId="811" w:customStyle="1">
    <w:name w:val="TOC 标题112"/>
    <w:uiPriority w:val="39"/>
    <w:unhideWhenUsed/>
    <w:qFormat/>
  </w:style>
  <w:style w:type="paragraph" w:styleId="812">
    <w:name w:val="List Paragraph"/>
    <w:basedOn w:val="735"/>
    <w:uiPriority w:val="34"/>
    <w:qFormat/>
    <w:pPr>
      <w:contextualSpacing/>
      <w:ind w:left="720"/>
    </w:pPr>
  </w:style>
  <w:style w:type="paragraph" w:styleId="813">
    <w:name w:val="No Spacing"/>
    <w:uiPriority w:val="99"/>
    <w:qFormat/>
    <w:pPr>
      <w:jc w:val="both"/>
      <w:widowControl w:val="off"/>
    </w:pPr>
    <w:rPr>
      <w:rFonts w:ascii="Times New Roman" w:hAnsi="Times New Roman"/>
      <w:sz w:val="21"/>
      <w:szCs w:val="21"/>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35"/>
    <w:next w:val="735"/>
    <w:link w:val="874"/>
    <w:uiPriority w:val="29"/>
    <w:qFormat/>
    <w:pPr>
      <w:ind w:left="720" w:right="720"/>
    </w:pPr>
    <w:rPr>
      <w:i/>
    </w:rPr>
  </w:style>
  <w:style w:type="character" w:styleId="817" w:customStyle="1">
    <w:name w:val="Quote Char"/>
    <w:uiPriority w:val="29"/>
    <w:qFormat/>
    <w:rPr>
      <w:i/>
    </w:rPr>
  </w:style>
  <w:style w:type="paragraph" w:styleId="818">
    <w:name w:val="Intense Quote"/>
    <w:basedOn w:val="735"/>
    <w:next w:val="735"/>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uiPriority w:val="30"/>
    <w:qFormat/>
    <w:rPr>
      <w:i/>
    </w:r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标题111"/>
    <w:uiPriority w:val="39"/>
    <w:unhideWhenUsed/>
    <w:qFormat/>
  </w:style>
  <w:style w:type="character" w:styleId="823" w:customStyle="1">
    <w:name w:val="标题 1 字符"/>
    <w:link w:val="736"/>
    <w:qFormat/>
    <w:rPr>
      <w:rFonts w:ascii="楷体_GB2312" w:hAnsi="Times New Roman" w:eastAsia="楷体_GB2312" w:cs="Times New Roman"/>
      <w:sz w:val="28"/>
      <w:szCs w:val="28"/>
    </w:rPr>
  </w:style>
  <w:style w:type="character" w:styleId="824" w:customStyle="1">
    <w:name w:val="标题 2 字符"/>
    <w:link w:val="737"/>
    <w:qFormat/>
    <w:rPr>
      <w:rFonts w:ascii="Arial" w:hAnsi="Arial" w:eastAsia="幼圆" w:cs="Arial"/>
      <w:b/>
      <w:bCs/>
      <w:sz w:val="44"/>
      <w:szCs w:val="44"/>
    </w:rPr>
  </w:style>
  <w:style w:type="character" w:styleId="825" w:customStyle="1">
    <w:name w:val="正文缩进 字符"/>
    <w:link w:val="748"/>
    <w:qFormat/>
    <w:rPr>
      <w:szCs w:val="21"/>
    </w:rPr>
  </w:style>
  <w:style w:type="character" w:styleId="826" w:customStyle="1">
    <w:name w:val="标题 3 字符"/>
    <w:link w:val="738"/>
    <w:qFormat/>
    <w:rPr>
      <w:rFonts w:ascii="Times New Roman" w:hAnsi="Times New Roman" w:eastAsia="宋体" w:cs="Times New Roman"/>
      <w:b/>
      <w:bCs/>
      <w:sz w:val="32"/>
      <w:szCs w:val="32"/>
    </w:rPr>
  </w:style>
  <w:style w:type="character" w:styleId="827" w:customStyle="1">
    <w:name w:val="标题 4 字符"/>
    <w:link w:val="739"/>
    <w:qFormat/>
    <w:rPr>
      <w:rFonts w:ascii="Arial" w:hAnsi="Arial" w:eastAsia="黑体" w:cs="Arial"/>
      <w:b/>
      <w:bCs/>
      <w:sz w:val="28"/>
      <w:szCs w:val="28"/>
    </w:rPr>
  </w:style>
  <w:style w:type="character" w:styleId="828" w:customStyle="1">
    <w:name w:val="标题 5 字符"/>
    <w:link w:val="740"/>
    <w:qFormat/>
    <w:rPr>
      <w:rFonts w:ascii="宋体" w:hAnsi="Times New Roman" w:eastAsia="宋体" w:cs="Times New Roman"/>
      <w:color w:val="000000"/>
      <w:sz w:val="28"/>
      <w:szCs w:val="28"/>
    </w:rPr>
  </w:style>
  <w:style w:type="character" w:styleId="829" w:customStyle="1">
    <w:name w:val="标题 6 字符"/>
    <w:link w:val="741"/>
    <w:qFormat/>
    <w:rPr>
      <w:rFonts w:ascii="Arial" w:hAnsi="Arial" w:eastAsia="黑体" w:cs="Times New Roman"/>
      <w:b/>
      <w:bCs/>
      <w:sz w:val="24"/>
      <w:szCs w:val="24"/>
    </w:rPr>
  </w:style>
  <w:style w:type="character" w:styleId="830" w:customStyle="1">
    <w:name w:val="标题 7 字符"/>
    <w:link w:val="742"/>
    <w:qFormat/>
    <w:rPr>
      <w:rFonts w:ascii="Times New Roman" w:hAnsi="Times New Roman" w:eastAsia="宋体" w:cs="Times New Roman"/>
      <w:b/>
      <w:bCs/>
      <w:sz w:val="24"/>
      <w:szCs w:val="24"/>
    </w:rPr>
  </w:style>
  <w:style w:type="character" w:styleId="831" w:customStyle="1">
    <w:name w:val="标题 8 字符"/>
    <w:link w:val="743"/>
    <w:qFormat/>
    <w:rPr>
      <w:rFonts w:ascii="Arial" w:hAnsi="Arial" w:eastAsia="黑体" w:cs="Times New Roman"/>
      <w:sz w:val="24"/>
      <w:szCs w:val="24"/>
    </w:rPr>
  </w:style>
  <w:style w:type="character" w:styleId="832" w:customStyle="1">
    <w:name w:val="标题 9 字符"/>
    <w:link w:val="744"/>
    <w:qFormat/>
    <w:rPr>
      <w:rFonts w:ascii="Arial" w:hAnsi="Arial" w:eastAsia="黑体" w:cs="Times New Roman"/>
      <w:szCs w:val="21"/>
    </w:rPr>
  </w:style>
  <w:style w:type="paragraph" w:styleId="833" w:customStyle="1">
    <w:name w:val="目录 71"/>
    <w:basedOn w:val="735"/>
    <w:next w:val="735"/>
    <w:semiHidden/>
    <w:qFormat/>
    <w:pPr>
      <w:ind w:left="1260"/>
      <w:jc w:val="left"/>
    </w:pPr>
    <w:rPr>
      <w:rFonts w:ascii="Times New Roman" w:hAnsi="Times New Roman"/>
      <w:szCs w:val="21"/>
    </w:rPr>
  </w:style>
  <w:style w:type="character" w:styleId="834" w:customStyle="1">
    <w:name w:val="文档结构图 字符"/>
    <w:link w:val="752"/>
    <w:semiHidden/>
    <w:qFormat/>
    <w:rPr>
      <w:rFonts w:ascii="Times New Roman" w:hAnsi="Times New Roman" w:eastAsia="宋体" w:cs="Times New Roman"/>
      <w:szCs w:val="21"/>
      <w:shd w:val="clear" w:color="auto" w:fill="000080"/>
    </w:rPr>
  </w:style>
  <w:style w:type="character" w:styleId="835" w:customStyle="1">
    <w:name w:val="批注文字 字符"/>
    <w:link w:val="753"/>
    <w:uiPriority w:val="99"/>
    <w:semiHidden/>
    <w:qFormat/>
  </w:style>
  <w:style w:type="character" w:styleId="836" w:customStyle="1">
    <w:name w:val="正文文本 3 字符"/>
    <w:link w:val="754"/>
    <w:qFormat/>
    <w:rPr>
      <w:rFonts w:ascii="仿宋_GB2312" w:hAnsi="Arial" w:eastAsia="仿宋_GB2312" w:cs="Times New Roman"/>
      <w:sz w:val="32"/>
      <w:szCs w:val="32"/>
    </w:rPr>
  </w:style>
  <w:style w:type="character" w:styleId="837" w:customStyle="1">
    <w:name w:val="正文文本 字符"/>
    <w:link w:val="755"/>
    <w:qFormat/>
    <w:rPr>
      <w:rFonts w:ascii="楷体_GB2312" w:hAnsi="Arial" w:eastAsia="楷体_GB2312" w:cs="Times New Roman"/>
      <w:sz w:val="28"/>
      <w:szCs w:val="28"/>
    </w:rPr>
  </w:style>
  <w:style w:type="character" w:styleId="838" w:customStyle="1">
    <w:name w:val="正文文本缩进 字符"/>
    <w:link w:val="756"/>
    <w:uiPriority w:val="99"/>
    <w:semiHidden/>
    <w:qFormat/>
  </w:style>
  <w:style w:type="paragraph" w:styleId="839" w:customStyle="1">
    <w:name w:val="目录 51"/>
    <w:basedOn w:val="735"/>
    <w:next w:val="735"/>
    <w:semiHidden/>
    <w:qFormat/>
    <w:pPr>
      <w:ind w:left="840"/>
      <w:jc w:val="left"/>
    </w:pPr>
    <w:rPr>
      <w:rFonts w:ascii="Times New Roman" w:hAnsi="Times New Roman"/>
      <w:szCs w:val="21"/>
    </w:rPr>
  </w:style>
  <w:style w:type="paragraph" w:styleId="840" w:customStyle="1">
    <w:name w:val="目录 31"/>
    <w:basedOn w:val="735"/>
    <w:next w:val="735"/>
    <w:semiHidden/>
    <w:qFormat/>
    <w:pPr>
      <w:ind w:left="420"/>
      <w:jc w:val="left"/>
    </w:pPr>
    <w:rPr>
      <w:rFonts w:ascii="Times New Roman" w:hAnsi="Times New Roman"/>
      <w:i/>
      <w:iCs/>
      <w:szCs w:val="24"/>
    </w:rPr>
  </w:style>
  <w:style w:type="character" w:styleId="841" w:customStyle="1">
    <w:name w:val="纯文本 字符"/>
    <w:link w:val="760"/>
    <w:qFormat/>
    <w:rPr>
      <w:rFonts w:ascii="宋体" w:hAnsi="Courier New" w:eastAsia="宋体" w:cs="Courier New"/>
      <w:szCs w:val="21"/>
    </w:rPr>
  </w:style>
  <w:style w:type="paragraph" w:styleId="842" w:customStyle="1">
    <w:name w:val="目录 81"/>
    <w:basedOn w:val="735"/>
    <w:next w:val="735"/>
    <w:semiHidden/>
    <w:qFormat/>
    <w:pPr>
      <w:ind w:left="1470"/>
      <w:jc w:val="left"/>
    </w:pPr>
    <w:rPr>
      <w:rFonts w:ascii="Times New Roman" w:hAnsi="Times New Roman"/>
      <w:szCs w:val="21"/>
    </w:rPr>
  </w:style>
  <w:style w:type="character" w:styleId="843" w:customStyle="1">
    <w:name w:val="日期 字符"/>
    <w:link w:val="762"/>
    <w:qFormat/>
    <w:rPr>
      <w:rFonts w:ascii="Times New Roman" w:hAnsi="Times New Roman" w:eastAsia="宋体" w:cs="Times New Roman"/>
      <w:sz w:val="24"/>
      <w:szCs w:val="24"/>
    </w:rPr>
  </w:style>
  <w:style w:type="character" w:styleId="844" w:customStyle="1">
    <w:name w:val="正文文本缩进 2 字符"/>
    <w:link w:val="763"/>
    <w:qFormat/>
    <w:rPr>
      <w:rFonts w:ascii="Arial" w:hAnsi="Arial" w:eastAsia="仿宋_GB2312" w:cs="Arial"/>
      <w:sz w:val="32"/>
      <w:szCs w:val="32"/>
    </w:rPr>
  </w:style>
  <w:style w:type="character" w:styleId="845" w:customStyle="1">
    <w:name w:val="尾注文本 字符"/>
    <w:link w:val="764"/>
    <w:uiPriority w:val="99"/>
    <w:qFormat/>
    <w:rPr>
      <w:sz w:val="20"/>
    </w:rPr>
  </w:style>
  <w:style w:type="character" w:styleId="846" w:customStyle="1">
    <w:name w:val="批注框文本 字符"/>
    <w:link w:val="765"/>
    <w:semiHidden/>
    <w:qFormat/>
    <w:rPr>
      <w:rFonts w:ascii="Times New Roman" w:hAnsi="Times New Roman" w:eastAsia="宋体" w:cs="Times New Roman"/>
      <w:sz w:val="18"/>
      <w:szCs w:val="18"/>
    </w:rPr>
  </w:style>
  <w:style w:type="character" w:styleId="847" w:customStyle="1">
    <w:name w:val="页脚 字符"/>
    <w:link w:val="766"/>
    <w:uiPriority w:val="99"/>
    <w:qFormat/>
    <w:rPr>
      <w:rFonts w:ascii="Times New Roman" w:hAnsi="Times New Roman" w:eastAsia="宋体" w:cs="Times New Roman"/>
      <w:sz w:val="18"/>
      <w:szCs w:val="18"/>
    </w:rPr>
  </w:style>
  <w:style w:type="character" w:styleId="848" w:customStyle="1">
    <w:name w:val="页眉 字符"/>
    <w:link w:val="767"/>
    <w:qFormat/>
    <w:rPr>
      <w:rFonts w:ascii="Times New Roman" w:hAnsi="Times New Roman" w:eastAsia="宋体" w:cs="Times New Roman"/>
      <w:sz w:val="18"/>
      <w:szCs w:val="18"/>
    </w:rPr>
  </w:style>
  <w:style w:type="paragraph" w:styleId="849" w:customStyle="1">
    <w:name w:val="目录 11"/>
    <w:basedOn w:val="735"/>
    <w:next w:val="735"/>
    <w:semiHidden/>
    <w:qFormat/>
    <w:pPr>
      <w:jc w:val="left"/>
      <w:spacing w:before="120" w:after="120" w:line="400" w:lineRule="exact"/>
      <w:tabs>
        <w:tab w:val="right" w:pos="8720" w:leader="dot"/>
      </w:tabs>
    </w:pPr>
    <w:rPr>
      <w:rFonts w:ascii="宋体" w:hAnsi="宋体"/>
      <w:caps/>
      <w:sz w:val="24"/>
      <w:szCs w:val="24"/>
    </w:rPr>
  </w:style>
  <w:style w:type="paragraph" w:styleId="850" w:customStyle="1">
    <w:name w:val="目录 41"/>
    <w:basedOn w:val="735"/>
    <w:next w:val="735"/>
    <w:semiHidden/>
    <w:qFormat/>
    <w:pPr>
      <w:ind w:left="630"/>
      <w:jc w:val="left"/>
    </w:pPr>
    <w:rPr>
      <w:rFonts w:ascii="Times New Roman" w:hAnsi="Times New Roman"/>
      <w:szCs w:val="21"/>
    </w:rPr>
  </w:style>
  <w:style w:type="character" w:styleId="851" w:customStyle="1">
    <w:name w:val="副标题 字符"/>
    <w:link w:val="770"/>
    <w:uiPriority w:val="11"/>
    <w:qFormat/>
    <w:rPr>
      <w:sz w:val="24"/>
      <w:szCs w:val="24"/>
    </w:rPr>
  </w:style>
  <w:style w:type="character" w:styleId="852" w:customStyle="1">
    <w:name w:val="脚注文本 字符"/>
    <w:link w:val="772"/>
    <w:uiPriority w:val="99"/>
    <w:qFormat/>
    <w:rPr>
      <w:sz w:val="18"/>
    </w:rPr>
  </w:style>
  <w:style w:type="paragraph" w:styleId="853" w:customStyle="1">
    <w:name w:val="目录 61"/>
    <w:basedOn w:val="735"/>
    <w:next w:val="735"/>
    <w:semiHidden/>
    <w:qFormat/>
    <w:pPr>
      <w:ind w:left="1050"/>
      <w:jc w:val="left"/>
    </w:pPr>
    <w:rPr>
      <w:rFonts w:ascii="Times New Roman" w:hAnsi="Times New Roman"/>
      <w:szCs w:val="21"/>
    </w:rPr>
  </w:style>
  <w:style w:type="character" w:styleId="854" w:customStyle="1">
    <w:name w:val="正文文本缩进 3 字符"/>
    <w:link w:val="774"/>
    <w:qFormat/>
    <w:rPr>
      <w:rFonts w:ascii="Arial" w:hAnsi="Arial" w:eastAsia="仿宋_GB2312" w:cs="Arial"/>
      <w:color w:val="ffff00"/>
      <w:sz w:val="32"/>
      <w:szCs w:val="32"/>
    </w:rPr>
  </w:style>
  <w:style w:type="paragraph" w:styleId="855" w:customStyle="1">
    <w:name w:val="目录 21"/>
    <w:basedOn w:val="735"/>
    <w:next w:val="735"/>
    <w:semiHidden/>
    <w:qFormat/>
    <w:pPr>
      <w:ind w:left="210"/>
      <w:jc w:val="left"/>
    </w:pPr>
    <w:rPr>
      <w:rFonts w:ascii="Times New Roman" w:hAnsi="Times New Roman"/>
      <w:smallCaps/>
      <w:szCs w:val="24"/>
    </w:rPr>
  </w:style>
  <w:style w:type="paragraph" w:styleId="856" w:customStyle="1">
    <w:name w:val="目录 91"/>
    <w:basedOn w:val="735"/>
    <w:next w:val="735"/>
    <w:semiHidden/>
    <w:qFormat/>
    <w:pPr>
      <w:ind w:left="1680"/>
      <w:jc w:val="left"/>
    </w:pPr>
    <w:rPr>
      <w:rFonts w:ascii="Times New Roman" w:hAnsi="Times New Roman"/>
      <w:szCs w:val="21"/>
    </w:rPr>
  </w:style>
  <w:style w:type="character" w:styleId="857" w:customStyle="1">
    <w:name w:val="正文文本 2 字符"/>
    <w:link w:val="778"/>
    <w:qFormat/>
    <w:rPr>
      <w:rFonts w:ascii="楷体_GB2312" w:hAnsi="Times New Roman" w:eastAsia="楷体_GB2312" w:cs="Times New Roman"/>
      <w:sz w:val="28"/>
      <w:szCs w:val="28"/>
    </w:rPr>
  </w:style>
  <w:style w:type="character" w:styleId="858" w:customStyle="1">
    <w:name w:val="标题 字符"/>
    <w:link w:val="781"/>
    <w:uiPriority w:val="10"/>
    <w:qFormat/>
    <w:rPr>
      <w:sz w:val="48"/>
      <w:szCs w:val="48"/>
    </w:rPr>
  </w:style>
  <w:style w:type="character" w:styleId="859" w:customStyle="1">
    <w:name w:val="批注主题 字符"/>
    <w:link w:val="782"/>
    <w:semiHidden/>
    <w:qFormat/>
    <w:rPr>
      <w:rFonts w:ascii="Times New Roman" w:hAnsi="Times New Roman" w:eastAsia="宋体" w:cs="Times New Roman"/>
      <w:b/>
      <w:bCs/>
      <w:szCs w:val="21"/>
    </w:rPr>
  </w:style>
  <w:style w:type="paragraph" w:styleId="860" w:customStyle="1">
    <w:name w:val="正文首行缩进1"/>
    <w:basedOn w:val="735"/>
    <w:link w:val="861"/>
    <w:qFormat/>
    <w:pPr>
      <w:ind w:firstLine="200"/>
      <w:spacing w:line="360" w:lineRule="auto"/>
    </w:pPr>
    <w:rPr>
      <w:rFonts w:ascii="仿宋_GB2312" w:hAnsi="Times New Roman" w:eastAsia="仿宋_GB2312"/>
      <w:sz w:val="30"/>
      <w:szCs w:val="30"/>
    </w:rPr>
  </w:style>
  <w:style w:type="character" w:styleId="861" w:customStyle="1">
    <w:name w:val="正文首行缩进 Char"/>
    <w:link w:val="860"/>
    <w:qFormat/>
    <w:rPr>
      <w:rFonts w:ascii="仿宋_GB2312" w:hAnsi="Times New Roman" w:eastAsia="仿宋_GB2312" w:cs="Times New Roman"/>
      <w:sz w:val="30"/>
      <w:szCs w:val="30"/>
    </w:rPr>
  </w:style>
  <w:style w:type="paragraph" w:styleId="862" w:customStyle="1">
    <w:name w:val="正文首行缩进 21"/>
    <w:basedOn w:val="756"/>
    <w:link w:val="863"/>
    <w:qFormat/>
    <w:pPr>
      <w:ind w:left="0" w:firstLine="420"/>
      <w:spacing w:after="0" w:line="360" w:lineRule="auto"/>
    </w:pPr>
    <w:rPr>
      <w:rFonts w:ascii="宋体" w:hAnsi="宋体"/>
      <w:szCs w:val="20"/>
    </w:rPr>
  </w:style>
  <w:style w:type="character" w:styleId="863" w:customStyle="1">
    <w:name w:val="正文首行缩进 2 Char"/>
    <w:link w:val="862"/>
    <w:qFormat/>
    <w:rPr>
      <w:rFonts w:ascii="宋体" w:hAnsi="宋体" w:eastAsia="宋体" w:cs="Times New Roman"/>
      <w:szCs w:val="20"/>
    </w:rPr>
  </w:style>
  <w:style w:type="character" w:styleId="864" w:customStyle="1">
    <w:name w:val="Heading 1 Char"/>
    <w:uiPriority w:val="9"/>
    <w:qFormat/>
    <w:rPr>
      <w:rFonts w:ascii="Arial" w:hAnsi="Arial" w:eastAsia="Arial" w:cs="Arial"/>
      <w:sz w:val="40"/>
      <w:szCs w:val="40"/>
    </w:rPr>
  </w:style>
  <w:style w:type="character" w:styleId="865" w:customStyle="1">
    <w:name w:val="Heading 2 Char"/>
    <w:uiPriority w:val="9"/>
    <w:qFormat/>
    <w:rPr>
      <w:rFonts w:ascii="Arial" w:hAnsi="Arial" w:eastAsia="Arial" w:cs="Arial"/>
      <w:sz w:val="34"/>
    </w:rPr>
  </w:style>
  <w:style w:type="character" w:styleId="866" w:customStyle="1">
    <w:name w:val="Heading 3 Char"/>
    <w:uiPriority w:val="9"/>
    <w:qFormat/>
    <w:rPr>
      <w:rFonts w:ascii="Arial" w:hAnsi="Arial" w:eastAsia="Arial" w:cs="Arial"/>
      <w:sz w:val="30"/>
      <w:szCs w:val="30"/>
    </w:rPr>
  </w:style>
  <w:style w:type="character" w:styleId="867" w:customStyle="1">
    <w:name w:val="Heading 4 Char"/>
    <w:uiPriority w:val="9"/>
    <w:qFormat/>
    <w:rPr>
      <w:rFonts w:ascii="Arial" w:hAnsi="Arial" w:eastAsia="Arial" w:cs="Arial"/>
      <w:b/>
      <w:bCs/>
      <w:sz w:val="26"/>
      <w:szCs w:val="26"/>
    </w:rPr>
  </w:style>
  <w:style w:type="character" w:styleId="868" w:customStyle="1">
    <w:name w:val="Heading 5 Char"/>
    <w:uiPriority w:val="9"/>
    <w:qFormat/>
    <w:rPr>
      <w:rFonts w:ascii="Arial" w:hAnsi="Arial" w:eastAsia="Arial" w:cs="Arial"/>
      <w:b/>
      <w:bCs/>
      <w:sz w:val="24"/>
      <w:szCs w:val="24"/>
    </w:rPr>
  </w:style>
  <w:style w:type="character" w:styleId="869" w:customStyle="1">
    <w:name w:val="Heading 6 Char"/>
    <w:uiPriority w:val="9"/>
    <w:qFormat/>
    <w:rPr>
      <w:rFonts w:ascii="Arial" w:hAnsi="Arial" w:eastAsia="Arial" w:cs="Arial"/>
      <w:b/>
      <w:bCs/>
      <w:sz w:val="22"/>
      <w:szCs w:val="22"/>
    </w:rPr>
  </w:style>
  <w:style w:type="character" w:styleId="870" w:customStyle="1">
    <w:name w:val="Heading 7 Char"/>
    <w:uiPriority w:val="9"/>
    <w:qFormat/>
    <w:rPr>
      <w:rFonts w:ascii="Arial" w:hAnsi="Arial" w:eastAsia="Arial" w:cs="Arial"/>
      <w:b/>
      <w:bCs/>
      <w:i/>
      <w:iCs/>
      <w:sz w:val="22"/>
      <w:szCs w:val="22"/>
    </w:rPr>
  </w:style>
  <w:style w:type="character" w:styleId="871" w:customStyle="1">
    <w:name w:val="Heading 8 Char"/>
    <w:uiPriority w:val="9"/>
    <w:qFormat/>
    <w:rPr>
      <w:rFonts w:ascii="Arial" w:hAnsi="Arial" w:eastAsia="Arial" w:cs="Arial"/>
      <w:i/>
      <w:iCs/>
      <w:sz w:val="22"/>
      <w:szCs w:val="22"/>
    </w:rPr>
  </w:style>
  <w:style w:type="character" w:styleId="872" w:customStyle="1">
    <w:name w:val="Heading 9 Char"/>
    <w:uiPriority w:val="9"/>
    <w:qFormat/>
    <w:rPr>
      <w:rFonts w:ascii="Arial" w:hAnsi="Arial" w:eastAsia="Arial" w:cs="Arial"/>
      <w:i/>
      <w:iCs/>
      <w:sz w:val="21"/>
      <w:szCs w:val="21"/>
    </w:rPr>
  </w:style>
  <w:style w:type="paragraph" w:styleId="873" w:customStyle="1">
    <w:name w:val="列出段落"/>
    <w:basedOn w:val="735"/>
    <w:qFormat/>
    <w:pPr>
      <w:contextualSpacing/>
      <w:ind w:left="720"/>
      <w:jc w:val="left"/>
      <w:widowControl/>
    </w:pPr>
    <w:rPr>
      <w:sz w:val="24"/>
      <w:szCs w:val="24"/>
      <w:lang w:eastAsia="en-US" w:bidi="en-US"/>
    </w:rPr>
  </w:style>
  <w:style w:type="character" w:styleId="874" w:customStyle="1">
    <w:name w:val="引用 字符"/>
    <w:link w:val="816"/>
    <w:uiPriority w:val="29"/>
    <w:qFormat/>
    <w:rPr>
      <w:i/>
    </w:rPr>
  </w:style>
  <w:style w:type="character" w:styleId="875" w:customStyle="1">
    <w:name w:val="明显引用 字符"/>
    <w:link w:val="818"/>
    <w:uiPriority w:val="30"/>
    <w:qFormat/>
    <w:rPr>
      <w:i/>
    </w:rPr>
  </w:style>
  <w:style w:type="character" w:styleId="876" w:customStyle="1">
    <w:name w:val="Header Char"/>
    <w:uiPriority w:val="99"/>
    <w:qFormat/>
  </w:style>
  <w:style w:type="character" w:styleId="877" w:customStyle="1">
    <w:name w:val="Footer Char"/>
    <w:uiPriority w:val="99"/>
    <w:qFormat/>
  </w:style>
  <w:style w:type="character" w:styleId="878" w:customStyle="1">
    <w:name w:val="Caption Char"/>
    <w:uiPriority w:val="99"/>
    <w:qFormat/>
  </w:style>
  <w:style w:type="table" w:styleId="879" w:customStyle="1">
    <w:name w:val="Table Grid Light"/>
    <w:uiPriority w:val="59"/>
    <w:qFormat/>
    <w:tblPr>
      <w:tblCellMar>
        <w:left w:w="0" w:type="dxa"/>
        <w:top w:w="0" w:type="dxa"/>
        <w:right w:w="0" w:type="dxa"/>
        <w:bottom w:w="0" w:type="dxa"/>
      </w:tblCellMar>
    </w:tblPr>
  </w:style>
  <w:style w:type="table" w:styleId="880" w:customStyle="1">
    <w:name w:val="Grid Table 1 Light - Accent 1"/>
    <w:uiPriority w:val="99"/>
    <w:qFormat/>
    <w:tblPr>
      <w:tblCellMar>
        <w:left w:w="0" w:type="dxa"/>
        <w:top w:w="0" w:type="dxa"/>
        <w:right w:w="0" w:type="dxa"/>
        <w:bottom w:w="0" w:type="dxa"/>
      </w:tblCellMar>
    </w:tblPr>
  </w:style>
  <w:style w:type="table" w:styleId="881" w:customStyle="1">
    <w:name w:val="Grid Table 1 Light - Accent 2"/>
    <w:uiPriority w:val="99"/>
    <w:qFormat/>
    <w:tblPr>
      <w:tblCellMar>
        <w:left w:w="0" w:type="dxa"/>
        <w:top w:w="0" w:type="dxa"/>
        <w:right w:w="0" w:type="dxa"/>
        <w:bottom w:w="0" w:type="dxa"/>
      </w:tblCellMar>
    </w:tblPr>
  </w:style>
  <w:style w:type="table" w:styleId="882" w:customStyle="1">
    <w:name w:val="Grid Table 1 Light - Accent 3"/>
    <w:uiPriority w:val="99"/>
    <w:qFormat/>
    <w:tblPr>
      <w:tblCellMar>
        <w:left w:w="0" w:type="dxa"/>
        <w:top w:w="0" w:type="dxa"/>
        <w:right w:w="0" w:type="dxa"/>
        <w:bottom w:w="0" w:type="dxa"/>
      </w:tblCellMar>
    </w:tblPr>
  </w:style>
  <w:style w:type="table" w:styleId="883" w:customStyle="1">
    <w:name w:val="Grid Table 1 Light - Accent 4"/>
    <w:uiPriority w:val="99"/>
    <w:qFormat/>
    <w:tblPr>
      <w:tblCellMar>
        <w:left w:w="0" w:type="dxa"/>
        <w:top w:w="0" w:type="dxa"/>
        <w:right w:w="0" w:type="dxa"/>
        <w:bottom w:w="0" w:type="dxa"/>
      </w:tblCellMar>
    </w:tblPr>
  </w:style>
  <w:style w:type="table" w:styleId="884" w:customStyle="1">
    <w:name w:val="Grid Table 1 Light - Accent 5"/>
    <w:uiPriority w:val="99"/>
    <w:qFormat/>
    <w:tblPr>
      <w:tblCellMar>
        <w:left w:w="0" w:type="dxa"/>
        <w:top w:w="0" w:type="dxa"/>
        <w:right w:w="0" w:type="dxa"/>
        <w:bottom w:w="0" w:type="dxa"/>
      </w:tblCellMar>
    </w:tblPr>
  </w:style>
  <w:style w:type="table" w:styleId="885" w:customStyle="1">
    <w:name w:val="Grid Table 1 Light - Accent 6"/>
    <w:uiPriority w:val="99"/>
    <w:qFormat/>
    <w:tblPr>
      <w:tblCellMar>
        <w:left w:w="0" w:type="dxa"/>
        <w:top w:w="0" w:type="dxa"/>
        <w:right w:w="0" w:type="dxa"/>
        <w:bottom w:w="0" w:type="dxa"/>
      </w:tblCellMar>
    </w:tblPr>
  </w:style>
  <w:style w:type="table" w:styleId="886" w:customStyle="1">
    <w:name w:val="Grid Table 2 - Accent 1"/>
    <w:uiPriority w:val="99"/>
    <w:qFormat/>
    <w:tblPr>
      <w:tblCellMar>
        <w:left w:w="0" w:type="dxa"/>
        <w:top w:w="0" w:type="dxa"/>
        <w:right w:w="0" w:type="dxa"/>
        <w:bottom w:w="0" w:type="dxa"/>
      </w:tblCellMar>
    </w:tblPr>
  </w:style>
  <w:style w:type="table" w:styleId="887" w:customStyle="1">
    <w:name w:val="Grid Table 2 - Accent 2"/>
    <w:uiPriority w:val="99"/>
    <w:qFormat/>
    <w:tblPr>
      <w:tblCellMar>
        <w:left w:w="0" w:type="dxa"/>
        <w:top w:w="0" w:type="dxa"/>
        <w:right w:w="0" w:type="dxa"/>
        <w:bottom w:w="0" w:type="dxa"/>
      </w:tblCellMar>
    </w:tblPr>
  </w:style>
  <w:style w:type="table" w:styleId="888" w:customStyle="1">
    <w:name w:val="Grid Table 2 - Accent 3"/>
    <w:uiPriority w:val="99"/>
    <w:qFormat/>
    <w:tblPr>
      <w:tblCellMar>
        <w:left w:w="0" w:type="dxa"/>
        <w:top w:w="0" w:type="dxa"/>
        <w:right w:w="0" w:type="dxa"/>
        <w:bottom w:w="0" w:type="dxa"/>
      </w:tblCellMar>
    </w:tblPr>
  </w:style>
  <w:style w:type="table" w:styleId="889" w:customStyle="1">
    <w:name w:val="Grid Table 2 - Accent 4"/>
    <w:uiPriority w:val="99"/>
    <w:qFormat/>
    <w:tblPr>
      <w:tblCellMar>
        <w:left w:w="0" w:type="dxa"/>
        <w:top w:w="0" w:type="dxa"/>
        <w:right w:w="0" w:type="dxa"/>
        <w:bottom w:w="0" w:type="dxa"/>
      </w:tblCellMar>
    </w:tblPr>
  </w:style>
  <w:style w:type="table" w:styleId="890" w:customStyle="1">
    <w:name w:val="Grid Table 2 - Accent 5"/>
    <w:uiPriority w:val="99"/>
    <w:qFormat/>
    <w:tblPr>
      <w:tblCellMar>
        <w:left w:w="0" w:type="dxa"/>
        <w:top w:w="0" w:type="dxa"/>
        <w:right w:w="0" w:type="dxa"/>
        <w:bottom w:w="0" w:type="dxa"/>
      </w:tblCellMar>
    </w:tblPr>
  </w:style>
  <w:style w:type="table" w:styleId="891" w:customStyle="1">
    <w:name w:val="Grid Table 2 - Accent 6"/>
    <w:uiPriority w:val="99"/>
    <w:qFormat/>
    <w:tblPr>
      <w:tblCellMar>
        <w:left w:w="0" w:type="dxa"/>
        <w:top w:w="0" w:type="dxa"/>
        <w:right w:w="0" w:type="dxa"/>
        <w:bottom w:w="0" w:type="dxa"/>
      </w:tblCellMar>
    </w:tblPr>
  </w:style>
  <w:style w:type="table" w:styleId="892" w:customStyle="1">
    <w:name w:val="Grid Table 3 - Accent 1"/>
    <w:uiPriority w:val="99"/>
    <w:qFormat/>
    <w:tblPr>
      <w:tblCellMar>
        <w:left w:w="0" w:type="dxa"/>
        <w:top w:w="0" w:type="dxa"/>
        <w:right w:w="0" w:type="dxa"/>
        <w:bottom w:w="0" w:type="dxa"/>
      </w:tblCellMar>
    </w:tblPr>
  </w:style>
  <w:style w:type="table" w:styleId="893" w:customStyle="1">
    <w:name w:val="Grid Table 3 - Accent 2"/>
    <w:uiPriority w:val="99"/>
    <w:qFormat/>
    <w:tblPr>
      <w:tblCellMar>
        <w:left w:w="0" w:type="dxa"/>
        <w:top w:w="0" w:type="dxa"/>
        <w:right w:w="0" w:type="dxa"/>
        <w:bottom w:w="0" w:type="dxa"/>
      </w:tblCellMar>
    </w:tblPr>
  </w:style>
  <w:style w:type="table" w:styleId="894" w:customStyle="1">
    <w:name w:val="Grid Table 3 - Accent 3"/>
    <w:uiPriority w:val="99"/>
    <w:qFormat/>
    <w:tblPr>
      <w:tblCellMar>
        <w:left w:w="0" w:type="dxa"/>
        <w:top w:w="0" w:type="dxa"/>
        <w:right w:w="0" w:type="dxa"/>
        <w:bottom w:w="0" w:type="dxa"/>
      </w:tblCellMar>
    </w:tblPr>
  </w:style>
  <w:style w:type="table" w:styleId="895" w:customStyle="1">
    <w:name w:val="Grid Table 3 - Accent 4"/>
    <w:uiPriority w:val="99"/>
    <w:qFormat/>
    <w:tblPr>
      <w:tblCellMar>
        <w:left w:w="0" w:type="dxa"/>
        <w:top w:w="0" w:type="dxa"/>
        <w:right w:w="0" w:type="dxa"/>
        <w:bottom w:w="0" w:type="dxa"/>
      </w:tblCellMar>
    </w:tblPr>
  </w:style>
  <w:style w:type="table" w:styleId="896" w:customStyle="1">
    <w:name w:val="Grid Table 3 - Accent 5"/>
    <w:uiPriority w:val="99"/>
    <w:qFormat/>
    <w:tblPr>
      <w:tblCellMar>
        <w:left w:w="0" w:type="dxa"/>
        <w:top w:w="0" w:type="dxa"/>
        <w:right w:w="0" w:type="dxa"/>
        <w:bottom w:w="0" w:type="dxa"/>
      </w:tblCellMar>
    </w:tblPr>
  </w:style>
  <w:style w:type="table" w:styleId="897" w:customStyle="1">
    <w:name w:val="Grid Table 3 - Accent 6"/>
    <w:uiPriority w:val="99"/>
    <w:qFormat/>
    <w:tblPr>
      <w:tblCellMar>
        <w:left w:w="0" w:type="dxa"/>
        <w:top w:w="0" w:type="dxa"/>
        <w:right w:w="0" w:type="dxa"/>
        <w:bottom w:w="0" w:type="dxa"/>
      </w:tblCellMar>
    </w:tblPr>
  </w:style>
  <w:style w:type="table" w:styleId="898" w:customStyle="1">
    <w:name w:val="Grid Table 4 - Accent 1"/>
    <w:uiPriority w:val="59"/>
    <w:qFormat/>
    <w:tblPr>
      <w:tblCellMar>
        <w:left w:w="0" w:type="dxa"/>
        <w:top w:w="0" w:type="dxa"/>
        <w:right w:w="0" w:type="dxa"/>
        <w:bottom w:w="0" w:type="dxa"/>
      </w:tblCellMar>
    </w:tblPr>
  </w:style>
  <w:style w:type="table" w:styleId="899" w:customStyle="1">
    <w:name w:val="Grid Table 4 - Accent 2"/>
    <w:uiPriority w:val="59"/>
    <w:qFormat/>
    <w:tblPr>
      <w:tblCellMar>
        <w:left w:w="0" w:type="dxa"/>
        <w:top w:w="0" w:type="dxa"/>
        <w:right w:w="0" w:type="dxa"/>
        <w:bottom w:w="0" w:type="dxa"/>
      </w:tblCellMar>
    </w:tblPr>
  </w:style>
  <w:style w:type="table" w:styleId="900" w:customStyle="1">
    <w:name w:val="Grid Table 4 - Accent 3"/>
    <w:uiPriority w:val="59"/>
    <w:qFormat/>
    <w:tblPr>
      <w:tblCellMar>
        <w:left w:w="0" w:type="dxa"/>
        <w:top w:w="0" w:type="dxa"/>
        <w:right w:w="0" w:type="dxa"/>
        <w:bottom w:w="0" w:type="dxa"/>
      </w:tblCellMar>
    </w:tblPr>
  </w:style>
  <w:style w:type="table" w:styleId="901" w:customStyle="1">
    <w:name w:val="Grid Table 4 - Accent 4"/>
    <w:uiPriority w:val="59"/>
    <w:qFormat/>
    <w:tblPr>
      <w:tblCellMar>
        <w:left w:w="0" w:type="dxa"/>
        <w:top w:w="0" w:type="dxa"/>
        <w:right w:w="0" w:type="dxa"/>
        <w:bottom w:w="0" w:type="dxa"/>
      </w:tblCellMar>
    </w:tblPr>
  </w:style>
  <w:style w:type="table" w:styleId="902" w:customStyle="1">
    <w:name w:val="Grid Table 4 - Accent 5"/>
    <w:uiPriority w:val="59"/>
    <w:qFormat/>
    <w:tblPr>
      <w:tblCellMar>
        <w:left w:w="0" w:type="dxa"/>
        <w:top w:w="0" w:type="dxa"/>
        <w:right w:w="0" w:type="dxa"/>
        <w:bottom w:w="0" w:type="dxa"/>
      </w:tblCellMar>
    </w:tblPr>
  </w:style>
  <w:style w:type="table" w:styleId="903" w:customStyle="1">
    <w:name w:val="Grid Table 4 - Accent 6"/>
    <w:uiPriority w:val="59"/>
    <w:qFormat/>
    <w:tblPr>
      <w:tblCellMar>
        <w:left w:w="0" w:type="dxa"/>
        <w:top w:w="0" w:type="dxa"/>
        <w:right w:w="0" w:type="dxa"/>
        <w:bottom w:w="0" w:type="dxa"/>
      </w:tblCellMar>
    </w:tblPr>
  </w:style>
  <w:style w:type="table" w:styleId="904" w:customStyle="1">
    <w:name w:val="Grid Table 5 Dark- Accent 1"/>
    <w:uiPriority w:val="99"/>
    <w:qFormat/>
    <w:tblPr>
      <w:tblCellMar>
        <w:left w:w="0" w:type="dxa"/>
        <w:top w:w="0" w:type="dxa"/>
        <w:right w:w="0" w:type="dxa"/>
        <w:bottom w:w="0" w:type="dxa"/>
      </w:tblCellMar>
    </w:tblPr>
  </w:style>
  <w:style w:type="table" w:styleId="905" w:customStyle="1">
    <w:name w:val="Grid Table 5 Dark - Accent 2"/>
    <w:uiPriority w:val="99"/>
    <w:qFormat/>
    <w:tblPr>
      <w:tblCellMar>
        <w:left w:w="0" w:type="dxa"/>
        <w:top w:w="0" w:type="dxa"/>
        <w:right w:w="0" w:type="dxa"/>
        <w:bottom w:w="0" w:type="dxa"/>
      </w:tblCellMar>
    </w:tblPr>
  </w:style>
  <w:style w:type="table" w:styleId="906" w:customStyle="1">
    <w:name w:val="Grid Table 5 Dark - Accent 3"/>
    <w:uiPriority w:val="99"/>
    <w:qFormat/>
    <w:tblPr>
      <w:tblCellMar>
        <w:left w:w="0" w:type="dxa"/>
        <w:top w:w="0" w:type="dxa"/>
        <w:right w:w="0" w:type="dxa"/>
        <w:bottom w:w="0" w:type="dxa"/>
      </w:tblCellMar>
    </w:tblPr>
  </w:style>
  <w:style w:type="table" w:styleId="907" w:customStyle="1">
    <w:name w:val="Grid Table 5 Dark- Accent 4"/>
    <w:uiPriority w:val="99"/>
    <w:qFormat/>
    <w:tblPr>
      <w:tblCellMar>
        <w:left w:w="0" w:type="dxa"/>
        <w:top w:w="0" w:type="dxa"/>
        <w:right w:w="0" w:type="dxa"/>
        <w:bottom w:w="0" w:type="dxa"/>
      </w:tblCellMar>
    </w:tblPr>
  </w:style>
  <w:style w:type="table" w:styleId="908" w:customStyle="1">
    <w:name w:val="Grid Table 5 Dark - Accent 5"/>
    <w:uiPriority w:val="99"/>
    <w:qFormat/>
    <w:tblPr>
      <w:tblCellMar>
        <w:left w:w="0" w:type="dxa"/>
        <w:top w:w="0" w:type="dxa"/>
        <w:right w:w="0" w:type="dxa"/>
        <w:bottom w:w="0" w:type="dxa"/>
      </w:tblCellMar>
    </w:tblPr>
  </w:style>
  <w:style w:type="table" w:styleId="909" w:customStyle="1">
    <w:name w:val="Grid Table 5 Dark - Accent 6"/>
    <w:uiPriority w:val="99"/>
    <w:qFormat/>
    <w:tblPr>
      <w:tblCellMar>
        <w:left w:w="0" w:type="dxa"/>
        <w:top w:w="0" w:type="dxa"/>
        <w:right w:w="0" w:type="dxa"/>
        <w:bottom w:w="0" w:type="dxa"/>
      </w:tblCellMar>
    </w:tblPr>
  </w:style>
  <w:style w:type="table" w:styleId="910" w:customStyle="1">
    <w:name w:val="Grid Table 6 Colorful - Accent 1"/>
    <w:uiPriority w:val="99"/>
    <w:qFormat/>
    <w:tblPr>
      <w:tblCellMar>
        <w:left w:w="0" w:type="dxa"/>
        <w:top w:w="0" w:type="dxa"/>
        <w:right w:w="0" w:type="dxa"/>
        <w:bottom w:w="0" w:type="dxa"/>
      </w:tblCellMar>
    </w:tblPr>
  </w:style>
  <w:style w:type="table" w:styleId="911" w:customStyle="1">
    <w:name w:val="Grid Table 6 Colorful - Accent 2"/>
    <w:uiPriority w:val="99"/>
    <w:qFormat/>
    <w:tblPr>
      <w:tblCellMar>
        <w:left w:w="0" w:type="dxa"/>
        <w:top w:w="0" w:type="dxa"/>
        <w:right w:w="0" w:type="dxa"/>
        <w:bottom w:w="0" w:type="dxa"/>
      </w:tblCellMar>
    </w:tblPr>
  </w:style>
  <w:style w:type="table" w:styleId="912" w:customStyle="1">
    <w:name w:val="Grid Table 6 Colorful - Accent 3"/>
    <w:uiPriority w:val="99"/>
    <w:qFormat/>
    <w:tblPr>
      <w:tblCellMar>
        <w:left w:w="0" w:type="dxa"/>
        <w:top w:w="0" w:type="dxa"/>
        <w:right w:w="0" w:type="dxa"/>
        <w:bottom w:w="0" w:type="dxa"/>
      </w:tblCellMar>
    </w:tblPr>
  </w:style>
  <w:style w:type="table" w:styleId="913" w:customStyle="1">
    <w:name w:val="Grid Table 6 Colorful - Accent 4"/>
    <w:uiPriority w:val="99"/>
    <w:qFormat/>
    <w:tblPr>
      <w:tblCellMar>
        <w:left w:w="0" w:type="dxa"/>
        <w:top w:w="0" w:type="dxa"/>
        <w:right w:w="0" w:type="dxa"/>
        <w:bottom w:w="0" w:type="dxa"/>
      </w:tblCellMar>
    </w:tblPr>
  </w:style>
  <w:style w:type="table" w:styleId="914" w:customStyle="1">
    <w:name w:val="Grid Table 6 Colorful - Accent 5"/>
    <w:uiPriority w:val="99"/>
    <w:qFormat/>
    <w:tblPr>
      <w:tblCellMar>
        <w:left w:w="0" w:type="dxa"/>
        <w:top w:w="0" w:type="dxa"/>
        <w:right w:w="0" w:type="dxa"/>
        <w:bottom w:w="0" w:type="dxa"/>
      </w:tblCellMar>
    </w:tblPr>
  </w:style>
  <w:style w:type="table" w:styleId="915" w:customStyle="1">
    <w:name w:val="Grid Table 6 Colorful - Accent 6"/>
    <w:uiPriority w:val="99"/>
    <w:qFormat/>
    <w:tblPr>
      <w:tblCellMar>
        <w:left w:w="0" w:type="dxa"/>
        <w:top w:w="0" w:type="dxa"/>
        <w:right w:w="0" w:type="dxa"/>
        <w:bottom w:w="0" w:type="dxa"/>
      </w:tblCellMar>
    </w:tblPr>
  </w:style>
  <w:style w:type="table" w:styleId="916" w:customStyle="1">
    <w:name w:val="Grid Table 7 Colorful - Accent 1"/>
    <w:uiPriority w:val="99"/>
    <w:qFormat/>
    <w:tblPr>
      <w:tblCellMar>
        <w:left w:w="0" w:type="dxa"/>
        <w:top w:w="0" w:type="dxa"/>
        <w:right w:w="0" w:type="dxa"/>
        <w:bottom w:w="0" w:type="dxa"/>
      </w:tblCellMar>
    </w:tblPr>
  </w:style>
  <w:style w:type="table" w:styleId="917" w:customStyle="1">
    <w:name w:val="Grid Table 7 Colorful - Accent 2"/>
    <w:uiPriority w:val="99"/>
    <w:qFormat/>
    <w:tblPr>
      <w:tblCellMar>
        <w:left w:w="0" w:type="dxa"/>
        <w:top w:w="0" w:type="dxa"/>
        <w:right w:w="0" w:type="dxa"/>
        <w:bottom w:w="0" w:type="dxa"/>
      </w:tblCellMar>
    </w:tblPr>
  </w:style>
  <w:style w:type="table" w:styleId="918" w:customStyle="1">
    <w:name w:val="Grid Table 7 Colorful - Accent 3"/>
    <w:uiPriority w:val="99"/>
    <w:qFormat/>
    <w:tblPr>
      <w:tblCellMar>
        <w:left w:w="0" w:type="dxa"/>
        <w:top w:w="0" w:type="dxa"/>
        <w:right w:w="0" w:type="dxa"/>
        <w:bottom w:w="0" w:type="dxa"/>
      </w:tblCellMar>
    </w:tblPr>
  </w:style>
  <w:style w:type="table" w:styleId="919" w:customStyle="1">
    <w:name w:val="Grid Table 7 Colorful - Accent 4"/>
    <w:uiPriority w:val="99"/>
    <w:qFormat/>
    <w:tblPr>
      <w:tblCellMar>
        <w:left w:w="0" w:type="dxa"/>
        <w:top w:w="0" w:type="dxa"/>
        <w:right w:w="0" w:type="dxa"/>
        <w:bottom w:w="0" w:type="dxa"/>
      </w:tblCellMar>
    </w:tblPr>
  </w:style>
  <w:style w:type="table" w:styleId="920" w:customStyle="1">
    <w:name w:val="Grid Table 7 Colorful - Accent 5"/>
    <w:uiPriority w:val="99"/>
    <w:qFormat/>
    <w:tblPr>
      <w:tblCellMar>
        <w:left w:w="0" w:type="dxa"/>
        <w:top w:w="0" w:type="dxa"/>
        <w:right w:w="0" w:type="dxa"/>
        <w:bottom w:w="0" w:type="dxa"/>
      </w:tblCellMar>
    </w:tblPr>
  </w:style>
  <w:style w:type="table" w:styleId="921" w:customStyle="1">
    <w:name w:val="Grid Table 7 Colorful - Accent 6"/>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List Table 2 - Accent 1"/>
    <w:uiPriority w:val="99"/>
    <w:qFormat/>
    <w:tblPr>
      <w:tblCellMar>
        <w:left w:w="0" w:type="dxa"/>
        <w:top w:w="0" w:type="dxa"/>
        <w:right w:w="0" w:type="dxa"/>
        <w:bottom w:w="0" w:type="dxa"/>
      </w:tblCellMar>
    </w:tblPr>
  </w:style>
  <w:style w:type="table" w:styleId="929" w:customStyle="1">
    <w:name w:val="List Table 2 - Accent 2"/>
    <w:uiPriority w:val="99"/>
    <w:qFormat/>
    <w:tblPr>
      <w:tblCellMar>
        <w:left w:w="0" w:type="dxa"/>
        <w:top w:w="0" w:type="dxa"/>
        <w:right w:w="0" w:type="dxa"/>
        <w:bottom w:w="0" w:type="dxa"/>
      </w:tblCellMar>
    </w:tblPr>
  </w:style>
  <w:style w:type="table" w:styleId="930" w:customStyle="1">
    <w:name w:val="List Table 2 - Accent 3"/>
    <w:uiPriority w:val="99"/>
    <w:qFormat/>
    <w:tblPr>
      <w:tblCellMar>
        <w:left w:w="0" w:type="dxa"/>
        <w:top w:w="0" w:type="dxa"/>
        <w:right w:w="0" w:type="dxa"/>
        <w:bottom w:w="0" w:type="dxa"/>
      </w:tblCellMar>
    </w:tblPr>
  </w:style>
  <w:style w:type="table" w:styleId="931" w:customStyle="1">
    <w:name w:val="List Table 2 - Accent 4"/>
    <w:uiPriority w:val="99"/>
    <w:qFormat/>
    <w:tblPr>
      <w:tblCellMar>
        <w:left w:w="0" w:type="dxa"/>
        <w:top w:w="0" w:type="dxa"/>
        <w:right w:w="0" w:type="dxa"/>
        <w:bottom w:w="0" w:type="dxa"/>
      </w:tblCellMar>
    </w:tblPr>
  </w:style>
  <w:style w:type="table" w:styleId="932" w:customStyle="1">
    <w:name w:val="List Table 2 - Accent 5"/>
    <w:uiPriority w:val="99"/>
    <w:qFormat/>
    <w:tblPr>
      <w:tblCellMar>
        <w:left w:w="0" w:type="dxa"/>
        <w:top w:w="0" w:type="dxa"/>
        <w:right w:w="0" w:type="dxa"/>
        <w:bottom w:w="0" w:type="dxa"/>
      </w:tblCellMar>
    </w:tblPr>
  </w:style>
  <w:style w:type="table" w:styleId="933" w:customStyle="1">
    <w:name w:val="List Table 2 - Accent 6"/>
    <w:uiPriority w:val="99"/>
    <w:qFormat/>
    <w:tblPr>
      <w:tblCellMar>
        <w:left w:w="0" w:type="dxa"/>
        <w:top w:w="0" w:type="dxa"/>
        <w:right w:w="0" w:type="dxa"/>
        <w:bottom w:w="0" w:type="dxa"/>
      </w:tblCellMar>
    </w:tblPr>
  </w:style>
  <w:style w:type="table" w:styleId="934" w:customStyle="1">
    <w:name w:val="List Table 3 - Accent 1"/>
    <w:uiPriority w:val="99"/>
    <w:qFormat/>
    <w:tblPr>
      <w:tblCellMar>
        <w:left w:w="0" w:type="dxa"/>
        <w:top w:w="0" w:type="dxa"/>
        <w:right w:w="0" w:type="dxa"/>
        <w:bottom w:w="0" w:type="dxa"/>
      </w:tblCellMar>
    </w:tblPr>
  </w:style>
  <w:style w:type="table" w:styleId="935" w:customStyle="1">
    <w:name w:val="List Table 3 - Accent 2"/>
    <w:uiPriority w:val="99"/>
    <w:qFormat/>
    <w:tblPr>
      <w:tblCellMar>
        <w:left w:w="0" w:type="dxa"/>
        <w:top w:w="0" w:type="dxa"/>
        <w:right w:w="0" w:type="dxa"/>
        <w:bottom w:w="0" w:type="dxa"/>
      </w:tblCellMar>
    </w:tblPr>
  </w:style>
  <w:style w:type="table" w:styleId="936" w:customStyle="1">
    <w:name w:val="List Table 3 - Accent 3"/>
    <w:uiPriority w:val="99"/>
    <w:qFormat/>
    <w:tblPr>
      <w:tblCellMar>
        <w:left w:w="0" w:type="dxa"/>
        <w:top w:w="0" w:type="dxa"/>
        <w:right w:w="0" w:type="dxa"/>
        <w:bottom w:w="0" w:type="dxa"/>
      </w:tblCellMar>
    </w:tblPr>
  </w:style>
  <w:style w:type="table" w:styleId="937" w:customStyle="1">
    <w:name w:val="List Table 3 - Accent 4"/>
    <w:uiPriority w:val="99"/>
    <w:qFormat/>
    <w:tblPr>
      <w:tblCellMar>
        <w:left w:w="0" w:type="dxa"/>
        <w:top w:w="0" w:type="dxa"/>
        <w:right w:w="0" w:type="dxa"/>
        <w:bottom w:w="0" w:type="dxa"/>
      </w:tblCellMar>
    </w:tblPr>
  </w:style>
  <w:style w:type="table" w:styleId="938" w:customStyle="1">
    <w:name w:val="List Table 3 - Accent 5"/>
    <w:uiPriority w:val="99"/>
    <w:qFormat/>
    <w:tblPr>
      <w:tblCellMar>
        <w:left w:w="0" w:type="dxa"/>
        <w:top w:w="0" w:type="dxa"/>
        <w:right w:w="0" w:type="dxa"/>
        <w:bottom w:w="0" w:type="dxa"/>
      </w:tblCellMar>
    </w:tblPr>
  </w:style>
  <w:style w:type="table" w:styleId="939" w:customStyle="1">
    <w:name w:val="List Table 3 - Accent 6"/>
    <w:uiPriority w:val="99"/>
    <w:qFormat/>
    <w:tblPr>
      <w:tblCellMar>
        <w:left w:w="0" w:type="dxa"/>
        <w:top w:w="0" w:type="dxa"/>
        <w:right w:w="0" w:type="dxa"/>
        <w:bottom w:w="0" w:type="dxa"/>
      </w:tblCellMar>
    </w:tblPr>
  </w:style>
  <w:style w:type="table" w:styleId="940" w:customStyle="1">
    <w:name w:val="List Table 4 - Accent 1"/>
    <w:uiPriority w:val="99"/>
    <w:qFormat/>
    <w:tblPr>
      <w:tblCellMar>
        <w:left w:w="0" w:type="dxa"/>
        <w:top w:w="0" w:type="dxa"/>
        <w:right w:w="0" w:type="dxa"/>
        <w:bottom w:w="0" w:type="dxa"/>
      </w:tblCellMar>
    </w:tblPr>
  </w:style>
  <w:style w:type="table" w:styleId="941" w:customStyle="1">
    <w:name w:val="List Table 4 - Accent 2"/>
    <w:uiPriority w:val="99"/>
    <w:qFormat/>
    <w:tblPr>
      <w:tblCellMar>
        <w:left w:w="0" w:type="dxa"/>
        <w:top w:w="0" w:type="dxa"/>
        <w:right w:w="0" w:type="dxa"/>
        <w:bottom w:w="0" w:type="dxa"/>
      </w:tblCellMar>
    </w:tblPr>
  </w:style>
  <w:style w:type="table" w:styleId="942" w:customStyle="1">
    <w:name w:val="List Table 4 - Accent 3"/>
    <w:uiPriority w:val="99"/>
    <w:qFormat/>
    <w:tblPr>
      <w:tblCellMar>
        <w:left w:w="0" w:type="dxa"/>
        <w:top w:w="0" w:type="dxa"/>
        <w:right w:w="0" w:type="dxa"/>
        <w:bottom w:w="0" w:type="dxa"/>
      </w:tblCellMar>
    </w:tblPr>
  </w:style>
  <w:style w:type="table" w:styleId="943" w:customStyle="1">
    <w:name w:val="List Table 4 - Accent 4"/>
    <w:uiPriority w:val="99"/>
    <w:qFormat/>
    <w:tblPr>
      <w:tblCellMar>
        <w:left w:w="0" w:type="dxa"/>
        <w:top w:w="0" w:type="dxa"/>
        <w:right w:w="0" w:type="dxa"/>
        <w:bottom w:w="0" w:type="dxa"/>
      </w:tblCellMar>
    </w:tblPr>
  </w:style>
  <w:style w:type="table" w:styleId="944" w:customStyle="1">
    <w:name w:val="List Table 4 - Accent 5"/>
    <w:uiPriority w:val="99"/>
    <w:qFormat/>
    <w:tblPr>
      <w:tblCellMar>
        <w:left w:w="0" w:type="dxa"/>
        <w:top w:w="0" w:type="dxa"/>
        <w:right w:w="0" w:type="dxa"/>
        <w:bottom w:w="0" w:type="dxa"/>
      </w:tblCellMar>
    </w:tblPr>
  </w:style>
  <w:style w:type="table" w:styleId="945" w:customStyle="1">
    <w:name w:val="List Table 4 - Accent 6"/>
    <w:uiPriority w:val="99"/>
    <w:qFormat/>
    <w:tblPr>
      <w:tblCellMar>
        <w:left w:w="0" w:type="dxa"/>
        <w:top w:w="0" w:type="dxa"/>
        <w:right w:w="0" w:type="dxa"/>
        <w:bottom w:w="0" w:type="dxa"/>
      </w:tblCellMar>
    </w:tblPr>
  </w:style>
  <w:style w:type="table" w:styleId="946" w:customStyle="1">
    <w:name w:val="List Table 5 Dark - Accent 1"/>
    <w:uiPriority w:val="99"/>
    <w:qFormat/>
    <w:tblPr>
      <w:tblCellMar>
        <w:left w:w="0" w:type="dxa"/>
        <w:top w:w="0" w:type="dxa"/>
        <w:right w:w="0" w:type="dxa"/>
        <w:bottom w:w="0" w:type="dxa"/>
      </w:tblCellMar>
    </w:tblPr>
  </w:style>
  <w:style w:type="table" w:styleId="947" w:customStyle="1">
    <w:name w:val="List Table 5 Dark - Accent 2"/>
    <w:uiPriority w:val="99"/>
    <w:qFormat/>
    <w:tblPr>
      <w:tblCellMar>
        <w:left w:w="0" w:type="dxa"/>
        <w:top w:w="0" w:type="dxa"/>
        <w:right w:w="0" w:type="dxa"/>
        <w:bottom w:w="0" w:type="dxa"/>
      </w:tblCellMar>
    </w:tblPr>
  </w:style>
  <w:style w:type="table" w:styleId="948" w:customStyle="1">
    <w:name w:val="List Table 5 Dark - Accent 3"/>
    <w:uiPriority w:val="99"/>
    <w:qFormat/>
    <w:tblPr>
      <w:tblCellMar>
        <w:left w:w="0" w:type="dxa"/>
        <w:top w:w="0" w:type="dxa"/>
        <w:right w:w="0" w:type="dxa"/>
        <w:bottom w:w="0" w:type="dxa"/>
      </w:tblCellMar>
    </w:tblPr>
  </w:style>
  <w:style w:type="table" w:styleId="949" w:customStyle="1">
    <w:name w:val="List Table 5 Dark - Accent 4"/>
    <w:uiPriority w:val="99"/>
    <w:qFormat/>
    <w:tblPr>
      <w:tblCellMar>
        <w:left w:w="0" w:type="dxa"/>
        <w:top w:w="0" w:type="dxa"/>
        <w:right w:w="0" w:type="dxa"/>
        <w:bottom w:w="0" w:type="dxa"/>
      </w:tblCellMar>
    </w:tblPr>
  </w:style>
  <w:style w:type="table" w:styleId="950" w:customStyle="1">
    <w:name w:val="List Table 5 Dark - Accent 5"/>
    <w:uiPriority w:val="99"/>
    <w:qFormat/>
    <w:tblPr>
      <w:tblCellMar>
        <w:left w:w="0" w:type="dxa"/>
        <w:top w:w="0" w:type="dxa"/>
        <w:right w:w="0" w:type="dxa"/>
        <w:bottom w:w="0" w:type="dxa"/>
      </w:tblCellMar>
    </w:tblPr>
  </w:style>
  <w:style w:type="table" w:styleId="951" w:customStyle="1">
    <w:name w:val="List Table 5 Dark - Accent 6"/>
    <w:uiPriority w:val="99"/>
    <w:qFormat/>
    <w:tblPr>
      <w:tblCellMar>
        <w:left w:w="0" w:type="dxa"/>
        <w:top w:w="0" w:type="dxa"/>
        <w:right w:w="0" w:type="dxa"/>
        <w:bottom w:w="0" w:type="dxa"/>
      </w:tblCellMar>
    </w:tblPr>
  </w:style>
  <w:style w:type="table" w:styleId="952" w:customStyle="1">
    <w:name w:val="List Table 6 Colorful - Accent 1"/>
    <w:uiPriority w:val="99"/>
    <w:qFormat/>
    <w:tblPr>
      <w:tblCellMar>
        <w:left w:w="0" w:type="dxa"/>
        <w:top w:w="0" w:type="dxa"/>
        <w:right w:w="0" w:type="dxa"/>
        <w:bottom w:w="0" w:type="dxa"/>
      </w:tblCellMar>
    </w:tblPr>
  </w:style>
  <w:style w:type="table" w:styleId="953" w:customStyle="1">
    <w:name w:val="List Table 6 Colorful - Accent 2"/>
    <w:uiPriority w:val="99"/>
    <w:qFormat/>
    <w:tblPr>
      <w:tblCellMar>
        <w:left w:w="0" w:type="dxa"/>
        <w:top w:w="0" w:type="dxa"/>
        <w:right w:w="0" w:type="dxa"/>
        <w:bottom w:w="0" w:type="dxa"/>
      </w:tblCellMar>
    </w:tblPr>
  </w:style>
  <w:style w:type="table" w:styleId="954" w:customStyle="1">
    <w:name w:val="List Table 6 Colorful - Accent 3"/>
    <w:uiPriority w:val="99"/>
    <w:qFormat/>
    <w:tblPr>
      <w:tblCellMar>
        <w:left w:w="0" w:type="dxa"/>
        <w:top w:w="0" w:type="dxa"/>
        <w:right w:w="0" w:type="dxa"/>
        <w:bottom w:w="0" w:type="dxa"/>
      </w:tblCellMar>
    </w:tblPr>
  </w:style>
  <w:style w:type="table" w:styleId="955" w:customStyle="1">
    <w:name w:val="List Table 6 Colorful - Accent 4"/>
    <w:uiPriority w:val="99"/>
    <w:qFormat/>
    <w:tblPr>
      <w:tblCellMar>
        <w:left w:w="0" w:type="dxa"/>
        <w:top w:w="0" w:type="dxa"/>
        <w:right w:w="0" w:type="dxa"/>
        <w:bottom w:w="0" w:type="dxa"/>
      </w:tblCellMar>
    </w:tblPr>
  </w:style>
  <w:style w:type="table" w:styleId="956" w:customStyle="1">
    <w:name w:val="List Table 6 Colorful - Accent 5"/>
    <w:uiPriority w:val="99"/>
    <w:qFormat/>
    <w:tblPr>
      <w:tblCellMar>
        <w:left w:w="0" w:type="dxa"/>
        <w:top w:w="0" w:type="dxa"/>
        <w:right w:w="0" w:type="dxa"/>
        <w:bottom w:w="0" w:type="dxa"/>
      </w:tblCellMar>
    </w:tblPr>
  </w:style>
  <w:style w:type="table" w:styleId="957" w:customStyle="1">
    <w:name w:val="List Table 6 Colorful - Accent 6"/>
    <w:uiPriority w:val="99"/>
    <w:qFormat/>
    <w:tblPr>
      <w:tblCellMar>
        <w:left w:w="0" w:type="dxa"/>
        <w:top w:w="0" w:type="dxa"/>
        <w:right w:w="0" w:type="dxa"/>
        <w:bottom w:w="0" w:type="dxa"/>
      </w:tblCellMar>
    </w:tblPr>
  </w:style>
  <w:style w:type="table" w:styleId="958" w:customStyle="1">
    <w:name w:val="List Table 7 Colorful - Accent 1"/>
    <w:uiPriority w:val="99"/>
    <w:qFormat/>
    <w:tblPr>
      <w:tblCellMar>
        <w:left w:w="0" w:type="dxa"/>
        <w:top w:w="0" w:type="dxa"/>
        <w:right w:w="0" w:type="dxa"/>
        <w:bottom w:w="0" w:type="dxa"/>
      </w:tblCellMar>
    </w:tblPr>
  </w:style>
  <w:style w:type="table" w:styleId="959" w:customStyle="1">
    <w:name w:val="List Table 7 Colorful - Accent 2"/>
    <w:uiPriority w:val="99"/>
    <w:qFormat/>
    <w:tblPr>
      <w:tblCellMar>
        <w:left w:w="0" w:type="dxa"/>
        <w:top w:w="0" w:type="dxa"/>
        <w:right w:w="0" w:type="dxa"/>
        <w:bottom w:w="0" w:type="dxa"/>
      </w:tblCellMar>
    </w:tblPr>
  </w:style>
  <w:style w:type="table" w:styleId="960" w:customStyle="1">
    <w:name w:val="List Table 7 Colorful - Accent 3"/>
    <w:uiPriority w:val="99"/>
    <w:qFormat/>
    <w:tblPr>
      <w:tblCellMar>
        <w:left w:w="0" w:type="dxa"/>
        <w:top w:w="0" w:type="dxa"/>
        <w:right w:w="0" w:type="dxa"/>
        <w:bottom w:w="0" w:type="dxa"/>
      </w:tblCellMar>
    </w:tblPr>
  </w:style>
  <w:style w:type="table" w:styleId="961" w:customStyle="1">
    <w:name w:val="List Table 7 Colorful - Accent 4"/>
    <w:uiPriority w:val="99"/>
    <w:qFormat/>
    <w:tblPr>
      <w:tblCellMar>
        <w:left w:w="0" w:type="dxa"/>
        <w:top w:w="0" w:type="dxa"/>
        <w:right w:w="0" w:type="dxa"/>
        <w:bottom w:w="0" w:type="dxa"/>
      </w:tblCellMar>
    </w:tblPr>
  </w:style>
  <w:style w:type="table" w:styleId="962" w:customStyle="1">
    <w:name w:val="List Table 7 Colorful - Accent 5"/>
    <w:uiPriority w:val="99"/>
    <w:qFormat/>
    <w:tblPr>
      <w:tblCellMar>
        <w:left w:w="0" w:type="dxa"/>
        <w:top w:w="0" w:type="dxa"/>
        <w:right w:w="0" w:type="dxa"/>
        <w:bottom w:w="0" w:type="dxa"/>
      </w:tblCellMar>
    </w:tblPr>
  </w:style>
  <w:style w:type="table" w:styleId="963" w:customStyle="1">
    <w:name w:val="List Table 7 Colorful - Accent 6"/>
    <w:uiPriority w:val="99"/>
    <w:qFormat/>
    <w:tblPr>
      <w:tblCellMar>
        <w:left w:w="0" w:type="dxa"/>
        <w:top w:w="0" w:type="dxa"/>
        <w:right w:w="0" w:type="dxa"/>
        <w:bottom w:w="0" w:type="dxa"/>
      </w:tblCellMar>
    </w:tblPr>
  </w:style>
  <w:style w:type="table" w:styleId="964" w:customStyle="1">
    <w:name w:val="Lined - Accent"/>
    <w:uiPriority w:val="99"/>
    <w:qFormat/>
    <w:rPr>
      <w:color w:val="404040"/>
    </w:rPr>
    <w:tblPr>
      <w:tblCellMar>
        <w:left w:w="0" w:type="dxa"/>
        <w:top w:w="0" w:type="dxa"/>
        <w:right w:w="0" w:type="dxa"/>
        <w:bottom w:w="0" w:type="dxa"/>
      </w:tblCellMar>
    </w:tblPr>
  </w:style>
  <w:style w:type="table" w:styleId="965" w:customStyle="1">
    <w:name w:val="Lined - Accent 1"/>
    <w:uiPriority w:val="99"/>
    <w:qFormat/>
    <w:rPr>
      <w:color w:val="404040"/>
    </w:rPr>
    <w:tblPr>
      <w:tblCellMar>
        <w:left w:w="0" w:type="dxa"/>
        <w:top w:w="0" w:type="dxa"/>
        <w:right w:w="0" w:type="dxa"/>
        <w:bottom w:w="0" w:type="dxa"/>
      </w:tblCellMar>
    </w:tblPr>
  </w:style>
  <w:style w:type="table" w:styleId="966" w:customStyle="1">
    <w:name w:val="Lined - Accent 2"/>
    <w:uiPriority w:val="99"/>
    <w:qFormat/>
    <w:rPr>
      <w:color w:val="404040"/>
    </w:rPr>
    <w:tblPr>
      <w:tblCellMar>
        <w:left w:w="0" w:type="dxa"/>
        <w:top w:w="0" w:type="dxa"/>
        <w:right w:w="0" w:type="dxa"/>
        <w:bottom w:w="0" w:type="dxa"/>
      </w:tblCellMar>
    </w:tblPr>
  </w:style>
  <w:style w:type="table" w:styleId="967" w:customStyle="1">
    <w:name w:val="Lined - Accent 3"/>
    <w:uiPriority w:val="99"/>
    <w:qFormat/>
    <w:rPr>
      <w:color w:val="404040"/>
    </w:rPr>
    <w:tblPr>
      <w:tblCellMar>
        <w:left w:w="0" w:type="dxa"/>
        <w:top w:w="0" w:type="dxa"/>
        <w:right w:w="0" w:type="dxa"/>
        <w:bottom w:w="0" w:type="dxa"/>
      </w:tblCellMar>
    </w:tblPr>
  </w:style>
  <w:style w:type="table" w:styleId="968" w:customStyle="1">
    <w:name w:val="Lined - Accent 4"/>
    <w:uiPriority w:val="99"/>
    <w:qFormat/>
    <w:rPr>
      <w:color w:val="404040"/>
    </w:rPr>
    <w:tblPr>
      <w:tblCellMar>
        <w:left w:w="0" w:type="dxa"/>
        <w:top w:w="0" w:type="dxa"/>
        <w:right w:w="0" w:type="dxa"/>
        <w:bottom w:w="0" w:type="dxa"/>
      </w:tblCellMar>
    </w:tblPr>
  </w:style>
  <w:style w:type="table" w:styleId="969" w:customStyle="1">
    <w:name w:val="Lined - Accent 5"/>
    <w:uiPriority w:val="99"/>
    <w:qFormat/>
    <w:rPr>
      <w:color w:val="404040"/>
    </w:rPr>
    <w:tblPr>
      <w:tblCellMar>
        <w:left w:w="0" w:type="dxa"/>
        <w:top w:w="0" w:type="dxa"/>
        <w:right w:w="0" w:type="dxa"/>
        <w:bottom w:w="0" w:type="dxa"/>
      </w:tblCellMar>
    </w:tblPr>
  </w:style>
  <w:style w:type="table" w:styleId="970" w:customStyle="1">
    <w:name w:val="Lined - Accent 6"/>
    <w:uiPriority w:val="99"/>
    <w:qFormat/>
    <w:rPr>
      <w:color w:val="404040"/>
    </w:rPr>
    <w:tblPr>
      <w:tblCellMar>
        <w:left w:w="0" w:type="dxa"/>
        <w:top w:w="0" w:type="dxa"/>
        <w:right w:w="0" w:type="dxa"/>
        <w:bottom w:w="0" w:type="dxa"/>
      </w:tblCellMar>
    </w:tblPr>
  </w:style>
  <w:style w:type="table" w:styleId="971" w:customStyle="1">
    <w:name w:val="Bordered &amp; Lined - Accent"/>
    <w:uiPriority w:val="99"/>
    <w:qFormat/>
    <w:rPr>
      <w:color w:val="404040"/>
    </w:rPr>
    <w:tblPr>
      <w:tblCellMar>
        <w:left w:w="0" w:type="dxa"/>
        <w:top w:w="0" w:type="dxa"/>
        <w:right w:w="0" w:type="dxa"/>
        <w:bottom w:w="0" w:type="dxa"/>
      </w:tblCellMar>
    </w:tblPr>
  </w:style>
  <w:style w:type="table" w:styleId="972" w:customStyle="1">
    <w:name w:val="Bordered &amp; Lined - Accent 1"/>
    <w:uiPriority w:val="99"/>
    <w:qFormat/>
    <w:rPr>
      <w:color w:val="404040"/>
    </w:rPr>
    <w:tblPr>
      <w:tblCellMar>
        <w:left w:w="0" w:type="dxa"/>
        <w:top w:w="0" w:type="dxa"/>
        <w:right w:w="0" w:type="dxa"/>
        <w:bottom w:w="0" w:type="dxa"/>
      </w:tblCellMar>
    </w:tblPr>
  </w:style>
  <w:style w:type="table" w:styleId="973" w:customStyle="1">
    <w:name w:val="Bordered &amp; Lined - Accent 2"/>
    <w:uiPriority w:val="99"/>
    <w:qFormat/>
    <w:rPr>
      <w:color w:val="404040"/>
    </w:rPr>
    <w:tblPr>
      <w:tblCellMar>
        <w:left w:w="0" w:type="dxa"/>
        <w:top w:w="0" w:type="dxa"/>
        <w:right w:w="0" w:type="dxa"/>
        <w:bottom w:w="0" w:type="dxa"/>
      </w:tblCellMar>
    </w:tblPr>
  </w:style>
  <w:style w:type="table" w:styleId="974" w:customStyle="1">
    <w:name w:val="Bordered &amp; Lined - Accent 3"/>
    <w:uiPriority w:val="99"/>
    <w:qFormat/>
    <w:rPr>
      <w:color w:val="404040"/>
    </w:rPr>
    <w:tblPr>
      <w:tblCellMar>
        <w:left w:w="0" w:type="dxa"/>
        <w:top w:w="0" w:type="dxa"/>
        <w:right w:w="0" w:type="dxa"/>
        <w:bottom w:w="0" w:type="dxa"/>
      </w:tblCellMar>
    </w:tblPr>
  </w:style>
  <w:style w:type="table" w:styleId="975" w:customStyle="1">
    <w:name w:val="Bordered &amp; Lined - Accent 4"/>
    <w:uiPriority w:val="99"/>
    <w:qFormat/>
    <w:rPr>
      <w:color w:val="404040"/>
    </w:rPr>
    <w:tblPr>
      <w:tblCellMar>
        <w:left w:w="0" w:type="dxa"/>
        <w:top w:w="0" w:type="dxa"/>
        <w:right w:w="0" w:type="dxa"/>
        <w:bottom w:w="0" w:type="dxa"/>
      </w:tblCellMar>
    </w:tblPr>
  </w:style>
  <w:style w:type="table" w:styleId="976" w:customStyle="1">
    <w:name w:val="Bordered &amp; Lined - Accent 5"/>
    <w:uiPriority w:val="99"/>
    <w:qFormat/>
    <w:rPr>
      <w:color w:val="404040"/>
    </w:rPr>
    <w:tblPr>
      <w:tblCellMar>
        <w:left w:w="0" w:type="dxa"/>
        <w:top w:w="0" w:type="dxa"/>
        <w:right w:w="0" w:type="dxa"/>
        <w:bottom w:w="0" w:type="dxa"/>
      </w:tblCellMar>
    </w:tblPr>
  </w:style>
  <w:style w:type="table" w:styleId="977" w:customStyle="1">
    <w:name w:val="Bordered &amp; Lined - Accent 6"/>
    <w:uiPriority w:val="99"/>
    <w:qFormat/>
    <w:rPr>
      <w:color w:val="404040"/>
    </w:rPr>
    <w:tblPr>
      <w:tblCellMar>
        <w:left w:w="0" w:type="dxa"/>
        <w:top w:w="0" w:type="dxa"/>
        <w:right w:w="0" w:type="dxa"/>
        <w:bottom w:w="0" w:type="dxa"/>
      </w:tblCellMar>
    </w:tblPr>
  </w:style>
  <w:style w:type="table" w:styleId="978" w:customStyle="1">
    <w:name w:val="Bordered"/>
    <w:uiPriority w:val="99"/>
    <w:qFormat/>
    <w:tblPr>
      <w:tblCellMar>
        <w:left w:w="0" w:type="dxa"/>
        <w:top w:w="0" w:type="dxa"/>
        <w:right w:w="0" w:type="dxa"/>
        <w:bottom w:w="0" w:type="dxa"/>
      </w:tblCellMar>
    </w:tblPr>
  </w:style>
  <w:style w:type="table" w:styleId="979" w:customStyle="1">
    <w:name w:val="Bordered - Accent 1"/>
    <w:uiPriority w:val="99"/>
    <w:qFormat/>
    <w:tblPr>
      <w:tblCellMar>
        <w:left w:w="0" w:type="dxa"/>
        <w:top w:w="0" w:type="dxa"/>
        <w:right w:w="0" w:type="dxa"/>
        <w:bottom w:w="0" w:type="dxa"/>
      </w:tblCellMar>
    </w:tblPr>
  </w:style>
  <w:style w:type="table" w:styleId="980" w:customStyle="1">
    <w:name w:val="Bordered - Accent 2"/>
    <w:uiPriority w:val="99"/>
    <w:qFormat/>
    <w:tblPr>
      <w:tblCellMar>
        <w:left w:w="0" w:type="dxa"/>
        <w:top w:w="0" w:type="dxa"/>
        <w:right w:w="0" w:type="dxa"/>
        <w:bottom w:w="0" w:type="dxa"/>
      </w:tblCellMar>
    </w:tblPr>
  </w:style>
  <w:style w:type="table" w:styleId="981" w:customStyle="1">
    <w:name w:val="Bordered - Accent 3"/>
    <w:uiPriority w:val="99"/>
    <w:qFormat/>
    <w:tblPr>
      <w:tblCellMar>
        <w:left w:w="0" w:type="dxa"/>
        <w:top w:w="0" w:type="dxa"/>
        <w:right w:w="0" w:type="dxa"/>
        <w:bottom w:w="0" w:type="dxa"/>
      </w:tblCellMar>
    </w:tblPr>
  </w:style>
  <w:style w:type="table" w:styleId="982" w:customStyle="1">
    <w:name w:val="Bordered - Accent 4"/>
    <w:uiPriority w:val="99"/>
    <w:qFormat/>
    <w:tblPr>
      <w:tblCellMar>
        <w:left w:w="0" w:type="dxa"/>
        <w:top w:w="0" w:type="dxa"/>
        <w:right w:w="0" w:type="dxa"/>
        <w:bottom w:w="0" w:type="dxa"/>
      </w:tblCellMar>
    </w:tblPr>
  </w:style>
  <w:style w:type="table" w:styleId="983" w:customStyle="1">
    <w:name w:val="Bordered - Accent 5"/>
    <w:uiPriority w:val="99"/>
    <w:qFormat/>
    <w:tblPr>
      <w:tblCellMar>
        <w:left w:w="0" w:type="dxa"/>
        <w:top w:w="0" w:type="dxa"/>
        <w:right w:w="0" w:type="dxa"/>
        <w:bottom w:w="0" w:type="dxa"/>
      </w:tblCellMar>
    </w:tblPr>
  </w:style>
  <w:style w:type="table" w:styleId="984" w:customStyle="1">
    <w:name w:val="Bordered - Accent 6"/>
    <w:uiPriority w:val="99"/>
    <w:qFormat/>
    <w:tblPr>
      <w:tblCellMar>
        <w:left w:w="0" w:type="dxa"/>
        <w:top w:w="0" w:type="dxa"/>
        <w:right w:w="0" w:type="dxa"/>
        <w:bottom w:w="0" w:type="dxa"/>
      </w:tblCellMar>
    </w:tblPr>
  </w:style>
  <w:style w:type="paragraph" w:styleId="985" w:customStyle="1">
    <w:name w:val="TOC 标题11"/>
    <w:uiPriority w:val="39"/>
    <w:unhideWhenUsed/>
    <w:qFormat/>
  </w:style>
  <w:style w:type="character" w:styleId="986" w:customStyle="1">
    <w:name w:val="已访问的超链接1"/>
    <w:qFormat/>
    <w:rPr>
      <w:color w:val="800080"/>
      <w:u w:val="single"/>
    </w:rPr>
  </w:style>
  <w:style w:type="character" w:styleId="987" w:customStyle="1">
    <w:name w:val="font5 Char"/>
    <w:qFormat/>
    <w:rPr>
      <w:rFonts w:ascii="宋体" w:hAnsi="宋体" w:eastAsia="宋体"/>
      <w:sz w:val="28"/>
      <w:szCs w:val="28"/>
      <w:lang w:val="en-US" w:eastAsia="zh-CN" w:bidi="ar-SA"/>
    </w:rPr>
  </w:style>
  <w:style w:type="character" w:styleId="988" w:customStyle="1">
    <w:name w:val="二级目录 Char"/>
    <w:link w:val="989"/>
    <w:qFormat/>
    <w:rPr>
      <w:b/>
      <w:sz w:val="30"/>
      <w:szCs w:val="28"/>
    </w:rPr>
  </w:style>
  <w:style w:type="paragraph" w:styleId="989" w:customStyle="1">
    <w:name w:val="二级目录"/>
    <w:next w:val="735"/>
    <w:link w:val="988"/>
    <w:qFormat/>
    <w:pPr>
      <w:numPr>
        <w:numId w:val="2"/>
      </w:numPr>
      <w:tabs>
        <w:tab w:val="left" w:pos="1145" w:leader="none"/>
      </w:tabs>
      <w:outlineLvl w:val="1"/>
    </w:pPr>
    <w:rPr>
      <w:b/>
      <w:sz w:val="30"/>
      <w:szCs w:val="28"/>
    </w:rPr>
  </w:style>
  <w:style w:type="character" w:styleId="990" w:customStyle="1">
    <w:name w:val="列出段落 Char"/>
    <w:link w:val="991"/>
    <w:qFormat/>
    <w:rPr>
      <w:rFonts w:ascii="Calibri" w:hAnsi="Calibri"/>
      <w:sz w:val="24"/>
      <w:szCs w:val="24"/>
      <w:lang w:eastAsia="en-US" w:bidi="en-US"/>
    </w:rPr>
  </w:style>
  <w:style w:type="paragraph" w:styleId="991" w:customStyle="1">
    <w:name w:val="列出段落1"/>
    <w:basedOn w:val="735"/>
    <w:link w:val="990"/>
    <w:qFormat/>
    <w:pPr>
      <w:contextualSpacing/>
      <w:ind w:left="720"/>
      <w:jc w:val="left"/>
      <w:widowControl/>
    </w:pPr>
    <w:rPr>
      <w:sz w:val="24"/>
      <w:szCs w:val="24"/>
      <w:lang w:eastAsia="en-US" w:bidi="en-US"/>
    </w:rPr>
  </w:style>
  <w:style w:type="paragraph" w:styleId="992" w:customStyle="1">
    <w:name w:val="Body Text(ch)"/>
    <w:basedOn w:val="735"/>
    <w:next w:val="755"/>
    <w:qFormat/>
    <w:pPr>
      <w:spacing w:after="120"/>
    </w:pPr>
    <w:rPr>
      <w:rFonts w:ascii="宋体" w:hAnsi="Arial"/>
      <w:bCs/>
      <w:iCs/>
      <w:szCs w:val="24"/>
    </w:rPr>
  </w:style>
  <w:style w:type="paragraph" w:styleId="993" w:customStyle="1">
    <w:name w:val="xl27"/>
    <w:basedOn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735"/>
    <w:qFormat/>
    <w:pPr>
      <w:ind w:firstLine="200"/>
      <w:tabs>
        <w:tab w:val="left" w:pos="360" w:leader="none"/>
      </w:tabs>
    </w:pPr>
    <w:rPr>
      <w:rFonts w:ascii="Times New Roman" w:hAnsi="Times New Roman"/>
      <w:sz w:val="28"/>
      <w:szCs w:val="30"/>
    </w:rPr>
  </w:style>
  <w:style w:type="paragraph" w:styleId="996" w:customStyle="1">
    <w:name w:val="Char1"/>
    <w:basedOn w:val="752"/>
    <w:qFormat/>
    <w:rPr>
      <w:rFonts w:ascii="Tahoma" w:hAnsi="Tahoma"/>
      <w:sz w:val="24"/>
      <w:szCs w:val="24"/>
    </w:rPr>
  </w:style>
  <w:style w:type="paragraph" w:styleId="997" w:customStyle="1">
    <w:name w:val="普通正文"/>
    <w:basedOn w:val="735"/>
    <w:qFormat/>
    <w:pPr>
      <w:ind w:firstLine="480"/>
      <w:jc w:val="left"/>
      <w:spacing w:before="120" w:after="120" w:line="360" w:lineRule="auto"/>
    </w:pPr>
    <w:rPr>
      <w:rFonts w:ascii="Arial" w:hAnsi="Arial"/>
      <w:sz w:val="24"/>
      <w:szCs w:val="24"/>
    </w:rPr>
  </w:style>
  <w:style w:type="paragraph" w:styleId="998" w:customStyle="1">
    <w:name w:val="table_lines"/>
    <w:basedOn w:val="735"/>
    <w:qFormat/>
    <w:pPr>
      <w:jc w:val="left"/>
      <w:widowControl/>
    </w:pPr>
    <w:rPr>
      <w:rFonts w:ascii="Times New Roman" w:hAnsi="Times New Roman"/>
      <w:sz w:val="20"/>
      <w:szCs w:val="20"/>
      <w:lang w:val="de-DE" w:eastAsia="de-DE"/>
    </w:rPr>
  </w:style>
  <w:style w:type="paragraph" w:styleId="999"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1000" w:customStyle="1">
    <w:name w:val="font7"/>
    <w:basedOn w:val="735"/>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752"/>
    <w:qFormat/>
    <w:pPr>
      <w:spacing w:line="360" w:lineRule="auto"/>
    </w:pPr>
    <w:rPr>
      <w:rFonts w:ascii="Tahoma" w:hAnsi="Tahoma"/>
      <w:sz w:val="24"/>
      <w:szCs w:val="24"/>
    </w:rPr>
  </w:style>
  <w:style w:type="paragraph" w:styleId="1002" w:customStyle="1">
    <w:name w:val="4"/>
    <w:basedOn w:val="735"/>
    <w:next w:val="774"/>
    <w:qFormat/>
    <w:pPr>
      <w:ind w:firstLine="420"/>
      <w:spacing w:line="360" w:lineRule="auto"/>
    </w:pPr>
    <w:rPr>
      <w:rFonts w:ascii="Times New Roman" w:hAnsi="Times New Roman"/>
      <w:color w:val="ff0000"/>
      <w:sz w:val="24"/>
      <w:szCs w:val="24"/>
    </w:rPr>
  </w:style>
  <w:style w:type="paragraph" w:styleId="1003" w:customStyle="1">
    <w:name w:val="普通 (Web)"/>
    <w:basedOn w:val="735"/>
    <w:qFormat/>
    <w:pPr>
      <w:jc w:val="left"/>
      <w:spacing w:before="100" w:beforeAutospacing="1" w:after="100" w:afterAutospacing="1"/>
      <w:widowControl/>
    </w:pPr>
    <w:rPr>
      <w:rFonts w:ascii="宋体" w:hAnsi="宋体"/>
      <w:sz w:val="24"/>
      <w:szCs w:val="24"/>
    </w:rPr>
  </w:style>
  <w:style w:type="paragraph" w:styleId="1004" w:customStyle="1">
    <w:name w:val="Char Char Char Char Char Char Char Char Char Char"/>
    <w:basedOn w:val="735"/>
    <w:qFormat/>
    <w:pPr>
      <w:spacing w:line="360" w:lineRule="auto"/>
    </w:pPr>
    <w:rPr>
      <w:rFonts w:ascii="Times New Roman" w:hAnsi="Times New Roman"/>
      <w:sz w:val="24"/>
      <w:szCs w:val="20"/>
    </w:rPr>
  </w:style>
  <w:style w:type="paragraph" w:styleId="1005" w:customStyle="1">
    <w:name w:val="样式1"/>
    <w:basedOn w:val="735"/>
    <w:qFormat/>
    <w:pPr>
      <w:numPr>
        <w:numId w:val="3"/>
      </w:numPr>
    </w:pPr>
    <w:rPr>
      <w:rFonts w:ascii="宋体" w:hAnsi="宋体"/>
      <w:szCs w:val="21"/>
    </w:rPr>
  </w:style>
  <w:style w:type="paragraph" w:styleId="1006" w:customStyle="1">
    <w:name w:val="font6"/>
    <w:basedOn w:val="735"/>
    <w:qFormat/>
    <w:pPr>
      <w:jc w:val="left"/>
      <w:spacing w:before="100" w:beforeAutospacing="1" w:after="100" w:afterAutospacing="1"/>
      <w:widowControl/>
    </w:pPr>
    <w:rPr>
      <w:rFonts w:hint="eastAsia" w:ascii="宋体" w:hAnsi="宋体"/>
      <w:sz w:val="28"/>
      <w:szCs w:val="28"/>
      <w:u w:val="single"/>
    </w:rPr>
  </w:style>
  <w:style w:type="paragraph" w:styleId="1007" w:customStyle="1">
    <w:name w:val="xl25"/>
    <w:basedOn w:val="7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图标"/>
    <w:basedOn w:val="735"/>
    <w:next w:val="7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9" w:customStyle="1">
    <w:name w:val="标题3"/>
    <w:basedOn w:val="735"/>
    <w:next w:val="735"/>
    <w:qFormat/>
    <w:pPr>
      <w:ind w:firstLine="624"/>
      <w:spacing w:line="590" w:lineRule="atLeast"/>
    </w:pPr>
    <w:rPr>
      <w:rFonts w:ascii="方正黑体_GBK" w:hAnsi="Times New Roman" w:eastAsia="方正黑体_GBK"/>
      <w:sz w:val="32"/>
      <w:szCs w:val="32"/>
    </w:rPr>
  </w:style>
  <w:style w:type="paragraph" w:styleId="1010" w:customStyle="1">
    <w:name w:val="xl24"/>
    <w:basedOn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9"/>
    <w:basedOn w:val="73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Char Char Char Char Char Char Char Char"/>
    <w:basedOn w:val="735"/>
    <w:qFormat/>
    <w:pPr>
      <w:jc w:val="left"/>
      <w:spacing w:after="160" w:line="240" w:lineRule="exact"/>
      <w:widowControl/>
    </w:pPr>
    <w:rPr>
      <w:rFonts w:ascii="Verdana" w:hAnsi="Verdana"/>
      <w:sz w:val="20"/>
      <w:szCs w:val="20"/>
      <w:lang w:eastAsia="en-US"/>
    </w:rPr>
  </w:style>
  <w:style w:type="paragraph" w:styleId="1013" w:customStyle="1">
    <w:name w:val="xl28"/>
    <w:basedOn w:val="7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customStyle="1">
    <w:name w:val="Char Char Char Char Char Char Char Char1"/>
    <w:basedOn w:val="735"/>
    <w:qFormat/>
    <w:pPr>
      <w:jc w:val="left"/>
      <w:spacing w:after="160" w:line="240" w:lineRule="exact"/>
      <w:widowControl/>
    </w:pPr>
    <w:rPr>
      <w:rFonts w:ascii="Verdana" w:hAnsi="Verdana"/>
      <w:sz w:val="20"/>
      <w:szCs w:val="20"/>
      <w:lang w:eastAsia="en-US"/>
    </w:rPr>
  </w:style>
  <w:style w:type="paragraph" w:styleId="1015" w:customStyle="1">
    <w:name w:val="xl30"/>
    <w:basedOn w:val="735"/>
    <w:qFormat/>
    <w:pPr>
      <w:jc w:val="center"/>
      <w:spacing w:before="100" w:beforeAutospacing="1" w:after="100" w:afterAutospacing="1"/>
      <w:widowControl/>
    </w:pPr>
    <w:rPr>
      <w:rFonts w:ascii="宋体" w:hAnsi="宋体"/>
      <w:b/>
      <w:bCs/>
      <w:sz w:val="36"/>
      <w:szCs w:val="36"/>
    </w:rPr>
  </w:style>
  <w:style w:type="paragraph" w:styleId="1016" w:customStyle="1">
    <w:name w:val="Char Char Char Char1"/>
    <w:basedOn w:val="752"/>
    <w:qFormat/>
    <w:pPr>
      <w:spacing w:line="360" w:lineRule="auto"/>
    </w:pPr>
    <w:rPr>
      <w:rFonts w:ascii="Tahoma" w:hAnsi="Tahoma"/>
      <w:sz w:val="24"/>
      <w:szCs w:val="24"/>
    </w:rPr>
  </w:style>
  <w:style w:type="paragraph" w:styleId="1017" w:customStyle="1">
    <w:name w:val="table_1stline"/>
    <w:basedOn w:val="735"/>
    <w:qFormat/>
    <w:pPr>
      <w:jc w:val="left"/>
      <w:spacing w:before="120"/>
      <w:widowControl/>
    </w:pPr>
    <w:rPr>
      <w:rFonts w:ascii="Times New Roman" w:hAnsi="Times New Roman"/>
      <w:bCs/>
      <w:sz w:val="20"/>
      <w:szCs w:val="20"/>
      <w:lang w:val="de-DE" w:eastAsia="de-DE"/>
    </w:rPr>
  </w:style>
  <w:style w:type="paragraph" w:styleId="1018" w:customStyle="1">
    <w:name w:val="font5"/>
    <w:basedOn w:val="735"/>
    <w:qFormat/>
    <w:pPr>
      <w:jc w:val="left"/>
      <w:spacing w:before="100" w:beforeAutospacing="1" w:after="100" w:afterAutospacing="1"/>
      <w:widowControl/>
    </w:pPr>
    <w:rPr>
      <w:rFonts w:hint="eastAsia" w:ascii="宋体" w:hAnsi="宋体"/>
      <w:sz w:val="28"/>
      <w:szCs w:val="28"/>
    </w:rPr>
  </w:style>
  <w:style w:type="paragraph" w:styleId="1019" w:customStyle="1">
    <w:name w:val="标题1"/>
    <w:basedOn w:val="735"/>
    <w:next w:val="7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0" w:customStyle="1">
    <w:name w:val="修订1"/>
    <w:uiPriority w:val="99"/>
    <w:semiHidden/>
    <w:qFormat/>
    <w:rPr>
      <w:rFonts w:ascii="Times New Roman" w:hAnsi="Times New Roman"/>
      <w:sz w:val="21"/>
      <w:szCs w:val="21"/>
    </w:rPr>
  </w:style>
  <w:style w:type="paragraph" w:styleId="1021" w:customStyle="1">
    <w:name w:val="AONormal"/>
    <w:qFormat/>
    <w:pPr>
      <w:ind w:firstLine="440"/>
      <w:spacing w:line="400" w:lineRule="exact"/>
    </w:pPr>
    <w:rPr>
      <w:rFonts w:ascii="华文楷体" w:hAnsi="华文楷体" w:eastAsia="华文楷体" w:cs="华文楷体"/>
      <w:sz w:val="22"/>
      <w:szCs w:val="21"/>
    </w:rPr>
  </w:style>
  <w:style w:type="paragraph" w:styleId="1022" w:customStyle="1">
    <w:name w:val="修订2"/>
    <w:uiPriority w:val="99"/>
    <w:unhideWhenUsed/>
    <w:qFormat/>
    <w:rPr>
      <w:sz w:val="21"/>
      <w:szCs w:val="22"/>
    </w:rPr>
  </w:style>
  <w:style w:type="paragraph" w:styleId="1023" w:customStyle="1">
    <w:name w:val="页脚1"/>
    <w:basedOn w:val="735"/>
    <w:uiPriority w:val="99"/>
    <w:qFormat/>
    <w:pPr>
      <w:jc w:val="left"/>
      <w:tabs>
        <w:tab w:val="center" w:pos="4153" w:leader="none"/>
        <w:tab w:val="right" w:pos="8306" w:leader="none"/>
      </w:tabs>
    </w:pPr>
    <w:rPr>
      <w:rFonts w:ascii="Times New Roman" w:hAnsi="Times New Roman"/>
      <w:sz w:val="18"/>
      <w:szCs w:val="18"/>
    </w:rPr>
  </w:style>
  <w:style w:type="paragraph" w:styleId="1024" w:customStyle="1">
    <w:name w:val="页眉1"/>
    <w:basedOn w:val="735"/>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25" w:customStyle="1">
    <w:name w:val="修订3"/>
    <w:hidden/>
    <w:uiPriority w:val="99"/>
    <w:unhideWhenUsed/>
    <w:qFormat/>
    <w:rPr>
      <w:sz w:val="21"/>
      <w:szCs w:val="22"/>
    </w:rPr>
  </w:style>
  <w:style w:type="paragraph" w:styleId="1026" w:customStyle="1">
    <w:name w:val="修订4"/>
    <w:hidden/>
    <w:uiPriority w:val="99"/>
    <w:unhideWhenUsed/>
    <w:qFormat/>
    <w:rPr>
      <w:sz w:val="21"/>
      <w:szCs w:val="22"/>
    </w:rPr>
  </w:style>
  <w:style w:type="paragraph" w:styleId="1027" w:customStyle="1">
    <w:name w:val="修订5"/>
    <w:hidden/>
    <w:uiPriority w:val="99"/>
    <w:unhideWhenUsed/>
    <w:qFormat/>
    <w:rPr>
      <w:sz w:val="21"/>
      <w:szCs w:val="22"/>
    </w:rPr>
  </w:style>
  <w:style w:type="paragraph" w:styleId="1028" w:customStyle="1">
    <w:name w:val="修订6"/>
    <w:hidden/>
    <w:uiPriority w:val="99"/>
    <w:unhideWhenUsed/>
    <w:qFormat/>
    <w:rPr>
      <w:sz w:val="21"/>
      <w:szCs w:val="22"/>
    </w:rPr>
  </w:style>
  <w:style w:type="paragraph" w:styleId="1029" w:customStyle="1">
    <w:name w:val="修订7"/>
    <w:hidden/>
    <w:uiPriority w:val="99"/>
    <w:unhideWhenUsed/>
    <w:qFormat/>
    <w:rPr>
      <w:sz w:val="21"/>
      <w:szCs w:val="22"/>
    </w:rPr>
  </w:style>
  <w:style w:type="paragraph" w:styleId="1030" w:customStyle="1">
    <w:name w:val="Char1 Char Char Char"/>
    <w:basedOn w:val="735"/>
    <w:qFormat/>
    <w:rPr>
      <w:rFonts w:ascii="Tahoma" w:hAnsi="Tahoma" w:eastAsia="仿宋_GB2312"/>
      <w:sz w:val="24"/>
      <w:szCs w:val="20"/>
    </w:rPr>
  </w:style>
  <w:style w:type="paragraph" w:styleId="1031" w:customStyle="1">
    <w:name w:val="表"/>
    <w:basedOn w:val="735"/>
    <w:qFormat/>
    <w:pPr>
      <w:spacing w:line="312" w:lineRule="auto"/>
    </w:pPr>
    <w:rPr>
      <w:rFonts w:cs="宋体" w:eastAsiaTheme="minorEastAsia"/>
    </w:rPr>
  </w:style>
  <w:style w:type="paragraph" w:styleId="1032" w:customStyle="1">
    <w:name w:val="修订8"/>
    <w:hidden/>
    <w:uiPriority w:val="99"/>
    <w:unhideWhenUsed/>
    <w:qFormat/>
    <w:rPr>
      <w:sz w:val="21"/>
      <w:szCs w:val="22"/>
    </w:rPr>
  </w:style>
  <w:style w:type="paragraph" w:styleId="103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32</cp:revision>
  <dcterms:created xsi:type="dcterms:W3CDTF">2026-08-12T08:57:00Z</dcterms:created>
  <dcterms:modified xsi:type="dcterms:W3CDTF">2026-10-22T01:21:29Z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eyJoZGlkIjoiODViY2JkMjU3NGYzZTEwMzZmMGFkZWViYmNkYWU3NDIiLCJ1c2VySWQiOiIxMDQ3MTEyMjcxIn0=</vt:lpwstr>
  </property>
  <property fmtid="{D5CDD505-2E9C-101B-9397-08002B2CF9AE}" pid="3" name="KSOProductBuildVer">
    <vt:lpwstr>2052-12.1.0.29161</vt:lpwstr>
  </property>
  <property fmtid="{D5CDD505-2E9C-101B-9397-08002B2CF9AE}" pid="4" name="ICV">
    <vt:lpwstr>D5EF63431E89483DA3F3D9D0E262EC85_13</vt:lpwstr>
  </property>
</Properties>
</file>