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Times New Roman"/>
          <w:b w:val="0"/>
          <w:bCs/>
          <w:sz w:val="32"/>
          <w:szCs w:val="32"/>
        </w:rPr>
        <w:t xml:space="preserve">人力资源一体化管理平台</w:t>
      </w:r>
      <w:r/>
    </w:p>
    <w:p>
      <w:pPr>
        <w:ind w:left="1279" w:hanging="321"/>
        <w:spacing w:line="360" w:lineRule="auto"/>
        <w:rPr>
          <w:rFonts w:hint="default" w:ascii="宋体" w:hAnsi="宋体" w:eastAsia="宋体" w:cs="Times New Roman"/>
          <w:bCs/>
          <w:sz w:val="32"/>
          <w:szCs w:val="24"/>
          <w:lang w:val="en-US" w:eastAsia="zh-CN"/>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w:t>
      </w:r>
      <w:r>
        <w:rPr>
          <w:rFonts w:hint="eastAsia" w:ascii="宋体" w:hAnsi="宋体" w:eastAsia="宋体" w:cs="宋体"/>
          <w:bCs/>
          <w:sz w:val="32"/>
          <w:szCs w:val="32"/>
          <w:lang w:val="en-US" w:eastAsia="zh-CN"/>
        </w:rPr>
        <w:t xml:space="preserve">62</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rPr>
        <w:t xml:space="preserve">十月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52"/>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964"/>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- 2 -</w:t>
      </w:r>
      <w:r>
        <w:rPr>
          <w:rFonts w:eastAsia="宋体"/>
          <w:sz w:val="30"/>
          <w:szCs w:val="30"/>
        </w:rPr>
        <w:fldChar w:fldCharType="end"/>
      </w:r>
      <w:r>
        <w:rPr>
          <w:rFonts w:eastAsia="宋体"/>
          <w:sz w:val="30"/>
          <w:szCs w:val="30"/>
        </w:rPr>
        <w:fldChar w:fldCharType="end"/>
      </w:r>
      <w:r/>
    </w:p>
    <w:p>
      <w:pPr>
        <w:pStyle w:val="952"/>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w:instrText>
      </w:r>
      <w:r>
        <w:fldChar w:fldCharType="separate"/>
      </w:r>
      <w:r>
        <w:rPr>
          <w:rStyle w:val="964"/>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- 5 -</w:t>
      </w:r>
      <w:r>
        <w:rPr>
          <w:rFonts w:eastAsia="宋体"/>
          <w:sz w:val="30"/>
          <w:szCs w:val="30"/>
        </w:rPr>
        <w:fldChar w:fldCharType="end"/>
      </w:r>
      <w:r>
        <w:rPr>
          <w:rFonts w:eastAsia="宋体"/>
          <w:sz w:val="30"/>
          <w:szCs w:val="30"/>
        </w:rPr>
        <w:fldChar w:fldCharType="end"/>
      </w:r>
      <w:r/>
    </w:p>
    <w:p>
      <w:pPr>
        <w:pStyle w:val="952"/>
        <w:spacing w:line="600" w:lineRule="exact"/>
        <w:tabs>
          <w:tab w:val="right" w:pos="9402" w:leader="dot"/>
        </w:tabs>
        <w:rPr>
          <w:rFonts w:hint="default" w:ascii="宋体" w:hAnsi="宋体" w:eastAsia="宋体"/>
          <w:bCs w:val="0"/>
          <w:caps w:val="0"/>
          <w:sz w:val="30"/>
          <w:szCs w:val="30"/>
          <w:lang w:val="en-US" w:eastAsia="zh-CN"/>
        </w:rPr>
      </w:pPr>
      <w:r>
        <w:fldChar w:fldCharType="begin"/>
      </w:r>
      <w:r>
        <w:instrText xml:space="preserve"> HYPERLINK \l "_Toc213847315" </w:instrText>
      </w:r>
      <w:r>
        <w:fldChar w:fldCharType="separate"/>
      </w:r>
      <w:r>
        <w:rPr>
          <w:rStyle w:val="964"/>
          <w:rFonts w:hint="eastAsia" w:ascii="宋体" w:hAnsi="宋体" w:eastAsia="宋体"/>
          <w:color w:val="auto"/>
          <w:sz w:val="30"/>
          <w:szCs w:val="30"/>
        </w:rPr>
        <w:t xml:space="preserve">第三章　采购需求</w:t>
      </w:r>
      <w:r>
        <w:rPr>
          <w:rFonts w:eastAsia="宋体"/>
          <w:sz w:val="30"/>
          <w:szCs w:val="30"/>
        </w:rPr>
        <w:tab/>
      </w:r>
      <w:r>
        <w:rPr>
          <w:rFonts w:eastAsia="宋体"/>
          <w:sz w:val="30"/>
          <w:szCs w:val="30"/>
        </w:rPr>
        <w:fldChar w:fldCharType="end"/>
      </w:r>
      <w:r>
        <w:rPr>
          <w:rFonts w:hint="eastAsia" w:eastAsia="宋体"/>
          <w:sz w:val="30"/>
          <w:szCs w:val="30"/>
          <w:lang w:val="en-US" w:eastAsia="zh-CN"/>
        </w:rPr>
        <w:t xml:space="preserve">-17-</w:t>
      </w:r>
      <w:r/>
    </w:p>
    <w:p>
      <w:pPr>
        <w:pStyle w:val="952"/>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"_Toc213847316" </w:instrText>
      </w:r>
      <w:r>
        <w:fldChar w:fldCharType="separate"/>
      </w:r>
      <w:r>
        <w:rPr>
          <w:rStyle w:val="964"/>
          <w:rFonts w:hint="eastAsia" w:ascii="宋体" w:hAnsi="宋体" w:eastAsia="宋体"/>
          <w:color w:val="auto"/>
          <w:sz w:val="30"/>
          <w:szCs w:val="30"/>
        </w:rPr>
        <w:t xml:space="preserve">第四章</w:t>
      </w:r>
      <w:r>
        <w:rPr>
          <w:rStyle w:val="964"/>
          <w:rFonts w:ascii="宋体" w:hAnsi="宋体" w:eastAsia="宋体"/>
          <w:color w:val="auto"/>
          <w:sz w:val="30"/>
          <w:szCs w:val="30"/>
        </w:rPr>
        <w:t xml:space="preserve">  </w:t>
      </w:r>
      <w:r>
        <w:rPr>
          <w:rStyle w:val="964"/>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 </w:t>
      </w:r>
      <w:r>
        <w:rPr>
          <w:rFonts w:hint="eastAsia" w:eastAsia="宋体"/>
          <w:sz w:val="30"/>
          <w:szCs w:val="30"/>
          <w:lang w:val="en-US" w:eastAsia="zh-CN"/>
        </w:rPr>
        <w:t xml:space="preserve">34</w:t>
      </w:r>
      <w:r>
        <w:rPr>
          <w:rFonts w:eastAsia="宋体"/>
          <w:sz w:val="30"/>
          <w:szCs w:val="30"/>
        </w:rPr>
        <w:t xml:space="preserve"> -</w:t>
      </w:r>
      <w:r>
        <w:rPr>
          <w:rFonts w:eastAsia="宋体"/>
          <w:sz w:val="30"/>
          <w:szCs w:val="30"/>
        </w:rPr>
        <w:fldChar w:fldCharType="end"/>
      </w:r>
      <w:r>
        <w:rPr>
          <w:rFonts w:eastAsia="宋体"/>
          <w:sz w:val="30"/>
          <w:szCs w:val="30"/>
        </w:rPr>
        <w:fldChar w:fldCharType="end"/>
      </w:r>
      <w:r/>
    </w:p>
    <w:p>
      <w:pPr>
        <w:pStyle w:val="952"/>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w:instrText>
      </w:r>
      <w:r>
        <w:fldChar w:fldCharType="separate"/>
      </w:r>
      <w:r>
        <w:rPr>
          <w:rStyle w:val="964"/>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 </w:t>
      </w:r>
      <w:r>
        <w:rPr>
          <w:rFonts w:hint="eastAsia" w:eastAsia="宋体"/>
          <w:sz w:val="30"/>
          <w:szCs w:val="30"/>
          <w:lang w:val="en-US" w:eastAsia="zh-CN"/>
        </w:rPr>
        <w:t xml:space="preserve">38</w:t>
      </w:r>
      <w:r>
        <w:rPr>
          <w:rFonts w:eastAsia="宋体"/>
          <w:sz w:val="30"/>
          <w:szCs w:val="30"/>
        </w:rPr>
        <w:t xml:space="preserve"> -</w:t>
      </w:r>
      <w:r>
        <w:rPr>
          <w:rFonts w:eastAsia="宋体"/>
          <w:sz w:val="30"/>
          <w:szCs w:val="30"/>
        </w:rPr>
        <w:fldChar w:fldCharType="end"/>
      </w:r>
      <w:r>
        <w:rPr>
          <w:rFonts w:eastAsia="宋体"/>
          <w:sz w:val="30"/>
          <w:szCs w:val="30"/>
        </w:rPr>
        <w:fldChar w:fldCharType="end"/>
      </w:r>
      <w:r/>
    </w:p>
    <w:p>
      <w:pPr>
        <w:pStyle w:val="952"/>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w:instrText>
      </w:r>
      <w:r>
        <w:fldChar w:fldCharType="separate"/>
      </w:r>
      <w:r>
        <w:rPr>
          <w:rStyle w:val="964"/>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- 42 -</w:t>
      </w:r>
      <w:r>
        <w:rPr>
          <w:rFonts w:eastAsia="宋体"/>
          <w:sz w:val="30"/>
          <w:szCs w:val="30"/>
        </w:rPr>
        <w:fldChar w:fldCharType="end"/>
      </w:r>
      <w:r>
        <w:rPr>
          <w:rFonts w:eastAsia="宋体"/>
          <w:sz w:val="30"/>
          <w:szCs w:val="30"/>
        </w:rPr>
        <w:fldChar w:fldCharType="end"/>
      </w:r>
      <w:r/>
    </w:p>
    <w:p>
      <w:pPr>
        <w:pStyle w:val="958"/>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958"/>
      </w:pPr>
      <w:r/>
      <w:r/>
    </w:p>
    <w:p>
      <w:pPr>
        <w:pStyle w:val="958"/>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rPr>
        <w:t xml:space="preserve">人力资源一体化管理平台</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lang w:val="en-US" w:eastAsia="zh-CN"/>
        </w:rPr>
        <w:t xml:space="preserve">62</w:t>
      </w:r>
      <w:r>
        <w:rPr>
          <w:rFonts w:ascii="宋体" w:hAnsi="宋体" w:eastAsia="宋体" w:cs="Times New Roman"/>
          <w:sz w:val="24"/>
          <w:szCs w:val="24"/>
        </w:rPr>
        <w:t xml:space="preserve"> </w:t>
      </w:r>
      <w:r>
        <w:rPr>
          <w:rFonts w:ascii="宋体" w:hAnsi="宋体"/>
          <w:color w:val="000000"/>
          <w:sz w:val="24"/>
        </w:rPr>
        <w:t xml:space="preserve">招标项目</w:t>
      </w:r>
      <w:r>
        <w:rPr>
          <w:rFonts w:ascii="宋体" w:hAnsi="宋体" w:eastAsia="宋体" w:cs="Times New Roman"/>
          <w:sz w:val="24"/>
          <w:szCs w:val="24"/>
        </w:rPr>
        <w:t xml:space="preserve">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rPr>
        <w:t xml:space="preserve">30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358"/>
      <w:r/>
      <w:bookmarkStart w:id="8" w:name="_Toc166593156"/>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lang w:val="en-US" w:eastAsia="zh-CN"/>
        </w:rPr>
        <w:t xml:space="preserve">62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人力资源一体化管理平台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lang w:val="en-US" w:eastAsia="zh-CN"/>
        </w:rPr>
        <w:t xml:space="preserve">80</w:t>
      </w:r>
      <w:r>
        <w:rPr>
          <w:rFonts w:hint="eastAsia" w:ascii="宋体" w:hAnsi="宋体" w:eastAsia="宋体" w:cs="Times New Roman"/>
          <w:sz w:val="24"/>
          <w:szCs w:val="24"/>
        </w:rPr>
        <w:t xml:space="preserve">万元</w:t>
      </w:r>
      <w:r/>
    </w:p>
    <w:p>
      <w:pPr>
        <w:ind w:firstLine="480"/>
        <w:spacing w:line="400" w:lineRule="exact"/>
        <w:rPr>
          <w:rFonts w:hint="default" w:ascii="宋体" w:hAnsi="宋体" w:eastAsia="宋体" w:cs="Times New Roman"/>
          <w:sz w:val="24"/>
          <w:szCs w:val="24"/>
          <w:highlight w:val="none"/>
          <w:lang w:val="en-US" w:eastAsia="zh-CN"/>
        </w:rPr>
      </w:pPr>
      <w:r>
        <w:rPr>
          <w:rFonts w:ascii="宋体" w:hAnsi="宋体" w:eastAsia="宋体" w:cs="Times New Roman"/>
          <w:sz w:val="24"/>
          <w:szCs w:val="24"/>
          <w:highlight w:val="none"/>
        </w:rPr>
        <w:t xml:space="preserve">最高限价：</w:t>
      </w:r>
      <w:r>
        <w:rPr>
          <w:rFonts w:hint="eastAsia" w:ascii="宋体" w:hAnsi="宋体" w:eastAsia="宋体" w:cs="Times New Roman"/>
          <w:sz w:val="24"/>
          <w:szCs w:val="24"/>
          <w:highlight w:val="none"/>
          <w:lang w:val="en-US" w:eastAsia="zh-CN"/>
        </w:rPr>
        <w:t xml:space="preserve">70万元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本项目为江阴市人民医院</w:t>
      </w:r>
      <w:r>
        <w:rPr>
          <w:rFonts w:hint="eastAsia" w:ascii="宋体" w:hAnsi="宋体" w:eastAsia="宋体" w:cs="Times New Roman"/>
          <w:sz w:val="24"/>
          <w:szCs w:val="24"/>
          <w:lang w:eastAsia="zh-CN"/>
        </w:rPr>
        <w:t xml:space="preserve">的</w:t>
      </w:r>
      <w:r>
        <w:rPr>
          <w:rFonts w:hint="eastAsia" w:ascii="宋体" w:hAnsi="宋体" w:eastAsia="宋体" w:cs="Times New Roman"/>
          <w:sz w:val="24"/>
          <w:szCs w:val="24"/>
        </w:rPr>
        <w:t xml:space="preserve">人力资源一体化管理平台项目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rPr>
        <w:t xml:space="preserve">30   13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江阴市寿山路163号</w:t>
      </w:r>
      <w:r/>
    </w:p>
    <w:p>
      <w:pPr>
        <w:ind w:firstLine="480"/>
        <w:jc w:val="left"/>
        <w:spacing w:line="400" w:lineRule="exact"/>
        <w:rPr>
          <w:rFonts w:hint="eastAsia" w:ascii="宋体" w:hAnsi="宋体" w:eastAsia="宋体" w:cs="Times New Roman"/>
          <w:sz w:val="24"/>
          <w:szCs w:val="28"/>
          <w:highlight w:val="none"/>
          <w:lang w:eastAsia="zh-CN"/>
        </w:rPr>
      </w:pPr>
      <w:r>
        <w:rPr>
          <w:rFonts w:hint="eastAsia" w:ascii="宋体" w:hAnsi="宋体" w:eastAsia="宋体" w:cs="Times New Roman"/>
          <w:sz w:val="24"/>
          <w:szCs w:val="28"/>
          <w:highlight w:val="none"/>
        </w:rPr>
        <w:t xml:space="preserve">项目联系人：</w:t>
      </w:r>
      <w:r>
        <w:rPr>
          <w:rFonts w:hint="eastAsia" w:ascii="宋体" w:hAnsi="宋体" w:eastAsia="宋体" w:cs="Times New Roman"/>
          <w:sz w:val="24"/>
          <w:szCs w:val="28"/>
          <w:highlight w:val="none"/>
          <w:lang w:eastAsia="zh-CN"/>
        </w:rPr>
        <w:t xml:space="preserve">朱先生</w:t>
      </w:r>
      <w:r/>
    </w:p>
    <w:p>
      <w:pPr>
        <w:ind w:firstLine="480"/>
        <w:jc w:val="left"/>
        <w:spacing w:line="400" w:lineRule="exact"/>
        <w:rPr>
          <w:rFonts w:hint="default" w:ascii="宋体" w:hAnsi="宋体" w:eastAsia="宋体" w:cs="Times New Roman"/>
          <w:sz w:val="24"/>
          <w:szCs w:val="28"/>
          <w:highlight w:val="none"/>
          <w:lang w:val="en-US" w:eastAsia="zh-CN"/>
        </w:rPr>
      </w:pPr>
      <w:r>
        <w:rPr>
          <w:rFonts w:hint="eastAsia" w:ascii="宋体" w:hAnsi="宋体" w:eastAsia="宋体" w:cs="Times New Roman"/>
          <w:sz w:val="24"/>
          <w:szCs w:val="28"/>
          <w:highlight w:val="none"/>
        </w:rPr>
        <w:t xml:space="preserve">联系电话：</w:t>
      </w:r>
      <w:r>
        <w:rPr>
          <w:rFonts w:hint="eastAsia" w:ascii="宋体" w:hAnsi="宋体" w:eastAsia="宋体" w:cs="Times New Roman"/>
          <w:sz w:val="24"/>
          <w:szCs w:val="28"/>
          <w:highlight w:val="none"/>
          <w:lang w:val="en-US" w:eastAsia="zh-CN"/>
        </w:rPr>
        <w:t xml:space="preserve">0510-86879038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联系人：</w:t>
      </w:r>
      <w:r>
        <w:rPr>
          <w:rFonts w:hint="eastAsia" w:ascii="宋体" w:hAnsi="宋体" w:eastAsia="宋体" w:cs="Times New Roman"/>
          <w:sz w:val="24"/>
          <w:szCs w:val="24"/>
          <w:lang w:eastAsia="zh-CN"/>
        </w:rPr>
        <w:t xml:space="preserve">徐女士</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lang w:val="en-US" w:eastAsia="zh-CN"/>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项目联系人：</w:t>
      </w:r>
      <w:r>
        <w:rPr>
          <w:rFonts w:hint="eastAsia" w:ascii="宋体" w:hAnsi="宋体" w:eastAsia="宋体" w:cs="Times New Roman"/>
          <w:sz w:val="24"/>
          <w:szCs w:val="24"/>
          <w:lang w:eastAsia="zh-CN"/>
        </w:rPr>
        <w:t xml:space="preserve">徐女士</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电话：0510-880276</w:t>
      </w:r>
      <w:r>
        <w:rPr>
          <w:rFonts w:hint="eastAsia" w:ascii="宋体" w:hAnsi="宋体" w:eastAsia="宋体" w:cs="Times New Roman"/>
          <w:sz w:val="24"/>
          <w:szCs w:val="24"/>
          <w:lang w:val="en-US" w:eastAsia="zh-CN"/>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58"/>
      </w:pPr>
      <w:r/>
      <w:r/>
    </w:p>
    <w:p>
      <w:pPr>
        <w:pStyle w:val="958"/>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文件3：</w:t>
      </w: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（6）投标人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u w:val="single"/>
        </w:rPr>
        <w:t xml:space="preserve">采购人收件人：</w:t>
      </w:r>
      <w:r>
        <w:rPr>
          <w:rFonts w:hint="eastAsia" w:ascii="宋体" w:hAnsi="宋体" w:eastAsia="宋体" w:cs="Times New Roman"/>
          <w:sz w:val="24"/>
          <w:szCs w:val="24"/>
          <w:highlight w:val="none"/>
          <w:u w:val="single"/>
          <w:lang w:eastAsia="zh-CN"/>
        </w:rPr>
        <w:t xml:space="preserve">朱先生</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收件地址：江阴市</w:t>
      </w:r>
      <w:r>
        <w:rPr>
          <w:rFonts w:hint="eastAsia" w:ascii="宋体" w:hAnsi="宋体" w:eastAsia="宋体" w:cs="Times New Roman"/>
          <w:sz w:val="24"/>
          <w:szCs w:val="24"/>
          <w:highlight w:val="none"/>
          <w:u w:val="single"/>
          <w:lang w:eastAsia="zh-CN"/>
        </w:rPr>
        <w:t xml:space="preserve">长山大道</w:t>
      </w:r>
      <w:r>
        <w:rPr>
          <w:rFonts w:hint="eastAsia" w:ascii="宋体" w:hAnsi="宋体" w:eastAsia="宋体" w:cs="Times New Roman"/>
          <w:sz w:val="24"/>
          <w:szCs w:val="24"/>
          <w:highlight w:val="none"/>
          <w:u w:val="single"/>
          <w:lang w:val="en-US" w:eastAsia="zh-CN"/>
        </w:rPr>
        <w:t xml:space="preserve">紧急医学救援中心6楼大数据中心6  </w:t>
      </w:r>
      <w:r>
        <w:rPr>
          <w:rFonts w:hint="eastAsia" w:ascii="宋体" w:hAnsi="宋体" w:eastAsia="宋体" w:cs="Times New Roman"/>
          <w:sz w:val="24"/>
          <w:szCs w:val="24"/>
          <w:highlight w:val="none"/>
          <w:u w:val="single"/>
        </w:rPr>
        <w:t xml:space="preserve"> 收件电话：13812102096</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根据《国务院办公厅关于在政府采购中实施本国产品标准及相关政策的通知》（国办发〔2025〕34号）要求，本项目对采购本国产品给予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厂名</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58"/>
        <w:sectPr>
          <w:footnotePr/>
          <w:endnotePr/>
          <w:type w:val="nextPage"/>
          <w:pgSz w:w="11906" w:h="16838" w:orient="portrait"/>
          <w:pgMar w:top="1247" w:right="1247" w:bottom="1247" w:left="1247" w:header="680" w:footer="992" w:gutter="0"/>
          <w:cols w:num="1" w:sep="0" w:space="720" w:equalWidth="1"/>
          <w:docGrid w:linePitch="360"/>
        </w:sectPr>
      </w:pPr>
      <w:r/>
      <w:r/>
    </w:p>
    <w:p>
      <w:pPr>
        <w:pStyle w:val="958"/>
      </w:pPr>
      <w:r/>
      <w:r/>
    </w:p>
    <w:p>
      <w:pPr>
        <w:numPr>
          <w:ilvl w:val="0"/>
          <w:numId w:val="0"/>
        </w:numPr>
        <w:jc w:val="center"/>
        <w:spacing w:line="400" w:lineRule="exact"/>
        <w:tabs>
          <w:tab w:val="left" w:pos="0" w:leader="none"/>
        </w:tabs>
        <w:rPr>
          <w:rFonts w:hint="eastAsia" w:ascii="黑体" w:hAnsi="黑体" w:eastAsia="黑体" w:cs="黑体"/>
          <w:sz w:val="30"/>
          <w:szCs w:val="30"/>
          <w:highlight w:val="none"/>
          <w:lang w:val="en-US" w:eastAsia="zh-CN"/>
        </w:rPr>
      </w:pPr>
      <w:r/>
      <w:bookmarkStart w:id="10" w:name="_Toc251268361"/>
      <w:r>
        <w:rPr>
          <w:rFonts w:hint="eastAsia" w:ascii="黑体" w:hAnsi="黑体" w:eastAsia="黑体" w:cs="黑体"/>
          <w:sz w:val="30"/>
          <w:szCs w:val="30"/>
          <w:lang w:val="en-US" w:eastAsia="zh-CN" w:bidi="ar-SA"/>
        </w:rPr>
        <w:t xml:space="preserve">第三章</w:t>
      </w:r>
      <w:r>
        <w:rPr>
          <w:rFonts w:hint="eastAsia" w:ascii="黑体" w:hAnsi="黑体" w:eastAsia="黑体" w:cs="黑体"/>
          <w:b w:val="0"/>
          <w:bCs w:val="0"/>
          <w:sz w:val="30"/>
          <w:szCs w:val="30"/>
          <w:highlight w:val="none"/>
          <w:lang w:val="en-US" w:eastAsia="zh-CN"/>
        </w:rPr>
        <w:t xml:space="preserve">  采购需求</w:t>
      </w:r>
      <w:r/>
    </w:p>
    <w:p>
      <w:pPr>
        <w:pStyle w:val="936"/>
        <w:ind w:firstLine="3000"/>
        <w:jc w:val="both"/>
        <w:rPr>
          <w:rFonts w:hint="eastAsia" w:ascii="宋体" w:hAnsi="宋体" w:eastAsia="宋体" w:cs="宋体"/>
          <w:highlight w:val="none"/>
          <w:lang w:val="en-US" w:eastAsia="zh-CN"/>
        </w:rPr>
      </w:pPr>
      <w:r>
        <w:rPr>
          <w:rFonts w:hint="eastAsia" w:ascii="宋体" w:hAnsi="宋体" w:eastAsia="宋体" w:cs="宋体"/>
          <w:b w:val="0"/>
          <w:bCs w:val="0"/>
          <w:sz w:val="30"/>
          <w:szCs w:val="30"/>
          <w:highlight w:val="none"/>
          <w:lang w:val="en-US" w:eastAsia="zh-CN"/>
        </w:rPr>
        <w:t xml:space="preserve">（</w:t>
      </w:r>
      <w:r>
        <w:rPr>
          <w:rFonts w:hint="eastAsia" w:ascii="宋体" w:hAnsi="宋体" w:eastAsia="宋体" w:cs="宋体"/>
          <w:b/>
          <w:bCs/>
          <w:color w:val="000000"/>
          <w:sz w:val="24"/>
          <w:szCs w:val="24"/>
          <w:highlight w:val="none"/>
          <w:lang w:eastAsia="zh-CN"/>
        </w:rPr>
        <w:t xml:space="preserve">以下均为实质性要求</w:t>
      </w:r>
      <w:r>
        <w:rPr>
          <w:rFonts w:hint="eastAsia" w:ascii="宋体" w:hAnsi="宋体" w:eastAsia="宋体" w:cs="宋体"/>
          <w:b w:val="0"/>
          <w:bCs w:val="0"/>
          <w:sz w:val="30"/>
          <w:szCs w:val="30"/>
          <w:highlight w:val="none"/>
          <w:lang w:val="en-US" w:eastAsia="zh-CN"/>
        </w:rPr>
        <w:t xml:space="preserve">）</w:t>
      </w:r>
      <w:r/>
    </w:p>
    <w:p>
      <w:pPr>
        <w:pStyle w:val="936"/>
        <w:rPr>
          <w:rFonts w:hint="default"/>
          <w:lang w:val="en-US" w:eastAsia="zh-CN"/>
        </w:rPr>
      </w:pPr>
      <w:r>
        <w:rPr>
          <w:rFonts w:hint="default"/>
          <w:lang w:val="en-US" w:eastAsia="zh-CN"/>
        </w:rPr>
      </w:r>
      <w:r/>
    </w:p>
    <w:p>
      <w:pPr>
        <w:spacing w:line="440" w:lineRule="atLeast"/>
        <w:rPr>
          <w:rFonts w:hint="eastAsia" w:ascii="黑体" w:hAnsi="黑体" w:eastAsia="黑体" w:cs="黑体"/>
          <w:b w:val="0"/>
          <w:bCs w:val="0"/>
          <w:color w:val="000000"/>
          <w:sz w:val="28"/>
          <w:szCs w:val="28"/>
        </w:rPr>
      </w:pPr>
      <w:r/>
      <w:bookmarkStart w:id="11" w:name="_Toc213847316"/>
      <w:r>
        <w:rPr>
          <w:rFonts w:hint="eastAsia" w:ascii="黑体" w:hAnsi="黑体" w:eastAsia="黑体" w:cs="黑体"/>
          <w:b w:val="0"/>
          <w:bCs w:val="0"/>
          <w:color w:val="000000"/>
          <w:sz w:val="28"/>
          <w:szCs w:val="28"/>
        </w:rPr>
        <w:t xml:space="preserve">一、项目概述</w:t>
      </w:r>
      <w:r/>
    </w:p>
    <w:p>
      <w:pPr>
        <w:spacing w:line="44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w:t>
      </w:r>
      <w:r>
        <w:rPr>
          <w:rFonts w:hint="eastAsia" w:ascii="宋体" w:hAnsi="宋体" w:cs="宋体"/>
          <w:b/>
          <w:bCs/>
          <w:color w:val="000000"/>
          <w:sz w:val="24"/>
          <w:szCs w:val="24"/>
        </w:rPr>
        <w:t xml:space="preserve">背景</w:t>
      </w:r>
      <w:r/>
    </w:p>
    <w:p>
      <w:pPr>
        <w:ind w:firstLine="480"/>
        <w:keepLines w:val="0"/>
        <w:keepNext w:val="0"/>
        <w:pageBreakBefore w:val="0"/>
        <w:spacing w:line="40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适应医院集团化、多院区、医联体/医共体管理模式，提升人力资源管理效率与规范化水平，现拟建设一套覆盖组织机构、编制岗位、人员信息、人事异动、薪资保险、考勤排班、职称评审、报表统计、流程审批、自助服务等全业务链的人力资源一体化管理平台。</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本项目最高限价：70万元。</w:t>
      </w:r>
      <w:r/>
    </w:p>
    <w:p>
      <w:pPr>
        <w:pStyle w:val="936"/>
        <w:ind w:left="0" w:firstLine="482"/>
        <w:keepLines w:val="0"/>
        <w:keepNext w:val="0"/>
        <w:pageBreakBefore w:val="0"/>
        <w:spacing w:after="0" w:line="400" w:lineRule="exact"/>
        <w:widowControl w:val="off"/>
        <w:rPr>
          <w:rFonts w:hint="eastAsia" w:eastAsia="宋体"/>
          <w:b/>
          <w:bCs/>
          <w:sz w:val="24"/>
          <w:szCs w:val="24"/>
          <w:lang w:eastAsia="zh-CN"/>
        </w:rPr>
      </w:pPr>
      <w:r>
        <w:rPr>
          <w:rFonts w:hint="eastAsia" w:ascii="宋体" w:hAnsi="宋体" w:eastAsia="宋体" w:cs="宋体"/>
          <w:b/>
          <w:bCs/>
          <w:color w:val="000000"/>
          <w:sz w:val="24"/>
          <w:szCs w:val="24"/>
          <w:lang w:eastAsia="zh-CN"/>
        </w:rPr>
        <w:t xml:space="preserve">本项目标的所属行业：</w:t>
      </w:r>
      <w:r>
        <w:rPr>
          <w:rFonts w:hint="eastAsia" w:ascii="宋体" w:hAnsi="宋体" w:eastAsia="宋体" w:cs="宋体"/>
          <w:b/>
          <w:sz w:val="24"/>
          <w:szCs w:val="24"/>
        </w:rPr>
        <w:t xml:space="preserve">软件和信息技术服务业</w:t>
      </w:r>
      <w:r/>
    </w:p>
    <w:p>
      <w:pPr>
        <w:spacing w:line="44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 建设目标</w:t>
      </w:r>
      <w:r/>
    </w:p>
    <w:p>
      <w:pPr>
        <w:ind w:firstLine="480"/>
        <w:keepLines w:val="0"/>
        <w:keepNext w:val="0"/>
        <w:pageBreakBefore w:val="0"/>
        <w:spacing w:line="40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1.实现全院各类人员（在编、非在编、返聘、派遣、临时等）全生命周期管理。</w:t>
      </w:r>
      <w:r/>
    </w:p>
    <w:p>
      <w:pPr>
        <w:ind w:firstLine="480"/>
        <w:keepLines w:val="0"/>
        <w:keepNext w:val="0"/>
        <w:pageBreakBefore w:val="0"/>
        <w:spacing w:line="40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2.支持多层级组织架构、虚拟组织、历史沿革追溯。</w:t>
      </w:r>
      <w:r/>
    </w:p>
    <w:p>
      <w:pPr>
        <w:ind w:firstLine="480"/>
        <w:keepLines w:val="0"/>
        <w:keepNext w:val="0"/>
        <w:pageBreakBefore w:val="0"/>
        <w:spacing w:line="40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3.实现编制、岗位、薪酬、考勤等业务的自动化、流程化、智能化管理。</w:t>
      </w:r>
      <w:r/>
    </w:p>
    <w:p>
      <w:pPr>
        <w:ind w:firstLine="480"/>
        <w:keepLines w:val="0"/>
        <w:keepNext w:val="0"/>
        <w:pageBreakBefore w:val="0"/>
        <w:spacing w:line="40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4.提供员工自助、移动应用、领导驾驶舱等便捷服务。</w:t>
      </w:r>
      <w:r/>
    </w:p>
    <w:p>
      <w:pPr>
        <w:spacing w:line="44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（三）模块清单</w:t>
      </w:r>
      <w:r/>
    </w:p>
    <w:tbl>
      <w:tblPr>
        <w:tblStyle w:val="1025"/>
        <w:tblW w:w="45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1"/>
        <w:gridCol w:w="6330"/>
      </w:tblGrid>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模块名称</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组织机构管理</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职工管理</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预警管理</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人事异动</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合同管理</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薪资管理</w:t>
            </w:r>
            <w:r/>
          </w:p>
        </w:tc>
      </w:tr>
      <w:tr>
        <w:trPr>
          <w:jc w:val="center"/>
          <w:trHeight w:val="445"/>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保险管理</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考勤管理</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职称管理</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招聘管理</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年度考核</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cs="宋体"/>
                <w:color w:val="000000"/>
                <w:sz w:val="24"/>
                <w:szCs w:val="24"/>
              </w:rPr>
              <w:t xml:space="preserve">12</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cs="宋体"/>
                <w:color w:val="000000"/>
                <w:sz w:val="24"/>
                <w:szCs w:val="24"/>
              </w:rPr>
              <w:t xml:space="preserve">员工共享服务中心</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报表管理</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流程管理</w:t>
            </w:r>
            <w:r/>
          </w:p>
        </w:tc>
      </w:tr>
      <w:tr>
        <w:trPr>
          <w:jc w:val="center"/>
        </w:trPr>
        <w:tc>
          <w:tcPr>
            <w:tcW w:w="1893"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cs="宋体"/>
                <w:color w:val="000000"/>
                <w:sz w:val="24"/>
                <w:szCs w:val="24"/>
              </w:rPr>
              <w:t xml:space="preserve">15</w:t>
            </w:r>
            <w:r/>
          </w:p>
        </w:tc>
        <w:tc>
          <w:tcPr>
            <w:tcW w:w="48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cs="宋体"/>
                <w:color w:val="000000"/>
                <w:sz w:val="24"/>
                <w:szCs w:val="24"/>
              </w:rPr>
              <w:t xml:space="preserve">移动应用</w:t>
            </w:r>
            <w:r/>
          </w:p>
        </w:tc>
      </w:tr>
    </w:tbl>
    <w:p>
      <w:pPr>
        <w:keepLines w:val="0"/>
        <w:keepNext w:val="0"/>
        <w:pageBreakBefore w:val="0"/>
        <w:spacing w:line="288"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keepLines w:val="0"/>
        <w:keepNext w:val="0"/>
        <w:pageBreakBefore w:val="0"/>
        <w:spacing w:line="288" w:lineRule="auto"/>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二、技术</w:t>
      </w:r>
      <w:r>
        <w:rPr>
          <w:rFonts w:hint="eastAsia" w:ascii="黑体" w:hAnsi="黑体" w:eastAsia="黑体" w:cs="黑体"/>
          <w:b w:val="0"/>
          <w:bCs w:val="0"/>
          <w:color w:val="000000"/>
          <w:sz w:val="28"/>
          <w:szCs w:val="28"/>
          <w:lang w:eastAsia="zh-CN"/>
        </w:rPr>
        <w:t xml:space="preserve">参数</w:t>
      </w:r>
      <w:r>
        <w:rPr>
          <w:rFonts w:hint="eastAsia" w:ascii="黑体" w:hAnsi="黑体" w:eastAsia="黑体" w:cs="黑体"/>
          <w:b w:val="0"/>
          <w:bCs w:val="0"/>
          <w:color w:val="000000"/>
          <w:sz w:val="28"/>
          <w:szCs w:val="28"/>
        </w:rPr>
        <w:t xml:space="preserve">要求</w:t>
      </w:r>
      <w:r/>
    </w:p>
    <w:p>
      <w:pPr>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（一）总体技术要求</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1.技术架构：B/S架构，支持主流浏览器，采用Java或.NET技术栈，支持前后端分离、微服务架构。</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2.数据库：支持Oracle、SQL Server、MySQL等主流数据库，兼容国产数据库。</w:t>
      </w:r>
      <w:r>
        <w:rPr>
          <w:rFonts w:hint="eastAsia" w:ascii="宋体" w:hAnsi="宋体" w:eastAsia="宋体" w:cs="宋体"/>
          <w:b/>
          <w:color w:val="000000"/>
          <w:sz w:val="24"/>
          <w:szCs w:val="24"/>
          <w:lang w:bidi="ar"/>
        </w:rPr>
        <w:t xml:space="preserve">【须提供</w:t>
      </w:r>
      <w:r>
        <w:rPr>
          <w:rFonts w:hint="eastAsia" w:ascii="宋体" w:hAnsi="宋体" w:eastAsia="宋体" w:cs="宋体"/>
          <w:b/>
          <w:color w:val="000000"/>
          <w:sz w:val="24"/>
          <w:szCs w:val="24"/>
        </w:rPr>
        <w:t xml:space="preserve">兼容性认证/测试证书扫描件或相关承诺函（格式自拟），未提供将作为无效投标</w:t>
      </w:r>
      <w:r>
        <w:rPr>
          <w:rFonts w:hint="eastAsia" w:ascii="宋体" w:hAnsi="宋体" w:eastAsia="宋体" w:cs="宋体"/>
          <w:b/>
          <w:color w:val="000000"/>
          <w:sz w:val="24"/>
          <w:szCs w:val="24"/>
          <w:lang w:bidi="ar"/>
        </w:rPr>
        <w:t xml:space="preserve">】</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3.部署方式：支持本地部署及私有云部署，支持多院区分布式部署。</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4.性能要求：支持≥5000并发用户，页面响应时间≤3秒，批量数据处理≤30秒。</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5.安全性：具备完善的用户认证、权限控制、数据加密、日志审计功能，支持等保三级要求。</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6.扩展性：提供API接口，支持与第三方系统集成；支持自定义表单、报表、流程。</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7.移动端：支持与企业微信、钉钉集成。</w:t>
      </w:r>
      <w:r/>
    </w:p>
    <w:p>
      <w:pPr>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（二）功能模块详细需求</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1.组织机构管理</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1机构维护</w:t>
      </w:r>
      <w:r/>
    </w:p>
    <w:p>
      <w:pPr>
        <w:numPr>
          <w:ilvl w:val="0"/>
          <w:numId w:val="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支持医疗集团、医联体、医共体、多院区等多层级组织架构形式。</w:t>
      </w:r>
      <w:r/>
    </w:p>
    <w:p>
      <w:pPr>
        <w:numPr>
          <w:ilvl w:val="0"/>
          <w:numId w:val="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支持科室/部门的创建、修改、撤销、合并、调整，可定义审批流程，审批通过后自动生效。</w:t>
      </w:r>
      <w:r/>
    </w:p>
    <w:p>
      <w:pPr>
        <w:numPr>
          <w:ilvl w:val="0"/>
          <w:numId w:val="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支持自定义机构信息管理子集和指标项，包括机构编码、名称、分类、隶属关系、职能描述等，以及机构基本情况、岗位结构、编制记录、考核奖励记录等子集。</w:t>
      </w:r>
      <w:r/>
    </w:p>
    <w:p>
      <w:pPr>
        <w:numPr>
          <w:ilvl w:val="0"/>
          <w:numId w:val="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支持多套组织架构（行政、考勤、党团、年度考核等）的创建与维护，并兼容OA、财务、HIS等系统的组织架构，实现统一维护。</w:t>
      </w:r>
      <w:r/>
    </w:p>
    <w:p>
      <w:pPr>
        <w:numPr>
          <w:ilvl w:val="0"/>
          <w:numId w:val="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支持机构导入、复制功能，支持TXT、EXCEL等多种格式导出。</w:t>
      </w:r>
      <w:r/>
    </w:p>
    <w:p>
      <w:pPr>
        <w:numPr>
          <w:ilvl w:val="0"/>
          <w:numId w:val="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支持自定义机构编码规则，提供新增、合并、划转、撤销等操作，可在同一界面完成。</w:t>
      </w:r>
      <w:r/>
    </w:p>
    <w:p>
      <w:pPr>
        <w:numPr>
          <w:ilvl w:val="0"/>
          <w:numId w:val="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机构调整支持业务流程审批，用户可自定义表单样式和审批流程。</w:t>
      </w:r>
      <w:r/>
    </w:p>
    <w:p>
      <w:pPr>
        <w:numPr>
          <w:ilvl w:val="0"/>
          <w:numId w:val="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支持虚拟机构（如委员会、领导小组）的建立、变更、撤消，并可配置虚拟机构人员。</w:t>
      </w:r>
      <w:r/>
    </w:p>
    <w:p>
      <w:pPr>
        <w:numPr>
          <w:ilvl w:val="0"/>
          <w:numId w:val="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一键生成组织机构图，支持层层展开/收起、穿透至部门及人员信息，支持导出图片、PDF，可切换水平/垂直显示。</w:t>
      </w:r>
      <w:r/>
    </w:p>
    <w:p>
      <w:pPr>
        <w:numPr>
          <w:ilvl w:val="0"/>
          <w:numId w:val="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可自定义组织机构名册，一键生成导出花名册；支持多维度查询统计。</w:t>
      </w:r>
      <w:r/>
    </w:p>
    <w:p>
      <w:pPr>
        <w:numPr>
          <w:ilvl w:val="0"/>
          <w:numId w:val="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提供组织机构的归档功能（自动/手动），可随时查询历史组织机构情况。</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1.2岗位维护</w:t>
      </w:r>
      <w:r/>
    </w:p>
    <w:p>
      <w:pPr>
        <w:numPr>
          <w:ilvl w:val="0"/>
          <w:numId w:val="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建立医院标准岗位体系，包括岗位基本信息、工作职责、任职资格、岗位编制等。</w:t>
      </w:r>
      <w:r/>
    </w:p>
    <w:p>
      <w:pPr>
        <w:numPr>
          <w:ilvl w:val="0"/>
          <w:numId w:val="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支持无限级岗位层次，岗位调整支持业务流程审批，可自定义表单和流程。</w:t>
      </w:r>
      <w:r/>
    </w:p>
    <w:p>
      <w:pPr>
        <w:numPr>
          <w:ilvl w:val="0"/>
          <w:numId w:val="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岗位说明书支持自定义样式，一键生成固定格式说明书，支持打印；岗位汇报关系图可直观展示层级。</w:t>
      </w:r>
      <w:r/>
    </w:p>
    <w:p>
      <w:pPr>
        <w:numPr>
          <w:ilvl w:val="0"/>
          <w:numId w:val="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建立岗位分类（医、护、药、技、管理、工勤等）、行政级别（院长、科主任、医疗组长等）、职称级别（主任医师、主治医师等）。</w:t>
      </w:r>
      <w:r/>
    </w:p>
    <w:p>
      <w:pPr>
        <w:numPr>
          <w:ilvl w:val="0"/>
          <w:numId w:val="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支持岗位的新增、修改、删除、撤销、复制、导入、批量复制功能；自定义岗位花名册并一键导出。</w:t>
      </w:r>
      <w:r/>
    </w:p>
    <w:p>
      <w:pPr>
        <w:numPr>
          <w:ilvl w:val="0"/>
          <w:numId w:val="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提供图表功能，支持自定义统计岗位级别、类别等。</w:t>
      </w:r>
      <w:r/>
    </w:p>
    <w:p>
      <w:pPr>
        <w:numPr>
          <w:ilvl w:val="0"/>
          <w:numId w:val="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支持同一员工在不同机构体系下承担不同岗位。</w:t>
      </w:r>
      <w:r/>
    </w:p>
    <w:p>
      <w:pPr>
        <w:numPr>
          <w:ilvl w:val="0"/>
          <w:numId w:val="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实现岗位的归档功能，可查询历史岗位情况。</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1.3编制管理</w:t>
      </w:r>
      <w:r/>
    </w:p>
    <w:p>
      <w:pPr>
        <w:numPr>
          <w:ilvl w:val="0"/>
          <w:numId w:val="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支持按机构、岗位两类自定义计算公式，实时生成定编、实有、缺编/超编数据，人员增减时自动预警。</w:t>
      </w:r>
      <w:r/>
    </w:p>
    <w:p>
      <w:pPr>
        <w:numPr>
          <w:ilvl w:val="0"/>
          <w:numId w:val="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可引入床位数、工作量、收支等业务数据，计算床医比、床护比等，按模型实现定编管理。</w:t>
      </w:r>
      <w:r/>
    </w:p>
    <w:p>
      <w:pPr>
        <w:numPr>
          <w:ilvl w:val="0"/>
          <w:numId w:val="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支持按比例、数量进行编制控制，支持强管控、弱管控、不控制三种方式。</w:t>
      </w:r>
      <w:r/>
    </w:p>
    <w:p>
      <w:pPr>
        <w:numPr>
          <w:ilvl w:val="0"/>
          <w:numId w:val="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编制调整支持业务流程审批，可自定义表单和流程。</w:t>
      </w:r>
      <w:r/>
    </w:p>
    <w:p>
      <w:pPr>
        <w:numPr>
          <w:ilvl w:val="0"/>
          <w:numId w:val="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支持生成岗位人员配置、编制管理、人力资源配比等报表。</w:t>
      </w:r>
      <w:r/>
    </w:p>
    <w:p>
      <w:pPr>
        <w:numPr>
          <w:ilvl w:val="0"/>
          <w:numId w:val="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实现编制人数、实际人数、超编/缺编的统计。</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2.职工管理</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人员信息体系</w:t>
      </w:r>
      <w:r/>
    </w:p>
    <w:p>
      <w:pPr>
        <w:numPr>
          <w:ilvl w:val="0"/>
          <w:numId w:val="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管理多种人员类型：在职（事业/非事业）、双肩挑、离休、退休、调离、临时、劳务派遣、离退病故等，支持人员库增减及库间移动。</w:t>
      </w:r>
      <w:r/>
    </w:p>
    <w:p>
      <w:pPr>
        <w:numPr>
          <w:ilvl w:val="0"/>
          <w:numId w:val="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记录职工从入职到离退的全生命周期信息，包括基本信息、学习培训、职务职称变动、工资变动、岗位轮转、考勤、奖惩、考核等，支持存储档案历史资料（证书、照片、录像等）。</w:t>
      </w:r>
      <w:r/>
    </w:p>
    <w:p>
      <w:pPr>
        <w:numPr>
          <w:ilvl w:val="0"/>
          <w:numId w:val="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可根据医院需要自行新增、调整人员信息子集、指标字段、代码，支持自定义内容类型（代码、日期、文本、数字、多媒体等），可附加Word、Excel、多媒体文件。</w:t>
      </w:r>
      <w:r/>
    </w:p>
    <w:p>
      <w:pPr>
        <w:numPr>
          <w:ilvl w:val="0"/>
          <w:numId w:val="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预置国标及行业标准代码，支持单位自行修改、增加。</w:t>
      </w:r>
      <w:r/>
    </w:p>
    <w:p>
      <w:pPr>
        <w:numPr>
          <w:ilvl w:val="0"/>
          <w:numId w:val="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代码型指标支持代码选择、代码输入、汉字输入、汉字模糊输入四种方式。</w:t>
      </w:r>
      <w:r/>
    </w:p>
    <w:p>
      <w:pPr>
        <w:numPr>
          <w:ilvl w:val="0"/>
          <w:numId w:val="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支持在子集中直接查看多媒体信息（如学历证书照片），可下载打印。</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信息维护</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多种信息录入方式：个别入职、批量入职、退休返聘等。</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支持批量导入/导出、批量修改、批量删除、批量计算。</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能够接收原有人事数据库（Access、SQL Server、Oracle）的数据迁移。</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按不同人员属性建立数据采集方案，支持PC端、移动端采集，修改项颜色标记；支持导航栏维护审核；支持采集过程监控及通知。</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支持二代身份证读卡，自动抓取信息并储存打印身份证图片。</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自动化功能：自动生成员工编码，通过身份证自动计算出生日期、年龄、性别，实现生日、转正、退休自动提醒（邮件/短信）。</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数据审核功能：如出生年月与身份证不匹配预警，审核公式可灵活设置。</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w:t>
      </w:r>
      <w:r>
        <w:rPr>
          <w:rFonts w:hint="eastAsia" w:ascii="宋体" w:hAnsi="宋体" w:eastAsia="宋体" w:cs="宋体"/>
          <w:sz w:val="24"/>
          <w:szCs w:val="24"/>
        </w:rPr>
        <w:t xml:space="preserve">员工档案数据质量校验功能，从完整性（关键信息缺失）、合规性（时间连续性）、准确性（工龄与出生日期一致）进行校验，并在职工概要面板上可显示职工信息的档案完整程度情况。</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人员排序：单指标/多指标/手工拖动排序，子集内记录可排序。</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权限控制：信息分为“写、读、无”三类，不同人员仅维护授权信息。</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职工可查询个人信息并申请修改，主管审核后入库。</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人事业务处理后自动归档（如岗位变动自动生成新记录），并联动其他业务（如工资调整）。</w:t>
      </w:r>
      <w:r/>
    </w:p>
    <w:p>
      <w:pPr>
        <w:numPr>
          <w:ilvl w:val="0"/>
          <w:numId w:val="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直接显示人员照片，支持BMP、JPG、JPEG等格式，可录入考核材料、资格证书等多媒体文件。</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信息审核</w:t>
      </w:r>
      <w:r/>
    </w:p>
    <w:p>
      <w:pPr>
        <w:numPr>
          <w:ilvl w:val="0"/>
          <w:numId w:val="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在员工管理页面实现浏览、审核、编辑分权控制。</w:t>
      </w:r>
      <w:r/>
    </w:p>
    <w:p>
      <w:pPr>
        <w:numPr>
          <w:ilvl w:val="0"/>
          <w:numId w:val="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信息变动审核时提供修改前后数据对比，新增/修改项高亮显示（二次修改颜色不同）。</w:t>
      </w:r>
      <w:r/>
    </w:p>
    <w:p>
      <w:pPr>
        <w:numPr>
          <w:ilvl w:val="0"/>
          <w:numId w:val="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记录人员变动日志，保存多次修改历史。</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信息编辑</w:t>
      </w:r>
      <w:r/>
    </w:p>
    <w:p>
      <w:pPr>
        <w:numPr>
          <w:ilvl w:val="0"/>
          <w:numId w:val="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支持批量导入/导出/修改/删除，与审批流程关联。</w:t>
      </w:r>
      <w:r/>
    </w:p>
    <w:p>
      <w:pPr>
        <w:numPr>
          <w:ilvl w:val="0"/>
          <w:numId w:val="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对各职能科室授权，按业务分工维护信息。</w:t>
      </w:r>
      <w:r/>
    </w:p>
    <w:p>
      <w:pPr>
        <w:numPr>
          <w:ilvl w:val="0"/>
          <w:numId w:val="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支持员工自助申请修改个人信息，经审批后生效。</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2.5人员分类</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提供在职、解聘、离退等档案管理，支持自定义人员类别（临时、合同、编制等）。</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2.7查询统计</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人员信息浏览可直接查看所属部门、岗位、照片，提供专属人员画像（个人特质、技能、绩效、经验等）。</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sz w:val="24"/>
          <w:szCs w:val="24"/>
        </w:rPr>
        <w:t xml:space="preserve">信息脱敏功能，在查询员工信息、浏览个人履历表时，支持对关键信息脱敏显示（如身份证号码、电话号码等信息）,例如“小眼睛”图标，点击小眼睛，即可查看完整信息</w:t>
      </w:r>
      <w:r>
        <w:rPr>
          <w:rFonts w:hint="eastAsia" w:ascii="宋体" w:hAnsi="宋体" w:eastAsia="宋体" w:cs="宋体"/>
          <w:color w:val="000000"/>
          <w:sz w:val="24"/>
          <w:szCs w:val="24"/>
        </w:rPr>
        <w:t xml:space="preserve">。</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输出打印各种人事卡片、登记表、花名册、统计报表、证明，支持Excel导出。</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自动生成上级单位要求的报表，具有校验功能，支持输出Excel。</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各种卡片表样可灵活定义，支持导入Excel表样快速制作，无需二次开发。</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提供简单查询、通用查询、复杂查询、常用条件查询、智能查询等多种方式。</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提供二维统计、单项统计、多维统计、趋势分析等，结果以报表、图形展现。</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智能模糊匹配：全局穿透式搜索，输入关键词自动匹配全维度信息。</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动态统计项：支持业务数据动态变化实时生成新统计维度。</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w:t>
      </w:r>
      <w:r>
        <w:rPr>
          <w:rFonts w:hint="eastAsia" w:ascii="宋体" w:hAnsi="宋体" w:eastAsia="宋体" w:cs="宋体"/>
          <w:sz w:val="24"/>
          <w:szCs w:val="24"/>
        </w:rPr>
        <w:t xml:space="preserve">供人才比对功能，例如：在职工信息界面，对多人进行比较，实现人员信息差异对比，同时支持比对方案自定义，比如干部选拔时从履职经历、绩效轨迹、领导力素质进行比对；招聘管理多个候选人之间的筛选比较，从技能匹配度、薪资预期、文化适配性进行比对。</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简历输出：可视化拖拽适配，支持模板保存为私有或公用。</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高级花名册制作：复杂表头，包含照片、数据统计，支持排序、计算、打印。</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自定义表格：自动填充、照片显示、在线打印、导出Word/PDF，支持单个/批量操作。</w:t>
      </w:r>
      <w:r/>
    </w:p>
    <w:p>
      <w:pPr>
        <w:numPr>
          <w:ilvl w:val="0"/>
          <w:numId w:val="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历史时点功能：按固定频率或手工保存时点信息，便于回溯分析。</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3.预警管理</w:t>
      </w:r>
      <w:r/>
    </w:p>
    <w:p>
      <w:pPr>
        <w:numPr>
          <w:ilvl w:val="0"/>
          <w:numId w:val="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支持自定义预警（生日、工龄、合同到期、退休、试用期满等），实现“事找人”。</w:t>
      </w:r>
      <w:r/>
    </w:p>
    <w:p>
      <w:pPr>
        <w:numPr>
          <w:ilvl w:val="0"/>
          <w:numId w:val="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预警内容、条件、时间、接收人、接收方式可自行定义。</w:t>
      </w:r>
      <w:r/>
    </w:p>
    <w:p>
      <w:pPr>
        <w:numPr>
          <w:ilvl w:val="0"/>
          <w:numId w:val="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预警结果可直接关联业务办理（如合同续签、发送祝福）。</w:t>
      </w:r>
      <w:r/>
    </w:p>
    <w:p>
      <w:pPr>
        <w:numPr>
          <w:ilvl w:val="0"/>
          <w:numId w:val="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系统首页或各模块业务首页有专门版块显示预警消息汇总。</w:t>
      </w:r>
      <w:r/>
    </w:p>
    <w:p>
      <w:pPr>
        <w:numPr>
          <w:ilvl w:val="0"/>
          <w:numId w:val="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支持自定义预警频率（每月、每周等）。</w:t>
      </w:r>
      <w:r/>
    </w:p>
    <w:p>
      <w:pPr>
        <w:numPr>
          <w:ilvl w:val="0"/>
          <w:numId w:val="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预警通知支持站内消息、短信、邮件、企业微信、钉钉，支持选择模板。</w:t>
      </w:r>
      <w:r/>
    </w:p>
    <w:p>
      <w:pPr>
        <w:numPr>
          <w:ilvl w:val="0"/>
          <w:numId w:val="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预警名单显示指标可自定义。</w:t>
      </w:r>
      <w:r/>
    </w:p>
    <w:p>
      <w:pPr>
        <w:numPr>
          <w:ilvl w:val="0"/>
          <w:numId w:val="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预警流程：可直接从预警名单发起相关业务流程。</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4.人事异动</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职工入职</w:t>
      </w:r>
      <w:r/>
    </w:p>
    <w:p>
      <w:pPr>
        <w:numPr>
          <w:ilvl w:val="0"/>
          <w:numId w:val="1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新员工通过二维码扫描填写入职信息，人事审核打印《新职工登记表》并开通账号。</w:t>
      </w:r>
      <w:r/>
    </w:p>
    <w:p>
      <w:pPr>
        <w:numPr>
          <w:ilvl w:val="0"/>
          <w:numId w:val="1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系统自动通知相关部门办理工作证、胸牌、饭卡等。</w:t>
      </w:r>
      <w:r/>
    </w:p>
    <w:p>
      <w:pPr>
        <w:numPr>
          <w:ilvl w:val="0"/>
          <w:numId w:val="1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自动推送合同签署流程，自动生成合同模板（支持手工调整），批量打印。</w:t>
      </w:r>
      <w:r/>
    </w:p>
    <w:p>
      <w:pPr>
        <w:numPr>
          <w:ilvl w:val="0"/>
          <w:numId w:val="1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试用期结束前预警提醒转正手续。</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试用期满转正</w:t>
      </w:r>
      <w:r/>
    </w:p>
    <w:p>
      <w:pPr>
        <w:numPr>
          <w:ilvl w:val="0"/>
          <w:numId w:val="1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试用期结束前系统自动提醒本人、人事、用人科室。</w:t>
      </w:r>
      <w:r/>
    </w:p>
    <w:p>
      <w:pPr>
        <w:numPr>
          <w:ilvl w:val="0"/>
          <w:numId w:val="1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职工在线提交转正申请，科室签署意见。</w:t>
      </w:r>
      <w:r/>
    </w:p>
    <w:p>
      <w:pPr>
        <w:numPr>
          <w:ilvl w:val="0"/>
          <w:numId w:val="1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考核通过后自动提醒办理转正定级工资；未通过则提醒解除合同或延长见习期。</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 院内调动</w:t>
      </w:r>
      <w:r/>
    </w:p>
    <w:p>
      <w:pPr>
        <w:numPr>
          <w:ilvl w:val="0"/>
          <w:numId w:val="1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职工在线填写调动申请表或科室提报需求，经审批后系统通知调入部门。</w:t>
      </w:r>
      <w:r/>
    </w:p>
    <w:p>
      <w:pPr>
        <w:numPr>
          <w:ilvl w:val="0"/>
          <w:numId w:val="1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审批确认后自动提醒人事办理手续，信息自动入库并备案。</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 离院管理</w:t>
      </w:r>
      <w:r/>
    </w:p>
    <w:p>
      <w:pPr>
        <w:numPr>
          <w:ilvl w:val="0"/>
          <w:numId w:val="1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调出职工在线填写审批表，经科室、主管部门、领导审批后提交人事部门。</w:t>
      </w:r>
      <w:r/>
    </w:p>
    <w:p>
      <w:pPr>
        <w:numPr>
          <w:ilvl w:val="0"/>
          <w:numId w:val="1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人事部门自动打印行政介绍信、档案传递通知单、工资转移证明。</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 退休业务</w:t>
      </w:r>
      <w:r/>
    </w:p>
    <w:p>
      <w:pPr>
        <w:numPr>
          <w:ilvl w:val="0"/>
          <w:numId w:val="1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退休前三个月系统提醒。</w:t>
      </w:r>
      <w:r/>
    </w:p>
    <w:p>
      <w:pPr>
        <w:numPr>
          <w:ilvl w:val="0"/>
          <w:numId w:val="1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生成退休审批表，推送信息至离退休办、财务等部门办理退休登记及工资审批。</w:t>
      </w:r>
      <w:r/>
    </w:p>
    <w:p>
      <w:pPr>
        <w:numPr>
          <w:ilvl w:val="0"/>
          <w:numId w:val="1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流程完毕后自动转入退休人员库，在职库减员，月报表自动反映。</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5.合同管理</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合同类型</w:t>
      </w:r>
      <w:r/>
    </w:p>
    <w:p>
      <w:pPr>
        <w:numPr>
          <w:ilvl w:val="0"/>
          <w:numId w:val="1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灵活配置聘用合同、劳动合同、保密协议、培训协议等模板，支持新增、修改、批量打印。</w:t>
      </w:r>
      <w:r/>
    </w:p>
    <w:p>
      <w:pPr>
        <w:numPr>
          <w:ilvl w:val="0"/>
          <w:numId w:val="1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保存全体职工的合同信息（性质、类型、起止时间、签订次数、变更原因），形成合同台账。</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5.2业务办理</w:t>
      </w:r>
      <w:r/>
    </w:p>
    <w:p>
      <w:pPr>
        <w:numPr>
          <w:ilvl w:val="0"/>
          <w:numId w:val="1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人事部门负责合同签订、续签，可维护合同信息。</w:t>
      </w:r>
      <w:r/>
    </w:p>
    <w:p>
      <w:pPr>
        <w:numPr>
          <w:ilvl w:val="0"/>
          <w:numId w:val="1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合同签订/续签支持流程审批，配置简单。</w:t>
      </w:r>
      <w:r/>
    </w:p>
    <w:p>
      <w:pPr>
        <w:numPr>
          <w:ilvl w:val="0"/>
          <w:numId w:val="1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新进人员确认后自动通知签订合同，打印合同模板（姓名、试用期、起止时间等自动带出），信息自动添加至职工信息。</w:t>
      </w:r>
      <w:r/>
    </w:p>
    <w:p>
      <w:pPr>
        <w:numPr>
          <w:ilvl w:val="0"/>
          <w:numId w:val="1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合同到期自动预警通知，职工发起续签申请，经审批后归档，短信/邮件通知。</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5.3合同信息的应用</w:t>
      </w:r>
      <w:r/>
    </w:p>
    <w:p>
      <w:pPr>
        <w:numPr>
          <w:ilvl w:val="0"/>
          <w:numId w:val="1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查询已到期、预到期、当前执行合同。</w:t>
      </w:r>
      <w:r/>
    </w:p>
    <w:p>
      <w:pPr>
        <w:numPr>
          <w:ilvl w:val="0"/>
          <w:numId w:val="1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对试用期满、合同到期等预警，支持自定义预警规则及直接办理业务。</w:t>
      </w:r>
      <w:r/>
    </w:p>
    <w:p>
      <w:pPr>
        <w:numPr>
          <w:ilvl w:val="0"/>
          <w:numId w:val="1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多角度查询统计合同信息。</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6.薪资管理</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工资体系</w:t>
      </w:r>
      <w:r/>
    </w:p>
    <w:p>
      <w:pPr>
        <w:numPr>
          <w:ilvl w:val="0"/>
          <w:numId w:val="1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可为不同人员类别分别制定薪资体系（工作项目、标准、工作表）。</w:t>
      </w:r>
      <w:r/>
    </w:p>
    <w:p>
      <w:pPr>
        <w:numPr>
          <w:ilvl w:val="0"/>
          <w:numId w:val="1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定制多种工资标准（管理人员、专技人员、工勤人员的岗位/薪级工资标准，医院自定项目），支持灵活增加/修改/删除。</w:t>
      </w:r>
      <w:r/>
    </w:p>
    <w:p>
      <w:pPr>
        <w:numPr>
          <w:ilvl w:val="0"/>
          <w:numId w:val="1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对不同工资体系中的项目及计算公式进行增删改，公式定义易学易用。</w:t>
      </w:r>
      <w:r/>
    </w:p>
    <w:p>
      <w:pPr>
        <w:numPr>
          <w:ilvl w:val="0"/>
          <w:numId w:val="1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支持工资数据批量导入/导出。</w:t>
      </w:r>
      <w:r/>
    </w:p>
    <w:p>
      <w:pPr>
        <w:numPr>
          <w:ilvl w:val="0"/>
          <w:numId w:val="1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支持手工调整工资项目运算结果。</w:t>
      </w:r>
      <w:r/>
    </w:p>
    <w:p>
      <w:pPr>
        <w:numPr>
          <w:ilvl w:val="0"/>
          <w:numId w:val="1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维护职工银行账户信息，支持多账户（工资、奖金等）。</w:t>
      </w:r>
      <w:r/>
    </w:p>
    <w:p>
      <w:pPr>
        <w:numPr>
          <w:ilvl w:val="0"/>
          <w:numId w:val="1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工资发放支持年薪制、月薪制及一月多次发放。</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工资调整</w:t>
      </w:r>
      <w:r/>
    </w:p>
    <w:p>
      <w:pPr>
        <w:numPr>
          <w:ilvl w:val="0"/>
          <w:numId w:val="1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完成新聘用人员工资确定、年度增加薪级工资、岗位变动工资调整、工资标准调整、离职停薪等业务。</w:t>
      </w:r>
      <w:r/>
    </w:p>
    <w:p>
      <w:pPr>
        <w:numPr>
          <w:ilvl w:val="0"/>
          <w:numId w:val="1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按规定格式新建/修改调资审批表，设置计算公式、审核条件。</w:t>
      </w:r>
      <w:r/>
    </w:p>
    <w:p>
      <w:pPr>
        <w:numPr>
          <w:ilvl w:val="0"/>
          <w:numId w:val="1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系统自动完成大部分计算，特殊情况手动调整。</w:t>
      </w:r>
      <w:r/>
    </w:p>
    <w:p>
      <w:pPr>
        <w:numPr>
          <w:ilvl w:val="0"/>
          <w:numId w:val="1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各种工资变动审批表可输出为上级要求格式，支持在线调整、打印。</w:t>
      </w:r>
      <w:r/>
    </w:p>
    <w:p>
      <w:pPr>
        <w:numPr>
          <w:ilvl w:val="0"/>
          <w:numId w:val="1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工资调整业务支持审批流程，自动记录变动情况，提供补发/补扣机制，历次变动归档备查。</w:t>
      </w:r>
      <w:r/>
    </w:p>
    <w:p>
      <w:pPr>
        <w:numPr>
          <w:ilvl w:val="0"/>
          <w:numId w:val="1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工资标准调整时可导入新标准，工资核算时自动计算。</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6.3工资核算发放</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基于上月数据计算本月工资，仅对变化人员调整。</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直接引用考勤、绩效、奖惩等模块数据，自动核算绩效、扣款、应发额等。</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支持导入Excel或手工调整外部数据参与计算。</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薪酬核算支持本期与上期薪资明细比对功能，可采用不同的颜色标记变动信息；所有涉及人员变动或工资调整带来的工资变化数据能够自动汇总。</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支持薪资发放结果分层汇总，支持比较直观的卡片模式或展示信息密度高、便于查找的机构树列表模式</w:t>
      </w:r>
      <w:r>
        <w:rPr>
          <w:rFonts w:hint="eastAsia" w:ascii="宋体" w:hAnsi="宋体" w:eastAsia="宋体" w:cs="宋体"/>
          <w:color w:val="000000"/>
          <w:sz w:val="24"/>
          <w:szCs w:val="24"/>
        </w:rPr>
        <w:t xml:space="preserve">。</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人事提交发放数据至财务，财务核算后返回，人事进行审核与分析。</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工资项目自动计算，支持手工修正。</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支持周期性发放及每月多次发放。</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提供工资条邮件/短信通知，职工自助查询本月及本年合计/明细。</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输出工资明细报表、统计报表（花名册等），支持灵活增删改。</w:t>
      </w:r>
      <w:r/>
    </w:p>
    <w:p>
      <w:pPr>
        <w:numPr>
          <w:ilvl w:val="0"/>
          <w:numId w:val="2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自动输出收入证明，格式可修改。</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 工资分析</w:t>
      </w:r>
      <w:r/>
    </w:p>
    <w:p>
      <w:pPr>
        <w:numPr>
          <w:ilvl w:val="0"/>
          <w:numId w:val="2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在计算结果基础上进行统计和分析，生成直观图表，为工资预算和决策提供依据。</w:t>
      </w:r>
      <w:r/>
    </w:p>
    <w:p>
      <w:pPr>
        <w:numPr>
          <w:ilvl w:val="0"/>
          <w:numId w:val="2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输出历史工资报表、发放差异表、工资计算审批单等。</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7.保险管理</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社保体系</w:t>
      </w:r>
      <w:r/>
    </w:p>
    <w:p>
      <w:pPr>
        <w:numPr>
          <w:ilvl w:val="0"/>
          <w:numId w:val="2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灵活定义保险项目：养老保险、医疗保险、失业保险、工伤保险、生育保险、补充医疗、住房公积金、职业年金等。</w:t>
      </w:r>
      <w:r/>
    </w:p>
    <w:p>
      <w:pPr>
        <w:numPr>
          <w:ilvl w:val="0"/>
          <w:numId w:val="2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支持在编、合同人员不同的缴纳规则。</w:t>
      </w:r>
      <w:r/>
    </w:p>
    <w:p>
      <w:pPr>
        <w:numPr>
          <w:ilvl w:val="0"/>
          <w:numId w:val="2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维护社保/公积金基本数据（缴费比例、基数上下限、计算规则），支持批量导入、手动调整、归档。</w:t>
      </w:r>
      <w:r/>
    </w:p>
    <w:p>
      <w:pPr>
        <w:numPr>
          <w:ilvl w:val="0"/>
          <w:numId w:val="2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记录公积金、职业年金的缴费比例、起始时间、明细。</w:t>
      </w:r>
      <w:r/>
    </w:p>
    <w:p>
      <w:pPr>
        <w:numPr>
          <w:ilvl w:val="0"/>
          <w:numId w:val="2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记录个人和单位缴纳部分的详细数据。</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业务办理</w:t>
      </w:r>
      <w:r/>
    </w:p>
    <w:p>
      <w:pPr>
        <w:numPr>
          <w:ilvl w:val="0"/>
          <w:numId w:val="2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根据工资总额与缴费基数联动，用于年度基数调整。</w:t>
      </w:r>
      <w:r/>
    </w:p>
    <w:p>
      <w:pPr>
        <w:numPr>
          <w:ilvl w:val="0"/>
          <w:numId w:val="2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入职/离职时主动提醒办理保险增减员。</w:t>
      </w:r>
      <w:r/>
    </w:p>
    <w:p>
      <w:pPr>
        <w:numPr>
          <w:ilvl w:val="0"/>
          <w:numId w:val="2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基数及缴费额支持自动计算和手工调整，计算公式可灵活调整。</w:t>
      </w:r>
      <w:r/>
    </w:p>
    <w:p>
      <w:pPr>
        <w:numPr>
          <w:ilvl w:val="0"/>
          <w:numId w:val="2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社保业务支持流程审批，流程灵活定义。</w:t>
      </w:r>
      <w:r/>
    </w:p>
    <w:p>
      <w:pPr>
        <w:numPr>
          <w:ilvl w:val="0"/>
          <w:numId w:val="2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保险起缴：根据入职日期（以15日为界）自动确定起缴时间，支持手工调整并报批。</w:t>
      </w:r>
      <w:r/>
    </w:p>
    <w:p>
      <w:pPr>
        <w:numPr>
          <w:ilvl w:val="0"/>
          <w:numId w:val="2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离职/退休启动停缴流程，自动调取时间，确定停缴时间报批。</w:t>
      </w:r>
      <w:r/>
    </w:p>
    <w:p>
      <w:pPr>
        <w:numPr>
          <w:ilvl w:val="0"/>
          <w:numId w:val="2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基数计算可根据人员类别、政策动态调整，满足事业单位养老保险改革及社平工资上下限要求。</w:t>
      </w:r>
      <w:r/>
    </w:p>
    <w:p>
      <w:pPr>
        <w:numPr>
          <w:ilvl w:val="0"/>
          <w:numId w:val="2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特殊调整（如单位所在地变化）支持手工选择人员维护或批量导入。</w:t>
      </w:r>
      <w:r/>
    </w:p>
    <w:p>
      <w:pPr>
        <w:numPr>
          <w:ilvl w:val="0"/>
          <w:numId w:val="2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业务处理后自动归档到人员信息库。</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7.3缴费核算</w:t>
      </w:r>
      <w:r/>
    </w:p>
    <w:p>
      <w:pPr>
        <w:numPr>
          <w:ilvl w:val="0"/>
          <w:numId w:val="2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每月自动计算扣缴，导出缴费明细、汇总表及其他统计报表。</w:t>
      </w:r>
      <w:r/>
    </w:p>
    <w:p>
      <w:pPr>
        <w:numPr>
          <w:ilvl w:val="0"/>
          <w:numId w:val="2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支持补缴记录（自动/手工）。</w:t>
      </w:r>
      <w:r/>
    </w:p>
    <w:p>
      <w:pPr>
        <w:numPr>
          <w:ilvl w:val="0"/>
          <w:numId w:val="2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每月生成全院社保缴费汇总表，与社保经办机构扣款比对。</w:t>
      </w:r>
      <w:r/>
    </w:p>
    <w:p>
      <w:pPr>
        <w:numPr>
          <w:ilvl w:val="0"/>
          <w:numId w:val="2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分部门、分人员类别、分项目导出明细及汇总表，满足财务记账及成本核算。</w:t>
      </w:r>
      <w:r/>
    </w:p>
    <w:p>
      <w:pPr>
        <w:numPr>
          <w:ilvl w:val="0"/>
          <w:numId w:val="2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社保缴费额自动关联到工资发放中。</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补充医疗保险</w:t>
      </w:r>
      <w:r/>
    </w:p>
    <w:p>
      <w:pPr>
        <w:numPr>
          <w:ilvl w:val="0"/>
          <w:numId w:val="2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根据人事变动更新参加补充医疗保险人员库，自动生成增减报表并锁定。</w:t>
      </w:r>
      <w:r/>
    </w:p>
    <w:p>
      <w:pPr>
        <w:numPr>
          <w:ilvl w:val="0"/>
          <w:numId w:val="2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支持任意时间段的异动情况统计及反查。</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 保险数据应用</w:t>
      </w:r>
      <w:r/>
    </w:p>
    <w:p>
      <w:pPr>
        <w:numPr>
          <w:ilvl w:val="0"/>
          <w:numId w:val="2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个人社保、公积金信息管理（缴费起始时间、历年记录、转入转出记载），生成台账。</w:t>
      </w:r>
      <w:r/>
    </w:p>
    <w:p>
      <w:pPr>
        <w:numPr>
          <w:ilvl w:val="0"/>
          <w:numId w:val="2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多角度分析保险项目、台账（缴纳情况、参保人员、基数变化、成本等），支持打印输出。</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8.考勤管理</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8.1排班管理</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灵活定义考勤项目、规则，支持不同岗位的统计需要，考勤方案创建时可拖动调整班次顺序 </w:t>
      </w:r>
      <w:r>
        <w:rPr>
          <w:rFonts w:hint="eastAsia" w:ascii="宋体" w:hAnsi="宋体" w:eastAsia="宋体" w:cs="宋体"/>
          <w:color w:val="000000"/>
          <w:sz w:val="24"/>
          <w:szCs w:val="24"/>
        </w:rPr>
        <w:t xml:space="preserve">。</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灵活定义考勤班次，支持科室及人事人员维护统计；支持多种排班方式（Excel排班、自动排班、复制排班、快速调班）</w:t>
      </w:r>
      <w:r>
        <w:rPr>
          <w:rFonts w:hint="eastAsia" w:ascii="宋体" w:hAnsi="宋体" w:eastAsia="宋体" w:cs="宋体"/>
          <w:color w:val="000000"/>
          <w:sz w:val="24"/>
          <w:szCs w:val="24"/>
        </w:rPr>
        <w:t xml:space="preserve">。</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设定班次天数限额、上岗资质等校验规则，通过待办提醒未排班人员。</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支持漏打卡异常提醒，并可跳转打卡。</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灵活定义不同类别人员的请休假、销假审批表及流程。</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sz w:val="24"/>
          <w:szCs w:val="24"/>
        </w:rPr>
        <w:t xml:space="preserve">假期额度到期提醒（年假、育儿假等）功能，可过滤特定人员（如领导）</w:t>
      </w:r>
      <w:r>
        <w:rPr>
          <w:rFonts w:hint="eastAsia" w:ascii="宋体" w:hAnsi="宋体" w:eastAsia="宋体" w:cs="宋体"/>
          <w:color w:val="000000"/>
          <w:sz w:val="24"/>
          <w:szCs w:val="24"/>
        </w:rPr>
        <w:t xml:space="preserve">。</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职工在线填写请假审批表，上传证明，自动流转审批，归档后同步到月考勤表。</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科室考勤数据上报，支持多级审批；解决内部调动、轮转、借调人员的考勤上报（实际工作科室上报）。</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考勤员手工修改数据时可填写修改说明。</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快速统计特殊班次，为补贴发放提供支撑。</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自动生成月考勤表，人事处监控上报情况并对未提交科室提醒。</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支持考勤报表设计。</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考勤结果可直接供薪资核算调用。</w:t>
      </w:r>
      <w:r/>
    </w:p>
    <w:p>
      <w:pPr>
        <w:numPr>
          <w:ilvl w:val="0"/>
          <w:numId w:val="2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设置考勤门户，支持门户组件（申请单卡片、排班打卡卡片、考勤分析图等）。</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8.2考勤排班详细要求</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支持自定义二级考勤项目，班次新增/修改/删除/批量导入导出。可通过授权由人事统一建立或科室自定义。</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支持班次颜色标识、常用班次直接显示。</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不同班次显示方案（出勤班次统一简称/颜色）。</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自动核对人员，引入规培生、进修生等，入职/离职/调科自动带入考勤系统。</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考勤管理员可查看当月异动情况，编辑异动时间；考勤调科与行政调科分别列出并可分开确认。</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支持科室考勤员直接发起“调入”“调出”流程，支持科室主动“拉人”，审批流程控制调出/调入审批。</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图形化排班（按月/周），支持快速排班（工作日全勤、产假等）、周期排班、智能排班、按班排班、总值排班等。</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排班中支持右键复制粘贴、班次简称搜索快速定位。</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总值管理（带班领导、行政/医疗/护理总值班），PC/移动端查阅。</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轮班排班：人员变动而班次顺序不变。</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排班合规性检查：特定班次人数、值班资质（如副高以上）、避免重复排班。</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支持请休假数据在排班界面维护，员工在线请假结果自动同步。</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休假标识：假期天数自动跳过节假日。</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形成请假汇总表，支持按科室、时间查询，批量导出附件。</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储假管理：支持填报储假小时数，自动积累余额，排班界面显示期初/期末余额。</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迟到早退登记，排班界面支持床位数、管床、护理小时数维护统计。</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学生跟班功能：设置老师及跟班学生，自动跟老师排班。</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人事管理员与考勤员不同权限界面。</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授权护理部查护士排班、医务部查医生排班。</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人员打标签（如高责人员），快速筛选。</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考勤排班界面直接上报，支持管理员一键全部上报、在线打印。</w:t>
      </w:r>
      <w:r/>
    </w:p>
    <w:p>
      <w:pPr>
        <w:numPr>
          <w:ilvl w:val="0"/>
          <w:numId w:val="2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自定义台账模式打印排班。</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8.3考勤规则自定义</w:t>
      </w:r>
      <w:r/>
    </w:p>
    <w:p>
      <w:pPr>
        <w:numPr>
          <w:ilvl w:val="0"/>
          <w:numId w:val="2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排班设置：导出班次显示方式、员工确认排班、发布后允许确认、离院状态人员确认、锁定天数、法定节假日值班上限等。</w:t>
      </w:r>
      <w:r/>
    </w:p>
    <w:p>
      <w:pPr>
        <w:numPr>
          <w:ilvl w:val="0"/>
          <w:numId w:val="2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储假设置：按月度/季度/年度/总时长上限、有效期、只能正数、时间单位、假期类别转储假、余额上限控制。</w:t>
      </w:r>
      <w:r/>
    </w:p>
    <w:p>
      <w:pPr>
        <w:numPr>
          <w:ilvl w:val="0"/>
          <w:numId w:val="2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上报规则设置：上报考勤汇总数据、上报提示时间、截止日期、撤回截止日期、强/弱控制、未排班导出选项。</w:t>
      </w:r>
      <w:r/>
    </w:p>
    <w:p>
      <w:pPr>
        <w:numPr>
          <w:ilvl w:val="0"/>
          <w:numId w:val="2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考勤校验：全勤、空数据、半天未排班、班次是否工作日/节假日、节假日排班数量上限、夜班人员类型等。</w:t>
      </w:r>
      <w:r/>
    </w:p>
    <w:p>
      <w:pPr>
        <w:numPr>
          <w:ilvl w:val="0"/>
          <w:numId w:val="2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夜班规则校验：提交时与固定夜班比较。</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 考勤上报</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支持“非打卡”模式（排班表月底修正）。</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自定义考勤上报审批流程（科室上报→主任审批→人事审批），自动催办。</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请休假、加班、销假、公出等申请流程自动扭转。</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下乡、进修、出国、读书申请无缝对接考勤。</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报表上报进度表、汇总上报进度表、科室审批进度表，一键通知考勤员上报。</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生成“勤休表”“考勤明细表”。</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排班异常情况审查 。</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考勤报表自定义、打印、导出Excel/PDF。</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考勤数据直接转入薪资模块。</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考勤结果归档至职工个人考勤子集。</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补贴管理：自定义夜班和加班规则，自动生成夜班/节假日补贴。</w:t>
      </w:r>
      <w:r/>
    </w:p>
    <w:p>
      <w:pPr>
        <w:numPr>
          <w:ilvl w:val="0"/>
          <w:numId w:val="3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历史考勤归档及修改表单记录。</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 假期管理</w:t>
      </w:r>
      <w:r/>
    </w:p>
    <w:p>
      <w:pPr>
        <w:numPr>
          <w:ilvl w:val="0"/>
          <w:numId w:val="3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自定义假别（年休假、补休假、放射保健假、教学假、育儿假、产假、职称假、探亲假等），自动计算应休、已休、剩余天数，支持手动修改。</w:t>
      </w:r>
      <w:r/>
    </w:p>
    <w:p>
      <w:pPr>
        <w:numPr>
          <w:ilvl w:val="0"/>
          <w:numId w:val="3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自定义假期公式（如根据工龄计算年假）。</w:t>
      </w:r>
      <w:r/>
    </w:p>
    <w:p>
      <w:pPr>
        <w:numPr>
          <w:ilvl w:val="0"/>
          <w:numId w:val="3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年假管控：剩余年假为0时无法申请；放射假仅限放射科人员申请；补休假扣减累计假期。</w:t>
      </w:r>
      <w:r/>
    </w:p>
    <w:p>
      <w:pPr>
        <w:numPr>
          <w:ilvl w:val="0"/>
          <w:numId w:val="3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自定义请假审批流程（按人员类型区分：医生/护士不同审批链）。</w:t>
      </w:r>
      <w:r/>
    </w:p>
    <w:p>
      <w:pPr>
        <w:numPr>
          <w:ilvl w:val="0"/>
          <w:numId w:val="3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员工PC/移动端查看假期余额、申请各类假期，上传证明，系统控制超休；流程审批后自动归档并同步月考勤。</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 移动考勤</w:t>
      </w:r>
      <w:r/>
    </w:p>
    <w:p>
      <w:pPr>
        <w:numPr>
          <w:ilvl w:val="0"/>
          <w:numId w:val="3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移动端排班、班次查询、考勤汇总查看。</w:t>
      </w:r>
      <w:r/>
    </w:p>
    <w:p>
      <w:pPr>
        <w:numPr>
          <w:ilvl w:val="0"/>
          <w:numId w:val="3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调班/换班/替班申请，审批通过后自动变更班次。</w:t>
      </w:r>
      <w:r/>
    </w:p>
    <w:p>
      <w:pPr>
        <w:numPr>
          <w:ilvl w:val="0"/>
          <w:numId w:val="3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移动端签到打卡，查看个人考勤（假期、班次、统计）。</w:t>
      </w:r>
      <w:r/>
    </w:p>
    <w:p>
      <w:pPr>
        <w:numPr>
          <w:ilvl w:val="0"/>
          <w:numId w:val="3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科室考勤：查看各班次人数及具体人员。</w:t>
      </w:r>
      <w:r/>
    </w:p>
    <w:p>
      <w:pPr>
        <w:numPr>
          <w:ilvl w:val="0"/>
          <w:numId w:val="3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个人排班确认、休假确认。</w:t>
      </w:r>
      <w:r/>
    </w:p>
    <w:p>
      <w:pPr>
        <w:numPr>
          <w:ilvl w:val="0"/>
          <w:numId w:val="3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移动端考勤上报、催报、在线审核审批。</w:t>
      </w:r>
      <w:r/>
    </w:p>
    <w:p>
      <w:pPr>
        <w:numPr>
          <w:ilvl w:val="0"/>
          <w:numId w:val="3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历史出勤查询、总值排班、出勤报告。</w:t>
      </w:r>
      <w:r/>
    </w:p>
    <w:p>
      <w:pPr>
        <w:numPr>
          <w:ilvl w:val="0"/>
          <w:numId w:val="3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考勤统计（个人汇总、班次汇总、科室班次等）。</w:t>
      </w:r>
      <w:r/>
    </w:p>
    <w:p>
      <w:pPr>
        <w:numPr>
          <w:ilvl w:val="0"/>
          <w:numId w:val="32"/>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管理员查看月报表、出勤报告、考勤项目汇总、人员变动汇总。</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 人脸识别考勤数据对接功能 </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医院部署人脸识别考勤终端，系统可完成设备刷脸考勤数据对接采集，同时能够将考勤数据与医护排班记录进行校验核对。</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9.职称管理</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材料申报及审核</w:t>
      </w:r>
      <w:r/>
    </w:p>
    <w:p>
      <w:pPr>
        <w:numPr>
          <w:ilvl w:val="0"/>
          <w:numId w:val="3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通过系统公告批量推送职称评审文件、通知。</w:t>
      </w:r>
      <w:r/>
    </w:p>
    <w:p>
      <w:pPr>
        <w:numPr>
          <w:ilvl w:val="0"/>
          <w:numId w:val="3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职工登录系统填报，后台已有信息自动生成（不可改动），可添加完善业绩信息，上传附件。</w:t>
      </w:r>
      <w:r/>
    </w:p>
    <w:p>
      <w:pPr>
        <w:numPr>
          <w:ilvl w:val="0"/>
          <w:numId w:val="3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支持职称聘任全流程线上管理，能根据医院评分方案、评分标准，系统可依据预设计算公式自动评估每篇论文、项目等科研成果的得分、级别，生成科研成果指标的综合得分</w:t>
      </w:r>
      <w:r>
        <w:rPr>
          <w:rFonts w:hint="eastAsia" w:ascii="宋体" w:hAnsi="宋体" w:eastAsia="宋体" w:cs="宋体"/>
          <w:color w:val="000000"/>
          <w:sz w:val="24"/>
          <w:szCs w:val="24"/>
        </w:rPr>
        <w:t xml:space="preserve">。</w:t>
      </w:r>
      <w:r/>
    </w:p>
    <w:p>
      <w:pPr>
        <w:numPr>
          <w:ilvl w:val="0"/>
          <w:numId w:val="3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填报完成后提交至综合管理岗、相关科室审核，支持审核过程监控，显示进度及意见。驳回后个人可修改重新提交。</w:t>
      </w:r>
      <w:r/>
    </w:p>
    <w:p>
      <w:pPr>
        <w:numPr>
          <w:ilvl w:val="0"/>
          <w:numId w:val="3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生成申报表（Word/PDF格式）。</w:t>
      </w:r>
      <w:r/>
    </w:p>
    <w:p>
      <w:pPr>
        <w:numPr>
          <w:ilvl w:val="0"/>
          <w:numId w:val="3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各科室审核人登录系统审核，反馈结果。</w:t>
      </w:r>
      <w:r/>
    </w:p>
    <w:p>
      <w:pPr>
        <w:numPr>
          <w:ilvl w:val="0"/>
          <w:numId w:val="3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综合管理岗可查看本科室所有申报人情况，筛选，查看申报表。</w:t>
      </w:r>
      <w:r/>
    </w:p>
    <w:p>
      <w:pPr>
        <w:numPr>
          <w:ilvl w:val="0"/>
          <w:numId w:val="3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自动生成《申报人员情况汇总表》（Excel），可下载。</w:t>
      </w:r>
      <w:r/>
    </w:p>
    <w:p>
      <w:pPr>
        <w:numPr>
          <w:ilvl w:val="0"/>
          <w:numId w:val="3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科室审核完成后可集中下载所有最终版申报表（Word可修改版）。</w:t>
      </w:r>
      <w:r/>
    </w:p>
    <w:p>
      <w:pPr>
        <w:numPr>
          <w:ilvl w:val="0"/>
          <w:numId w:val="33"/>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可送审学科评议组或医院评聘工作组投票。</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9.2专家库建立</w:t>
      </w:r>
      <w:r/>
    </w:p>
    <w:p>
      <w:pPr>
        <w:numPr>
          <w:ilvl w:val="0"/>
          <w:numId w:val="3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支持建立内部/外部评审专家库，内部专家从职工库引入，支持手工同步。</w:t>
      </w:r>
      <w:r/>
    </w:p>
    <w:p>
      <w:pPr>
        <w:numPr>
          <w:ilvl w:val="0"/>
          <w:numId w:val="3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支持专家信息调整、查询。</w:t>
      </w:r>
      <w:r/>
    </w:p>
    <w:p>
      <w:pPr>
        <w:numPr>
          <w:ilvl w:val="0"/>
          <w:numId w:val="34"/>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可标识专家所属组织，便于不同级别评委会引用。</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9.3会议评审</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建立不同类别评委会（高级/中级），归属于不同组织。</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支持随机抽取或手工选择评委会成员。</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支持查看当前及历史评委会信息。</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建立多个学科评议组，支持随机抽取或手工选择成员，查看当前及历史信息。</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支持评议会议新增、删除、修改。</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评议会关联评委会、起止日期、所属组织。</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会议启动时支持邮件/短信/微信通知申报人、学科组成员、评委会成员。</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支持随机生成评审投票的用户名/密码。</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支持二维码扫描、PC端随机密码登录在线评审，可查阅申报材料。</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自动统计投票结果，支持输出。</w:t>
      </w:r>
      <w:r/>
    </w:p>
    <w:p>
      <w:pPr>
        <w:numPr>
          <w:ilvl w:val="0"/>
          <w:numId w:val="35"/>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评审结果归档，自动关联岗位聘任信息。</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 材料公示</w:t>
      </w:r>
      <w:r/>
    </w:p>
    <w:p>
      <w:pPr>
        <w:numPr>
          <w:ilvl w:val="0"/>
          <w:numId w:val="3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系统管理员选择公示开放时间。</w:t>
      </w:r>
      <w:r/>
    </w:p>
    <w:p>
      <w:pPr>
        <w:numPr>
          <w:ilvl w:val="0"/>
          <w:numId w:val="3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对所有申报人最终版申报表进行公示，显示姓名、单位、申报类型、系列、岗位、学科，点击查看详细。</w:t>
      </w:r>
      <w:r/>
    </w:p>
    <w:p>
      <w:pPr>
        <w:numPr>
          <w:ilvl w:val="0"/>
          <w:numId w:val="36"/>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支持手动添加、编辑条目、替换表格，应对特殊情况；管理员可导出汇总表。</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 职称评审扩展要求</w:t>
      </w:r>
      <w:r/>
    </w:p>
    <w:p>
      <w:pPr>
        <w:numPr>
          <w:ilvl w:val="0"/>
          <w:numId w:val="3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支持内部职称评审全场景（报名、审核、材料填报、分级审核、同行专家评议、中/高评委投票、公示、归档）。</w:t>
      </w:r>
      <w:r/>
    </w:p>
    <w:p>
      <w:pPr>
        <w:numPr>
          <w:ilvl w:val="0"/>
          <w:numId w:val="3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员工自助界面展示职称晋升路线图、条件满足情况。</w:t>
      </w:r>
      <w:r/>
    </w:p>
    <w:p>
      <w:pPr>
        <w:numPr>
          <w:ilvl w:val="0"/>
          <w:numId w:val="3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可配置的专家中心体系：自定义资格评审、材料审核、同行评议、二级单位评审、学科组评审、专家评审、投票等工作流。</w:t>
      </w:r>
      <w:r/>
    </w:p>
    <w:p>
      <w:pPr>
        <w:numPr>
          <w:ilvl w:val="0"/>
          <w:numId w:val="3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支持职称认定和职称评审两种方式，自定义业务流程（是否启用资格审查、材料审核、同行评议、系统评分等）。</w:t>
      </w:r>
      <w:r/>
    </w:p>
    <w:p>
      <w:pPr>
        <w:numPr>
          <w:ilvl w:val="0"/>
          <w:numId w:val="3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自定义申报条件（基本、业务、其他），主动推送符合条件人员报名通知。</w:t>
      </w:r>
      <w:r/>
    </w:p>
    <w:p>
      <w:pPr>
        <w:numPr>
          <w:ilvl w:val="0"/>
          <w:numId w:val="3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评审计划：系统公告/短信推送，支持系统自动筛选及管理员手动邀请。</w:t>
      </w:r>
      <w:r/>
    </w:p>
    <w:p>
      <w:pPr>
        <w:numPr>
          <w:ilvl w:val="0"/>
          <w:numId w:val="3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可对申报人数、初审通过人数等统计分析，一键导出汇总一览表。</w:t>
      </w:r>
      <w:r/>
    </w:p>
    <w:p>
      <w:pPr>
        <w:numPr>
          <w:ilvl w:val="0"/>
          <w:numId w:val="3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材料审核：多部门协同在线审核，支持表单模式或名册模式批量审批，自动汇总，可按报送表格式打印。</w:t>
      </w:r>
      <w:r/>
    </w:p>
    <w:p>
      <w:pPr>
        <w:numPr>
          <w:ilvl w:val="0"/>
          <w:numId w:val="37"/>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专家评审：支持PC/平板/移动端在线投票评分，支持一键切换多人/单人评分模式，可查看申报材料；支持多轮次重投，自动计算总分及排名；评审结果公示并自动归档至个人职称子集。</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10.招聘管理</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（1）符合事业单位公开招聘的各项规定；支持社会招聘、校园招聘、博士后招聘、高层次人才招聘等各类招聘场景。</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（2）系统能提供招聘门户，提供多种美观门户首页样式模板，可供自定义门户使用。</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（3）招聘门户支持中文简体、中文繁体、英文语言切换。支持双因子登录、密码过期强制修改等安全措施。</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应聘者进入招聘门户阅读招聘公告、查询招聘岗位、注册账号、填写简历、应聘岗位、录制自我介绍视频、在线缴纳报名考试费、打印审核表、打印准考证、跟踪查询应聘进展情况、查看招聘消息通知、确认面试笔试是否参加、查看考试成绩等。</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（5）人员简历支持指标、记录的必填必传或按条件必填必传、分阶段上传附件材料等规则设定，保证采集到的简历数据准确规范，减轻工作人员审核简历的劳动强度。</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支持针对不同招聘类别，制定不同的招聘流程，灵活定义流程中各种环节及环节中所需的状态和操作</w:t>
      </w:r>
      <w:r>
        <w:rPr>
          <w:rFonts w:hint="eastAsia" w:ascii="宋体" w:hAnsi="宋体" w:eastAsia="宋体" w:cs="宋体"/>
          <w:color w:val="000000"/>
          <w:sz w:val="24"/>
          <w:szCs w:val="24"/>
        </w:rPr>
        <w:t xml:space="preserve">。</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（7）支持招聘计划管理，针对不同类型、不同层次人员能够灵活设置招聘计划，包括招聘批次、招聘部门、招聘人数、招聘流程、缴费设置、上传招聘计划书、招聘总结材料等。</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（8）支持招聘岗位管理，包括岗位名称、工作内容、人员要求等信息，可定义简历筛选条件（用于自动判别简历是否符合招聘要求），并能够对不同类别的招聘岗位设置不同的招聘流程。</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sz w:val="24"/>
          <w:szCs w:val="24"/>
        </w:rPr>
        <w:t xml:space="preserve">支持搭建自定义的招聘管理门户，门户中支持展示招聘业务统计数据、招聘漏斗图、以及招聘进展跟踪表，方便各招聘负责人从宏观掌握招聘业务情况，及时跟踪招聘进度</w:t>
      </w:r>
      <w:r>
        <w:rPr>
          <w:rFonts w:hint="eastAsia" w:ascii="宋体" w:hAnsi="宋体" w:eastAsia="宋体" w:cs="宋体"/>
          <w:color w:val="000000"/>
          <w:sz w:val="24"/>
          <w:szCs w:val="24"/>
        </w:rPr>
        <w:t xml:space="preserve">。</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提供简历按流程环节分步骤进行筛选审核功能；支持招聘管理员进行多轮面试安排、录用审批、上传背景调查报告、上传体检结果、编辑或导入筛选过程中一些结果数据、支持对简历内容进行字段或记录级批注要求应聘者进行修改完善等；在审核简历过程中支持邮件、短信等通知方式，实现与应聘者的互动。</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导出简历Excel时子集平铺展示。例如，多条学历按学历横向分组展示，便于管理员比对不同人员各阶段的学习情况，导出的评审表中支持子集聚合展示，例如，多条学习工作经历聚合到一个单元格中，便于领导审批。</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（12）支持在招聘过程中对一些应聘者进行人岗自动匹配或手工推荐至其他合适职位的功能。</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（13）支持邀请同事对简历、视频材料进行评价；支持面试官在线面试打分评价、对面试官进行面试工作提醒等。</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（14）提供人才库功能，日常筛选简历时，可将暂无法录用但有潜质的简历加入人才库，形成后备人才池，后续在需要时进行主动邀约，提高招聘效率。</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针对笔试管理要求提供考务管理功能，能够管理考场，为笔试考生按顺序或随机分配考场及座位，生成准考证号、批量导入笔试成绩及结果、按成绩批量筛选考生信息；灵活定义准考证，考试成绩表格式，并支持下载打印考场桌签、考场考生签名表等考试过程中需要的表格。支持笔试、面试等在线缴费。</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(16)系统支持对贫困生的免缴费处理。</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11.年度考核</w:t>
      </w:r>
      <w:r/>
    </w:p>
    <w:p>
      <w:pPr>
        <w:numPr>
          <w:ilvl w:val="0"/>
          <w:numId w:val="3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灵活定义管理岗、专业技术岗、卫技岗、非卫技岗等考核表，按不同类别定义考核流程。</w:t>
      </w:r>
      <w:r/>
    </w:p>
    <w:p>
      <w:pPr>
        <w:numPr>
          <w:ilvl w:val="0"/>
          <w:numId w:val="3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填报时基础信息、工作量等系统自动代入。</w:t>
      </w:r>
      <w:r/>
    </w:p>
    <w:p>
      <w:pPr>
        <w:numPr>
          <w:ilvl w:val="0"/>
          <w:numId w:val="3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根据考核流程及平时情况，科室主任在线评优，人事处复核并批量打印存档。</w:t>
      </w:r>
      <w:r/>
    </w:p>
    <w:p>
      <w:pPr>
        <w:numPr>
          <w:ilvl w:val="0"/>
          <w:numId w:val="3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自定义考核结果等级（优秀、合格、基本合格、不合格）。</w:t>
      </w:r>
      <w:r/>
    </w:p>
    <w:p>
      <w:pPr>
        <w:numPr>
          <w:ilvl w:val="0"/>
          <w:numId w:val="3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生成年度考核结果汇总表，支持导出。</w:t>
      </w:r>
      <w:r/>
    </w:p>
    <w:p>
      <w:pPr>
        <w:numPr>
          <w:ilvl w:val="0"/>
          <w:numId w:val="3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考核登记表导出，被考核人签字存档。</w:t>
      </w:r>
      <w:r/>
    </w:p>
    <w:p>
      <w:pPr>
        <w:numPr>
          <w:ilvl w:val="0"/>
          <w:numId w:val="38"/>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考核结果自动存储到个人信息中，为工资调整、岗位聘任、职称评审等提供依据。</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12.员工共享服务中心</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(1)为全体职工开通账号及相应授权。</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(2)职工可查看自己的人才画像和档案信息（工资、福利、学历、考核、职称等），发现错误可申请修改，经审核后入库。</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(3)在线完成年度考核表填写与上报，各级领导评价及等级评定，考核表可打印归档。</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(4)查看每月工资条及年度/季度汇总信息。</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(5)通过服务大厅申请各类证明，审批通过后自助终端打印。</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13.报表管理</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13.1年报及日常报表</w:t>
      </w:r>
      <w:r/>
    </w:p>
    <w:p>
      <w:pPr>
        <w:numPr>
          <w:ilvl w:val="0"/>
          <w:numId w:val="3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支持向人社局、卫健委、统计局等上报事业单位人员统计、工资福利统计等报表，支持实时更新报表格式并下载应用。</w:t>
      </w:r>
      <w:r/>
    </w:p>
    <w:p>
      <w:pPr>
        <w:numPr>
          <w:ilvl w:val="0"/>
          <w:numId w:val="3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支持内部各种统计报表制作与应用。</w:t>
      </w:r>
      <w:r/>
    </w:p>
    <w:p>
      <w:pPr>
        <w:numPr>
          <w:ilvl w:val="0"/>
          <w:numId w:val="3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报表数据实时自动生成，具备准确性校验。</w:t>
      </w:r>
      <w:r/>
    </w:p>
    <w:p>
      <w:pPr>
        <w:numPr>
          <w:ilvl w:val="0"/>
          <w:numId w:val="3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保存历史数据，便于对比分析；支持导出Excel。</w:t>
      </w:r>
      <w:r/>
    </w:p>
    <w:p>
      <w:pPr>
        <w:numPr>
          <w:ilvl w:val="0"/>
          <w:numId w:val="39"/>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报表可在不同部门间共享，各部门可自动取数。</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13.2报表的制作与修改</w:t>
      </w:r>
      <w:r/>
    </w:p>
    <w:p>
      <w:pPr>
        <w:numPr>
          <w:ilvl w:val="0"/>
          <w:numId w:val="4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上级报表格式变动时，业务人员可灵活修改、新增报表，无需二次开发。</w:t>
      </w:r>
      <w:r/>
    </w:p>
    <w:p>
      <w:pPr>
        <w:numPr>
          <w:ilvl w:val="0"/>
          <w:numId w:val="4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支持Excel画表风格的自定义绘制工具。</w:t>
      </w:r>
      <w:r/>
    </w:p>
    <w:p>
      <w:pPr>
        <w:numPr>
          <w:ilvl w:val="0"/>
          <w:numId w:val="4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支持将Excel表样直接导入系统并自动提取数据。</w:t>
      </w:r>
      <w:r/>
    </w:p>
    <w:p>
      <w:pPr>
        <w:numPr>
          <w:ilvl w:val="0"/>
          <w:numId w:val="40"/>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提供多种报表软件接口（人才年报、工资年报）。</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13.3报表填报与分析</w:t>
      </w:r>
      <w:r/>
    </w:p>
    <w:p>
      <w:pPr>
        <w:numPr>
          <w:ilvl w:val="0"/>
          <w:numId w:val="4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支持多院区/集团下属机构定期上报报表，总院进行汇总查看。</w:t>
      </w:r>
      <w:r/>
    </w:p>
    <w:p>
      <w:pPr>
        <w:numPr>
          <w:ilvl w:val="0"/>
          <w:numId w:val="41"/>
        </w:num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已填报报表自动按时间顺序归档，支持纵向（时间）和横向（部门）分析。</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14.流程管理</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14.1业务模板定义</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(1)对各种业务模板可灵活绘制，设计业务公式、检索条件、异动前后规则。</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(2)支持工作流流转：业务处理结束后通知后续流程，并引入相关数据（如入职后通知工资核定）。</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14.2业务流程定义</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(1)业务模板支持自动流转、手工指派等规则设定。</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(2)提供可视化流程设计工具，拖拽方式设计流程，支持分支条件、会签、节点（组织、用户、人员、角色）、时间限制等自定义。</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(3)可灵活设定发起人（业务人员、职工、科室领导等）。</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(4)支持流程表单内字段分类、主从表设计、子流程独立审批（如不同科室审核不同子表）。</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(5)支持流程表单填表说明、必填项校验。</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(6)支持灵活流程（自由选择节点）和固定节点流程。</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(7)支持到期自动审批/提醒。</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流程发起</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(1)提供站内消息、邮件、短信等多种待办通知。</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(2)支持单人/多人流程申请，一张表单内可包含多人信息（如外出学习同行人员）。</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 流程审批</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(1)发起人可撤回流程（任意节点），撤回后通知中间审批人。</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(2)支持单节点自动审批（超时自动通过）。</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(3)支持重复审批自动跳过（同一人多次出现自动通过）。</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14.5流程监控</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(1)职工PC端/移动端可发起入职、转正、岗位变动、离职、退休等申请，并可查看进度、导出打印表单（含审批进度图）。</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(2)审批结束后自动归档到人员信息子集中。</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(3)支持审批表拍照归档，归档至人员信息。</w:t>
      </w:r>
      <w:r/>
    </w:p>
    <w:p>
      <w:pPr>
        <w:ind w:left="0" w:firstLine="482"/>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15.移动应用</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(1)移动端查看本人权限范围内的职工信息。</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(2)我的假期：查看假期明细、请假审批状态。</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(3)领导移动审批，职工移动办理业务及查询进度。</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(4)移动端查看、维护个人档案，在授权范围内查看下属信息。</w:t>
      </w:r>
      <w:r/>
    </w:p>
    <w:p>
      <w:pPr>
        <w:ind w:left="0" w:firstLine="480"/>
        <w:jc w:val="both"/>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(5)移动工资条，支持选择月份查看。</w:t>
      </w:r>
      <w:r/>
    </w:p>
    <w:p>
      <w:pPr>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（三）接口及集成要求</w:t>
      </w:r>
      <w:r/>
    </w:p>
    <w:p>
      <w:pPr>
        <w:ind w:left="0" w:firstLine="480"/>
        <w:jc w:val="both"/>
        <w:keepLines w:val="0"/>
        <w:keepNext w:val="0"/>
        <w:pageBreakBefore w:val="0"/>
        <w:spacing w:line="400" w:lineRule="exact"/>
        <w:widowControl w:val="off"/>
        <w:rPr>
          <w:rFonts w:hint="eastAsia" w:ascii="宋体" w:hAnsi="宋体" w:eastAsia="宋体" w:cs="宋体"/>
          <w:b/>
          <w:bCs w:val="0"/>
          <w:sz w:val="24"/>
          <w:szCs w:val="24"/>
          <w:lang w:eastAsia="zh-CN"/>
        </w:rPr>
      </w:pPr>
      <w:r>
        <w:rPr>
          <w:rFonts w:hint="eastAsia" w:ascii="宋体" w:hAnsi="宋体" w:eastAsia="宋体" w:cs="宋体"/>
          <w:sz w:val="24"/>
          <w:szCs w:val="24"/>
        </w:rPr>
        <w:t xml:space="preserve">本项目系统须支持与医院集成平台、财务系统、OA 系统、HIS 系统等业务系统互联互通。项目涉及全部接口开发、对接调试（含对接第三方厂商接口相关工作）均纳入投标总价，采购人无需另行支付任何接口相关费用。</w:t>
      </w:r>
      <w:r>
        <w:rPr>
          <w:rFonts w:hint="eastAsia" w:ascii="宋体" w:hAnsi="宋体" w:eastAsia="宋体" w:cs="宋体"/>
          <w:b/>
          <w:bCs w:val="0"/>
          <w:sz w:val="24"/>
          <w:szCs w:val="24"/>
        </w:rPr>
        <w:t xml:space="preserve">投标时需提供</w:t>
      </w:r>
      <w:r>
        <w:rPr>
          <w:rFonts w:hint="eastAsia" w:ascii="宋体" w:hAnsi="宋体" w:eastAsia="宋体" w:cs="宋体"/>
          <w:b/>
          <w:bCs w:val="0"/>
          <w:sz w:val="24"/>
          <w:szCs w:val="24"/>
          <w:lang w:val="en-US" w:eastAsia="zh-CN"/>
        </w:rPr>
        <w:t xml:space="preserve">系统免费</w:t>
      </w:r>
      <w:r>
        <w:rPr>
          <w:rFonts w:hint="eastAsia" w:ascii="宋体" w:hAnsi="宋体" w:eastAsia="宋体" w:cs="宋体"/>
          <w:b/>
          <w:bCs w:val="0"/>
          <w:sz w:val="24"/>
          <w:szCs w:val="24"/>
        </w:rPr>
        <w:t xml:space="preserve">对接承诺书（格式自拟）</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未提供将作为无效投标</w:t>
      </w:r>
      <w:r>
        <w:rPr>
          <w:rFonts w:hint="eastAsia" w:ascii="宋体" w:hAnsi="宋体" w:eastAsia="宋体" w:cs="宋体"/>
          <w:b/>
          <w:bCs w:val="0"/>
          <w:sz w:val="24"/>
          <w:szCs w:val="24"/>
          <w:lang w:eastAsia="zh-CN"/>
        </w:rPr>
        <w:t xml:space="preserve">。</w:t>
      </w:r>
      <w:r/>
    </w:p>
    <w:p>
      <w:pPr>
        <w:ind w:left="0" w:firstLine="562"/>
        <w:jc w:val="both"/>
        <w:keepLines w:val="0"/>
        <w:keepNext w:val="0"/>
        <w:pageBreakBefore w:val="0"/>
        <w:spacing w:line="40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both"/>
        <w:keepLines w:val="0"/>
        <w:keepNext w:val="0"/>
        <w:pageBreakBefore w:val="0"/>
        <w:spacing w:line="400" w:lineRule="exact"/>
        <w:widowControl w:val="off"/>
        <w:rPr>
          <w:rFonts w:hint="eastAsia" w:ascii="黑体" w:hAnsi="黑体" w:eastAsia="黑体" w:cs="黑体"/>
          <w:b w:val="0"/>
          <w:bCs w:val="0"/>
          <w:color w:val="000000"/>
          <w:sz w:val="28"/>
          <w:szCs w:val="28"/>
          <w:lang w:eastAsia="zh-CN"/>
        </w:rPr>
      </w:pPr>
      <w:r>
        <w:rPr>
          <w:rFonts w:hint="eastAsia" w:ascii="黑体" w:hAnsi="黑体" w:eastAsia="黑体" w:cs="黑体"/>
          <w:b w:val="0"/>
          <w:bCs w:val="0"/>
          <w:color w:val="000000"/>
          <w:sz w:val="28"/>
          <w:szCs w:val="28"/>
        </w:rPr>
        <w:t xml:space="preserve">三、</w:t>
      </w:r>
      <w:r>
        <w:rPr>
          <w:rFonts w:hint="eastAsia" w:ascii="黑体" w:hAnsi="黑体" w:eastAsia="黑体" w:cs="黑体"/>
          <w:b w:val="0"/>
          <w:bCs w:val="0"/>
          <w:color w:val="000000"/>
          <w:sz w:val="28"/>
          <w:szCs w:val="28"/>
          <w:lang w:eastAsia="zh-CN"/>
        </w:rPr>
        <w:t xml:space="preserve">项目实施要求</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1、安装地点：江阴市人民医院</w:t>
      </w:r>
      <w:r>
        <w:rPr>
          <w:rFonts w:hint="eastAsia" w:ascii="宋体" w:hAnsi="宋体" w:cs="宋体"/>
          <w:bCs/>
          <w:color w:val="000000"/>
          <w:sz w:val="24"/>
          <w:szCs w:val="24"/>
        </w:rPr>
        <w:t xml:space="preserve">城中院区、敔山湾院区</w:t>
      </w:r>
      <w:r>
        <w:rPr>
          <w:rFonts w:hint="eastAsia" w:ascii="宋体" w:hAnsi="宋体" w:eastAsia="宋体" w:cs="宋体"/>
          <w:bCs/>
          <w:color w:val="000000"/>
          <w:sz w:val="24"/>
          <w:szCs w:val="24"/>
        </w:rPr>
        <w:t xml:space="preserve">。</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2、实施周期：自合同签订后</w:t>
      </w:r>
      <w:r>
        <w:rPr>
          <w:rFonts w:hint="eastAsia" w:ascii="宋体" w:hAnsi="宋体" w:cs="宋体"/>
          <w:bCs/>
          <w:color w:val="000000"/>
          <w:sz w:val="24"/>
          <w:szCs w:val="24"/>
        </w:rPr>
        <w:t xml:space="preserve">6</w:t>
      </w:r>
      <w:r>
        <w:rPr>
          <w:rFonts w:hint="eastAsia" w:ascii="宋体" w:hAnsi="宋体" w:eastAsia="宋体" w:cs="宋体"/>
          <w:bCs/>
          <w:color w:val="000000"/>
          <w:sz w:val="24"/>
          <w:szCs w:val="24"/>
        </w:rPr>
        <w:t xml:space="preserve">个月内，软件系统到货、安装完成。如在规定的时间内由于供应商的原因不能完成安装和调试，供应商应承担由此给用户造成的损失。</w:t>
      </w:r>
      <w:r/>
    </w:p>
    <w:p>
      <w:pPr>
        <w:ind w:left="0" w:firstLine="480"/>
        <w:jc w:val="both"/>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3、团队要求：供应商应本着认真负责态度，应配备至少</w:t>
      </w:r>
      <w:r>
        <w:rPr>
          <w:rFonts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人的项目团队，主要人员包含项目负责人1名，测试人员1名，其他开发人员不少于</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名。</w:t>
      </w:r>
      <w:r>
        <w:rPr>
          <w:rFonts w:hint="eastAsia" w:ascii="宋体" w:hAnsi="宋体" w:eastAsia="宋体" w:cs="宋体"/>
          <w:color w:val="000000"/>
          <w:sz w:val="24"/>
          <w:szCs w:val="24"/>
        </w:rPr>
        <w:t xml:space="preserve">为确保项目顺利实施及系统与业务环境的深度融合，供应商需安排项目团队在招标人指定场所进行驻场开发。驻场期限覆盖项目主要开发、部署、联调及试运行阶段。</w:t>
      </w:r>
      <w:r>
        <w:rPr>
          <w:rFonts w:hint="eastAsia" w:ascii="宋体" w:hAnsi="宋体" w:eastAsia="宋体" w:cs="宋体"/>
          <w:b/>
          <w:bCs w:val="0"/>
          <w:color w:val="000000"/>
          <w:sz w:val="24"/>
          <w:szCs w:val="24"/>
        </w:rPr>
        <w:t xml:space="preserve">（签订合同时需提供详细人员名单）</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4、安装标准：符合我国国家有关技术规范要求和技术标准。</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5、保密服务承诺：供应商在提供服务的过程中，获悉的一切资讯均需严格保密，不得自行使用或给他人使用，如有泄漏或擅自使用或允许他人使用用户信息造成损失的必须承担相应的民事赔偿责任。</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6、安全生产服务承诺：如因供应商人为疏忽或操作不规范，导致的系统宕机、数据丢失，供应商均需承担相应的民事赔偿及法律责任。</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7、安装调试过程中发生的费用由供应商负责。</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8、供应商应在投标文件中提供其安装调试过程中医院需配合的内容。</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9、在项目实施过程中，向医院提供齐全的电子版和书面的操作说明等文档。</w:t>
      </w:r>
      <w:r/>
    </w:p>
    <w:p>
      <w:pPr>
        <w:jc w:val="both"/>
        <w:keepLines w:val="0"/>
        <w:keepNext w:val="0"/>
        <w:pageBreakBefore w:val="0"/>
        <w:spacing w:line="400" w:lineRule="exact"/>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jc w:val="both"/>
        <w:keepLines w:val="0"/>
        <w:keepNext w:val="0"/>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lang w:eastAsia="zh-CN"/>
        </w:rPr>
        <w:t xml:space="preserve">四、</w:t>
      </w:r>
      <w:r>
        <w:rPr>
          <w:rFonts w:hint="eastAsia" w:ascii="黑体" w:hAnsi="黑体" w:eastAsia="黑体" w:cs="黑体"/>
          <w:b w:val="0"/>
          <w:bCs w:val="0"/>
          <w:color w:val="000000"/>
          <w:sz w:val="28"/>
          <w:szCs w:val="28"/>
        </w:rPr>
        <w:t xml:space="preserve">项目培训要求：</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培训：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以使所提供的软件产品能够正常、安全地运行。</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2、所有的培训费用必须计入投标总价。</w:t>
      </w:r>
      <w:r/>
    </w:p>
    <w:p>
      <w:pPr>
        <w:ind w:left="0" w:firstLine="482"/>
        <w:jc w:val="both"/>
        <w:keepLines w:val="0"/>
        <w:keepNext w:val="0"/>
        <w:pageBreakBefore w:val="0"/>
        <w:spacing w:line="400" w:lineRule="exact"/>
        <w:widowControl w:val="off"/>
        <w:rPr>
          <w:rFonts w:hint="eastAsia" w:ascii="宋体" w:hAnsi="宋体" w:cs="宋体"/>
          <w:b/>
          <w:bCs/>
          <w:color w:val="000000"/>
          <w:sz w:val="24"/>
          <w:szCs w:val="24"/>
        </w:rPr>
      </w:pPr>
      <w:r>
        <w:rPr>
          <w:rFonts w:hint="eastAsia" w:ascii="宋体" w:hAnsi="宋体" w:cs="宋体"/>
          <w:b/>
          <w:bCs/>
          <w:color w:val="000000"/>
          <w:sz w:val="24"/>
          <w:szCs w:val="24"/>
        </w:rPr>
      </w:r>
      <w:r/>
    </w:p>
    <w:p>
      <w:pPr>
        <w:jc w:val="both"/>
        <w:keepLines w:val="0"/>
        <w:keepNext w:val="0"/>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lang w:eastAsia="zh-CN"/>
        </w:rPr>
        <w:t xml:space="preserve">五、</w:t>
      </w:r>
      <w:r>
        <w:rPr>
          <w:rFonts w:hint="eastAsia" w:ascii="黑体" w:hAnsi="黑体" w:eastAsia="黑体" w:cs="黑体"/>
          <w:b w:val="0"/>
          <w:bCs w:val="0"/>
          <w:color w:val="000000"/>
          <w:sz w:val="28"/>
          <w:szCs w:val="28"/>
        </w:rPr>
        <w:t xml:space="preserve">项目验收要求：</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供应商应提供项目相关软件、设备的有效验收文件，经用户认可后，作为验收标准。用户对项目验收合格后，双方共同签署验收合格证书并加盖公章。验收中发现软件、设备达不到验收标准或合同规定的性能指标，供应商必须修改相应内容，以满足用户需求。</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2、合同签订后，</w:t>
      </w:r>
      <w:r>
        <w:rPr>
          <w:rFonts w:hint="eastAsia" w:ascii="宋体" w:hAnsi="宋体" w:cs="宋体"/>
          <w:bCs/>
          <w:color w:val="000000"/>
          <w:sz w:val="24"/>
          <w:szCs w:val="24"/>
        </w:rPr>
        <w:t xml:space="preserve">6</w:t>
      </w:r>
      <w:r>
        <w:rPr>
          <w:rFonts w:hint="eastAsia" w:ascii="宋体" w:hAnsi="宋体" w:eastAsia="宋体" w:cs="宋体"/>
          <w:bCs/>
          <w:color w:val="000000"/>
          <w:sz w:val="24"/>
          <w:szCs w:val="24"/>
        </w:rPr>
        <w:t xml:space="preserve">个月内完成系统的初试，试运行正常</w:t>
      </w:r>
      <w:r>
        <w:rPr>
          <w:rFonts w:hint="eastAsia" w:ascii="宋体" w:hAnsi="宋体" w:cs="宋体"/>
          <w:bCs/>
          <w:color w:val="000000"/>
          <w:sz w:val="24"/>
          <w:szCs w:val="24"/>
        </w:rPr>
        <w:t xml:space="preserve">3</w:t>
      </w:r>
      <w:r>
        <w:rPr>
          <w:rFonts w:hint="eastAsia" w:ascii="宋体" w:hAnsi="宋体" w:eastAsia="宋体" w:cs="宋体"/>
          <w:bCs/>
          <w:color w:val="000000"/>
          <w:sz w:val="24"/>
          <w:szCs w:val="24"/>
        </w:rPr>
        <w:t xml:space="preserve">个月后，组织项目终验。</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3、验收费用由供应商负责。</w:t>
      </w:r>
      <w:r/>
    </w:p>
    <w:p>
      <w:pPr>
        <w:ind w:left="0" w:firstLine="480"/>
        <w:jc w:val="both"/>
        <w:keepLines w:val="0"/>
        <w:keepNext w:val="0"/>
        <w:pageBreakBefore w:val="0"/>
        <w:spacing w:line="400" w:lineRule="exact"/>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jc w:val="both"/>
        <w:keepLines w:val="0"/>
        <w:keepNext w:val="0"/>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lang w:eastAsia="zh-CN"/>
        </w:rPr>
        <w:t xml:space="preserve">六、质量保证及</w:t>
      </w:r>
      <w:r>
        <w:rPr>
          <w:rFonts w:hint="eastAsia" w:ascii="黑体" w:hAnsi="黑体" w:eastAsia="黑体" w:cs="黑体"/>
          <w:b w:val="0"/>
          <w:bCs w:val="0"/>
          <w:color w:val="000000"/>
          <w:sz w:val="28"/>
          <w:szCs w:val="28"/>
        </w:rPr>
        <w:t xml:space="preserve">售后服务要求：</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1、整体系统验收合格后至少提供免费维保</w:t>
      </w:r>
      <w:r>
        <w:rPr>
          <w:rFonts w:hint="eastAsia" w:ascii="宋体" w:hAnsi="宋体" w:cs="宋体"/>
          <w:bCs/>
          <w:color w:val="000000"/>
          <w:sz w:val="24"/>
          <w:szCs w:val="24"/>
        </w:rPr>
        <w:t xml:space="preserve">3</w:t>
      </w:r>
      <w:r>
        <w:rPr>
          <w:rFonts w:hint="eastAsia" w:ascii="宋体" w:hAnsi="宋体" w:eastAsia="宋体" w:cs="宋体"/>
          <w:bCs/>
          <w:color w:val="000000"/>
          <w:sz w:val="24"/>
          <w:szCs w:val="24"/>
        </w:rPr>
        <w:t xml:space="preserve">年。</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3、在系统的服务期内，供应商应确保系统的正常使用。在接到用户服务要求后应立即做出回应，并在承诺的服务时间内实施服务。</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4、如出现远程不能解决的故障问题，供应商提供7×24小时的免费上门保修服务，半小时内响应，4小时内到达现场，24小时内解决故障。</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5、热线电话服务提供技术咨询、故障诊断、故障排除、以及现场支持等具体的技术支持工作，并对客户投诉做出相应处理。</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ind w:left="0" w:firstLine="480"/>
        <w:jc w:val="both"/>
        <w:keepLines w:val="0"/>
        <w:keepNext w:val="0"/>
        <w:pageBreakBefore w:val="0"/>
        <w:spacing w:line="400" w:lineRule="exact"/>
        <w:widowControl w:val="off"/>
        <w:rPr>
          <w:rFonts w:hint="eastAsia"/>
        </w:rPr>
      </w:pPr>
      <w:r>
        <w:rPr>
          <w:rFonts w:hint="eastAsia" w:ascii="宋体" w:hAnsi="宋体" w:eastAsia="宋体" w:cs="宋体"/>
          <w:bCs/>
          <w:color w:val="000000"/>
          <w:sz w:val="24"/>
          <w:szCs w:val="24"/>
        </w:rPr>
        <w:t xml:space="preserve">7、供应商在系统完成验收后的三年内，免费提供与第三方系统的接口对接。</w:t>
      </w:r>
      <w:r/>
    </w:p>
    <w:p>
      <w:pPr>
        <w:ind w:left="0" w:firstLine="482"/>
        <w:jc w:val="both"/>
        <w:keepLines w:val="0"/>
        <w:keepNext w:val="0"/>
        <w:pageBreakBefore w:val="0"/>
        <w:spacing w:line="400" w:lineRule="exact"/>
        <w:widowControl w:val="off"/>
        <w:rPr>
          <w:rFonts w:hint="eastAsia" w:ascii="宋体" w:hAnsi="宋体" w:cs="宋体"/>
          <w:b/>
          <w:bCs/>
          <w:color w:val="000000"/>
          <w:sz w:val="24"/>
          <w:szCs w:val="24"/>
          <w:lang w:eastAsia="zh-CN"/>
        </w:rPr>
      </w:pPr>
      <w:r>
        <w:rPr>
          <w:rFonts w:hint="eastAsia" w:ascii="宋体" w:hAnsi="宋体" w:cs="宋体"/>
          <w:b/>
          <w:bCs/>
          <w:color w:val="000000"/>
          <w:sz w:val="24"/>
          <w:szCs w:val="24"/>
          <w:lang w:eastAsia="zh-CN"/>
        </w:rPr>
      </w:r>
      <w:r/>
    </w:p>
    <w:p>
      <w:pPr>
        <w:jc w:val="both"/>
        <w:keepLines w:val="0"/>
        <w:keepNext w:val="0"/>
        <w:pageBreakBefore w:val="0"/>
        <w:spacing w:line="400" w:lineRule="exact"/>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lang w:eastAsia="zh-CN"/>
        </w:rPr>
        <w:t xml:space="preserve">七、</w:t>
      </w:r>
      <w:r>
        <w:rPr>
          <w:rFonts w:hint="eastAsia" w:ascii="黑体" w:hAnsi="黑体" w:eastAsia="黑体" w:cs="黑体"/>
          <w:b w:val="0"/>
          <w:bCs w:val="0"/>
          <w:color w:val="000000"/>
          <w:sz w:val="28"/>
          <w:szCs w:val="28"/>
        </w:rPr>
        <w:t xml:space="preserve">付款方式：</w:t>
      </w:r>
      <w:r/>
    </w:p>
    <w:p>
      <w:pPr>
        <w:ind w:left="0" w:firstLine="480"/>
        <w:jc w:val="both"/>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合同签订后支付合同金额的30%，验收合格后支付合同金额的</w:t>
      </w:r>
      <w:r>
        <w:rPr>
          <w:rFonts w:hint="eastAsia" w:ascii="宋体" w:hAnsi="宋体" w:eastAsia="宋体" w:cs="宋体"/>
          <w:bCs/>
          <w:color w:val="000000"/>
          <w:sz w:val="24"/>
          <w:szCs w:val="24"/>
          <w:lang w:val="en-US" w:eastAsia="zh-CN"/>
        </w:rPr>
        <w:t xml:space="preserve">70%</w:t>
      </w:r>
      <w:r>
        <w:rPr>
          <w:rFonts w:hint="eastAsia" w:ascii="宋体" w:hAnsi="宋体" w:eastAsia="宋体" w:cs="宋体"/>
          <w:bCs/>
          <w:color w:val="000000"/>
          <w:sz w:val="24"/>
          <w:szCs w:val="24"/>
        </w:rPr>
        <w:t xml:space="preserve">。</w:t>
      </w:r>
      <w:r/>
    </w:p>
    <w:p>
      <w:pPr>
        <w:pStyle w:val="958"/>
        <w:ind w:left="0" w:firstLine="600"/>
        <w:jc w:val="both"/>
        <w:keepLines w:val="0"/>
        <w:keepNext w:val="0"/>
        <w:pageBreakBefore w:val="0"/>
        <w:spacing w:line="400" w:lineRule="exact"/>
        <w:widowControl w:val="off"/>
        <w:rPr>
          <w:rFonts w:hint="eastAsia"/>
        </w:rPr>
      </w:pPr>
      <w:r>
        <w:rPr>
          <w:rFonts w:hint="eastAsia"/>
        </w:rPr>
      </w:r>
      <w:r/>
    </w:p>
    <w:p>
      <w:pPr>
        <w:ind w:right="0"/>
        <w:jc w:val="both"/>
        <w:keepLines w:val="0"/>
        <w:keepNext w:val="0"/>
        <w:pageBreakBefore w:val="0"/>
        <w:spacing w:line="4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八、有关说明：</w:t>
      </w:r>
      <w:r/>
    </w:p>
    <w:p>
      <w:pPr>
        <w:pStyle w:val="1008"/>
        <w:ind w:left="0" w:firstLine="480"/>
        <w:jc w:val="both"/>
        <w:keepLines w:val="0"/>
        <w:keepNext w:val="0"/>
        <w:pageBreakBefore w:val="0"/>
        <w:spacing w:line="400" w:lineRule="exact"/>
        <w:widowControl w:val="off"/>
        <w:rPr>
          <w:rFonts w:ascii="宋体" w:hAnsi="宋体" w:eastAsia="宋体" w:cs="宋体"/>
          <w:bCs/>
        </w:rPr>
      </w:pPr>
      <w:r>
        <w:rPr>
          <w:rFonts w:hint="eastAsia" w:ascii="宋体" w:hAnsi="宋体" w:eastAsia="宋体" w:cs="宋体"/>
          <w:bCs/>
        </w:rPr>
        <w:t xml:space="preserve">1.供应商报价内容必须报全，不得漏项。项目总价中应包括各种工作经费（软件开发费、调查费、处理费等）、成果验收费、售后服务费用、税金，以及食宿费用及差旅费等。采购文件未列明，而供应商认为其他必需的费用也需列入报价。在合同实施时，采购方将不予支付成交方没有填列的项目费用，并认为此项目的费用已包括在合同价格中。 </w:t>
      </w:r>
      <w:r/>
    </w:p>
    <w:p>
      <w:pPr>
        <w:pStyle w:val="1008"/>
        <w:ind w:left="0" w:firstLine="480"/>
        <w:jc w:val="both"/>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rPr>
        <w:t xml:space="preserve">2.</w:t>
      </w:r>
      <w:r>
        <w:rPr>
          <w:rFonts w:hint="eastAsia" w:ascii="宋体" w:hAnsi="宋体" w:eastAsia="宋体" w:cs="Times New Roman"/>
          <w:sz w:val="24"/>
          <w:szCs w:val="24"/>
          <w:lang w:val="zh-CN"/>
        </w:rPr>
        <w:t xml:space="preserve">本项目中供应商为完成项目给采购人定向开发的软件、形成的需求规格说明书、详细设计方案（概要设计、详细设计、数据库设计）、测试方案、测试报告、操作手册、实时部署手册、程序源代码等其知识产权均归采购人所有。</w:t>
      </w:r>
      <w:r>
        <w:rPr>
          <w:rFonts w:hint="eastAsia" w:ascii="宋体" w:hAnsi="宋体" w:eastAsia="宋体" w:cs="宋体"/>
          <w:b w:val="0"/>
          <w:bCs w:val="0"/>
          <w:i w:val="0"/>
          <w:iCs w:val="0"/>
          <w:caps w:val="0"/>
          <w:color w:val="000000"/>
          <w:spacing w:val="0"/>
          <w:sz w:val="24"/>
          <w:szCs w:val="24"/>
          <w:shd w:val="clear" w:color="auto" w:fill="ffffff"/>
        </w:rPr>
        <w:t xml:space="preserve">未经采购人同意，供应商不得利用该等归采购人所有的知识产权进行经营性行</w:t>
      </w:r>
      <w:r>
        <w:rPr>
          <w:rFonts w:hint="eastAsia" w:ascii="宋体" w:hAnsi="宋体" w:eastAsia="宋体" w:cs="宋体"/>
          <w:i w:val="0"/>
          <w:iCs w:val="0"/>
          <w:caps w:val="0"/>
          <w:color w:val="000000"/>
          <w:spacing w:val="0"/>
          <w:sz w:val="24"/>
          <w:szCs w:val="24"/>
          <w:shd w:val="clear" w:color="auto" w:fill="ffffff"/>
        </w:rPr>
        <w:t xml:space="preserve">为，否则采购人有权要求供应商返还利用该部分知识产权所取得的所有经营所得。</w:t>
      </w:r>
      <w:r>
        <w:rPr>
          <w:rFonts w:hint="eastAsia" w:ascii="宋体" w:hAnsi="宋体" w:eastAsia="宋体" w:cs="宋体"/>
          <w:bCs/>
          <w:sz w:val="24"/>
          <w:szCs w:val="24"/>
        </w:rPr>
        <w:t xml:space="preserve"> </w:t>
      </w:r>
      <w:r/>
    </w:p>
    <w:p>
      <w:pPr>
        <w:pStyle w:val="1008"/>
        <w:ind w:left="0" w:firstLine="480"/>
        <w:jc w:val="both"/>
        <w:keepLines w:val="0"/>
        <w:keepNext w:val="0"/>
        <w:pageBreakBefore w:val="0"/>
        <w:spacing w:line="400" w:lineRule="exact"/>
        <w:widowControl w:val="off"/>
        <w:rPr>
          <w:rFonts w:ascii="宋体" w:hAnsi="宋体" w:eastAsia="宋体" w:cs="宋体"/>
          <w:bCs/>
        </w:rPr>
      </w:pPr>
      <w:r>
        <w:rPr>
          <w:rFonts w:hint="eastAsia" w:ascii="宋体" w:hAnsi="宋体" w:eastAsia="宋体" w:cs="宋体"/>
          <w:bCs/>
        </w:rPr>
        <w:t xml:space="preserve">3.供应商应保证成交后在本项目的任何产品使用（包括部分使用）时，不会产生因第三方提出侵犯其专利权、商标权或其他知识产权而引起的法律和经济纠纷，而影响采购人利益。若因本项目所产生的知识产权纠纷，采购人不承担任何责任。 </w:t>
      </w:r>
      <w:r/>
    </w:p>
    <w:p>
      <w:pPr>
        <w:pStyle w:val="1008"/>
        <w:ind w:left="0" w:firstLine="480"/>
        <w:jc w:val="both"/>
        <w:keepLines w:val="0"/>
        <w:keepNext w:val="0"/>
        <w:pageBreakBefore w:val="0"/>
        <w:spacing w:line="400" w:lineRule="exact"/>
        <w:widowControl w:val="off"/>
        <w:rPr>
          <w:rFonts w:ascii="宋体" w:hAnsi="宋体" w:eastAsia="宋体" w:cs="宋体"/>
          <w:bCs/>
        </w:rPr>
      </w:pPr>
      <w:r>
        <w:rPr>
          <w:rFonts w:hint="eastAsia" w:ascii="宋体" w:hAnsi="宋体" w:eastAsia="宋体" w:cs="宋体"/>
          <w:bCs/>
        </w:rPr>
        <w:t xml:space="preserve">4.采购人向供应商提供的有关现场的数据和资料，是采购人现有的能被供应商利用的资料，采购人对供应商做出的任何推论、理解和结论均不负责任。 </w:t>
      </w:r>
      <w:r/>
    </w:p>
    <w:p>
      <w:pPr>
        <w:rPr>
          <w:rFonts w:hint="eastAsia"/>
        </w:rPr>
      </w:pPr>
      <w:r>
        <w:rPr>
          <w:rFonts w:hint="eastAsia"/>
        </w:rPr>
      </w:r>
      <w:r/>
    </w:p>
    <w:p>
      <w:pPr>
        <w:ind w:firstLine="480"/>
        <w:spacing w:line="40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p>
      <w:pPr>
        <w:pStyle w:val="958"/>
        <w:rPr>
          <w:rFonts w:hint="eastAsia"/>
        </w:rPr>
      </w:pPr>
      <w:r>
        <w:rPr>
          <w:rFonts w:hint="eastAsia"/>
        </w:rPr>
      </w:r>
      <w:r/>
    </w:p>
    <w:p>
      <w:pPr>
        <w:pStyle w:val="958"/>
        <w:rPr>
          <w:rFonts w:hint="eastAsia"/>
        </w:rPr>
      </w:pPr>
      <w:r>
        <w:rPr>
          <w:rFonts w:hint="eastAsia"/>
        </w:rPr>
      </w:r>
      <w:r/>
    </w:p>
    <w:p>
      <w:pPr>
        <w:pStyle w:val="958"/>
        <w:jc w:val="both"/>
        <w:rPr>
          <w:rFonts w:hint="eastAsia"/>
        </w:rPr>
      </w:pPr>
      <w:r>
        <w:rPr>
          <w:rFonts w:hint="eastAsia"/>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pStyle w:val="958"/>
        <w:jc w:val="center"/>
      </w:pPr>
      <w:r>
        <w:rPr>
          <w:rFonts w:hint="eastAsia"/>
        </w:rPr>
        <w:t xml:space="preserve">第四章  评标方法和评标标准</w:t>
      </w:r>
      <w:bookmarkEnd w:id="11"/>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bookmarkEnd w:id="10"/>
      <w:r/>
      <w:r/>
    </w:p>
    <w:tbl>
      <w:tblPr>
        <w:tblStyle w:val="935"/>
        <w:tblW w:w="1005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899"/>
        <w:gridCol w:w="1280"/>
        <w:gridCol w:w="5664"/>
        <w:gridCol w:w="936"/>
      </w:tblGrid>
      <w:tr>
        <w:trPr>
          <w:jc w:val="center"/>
          <w:trHeight w:val="90"/>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ind w:left="0" w:right="0"/>
              <w:jc w:val="both"/>
              <w:pageBreakBefore w:val="0"/>
              <w:spacing w:line="400" w:lineRule="exact"/>
              <w:rPr>
                <w:rFonts w:hint="eastAsia" w:ascii="宋体" w:hAnsi="宋体" w:eastAsia="宋体" w:cs="Times New Roman"/>
                <w:b/>
                <w:sz w:val="24"/>
                <w:szCs w:val="24"/>
              </w:rPr>
            </w:pPr>
            <w:r/>
            <w:bookmarkStart w:id="12" w:name="_Toc213847317"/>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ind w:left="0" w:right="0"/>
              <w:jc w:val="both"/>
              <w:pageBreakBefore w:val="0"/>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ind w:left="0" w:right="0"/>
              <w:jc w:val="both"/>
              <w:pageBreakBefore w:val="0"/>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ind w:left="0" w:right="0"/>
              <w:jc w:val="both"/>
              <w:pageBreakBefore w:val="0"/>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936" w:type="dxa"/>
            <w:vAlign w:val="center"/>
            <w:textDirection w:val="lrTb"/>
            <w:noWrap w:val="false"/>
          </w:tcPr>
          <w:p>
            <w:pPr>
              <w:ind w:left="0" w:right="0"/>
              <w:jc w:val="both"/>
              <w:pageBreakBefore w:val="0"/>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ind w:left="0" w:right="0"/>
              <w:jc w:val="both"/>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一、价格部分</w:t>
            </w:r>
            <w:r/>
          </w:p>
          <w:p>
            <w:pPr>
              <w:ind w:left="0" w:right="0"/>
              <w:jc w:val="both"/>
              <w:keepLines w:val="0"/>
              <w:keepNext w:val="0"/>
              <w:pageBreakBefore w:val="0"/>
              <w:spacing w:line="400" w:lineRule="exact"/>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15</w:t>
            </w:r>
            <w:r>
              <w:rPr>
                <w:rFonts w:hint="eastAsia" w:ascii="宋体" w:hAnsi="宋体" w:eastAsia="宋体" w:cs="Times New Roman"/>
                <w:color w:val="000000" w:themeColor="text1"/>
                <w:sz w:val="24"/>
                <w:szCs w:val="24"/>
                <w:lang w:eastAsia="zh-CN"/>
                <w14:textFill>
                  <w14:solidFill>
                    <w14:schemeClr w14:val="tx1"/>
                  </w14:solidFill>
                </w14:textFill>
              </w:rPr>
              <w:t xml:space="preserve">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cs="Times New Roman"/>
                <w:b/>
                <w:bCs/>
                <w:color w:val="000000" w:themeColor="text1"/>
                <w:sz w:val="24"/>
                <w:szCs w:val="24"/>
                <w14:textFill>
                  <w14:solidFill>
                    <w14:schemeClr w14:val="tx1"/>
                  </w14:solidFill>
                </w14:textFill>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ind w:left="0" w:right="0"/>
              <w:jc w:val="both"/>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满足招标文件要求且投标报价最低的投标报价为评标基准价，其价格为满分。其他投标人的价格分按照下列公式计算：</w:t>
            </w:r>
            <w:r/>
          </w:p>
          <w:p>
            <w:pPr>
              <w:ind w:left="0" w:right="0"/>
              <w:jc w:val="both"/>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投标报价得分＝（评标基准价/投标报价）×15分</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b/>
                <w:bCs/>
                <w:color w:val="000000" w:themeColor="text1"/>
                <w:sz w:val="24"/>
                <w:szCs w:val="24"/>
                <w14:textFill>
                  <w14:solidFill>
                    <w14:schemeClr w14:val="tx1"/>
                  </w14:solidFill>
                </w14:textFill>
              </w:rPr>
            </w:pPr>
            <w:r>
              <w:rPr>
                <w:rFonts w:hint="eastAsia" w:ascii="宋体" w:hAnsi="宋体" w:eastAsia="宋体" w:cs="Times New Roman"/>
                <w:sz w:val="24"/>
                <w:szCs w:val="24"/>
                <w:lang w:val="en-US" w:eastAsia="zh-CN"/>
              </w:rPr>
              <w:t xml:space="preserve">15</w:t>
            </w:r>
            <w:r/>
          </w:p>
        </w:tc>
      </w:tr>
      <w:tr>
        <w:trPr>
          <w:jc w:val="center"/>
        </w:trPr>
        <w:tc>
          <w:tcPr>
            <w:tcBorders>
              <w:left w:val="single" w:color="auto" w:sz="8" w:space="0"/>
              <w:right w:val="single" w:color="auto" w:sz="6" w:space="0"/>
            </w:tcBorders>
            <w:tcW w:w="1276" w:type="dxa"/>
            <w:vAlign w:val="center"/>
            <w:vMerge w:val="restart"/>
            <w:textDirection w:val="lrTb"/>
            <w:noWrap w:val="false"/>
          </w:tcPr>
          <w:p>
            <w:pPr>
              <w:ind w:left="0" w:right="0"/>
              <w:jc w:val="both"/>
              <w:keepLines w:val="0"/>
              <w:keepNext w:val="0"/>
              <w:pageBreakBefore w:val="0"/>
              <w:spacing w:line="400" w:lineRule="exact"/>
              <w:widowControl/>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二、技术部分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55分</w:t>
            </w:r>
            <w:r>
              <w:rPr>
                <w:rFonts w:hint="eastAsia" w:ascii="宋体" w:hAnsi="宋体" w:eastAsia="宋体" w:cs="Times New Roman"/>
                <w:sz w:val="24"/>
                <w:szCs w:val="24"/>
                <w:lang w:eastAsia="zh-CN"/>
              </w:rPr>
              <w:t xml:space="preserve">）</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cs="Times New Roman"/>
                <w:sz w:val="24"/>
                <w:szCs w:val="24"/>
              </w:rPr>
            </w:pPr>
            <w:r>
              <w:rPr>
                <w:rFonts w:hint="eastAsia" w:ascii="宋体" w:hAnsi="宋体" w:eastAsia="宋体"/>
                <w:sz w:val="24"/>
                <w:szCs w:val="24"/>
              </w:rPr>
              <w:t xml:space="preserve">项目需求理解</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ind w:left="0" w:right="0"/>
              <w:jc w:val="both"/>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contextualSpacing/>
              <w:ind w:left="0" w:right="0"/>
              <w:jc w:val="both"/>
              <w:keepLines w:val="0"/>
              <w:keepNext w:val="0"/>
              <w:pageBreakBefore w:val="0"/>
              <w:spacing w:line="400" w:lineRule="exact"/>
              <w:rPr>
                <w:rFonts w:hint="eastAsia"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ind w:left="0" w:right="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针对本项目提供技术方案，包括①项目整体架构设计方案（包含但不限于技术架构、系统部署架构、系统关键技术等）、②项目设计方案（包含但不限于设计原则、总体方案设计、系统性能设计、安全方案设计、系统集成设计）、③国产化适配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方案内容描述全面合理符合采购需求的得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分，每有一项内容缺失的扣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分；每有一项内容存在缺陷或不满足要求的扣</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分，扣完为止。</w:t>
            </w:r>
            <w:r/>
          </w:p>
          <w:p>
            <w:pPr>
              <w:contextualSpacing/>
              <w:ind w:left="0" w:right="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9</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ind w:left="0" w:right="0"/>
              <w:jc w:val="both"/>
              <w:keepLines w:val="0"/>
              <w:keepNext w:val="0"/>
              <w:pageBreakBefore w:val="0"/>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w:t>
            </w:r>
            <w:r>
              <w:rPr>
                <w:rFonts w:hint="eastAsia" w:ascii="宋体" w:hAnsi="宋体" w:eastAsia="宋体" w:cs="Times New Roman"/>
                <w:sz w:val="24"/>
                <w:szCs w:val="24"/>
              </w:rPr>
              <w:t xml:space="preserve">①实施团队人员组织构成、②实施进度计划、③实施部署方案、④质量管理方案</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分，每有一项内容缺失的扣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分；每有一项内容存在缺陷或不满足要求的扣</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分，扣完为止。</w:t>
            </w:r>
            <w:r/>
          </w:p>
          <w:p>
            <w:pPr>
              <w:contextualSpacing/>
              <w:ind w:left="0" w:right="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12</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cs="Times New Roman"/>
                <w:sz w:val="24"/>
                <w:szCs w:val="24"/>
              </w:rPr>
            </w:pPr>
            <w:r>
              <w:rPr>
                <w:rFonts w:hint="eastAsia" w:ascii="宋体" w:hAnsi="宋体" w:eastAsia="宋体"/>
                <w:sz w:val="24"/>
                <w:szCs w:val="24"/>
              </w:rPr>
              <w:t xml:space="preserve">系统对接方案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ind w:left="0" w:right="0"/>
              <w:jc w:val="both"/>
              <w:keepLines w:val="0"/>
              <w:keepNext w:val="0"/>
              <w:pageBreakBefore w:val="0"/>
              <w:spacing w:line="400" w:lineRule="exact"/>
              <w:rPr>
                <w:rFonts w:ascii="宋体" w:hAnsi="宋体" w:eastAsia="宋体"/>
                <w:bCs/>
                <w:sz w:val="24"/>
                <w:szCs w:val="24"/>
              </w:rPr>
            </w:pPr>
            <w:r>
              <w:rPr>
                <w:rFonts w:hint="eastAsia" w:ascii="宋体" w:hAnsi="宋体" w:eastAsia="宋体" w:cs="宋体"/>
                <w:sz w:val="24"/>
                <w:szCs w:val="24"/>
              </w:rPr>
              <w:t xml:space="preserve">投标人针对本项目提供</w:t>
            </w:r>
            <w:r>
              <w:rPr>
                <w:rFonts w:hint="eastAsia" w:ascii="宋体" w:hAnsi="宋体" w:eastAsia="宋体"/>
                <w:bCs/>
                <w:sz w:val="24"/>
                <w:szCs w:val="24"/>
              </w:rPr>
              <w:t xml:space="preserve">所投产品</w:t>
            </w:r>
            <w:r>
              <w:rPr>
                <w:rFonts w:ascii="宋体" w:hAnsi="宋体" w:eastAsia="宋体" w:cs="宋体"/>
                <w:sz w:val="24"/>
                <w:szCs w:val="24"/>
              </w:rPr>
              <w:t xml:space="preserve">与医院集成平台、财务系统、OA 系统、HIS 系统等</w:t>
            </w:r>
            <w:r>
              <w:rPr>
                <w:rFonts w:hint="eastAsia" w:ascii="宋体" w:hAnsi="宋体" w:eastAsia="宋体"/>
                <w:bCs/>
                <w:sz w:val="24"/>
                <w:szCs w:val="24"/>
              </w:rPr>
              <w:t xml:space="preserve">业务系统的对接技术方案，包括①</w:t>
            </w:r>
            <w:r>
              <w:rPr>
                <w:rFonts w:hint="eastAsia" w:ascii="宋体" w:hAnsi="宋体" w:eastAsia="宋体" w:cs="宋体"/>
                <w:sz w:val="24"/>
                <w:szCs w:val="24"/>
              </w:rPr>
              <w:t xml:space="preserve">系统总体对接方案、</w:t>
            </w:r>
            <w:r>
              <w:rPr>
                <w:rFonts w:hint="eastAsia" w:ascii="宋体" w:hAnsi="宋体" w:eastAsia="宋体"/>
                <w:bCs/>
                <w:sz w:val="24"/>
                <w:szCs w:val="24"/>
              </w:rPr>
              <w:t xml:space="preserve">②</w:t>
            </w:r>
            <w:r>
              <w:rPr>
                <w:rFonts w:hint="eastAsia" w:ascii="宋体" w:hAnsi="宋体" w:eastAsia="宋体" w:cs="宋体"/>
                <w:sz w:val="24"/>
                <w:szCs w:val="24"/>
              </w:rPr>
              <w:t xml:space="preserve">与各个系统的详细对接方案，方案内容描述全面合理符合采购需求的得6分，每有一项内容缺失的扣3分；每有一项内容存在缺陷或不满足要求的扣1.5分，扣完为止。</w:t>
            </w:r>
            <w:r/>
          </w:p>
          <w:p>
            <w:pPr>
              <w:contextualSpacing/>
              <w:ind w:left="0" w:right="0"/>
              <w:jc w:val="both"/>
              <w:keepLines w:val="0"/>
              <w:keepNext w:val="0"/>
              <w:pageBreakBefore w:val="0"/>
              <w:spacing w:line="400" w:lineRule="exact"/>
              <w:rPr>
                <w:rFonts w:hint="eastAsia"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ind w:left="0" w:right="0"/>
              <w:jc w:val="both"/>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分，每有一项内容缺失的扣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分；每有一项内容存在缺陷或不满足要求的扣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w:t>
            </w:r>
            <w:r/>
          </w:p>
          <w:p>
            <w:pPr>
              <w:ind w:left="0" w:right="0"/>
              <w:jc w:val="both"/>
              <w:keepLines w:val="0"/>
              <w:keepNext w:val="0"/>
              <w:pageBreakBefore w:val="0"/>
              <w:spacing w:line="400" w:lineRule="exact"/>
              <w:rPr>
                <w:rFonts w:hint="eastAsia"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6</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numPr>
                <w:ilvl w:val="255"/>
                <w:numId w:val="0"/>
              </w:numPr>
              <w:ind w:left="0" w:right="0"/>
              <w:jc w:val="both"/>
              <w:keepLines w:val="0"/>
              <w:keepNext w:val="0"/>
              <w:pageBreakBefore w:val="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售后及应急管理措施安全保障方案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ind w:left="0" w:right="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投标人针对本项目提供的售后及应急管理措施安全保障方案，包含①保证及承诺、②故障响应时间及响应程度</w:t>
            </w:r>
            <w:r>
              <w:rPr>
                <w:rFonts w:hint="eastAsia" w:ascii="宋体" w:hAnsi="宋体" w:eastAsia="宋体" w:cs="宋体"/>
                <w:sz w:val="24"/>
                <w:szCs w:val="24"/>
                <w:lang w:eastAsia="zh-CN"/>
              </w:rPr>
              <w:t xml:space="preserve">、</w:t>
            </w:r>
            <w:r>
              <w:rPr>
                <w:rFonts w:hint="eastAsia" w:ascii="微软雅黑" w:hAnsi="微软雅黑" w:eastAsia="微软雅黑" w:cs="微软雅黑"/>
                <w:sz w:val="24"/>
                <w:szCs w:val="24"/>
                <w:lang w:eastAsia="zh-CN"/>
              </w:rPr>
              <w:t xml:space="preserve">③</w:t>
            </w:r>
            <w:r>
              <w:rPr>
                <w:rFonts w:hint="eastAsia" w:ascii="宋体" w:hAnsi="宋体" w:eastAsia="宋体" w:cs="宋体"/>
                <w:sz w:val="24"/>
                <w:szCs w:val="24"/>
              </w:rPr>
              <w:t xml:space="preserve">运维服务</w:t>
            </w:r>
            <w:r>
              <w:rPr>
                <w:rFonts w:hint="eastAsia" w:ascii="宋体" w:hAnsi="宋体" w:eastAsia="宋体" w:cs="宋体"/>
                <w:sz w:val="24"/>
                <w:szCs w:val="24"/>
                <w:lang w:eastAsia="zh-CN"/>
              </w:rPr>
              <w:t xml:space="preserve">内容及</w:t>
            </w:r>
            <w:r>
              <w:rPr>
                <w:rFonts w:hint="eastAsia" w:ascii="宋体" w:hAnsi="宋体" w:eastAsia="宋体" w:cs="宋体"/>
                <w:sz w:val="24"/>
                <w:szCs w:val="24"/>
              </w:rPr>
              <w:t xml:space="preserve">方式</w:t>
            </w:r>
            <w:r>
              <w:rPr>
                <w:rFonts w:hint="eastAsia" w:ascii="宋体" w:hAnsi="宋体" w:eastAsia="宋体" w:cs="宋体"/>
                <w:sz w:val="24"/>
                <w:szCs w:val="24"/>
                <w:lang w:eastAsia="zh-CN"/>
              </w:rPr>
              <w:t xml:space="preserve">、</w:t>
            </w:r>
            <w:r>
              <w:rPr>
                <w:rFonts w:hint="eastAsia" w:ascii="微软雅黑" w:hAnsi="微软雅黑" w:eastAsia="微软雅黑" w:cs="微软雅黑"/>
                <w:sz w:val="24"/>
                <w:szCs w:val="24"/>
                <w:lang w:eastAsia="zh-CN"/>
              </w:rPr>
              <w:t xml:space="preserve">④</w:t>
            </w:r>
            <w:r>
              <w:rPr>
                <w:rFonts w:hint="eastAsia" w:ascii="宋体" w:hAnsi="宋体" w:eastAsia="宋体" w:cs="宋体"/>
                <w:sz w:val="24"/>
                <w:szCs w:val="24"/>
              </w:rPr>
              <w:t xml:space="preserve">数据安全保障</w:t>
            </w:r>
            <w:r>
              <w:rPr>
                <w:rFonts w:hint="eastAsia" w:ascii="宋体" w:hAnsi="宋体" w:eastAsia="宋体" w:cs="宋体"/>
                <w:sz w:val="24"/>
                <w:szCs w:val="24"/>
                <w:lang w:eastAsia="zh-CN"/>
              </w:rPr>
              <w:t xml:space="preserve">及</w:t>
            </w:r>
            <w:r>
              <w:rPr>
                <w:rFonts w:hint="eastAsia" w:ascii="宋体" w:hAnsi="宋体" w:eastAsia="宋体" w:cs="宋体"/>
                <w:sz w:val="24"/>
                <w:szCs w:val="24"/>
              </w:rPr>
              <w:t xml:space="preserve">应急方案内容进行综合评分，方案内容描述全面合理符合采购需求的得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分，每有一项内容缺失的扣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分；每有一项内容存在缺陷或不满足要求的扣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w:t>
            </w:r>
            <w:r/>
          </w:p>
          <w:p>
            <w:pPr>
              <w:ind w:left="0" w:right="0"/>
              <w:jc w:val="both"/>
              <w:keepLines w:val="0"/>
              <w:keepNext w:val="0"/>
              <w:pageBreakBefore w:val="0"/>
              <w:spacing w:line="400" w:lineRule="exact"/>
              <w:rPr>
                <w:rFonts w:hint="eastAsia"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b/>
                <w:bCs/>
                <w:sz w:val="24"/>
                <w:szCs w:val="24"/>
                <w:lang w:val="en-US" w:eastAsia="zh-CN"/>
              </w:rPr>
            </w:pPr>
            <w:r>
              <w:rPr>
                <w:rFonts w:hint="eastAsia" w:ascii="宋体" w:hAnsi="宋体" w:eastAsia="宋体" w:cs="Times New Roman"/>
                <w:sz w:val="24"/>
                <w:szCs w:val="24"/>
                <w:lang w:val="en-US" w:eastAsia="zh-CN"/>
              </w:rPr>
              <w:t xml:space="preserve">8</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4"/>
            <w:tcBorders>
              <w:top w:val="single" w:color="auto" w:sz="6" w:space="0"/>
              <w:left w:val="single" w:color="auto" w:sz="6" w:space="0"/>
              <w:bottom w:val="single" w:color="auto" w:sz="6" w:space="0"/>
              <w:right w:val="single" w:color="auto" w:sz="8" w:space="0"/>
            </w:tcBorders>
            <w:tcW w:w="8779" w:type="dxa"/>
            <w:vAlign w:val="center"/>
            <w:textDirection w:val="lrTb"/>
            <w:noWrap w:val="false"/>
          </w:tcPr>
          <w:p>
            <w:pPr>
              <w:ind w:left="0" w:right="0"/>
              <w:jc w:val="both"/>
              <w:keepLines w:val="0"/>
              <w:keepNext w:val="0"/>
              <w:pageBreakBefore w:val="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对本项目涉及的相关功能（以下2.7项）提供目前正在运行的真实环境或模拟环境的录屏演示（可配语音讲解，不得使用PPT形式、截图形式等其他形式演示）。于本项目开标时间前将视频文件分段以压缩包文件格式（zip格式）上传提交，文件上传方式见《操作手册》规定，上传的演示视频将作为投标文件的组成部分。</w:t>
            </w:r>
            <w:r/>
          </w:p>
          <w:p>
            <w:pPr>
              <w:ind w:left="0" w:right="0"/>
              <w:jc w:val="both"/>
              <w:keepLines w:val="0"/>
              <w:keepNext w:val="0"/>
              <w:pageBreakBefore w:val="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录制时长：不得超过10分钟</w:t>
            </w:r>
            <w:r/>
          </w:p>
          <w:p>
            <w:pPr>
              <w:ind w:left="0" w:right="0"/>
              <w:jc w:val="both"/>
              <w:keepLines w:val="0"/>
              <w:keepNext w:val="0"/>
              <w:pageBreakBefore w:val="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演示视频格式：mp4、avi</w:t>
            </w:r>
            <w:r/>
          </w:p>
          <w:p>
            <w:pPr>
              <w:ind w:left="0" w:right="0"/>
              <w:jc w:val="both"/>
              <w:keepLines w:val="0"/>
              <w:keepNext w:val="0"/>
              <w:pageBreakBefore w:val="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演示视频大小：单个视频压缩包大小不得超过50M,整体不得超过300M</w:t>
            </w:r>
            <w:r/>
          </w:p>
          <w:p>
            <w:pPr>
              <w:ind w:left="0" w:right="0"/>
              <w:jc w:val="both"/>
              <w:keepLines w:val="0"/>
              <w:keepNext w:val="0"/>
              <w:pageBreakBefore w:val="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未按要求提交的本项不得分。</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sz w:val="24"/>
                <w:szCs w:val="24"/>
                <w:lang w:eastAsia="zh-CN"/>
              </w:rPr>
            </w:pPr>
            <w:r>
              <w:rPr>
                <w:rFonts w:hint="eastAsia" w:ascii="宋体" w:hAnsi="宋体" w:eastAsia="宋体"/>
                <w:sz w:val="24"/>
                <w:szCs w:val="24"/>
              </w:rPr>
              <w:t xml:space="preserve">2.</w:t>
            </w:r>
            <w:r>
              <w:rPr>
                <w:rFonts w:hint="eastAsia" w:ascii="宋体" w:hAnsi="宋体" w:eastAsia="宋体"/>
                <w:sz w:val="24"/>
                <w:szCs w:val="24"/>
                <w:lang w:val="en-US" w:eastAsia="zh-CN"/>
              </w:rPr>
              <w:t xml:space="preserve">7</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b/>
                <w:bCs/>
                <w:sz w:val="24"/>
                <w:szCs w:val="24"/>
              </w:rPr>
            </w:pPr>
            <w:r>
              <w:rPr>
                <w:rFonts w:hint="eastAsia" w:ascii="宋体" w:hAnsi="宋体" w:eastAsia="宋体" w:cstheme="minorBidi"/>
                <w:sz w:val="24"/>
                <w:szCs w:val="24"/>
                <w:lang w:val="en-US" w:eastAsia="zh-CN" w:bidi="ar-SA"/>
              </w:rPr>
              <w:t xml:space="preserve">系统演示</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pStyle w:val="1004"/>
              <w:numPr>
                <w:ilvl w:val="0"/>
                <w:numId w:val="0"/>
              </w:numPr>
              <w:ind w:right="0"/>
              <w:jc w:val="both"/>
              <w:keepLines w:val="0"/>
              <w:keepNext w:val="0"/>
              <w:pageBreakBefore w:val="0"/>
              <w:spacing w:line="400" w:lineRule="exact"/>
              <w:rPr>
                <w:rFonts w:hint="eastAsia" w:ascii="宋体" w:hAnsi="宋体" w:eastAsia="宋体" w:cstheme="minorBidi"/>
                <w:sz w:val="24"/>
                <w:szCs w:val="24"/>
                <w:lang w:val="en-US" w:eastAsia="zh-CN" w:bidi="ar-SA"/>
              </w:rPr>
            </w:pPr>
            <w:r>
              <w:rPr>
                <w:rFonts w:hint="eastAsia" w:ascii="宋体" w:hAnsi="宋体" w:eastAsia="宋体" w:cstheme="minorBidi"/>
                <w:sz w:val="24"/>
                <w:szCs w:val="24"/>
                <w:lang w:val="en-US" w:eastAsia="zh-CN" w:bidi="ar-SA"/>
              </w:rPr>
              <w:t xml:space="preserve">①职工管理模块（2分）：</w:t>
            </w:r>
            <w:r/>
          </w:p>
          <w:p>
            <w:pPr>
              <w:pStyle w:val="1004"/>
              <w:numPr>
                <w:ilvl w:val="0"/>
                <w:numId w:val="0"/>
              </w:numPr>
              <w:ind w:left="0" w:right="0"/>
              <w:jc w:val="both"/>
              <w:keepLines w:val="0"/>
              <w:keepNext w:val="0"/>
              <w:pageBreakBefore w:val="0"/>
              <w:spacing w:line="400" w:lineRule="exact"/>
              <w:rPr>
                <w:rFonts w:hint="eastAsia" w:ascii="宋体" w:hAnsi="宋体" w:eastAsia="宋体" w:cstheme="minorBidi"/>
                <w:sz w:val="24"/>
                <w:szCs w:val="24"/>
                <w:lang w:val="en-US" w:eastAsia="zh-CN" w:bidi="ar-SA"/>
              </w:rPr>
            </w:pPr>
            <w:r>
              <w:rPr>
                <w:rFonts w:hint="eastAsia" w:ascii="宋体" w:hAnsi="宋体" w:eastAsia="宋体" w:cstheme="minorBidi"/>
                <w:sz w:val="24"/>
                <w:szCs w:val="24"/>
                <w:lang w:val="en-US" w:eastAsia="zh-CN" w:bidi="ar-SA"/>
              </w:rPr>
              <w:t xml:space="preserve">支持员工档案数据质量校验功能，从完整性（关键信息缺失）、合规性（时间连续性）、准确性（工龄与出生日期一致）进行校验，并在职工概要面板上可显示职工信息档案完整度情况，以及提供人才比对功能，例如：可设置人才比对方案，从学历信息、履职经历、领导力素质等多维度自定义关键信息项进行比对。 </w:t>
            </w:r>
            <w:r/>
          </w:p>
          <w:p>
            <w:pPr>
              <w:pStyle w:val="1004"/>
              <w:numPr>
                <w:ilvl w:val="0"/>
                <w:numId w:val="0"/>
              </w:numPr>
              <w:ind w:right="0"/>
              <w:jc w:val="both"/>
              <w:keepLines w:val="0"/>
              <w:keepNext w:val="0"/>
              <w:pageBreakBefore w:val="0"/>
              <w:spacing w:line="400" w:lineRule="exact"/>
              <w:rPr>
                <w:rFonts w:hint="eastAsia" w:ascii="宋体" w:hAnsi="宋体" w:eastAsia="宋体" w:cstheme="minorBidi"/>
                <w:sz w:val="24"/>
                <w:szCs w:val="24"/>
                <w:lang w:val="en-US" w:eastAsia="zh-CN" w:bidi="ar-SA"/>
              </w:rPr>
            </w:pPr>
            <w:r>
              <w:rPr>
                <w:rFonts w:hint="eastAsia" w:ascii="宋体" w:hAnsi="宋体" w:eastAsia="宋体" w:cstheme="minorBidi"/>
                <w:sz w:val="24"/>
                <w:szCs w:val="24"/>
                <w:lang w:val="en-US" w:eastAsia="zh-CN" w:bidi="ar-SA"/>
              </w:rPr>
              <w:t xml:space="preserve">②考勤管理模块（2分）：</w:t>
            </w:r>
            <w:r/>
          </w:p>
          <w:p>
            <w:pPr>
              <w:pStyle w:val="1004"/>
              <w:numPr>
                <w:ilvl w:val="0"/>
                <w:numId w:val="0"/>
              </w:numPr>
              <w:ind w:left="0" w:right="0"/>
              <w:jc w:val="both"/>
              <w:keepLines w:val="0"/>
              <w:keepNext w:val="0"/>
              <w:pageBreakBefore w:val="0"/>
              <w:spacing w:line="400" w:lineRule="exact"/>
              <w:rPr>
                <w:rFonts w:hint="eastAsia" w:ascii="宋体" w:hAnsi="宋体" w:eastAsia="宋体" w:cstheme="minorBidi"/>
                <w:sz w:val="24"/>
                <w:szCs w:val="24"/>
                <w:lang w:val="en-US" w:eastAsia="zh-CN" w:bidi="ar-SA"/>
              </w:rPr>
            </w:pPr>
            <w:r>
              <w:rPr>
                <w:rFonts w:hint="eastAsia" w:ascii="宋体" w:hAnsi="宋体" w:eastAsia="宋体" w:cstheme="minorBidi"/>
                <w:sz w:val="24"/>
                <w:szCs w:val="24"/>
                <w:lang w:val="en-US" w:eastAsia="zh-CN" w:bidi="ar-SA"/>
              </w:rPr>
              <w:t xml:space="preserve">灵活定义考勤项目、规则，支持不同岗位的统计需要，考勤方案创建时可拖动调整班次顺序以及支持假期额度到期提醒（年假、育儿假等），能过滤特定人员（如领导）。</w:t>
            </w:r>
            <w:r/>
          </w:p>
          <w:p>
            <w:pPr>
              <w:pStyle w:val="1004"/>
              <w:numPr>
                <w:ilvl w:val="0"/>
                <w:numId w:val="0"/>
              </w:numPr>
              <w:ind w:right="0"/>
              <w:jc w:val="both"/>
              <w:keepLines w:val="0"/>
              <w:keepNext w:val="0"/>
              <w:pageBreakBefore w:val="0"/>
              <w:spacing w:line="400" w:lineRule="exact"/>
              <w:rPr>
                <w:rFonts w:hint="eastAsia" w:ascii="宋体" w:hAnsi="宋体" w:eastAsia="宋体" w:cstheme="minorBidi"/>
                <w:sz w:val="24"/>
                <w:szCs w:val="24"/>
                <w:lang w:val="en-US" w:eastAsia="zh-CN" w:bidi="ar-SA"/>
              </w:rPr>
            </w:pPr>
            <w:r>
              <w:rPr>
                <w:rFonts w:hint="eastAsia" w:ascii="宋体" w:hAnsi="宋体" w:eastAsia="宋体" w:cstheme="minorBidi"/>
                <w:sz w:val="24"/>
                <w:szCs w:val="24"/>
                <w:lang w:val="en-US" w:eastAsia="zh-CN" w:bidi="ar-SA"/>
              </w:rPr>
              <w:t xml:space="preserve">③职称管理模块（2分）：</w:t>
            </w:r>
            <w:r/>
          </w:p>
          <w:p>
            <w:pPr>
              <w:pStyle w:val="1004"/>
              <w:numPr>
                <w:ilvl w:val="0"/>
                <w:numId w:val="0"/>
              </w:numPr>
              <w:ind w:left="0" w:right="0"/>
              <w:jc w:val="both"/>
              <w:keepLines w:val="0"/>
              <w:keepNext w:val="0"/>
              <w:pageBreakBefore w:val="0"/>
              <w:spacing w:line="400" w:lineRule="exact"/>
              <w:rPr>
                <w:rFonts w:hint="eastAsia" w:ascii="宋体" w:hAnsi="宋体" w:eastAsia="宋体" w:cstheme="minorBidi"/>
                <w:sz w:val="24"/>
                <w:szCs w:val="24"/>
                <w:lang w:val="en-US" w:eastAsia="zh-CN" w:bidi="ar-SA"/>
              </w:rPr>
            </w:pPr>
            <w:r>
              <w:rPr>
                <w:rFonts w:hint="eastAsia" w:ascii="宋体" w:hAnsi="宋体" w:eastAsia="宋体" w:cstheme="minorBidi"/>
                <w:sz w:val="24"/>
                <w:szCs w:val="24"/>
                <w:lang w:val="en-US" w:eastAsia="zh-CN" w:bidi="ar-SA"/>
              </w:rPr>
              <w:t xml:space="preserve">支持职称聘任全流程线上管理，且能根据医院评分方案、评分标准，系统可依据预设计算公式自动评估每篇论文、项目等科研成果的得分、级别，生成科研成果指标的综合得分。</w:t>
            </w:r>
            <w:r/>
          </w:p>
          <w:p>
            <w:pPr>
              <w:pStyle w:val="1004"/>
              <w:numPr>
                <w:ilvl w:val="0"/>
                <w:numId w:val="0"/>
              </w:numPr>
              <w:ind w:right="0"/>
              <w:jc w:val="both"/>
              <w:keepLines w:val="0"/>
              <w:keepNext w:val="0"/>
              <w:pageBreakBefore w:val="0"/>
              <w:spacing w:line="400" w:lineRule="exact"/>
              <w:rPr>
                <w:rFonts w:hint="eastAsia" w:ascii="宋体" w:hAnsi="宋体" w:eastAsia="宋体" w:cstheme="minorBidi"/>
                <w:sz w:val="24"/>
                <w:szCs w:val="24"/>
                <w:lang w:val="en-US" w:eastAsia="zh-CN" w:bidi="ar-SA"/>
              </w:rPr>
            </w:pPr>
            <w:r>
              <w:rPr>
                <w:rFonts w:hint="eastAsia" w:ascii="宋体" w:hAnsi="宋体" w:eastAsia="宋体" w:cstheme="minorBidi"/>
                <w:sz w:val="24"/>
                <w:szCs w:val="24"/>
                <w:lang w:val="en-US" w:eastAsia="zh-CN" w:bidi="ar-SA"/>
              </w:rPr>
              <w:t xml:space="preserve">④招聘管理模块（2分）：</w:t>
            </w:r>
            <w:r/>
          </w:p>
          <w:p>
            <w:pPr>
              <w:pStyle w:val="1004"/>
              <w:numPr>
                <w:ilvl w:val="0"/>
                <w:numId w:val="0"/>
              </w:numPr>
              <w:ind w:left="0" w:right="0"/>
              <w:jc w:val="both"/>
              <w:keepLines w:val="0"/>
              <w:keepNext w:val="0"/>
              <w:pageBreakBefore w:val="0"/>
              <w:spacing w:line="400" w:lineRule="exact"/>
              <w:rPr>
                <w:rFonts w:hint="eastAsia" w:ascii="宋体" w:hAnsi="宋体" w:eastAsia="宋体" w:cstheme="minorBidi"/>
                <w:sz w:val="24"/>
                <w:szCs w:val="24"/>
                <w:lang w:val="en-US" w:eastAsia="zh-CN" w:bidi="ar-SA"/>
              </w:rPr>
            </w:pPr>
            <w:r>
              <w:rPr>
                <w:rFonts w:hint="eastAsia" w:ascii="宋体" w:hAnsi="宋体" w:eastAsia="宋体" w:cstheme="minorBidi"/>
                <w:sz w:val="24"/>
                <w:szCs w:val="24"/>
                <w:lang w:val="en-US" w:eastAsia="zh-CN" w:bidi="ar-SA"/>
              </w:rPr>
              <w:t xml:space="preserve">支持针对不同招聘类别，制定不同的招聘流程，灵活定义流程中各种环节及环节中所需的状态和操作，以及支持搭建自定义招聘管理门户，门户中能展示招聘业务统计数据、招聘漏斗图、以及招聘进展跟踪表等。</w:t>
            </w:r>
            <w:r/>
          </w:p>
          <w:p>
            <w:pPr>
              <w:pStyle w:val="1004"/>
              <w:ind w:firstLine="0"/>
              <w:spacing w:line="400" w:lineRule="exact"/>
              <w:rPr>
                <w:rFonts w:hint="eastAsia" w:ascii="宋体" w:hAnsi="宋体" w:eastAsia="宋体" w:cstheme="minorBidi"/>
                <w:sz w:val="24"/>
                <w:szCs w:val="24"/>
                <w:lang w:val="en-US" w:eastAsia="zh-CN" w:bidi="ar-SA"/>
              </w:rPr>
            </w:pPr>
            <w:r>
              <w:rPr>
                <w:rFonts w:hint="eastAsia" w:ascii="宋体" w:hAnsi="宋体"/>
                <w:b/>
                <w:bCs/>
                <w:sz w:val="24"/>
                <w:szCs w:val="24"/>
                <w:lang w:eastAsia="zh-CN"/>
              </w:rPr>
              <w:t xml:space="preserve">要求：</w:t>
            </w:r>
            <w:r>
              <w:rPr>
                <w:rFonts w:hint="eastAsia" w:ascii="宋体" w:hAnsi="宋体"/>
                <w:b/>
                <w:bCs/>
                <w:sz w:val="24"/>
                <w:szCs w:val="24"/>
              </w:rPr>
              <w:t xml:space="preserve">能正确完整地演示</w:t>
            </w:r>
            <w:r>
              <w:rPr>
                <w:rFonts w:hint="eastAsia" w:ascii="宋体" w:hAnsi="宋体"/>
                <w:b/>
                <w:bCs/>
                <w:sz w:val="24"/>
                <w:szCs w:val="24"/>
                <w:lang w:eastAsia="zh-CN"/>
              </w:rPr>
              <w:t xml:space="preserve">①②③④各模块所述</w:t>
            </w:r>
            <w:r>
              <w:rPr>
                <w:rFonts w:hint="eastAsia" w:ascii="宋体" w:hAnsi="宋体"/>
                <w:b/>
                <w:bCs/>
                <w:sz w:val="24"/>
                <w:szCs w:val="24"/>
              </w:rPr>
              <w:t xml:space="preserve">所有内容的</w:t>
            </w:r>
            <w:r>
              <w:rPr>
                <w:rFonts w:hint="eastAsia" w:ascii="宋体" w:hAnsi="宋体"/>
                <w:b/>
                <w:bCs/>
                <w:sz w:val="24"/>
                <w:szCs w:val="24"/>
                <w:lang w:eastAsia="zh-CN"/>
              </w:rPr>
              <w:t xml:space="preserve">各</w:t>
            </w:r>
            <w:r>
              <w:rPr>
                <w:rFonts w:hint="eastAsia" w:ascii="宋体" w:hAnsi="宋体"/>
                <w:b/>
                <w:bCs/>
                <w:sz w:val="24"/>
                <w:szCs w:val="24"/>
              </w:rPr>
              <w:t xml:space="preserve">得2分；否则不得分。</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b/>
                <w:bCs/>
                <w:sz w:val="24"/>
                <w:szCs w:val="24"/>
                <w:lang w:val="en-US" w:eastAsia="zh-CN"/>
              </w:rPr>
            </w:pPr>
            <w:r>
              <w:rPr>
                <w:rFonts w:hint="eastAsia" w:ascii="宋体" w:hAnsi="宋体" w:eastAsia="宋体" w:cs="Times New Roman"/>
                <w:sz w:val="24"/>
                <w:szCs w:val="24"/>
                <w:lang w:val="en-US" w:eastAsia="zh-CN"/>
              </w:rPr>
              <w:t xml:space="preserve">8</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ind w:left="0" w:right="0"/>
              <w:jc w:val="both"/>
              <w:keepLines w:val="0"/>
              <w:keepNext w:val="0"/>
              <w:pageBreakBefore w:val="0"/>
              <w:spacing w:line="400" w:lineRule="exact"/>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三、商务部分</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30分</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p>
          <w:p>
            <w:pPr>
              <w:ind w:left="0" w:right="0"/>
              <w:jc w:val="both"/>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cs="Times New Roman"/>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综合实力</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ind w:left="0" w:right="0"/>
              <w:jc w:val="both"/>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投标人具有</w:t>
            </w:r>
            <w:r>
              <w:rPr>
                <w:rFonts w:hint="eastAsia" w:ascii="宋体" w:hAnsi="宋体" w:eastAsia="宋体" w:cs="宋体"/>
                <w:color w:val="000000" w:themeColor="text1"/>
                <w:sz w:val="24"/>
                <w:szCs w:val="24"/>
                <w14:textFill>
                  <w14:solidFill>
                    <w14:schemeClr w14:val="tx1"/>
                  </w14:solidFill>
                </w14:textFill>
              </w:rPr>
              <w:t xml:space="preserve">①ISO45001职业健康安全管理体系认证证书、②ISO20000信息技术服务管理体系认证证书、③ISO14001环境管理体系认证证书、④ISO27017信息安全管理体系认证，有一项得2分，最高得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ind w:left="0" w:right="0"/>
              <w:jc w:val="both"/>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b/>
                <w:bCs/>
                <w:sz w:val="24"/>
                <w:szCs w:val="24"/>
                <w:lang w:val="en-US" w:eastAsia="zh-CN"/>
              </w:rPr>
            </w:pPr>
            <w:r>
              <w:rPr>
                <w:rFonts w:hint="eastAsia" w:ascii="宋体" w:hAnsi="宋体" w:eastAsia="宋体" w:cs="Times New Roman"/>
                <w:sz w:val="24"/>
                <w:szCs w:val="24"/>
                <w:lang w:val="en-US" w:eastAsia="zh-CN"/>
              </w:rPr>
              <w:t xml:space="preserve">8</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cs="仿宋"/>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软件著作权</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ind w:left="0" w:right="0"/>
              <w:jc w:val="both"/>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投标人具有与本项目相关的计算机软件著作权登记证书的，有一个得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分，最高得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ind w:left="0" w:right="0"/>
              <w:jc w:val="both"/>
              <w:keepLines w:val="0"/>
              <w:keepNext w:val="0"/>
              <w:pageBreakBefore w:val="0"/>
              <w:spacing w:line="400" w:lineRule="exact"/>
              <w:rPr>
                <w:rFonts w:hint="eastAsia" w:ascii="宋体" w:hAnsi="宋体" w:eastAsia="宋体" w:cs="仿宋"/>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（须提供证书扫描件）</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eastAsia" w:ascii="宋体" w:hAnsi="宋体" w:eastAsia="宋体"/>
                <w:b/>
                <w:bCs/>
                <w:sz w:val="24"/>
                <w:szCs w:val="24"/>
                <w:lang w:val="en-US" w:eastAsia="zh-CN"/>
              </w:rPr>
            </w:pPr>
            <w:r>
              <w:rPr>
                <w:rFonts w:hint="eastAsia" w:ascii="宋体" w:hAnsi="宋体" w:eastAsia="宋体" w:cs="Times New Roman"/>
                <w:sz w:val="24"/>
                <w:szCs w:val="24"/>
                <w:lang w:val="en-US" w:eastAsia="zh-CN"/>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ind w:left="0" w:right="0"/>
              <w:jc w:val="both"/>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2023年1月1日以来（以合同签订时间为准），投标人具有同类项目业绩的，有一个得1分，最高得6分。</w:t>
            </w:r>
            <w:r>
              <w:rPr>
                <w:rFonts w:hint="eastAsia" w:ascii="宋体" w:hAnsi="宋体" w:eastAsia="宋体" w:cs="宋体"/>
                <w:b/>
                <w:bCs/>
                <w:color w:val="000000" w:themeColor="text1"/>
                <w:sz w:val="24"/>
                <w:szCs w:val="24"/>
                <w14:textFill>
                  <w14:solidFill>
                    <w14:schemeClr w14:val="tx1"/>
                  </w14:solidFill>
                </w14:textFill>
              </w:rPr>
              <w:t xml:space="preserve">（须提供合同及项目验收报告扫描件，且合同名称中需包含人力资源管理系统相关名称)</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b/>
                <w:bCs/>
                <w:color w:val="000000" w:themeColor="text1"/>
                <w:sz w:val="24"/>
                <w:szCs w:val="24"/>
                <w14:textFill>
                  <w14:solidFill>
                    <w14:schemeClr w14:val="tx1"/>
                  </w14:solidFill>
                </w14:textFill>
              </w:rPr>
            </w:pPr>
            <w:r>
              <w:rPr>
                <w:rFonts w:hint="eastAsia" w:ascii="宋体" w:hAnsi="宋体" w:eastAsia="宋体" w:cs="Times New Roman"/>
                <w:sz w:val="24"/>
                <w:szCs w:val="24"/>
                <w:lang w:val="en-US" w:eastAsia="zh-CN"/>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项目负责人</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ind w:left="0" w:right="0"/>
              <w:jc w:val="both"/>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投标人为本项目配备的项目</w:t>
            </w:r>
            <w:r>
              <w:rPr>
                <w:rFonts w:hint="eastAsia" w:ascii="宋体" w:hAnsi="宋体" w:eastAsia="宋体" w:cs="宋体"/>
                <w:color w:val="000000" w:themeColor="text1"/>
                <w:sz w:val="24"/>
                <w:szCs w:val="24"/>
                <w:lang w:eastAsia="zh-CN"/>
                <w14:textFill>
                  <w14:solidFill>
                    <w14:schemeClr w14:val="tx1"/>
                  </w14:solidFill>
                </w14:textFill>
              </w:rPr>
              <w:t xml:space="preserve">负责人</w:t>
            </w:r>
            <w:r>
              <w:rPr>
                <w:rFonts w:hint="eastAsia" w:ascii="宋体" w:hAnsi="宋体" w:eastAsia="宋体" w:cs="宋体"/>
                <w:color w:val="000000" w:themeColor="text1"/>
                <w:sz w:val="24"/>
                <w:szCs w:val="24"/>
                <w14:textFill>
                  <w14:solidFill>
                    <w14:schemeClr w14:val="tx1"/>
                  </w14:solidFill>
                </w14:textFill>
              </w:rPr>
              <w:t xml:space="preserve">具有①信息系统项目管理师（高级）证书的、②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人力资源管理师</w:t>
            </w:r>
            <w:r>
              <w:rPr>
                <w:rFonts w:hint="eastAsia" w:ascii="宋体" w:hAnsi="宋体" w:eastAsia="宋体" w:cs="宋体"/>
                <w:color w:val="000000" w:themeColor="text1"/>
                <w:sz w:val="24"/>
                <w:szCs w:val="24"/>
                <w:highlight w:val="none"/>
                <w14:textFill>
                  <w14:solidFill>
                    <w14:schemeClr w14:val="tx1"/>
                  </w14:solidFill>
                </w14:textFill>
              </w:rPr>
              <w:t xml:space="preserve">证书的</w:t>
            </w:r>
            <w:r>
              <w:rPr>
                <w:rFonts w:hint="eastAsia" w:ascii="宋体" w:hAnsi="宋体" w:eastAsia="宋体" w:cs="宋体"/>
                <w:color w:val="000000" w:themeColor="text1"/>
                <w:sz w:val="24"/>
                <w:szCs w:val="24"/>
                <w14:textFill>
                  <w14:solidFill>
                    <w14:schemeClr w14:val="tx1"/>
                  </w14:solidFill>
                </w14:textFill>
              </w:rPr>
              <w:t xml:space="preserve">，有一项得3分，最高得6分。</w:t>
            </w:r>
            <w:r/>
          </w:p>
          <w:p>
            <w:pPr>
              <w:ind w:left="0" w:right="0"/>
              <w:jc w:val="both"/>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须提供证书扫描件</w:t>
            </w:r>
            <w:r>
              <w:rPr>
                <w:rFonts w:hint="eastAsia" w:ascii="宋体" w:hAnsi="宋体" w:eastAsia="宋体" w:cs="宋体"/>
                <w:b/>
                <w:bCs/>
                <w:color w:val="000000" w:themeColor="text1"/>
                <w:sz w:val="24"/>
                <w:szCs w:val="24"/>
                <w:lang w:eastAsia="zh-CN"/>
                <w14:textFill>
                  <w14:solidFill>
                    <w14:schemeClr w14:val="tx1"/>
                  </w14:solidFill>
                </w14:textFill>
              </w:rPr>
              <w:t xml:space="preserve">及</w:t>
            </w:r>
            <w:r>
              <w:rPr>
                <w:rFonts w:hint="eastAsia" w:ascii="宋体" w:hAnsi="宋体" w:cs="宋体"/>
                <w:b/>
                <w:bCs/>
                <w:sz w:val="24"/>
                <w:szCs w:val="24"/>
              </w:rPr>
              <w:t xml:space="preserve">本单位近3个月（含投标当月）中任意1个月份为其缴纳社保的证明扫描件</w:t>
            </w:r>
            <w:r>
              <w:rPr>
                <w:rFonts w:hint="eastAsia" w:ascii="宋体" w:hAnsi="宋体" w:eastAsia="宋体" w:cs="宋体"/>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b/>
                <w:bCs/>
                <w:color w:val="000000" w:themeColor="text1"/>
                <w:sz w:val="24"/>
                <w:szCs w:val="24"/>
                <w14:textFill>
                  <w14:solidFill>
                    <w14:schemeClr w14:val="tx1"/>
                  </w14:solidFill>
                </w14:textFill>
              </w:rPr>
            </w:pPr>
            <w:r>
              <w:rPr>
                <w:rFonts w:hint="eastAsia" w:ascii="宋体" w:hAnsi="宋体" w:eastAsia="宋体" w:cs="Times New Roman"/>
                <w:sz w:val="24"/>
                <w:szCs w:val="24"/>
                <w:lang w:val="en-US" w:eastAsia="zh-CN"/>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ind w:left="0" w:right="0"/>
              <w:jc w:val="both"/>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ind w:left="0" w:right="0"/>
              <w:jc w:val="center"/>
              <w:keepLines w:val="0"/>
              <w:keepNext w:val="0"/>
              <w:pageBreakBefore w:val="0"/>
              <w:spacing w:line="40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ind w:left="0" w:right="0"/>
              <w:jc w:val="both"/>
              <w:keepLines w:val="0"/>
              <w:keepNext w:val="0"/>
              <w:pageBreakBefore w:val="0"/>
              <w:spacing w:line="400" w:lineRule="exact"/>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项目组其他成员</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ind w:left="0" w:right="0"/>
              <w:jc w:val="both"/>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投标人为本项目配备的</w:t>
            </w:r>
            <w:r>
              <w:rPr>
                <w:rFonts w:hint="eastAsia" w:ascii="宋体" w:hAnsi="宋体" w:eastAsia="宋体"/>
                <w:bCs/>
                <w:color w:val="000000" w:themeColor="text1"/>
                <w:sz w:val="24"/>
                <w:szCs w:val="24"/>
                <w14:textFill>
                  <w14:solidFill>
                    <w14:schemeClr w14:val="tx1"/>
                  </w14:solidFill>
                </w14:textFill>
              </w:rPr>
              <w:t xml:space="preserve">项目组其他成员（项目负责人除外）</w:t>
            </w:r>
            <w:r>
              <w:rPr>
                <w:rFonts w:hint="eastAsia" w:ascii="宋体" w:hAnsi="宋体" w:eastAsia="宋体" w:cs="宋体"/>
                <w:color w:val="000000" w:themeColor="text1"/>
                <w:sz w:val="24"/>
                <w:szCs w:val="24"/>
                <w14:textFill>
                  <w14:solidFill>
                    <w14:schemeClr w14:val="tx1"/>
                  </w14:solidFill>
                </w14:textFill>
              </w:rPr>
              <w:t xml:space="preserve">，具有</w:t>
            </w:r>
            <w:r>
              <w:rPr>
                <w:rFonts w:hint="eastAsia" w:ascii="微软雅黑" w:hAnsi="微软雅黑" w:eastAsia="微软雅黑" w:cs="微软雅黑"/>
                <w:color w:val="000000" w:themeColor="text1"/>
                <w:sz w:val="24"/>
                <w:szCs w:val="24"/>
                <w14:textFill>
                  <w14:solidFill>
                    <w14:schemeClr w14:val="tx1"/>
                  </w14:solidFill>
                </w14:textFill>
              </w:rPr>
              <w:t xml:space="preserve">①</w:t>
            </w:r>
            <w:r>
              <w:rPr>
                <w:rFonts w:hint="eastAsia" w:ascii="宋体" w:hAnsi="宋体" w:eastAsia="宋体" w:cs="宋体"/>
                <w:color w:val="000000" w:themeColor="text1"/>
                <w:sz w:val="24"/>
                <w:szCs w:val="24"/>
                <w14:textFill>
                  <w14:solidFill>
                    <w14:schemeClr w14:val="tx1"/>
                  </w14:solidFill>
                </w14:textFill>
              </w:rPr>
              <w:t xml:space="preserve">人力资源管理师证书、</w:t>
            </w:r>
            <w:r>
              <w:rPr>
                <w:rFonts w:hint="eastAsia" w:ascii="微软雅黑" w:hAnsi="微软雅黑" w:eastAsia="微软雅黑" w:cs="微软雅黑"/>
                <w:color w:val="000000" w:themeColor="text1"/>
                <w:sz w:val="24"/>
                <w:szCs w:val="24"/>
                <w14:textFill>
                  <w14:solidFill>
                    <w14:schemeClr w14:val="tx1"/>
                  </w14:solidFill>
                </w14:textFill>
              </w:rPr>
              <w:t xml:space="preserve">②</w:t>
            </w:r>
            <w:r>
              <w:rPr>
                <w:rFonts w:hint="eastAsia" w:ascii="宋体" w:hAnsi="宋体" w:eastAsia="宋体" w:cs="宋体"/>
                <w:color w:val="000000" w:themeColor="text1"/>
                <w:sz w:val="24"/>
                <w:szCs w:val="24"/>
                <w14:textFill>
                  <w14:solidFill>
                    <w14:schemeClr w14:val="tx1"/>
                  </w14:solidFill>
                </w14:textFill>
              </w:rPr>
              <w:t xml:space="preserve">软件设计师证书、</w:t>
            </w:r>
            <w:r>
              <w:rPr>
                <w:rFonts w:hint="eastAsia" w:ascii="微软雅黑" w:hAnsi="微软雅黑" w:eastAsia="微软雅黑" w:cs="微软雅黑"/>
                <w:color w:val="000000" w:themeColor="text1"/>
                <w:sz w:val="24"/>
                <w:szCs w:val="24"/>
                <w14:textFill>
                  <w14:solidFill>
                    <w14:schemeClr w14:val="tx1"/>
                  </w14:solidFill>
                </w14:textFill>
              </w:rPr>
              <w:t xml:space="preserve">③</w:t>
            </w:r>
            <w:r>
              <w:rPr>
                <w:rFonts w:hint="eastAsia" w:ascii="宋体" w:hAnsi="宋体" w:eastAsia="宋体" w:cs="宋体"/>
                <w:color w:val="000000" w:themeColor="text1"/>
                <w:sz w:val="24"/>
                <w:szCs w:val="24"/>
                <w14:textFill>
                  <w14:solidFill>
                    <w14:schemeClr w14:val="tx1"/>
                  </w14:solidFill>
                </w14:textFill>
              </w:rPr>
              <w:t xml:space="preserve">系统集成项目管理工程师证书的，有一项得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分，最高得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p>
          <w:p>
            <w:pPr>
              <w:ind w:left="0" w:right="0"/>
              <w:jc w:val="both"/>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同一人员多张证书不重复得分。</w:t>
            </w:r>
            <w:r>
              <w:rPr>
                <w:rFonts w:hint="eastAsia" w:ascii="宋体" w:hAnsi="宋体" w:eastAsia="宋体" w:cs="宋体"/>
                <w:b/>
                <w:bCs/>
                <w:color w:val="000000" w:themeColor="text1"/>
                <w:sz w:val="24"/>
                <w:szCs w:val="24"/>
                <w:lang w:eastAsia="zh-CN"/>
                <w14:textFill>
                  <w14:solidFill>
                    <w14:schemeClr w14:val="tx1"/>
                  </w14:solidFill>
                </w14:textFill>
              </w:rPr>
              <w:t xml:space="preserve">须提供人员名单、</w:t>
            </w:r>
            <w:r>
              <w:rPr>
                <w:rFonts w:hint="eastAsia" w:ascii="宋体" w:hAnsi="宋体" w:eastAsia="宋体" w:cs="宋体"/>
                <w:b/>
                <w:bCs/>
                <w:color w:val="000000" w:themeColor="text1"/>
                <w:sz w:val="24"/>
                <w:szCs w:val="24"/>
                <w14:textFill>
                  <w14:solidFill>
                    <w14:schemeClr w14:val="tx1"/>
                  </w14:solidFill>
                </w14:textFill>
              </w:rPr>
              <w:t xml:space="preserve">提供证书扫描件</w:t>
            </w:r>
            <w:r>
              <w:rPr>
                <w:rFonts w:hint="eastAsia" w:ascii="宋体" w:hAnsi="宋体" w:eastAsia="宋体" w:cs="宋体"/>
                <w:b/>
                <w:bCs/>
                <w:color w:val="000000" w:themeColor="text1"/>
                <w:sz w:val="24"/>
                <w:szCs w:val="24"/>
                <w:lang w:eastAsia="zh-CN"/>
                <w14:textFill>
                  <w14:solidFill>
                    <w14:schemeClr w14:val="tx1"/>
                  </w14:solidFill>
                </w14:textFill>
              </w:rPr>
              <w:t xml:space="preserve">及</w:t>
            </w:r>
            <w:r>
              <w:rPr>
                <w:rFonts w:hint="eastAsia" w:ascii="宋体" w:hAnsi="宋体" w:cs="宋体"/>
                <w:b/>
                <w:bCs/>
                <w:sz w:val="24"/>
                <w:szCs w:val="24"/>
              </w:rPr>
              <w:t xml:space="preserve">本单位近3个月（含投标当月）中任意1个月份为其缴纳社保的证明扫描件</w:t>
            </w:r>
            <w:r>
              <w:rPr>
                <w:rFonts w:hint="eastAsia" w:ascii="宋体" w:hAnsi="宋体" w:eastAsia="宋体" w:cs="宋体"/>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8" w:space="0"/>
            </w:tcBorders>
            <w:tcW w:w="936" w:type="dxa"/>
            <w:vAlign w:val="center"/>
            <w:textDirection w:val="lrTb"/>
            <w:noWrap w:val="false"/>
          </w:tcPr>
          <w:p>
            <w:pPr>
              <w:ind w:left="0" w:right="0"/>
              <w:jc w:val="center"/>
              <w:keepLines w:val="0"/>
              <w:keepNext w:val="0"/>
              <w:pageBreakBefore w:val="0"/>
              <w:spacing w:line="400" w:lineRule="exact"/>
              <w:rPr>
                <w:rFonts w:hint="eastAsia" w:ascii="宋体" w:hAnsi="宋体" w:eastAsia="宋体"/>
                <w:b/>
                <w:bCs/>
                <w:color w:val="000000" w:themeColor="text1"/>
                <w:sz w:val="24"/>
                <w:szCs w:val="24"/>
                <w:lang w:val="en-US" w:eastAsia="zh-CN"/>
                <w14:textFill>
                  <w14:solidFill>
                    <w14:schemeClr w14:val="tx1"/>
                  </w14:solidFill>
                </w14:textFill>
              </w:rPr>
            </w:pPr>
            <w:r>
              <w:rPr>
                <w:rFonts w:hint="eastAsia" w:ascii="宋体" w:hAnsi="宋体" w:eastAsia="宋体" w:cs="Times New Roman"/>
                <w:sz w:val="24"/>
                <w:szCs w:val="24"/>
                <w:lang w:val="en-US" w:eastAsia="zh-CN"/>
              </w:rPr>
              <w:t xml:space="preserve">6</w:t>
            </w:r>
            <w:r/>
          </w:p>
        </w:tc>
      </w:tr>
    </w:tbl>
    <w:p>
      <w:pPr>
        <w:pStyle w:val="936"/>
        <w:sectPr>
          <w:footnotePr/>
          <w:endnotePr/>
          <w:type w:val="nextPage"/>
          <w:pgSz w:w="11906" w:h="16838" w:orient="portrait"/>
          <w:pgMar w:top="1247" w:right="1247" w:bottom="1247" w:left="1247" w:header="680" w:footer="992" w:gutter="0"/>
          <w:cols w:num="1" w:sep="0" w:space="720" w:equalWidth="1"/>
          <w:docGrid w:linePitch="360"/>
        </w:sectPr>
      </w:pPr>
      <w:r/>
      <w:r/>
    </w:p>
    <w:p>
      <w:r/>
      <w:r/>
    </w:p>
    <w:p>
      <w:pPr>
        <w:pStyle w:val="958"/>
      </w:pPr>
      <w:r>
        <w:rPr>
          <w:rFonts w:hint="eastAsia"/>
        </w:rPr>
        <w:t xml:space="preserve">第五章　合同书（格式）</w:t>
      </w:r>
      <w:bookmarkEnd w:id="12"/>
      <w:r/>
      <w:r/>
    </w:p>
    <w:p>
      <w:pPr>
        <w:spacing w:line="400" w:lineRule="exact"/>
        <w:rPr>
          <w:rFonts w:ascii="宋体" w:hAnsi="宋体" w:eastAsia="宋体" w:cs="Times New Roman"/>
          <w:bCs/>
          <w:sz w:val="24"/>
          <w:szCs w:val="24"/>
        </w:rPr>
      </w:pPr>
      <w:r/>
      <w:bookmarkStart w:id="13" w:name="_Toc251268363"/>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项目名称：</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项目编号：</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hint="default" w:ascii="宋体" w:hAnsi="宋体" w:eastAsia="宋体" w:cs="Courier New"/>
          <w:color w:val="000000"/>
          <w:sz w:val="24"/>
          <w:szCs w:val="24"/>
          <w:highlight w:val="none"/>
          <w:lang w:val="en-US" w:eastAsia="zh-CN"/>
        </w:rPr>
      </w:pPr>
      <w:r>
        <w:rPr>
          <w:rFonts w:ascii="宋体" w:hAnsi="宋体" w:eastAsia="宋体" w:cs="Courier New"/>
          <w:color w:val="000000"/>
          <w:sz w:val="24"/>
          <w:szCs w:val="24"/>
          <w:highlight w:val="none"/>
        </w:rPr>
        <w:t xml:space="preserve">甲方：（买方</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采购人）</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p>
    <w:p>
      <w:pPr>
        <w:ind w:firstLine="480"/>
        <w:spacing w:line="400" w:lineRule="exact"/>
        <w:rPr>
          <w:rFonts w:hint="default" w:ascii="宋体" w:hAnsi="宋体" w:eastAsia="宋体" w:cs="Courier New"/>
          <w:color w:val="000000"/>
          <w:sz w:val="24"/>
          <w:szCs w:val="24"/>
          <w:highlight w:val="none"/>
          <w:lang w:val="en-US" w:eastAsia="zh-CN"/>
        </w:rPr>
      </w:pPr>
      <w:r>
        <w:rPr>
          <w:rFonts w:ascii="宋体" w:hAnsi="宋体" w:eastAsia="宋体" w:cs="Courier New"/>
          <w:color w:val="000000"/>
          <w:sz w:val="24"/>
          <w:szCs w:val="24"/>
          <w:highlight w:val="none"/>
        </w:rPr>
        <w:t xml:space="preserve">乙方：（卖方</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供应商）</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r>
      <w:r/>
    </w:p>
    <w:p>
      <w:pPr>
        <w:ind w:firstLine="480"/>
        <w:spacing w:line="400" w:lineRule="exact"/>
        <w:rPr>
          <w:rFonts w:ascii="宋体" w:hAnsi="宋体" w:eastAsia="宋体" w:cs="Courier New"/>
          <w:b/>
          <w:color w:val="000000"/>
          <w:sz w:val="24"/>
          <w:szCs w:val="24"/>
          <w:highlight w:val="none"/>
        </w:rPr>
      </w:pPr>
      <w:r>
        <w:rPr>
          <w:rFonts w:ascii="宋体" w:hAnsi="宋体" w:eastAsia="宋体" w:cs="Courier New"/>
          <w:color w:val="000000"/>
          <w:sz w:val="24"/>
          <w:szCs w:val="24"/>
          <w:highlight w:val="none"/>
        </w:rPr>
        <w:t xml:space="preserve">甲、乙双方根据</w:t>
      </w:r>
      <w:r>
        <w:rPr>
          <w:rFonts w:hint="eastAsia" w:ascii="宋体" w:hAnsi="宋体" w:eastAsia="宋体" w:cs="Courier New"/>
          <w:color w:val="000000"/>
          <w:sz w:val="24"/>
          <w:szCs w:val="24"/>
          <w:highlight w:val="none"/>
        </w:rPr>
        <w:t xml:space="preserve">江阴市政府采购中心</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项目公开招标的结果，签署本合同。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一、</w:t>
      </w:r>
      <w:r>
        <w:rPr>
          <w:rFonts w:hint="eastAsia" w:ascii="宋体" w:hAnsi="宋体" w:eastAsia="宋体" w:cs="Courier New"/>
          <w:b/>
          <w:color w:val="000000"/>
          <w:sz w:val="24"/>
          <w:szCs w:val="24"/>
          <w:highlight w:val="none"/>
        </w:rPr>
        <w:t xml:space="preserve">合同</w:t>
      </w:r>
      <w:r>
        <w:rPr>
          <w:rFonts w:ascii="宋体" w:hAnsi="宋体" w:eastAsia="宋体" w:cs="Courier New"/>
          <w:b/>
          <w:color w:val="000000"/>
          <w:sz w:val="24"/>
          <w:szCs w:val="24"/>
          <w:highlight w:val="none"/>
        </w:rPr>
        <w:t xml:space="preserve">内容</w:t>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1.1</w:t>
      </w:r>
      <w:r>
        <w:rPr>
          <w:rFonts w:hint="eastAsia" w:ascii="宋体" w:hAnsi="宋体" w:eastAsia="宋体" w:cs="Courier New"/>
          <w:color w:val="000000"/>
          <w:sz w:val="24"/>
          <w:szCs w:val="24"/>
          <w:highlight w:val="none"/>
        </w:rPr>
        <w:t xml:space="preserve">标的</w:t>
      </w:r>
      <w:r>
        <w:rPr>
          <w:rFonts w:ascii="宋体" w:hAnsi="宋体" w:eastAsia="宋体" w:cs="Courier New"/>
          <w:color w:val="000000"/>
          <w:sz w:val="24"/>
          <w:szCs w:val="24"/>
          <w:highlight w:val="none"/>
        </w:rPr>
        <w:t xml:space="preserve">名称：</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1.2</w:t>
      </w:r>
      <w:r>
        <w:rPr>
          <w:rFonts w:hint="eastAsia" w:ascii="宋体" w:hAnsi="宋体" w:eastAsia="宋体" w:cs="Courier New"/>
          <w:color w:val="000000"/>
          <w:sz w:val="24"/>
          <w:szCs w:val="24"/>
          <w:highlight w:val="none"/>
        </w:rPr>
        <w:t xml:space="preserve">标的质量：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1.3标的数量（规模）：</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1.4履行时间（期限）：</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1.5履行地点：</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6履行方式：</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二、合同金额</w:t>
      </w:r>
      <w:r/>
    </w:p>
    <w:p>
      <w:pPr>
        <w:ind w:firstLine="480"/>
        <w:spacing w:line="400" w:lineRule="exact"/>
        <w:rPr>
          <w:rFonts w:ascii="Times New Roman" w:hAnsi="宋体" w:eastAsia="宋体" w:cs="Times New Roman"/>
          <w:sz w:val="24"/>
          <w:szCs w:val="24"/>
          <w:highlight w:val="none"/>
        </w:rPr>
      </w:pPr>
      <w:r>
        <w:rPr>
          <w:rFonts w:ascii="宋体" w:hAnsi="宋体" w:eastAsia="宋体" w:cs="Courier New"/>
          <w:color w:val="000000"/>
          <w:sz w:val="24"/>
          <w:szCs w:val="24"/>
          <w:highlight w:val="none"/>
        </w:rPr>
        <w:t xml:space="preserve">2.1</w:t>
      </w:r>
      <w:r>
        <w:rPr>
          <w:rFonts w:ascii="Times New Roman" w:hAnsi="宋体" w:eastAsia="宋体" w:cs="Times New Roman"/>
          <w:sz w:val="24"/>
          <w:szCs w:val="24"/>
          <w:highlight w:val="none"/>
        </w:rPr>
        <w:t xml:space="preserve">本合同金额为（大写）：</w:t>
      </w:r>
      <w:r>
        <w:rPr>
          <w:rFonts w:hint="eastAsia" w:ascii="Times New Roman" w:hAnsi="宋体" w:eastAsia="宋体" w:cs="Times New Roman"/>
          <w:sz w:val="24"/>
          <w:szCs w:val="24"/>
          <w:highlight w:val="none"/>
          <w:u w:val="single"/>
        </w:rPr>
        <w:t xml:space="preserve">                    </w:t>
      </w:r>
      <w:r>
        <w:rPr>
          <w:rFonts w:hint="eastAsia" w:ascii="Times New Roman" w:hAnsi="宋体" w:eastAsia="宋体" w:cs="Times New Roman"/>
          <w:sz w:val="24"/>
          <w:szCs w:val="24"/>
          <w:highlight w:val="none"/>
        </w:rPr>
        <w:t xml:space="preserve">圆</w:t>
      </w:r>
      <w:r>
        <w:rPr>
          <w:rFonts w:ascii="Times New Roman" w:hAnsi="宋体" w:eastAsia="宋体" w:cs="Times New Roman"/>
          <w:sz w:val="24"/>
          <w:szCs w:val="24"/>
          <w:highlight w:val="none"/>
        </w:rPr>
        <w:t xml:space="preserve">（</w:t>
      </w:r>
      <w:r>
        <w:rPr>
          <w:rFonts w:hint="eastAsia" w:ascii="Times New Roman" w:hAnsi="宋体" w:eastAsia="宋体" w:cs="Times New Roman"/>
          <w:sz w:val="24"/>
          <w:szCs w:val="24"/>
          <w:highlight w:val="none"/>
          <w:u w:val="single"/>
        </w:rPr>
        <w:t xml:space="preserve">            </w:t>
      </w:r>
      <w:r>
        <w:rPr>
          <w:rFonts w:ascii="Times New Roman" w:hAnsi="宋体" w:eastAsia="宋体" w:cs="Times New Roman"/>
          <w:sz w:val="24"/>
          <w:szCs w:val="24"/>
          <w:highlight w:val="none"/>
        </w:rPr>
        <w:t xml:space="preserve">元）人民币</w:t>
      </w:r>
      <w:r>
        <w:rPr>
          <w:rFonts w:hint="eastAsia" w:ascii="Times New Roman" w:hAnsi="宋体" w:eastAsia="宋体" w:cs="Times New Roman"/>
          <w:sz w:val="24"/>
          <w:szCs w:val="24"/>
          <w:highlight w:val="none"/>
        </w:rPr>
        <w:t xml:space="preserve">或其他币种</w:t>
      </w:r>
      <w:r>
        <w:rPr>
          <w:rFonts w:ascii="Times New Roman" w:hAnsi="宋体" w:eastAsia="宋体" w:cs="Times New Roman"/>
          <w:sz w:val="24"/>
          <w:szCs w:val="24"/>
          <w:highlight w:val="none"/>
        </w:rPr>
        <w:t xml:space="preserve">。</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三</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组成本合同的有关文件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（1）招标文件；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（2）投标文件；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（3）中标通知书；</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（4）中标人在投标、评标过程中所作其它有关承诺、声明、书面澄清；</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（5）甲乙双方商定的其他文件等。</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四</w:t>
      </w:r>
      <w:r>
        <w:rPr>
          <w:rFonts w:ascii="宋体" w:hAnsi="宋体" w:eastAsia="宋体" w:cs="Courier New"/>
          <w:b/>
          <w:color w:val="000000"/>
          <w:sz w:val="24"/>
          <w:szCs w:val="24"/>
          <w:highlight w:val="none"/>
        </w:rPr>
        <w:t xml:space="preserve">、技术资料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.1乙方应按招标文件规定的时间向甲方提供使用</w:t>
      </w:r>
      <w:r>
        <w:rPr>
          <w:rFonts w:hint="eastAsia" w:ascii="宋体" w:hAnsi="宋体" w:eastAsia="宋体" w:cs="Courier New"/>
          <w:color w:val="000000"/>
          <w:sz w:val="24"/>
          <w:szCs w:val="24"/>
          <w:highlight w:val="none"/>
        </w:rPr>
        <w:t xml:space="preserve">服务（包含与服务相关的货物）</w:t>
      </w:r>
      <w:r>
        <w:rPr>
          <w:rFonts w:ascii="宋体" w:hAnsi="宋体" w:eastAsia="宋体" w:cs="Courier New"/>
          <w:color w:val="000000"/>
          <w:sz w:val="24"/>
          <w:szCs w:val="24"/>
          <w:highlight w:val="none"/>
        </w:rPr>
        <w:t xml:space="preserve">的有关技术资料。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五</w:t>
      </w:r>
      <w:r>
        <w:rPr>
          <w:rFonts w:ascii="宋体" w:hAnsi="宋体" w:eastAsia="宋体" w:cs="Courier New"/>
          <w:b/>
          <w:color w:val="000000"/>
          <w:sz w:val="24"/>
          <w:szCs w:val="24"/>
          <w:highlight w:val="none"/>
        </w:rPr>
        <w:t xml:space="preserve">、知识产权</w:t>
      </w:r>
      <w:r/>
    </w:p>
    <w:p>
      <w:pPr>
        <w:ind w:firstLine="480"/>
        <w:spacing w:line="400" w:lineRule="exact"/>
        <w:rPr>
          <w:rFonts w:ascii="宋体" w:hAnsi="宋体" w:eastAsia="宋体" w:cs="Times New Roman"/>
          <w:color w:val="000000"/>
          <w:sz w:val="24"/>
          <w:szCs w:val="21"/>
          <w:highlight w:val="none"/>
        </w:rPr>
      </w:pP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.1</w:t>
      </w:r>
      <w:r>
        <w:rPr>
          <w:rFonts w:ascii="Times New Roman" w:hAnsi="宋体" w:eastAsia="宋体" w:cs="Times New Roman"/>
          <w:color w:val="000000"/>
          <w:sz w:val="24"/>
          <w:szCs w:val="24"/>
          <w:highlight w:val="none"/>
        </w:rPr>
        <w:t xml:space="preserve">乙</w:t>
      </w:r>
      <w:r>
        <w:rPr>
          <w:rFonts w:hint="eastAsia" w:ascii="宋体" w:hAnsi="宋体" w:eastAsia="宋体" w:cs="Times New Roman"/>
          <w:color w:val="000000"/>
          <w:sz w:val="24"/>
          <w:szCs w:val="21"/>
          <w:highlight w:val="none"/>
        </w:rPr>
        <w:t xml:space="preserve">方应保证甲方在使用、接受本合同</w:t>
      </w:r>
      <w:r>
        <w:rPr>
          <w:rFonts w:hint="eastAsia" w:ascii="宋体" w:hAnsi="宋体" w:eastAsia="宋体" w:cs="Courier New"/>
          <w:color w:val="000000"/>
          <w:sz w:val="24"/>
          <w:szCs w:val="24"/>
          <w:highlight w:val="none"/>
        </w:rPr>
        <w:t xml:space="preserve">服务（包含与服务相关的货物）</w:t>
      </w:r>
      <w:r>
        <w:rPr>
          <w:rFonts w:hint="eastAsia" w:ascii="宋体" w:hAnsi="宋体" w:eastAsia="宋体" w:cs="Times New Roman"/>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color w:val="000000"/>
          <w:sz w:val="24"/>
          <w:szCs w:val="24"/>
          <w:highlight w:val="none"/>
        </w:rPr>
      </w:pPr>
      <w:r>
        <w:rPr>
          <w:rFonts w:hint="eastAsia" w:ascii="Times New Roman" w:hAnsi="宋体" w:eastAsia="宋体" w:cs="Times New Roman"/>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eastAsia="宋体" w:cs="Courier New"/>
          <w:color w:val="000000"/>
          <w:sz w:val="24"/>
          <w:szCs w:val="24"/>
          <w:highlight w:val="none"/>
          <w:u w:val="single"/>
        </w:rPr>
      </w:pPr>
      <w:r>
        <w:rPr>
          <w:rFonts w:hint="eastAsia" w:ascii="宋体" w:hAnsi="宋体" w:eastAsia="宋体" w:cs="Courier New"/>
          <w:b/>
          <w:color w:val="000000"/>
          <w:sz w:val="24"/>
          <w:szCs w:val="24"/>
          <w:highlight w:val="none"/>
        </w:rPr>
        <w:t xml:space="preserve">六</w:t>
      </w:r>
      <w:r>
        <w:rPr>
          <w:rFonts w:ascii="宋体" w:hAnsi="宋体" w:eastAsia="宋体" w:cs="Courier New"/>
          <w:b/>
          <w:color w:val="000000"/>
          <w:sz w:val="24"/>
          <w:szCs w:val="24"/>
          <w:highlight w:val="none"/>
        </w:rPr>
        <w:t xml:space="preserve">、产权担保</w:t>
      </w:r>
      <w:r/>
    </w:p>
    <w:p>
      <w:pPr>
        <w:ind w:firstLine="480"/>
        <w:spacing w:line="400" w:lineRule="exact"/>
        <w:rPr>
          <w:rFonts w:ascii="宋体" w:hAnsi="宋体" w:eastAsia="宋体" w:cs="Courier New"/>
          <w:color w:val="000000"/>
          <w:sz w:val="24"/>
          <w:szCs w:val="24"/>
          <w:highlight w:val="none"/>
          <w:u w:val="single"/>
        </w:rPr>
      </w:pP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.1 乙方保证所交付的</w:t>
      </w:r>
      <w:r>
        <w:rPr>
          <w:rFonts w:hint="eastAsia" w:ascii="宋体" w:hAnsi="宋体" w:eastAsia="宋体" w:cs="Courier New"/>
          <w:color w:val="000000"/>
          <w:sz w:val="24"/>
          <w:szCs w:val="24"/>
          <w:highlight w:val="none"/>
        </w:rPr>
        <w:t xml:space="preserve">服务（包含与服务相关的货物）</w:t>
      </w:r>
      <w:r>
        <w:rPr>
          <w:rFonts w:ascii="宋体" w:hAnsi="宋体" w:eastAsia="宋体" w:cs="Courier New"/>
          <w:color w:val="000000"/>
          <w:sz w:val="24"/>
          <w:szCs w:val="24"/>
          <w:highlight w:val="none"/>
        </w:rPr>
        <w:t xml:space="preserve">的所有权完全属于乙方且无任何抵押、查封等产权瑕疵。</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七</w:t>
      </w:r>
      <w:r>
        <w:rPr>
          <w:rFonts w:ascii="宋体" w:hAnsi="宋体" w:eastAsia="宋体" w:cs="Courier New"/>
          <w:b/>
          <w:color w:val="000000"/>
          <w:sz w:val="24"/>
          <w:szCs w:val="24"/>
          <w:highlight w:val="none"/>
        </w:rPr>
        <w:t xml:space="preserve">、履约保证金</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.1 乙方交纳人民币_</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元作为本合同的履约保证金。</w:t>
      </w:r>
      <w:r>
        <w:rPr>
          <w:rFonts w:hint="eastAsia" w:ascii="宋体" w:hAnsi="宋体" w:eastAsia="宋体" w:cs="Courier New"/>
          <w:color w:val="000000"/>
          <w:sz w:val="24"/>
          <w:szCs w:val="24"/>
          <w:highlight w:val="none"/>
        </w:rPr>
        <w:t xml:space="preserve">（不得超过合同金额的10%）</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7.2合同履行结束后，甲方应及时退还交纳的履约保证金。</w:t>
      </w:r>
      <w:r/>
    </w:p>
    <w:p>
      <w:pPr>
        <w:ind w:firstLine="480"/>
        <w:spacing w:line="400" w:lineRule="exact"/>
        <w:rPr>
          <w:rFonts w:ascii="宋体" w:hAnsi="宋体" w:eastAsia="宋体" w:cs="Courier New"/>
          <w:color w:val="000000"/>
          <w:sz w:val="24"/>
          <w:szCs w:val="24"/>
          <w:highlight w:val="none"/>
          <w:u w:val="single"/>
        </w:rPr>
      </w:pPr>
      <w:r>
        <w:rPr>
          <w:rFonts w:hint="eastAsia" w:ascii="宋体" w:hAnsi="宋体" w:eastAsia="宋体" w:cs="Courier New"/>
          <w:color w:val="000000"/>
          <w:sz w:val="24"/>
          <w:szCs w:val="24"/>
          <w:highlight w:val="none"/>
        </w:rPr>
        <w:t xml:space="preserve">7.2.1履约保证金退还方式：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7.2.2履约保证金退还时间：</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7.2.3履约保证金退还条件：</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7.2.4履约保证金不予退还的情形：</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仿宋_GB2312" w:cs="Times New Roman"/>
          <w:b/>
          <w:color w:val="000000"/>
          <w:sz w:val="24"/>
          <w:szCs w:val="24"/>
          <w:highlight w:val="none"/>
        </w:rPr>
      </w:pPr>
      <w:r>
        <w:rPr>
          <w:rFonts w:hint="eastAsia" w:ascii="宋体" w:hAnsi="宋体" w:eastAsia="宋体" w:cs="Times New Roman"/>
          <w:b/>
          <w:color w:val="000000"/>
          <w:sz w:val="24"/>
          <w:szCs w:val="24"/>
          <w:highlight w:val="none"/>
        </w:rPr>
        <w:t xml:space="preserve">八、合同转包或分包</w:t>
      </w:r>
      <w:r/>
    </w:p>
    <w:p>
      <w:pPr>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8.1乙方不得将合同标的转包给他人履行。</w:t>
      </w:r>
      <w:r/>
    </w:p>
    <w:p>
      <w:pPr>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color w:val="000000"/>
          <w:sz w:val="24"/>
          <w:szCs w:val="24"/>
          <w:highlight w:val="none"/>
        </w:rPr>
      </w:pPr>
      <w:r>
        <w:rPr>
          <w:rFonts w:hint="eastAsia" w:ascii="宋体" w:hAnsi="宋体" w:eastAsia="宋体" w:cs="Times New Roman"/>
          <w:color w:val="000000"/>
          <w:sz w:val="24"/>
          <w:szCs w:val="24"/>
          <w:highlight w:val="none"/>
        </w:rPr>
        <w:t xml:space="preserve">8</w:t>
      </w:r>
      <w:r>
        <w:rPr>
          <w:rFonts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rPr>
        <w:t xml:space="preserve">乙方如有转包或未经甲方同意的分包行为，甲方有权给予终止合同。</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九</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合同款项</w:t>
      </w:r>
      <w:r>
        <w:rPr>
          <w:rFonts w:ascii="宋体" w:hAnsi="宋体" w:eastAsia="宋体" w:cs="Courier New"/>
          <w:b/>
          <w:color w:val="000000"/>
          <w:sz w:val="24"/>
          <w:szCs w:val="24"/>
          <w:highlight w:val="none"/>
        </w:rPr>
        <w:t xml:space="preserve">支付</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bCs/>
          <w:color w:val="000000"/>
          <w:sz w:val="24"/>
          <w:szCs w:val="24"/>
          <w:highlight w:val="none"/>
        </w:rPr>
        <w:t xml:space="preserve">9</w:t>
      </w:r>
      <w:r>
        <w:rPr>
          <w:rFonts w:ascii="宋体" w:hAnsi="宋体" w:eastAsia="宋体" w:cs="Courier New"/>
          <w:bCs/>
          <w:color w:val="000000"/>
          <w:sz w:val="24"/>
          <w:szCs w:val="24"/>
          <w:highlight w:val="none"/>
        </w:rPr>
        <w:t xml:space="preserve">.1</w:t>
      </w:r>
      <w:r>
        <w:rPr>
          <w:rFonts w:hint="eastAsia" w:ascii="宋体" w:hAnsi="宋体" w:eastAsia="宋体" w:cs="Courier New"/>
          <w:bCs/>
          <w:color w:val="000000"/>
          <w:sz w:val="24"/>
          <w:szCs w:val="24"/>
          <w:highlight w:val="none"/>
        </w:rPr>
        <w:t xml:space="preserve">合同款项的支付方式及进度安排：</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仿宋_GB2312" w:cs="Times New Roman"/>
          <w:b/>
          <w:color w:val="000000"/>
          <w:sz w:val="24"/>
          <w:szCs w:val="24"/>
          <w:highlight w:val="none"/>
        </w:rPr>
      </w:pPr>
      <w:r>
        <w:rPr>
          <w:rFonts w:hint="eastAsia" w:ascii="宋体" w:hAnsi="宋体" w:eastAsia="宋体" w:cs="Times New Roman"/>
          <w:b/>
          <w:color w:val="000000"/>
          <w:sz w:val="24"/>
          <w:szCs w:val="24"/>
          <w:highlight w:val="none"/>
        </w:rPr>
        <w:t xml:space="preserve">十、税费</w:t>
      </w:r>
      <w:r/>
    </w:p>
    <w:p>
      <w:pPr>
        <w:ind w:firstLine="480"/>
        <w:spacing w:line="400" w:lineRule="exact"/>
        <w:rPr>
          <w:rFonts w:ascii="宋体" w:hAnsi="宋体" w:eastAsia="仿宋_GB2312" w:cs="Times New Roman"/>
          <w:color w:val="000000"/>
          <w:sz w:val="24"/>
          <w:szCs w:val="24"/>
          <w:highlight w:val="none"/>
        </w:rPr>
      </w:pPr>
      <w:r>
        <w:rPr>
          <w:rFonts w:hint="eastAsia" w:ascii="宋体" w:hAnsi="宋体" w:eastAsia="宋体" w:cs="Times New Roman"/>
          <w:color w:val="000000"/>
          <w:sz w:val="24"/>
          <w:szCs w:val="24"/>
          <w:highlight w:val="none"/>
        </w:rPr>
        <w:t xml:space="preserve">10</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本合同执行中相关的一切税费均由乙方负担。</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一</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项目</w:t>
      </w:r>
      <w:r>
        <w:rPr>
          <w:rFonts w:ascii="宋体" w:hAnsi="宋体" w:eastAsia="宋体" w:cs="Courier New"/>
          <w:b/>
          <w:color w:val="000000"/>
          <w:sz w:val="24"/>
          <w:szCs w:val="24"/>
          <w:highlight w:val="none"/>
        </w:rPr>
        <w:t xml:space="preserve">验收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Times New Roman"/>
          <w:sz w:val="24"/>
          <w:szCs w:val="24"/>
          <w:highlight w:val="none"/>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承担。</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 对于实际使用人和甲方分离的项目，甲方邀请实际使用人参与验收。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二</w:t>
      </w:r>
      <w:r>
        <w:rPr>
          <w:rFonts w:ascii="宋体" w:hAnsi="宋体" w:eastAsia="宋体" w:cs="Courier New"/>
          <w:b/>
          <w:color w:val="000000"/>
          <w:sz w:val="24"/>
          <w:szCs w:val="24"/>
          <w:highlight w:val="none"/>
        </w:rPr>
        <w:t xml:space="preserve">、违约责任</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2</w:t>
      </w:r>
      <w:r>
        <w:rPr>
          <w:rFonts w:ascii="宋体" w:hAnsi="宋体" w:eastAsia="宋体" w:cs="Courier New"/>
          <w:color w:val="000000"/>
          <w:sz w:val="24"/>
          <w:szCs w:val="24"/>
          <w:highlight w:val="none"/>
        </w:rPr>
        <w:t xml:space="preserve">.1 甲方无正当理由拒</w:t>
      </w:r>
      <w:r>
        <w:rPr>
          <w:rFonts w:hint="eastAsia" w:ascii="宋体" w:hAnsi="宋体" w:eastAsia="宋体" w:cs="Courier New"/>
          <w:color w:val="000000"/>
          <w:sz w:val="24"/>
          <w:szCs w:val="24"/>
          <w:highlight w:val="none"/>
        </w:rPr>
        <w:t xml:space="preserve">绝接受乙方提供服务</w:t>
      </w:r>
      <w:r>
        <w:rPr>
          <w:rFonts w:ascii="宋体" w:hAnsi="宋体" w:eastAsia="宋体" w:cs="Courier New"/>
          <w:color w:val="000000"/>
          <w:sz w:val="24"/>
          <w:szCs w:val="24"/>
          <w:highlight w:val="none"/>
        </w:rPr>
        <w:t xml:space="preserve">的，甲方向乙方偿付拒</w:t>
      </w:r>
      <w:r>
        <w:rPr>
          <w:rFonts w:hint="eastAsia" w:ascii="宋体" w:hAnsi="宋体" w:eastAsia="宋体" w:cs="Courier New"/>
          <w:color w:val="000000"/>
          <w:sz w:val="24"/>
          <w:szCs w:val="24"/>
          <w:highlight w:val="none"/>
        </w:rPr>
        <w:t xml:space="preserve">绝接受服务合同价款</w:t>
      </w:r>
      <w:r>
        <w:rPr>
          <w:rFonts w:ascii="宋体" w:hAnsi="宋体" w:eastAsia="宋体" w:cs="Courier New"/>
          <w:color w:val="000000"/>
          <w:sz w:val="24"/>
          <w:szCs w:val="24"/>
          <w:highlight w:val="none"/>
        </w:rPr>
        <w:t xml:space="preserve">总值</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2</w:t>
      </w:r>
      <w:r>
        <w:rPr>
          <w:rFonts w:ascii="宋体" w:hAnsi="宋体" w:eastAsia="宋体" w:cs="Courier New"/>
          <w:color w:val="000000"/>
          <w:sz w:val="24"/>
          <w:szCs w:val="24"/>
          <w:highlight w:val="none"/>
        </w:rPr>
        <w:t xml:space="preserve">.2 甲方无故逾期验收和办理</w:t>
      </w:r>
      <w:r>
        <w:rPr>
          <w:rFonts w:hint="eastAsia" w:ascii="宋体" w:hAnsi="宋体" w:eastAsia="宋体" w:cs="Courier New"/>
          <w:color w:val="000000"/>
          <w:sz w:val="24"/>
          <w:szCs w:val="24"/>
          <w:highlight w:val="none"/>
        </w:rPr>
        <w:t xml:space="preserve">合同款项</w:t>
      </w:r>
      <w:r>
        <w:rPr>
          <w:rFonts w:ascii="宋体" w:hAnsi="宋体" w:eastAsia="宋体" w:cs="Courier New"/>
          <w:color w:val="000000"/>
          <w:sz w:val="24"/>
          <w:szCs w:val="24"/>
          <w:highlight w:val="none"/>
        </w:rPr>
        <w:t xml:space="preserve">支付手续的</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甲方应按逾期付款总额每日</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向乙方支付违约金。</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2</w:t>
      </w:r>
      <w:r>
        <w:rPr>
          <w:rFonts w:ascii="宋体" w:hAnsi="宋体" w:eastAsia="宋体" w:cs="Courier New"/>
          <w:color w:val="000000"/>
          <w:sz w:val="24"/>
          <w:szCs w:val="24"/>
          <w:highlight w:val="none"/>
        </w:rPr>
        <w:t xml:space="preserve">.3 乙方逾期</w:t>
      </w:r>
      <w:r>
        <w:rPr>
          <w:rFonts w:hint="eastAsia" w:ascii="宋体" w:hAnsi="宋体" w:eastAsia="宋体" w:cs="Courier New"/>
          <w:color w:val="000000"/>
          <w:sz w:val="24"/>
          <w:szCs w:val="24"/>
          <w:highlight w:val="none"/>
        </w:rPr>
        <w:t xml:space="preserve">提供服务</w:t>
      </w:r>
      <w:r>
        <w:rPr>
          <w:rFonts w:ascii="宋体" w:hAnsi="宋体" w:eastAsia="宋体" w:cs="Courier New"/>
          <w:color w:val="000000"/>
          <w:sz w:val="24"/>
          <w:szCs w:val="24"/>
          <w:highlight w:val="none"/>
        </w:rPr>
        <w:t xml:space="preserve">的，乙方应按逾期</w:t>
      </w:r>
      <w:r>
        <w:rPr>
          <w:rFonts w:hint="eastAsia" w:ascii="宋体" w:hAnsi="宋体" w:eastAsia="宋体" w:cs="Courier New"/>
          <w:color w:val="000000"/>
          <w:sz w:val="24"/>
          <w:szCs w:val="24"/>
          <w:highlight w:val="none"/>
        </w:rPr>
        <w:t xml:space="preserve">提供服务合同</w:t>
      </w:r>
      <w:r>
        <w:rPr>
          <w:rFonts w:ascii="宋体" w:hAnsi="宋体" w:eastAsia="宋体" w:cs="Courier New"/>
          <w:color w:val="000000"/>
          <w:sz w:val="24"/>
          <w:szCs w:val="24"/>
          <w:highlight w:val="none"/>
        </w:rPr>
        <w:t xml:space="preserve">总额每日</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向甲方支付违约金，由甲方从待付</w:t>
      </w:r>
      <w:r>
        <w:rPr>
          <w:rFonts w:hint="eastAsia" w:ascii="宋体" w:hAnsi="宋体" w:eastAsia="宋体" w:cs="Courier New"/>
          <w:color w:val="000000"/>
          <w:sz w:val="24"/>
          <w:szCs w:val="24"/>
          <w:highlight w:val="none"/>
        </w:rPr>
        <w:t xml:space="preserve">合同款项</w:t>
      </w:r>
      <w:r>
        <w:rPr>
          <w:rFonts w:ascii="宋体" w:hAnsi="宋体" w:eastAsia="宋体" w:cs="Courier New"/>
          <w:color w:val="000000"/>
          <w:sz w:val="24"/>
          <w:szCs w:val="24"/>
          <w:highlight w:val="none"/>
        </w:rPr>
        <w:t xml:space="preserve">中扣除。逾期超过约定日期10个工作日不能</w:t>
      </w:r>
      <w:r>
        <w:rPr>
          <w:rFonts w:hint="eastAsia" w:ascii="宋体" w:hAnsi="宋体" w:eastAsia="宋体" w:cs="Courier New"/>
          <w:color w:val="000000"/>
          <w:sz w:val="24"/>
          <w:szCs w:val="24"/>
          <w:highlight w:val="none"/>
        </w:rPr>
        <w:t xml:space="preserve">提供服务</w:t>
      </w:r>
      <w:r>
        <w:rPr>
          <w:rFonts w:ascii="宋体" w:hAnsi="宋体" w:eastAsia="宋体" w:cs="Courier New"/>
          <w:color w:val="000000"/>
          <w:sz w:val="24"/>
          <w:szCs w:val="24"/>
          <w:highlight w:val="none"/>
        </w:rPr>
        <w:t xml:space="preserve">的，甲方可解除本合同。乙方因逾期</w:t>
      </w:r>
      <w:r>
        <w:rPr>
          <w:rFonts w:hint="eastAsia" w:ascii="宋体" w:hAnsi="宋体" w:eastAsia="宋体" w:cs="Courier New"/>
          <w:color w:val="000000"/>
          <w:sz w:val="24"/>
          <w:szCs w:val="24"/>
          <w:highlight w:val="none"/>
        </w:rPr>
        <w:t xml:space="preserve">提供服务</w:t>
      </w:r>
      <w:r>
        <w:rPr>
          <w:rFonts w:ascii="宋体" w:hAnsi="宋体" w:eastAsia="宋体" w:cs="Courier New"/>
          <w:color w:val="000000"/>
          <w:sz w:val="24"/>
          <w:szCs w:val="24"/>
          <w:highlight w:val="none"/>
        </w:rPr>
        <w:t xml:space="preserve">或因其他违约行为导致甲方解除合同的，乙方应向甲方支付合同</w:t>
      </w:r>
      <w:r>
        <w:rPr>
          <w:rFonts w:hint="eastAsia" w:ascii="宋体" w:hAnsi="宋体" w:eastAsia="宋体" w:cs="Courier New"/>
          <w:color w:val="000000"/>
          <w:sz w:val="24"/>
          <w:szCs w:val="24"/>
          <w:highlight w:val="none"/>
        </w:rPr>
        <w:t xml:space="preserve">价款总额</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2</w:t>
      </w:r>
      <w:r>
        <w:rPr>
          <w:rFonts w:ascii="宋体" w:hAnsi="宋体" w:eastAsia="宋体" w:cs="Courier New"/>
          <w:color w:val="000000"/>
          <w:sz w:val="24"/>
          <w:szCs w:val="24"/>
          <w:highlight w:val="none"/>
        </w:rPr>
        <w:t xml:space="preserve">.4 乙方</w:t>
      </w:r>
      <w:r>
        <w:rPr>
          <w:rFonts w:hint="eastAsia" w:ascii="宋体" w:hAnsi="宋体" w:eastAsia="宋体" w:cs="Courier New"/>
          <w:color w:val="000000"/>
          <w:sz w:val="24"/>
          <w:szCs w:val="24"/>
          <w:highlight w:val="none"/>
        </w:rPr>
        <w:t xml:space="preserve">所提供服务的标准不符合合同规定及招标文件规定标准的，甲方有权拒绝接受服务，并可单方面解除合同。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三</w:t>
      </w:r>
      <w:r>
        <w:rPr>
          <w:rFonts w:ascii="宋体" w:hAnsi="宋体" w:eastAsia="宋体" w:cs="Courier New"/>
          <w:b/>
          <w:color w:val="000000"/>
          <w:sz w:val="24"/>
          <w:szCs w:val="24"/>
          <w:highlight w:val="none"/>
        </w:rPr>
        <w:t xml:space="preserve">、不可抗力事件处理</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.2 不可抗力事件发生后，应立即通知对方，并寄送有关权威机构出具的证明。</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.3 不可抗力事件延续120天以上，双方应通过友好协商，确定是否继续履行合同。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四</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解决争议的方法</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.1双方</w:t>
      </w:r>
      <w:r>
        <w:rPr>
          <w:rFonts w:hint="eastAsia" w:ascii="宋体" w:hAnsi="宋体" w:eastAsia="宋体" w:cs="Courier New"/>
          <w:color w:val="000000"/>
          <w:sz w:val="24"/>
          <w:szCs w:val="24"/>
          <w:highlight w:val="none"/>
        </w:rPr>
        <w:t xml:space="preserve">在签订、履行合同中所发生的</w:t>
      </w:r>
      <w:r>
        <w:rPr>
          <w:rFonts w:ascii="宋体" w:hAnsi="宋体" w:eastAsia="宋体" w:cs="Courier New"/>
          <w:color w:val="000000"/>
          <w:sz w:val="24"/>
          <w:szCs w:val="24"/>
          <w:highlight w:val="none"/>
        </w:rPr>
        <w:t xml:space="preserve">一切争议，应通过</w:t>
      </w:r>
      <w:r>
        <w:rPr>
          <w:rFonts w:hint="eastAsia" w:ascii="宋体" w:hAnsi="宋体" w:eastAsia="宋体" w:cs="Courier New"/>
          <w:color w:val="000000"/>
          <w:sz w:val="24"/>
          <w:szCs w:val="24"/>
          <w:highlight w:val="none"/>
        </w:rPr>
        <w:t xml:space="preserve">友好</w:t>
      </w:r>
      <w:r>
        <w:rPr>
          <w:rFonts w:ascii="宋体" w:hAnsi="宋体" w:eastAsia="宋体" w:cs="Courier New"/>
          <w:color w:val="000000"/>
          <w:sz w:val="24"/>
          <w:szCs w:val="24"/>
          <w:highlight w:val="none"/>
        </w:rPr>
        <w:t xml:space="preserve">协商解决。如协商不成</w:t>
      </w:r>
      <w:r>
        <w:rPr>
          <w:rFonts w:hint="eastAsia" w:ascii="宋体" w:hAnsi="宋体" w:eastAsia="宋体" w:cs="Courier New"/>
          <w:color w:val="000000"/>
          <w:sz w:val="24"/>
          <w:szCs w:val="24"/>
          <w:highlight w:val="none"/>
        </w:rPr>
        <w:t xml:space="preserve">，由甲方住所地人民</w:t>
      </w:r>
      <w:r>
        <w:rPr>
          <w:rFonts w:ascii="宋体" w:hAnsi="宋体" w:eastAsia="宋体" w:cs="Courier New"/>
          <w:color w:val="000000"/>
          <w:sz w:val="24"/>
          <w:szCs w:val="24"/>
          <w:highlight w:val="none"/>
        </w:rPr>
        <w:t xml:space="preserve">法院</w:t>
      </w:r>
      <w:r>
        <w:rPr>
          <w:rFonts w:hint="eastAsia" w:ascii="宋体" w:hAnsi="宋体" w:eastAsia="宋体" w:cs="Courier New"/>
          <w:color w:val="000000"/>
          <w:sz w:val="24"/>
          <w:szCs w:val="24"/>
          <w:highlight w:val="none"/>
        </w:rPr>
        <w:t xml:space="preserve">管辖。</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五</w:t>
      </w:r>
      <w:r>
        <w:rPr>
          <w:rFonts w:ascii="宋体" w:hAnsi="宋体" w:eastAsia="宋体" w:cs="Courier New"/>
          <w:b/>
          <w:color w:val="000000"/>
          <w:sz w:val="24"/>
          <w:szCs w:val="24"/>
          <w:highlight w:val="none"/>
        </w:rPr>
        <w:t xml:space="preserve">、合同生效及其他</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.1 合同经双方法定代表人或授权委托代</w:t>
      </w:r>
      <w:r>
        <w:rPr>
          <w:rFonts w:hint="eastAsia" w:ascii="宋体" w:hAnsi="宋体" w:eastAsia="宋体" w:cs="Courier New"/>
          <w:color w:val="000000"/>
          <w:sz w:val="24"/>
          <w:szCs w:val="24"/>
          <w:highlight w:val="none"/>
        </w:rPr>
        <w:t xml:space="preserve">表</w:t>
      </w:r>
      <w:r>
        <w:rPr>
          <w:rFonts w:ascii="宋体" w:hAnsi="宋体" w:eastAsia="宋体" w:cs="Courier New"/>
          <w:color w:val="000000"/>
          <w:sz w:val="24"/>
          <w:szCs w:val="24"/>
          <w:highlight w:val="none"/>
        </w:rPr>
        <w:t xml:space="preserve">人签字并加盖单位公章后生效。</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.2本合同未尽事宜，遵照</w:t>
      </w:r>
      <w:r>
        <w:rPr>
          <w:rFonts w:hint="eastAsia" w:ascii="宋体" w:hAnsi="宋体" w:eastAsia="宋体" w:cs="Courier New"/>
          <w:color w:val="000000"/>
          <w:sz w:val="24"/>
          <w:szCs w:val="24"/>
          <w:highlight w:val="none"/>
        </w:rPr>
        <w:t xml:space="preserve">《中华人民共和国民法典》《中华人民共和国政府采购法》等</w:t>
      </w:r>
      <w:r>
        <w:rPr>
          <w:rFonts w:ascii="宋体" w:hAnsi="宋体" w:eastAsia="宋体" w:cs="Courier New"/>
          <w:color w:val="000000"/>
          <w:sz w:val="24"/>
          <w:szCs w:val="24"/>
          <w:highlight w:val="none"/>
        </w:rPr>
        <w:t xml:space="preserve">有关条文执行。</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 本合同正本一式</w:t>
      </w:r>
      <w:r>
        <w:rPr>
          <w:rFonts w:hint="eastAsia" w:ascii="宋体" w:hAnsi="宋体" w:eastAsia="宋体" w:cs="Courier New"/>
          <w:color w:val="000000"/>
          <w:sz w:val="24"/>
          <w:szCs w:val="24"/>
          <w:highlight w:val="none"/>
        </w:rPr>
        <w:t xml:space="preserve">两</w:t>
      </w:r>
      <w:r>
        <w:rPr>
          <w:rFonts w:ascii="宋体" w:hAnsi="宋体" w:eastAsia="宋体" w:cs="Courier New"/>
          <w:color w:val="000000"/>
          <w:sz w:val="24"/>
          <w:szCs w:val="24"/>
          <w:highlight w:val="none"/>
        </w:rPr>
        <w:t xml:space="preserve">份，具有同等法律效力，甲</w:t>
      </w:r>
      <w:r>
        <w:rPr>
          <w:rFonts w:hint="eastAsia" w:ascii="宋体" w:hAnsi="宋体" w:eastAsia="宋体" w:cs="Courier New"/>
          <w:color w:val="000000"/>
          <w:sz w:val="24"/>
          <w:szCs w:val="24"/>
          <w:highlight w:val="none"/>
        </w:rPr>
        <w:t xml:space="preserve">方、</w:t>
      </w:r>
      <w:r>
        <w:rPr>
          <w:rFonts w:ascii="宋体" w:hAnsi="宋体" w:eastAsia="宋体" w:cs="Courier New"/>
          <w:color w:val="000000"/>
          <w:sz w:val="24"/>
          <w:szCs w:val="24"/>
          <w:highlight w:val="none"/>
        </w:rPr>
        <w:t xml:space="preserve">乙方各执一份。</w:t>
      </w:r>
      <w:r/>
    </w:p>
    <w:p>
      <w:pPr>
        <w:jc w:val="center"/>
        <w:spacing w:line="400" w:lineRule="exact"/>
        <w:rPr>
          <w:rFonts w:ascii="楷体_GB2312" w:hAnsi="Times New Roman" w:eastAsia="楷体_GB2312" w:cs="Times New Roman"/>
          <w:b/>
          <w:bCs/>
          <w:sz w:val="30"/>
          <w:szCs w:val="24"/>
          <w:highlight w:val="none"/>
        </w:rPr>
      </w:pPr>
      <w:r>
        <w:rPr>
          <w:rFonts w:ascii="楷体_GB2312" w:hAnsi="Times New Roman" w:eastAsia="楷体_GB2312" w:cs="Times New Roman"/>
          <w:b/>
          <w:bCs/>
          <w:sz w:val="30"/>
          <w:szCs w:val="24"/>
          <w:highlight w:val="none"/>
        </w:rPr>
      </w:r>
      <w:r/>
    </w:p>
    <w:p>
      <w:pPr>
        <w:jc w:val="center"/>
        <w:spacing w:line="400" w:lineRule="exact"/>
        <w:rPr>
          <w:rFonts w:ascii="楷体_GB2312" w:hAnsi="Times New Roman" w:eastAsia="楷体_GB2312" w:cs="Times New Roman"/>
          <w:b/>
          <w:bCs/>
          <w:sz w:val="30"/>
          <w:szCs w:val="24"/>
          <w:highlight w:val="none"/>
        </w:rPr>
      </w:pPr>
      <w:r>
        <w:rPr>
          <w:rFonts w:ascii="楷体_GB2312" w:hAnsi="Times New Roman" w:eastAsia="楷体_GB2312" w:cs="Times New Roman"/>
          <w:b/>
          <w:bCs/>
          <w:sz w:val="30"/>
          <w:szCs w:val="24"/>
          <w:highlight w:val="none"/>
        </w:rPr>
      </w:r>
      <w:r/>
    </w:p>
    <w:tbl>
      <w:tblPr>
        <w:tblStyle w:val="935"/>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乙方（中标单位）：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bookmarkEnd w:id="13"/>
            <w:r/>
            <w:r/>
          </w:p>
        </w:tc>
      </w:tr>
    </w:tbl>
    <w:p>
      <w:pPr>
        <w:pStyle w:val="958"/>
        <w:rPr>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highlight w:val="none"/>
        </w:rPr>
      </w:r>
      <w:r/>
    </w:p>
    <w:p>
      <w:pPr>
        <w:pStyle w:val="958"/>
      </w:pPr>
      <w:r/>
      <w:r/>
    </w:p>
    <w:p>
      <w:pPr>
        <w:pStyle w:val="958"/>
      </w:pPr>
      <w:r/>
      <w:bookmarkStart w:id="14" w:name="_Toc213847318"/>
      <w:r>
        <w:rPr>
          <w:rFonts w:hint="eastAsia"/>
        </w:rPr>
        <w:t xml:space="preserve">第六章　投标文件的组成和格式</w:t>
      </w:r>
      <w:bookmarkEnd w:id="14"/>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6、我方已详细审核全部招标（采购）文件及其有效补充文件，完全理解并接受招标（采购）文件的各项规定和要求，无任何异议。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w:t>
      </w:r>
      <w:bookmarkStart w:id="20" w:name="_GoBack"/>
      <w:r/>
      <w:bookmarkEnd w:id="20"/>
      <w:r>
        <w:rPr>
          <w:rFonts w:hint="eastAsia" w:ascii="宋体" w:hAnsi="宋体" w:eastAsia="宋体" w:cs="Times New Roman"/>
          <w:bCs/>
          <w:sz w:val="24"/>
          <w:szCs w:val="24"/>
        </w:rPr>
        <w:t xml:space="preserve">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5" w:name="_Toc222799676"/>
      <w:r/>
      <w:bookmarkStart w:id="16" w:name="_Toc194739809"/>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93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JSZC-320281-JZCG-G2026-00</w:t>
            </w:r>
            <w:r>
              <w:rPr>
                <w:rFonts w:hint="eastAsia" w:ascii="宋体" w:hAnsi="宋体" w:eastAsia="宋体" w:cs="宋体"/>
                <w:sz w:val="24"/>
                <w:szCs w:val="24"/>
                <w:lang w:val="en-US" w:eastAsia="zh-CN"/>
              </w:rPr>
              <w:t xml:space="preserve">62</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人力资源一体化管理平台</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7" w:name="_Toc158691780"/>
      <w:r/>
      <w:bookmarkStart w:id="18" w:name="_Toc194386107"/>
      <w:r/>
      <w:bookmarkStart w:id="19"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7"/>
      <w:r/>
      <w:bookmarkEnd w:id="18"/>
      <w:r/>
      <w:bookmarkEnd w:id="19"/>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5"/>
      <w:r/>
      <w:bookmarkEnd w:id="16"/>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935"/>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3"/>
        <w:gridCol w:w="5147"/>
        <w:gridCol w:w="809"/>
        <w:gridCol w:w="761"/>
        <w:gridCol w:w="1119"/>
        <w:gridCol w:w="1119"/>
      </w:tblGrid>
      <w:tr>
        <w:trPr>
          <w:jc w:val="center"/>
        </w:trPr>
        <w:tc>
          <w:tcPr>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服务内容</w:t>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Height w:val="758"/>
        </w:trPr>
        <w:tc>
          <w:tcPr>
            <w:gridSpan w:val="6"/>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93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93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highlight w:val="none"/>
        </w:rPr>
      </w:pPr>
      <w:r>
        <w:rPr>
          <w:rFonts w:hint="eastAsia" w:ascii="宋体" w:hAnsi="宋体" w:eastAsia="宋体" w:cs="Times New Roman"/>
          <w:szCs w:val="21"/>
        </w:rPr>
        <w:t xml:space="preserve">注：</w:t>
      </w:r>
      <w:r>
        <w:rPr>
          <w:rFonts w:hint="eastAsia" w:ascii="宋体" w:hAnsi="宋体" w:eastAsia="宋体" w:cs="Times New Roman"/>
          <w:szCs w:val="21"/>
          <w:highlight w:val="none"/>
        </w:rPr>
        <w:t xml:space="preserve">1、供应商应据实、详细填写上述表格，因未标明或表述含糊导致的评审风险将由供应商承担。</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商务要求是指</w:t>
      </w:r>
      <w:r>
        <w:rPr>
          <w:rFonts w:hint="eastAsia" w:ascii="宋体" w:hAnsi="宋体" w:eastAsia="宋体" w:cs="Times New Roman"/>
          <w:szCs w:val="21"/>
          <w:highlight w:val="none"/>
        </w:rPr>
        <w:t xml:space="preserve">采购需求中关于</w:t>
      </w:r>
      <w:r>
        <w:rPr>
          <w:rFonts w:ascii="宋体" w:hAnsi="宋体" w:eastAsia="宋体" w:cs="Times New Roman"/>
          <w:szCs w:val="21"/>
          <w:highlight w:val="none"/>
        </w:rPr>
        <w:t xml:space="preserve">取得采购标的的时间、地点、财务和服务要求，包括交付（实施）的时间（期限）和地点（范围），付款条件（进度和方式），包装和运输，售后服务，保险等</w:t>
      </w:r>
      <w:r>
        <w:rPr>
          <w:rFonts w:hint="eastAsia" w:ascii="宋体" w:hAnsi="宋体" w:eastAsia="宋体" w:cs="Times New Roman"/>
          <w:szCs w:val="21"/>
          <w:highlight w:val="none"/>
        </w:rPr>
        <w:t xml:space="preserve">；</w:t>
      </w:r>
      <w:r/>
    </w:p>
    <w:p>
      <w:pPr>
        <w:ind w:firstLine="480"/>
        <w:jc w:val="left"/>
        <w:spacing w:line="360" w:lineRule="atLeast"/>
        <w:shd w:val="clear" w:color="auto" w:fill="ffffff"/>
        <w:widowControl/>
        <w:rPr>
          <w:rFonts w:ascii="宋体" w:hAnsi="宋体" w:eastAsia="宋体" w:cs="Times New Roman"/>
          <w:szCs w:val="21"/>
          <w:highlight w:val="none"/>
        </w:rPr>
      </w:pPr>
      <w:r>
        <w:rPr>
          <w:rFonts w:ascii="宋体" w:hAnsi="宋体" w:eastAsia="宋体" w:cs="Times New Roman"/>
          <w:szCs w:val="21"/>
          <w:highlight w:val="none"/>
        </w:rPr>
        <w:t xml:space="preserve">技术要求是指</w:t>
      </w:r>
      <w:r>
        <w:rPr>
          <w:rFonts w:hint="eastAsia" w:ascii="宋体" w:hAnsi="宋体" w:eastAsia="宋体" w:cs="Times New Roman"/>
          <w:szCs w:val="21"/>
          <w:highlight w:val="none"/>
        </w:rPr>
        <w:t xml:space="preserve">采购需求中关于</w:t>
      </w:r>
      <w:r>
        <w:rPr>
          <w:rFonts w:ascii="宋体" w:hAnsi="宋体" w:eastAsia="宋体" w:cs="Times New Roman"/>
          <w:szCs w:val="21"/>
          <w:highlight w:val="none"/>
        </w:rPr>
        <w:t xml:space="preserve">对采购标的的功能和质量要求，包括性能、材料、结构、外观、安全，或者服务内容和标准等。</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4、表格不够可另接。</w:t>
      </w:r>
      <w:r/>
    </w:p>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935"/>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935"/>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一、中小微企业声明函（服务类项目）</w:t>
      </w:r>
      <w:r/>
    </w:p>
    <w:p>
      <w:pPr>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jc w:val="center"/>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firstLine="36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微软雅黑">
    <w:panose1 w:val="020B0503020204020204"/>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金梅簡體中黑字形">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950"/>
          <w:jc w:val="center"/>
        </w:pPr>
        <w:r>
          <w:fldChar w:fldCharType="begin"/>
        </w:r>
        <w:r>
          <w:instrText xml:space="preserve">PAGE   \* MERGEFORMAT</w:instrText>
        </w:r>
        <w:r>
          <w:fldChar w:fldCharType="separate"/>
        </w:r>
        <w:r>
          <w:rPr>
            <w:lang w:val="zh-CN"/>
          </w:rPr>
          <w:t xml:space="preserve">-</w:t>
        </w:r>
        <w:r>
          <w:t xml:space="preserve"> 16 -</w:t>
        </w:r>
        <w:r>
          <w:fldChar w:fldCharType="end"/>
        </w:r>
        <w:r/>
      </w:p>
    </w:sdtContent>
  </w:sdt>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5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w:t>
    </w:r>
    <w:r>
      <w:rPr>
        <w:rFonts w:hint="eastAsia" w:ascii="黑体" w:hAnsi="黑体" w:eastAsia="黑体" w:cs="Times New Roman"/>
        <w:bCs/>
        <w:sz w:val="16"/>
        <w:szCs w:val="18"/>
        <w:lang w:val="en-US" w:eastAsia="zh-CN"/>
      </w:rPr>
      <w:t xml:space="preserve">62</w:t>
    </w:r>
    <w:r>
      <w:rPr>
        <w:rFonts w:hint="eastAsia" w:ascii="黑体" w:hAnsi="黑体" w:eastAsia="黑体" w:cs="Times New Roman"/>
        <w:bCs/>
        <w:sz w:val="16"/>
        <w:szCs w:val="18"/>
      </w:rPr>
      <w:t xml:space="preserve"> 人力资源一体化管理平台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363"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33"/>
  </w:num>
  <w:num w:numId="3">
    <w:abstractNumId w:val="6"/>
  </w:num>
  <w:num w:numId="4">
    <w:abstractNumId w:val="5"/>
  </w:num>
  <w:num w:numId="5">
    <w:abstractNumId w:val="23"/>
  </w:num>
  <w:num w:numId="6">
    <w:abstractNumId w:val="12"/>
  </w:num>
  <w:num w:numId="7">
    <w:abstractNumId w:val="3"/>
  </w:num>
  <w:num w:numId="8">
    <w:abstractNumId w:val="29"/>
  </w:num>
  <w:num w:numId="9">
    <w:abstractNumId w:val="40"/>
  </w:num>
  <w:num w:numId="10">
    <w:abstractNumId w:val="4"/>
  </w:num>
  <w:num w:numId="11">
    <w:abstractNumId w:val="22"/>
  </w:num>
  <w:num w:numId="12">
    <w:abstractNumId w:val="30"/>
  </w:num>
  <w:num w:numId="13">
    <w:abstractNumId w:val="39"/>
  </w:num>
  <w:num w:numId="14">
    <w:abstractNumId w:val="37"/>
  </w:num>
  <w:num w:numId="15">
    <w:abstractNumId w:val="28"/>
  </w:num>
  <w:num w:numId="16">
    <w:abstractNumId w:val="18"/>
  </w:num>
  <w:num w:numId="17">
    <w:abstractNumId w:val="8"/>
  </w:num>
  <w:num w:numId="18">
    <w:abstractNumId w:val="17"/>
  </w:num>
  <w:num w:numId="19">
    <w:abstractNumId w:val="27"/>
  </w:num>
  <w:num w:numId="20">
    <w:abstractNumId w:val="19"/>
  </w:num>
  <w:num w:numId="21">
    <w:abstractNumId w:val="1"/>
  </w:num>
  <w:num w:numId="22">
    <w:abstractNumId w:val="35"/>
  </w:num>
  <w:num w:numId="23">
    <w:abstractNumId w:val="38"/>
  </w:num>
  <w:num w:numId="24">
    <w:abstractNumId w:val="10"/>
  </w:num>
  <w:num w:numId="25">
    <w:abstractNumId w:val="26"/>
  </w:num>
  <w:num w:numId="26">
    <w:abstractNumId w:val="16"/>
  </w:num>
  <w:num w:numId="27">
    <w:abstractNumId w:val="21"/>
  </w:num>
  <w:num w:numId="28">
    <w:abstractNumId w:val="20"/>
  </w:num>
  <w:num w:numId="29">
    <w:abstractNumId w:val="0"/>
  </w:num>
  <w:num w:numId="30">
    <w:abstractNumId w:val="11"/>
  </w:num>
  <w:num w:numId="31">
    <w:abstractNumId w:val="13"/>
  </w:num>
  <w:num w:numId="32">
    <w:abstractNumId w:val="2"/>
  </w:num>
  <w:num w:numId="33">
    <w:abstractNumId w:val="7"/>
  </w:num>
  <w:num w:numId="34">
    <w:abstractNumId w:val="15"/>
  </w:num>
  <w:num w:numId="35">
    <w:abstractNumId w:val="24"/>
  </w:num>
  <w:num w:numId="36">
    <w:abstractNumId w:val="32"/>
  </w:num>
  <w:num w:numId="37">
    <w:abstractNumId w:val="9"/>
  </w:num>
  <w:num w:numId="38">
    <w:abstractNumId w:val="36"/>
  </w:num>
  <w:num w:numId="39">
    <w:abstractNumId w:val="25"/>
  </w:num>
  <w:num w:numId="40">
    <w:abstractNumId w:val="31"/>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34"/>
    <w:link w:val="929"/>
    <w:uiPriority w:val="9"/>
    <w:rPr>
      <w:rFonts w:ascii="Arial" w:hAnsi="Arial" w:eastAsia="Arial" w:cs="Arial"/>
      <w:sz w:val="40"/>
      <w:szCs w:val="40"/>
    </w:rPr>
  </w:style>
  <w:style w:type="character" w:styleId="773">
    <w:name w:val="Heading 2 Char"/>
    <w:basedOn w:val="934"/>
    <w:link w:val="930"/>
    <w:uiPriority w:val="9"/>
    <w:rPr>
      <w:rFonts w:ascii="Arial" w:hAnsi="Arial" w:eastAsia="Arial" w:cs="Arial"/>
      <w:sz w:val="34"/>
    </w:rPr>
  </w:style>
  <w:style w:type="character" w:styleId="774">
    <w:name w:val="Heading 3 Char"/>
    <w:basedOn w:val="934"/>
    <w:link w:val="931"/>
    <w:uiPriority w:val="9"/>
    <w:rPr>
      <w:rFonts w:ascii="Arial" w:hAnsi="Arial" w:eastAsia="Arial" w:cs="Arial"/>
      <w:sz w:val="30"/>
      <w:szCs w:val="30"/>
    </w:rPr>
  </w:style>
  <w:style w:type="character" w:styleId="775">
    <w:name w:val="Heading 4 Char"/>
    <w:basedOn w:val="934"/>
    <w:link w:val="932"/>
    <w:uiPriority w:val="9"/>
    <w:rPr>
      <w:rFonts w:ascii="Arial" w:hAnsi="Arial" w:eastAsia="Arial" w:cs="Arial"/>
      <w:b/>
      <w:bCs/>
      <w:sz w:val="26"/>
      <w:szCs w:val="26"/>
    </w:rPr>
  </w:style>
  <w:style w:type="character" w:styleId="776">
    <w:name w:val="Heading 5 Char"/>
    <w:basedOn w:val="934"/>
    <w:link w:val="933"/>
    <w:uiPriority w:val="9"/>
    <w:rPr>
      <w:rFonts w:ascii="Arial" w:hAnsi="Arial" w:eastAsia="Arial" w:cs="Arial"/>
      <w:b/>
      <w:bCs/>
      <w:sz w:val="24"/>
      <w:szCs w:val="24"/>
    </w:rPr>
  </w:style>
  <w:style w:type="paragraph" w:styleId="777">
    <w:name w:val="Heading 6"/>
    <w:basedOn w:val="928"/>
    <w:next w:val="928"/>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basedOn w:val="934"/>
    <w:link w:val="777"/>
    <w:uiPriority w:val="9"/>
    <w:rPr>
      <w:rFonts w:ascii="Arial" w:hAnsi="Arial" w:eastAsia="Arial" w:cs="Arial"/>
      <w:b/>
      <w:bCs/>
      <w:sz w:val="22"/>
      <w:szCs w:val="22"/>
    </w:rPr>
  </w:style>
  <w:style w:type="paragraph" w:styleId="779">
    <w:name w:val="Heading 7"/>
    <w:basedOn w:val="928"/>
    <w:next w:val="928"/>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basedOn w:val="934"/>
    <w:link w:val="779"/>
    <w:uiPriority w:val="9"/>
    <w:rPr>
      <w:rFonts w:ascii="Arial" w:hAnsi="Arial" w:eastAsia="Arial" w:cs="Arial"/>
      <w:b/>
      <w:bCs/>
      <w:i/>
      <w:iCs/>
      <w:sz w:val="22"/>
      <w:szCs w:val="22"/>
    </w:rPr>
  </w:style>
  <w:style w:type="paragraph" w:styleId="781">
    <w:name w:val="Heading 8"/>
    <w:basedOn w:val="928"/>
    <w:next w:val="928"/>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basedOn w:val="934"/>
    <w:link w:val="781"/>
    <w:uiPriority w:val="9"/>
    <w:rPr>
      <w:rFonts w:ascii="Arial" w:hAnsi="Arial" w:eastAsia="Arial" w:cs="Arial"/>
      <w:i/>
      <w:iCs/>
      <w:sz w:val="22"/>
      <w:szCs w:val="22"/>
    </w:rPr>
  </w:style>
  <w:style w:type="paragraph" w:styleId="783">
    <w:name w:val="Heading 9"/>
    <w:basedOn w:val="928"/>
    <w:next w:val="928"/>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basedOn w:val="934"/>
    <w:link w:val="783"/>
    <w:uiPriority w:val="9"/>
    <w:rPr>
      <w:rFonts w:ascii="Arial" w:hAnsi="Arial" w:eastAsia="Arial" w:cs="Arial"/>
      <w:i/>
      <w:iCs/>
      <w:sz w:val="21"/>
      <w:szCs w:val="21"/>
    </w:rPr>
  </w:style>
  <w:style w:type="character" w:styleId="785">
    <w:name w:val="Title Char"/>
    <w:basedOn w:val="934"/>
    <w:link w:val="958"/>
    <w:uiPriority w:val="10"/>
    <w:rPr>
      <w:sz w:val="48"/>
      <w:szCs w:val="48"/>
    </w:rPr>
  </w:style>
  <w:style w:type="paragraph" w:styleId="786">
    <w:name w:val="Subtitle"/>
    <w:basedOn w:val="928"/>
    <w:next w:val="928"/>
    <w:link w:val="787"/>
    <w:uiPriority w:val="11"/>
    <w:qFormat/>
    <w:pPr>
      <w:spacing w:before="200" w:after="200"/>
    </w:pPr>
    <w:rPr>
      <w:sz w:val="24"/>
      <w:szCs w:val="24"/>
    </w:rPr>
  </w:style>
  <w:style w:type="character" w:styleId="787">
    <w:name w:val="Subtitle Char"/>
    <w:basedOn w:val="934"/>
    <w:link w:val="786"/>
    <w:uiPriority w:val="11"/>
    <w:rPr>
      <w:sz w:val="24"/>
      <w:szCs w:val="24"/>
    </w:rPr>
  </w:style>
  <w:style w:type="paragraph" w:styleId="788">
    <w:name w:val="Quote"/>
    <w:basedOn w:val="928"/>
    <w:next w:val="928"/>
    <w:link w:val="789"/>
    <w:uiPriority w:val="29"/>
    <w:qFormat/>
    <w:pPr>
      <w:ind w:left="720" w:right="720"/>
    </w:pPr>
    <w:rPr>
      <w:i/>
    </w:rPr>
  </w:style>
  <w:style w:type="character" w:styleId="789">
    <w:name w:val="Quote Char"/>
    <w:link w:val="788"/>
    <w:uiPriority w:val="29"/>
    <w:rPr>
      <w:i/>
    </w:rPr>
  </w:style>
  <w:style w:type="paragraph" w:styleId="790">
    <w:name w:val="Intense Quote"/>
    <w:basedOn w:val="928"/>
    <w:next w:val="928"/>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character" w:styleId="792">
    <w:name w:val="Header Char"/>
    <w:basedOn w:val="934"/>
    <w:link w:val="951"/>
    <w:uiPriority w:val="99"/>
  </w:style>
  <w:style w:type="character" w:styleId="793">
    <w:name w:val="Footer Char"/>
    <w:basedOn w:val="934"/>
    <w:link w:val="950"/>
    <w:uiPriority w:val="99"/>
  </w:style>
  <w:style w:type="paragraph" w:styleId="794">
    <w:name w:val="Caption"/>
    <w:basedOn w:val="928"/>
    <w:next w:val="928"/>
    <w:uiPriority w:val="35"/>
    <w:semiHidden/>
    <w:unhideWhenUsed/>
    <w:qFormat/>
    <w:pPr>
      <w:spacing w:line="276" w:lineRule="auto"/>
    </w:pPr>
    <w:rPr>
      <w:b/>
      <w:bCs/>
      <w:color w:val="4f81bd" w:themeColor="accent1"/>
      <w:sz w:val="18"/>
      <w:szCs w:val="18"/>
    </w:rPr>
  </w:style>
  <w:style w:type="character" w:styleId="795">
    <w:name w:val="Caption Char"/>
    <w:basedOn w:val="794"/>
    <w:link w:val="950"/>
    <w:uiPriority w:val="99"/>
  </w:style>
  <w:style w:type="table" w:styleId="796">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1">
    <w:name w:val="footnote text"/>
    <w:basedOn w:val="92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basedOn w:val="934"/>
    <w:uiPriority w:val="99"/>
    <w:unhideWhenUsed/>
    <w:rPr>
      <w:vertAlign w:val="superscript"/>
    </w:rPr>
  </w:style>
  <w:style w:type="paragraph" w:styleId="924">
    <w:name w:val="endnote text"/>
    <w:basedOn w:val="92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basedOn w:val="934"/>
    <w:uiPriority w:val="99"/>
    <w:semiHidden/>
    <w:unhideWhenUsed/>
    <w:rPr>
      <w:vertAlign w:val="superscript"/>
    </w:rPr>
  </w:style>
  <w:style w:type="paragraph" w:styleId="927">
    <w:name w:val="table of figures"/>
    <w:basedOn w:val="928"/>
    <w:next w:val="928"/>
    <w:uiPriority w:val="99"/>
    <w:unhideWhenUsed/>
    <w:pPr>
      <w:spacing w:after="0" w:afterAutospacing="0"/>
    </w:pPr>
  </w:style>
  <w:style w:type="paragraph" w:styleId="928" w:default="1">
    <w:name w:val="Normal"/>
    <w:next w:val="936"/>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29">
    <w:name w:val="Heading 1"/>
    <w:basedOn w:val="928"/>
    <w:next w:val="928"/>
    <w:link w:val="985"/>
    <w:uiPriority w:val="9"/>
    <w:qFormat/>
    <w:pPr>
      <w:keepLines/>
      <w:keepNext/>
      <w:spacing w:before="340" w:after="330" w:line="578" w:lineRule="auto"/>
      <w:outlineLvl w:val="0"/>
    </w:pPr>
    <w:rPr>
      <w:b/>
      <w:bCs/>
      <w:sz w:val="44"/>
      <w:szCs w:val="44"/>
    </w:rPr>
  </w:style>
  <w:style w:type="paragraph" w:styleId="930">
    <w:name w:val="Heading 2"/>
    <w:basedOn w:val="928"/>
    <w:next w:val="928"/>
    <w:link w:val="990"/>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31">
    <w:name w:val="Heading 3"/>
    <w:basedOn w:val="928"/>
    <w:next w:val="928"/>
    <w:link w:val="991"/>
    <w:uiPriority w:val="9"/>
    <w:semiHidden/>
    <w:unhideWhenUsed/>
    <w:qFormat/>
    <w:pPr>
      <w:keepLines/>
      <w:keepNext/>
      <w:spacing w:before="260" w:after="260" w:line="416" w:lineRule="auto"/>
      <w:outlineLvl w:val="2"/>
    </w:pPr>
    <w:rPr>
      <w:b/>
      <w:bCs/>
      <w:sz w:val="32"/>
      <w:szCs w:val="32"/>
    </w:rPr>
  </w:style>
  <w:style w:type="paragraph" w:styleId="932">
    <w:name w:val="Heading 4"/>
    <w:basedOn w:val="928"/>
    <w:next w:val="928"/>
    <w:link w:val="99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33">
    <w:name w:val="Heading 5"/>
    <w:basedOn w:val="928"/>
    <w:next w:val="928"/>
    <w:link w:val="993"/>
    <w:uiPriority w:val="9"/>
    <w:semiHidden/>
    <w:unhideWhenUsed/>
    <w:qFormat/>
    <w:pPr>
      <w:keepLines/>
      <w:keepNext/>
      <w:spacing w:before="280" w:after="290" w:line="376" w:lineRule="auto"/>
      <w:outlineLvl w:val="4"/>
    </w:pPr>
    <w:rPr>
      <w:b/>
      <w:bCs/>
      <w:sz w:val="28"/>
      <w:szCs w:val="28"/>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name w:val="Body Text First Indent 2"/>
    <w:basedOn w:val="937"/>
    <w:link w:val="989"/>
    <w:uiPriority w:val="0"/>
    <w:unhideWhenUsed/>
    <w:qFormat/>
    <w:pPr>
      <w:ind w:firstLine="420"/>
    </w:pPr>
  </w:style>
  <w:style w:type="paragraph" w:styleId="937">
    <w:name w:val="Body Text Indent"/>
    <w:basedOn w:val="928"/>
    <w:link w:val="979"/>
    <w:uiPriority w:val="0"/>
    <w:unhideWhenUsed/>
    <w:qFormat/>
    <w:pPr>
      <w:ind w:left="420"/>
      <w:spacing w:after="120"/>
    </w:pPr>
  </w:style>
  <w:style w:type="paragraph" w:styleId="938">
    <w:name w:val="toc 7"/>
    <w:basedOn w:val="928"/>
    <w:next w:val="928"/>
    <w:uiPriority w:val="39"/>
    <w:unhideWhenUsed/>
    <w:qFormat/>
    <w:pPr>
      <w:ind w:left="1260"/>
      <w:jc w:val="left"/>
    </w:pPr>
    <w:rPr>
      <w:sz w:val="18"/>
      <w:szCs w:val="18"/>
    </w:rPr>
  </w:style>
  <w:style w:type="paragraph" w:styleId="939">
    <w:name w:val="Note Heading"/>
    <w:basedOn w:val="928"/>
    <w:next w:val="928"/>
    <w:link w:val="994"/>
    <w:uiPriority w:val="0"/>
    <w:qFormat/>
    <w:pPr>
      <w:jc w:val="center"/>
    </w:pPr>
    <w:rPr>
      <w:rFonts w:ascii="金梅簡體中黑字形" w:hAnsi="Arial" w:eastAsia="金梅簡體中黑字形" w:cs="Times New Roman"/>
      <w:sz w:val="24"/>
      <w:szCs w:val="24"/>
    </w:rPr>
  </w:style>
  <w:style w:type="paragraph" w:styleId="940">
    <w:name w:val="Normal Indent"/>
    <w:basedOn w:val="928"/>
    <w:uiPriority w:val="99"/>
    <w:semiHidden/>
    <w:unhideWhenUsed/>
    <w:qFormat/>
    <w:pPr>
      <w:ind w:left="720"/>
    </w:pPr>
  </w:style>
  <w:style w:type="paragraph" w:styleId="941">
    <w:name w:val="Document Map"/>
    <w:basedOn w:val="928"/>
    <w:link w:val="995"/>
    <w:uiPriority w:val="99"/>
    <w:qFormat/>
    <w:rPr>
      <w:rFonts w:ascii="宋体"/>
      <w:sz w:val="18"/>
      <w:szCs w:val="18"/>
    </w:rPr>
  </w:style>
  <w:style w:type="paragraph" w:styleId="942">
    <w:name w:val="annotation text"/>
    <w:basedOn w:val="928"/>
    <w:link w:val="972"/>
    <w:uiPriority w:val="99"/>
    <w:unhideWhenUsed/>
    <w:qFormat/>
    <w:pPr>
      <w:jc w:val="left"/>
    </w:pPr>
  </w:style>
  <w:style w:type="paragraph" w:styleId="943">
    <w:name w:val="Body Text 3"/>
    <w:basedOn w:val="928"/>
    <w:link w:val="996"/>
    <w:uiPriority w:val="0"/>
    <w:qFormat/>
    <w:rPr>
      <w:rFonts w:ascii="仿宋_GB2312" w:eastAsia="仿宋_GB2312"/>
      <w:sz w:val="24"/>
    </w:rPr>
  </w:style>
  <w:style w:type="paragraph" w:styleId="944">
    <w:name w:val="Body Text"/>
    <w:basedOn w:val="928"/>
    <w:link w:val="975"/>
    <w:uiPriority w:val="0"/>
    <w:qFormat/>
    <w:pPr>
      <w:spacing w:line="360" w:lineRule="auto"/>
    </w:pPr>
    <w:rPr>
      <w:rFonts w:ascii="楷体_GB2312" w:hAnsi="Times New Roman" w:eastAsia="楷体_GB2312" w:cs="Times New Roman"/>
      <w:bCs/>
      <w:sz w:val="28"/>
      <w:szCs w:val="24"/>
    </w:rPr>
  </w:style>
  <w:style w:type="paragraph" w:styleId="945">
    <w:name w:val="toc 5"/>
    <w:basedOn w:val="928"/>
    <w:next w:val="928"/>
    <w:uiPriority w:val="39"/>
    <w:unhideWhenUsed/>
    <w:qFormat/>
    <w:pPr>
      <w:ind w:left="840"/>
      <w:jc w:val="left"/>
    </w:pPr>
    <w:rPr>
      <w:sz w:val="18"/>
      <w:szCs w:val="18"/>
    </w:rPr>
  </w:style>
  <w:style w:type="paragraph" w:styleId="946">
    <w:name w:val="toc 3"/>
    <w:basedOn w:val="928"/>
    <w:next w:val="928"/>
    <w:uiPriority w:val="39"/>
    <w:unhideWhenUsed/>
    <w:qFormat/>
    <w:pPr>
      <w:ind w:left="420"/>
      <w:jc w:val="left"/>
    </w:pPr>
    <w:rPr>
      <w:i/>
      <w:iCs/>
      <w:sz w:val="20"/>
      <w:szCs w:val="20"/>
    </w:rPr>
  </w:style>
  <w:style w:type="paragraph" w:styleId="947">
    <w:name w:val="Plain Text"/>
    <w:basedOn w:val="928"/>
    <w:link w:val="997"/>
    <w:uiPriority w:val="0"/>
    <w:qFormat/>
    <w:rPr>
      <w:rFonts w:hAnsi="Courier New" w:cs="Courier New" w:asciiTheme="minorEastAsia"/>
    </w:rPr>
  </w:style>
  <w:style w:type="paragraph" w:styleId="948">
    <w:name w:val="toc 8"/>
    <w:basedOn w:val="928"/>
    <w:next w:val="928"/>
    <w:uiPriority w:val="39"/>
    <w:unhideWhenUsed/>
    <w:qFormat/>
    <w:pPr>
      <w:ind w:left="1470"/>
      <w:jc w:val="left"/>
    </w:pPr>
    <w:rPr>
      <w:sz w:val="18"/>
      <w:szCs w:val="18"/>
    </w:rPr>
  </w:style>
  <w:style w:type="paragraph" w:styleId="949">
    <w:name w:val="Balloon Text"/>
    <w:basedOn w:val="928"/>
    <w:link w:val="970"/>
    <w:uiPriority w:val="99"/>
    <w:semiHidden/>
    <w:unhideWhenUsed/>
    <w:qFormat/>
    <w:rPr>
      <w:sz w:val="18"/>
      <w:szCs w:val="18"/>
    </w:rPr>
  </w:style>
  <w:style w:type="paragraph" w:styleId="950">
    <w:name w:val="Footer"/>
    <w:basedOn w:val="928"/>
    <w:link w:val="968"/>
    <w:uiPriority w:val="99"/>
    <w:unhideWhenUsed/>
    <w:qFormat/>
    <w:pPr>
      <w:jc w:val="left"/>
      <w:tabs>
        <w:tab w:val="center" w:pos="4153" w:leader="none"/>
        <w:tab w:val="right" w:pos="8306" w:leader="none"/>
      </w:tabs>
    </w:pPr>
    <w:rPr>
      <w:sz w:val="18"/>
      <w:szCs w:val="18"/>
    </w:rPr>
  </w:style>
  <w:style w:type="paragraph" w:styleId="951">
    <w:name w:val="Header"/>
    <w:basedOn w:val="928"/>
    <w:link w:val="96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52">
    <w:name w:val="toc 1"/>
    <w:basedOn w:val="928"/>
    <w:next w:val="928"/>
    <w:uiPriority w:val="39"/>
    <w:unhideWhenUsed/>
    <w:qFormat/>
    <w:pPr>
      <w:jc w:val="left"/>
      <w:spacing w:before="120" w:after="120"/>
    </w:pPr>
    <w:rPr>
      <w:b/>
      <w:bCs/>
      <w:caps/>
      <w:sz w:val="20"/>
      <w:szCs w:val="20"/>
    </w:rPr>
  </w:style>
  <w:style w:type="paragraph" w:styleId="953">
    <w:name w:val="toc 4"/>
    <w:basedOn w:val="928"/>
    <w:next w:val="928"/>
    <w:uiPriority w:val="39"/>
    <w:unhideWhenUsed/>
    <w:qFormat/>
    <w:pPr>
      <w:ind w:left="630"/>
      <w:jc w:val="left"/>
    </w:pPr>
    <w:rPr>
      <w:sz w:val="18"/>
      <w:szCs w:val="18"/>
    </w:rPr>
  </w:style>
  <w:style w:type="paragraph" w:styleId="954">
    <w:name w:val="toc 6"/>
    <w:basedOn w:val="928"/>
    <w:next w:val="928"/>
    <w:uiPriority w:val="39"/>
    <w:unhideWhenUsed/>
    <w:qFormat/>
    <w:pPr>
      <w:ind w:left="1050"/>
      <w:jc w:val="left"/>
    </w:pPr>
    <w:rPr>
      <w:sz w:val="18"/>
      <w:szCs w:val="18"/>
    </w:rPr>
  </w:style>
  <w:style w:type="paragraph" w:styleId="955">
    <w:name w:val="toc 2"/>
    <w:basedOn w:val="928"/>
    <w:next w:val="928"/>
    <w:uiPriority w:val="39"/>
    <w:unhideWhenUsed/>
    <w:qFormat/>
    <w:pPr>
      <w:ind w:left="210"/>
      <w:jc w:val="left"/>
    </w:pPr>
    <w:rPr>
      <w:smallCaps/>
      <w:sz w:val="20"/>
      <w:szCs w:val="20"/>
    </w:rPr>
  </w:style>
  <w:style w:type="paragraph" w:styleId="956">
    <w:name w:val="toc 9"/>
    <w:basedOn w:val="928"/>
    <w:next w:val="928"/>
    <w:uiPriority w:val="39"/>
    <w:unhideWhenUsed/>
    <w:qFormat/>
    <w:pPr>
      <w:ind w:left="1680"/>
      <w:jc w:val="left"/>
    </w:pPr>
    <w:rPr>
      <w:sz w:val="18"/>
      <w:szCs w:val="18"/>
    </w:rPr>
  </w:style>
  <w:style w:type="paragraph" w:styleId="957">
    <w:name w:val="Normal (Web)"/>
    <w:basedOn w:val="928"/>
    <w:uiPriority w:val="0"/>
    <w:qFormat/>
    <w:pPr>
      <w:jc w:val="left"/>
      <w:spacing w:before="100" w:beforeAutospacing="1" w:after="100" w:afterAutospacing="1"/>
      <w:widowControl/>
    </w:pPr>
    <w:rPr>
      <w:rFonts w:ascii="宋体" w:hAnsi="宋体" w:cs="宋体"/>
      <w:sz w:val="24"/>
      <w:szCs w:val="24"/>
    </w:rPr>
  </w:style>
  <w:style w:type="paragraph" w:styleId="958">
    <w:name w:val="Title"/>
    <w:basedOn w:val="928"/>
    <w:next w:val="928"/>
    <w:link w:val="966"/>
    <w:uiPriority w:val="10"/>
    <w:qFormat/>
    <w:pPr>
      <w:jc w:val="center"/>
      <w:spacing w:line="400" w:lineRule="exact"/>
      <w:outlineLvl w:val="0"/>
    </w:pPr>
    <w:rPr>
      <w:rFonts w:eastAsia="黑体" w:asciiTheme="majorHAnsi" w:hAnsiTheme="majorHAnsi" w:cstheme="majorBidi"/>
      <w:bCs/>
      <w:sz w:val="30"/>
      <w:szCs w:val="32"/>
    </w:rPr>
  </w:style>
  <w:style w:type="paragraph" w:styleId="959">
    <w:name w:val="annotation subject"/>
    <w:basedOn w:val="942"/>
    <w:next w:val="942"/>
    <w:link w:val="973"/>
    <w:uiPriority w:val="99"/>
    <w:semiHidden/>
    <w:unhideWhenUsed/>
    <w:qFormat/>
    <w:rPr>
      <w:b/>
      <w:bCs/>
    </w:rPr>
  </w:style>
  <w:style w:type="paragraph" w:styleId="960">
    <w:name w:val="Body Text First Indent"/>
    <w:basedOn w:val="944"/>
    <w:link w:val="998"/>
    <w:uiPriority w:val="0"/>
    <w:qFormat/>
    <w:pPr>
      <w:ind w:firstLine="420"/>
      <w:spacing w:after="120" w:line="240" w:lineRule="auto"/>
    </w:pPr>
    <w:rPr>
      <w:rFonts w:ascii="宋体" w:hAnsi="宋体" w:eastAsia="宋体" w:cstheme="minorBidi"/>
      <w:sz w:val="24"/>
      <w:szCs w:val="22"/>
    </w:rPr>
  </w:style>
  <w:style w:type="table" w:styleId="961">
    <w:name w:val="Table Grid"/>
    <w:basedOn w:val="9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basedOn w:val="934"/>
    <w:uiPriority w:val="22"/>
    <w:qFormat/>
    <w:rPr>
      <w:b/>
      <w:bCs/>
    </w:rPr>
  </w:style>
  <w:style w:type="character" w:styleId="963">
    <w:name w:val="page number"/>
    <w:uiPriority w:val="0"/>
    <w:qFormat/>
  </w:style>
  <w:style w:type="character" w:styleId="964">
    <w:name w:val="Hyperlink"/>
    <w:basedOn w:val="934"/>
    <w:uiPriority w:val="99"/>
    <w:unhideWhenUsed/>
    <w:qFormat/>
    <w:rPr>
      <w:color w:val="0000ff" w:themeColor="hyperlink"/>
      <w:u w:val="single"/>
      <w14:textFill>
        <w14:solidFill>
          <w14:schemeClr w14:val="hlink"/>
        </w14:solidFill>
      </w14:textFill>
    </w:rPr>
  </w:style>
  <w:style w:type="character" w:styleId="965">
    <w:name w:val="annotation reference"/>
    <w:basedOn w:val="934"/>
    <w:uiPriority w:val="99"/>
    <w:semiHidden/>
    <w:unhideWhenUsed/>
    <w:qFormat/>
    <w:rPr>
      <w:sz w:val="21"/>
      <w:szCs w:val="21"/>
    </w:rPr>
  </w:style>
  <w:style w:type="character" w:styleId="966" w:customStyle="1">
    <w:name w:val="标题 Char"/>
    <w:basedOn w:val="934"/>
    <w:link w:val="958"/>
    <w:uiPriority w:val="10"/>
    <w:qFormat/>
    <w:rPr>
      <w:rFonts w:eastAsia="黑体" w:asciiTheme="majorHAnsi" w:hAnsiTheme="majorHAnsi" w:cstheme="majorBidi"/>
      <w:bCs/>
      <w:sz w:val="30"/>
      <w:szCs w:val="32"/>
    </w:rPr>
  </w:style>
  <w:style w:type="character" w:styleId="967" w:customStyle="1">
    <w:name w:val="页眉 Char"/>
    <w:basedOn w:val="934"/>
    <w:link w:val="951"/>
    <w:uiPriority w:val="0"/>
    <w:qFormat/>
    <w:rPr>
      <w:sz w:val="18"/>
      <w:szCs w:val="18"/>
    </w:rPr>
  </w:style>
  <w:style w:type="character" w:styleId="968" w:customStyle="1">
    <w:name w:val="页脚 Char"/>
    <w:basedOn w:val="934"/>
    <w:link w:val="950"/>
    <w:uiPriority w:val="99"/>
    <w:qFormat/>
    <w:rPr>
      <w:sz w:val="18"/>
      <w:szCs w:val="18"/>
    </w:rPr>
  </w:style>
  <w:style w:type="character" w:styleId="969" w:customStyle="1">
    <w:name w:val="font2800"/>
    <w:basedOn w:val="934"/>
    <w:uiPriority w:val="0"/>
    <w:qFormat/>
  </w:style>
  <w:style w:type="character" w:styleId="970" w:customStyle="1">
    <w:name w:val="批注框文本 Char"/>
    <w:basedOn w:val="934"/>
    <w:link w:val="949"/>
    <w:uiPriority w:val="99"/>
    <w:semiHidden/>
    <w:qFormat/>
    <w:rPr>
      <w:sz w:val="18"/>
      <w:szCs w:val="18"/>
    </w:rPr>
  </w:style>
  <w:style w:type="table" w:styleId="971" w:customStyle="1">
    <w:name w:val="网格型1"/>
    <w:basedOn w:val="935"/>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2" w:customStyle="1">
    <w:name w:val="批注文字 Char"/>
    <w:basedOn w:val="934"/>
    <w:link w:val="942"/>
    <w:uiPriority w:val="99"/>
    <w:qFormat/>
  </w:style>
  <w:style w:type="character" w:styleId="973" w:customStyle="1">
    <w:name w:val="批注主题 Char"/>
    <w:basedOn w:val="972"/>
    <w:link w:val="959"/>
    <w:uiPriority w:val="99"/>
    <w:semiHidden/>
    <w:qFormat/>
    <w:rPr>
      <w:b/>
      <w:bCs/>
    </w:rPr>
  </w:style>
  <w:style w:type="character" w:styleId="974" w:customStyle="1">
    <w:name w:val="正文文本 Char"/>
    <w:basedOn w:val="934"/>
    <w:uiPriority w:val="0"/>
    <w:qFormat/>
  </w:style>
  <w:style w:type="character" w:styleId="975" w:customStyle="1">
    <w:name w:val="正文文本 Char1"/>
    <w:link w:val="944"/>
    <w:uiPriority w:val="0"/>
    <w:qFormat/>
    <w:rPr>
      <w:rFonts w:ascii="楷体_GB2312" w:hAnsi="Times New Roman" w:eastAsia="楷体_GB2312" w:cs="Times New Roman"/>
      <w:bCs/>
      <w:sz w:val="28"/>
      <w:szCs w:val="24"/>
    </w:rPr>
  </w:style>
  <w:style w:type="paragraph" w:styleId="976" w:customStyle="1">
    <w:name w:val="Table Paragraph"/>
    <w:basedOn w:val="928"/>
    <w:uiPriority w:val="1"/>
    <w:qFormat/>
    <w:pPr>
      <w:ind w:firstLine="260"/>
      <w:jc w:val="left"/>
      <w:spacing w:line="360" w:lineRule="auto"/>
    </w:pPr>
    <w:rPr>
      <w:rFonts w:ascii="Calibri" w:hAnsi="Calibri" w:eastAsia="仿宋" w:cs="Times New Roman"/>
      <w:sz w:val="28"/>
      <w:lang w:eastAsia="en-US"/>
    </w:rPr>
  </w:style>
  <w:style w:type="paragraph" w:styleId="977">
    <w:name w:val="No Spacing"/>
    <w:link w:val="978"/>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78" w:customStyle="1">
    <w:name w:val="无间隔 Char"/>
    <w:link w:val="977"/>
    <w:uiPriority w:val="1"/>
    <w:qFormat/>
    <w:rPr>
      <w:rFonts w:ascii="宋体" w:hAnsi="宋体"/>
      <w:sz w:val="24"/>
    </w:rPr>
  </w:style>
  <w:style w:type="character" w:styleId="979" w:customStyle="1">
    <w:name w:val="正文文本缩进 Char"/>
    <w:basedOn w:val="934"/>
    <w:link w:val="937"/>
    <w:uiPriority w:val="0"/>
    <w:qFormat/>
  </w:style>
  <w:style w:type="table" w:styleId="980" w:customStyle="1">
    <w:name w:val="网格型2"/>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1" w:customStyle="1">
    <w:name w:val="Revision"/>
    <w:hidden/>
    <w:uiPriority w:val="99"/>
    <w:unhideWhenUsed/>
    <w:qFormat/>
    <w:rPr>
      <w:rFonts w:asciiTheme="minorHAnsi" w:hAnsiTheme="minorHAnsi" w:eastAsiaTheme="minorEastAsia" w:cstheme="minorBidi"/>
      <w:sz w:val="21"/>
      <w:szCs w:val="22"/>
      <w:lang w:val="en-US" w:eastAsia="zh-CN" w:bidi="ar-SA"/>
    </w:rPr>
  </w:style>
  <w:style w:type="table" w:styleId="982" w:customStyle="1">
    <w:name w:val="网格型3"/>
    <w:basedOn w:val="935"/>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customStyle="1">
    <w:name w:val="网格型4"/>
    <w:basedOn w:val="93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4"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985" w:customStyle="1">
    <w:name w:val="标题 1 Char"/>
    <w:basedOn w:val="934"/>
    <w:link w:val="929"/>
    <w:uiPriority w:val="9"/>
    <w:qFormat/>
    <w:rPr>
      <w:b/>
      <w:bCs/>
      <w:sz w:val="44"/>
      <w:szCs w:val="44"/>
    </w:rPr>
  </w:style>
  <w:style w:type="paragraph" w:styleId="986" w:customStyle="1">
    <w:name w:val="TOC Heading"/>
    <w:basedOn w:val="929"/>
    <w:next w:val="928"/>
    <w:uiPriority w:val="39"/>
    <w:semiHidden/>
    <w:unhideWhenUsed/>
    <w:qFormat/>
    <w:pPr>
      <w:outlineLvl w:val="9"/>
    </w:pPr>
  </w:style>
  <w:style w:type="character" w:styleId="987" w:customStyle="1">
    <w:name w:val="font21"/>
    <w:basedOn w:val="934"/>
    <w:uiPriority w:val="0"/>
    <w:qFormat/>
    <w:rPr>
      <w:rFonts w:ascii="Calibri" w:hAnsi="Calibri" w:cs="Calibri"/>
      <w:color w:val="000000"/>
      <w:sz w:val="21"/>
      <w:szCs w:val="21"/>
      <w:u w:val="none"/>
    </w:rPr>
  </w:style>
  <w:style w:type="character" w:styleId="988" w:customStyle="1">
    <w:name w:val="font11"/>
    <w:basedOn w:val="934"/>
    <w:uiPriority w:val="0"/>
    <w:qFormat/>
    <w:rPr>
      <w:rFonts w:hint="eastAsia" w:ascii="宋体" w:hAnsi="宋体" w:eastAsia="宋体" w:cs="宋体"/>
      <w:color w:val="000000"/>
      <w:sz w:val="21"/>
      <w:szCs w:val="21"/>
      <w:u w:val="none"/>
    </w:rPr>
  </w:style>
  <w:style w:type="character" w:styleId="989" w:customStyle="1">
    <w:name w:val="正文首行缩进 2 Char"/>
    <w:basedOn w:val="979"/>
    <w:link w:val="936"/>
    <w:uiPriority w:val="0"/>
    <w:qFormat/>
  </w:style>
  <w:style w:type="character" w:styleId="990" w:customStyle="1">
    <w:name w:val="标题 2 Char"/>
    <w:basedOn w:val="934"/>
    <w:link w:val="930"/>
    <w:uiPriority w:val="9"/>
    <w:semiHidden/>
    <w:qFormat/>
    <w:rPr>
      <w:rFonts w:asciiTheme="majorHAnsi" w:hAnsiTheme="majorHAnsi" w:eastAsiaTheme="majorEastAsia" w:cstheme="majorBidi"/>
      <w:b/>
      <w:bCs/>
      <w:sz w:val="32"/>
      <w:szCs w:val="32"/>
    </w:rPr>
  </w:style>
  <w:style w:type="character" w:styleId="991" w:customStyle="1">
    <w:name w:val="标题 3 Char"/>
    <w:basedOn w:val="934"/>
    <w:link w:val="931"/>
    <w:uiPriority w:val="9"/>
    <w:semiHidden/>
    <w:qFormat/>
    <w:rPr>
      <w:b/>
      <w:bCs/>
      <w:sz w:val="32"/>
      <w:szCs w:val="32"/>
    </w:rPr>
  </w:style>
  <w:style w:type="character" w:styleId="992" w:customStyle="1">
    <w:name w:val="标题 4 Char"/>
    <w:basedOn w:val="934"/>
    <w:link w:val="932"/>
    <w:uiPriority w:val="9"/>
    <w:semiHidden/>
    <w:qFormat/>
    <w:rPr>
      <w:rFonts w:asciiTheme="majorHAnsi" w:hAnsiTheme="majorHAnsi" w:eastAsiaTheme="majorEastAsia" w:cstheme="majorBidi"/>
      <w:b/>
      <w:bCs/>
      <w:sz w:val="28"/>
      <w:szCs w:val="28"/>
    </w:rPr>
  </w:style>
  <w:style w:type="character" w:styleId="993" w:customStyle="1">
    <w:name w:val="标题 5 Char"/>
    <w:basedOn w:val="934"/>
    <w:link w:val="933"/>
    <w:uiPriority w:val="9"/>
    <w:semiHidden/>
    <w:qFormat/>
    <w:rPr>
      <w:b/>
      <w:bCs/>
      <w:sz w:val="28"/>
      <w:szCs w:val="28"/>
    </w:rPr>
  </w:style>
  <w:style w:type="character" w:styleId="994" w:customStyle="1">
    <w:name w:val="注释标题 Char"/>
    <w:basedOn w:val="934"/>
    <w:link w:val="939"/>
    <w:uiPriority w:val="0"/>
    <w:qFormat/>
    <w:rPr>
      <w:rFonts w:ascii="金梅簡體中黑字形" w:hAnsi="Arial" w:eastAsia="金梅簡體中黑字形" w:cs="Times New Roman"/>
      <w:sz w:val="24"/>
      <w:szCs w:val="24"/>
    </w:rPr>
  </w:style>
  <w:style w:type="character" w:styleId="995" w:customStyle="1">
    <w:name w:val="文档结构图 Char"/>
    <w:basedOn w:val="934"/>
    <w:link w:val="941"/>
    <w:uiPriority w:val="99"/>
    <w:qFormat/>
    <w:rPr>
      <w:rFonts w:ascii="宋体"/>
      <w:sz w:val="18"/>
      <w:szCs w:val="18"/>
    </w:rPr>
  </w:style>
  <w:style w:type="character" w:styleId="996" w:customStyle="1">
    <w:name w:val="正文文本 3 Char"/>
    <w:basedOn w:val="934"/>
    <w:link w:val="943"/>
    <w:uiPriority w:val="0"/>
    <w:qFormat/>
    <w:rPr>
      <w:rFonts w:ascii="仿宋_GB2312" w:eastAsia="仿宋_GB2312"/>
      <w:sz w:val="24"/>
    </w:rPr>
  </w:style>
  <w:style w:type="character" w:styleId="997" w:customStyle="1">
    <w:name w:val="纯文本 Char"/>
    <w:basedOn w:val="934"/>
    <w:link w:val="947"/>
    <w:uiPriority w:val="0"/>
    <w:qFormat/>
    <w:rPr>
      <w:rFonts w:hAnsi="Courier New" w:cs="Courier New" w:asciiTheme="minorEastAsia"/>
    </w:rPr>
  </w:style>
  <w:style w:type="character" w:styleId="998" w:customStyle="1">
    <w:name w:val="正文首行缩进 Char"/>
    <w:basedOn w:val="975"/>
    <w:link w:val="960"/>
    <w:uiPriority w:val="0"/>
    <w:qFormat/>
    <w:rPr>
      <w:rFonts w:ascii="宋体" w:hAnsi="宋体" w:eastAsia="宋体" w:cs="Times New Roman"/>
      <w:sz w:val="24"/>
      <w:szCs w:val="24"/>
    </w:rPr>
  </w:style>
  <w:style w:type="table" w:styleId="999" w:customStyle="1">
    <w:name w:val="网格型5"/>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0" w:customStyle="1">
    <w:name w:val="正文首行缩进 21"/>
    <w:basedOn w:val="937"/>
    <w:next w:val="944"/>
    <w:uiPriority w:val="0"/>
    <w:qFormat/>
    <w:pPr>
      <w:ind w:firstLine="210"/>
    </w:pPr>
    <w:rPr>
      <w:szCs w:val="21"/>
    </w:rPr>
  </w:style>
  <w:style w:type="paragraph" w:styleId="1001" w:customStyle="1">
    <w:name w:val="标题 21"/>
    <w:basedOn w:val="928"/>
    <w:next w:val="928"/>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1002" w:customStyle="1">
    <w:name w:val="网格型11"/>
    <w:basedOn w:val="93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3" w:customStyle="1">
    <w:name w:val="BodyText1I2"/>
    <w:basedOn w:val="928"/>
    <w:next w:val="928"/>
    <w:uiPriority w:val="99"/>
    <w:qFormat/>
    <w:pPr>
      <w:ind w:left="420" w:firstLine="420"/>
      <w:spacing w:after="120"/>
    </w:pPr>
    <w:rPr>
      <w:rFonts w:ascii="楷体_GB2312" w:hAnsi="Times New Roman" w:eastAsia="楷体_GB2312" w:cs="Times New Roman"/>
      <w:szCs w:val="24"/>
    </w:rPr>
  </w:style>
  <w:style w:type="paragraph" w:styleId="1004">
    <w:name w:val="List Paragraph"/>
    <w:basedOn w:val="928"/>
    <w:uiPriority w:val="34"/>
    <w:qFormat/>
    <w:pPr>
      <w:ind w:firstLine="420"/>
    </w:pPr>
  </w:style>
  <w:style w:type="paragraph" w:styleId="1005" w:customStyle="1">
    <w:name w:val="正文无缩进"/>
    <w:basedOn w:val="928"/>
    <w:uiPriority w:val="0"/>
    <w:qFormat/>
    <w:pPr>
      <w:jc w:val="left"/>
      <w:spacing w:line="300" w:lineRule="auto"/>
      <w:widowControl/>
    </w:pPr>
    <w:rPr>
      <w:rFonts w:eastAsia="楷体_GB2312"/>
      <w:sz w:val="24"/>
    </w:rPr>
  </w:style>
  <w:style w:type="character" w:styleId="1006" w:customStyle="1">
    <w:name w:val="NormalCharacter"/>
    <w:uiPriority w:val="0"/>
    <w:qFormat/>
    <w:rPr>
      <w:rFonts w:ascii="Times New Roman" w:hAnsi="Times New Roman" w:eastAsia="宋体"/>
    </w:rPr>
  </w:style>
  <w:style w:type="table" w:styleId="1007" w:customStyle="1">
    <w:name w:val="网格型21"/>
    <w:basedOn w:val="93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8"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1009" w:customStyle="1">
    <w:name w:val="正文文本首行缩进1"/>
    <w:basedOn w:val="944"/>
    <w:next w:val="1010"/>
    <w:uiPriority w:val="0"/>
    <w:qFormat/>
    <w:pPr>
      <w:ind w:firstLine="420"/>
      <w:spacing w:after="120"/>
    </w:pPr>
    <w:rPr>
      <w:rFonts w:eastAsia="宋体"/>
    </w:rPr>
  </w:style>
  <w:style w:type="paragraph" w:styleId="1010" w:customStyle="1">
    <w:name w:val="正文文本首行缩进 21"/>
    <w:basedOn w:val="937"/>
    <w:uiPriority w:val="0"/>
    <w:qFormat/>
    <w:pPr>
      <w:ind w:firstLine="420"/>
      <w:widowControl/>
    </w:pPr>
    <w:rPr>
      <w:rFonts w:ascii="仿宋_GB2312" w:eastAsia="仿宋_GB2312"/>
      <w:color w:val="ff6600"/>
    </w:rPr>
  </w:style>
  <w:style w:type="character" w:styleId="1011" w:customStyle="1">
    <w:name w:val="font41"/>
    <w:basedOn w:val="934"/>
    <w:uiPriority w:val="0"/>
    <w:qFormat/>
    <w:rPr>
      <w:rFonts w:hint="eastAsia" w:ascii="宋体" w:hAnsi="宋体" w:eastAsia="宋体" w:cs="宋体"/>
      <w:color w:val="000000"/>
      <w:sz w:val="24"/>
      <w:szCs w:val="24"/>
      <w:u w:val="none"/>
    </w:rPr>
  </w:style>
  <w:style w:type="character" w:styleId="1012" w:customStyle="1">
    <w:name w:val="font31"/>
    <w:uiPriority w:val="0"/>
    <w:qFormat/>
    <w:rPr>
      <w:rFonts w:hint="default" w:ascii="Times New Roman" w:hAnsi="Times New Roman" w:cs="Times New Roman"/>
      <w:color w:val="000000"/>
      <w:sz w:val="24"/>
      <w:szCs w:val="24"/>
      <w:u w:val="none"/>
    </w:rPr>
  </w:style>
  <w:style w:type="paragraph" w:styleId="1013" w:customStyle="1">
    <w:name w:val="msolistparagraph"/>
    <w:basedOn w:val="928"/>
    <w:uiPriority w:val="0"/>
    <w:qFormat/>
    <w:pPr>
      <w:ind w:firstLine="420"/>
    </w:pPr>
    <w:rPr>
      <w:rFonts w:ascii="Calibri" w:hAnsi="Calibri" w:eastAsia="宋体" w:cs="Times New Roman"/>
    </w:rPr>
  </w:style>
  <w:style w:type="paragraph" w:styleId="1014"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1015" w:customStyle="1">
    <w:name w:val="表格文字"/>
    <w:basedOn w:val="1016"/>
    <w:next w:val="944"/>
    <w:uiPriority w:val="0"/>
    <w:qFormat/>
  </w:style>
  <w:style w:type="paragraph" w:styleId="1016" w:customStyle="1">
    <w:name w:val="表格文字（两侧对齐）"/>
    <w:basedOn w:val="928"/>
    <w:uiPriority w:val="0"/>
    <w:qFormat/>
    <w:rPr>
      <w:rFonts w:ascii="Calibri" w:hAnsi="Calibri"/>
      <w:sz w:val="20"/>
    </w:rPr>
  </w:style>
  <w:style w:type="paragraph" w:styleId="1017" w:customStyle="1">
    <w:name w:val="样式 样式 小四 行距: 1.5 倍行距 + 首行缩进:  3 字符"/>
    <w:basedOn w:val="928"/>
    <w:uiPriority w:val="0"/>
    <w:qFormat/>
    <w:pPr>
      <w:ind w:firstLine="420"/>
    </w:pPr>
    <w:rPr>
      <w:rFonts w:ascii="宋体" w:hAnsi="宋体" w:eastAsia="宋体" w:cs="宋体"/>
      <w:szCs w:val="21"/>
    </w:rPr>
  </w:style>
  <w:style w:type="paragraph" w:styleId="1018" w:customStyle="1">
    <w:name w:val="列出段落1"/>
    <w:basedOn w:val="928"/>
    <w:uiPriority w:val="34"/>
    <w:qFormat/>
    <w:pPr>
      <w:ind w:firstLine="420"/>
      <w:spacing w:line="360" w:lineRule="auto"/>
    </w:pPr>
    <w:rPr>
      <w:rFonts w:ascii="Times New Roman" w:hAnsi="Times New Roman" w:eastAsia="宋体" w:cs="Times New Roman"/>
      <w:sz w:val="24"/>
      <w:szCs w:val="24"/>
    </w:rPr>
  </w:style>
  <w:style w:type="paragraph" w:styleId="1019" w:customStyle="1">
    <w:name w:val="投标正文"/>
    <w:basedOn w:val="928"/>
    <w:uiPriority w:val="0"/>
    <w:qFormat/>
    <w:pPr>
      <w:ind w:left="567"/>
      <w:spacing w:line="360" w:lineRule="auto"/>
    </w:pPr>
    <w:rPr>
      <w:rFonts w:ascii="Times New Roman" w:hAnsi="Times New Roman"/>
      <w:sz w:val="24"/>
    </w:rPr>
  </w:style>
  <w:style w:type="table" w:styleId="1020" w:customStyle="1">
    <w:name w:val="网格型6"/>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1" w:customStyle="1">
    <w:name w:val="网格型22"/>
    <w:basedOn w:val="93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2" w:customStyle="1">
    <w:name w:val="网格型7"/>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23"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1024" w:customStyle="1">
    <w:name w:val="TOC 标题1"/>
    <w:basedOn w:val="929"/>
    <w:next w:val="928"/>
    <w:uiPriority w:val="39"/>
    <w:semiHidden/>
    <w:unhideWhenUsed/>
    <w:qFormat/>
    <w:pPr>
      <w:outlineLvl w:val="9"/>
    </w:pPr>
  </w:style>
  <w:style w:type="table" w:styleId="1025" w:customStyle="1">
    <w:name w:val="网格型8"/>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6" w:customStyle="1">
    <w:name w:val="网格型9"/>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7" w:customStyle="1">
    <w:name w:val="网格型12"/>
    <w:basedOn w:val="935"/>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8" w:customStyle="1">
    <w:name w:val="网格型23"/>
    <w:basedOn w:val="9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9" w:customStyle="1">
    <w:name w:val="网格型31"/>
    <w:basedOn w:val="935"/>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0" w:customStyle="1">
    <w:name w:val="网格型41"/>
    <w:basedOn w:val="9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1" w:customStyle="1">
    <w:name w:val="Table Normal1"/>
    <w:uiPriority w:val="0"/>
    <w:semiHidden/>
    <w:unhideWhenUsed/>
    <w:qFormat/>
    <w:tblPr>
      <w:tblCellMar>
        <w:left w:w="0" w:type="dxa"/>
        <w:top w:w="0" w:type="dxa"/>
        <w:right w:w="0" w:type="dxa"/>
        <w:bottom w:w="0" w:type="dxa"/>
      </w:tblCellMar>
    </w:tblPr>
  </w:style>
  <w:style w:type="table" w:styleId="1032" w:customStyle="1">
    <w:name w:val="网格型51"/>
    <w:basedOn w:val="9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3" w:customStyle="1">
    <w:name w:val="网格型111"/>
    <w:basedOn w:val="9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4" w:customStyle="1">
    <w:name w:val="网格型211"/>
    <w:basedOn w:val="9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5" w:customStyle="1">
    <w:name w:val="网格型61"/>
    <w:basedOn w:val="9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6" w:customStyle="1">
    <w:name w:val="网格型221"/>
    <w:basedOn w:val="9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7" w:customStyle="1">
    <w:name w:val="网格型71"/>
    <w:basedOn w:val="9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8" w:customStyle="1">
    <w:name w:val="网格型10"/>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9" w:customStyle="1">
    <w:name w:val="网格型13"/>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0" w:customStyle="1">
    <w:name w:val="网格型121"/>
    <w:basedOn w:val="935"/>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1" w:customStyle="1">
    <w:name w:val="网格型231"/>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2" w:customStyle="1">
    <w:name w:val="网格型311"/>
    <w:basedOn w:val="935"/>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3" w:customStyle="1">
    <w:name w:val="网格型411"/>
    <w:basedOn w:val="93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4" w:customStyle="1">
    <w:name w:val="Table Normal11"/>
    <w:uiPriority w:val="0"/>
    <w:semiHidden/>
    <w:unhideWhenUsed/>
    <w:qFormat/>
    <w:rPr>
      <w:sz w:val="20"/>
      <w:szCs w:val="20"/>
    </w:rPr>
    <w:tblPr>
      <w:tblCellMar>
        <w:left w:w="0" w:type="dxa"/>
        <w:top w:w="0" w:type="dxa"/>
        <w:right w:w="0" w:type="dxa"/>
        <w:bottom w:w="0" w:type="dxa"/>
      </w:tblCellMar>
    </w:tblPr>
  </w:style>
  <w:style w:type="table" w:styleId="1045" w:customStyle="1">
    <w:name w:val="网格型511"/>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6" w:customStyle="1">
    <w:name w:val="网格型1111"/>
    <w:basedOn w:val="93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7" w:customStyle="1">
    <w:name w:val="网格型2111"/>
    <w:basedOn w:val="93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8" w:customStyle="1">
    <w:name w:val="网格型611"/>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9" w:customStyle="1">
    <w:name w:val="网格型2211"/>
    <w:basedOn w:val="935"/>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0" w:customStyle="1">
    <w:name w:val="网格型711"/>
    <w:basedOn w:val="935"/>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F4FA08C-B9ED-4A73-9783-5F096D94CF1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475</cp:revision>
  <dcterms:created xsi:type="dcterms:W3CDTF">2025-10-17T05:39:00Z</dcterms:created>
  <dcterms:modified xsi:type="dcterms:W3CDTF">2026-10-09T02:54:07Z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eyJoZGlkIjoiYzcwNTllNDZjMjMzNDFiNjMxNTZlZjRlOGI4Y2M0ZjQiLCJ1c2VySWQiOiIyNDA1NzY1MTUifQ==</vt:lpwstr>
  </property>
  <property fmtid="{D5CDD505-2E9C-101B-9397-08002B2CF9AE}" pid="3" name="KSOProductBuildVer">
    <vt:lpwstr>2052-12.1.0.28505</vt:lpwstr>
  </property>
  <property fmtid="{D5CDD505-2E9C-101B-9397-08002B2CF9AE}" pid="4" name="ICV">
    <vt:lpwstr>27544BA9C02C49DB8C67C35F8854B1EA_13</vt:lpwstr>
  </property>
</Properties>
</file>