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000000" w:themeColor="text1"/>
          <w:sz w:val="72"/>
          <w:szCs w:val="72"/>
          <w14:textFill>
            <w14:solidFill>
              <w14:schemeClr w14:val="tx1"/>
            </w14:solidFill>
          </w14:textFill>
        </w:rPr>
      </w:pPr>
      <w:r/>
      <w:bookmarkStart w:id="313" w:name="_GoBack"/>
      <w:r/>
      <w:bookmarkEnd w:id="313"/>
      <w:r/>
      <w:r/>
    </w:p>
    <w:p>
      <w:pPr>
        <w:jc w:val="center"/>
        <w:spacing w:line="360" w:lineRule="auto"/>
        <w:rPr>
          <w:rFonts w:hint="eastAsia" w:ascii="宋体" w:hAnsi="宋体" w:cs="宋体"/>
          <w:b/>
          <w:bCs/>
          <w:color w:val="000000" w:themeColor="text1"/>
          <w:sz w:val="72"/>
          <w:szCs w:val="72"/>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0</wp:posOffset>
                </wp:positionH>
                <wp:positionV relativeFrom="page">
                  <wp:posOffset>2545715</wp:posOffset>
                </wp:positionV>
                <wp:extent cx="5274310" cy="2228215"/>
                <wp:effectExtent l="0" t="1543050" r="21590" b="1581785"/>
                <wp:wrapNone/>
                <wp:docPr id="11" name="图片 4"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10524163537"/>
                        <pic:cNvPicPr>
                          <a:picLocks noChangeAspect="1"/>
                        </pic:cNvPicPr>
                        <pic:nvPr/>
                      </pic:nvPicPr>
                      <pic:blipFill>
                        <a:blip r:embed="rId22">
                          <a:lum bright="70000" contrast="-70000"/>
                        </a:blip>
                        <a:stretch/>
                      </pic:blipFill>
                      <pic:spPr bwMode="auto">
                        <a:xfrm rot="-2700000">
                          <a:off x="0" y="0"/>
                          <a:ext cx="5274310" cy="2228215"/>
                        </a:xfrm>
                        <a:prstGeom prst="rect">
                          <a:avLst/>
                        </a:prstGeom>
                        <a:noFill/>
                        <a:ln>
                          <a:noFill/>
                        </a:ln>
                        <a:effectLst>
                          <a:outerShdw dist="50800" dir="5400000" algn="ctr" rotWithShape="0">
                            <a:srgbClr val="000000">
                              <a:alpha val="0"/>
                            </a:srgbClr>
                          </a:outerShdw>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margin;margin-left:0.0pt;mso-position-horizontal:absolute;mso-position-vertical-relative:page;margin-top:200.4pt;mso-position-vertical:absolute;width:415.3pt;height:175.4pt;mso-wrap-distance-left:9.0pt;mso-wrap-distance-top:0.0pt;mso-wrap-distance-right:9.0pt;mso-wrap-distance-bottom:0.0pt;rotation:-45;" stroked="f">
                <v:path textboxrect="0,0,0,0"/>
                <v:imagedata r:id="rId22" o:title=""/>
              </v:shape>
            </w:pict>
          </mc:Fallback>
        </mc:AlternateContent>
      </w:r>
      <w:r/>
    </w:p>
    <w:p>
      <w:pPr>
        <w:jc w:val="center"/>
        <w:rPr>
          <w:rFonts w:hint="eastAsia" w:ascii="等线" w:hAnsi="等线" w:eastAsia="等线" w:cs="等线"/>
          <w:b/>
          <w:color w:val="000000" w:themeColor="text1"/>
          <w:sz w:val="72"/>
          <w:szCs w:val="72"/>
          <w14:textFill>
            <w14:solidFill>
              <w14:schemeClr w14:val="tx1"/>
            </w14:solidFill>
          </w14:textFill>
        </w:rPr>
      </w:pPr>
      <w:r>
        <w:rPr>
          <w:rFonts w:hint="eastAsia" w:ascii="等线" w:hAnsi="等线" w:eastAsia="等线" w:cs="等线"/>
          <w:b/>
          <w:color w:val="000000" w:themeColor="text1"/>
          <w:sz w:val="72"/>
          <w:szCs w:val="72"/>
          <w14:textFill>
            <w14:solidFill>
              <w14:schemeClr w14:val="tx1"/>
            </w14:solidFill>
          </w14:textFill>
        </w:rPr>
        <w:t xml:space="preserve">招标文件</w:t>
      </w:r>
      <w:r/>
    </w:p>
    <w:p>
      <w:pPr>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spacing w:line="360" w:lineRule="auto"/>
        <w:rPr>
          <w:rFonts w:hint="eastAsia" w:ascii="宋体" w:hAnsi="宋体" w:cs="黑体"/>
          <w:color w:val="000000" w:themeColor="text1"/>
          <w:sz w:val="28"/>
          <w:szCs w:val="28"/>
          <w:lang w:val="zh-CN"/>
          <w14:textFill>
            <w14:solidFill>
              <w14:schemeClr w14:val="tx1"/>
            </w14:solidFill>
          </w14:textFill>
        </w:rPr>
      </w:pPr>
      <w:r>
        <w:rPr>
          <w:rFonts w:hint="eastAsia" w:ascii="宋体" w:hAnsi="宋体" w:cs="黑体"/>
          <w:color w:val="000000" w:themeColor="text1"/>
          <w:sz w:val="28"/>
          <w:szCs w:val="28"/>
          <w:lang w:val="zh-CN"/>
          <w14:textFill>
            <w14:solidFill>
              <w14:schemeClr w14:val="tx1"/>
            </w14:solidFill>
          </w14:textFill>
        </w:rPr>
      </w:r>
      <w:r/>
    </w:p>
    <w:p>
      <w:pPr>
        <w:ind w:left="630" w:right="395" w:firstLine="54"/>
        <w:jc w:val="left"/>
        <w:spacing w:line="360" w:lineRule="auto"/>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项目编号：</w:t>
      </w:r>
      <w:r>
        <w:rPr>
          <w:rFonts w:ascii="华文中宋" w:hAnsi="华文中宋" w:eastAsia="华文中宋" w:cs="等线"/>
          <w:b/>
          <w:color w:val="000000" w:themeColor="text1"/>
          <w:sz w:val="36"/>
          <w:szCs w:val="36"/>
          <w14:textFill>
            <w14:solidFill>
              <w14:schemeClr w14:val="tx1"/>
            </w14:solidFill>
          </w14:textFill>
        </w:rPr>
        <w:t xml:space="preserve">JSZC-320000-NJJC-G2026-0157</w:t>
      </w:r>
      <w:r/>
    </w:p>
    <w:p>
      <w:pPr>
        <w:ind w:left="2491" w:right="-302" w:hanging="1861"/>
        <w:jc w:val="left"/>
        <w:spacing w:line="360" w:lineRule="auto"/>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项目名称：</w:t>
      </w:r>
      <w:r>
        <w:rPr>
          <w:rFonts w:ascii="华文中宋" w:hAnsi="华文中宋" w:eastAsia="华文中宋" w:cs="等线"/>
          <w:b/>
          <w:color w:val="000000" w:themeColor="text1"/>
          <w:sz w:val="36"/>
          <w:szCs w:val="36"/>
          <w14:textFill>
            <w14:solidFill>
              <w14:schemeClr w14:val="tx1"/>
            </w14:solidFill>
          </w14:textFill>
        </w:rPr>
        <w:t xml:space="preserve">江苏省特检院直属分院长庆油田管道内检测辅助工作外委</w:t>
      </w:r>
      <w:r/>
    </w:p>
    <w:p>
      <w:pPr>
        <w:ind w:left="630" w:right="395" w:firstLine="54"/>
        <w:jc w:val="left"/>
        <w:spacing w:line="360" w:lineRule="auto"/>
        <w:rPr>
          <w:rFonts w:hint="eastAsia" w:ascii="华文中宋" w:hAnsi="华文中宋" w:eastAsia="华文中宋" w:cs="等线"/>
          <w:b/>
          <w:color w:val="000000" w:themeColor="text1"/>
          <w:sz w:val="36"/>
          <w:szCs w:val="36"/>
          <w14:textFill>
            <w14:solidFill>
              <w14:schemeClr w14:val="tx1"/>
            </w14:solidFill>
          </w14:textFill>
        </w:rPr>
      </w:pPr>
      <w:r>
        <w:rPr>
          <w:rFonts w:hint="eastAsia" w:ascii="华文中宋" w:hAnsi="华文中宋" w:eastAsia="华文中宋" w:cs="等线"/>
          <w:b/>
          <w:color w:val="000000" w:themeColor="text1"/>
          <w:sz w:val="36"/>
          <w:szCs w:val="36"/>
          <w14:textFill>
            <w14:solidFill>
              <w14:schemeClr w14:val="tx1"/>
            </w14:solidFill>
          </w14:textFill>
        </w:rPr>
        <w:t xml:space="preserve">项目类别：服务类</w:t>
      </w:r>
      <w:r/>
    </w:p>
    <w:p>
      <w:pPr>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pStyle w:val="1314"/>
        <w:rPr>
          <w:color w:val="000000" w:themeColor="text1"/>
          <w14:textFill>
            <w14:solidFill>
              <w14:schemeClr w14:val="tx1"/>
            </w14:solidFill>
          </w14:textFill>
        </w:rPr>
      </w:pPr>
      <w:r/>
      <w:bookmarkStart w:id="0" w:name="_Toc1644"/>
      <w:r/>
      <w:bookmarkStart w:id="1" w:name="_Toc7632"/>
      <w:r/>
      <w:r/>
    </w:p>
    <w:p>
      <w:pPr>
        <w:pStyle w:val="1314"/>
        <w:rPr>
          <w:color w:val="000000" w:themeColor="text1"/>
          <w14:textFill>
            <w14:solidFill>
              <w14:schemeClr w14:val="tx1"/>
            </w14:solidFill>
          </w14:textFill>
        </w:rPr>
      </w:pPr>
      <w:r>
        <w:rPr>
          <w:color w:val="000000" w:themeColor="text1"/>
          <w14:textFill>
            <w14:solidFill>
              <w14:schemeClr w14:val="tx1"/>
            </w14:solidFill>
          </w14:textFill>
        </w:rPr>
      </w:r>
      <w:r/>
    </w:p>
    <w:p>
      <w:pPr>
        <w:pStyle w:val="1314"/>
        <w:rPr>
          <w:color w:val="000000" w:themeColor="text1"/>
          <w14:textFill>
            <w14:solidFill>
              <w14:schemeClr w14:val="tx1"/>
            </w14:solidFill>
          </w14:textFill>
        </w:rPr>
      </w:pPr>
      <w:r>
        <w:rPr>
          <w:color w:val="000000" w:themeColor="text1"/>
          <w14:textFill>
            <w14:solidFill>
              <w14:schemeClr w14:val="tx1"/>
            </w14:solidFill>
          </w14:textFill>
        </w:rPr>
      </w:r>
      <w:r/>
    </w:p>
    <w:p>
      <w:pPr>
        <w:pStyle w:val="1314"/>
        <w:rPr>
          <w:color w:val="000000" w:themeColor="text1"/>
          <w14:textFill>
            <w14:solidFill>
              <w14:schemeClr w14:val="tx1"/>
            </w14:solidFill>
          </w14:textFill>
        </w:rPr>
      </w:pPr>
      <w:r>
        <w:rPr>
          <w:color w:val="000000" w:themeColor="text1"/>
          <w14:textFill>
            <w14:solidFill>
              <w14:schemeClr w14:val="tx1"/>
            </w14:solidFill>
          </w14:textFill>
        </w:rPr>
      </w:r>
      <w:r/>
    </w:p>
    <w:p>
      <w:pPr>
        <w:pStyle w:val="1041"/>
        <w:ind w:left="698"/>
        <w:rPr>
          <w:rFonts w:hint="eastAsia" w:ascii="宋体" w:hAnsi="宋体" w:eastAsia="宋体" w:cs="宋体"/>
          <w:b/>
          <w:bCs/>
          <w:color w:val="000000" w:themeColor="text1"/>
          <w14:textFill>
            <w14:solidFill>
              <w14:schemeClr w14:val="tx1"/>
            </w14:solidFill>
          </w14:textFill>
        </w:rPr>
      </w:pPr>
      <w:r/>
      <w:bookmarkStart w:id="2" w:name="_Toc4747"/>
      <w:r/>
      <w:bookmarkStart w:id="3" w:name="_Toc241513266"/>
      <w:r/>
      <w:bookmarkStart w:id="4" w:name="_Toc241501749"/>
      <w:r>
        <w:rPr>
          <w:rFonts w:hint="eastAsia" w:ascii="宋体" w:hAnsi="宋体" w:eastAsia="宋体" w:cs="宋体"/>
          <w:b/>
          <w:bCs/>
          <w:color w:val="000000" w:themeColor="text1"/>
          <w14:textFill>
            <w14:solidFill>
              <w14:schemeClr w14:val="tx1"/>
            </w14:solidFill>
          </w14:textFill>
        </w:rPr>
        <w:t xml:space="preserve">采购人：江苏省特种设备安全监督检验研究院</w:t>
      </w:r>
      <w:bookmarkEnd w:id="0"/>
      <w:r/>
      <w:bookmarkEnd w:id="1"/>
      <w:r/>
      <w:bookmarkEnd w:id="2"/>
      <w:r/>
      <w:bookmarkEnd w:id="3"/>
      <w:r/>
      <w:bookmarkEnd w:id="4"/>
      <w:r/>
      <w:r/>
    </w:p>
    <w:p>
      <w:pPr>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1041"/>
        <w:ind w:left="698"/>
        <w:rPr>
          <w:rFonts w:hint="eastAsia" w:ascii="宋体" w:hAnsi="宋体" w:eastAsia="宋体" w:cs="宋体"/>
          <w:b/>
          <w:bCs/>
          <w:color w:val="000000" w:themeColor="text1"/>
          <w14:textFill>
            <w14:solidFill>
              <w14:schemeClr w14:val="tx1"/>
            </w14:solidFill>
          </w14:textFill>
        </w:rPr>
      </w:pPr>
      <w:r/>
      <w:bookmarkStart w:id="5" w:name="_Toc5962"/>
      <w:r/>
      <w:bookmarkStart w:id="6" w:name="_Toc241513267"/>
      <w:r/>
      <w:bookmarkStart w:id="7" w:name="_Toc241501750"/>
      <w:r/>
      <w:bookmarkStart w:id="8" w:name="_Toc21642"/>
      <w:r/>
      <w:bookmarkStart w:id="9" w:name="_Toc10179"/>
      <w:r>
        <w:rPr>
          <w:rFonts w:hint="eastAsia" w:ascii="宋体" w:hAnsi="宋体" w:eastAsia="宋体" w:cs="宋体"/>
          <w:b/>
          <w:bCs/>
          <w:color w:val="000000" w:themeColor="text1"/>
          <w14:textFill>
            <w14:solidFill>
              <w14:schemeClr w14:val="tx1"/>
            </w14:solidFill>
          </w14:textFill>
        </w:rPr>
        <w:t xml:space="preserve">代理机构：南京江城工程项目管理有限公司</w:t>
      </w:r>
      <w:bookmarkEnd w:id="5"/>
      <w:r/>
      <w:bookmarkEnd w:id="6"/>
      <w:r/>
      <w:bookmarkEnd w:id="7"/>
      <w:r/>
      <w:bookmarkEnd w:id="8"/>
      <w:r/>
      <w:bookmarkEnd w:id="9"/>
      <w:r/>
      <w:r/>
    </w:p>
    <w:p>
      <w:pPr>
        <w:ind w:right="1933"/>
        <w:spacing w:line="357" w:lineRule="auto"/>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left="1572" w:right="1933"/>
        <w:jc w:val="center"/>
        <w:spacing w:line="357" w:lineRule="auto"/>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left="1572" w:right="1933"/>
        <w:jc w:val="center"/>
        <w:spacing w:line="357" w:lineRule="auto"/>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二○二六年十月</w:t>
      </w:r>
      <w:r/>
    </w:p>
    <w:p>
      <w:pPr>
        <w:ind w:left="1572" w:right="1933"/>
        <w:jc w:val="center"/>
        <w:spacing w:line="357" w:lineRule="auto"/>
        <w:rPr>
          <w:rFonts w:hint="eastAsia" w:ascii="宋体" w:hAnsi="宋体" w:cs="宋体"/>
          <w:b/>
          <w:bCs/>
          <w:color w:val="000000" w:themeColor="text1"/>
          <w:sz w:val="36"/>
          <w:szCs w:val="36"/>
          <w14:textFill>
            <w14:solidFill>
              <w14:schemeClr w14:val="tx1"/>
            </w14:solidFill>
          </w14:textFill>
        </w:rPr>
        <w:sectPr>
          <w:headerReference w:type="default" r:id="rId9"/>
          <w:headerReference w:type="first" r:id="rId10"/>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b/>
          <w:bCs/>
          <w:color w:val="000000" w:themeColor="text1"/>
          <w:sz w:val="36"/>
          <w:szCs w:val="36"/>
          <w14:textFill>
            <w14:solidFill>
              <w14:schemeClr w14:val="tx1"/>
            </w14:solidFill>
          </w14:textFill>
        </w:rPr>
      </w:r>
      <w:r/>
    </w:p>
    <w:sdt>
      <w:sdtPr>
        <w15:appearance w15:val="boundingBox"/>
        <w:id w:val="-153301099"/>
        <w:docPartObj>
          <w:docPartGallery w:val="Table of Contents"/>
          <w:docPartUnique w:val="true"/>
        </w:docPartObj>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1314"/>
            <w:jc w:val="center"/>
            <w:rPr>
              <w:rFonts w:hint="eastAsia" w:ascii="宋体" w:hAnsi="宋体"/>
              <w:color w:val="000000" w:themeColor="text1"/>
              <w:sz w:val="28"/>
              <w:szCs w:val="28"/>
              <w:lang w:val="zh-CN"/>
              <w14:textFill>
                <w14:solidFill>
                  <w14:schemeClr w14:val="tx1"/>
                </w14:solidFill>
              </w14:textFill>
            </w:rPr>
          </w:pPr>
          <w:r>
            <w:rPr>
              <w:rFonts w:ascii="宋体" w:hAnsi="宋体"/>
              <w:b/>
              <w:bCs/>
              <w:color w:val="000000" w:themeColor="text1"/>
              <w:sz w:val="36"/>
              <w:szCs w:val="36"/>
              <w:lang w:val="zh-CN"/>
              <w14:textFill>
                <w14:solidFill>
                  <w14:schemeClr w14:val="tx1"/>
                </w14:solidFill>
              </w14:textFill>
            </w:rPr>
            <w:t xml:space="preserve">目</w:t>
          </w:r>
          <w:r>
            <w:rPr>
              <w:rFonts w:hint="eastAsia" w:ascii="宋体" w:hAnsi="宋体"/>
              <w:b/>
              <w:bCs/>
              <w:color w:val="000000" w:themeColor="text1"/>
              <w:sz w:val="36"/>
              <w:szCs w:val="36"/>
              <w:lang w:val="zh-CN"/>
              <w14:textFill>
                <w14:solidFill>
                  <w14:schemeClr w14:val="tx1"/>
                </w14:solidFill>
              </w14:textFill>
            </w:rPr>
            <w:t xml:space="preserve">  </w:t>
          </w:r>
          <w:r>
            <w:rPr>
              <w:rFonts w:ascii="宋体" w:hAnsi="宋体"/>
              <w:b/>
              <w:bCs/>
              <w:color w:val="000000" w:themeColor="text1"/>
              <w:sz w:val="36"/>
              <w:szCs w:val="36"/>
              <w:lang w:val="zh-CN"/>
              <w14:textFill>
                <w14:solidFill>
                  <w14:schemeClr w14:val="tx1"/>
                </w14:solidFill>
              </w14:textFill>
            </w:rPr>
            <w:t xml:space="preserve">录</w:t>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"1-3" \h \z \u </w:instrText>
          </w:r>
          <w:r>
            <w:rPr>
              <w:rFonts w:ascii="宋体" w:hAnsi="宋体"/>
              <w:color w:val="000000" w:themeColor="text1"/>
              <w:sz w:val="28"/>
              <w:szCs w:val="28"/>
              <w14:textFill>
                <w14:solidFill>
                  <w14:schemeClr w14:val="tx1"/>
                </w14:solidFill>
              </w14:textFill>
            </w:rPr>
            <w:fldChar w:fldCharType="separate"/>
          </w:r>
          <w:r/>
        </w:p>
        <w:p>
          <w:pPr>
            <w:pStyle w:val="1073"/>
            <w:spacing w:line="360" w:lineRule="auto"/>
            <w:tabs>
              <w:tab w:val="right" w:pos="8910" w:leader="dot"/>
            </w:tabs>
            <w:rPr>
              <w:rFonts w:hint="eastAsia" w:ascii="宋体" w:hAnsi="宋体" w:cs="宋体"/>
              <w:b/>
              <w:bCs/>
              <w:color w:val="000000" w:themeColor="text1"/>
              <w:sz w:val="24"/>
              <w:szCs w:val="22"/>
              <w14:textFill>
                <w14:solidFill>
                  <w14:schemeClr w14:val="tx1"/>
                </w14:solidFill>
              </w14:textFill>
            </w:rPr>
          </w:pPr>
          <w:r>
            <w:fldChar w:fldCharType="begin"/>
          </w:r>
          <w:r>
            <w:instrText xml:space="preserve"> HYPERLINK \l "_Toc32131" </w:instrText>
          </w:r>
          <w:r>
            <w:fldChar w:fldCharType="separate"/>
          </w:r>
          <w:r>
            <w:rPr>
              <w:rFonts w:hint="eastAsia" w:ascii="宋体" w:hAnsi="宋体" w:cs="宋体"/>
              <w:b/>
              <w:bCs/>
              <w:color w:val="000000" w:themeColor="text1"/>
              <w:sz w:val="24"/>
              <w:szCs w:val="36"/>
              <w14:textFill>
                <w14:solidFill>
                  <w14:schemeClr w14:val="tx1"/>
                </w14:solidFill>
              </w14:textFill>
            </w:rPr>
            <w:t xml:space="preserve">第一章 招标公告</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_Toc32131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1</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073"/>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"_Toc26097" </w:instrText>
          </w:r>
          <w:r>
            <w:fldChar w:fldCharType="separate"/>
          </w:r>
          <w:r>
            <w:rPr>
              <w:rFonts w:hint="eastAsia" w:ascii="宋体" w:hAnsi="宋体" w:cs="宋体"/>
              <w:b/>
              <w:bCs/>
              <w:color w:val="000000" w:themeColor="text1"/>
              <w:sz w:val="24"/>
              <w:szCs w:val="36"/>
              <w14:textFill>
                <w14:solidFill>
                  <w14:schemeClr w14:val="tx1"/>
                </w14:solidFill>
              </w14:textFill>
            </w:rPr>
            <w:t xml:space="preserve">第二章 投标人须知</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_Toc26097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5</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"_Toc31161" </w:instrText>
          </w:r>
          <w:r>
            <w:fldChar w:fldCharType="separate"/>
          </w:r>
          <w:r>
            <w:rPr>
              <w:rFonts w:hint="eastAsia" w:ascii="宋体" w:hAnsi="宋体" w:cs="宋体"/>
              <w:color w:val="000000" w:themeColor="text1"/>
              <w:sz w:val="24"/>
              <w:szCs w:val="22"/>
              <w14:textFill>
                <w14:solidFill>
                  <w14:schemeClr w14:val="tx1"/>
                </w14:solidFill>
              </w14:textFill>
            </w:rPr>
            <w:t xml:space="preserve">一、总 则</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_Toc31161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5</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"_Toc215" </w:instrText>
          </w:r>
          <w:r>
            <w:fldChar w:fldCharType="separate"/>
          </w:r>
          <w:r>
            <w:rPr>
              <w:rFonts w:hint="eastAsia" w:ascii="宋体" w:hAnsi="宋体" w:cs="宋体"/>
              <w:color w:val="000000" w:themeColor="text1"/>
              <w:sz w:val="24"/>
              <w:szCs w:val="22"/>
              <w14:textFill>
                <w14:solidFill>
                  <w14:schemeClr w14:val="tx1"/>
                </w14:solidFill>
              </w14:textFill>
            </w:rPr>
            <w:t xml:space="preserve">二、招标文件构成</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_Toc215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6</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"_Toc18383" </w:instrText>
          </w:r>
          <w:r>
            <w:fldChar w:fldCharType="separate"/>
          </w:r>
          <w:r>
            <w:rPr>
              <w:rFonts w:hint="eastAsia" w:ascii="宋体" w:hAnsi="宋体" w:cs="宋体"/>
              <w:color w:val="000000" w:themeColor="text1"/>
              <w:sz w:val="24"/>
              <w:szCs w:val="22"/>
              <w14:textFill>
                <w14:solidFill>
                  <w14:schemeClr w14:val="tx1"/>
                </w14:solidFill>
              </w14:textFill>
            </w:rPr>
            <w:t xml:space="preserve">三、投标文件的编制</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_Toc18383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6</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"_Toc13029" </w:instrText>
          </w:r>
          <w:r>
            <w:fldChar w:fldCharType="separate"/>
          </w:r>
          <w:r>
            <w:rPr>
              <w:rFonts w:hint="eastAsia" w:ascii="宋体" w:hAnsi="宋体" w:cs="宋体"/>
              <w:color w:val="000000" w:themeColor="text1"/>
              <w:sz w:val="24"/>
              <w:szCs w:val="22"/>
              <w14:textFill>
                <w14:solidFill>
                  <w14:schemeClr w14:val="tx1"/>
                </w14:solidFill>
              </w14:textFill>
            </w:rPr>
            <w:t xml:space="preserve">四、投标文件的递交</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_Toc13029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8</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"_Toc29398" </w:instrText>
          </w:r>
          <w:r>
            <w:fldChar w:fldCharType="separate"/>
          </w:r>
          <w:r>
            <w:rPr>
              <w:rFonts w:hint="eastAsia" w:ascii="宋体" w:hAnsi="宋体" w:cs="宋体"/>
              <w:color w:val="000000" w:themeColor="text1"/>
              <w:sz w:val="24"/>
              <w:szCs w:val="22"/>
              <w14:textFill>
                <w14:solidFill>
                  <w14:schemeClr w14:val="tx1"/>
                </w14:solidFill>
              </w14:textFill>
            </w:rPr>
            <w:t xml:space="preserve">五、开标、评标与定标</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_Toc29398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9</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"_Toc11223" </w:instrText>
          </w:r>
          <w:r>
            <w:fldChar w:fldCharType="separate"/>
          </w:r>
          <w:r>
            <w:rPr>
              <w:rFonts w:hint="eastAsia" w:ascii="宋体" w:hAnsi="宋体" w:cs="宋体"/>
              <w:color w:val="000000" w:themeColor="text1"/>
              <w:sz w:val="24"/>
              <w:szCs w:val="22"/>
              <w14:textFill>
                <w14:solidFill>
                  <w14:schemeClr w14:val="tx1"/>
                </w14:solidFill>
              </w14:textFill>
            </w:rPr>
            <w:t xml:space="preserve">六、签订合同</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_Toc11223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12</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80"/>
            <w:ind w:left="0" w:firstLine="420"/>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"_Toc24841" </w:instrText>
          </w:r>
          <w:r>
            <w:fldChar w:fldCharType="separate"/>
          </w:r>
          <w:r>
            <w:rPr>
              <w:rFonts w:hint="eastAsia" w:ascii="宋体" w:hAnsi="宋体" w:cs="宋体"/>
              <w:color w:val="000000" w:themeColor="text1"/>
              <w:sz w:val="24"/>
              <w:szCs w:val="22"/>
              <w14:textFill>
                <w14:solidFill>
                  <w14:schemeClr w14:val="tx1"/>
                </w14:solidFill>
              </w14:textFill>
            </w:rPr>
            <w:t xml:space="preserve">七、质疑和投诉</w:t>
          </w:r>
          <w:r>
            <w:rPr>
              <w:rFonts w:hint="eastAsia" w:ascii="宋体" w:hAnsi="宋体" w:cs="宋体"/>
              <w:color w:val="000000" w:themeColor="text1"/>
              <w:sz w:val="24"/>
              <w:szCs w:val="22"/>
              <w14:textFill>
                <w14:solidFill>
                  <w14:schemeClr w14:val="tx1"/>
                </w14:solidFill>
              </w14:textFill>
            </w:rPr>
            <w:tab/>
          </w:r>
          <w:r>
            <w:rPr>
              <w:rFonts w:hint="eastAsia" w:ascii="宋体" w:hAnsi="宋体" w:cs="宋体"/>
              <w:color w:val="000000" w:themeColor="text1"/>
              <w:sz w:val="24"/>
              <w:szCs w:val="22"/>
              <w14:textFill>
                <w14:solidFill>
                  <w14:schemeClr w14:val="tx1"/>
                </w14:solidFill>
              </w14:textFill>
            </w:rPr>
            <w:fldChar w:fldCharType="begin"/>
          </w:r>
          <w:r>
            <w:rPr>
              <w:rFonts w:hint="eastAsia" w:ascii="宋体" w:hAnsi="宋体" w:cs="宋体"/>
              <w:color w:val="000000" w:themeColor="text1"/>
              <w:sz w:val="24"/>
              <w:szCs w:val="22"/>
              <w14:textFill>
                <w14:solidFill>
                  <w14:schemeClr w14:val="tx1"/>
                </w14:solidFill>
              </w14:textFill>
            </w:rPr>
            <w:instrText xml:space="preserve"> PAGEREF _Toc24841 \h </w:instrText>
          </w:r>
          <w:r>
            <w:rPr>
              <w:rFonts w:hint="eastAsia" w:ascii="宋体" w:hAnsi="宋体" w:cs="宋体"/>
              <w:color w:val="000000" w:themeColor="text1"/>
              <w:sz w:val="24"/>
              <w:szCs w:val="22"/>
              <w14:textFill>
                <w14:solidFill>
                  <w14:schemeClr w14:val="tx1"/>
                </w14:solidFill>
              </w14:textFill>
            </w:rPr>
            <w:fldChar w:fldCharType="separate"/>
          </w:r>
          <w:r>
            <w:rPr>
              <w:rFonts w:hint="eastAsia" w:ascii="宋体" w:hAnsi="宋体" w:cs="宋体"/>
              <w:color w:val="000000" w:themeColor="text1"/>
              <w:sz w:val="24"/>
              <w:szCs w:val="22"/>
              <w14:textFill>
                <w14:solidFill>
                  <w14:schemeClr w14:val="tx1"/>
                </w14:solidFill>
              </w14:textFill>
            </w:rPr>
            <w:t xml:space="preserve">13</w:t>
          </w:r>
          <w:r>
            <w:rPr>
              <w:rFonts w:hint="eastAsia" w:ascii="宋体" w:hAnsi="宋体" w:cs="宋体"/>
              <w:color w:val="000000" w:themeColor="text1"/>
              <w:sz w:val="24"/>
              <w:szCs w:val="22"/>
              <w14:textFill>
                <w14:solidFill>
                  <w14:schemeClr w14:val="tx1"/>
                </w14:solidFill>
              </w14:textFill>
            </w:rPr>
            <w:fldChar w:fldCharType="end"/>
          </w:r>
          <w:r>
            <w:rPr>
              <w:rFonts w:hint="eastAsia" w:ascii="宋体" w:hAnsi="宋体" w:cs="宋体"/>
              <w:color w:val="000000" w:themeColor="text1"/>
              <w:sz w:val="24"/>
              <w:szCs w:val="22"/>
              <w14:textFill>
                <w14:solidFill>
                  <w14:schemeClr w14:val="tx1"/>
                </w14:solidFill>
              </w14:textFill>
            </w:rPr>
            <w:fldChar w:fldCharType="end"/>
          </w:r>
          <w:r/>
        </w:p>
        <w:p>
          <w:pPr>
            <w:pStyle w:val="1073"/>
            <w:spacing w:line="360" w:lineRule="auto"/>
            <w:tabs>
              <w:tab w:val="right" w:pos="8910" w:leader="dot"/>
            </w:tabs>
            <w:rPr>
              <w:rFonts w:hint="eastAsia" w:ascii="宋体" w:hAnsi="宋体" w:cs="宋体"/>
              <w:b/>
              <w:bCs/>
              <w:color w:val="000000" w:themeColor="text1"/>
              <w:sz w:val="24"/>
              <w:szCs w:val="22"/>
              <w14:textFill>
                <w14:solidFill>
                  <w14:schemeClr w14:val="tx1"/>
                </w14:solidFill>
              </w14:textFill>
            </w:rPr>
          </w:pPr>
          <w:r>
            <w:fldChar w:fldCharType="begin"/>
          </w:r>
          <w:r>
            <w:instrText xml:space="preserve"> HYPERLINK \l "_Toc190" </w:instrText>
          </w:r>
          <w:r>
            <w:fldChar w:fldCharType="separate"/>
          </w:r>
          <w:r>
            <w:rPr>
              <w:rFonts w:hint="eastAsia" w:ascii="宋体" w:hAnsi="宋体" w:cs="宋体"/>
              <w:b/>
              <w:bCs/>
              <w:color w:val="000000" w:themeColor="text1"/>
              <w:sz w:val="24"/>
              <w:szCs w:val="36"/>
              <w14:textFill>
                <w14:solidFill>
                  <w14:schemeClr w14:val="tx1"/>
                </w14:solidFill>
              </w14:textFill>
            </w:rPr>
            <w:t xml:space="preserve">第三章 评标标准</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_Toc190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15</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073"/>
            <w:spacing w:line="360" w:lineRule="auto"/>
            <w:tabs>
              <w:tab w:val="right" w:pos="8910" w:leader="dot"/>
            </w:tabs>
            <w:rPr>
              <w:rFonts w:hint="eastAsia" w:ascii="宋体" w:hAnsi="宋体" w:cs="宋体"/>
              <w:b/>
              <w:bCs/>
              <w:color w:val="000000" w:themeColor="text1"/>
              <w:sz w:val="24"/>
              <w:szCs w:val="22"/>
              <w14:textFill>
                <w14:solidFill>
                  <w14:schemeClr w14:val="tx1"/>
                </w14:solidFill>
              </w14:textFill>
            </w:rPr>
          </w:pPr>
          <w:r>
            <w:fldChar w:fldCharType="begin"/>
          </w:r>
          <w:r>
            <w:instrText xml:space="preserve"> HYPERLINK \l "_Toc1009" </w:instrText>
          </w:r>
          <w:r>
            <w:fldChar w:fldCharType="separate"/>
          </w:r>
          <w:r>
            <w:rPr>
              <w:rFonts w:hint="eastAsia" w:ascii="宋体" w:hAnsi="宋体" w:cs="宋体"/>
              <w:b/>
              <w:bCs/>
              <w:color w:val="000000" w:themeColor="text1"/>
              <w:sz w:val="24"/>
              <w:szCs w:val="36"/>
              <w14:textFill>
                <w14:solidFill>
                  <w14:schemeClr w14:val="tx1"/>
                </w14:solidFill>
              </w14:textFill>
            </w:rPr>
            <w:t xml:space="preserve">第四章 采购需求</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_Toc1009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18</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073"/>
            <w:spacing w:line="360" w:lineRule="auto"/>
            <w:tabs>
              <w:tab w:val="right" w:pos="8910" w:leader="dot"/>
            </w:tabs>
            <w:rPr>
              <w:rFonts w:hint="eastAsia" w:ascii="宋体" w:hAnsi="宋体" w:cs="宋体"/>
              <w:b/>
              <w:bCs/>
              <w:color w:val="000000" w:themeColor="text1"/>
              <w:sz w:val="24"/>
              <w:szCs w:val="22"/>
              <w14:textFill>
                <w14:solidFill>
                  <w14:schemeClr w14:val="tx1"/>
                </w14:solidFill>
              </w14:textFill>
            </w:rPr>
          </w:pPr>
          <w:r>
            <w:fldChar w:fldCharType="begin"/>
          </w:r>
          <w:r>
            <w:instrText xml:space="preserve"> HYPERLINK \l "_Toc25604" </w:instrText>
          </w:r>
          <w:r>
            <w:fldChar w:fldCharType="separate"/>
          </w:r>
          <w:r>
            <w:rPr>
              <w:rFonts w:hint="eastAsia" w:ascii="宋体" w:hAnsi="宋体" w:cs="宋体"/>
              <w:b/>
              <w:bCs/>
              <w:color w:val="000000" w:themeColor="text1"/>
              <w:sz w:val="24"/>
              <w:szCs w:val="24"/>
              <w14:textFill>
                <w14:solidFill>
                  <w14:schemeClr w14:val="tx1"/>
                </w14:solidFill>
              </w14:textFill>
            </w:rPr>
            <w:t xml:space="preserve">第五章 拟签订的合同文本</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_Toc25604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28</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073"/>
            <w:spacing w:line="360" w:lineRule="auto"/>
            <w:tabs>
              <w:tab w:val="right" w:pos="8910" w:leader="dot"/>
            </w:tabs>
            <w:rPr>
              <w:rFonts w:hint="eastAsia" w:ascii="宋体" w:hAnsi="宋体" w:cs="宋体"/>
              <w:color w:val="000000" w:themeColor="text1"/>
              <w:sz w:val="24"/>
              <w:szCs w:val="22"/>
              <w14:textFill>
                <w14:solidFill>
                  <w14:schemeClr w14:val="tx1"/>
                </w14:solidFill>
              </w14:textFill>
            </w:rPr>
          </w:pPr>
          <w:r>
            <w:fldChar w:fldCharType="begin"/>
          </w:r>
          <w:r>
            <w:instrText xml:space="preserve"> HYPERLINK \l "_Toc11211" </w:instrText>
          </w:r>
          <w:r>
            <w:fldChar w:fldCharType="separate"/>
          </w:r>
          <w:r>
            <w:rPr>
              <w:rFonts w:hint="eastAsia" w:ascii="宋体" w:hAnsi="宋体" w:cs="宋体"/>
              <w:b/>
              <w:bCs/>
              <w:color w:val="000000" w:themeColor="text1"/>
              <w:sz w:val="24"/>
              <w:szCs w:val="24"/>
              <w14:textFill>
                <w14:solidFill>
                  <w14:schemeClr w14:val="tx1"/>
                </w14:solidFill>
              </w14:textFill>
            </w:rPr>
            <w:t xml:space="preserve">第六章 投标文件格式及附件</w:t>
          </w:r>
          <w:r>
            <w:rPr>
              <w:rFonts w:hint="eastAsia" w:ascii="宋体" w:hAnsi="宋体" w:cs="宋体"/>
              <w:b/>
              <w:bCs/>
              <w:color w:val="000000" w:themeColor="text1"/>
              <w:sz w:val="24"/>
              <w:szCs w:val="22"/>
              <w14:textFill>
                <w14:solidFill>
                  <w14:schemeClr w14:val="tx1"/>
                </w14:solidFill>
              </w14:textFill>
            </w:rPr>
            <w:tab/>
          </w:r>
          <w:r>
            <w:rPr>
              <w:rFonts w:hint="eastAsia" w:ascii="宋体" w:hAnsi="宋体" w:cs="宋体"/>
              <w:b/>
              <w:bCs/>
              <w:color w:val="000000" w:themeColor="text1"/>
              <w:sz w:val="24"/>
              <w:szCs w:val="22"/>
              <w14:textFill>
                <w14:solidFill>
                  <w14:schemeClr w14:val="tx1"/>
                </w14:solidFill>
              </w14:textFill>
            </w:rPr>
            <w:fldChar w:fldCharType="begin"/>
          </w:r>
          <w:r>
            <w:rPr>
              <w:rFonts w:hint="eastAsia" w:ascii="宋体" w:hAnsi="宋体" w:cs="宋体"/>
              <w:b/>
              <w:bCs/>
              <w:color w:val="000000" w:themeColor="text1"/>
              <w:sz w:val="24"/>
              <w:szCs w:val="22"/>
              <w14:textFill>
                <w14:solidFill>
                  <w14:schemeClr w14:val="tx1"/>
                </w14:solidFill>
              </w14:textFill>
            </w:rPr>
            <w:instrText xml:space="preserve"> PAGEREF _Toc11211 \h </w:instrText>
          </w:r>
          <w:r>
            <w:rPr>
              <w:rFonts w:hint="eastAsia" w:ascii="宋体" w:hAnsi="宋体" w:cs="宋体"/>
              <w:b/>
              <w:bCs/>
              <w:color w:val="000000" w:themeColor="text1"/>
              <w:sz w:val="24"/>
              <w:szCs w:val="22"/>
              <w14:textFill>
                <w14:solidFill>
                  <w14:schemeClr w14:val="tx1"/>
                </w14:solidFill>
              </w14:textFill>
            </w:rPr>
            <w:fldChar w:fldCharType="separate"/>
          </w:r>
          <w:r>
            <w:rPr>
              <w:rFonts w:hint="eastAsia" w:ascii="宋体" w:hAnsi="宋体" w:cs="宋体"/>
              <w:b/>
              <w:bCs/>
              <w:color w:val="000000" w:themeColor="text1"/>
              <w:sz w:val="24"/>
              <w:szCs w:val="22"/>
              <w14:textFill>
                <w14:solidFill>
                  <w14:schemeClr w14:val="tx1"/>
                </w14:solidFill>
              </w14:textFill>
            </w:rPr>
            <w:t xml:space="preserve">42</w:t>
          </w:r>
          <w:r>
            <w:rPr>
              <w:rFonts w:hint="eastAsia" w:ascii="宋体" w:hAnsi="宋体" w:cs="宋体"/>
              <w:b/>
              <w:bCs/>
              <w:color w:val="000000" w:themeColor="text1"/>
              <w:sz w:val="24"/>
              <w:szCs w:val="22"/>
              <w14:textFill>
                <w14:solidFill>
                  <w14:schemeClr w14:val="tx1"/>
                </w14:solidFill>
              </w14:textFill>
            </w:rPr>
            <w:fldChar w:fldCharType="end"/>
          </w:r>
          <w:r>
            <w:rPr>
              <w:rFonts w:hint="eastAsia" w:ascii="宋体" w:hAnsi="宋体" w:cs="宋体"/>
              <w:b/>
              <w:bCs/>
              <w:color w:val="000000" w:themeColor="text1"/>
              <w:sz w:val="24"/>
              <w:szCs w:val="22"/>
              <w14:textFill>
                <w14:solidFill>
                  <w14:schemeClr w14:val="tx1"/>
                </w14:solidFill>
              </w14:textFill>
            </w:rPr>
            <w:fldChar w:fldCharType="end"/>
          </w:r>
          <w:r/>
        </w:p>
        <w:p>
          <w:pPr>
            <w:pStyle w:val="1325"/>
            <w:ind w:firstLine="560"/>
            <w:jc w:val="center"/>
            <w:spacing w:before="0" w:line="360" w:lineRule="auto"/>
            <w:rPr>
              <w:color w:val="000000" w:themeColor="text1"/>
              <w14:textFill>
                <w14:solidFill>
                  <w14:schemeClr w14:val="tx1"/>
                </w14:solidFill>
              </w14:textFill>
            </w:rPr>
          </w:pPr>
          <w:r>
            <w:rPr>
              <w:rFonts w:ascii="宋体" w:hAnsi="宋体"/>
              <w:color w:val="000000" w:themeColor="text1"/>
              <w:sz w:val="28"/>
              <w:szCs w:val="28"/>
              <w:lang w:val="zh-CN"/>
              <w14:textFill>
                <w14:solidFill>
                  <w14:schemeClr w14:val="tx1"/>
                </w14:solidFill>
              </w14:textFill>
            </w:rPr>
            <w:fldChar w:fldCharType="end"/>
          </w:r>
          <w:r/>
        </w:p>
      </w:sdtContent>
    </w:sdt>
    <w:p>
      <w:pPr>
        <w:ind w:left="1572" w:right="1933"/>
        <w:jc w:val="center"/>
        <w:spacing w:line="357" w:lineRule="auto"/>
        <w:rPr>
          <w:rFonts w:hint="eastAsia" w:ascii="宋体" w:hAnsi="宋体" w:cs="宋体"/>
          <w:bCs/>
          <w:color w:val="000000" w:themeColor="text1"/>
          <w:szCs w:val="36"/>
          <w14:textFill>
            <w14:solidFill>
              <w14:schemeClr w14:val="tx1"/>
            </w14:solidFill>
          </w14:textFill>
        </w:rPr>
      </w:pPr>
      <w:r>
        <w:rPr>
          <w:rFonts w:hint="eastAsia" w:ascii="宋体" w:hAnsi="宋体" w:cs="宋体"/>
          <w:bCs/>
          <w:color w:val="000000" w:themeColor="text1"/>
          <w:szCs w:val="36"/>
          <w14:textFill>
            <w14:solidFill>
              <w14:schemeClr w14:val="tx1"/>
            </w14:solidFill>
          </w14:textFill>
        </w:rPr>
      </w:r>
      <w:r/>
    </w:p>
    <w:p>
      <w:pPr>
        <w:tabs>
          <w:tab w:val="left" w:pos="1666" w:leader="none"/>
        </w:tabs>
        <w:rPr>
          <w:rFonts w:hint="eastAsia" w:ascii="宋体" w:hAnsi="宋体" w:cs="宋体"/>
          <w:bCs/>
          <w:color w:val="000000" w:themeColor="text1"/>
          <w:szCs w:val="36"/>
          <w14:textFill>
            <w14:solidFill>
              <w14:schemeClr w14:val="tx1"/>
            </w14:solidFill>
          </w14:textFill>
        </w:rPr>
      </w:pPr>
      <w:r>
        <w:rPr>
          <w:rFonts w:hint="eastAsia" w:ascii="宋体" w:hAnsi="宋体" w:cs="宋体"/>
          <w:bCs/>
          <w:color w:val="000000" w:themeColor="text1"/>
          <w:szCs w:val="36"/>
          <w14:textFill>
            <w14:solidFill>
              <w14:schemeClr w14:val="tx1"/>
            </w14:solidFill>
          </w14:textFill>
        </w:rPr>
        <w:tab/>
      </w:r>
      <w:r/>
    </w:p>
    <w:p>
      <w:pPr>
        <w:rPr>
          <w:rFonts w:hint="eastAsia" w:ascii="宋体" w:hAnsi="宋体" w:cs="宋体"/>
          <w:bCs/>
          <w:color w:val="000000" w:themeColor="text1"/>
          <w:szCs w:val="36"/>
          <w14:textFill>
            <w14:solidFill>
              <w14:schemeClr w14:val="tx1"/>
            </w14:solidFill>
          </w14:textFill>
        </w:rPr>
      </w:pPr>
      <w:r>
        <w:rPr>
          <w:rFonts w:hint="eastAsia" w:ascii="宋体" w:hAnsi="宋体" w:cs="宋体"/>
          <w:bCs/>
          <w:color w:val="000000" w:themeColor="text1"/>
          <w:szCs w:val="36"/>
          <w14:textFill>
            <w14:solidFill>
              <w14:schemeClr w14:val="tx1"/>
            </w14:solidFill>
          </w14:textFill>
        </w:rPr>
      </w:r>
      <w:r/>
    </w:p>
    <w:p>
      <w:pPr>
        <w:rPr>
          <w:rFonts w:hint="eastAsia" w:ascii="宋体" w:hAnsi="宋体" w:cs="宋体"/>
          <w:color w:val="000000" w:themeColor="text1"/>
          <w:szCs w:val="36"/>
          <w14:textFill>
            <w14:solidFill>
              <w14:schemeClr w14:val="tx1"/>
            </w14:solidFill>
          </w14:textFill>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000000" w:themeColor="text1"/>
          <w:szCs w:val="36"/>
          <w14:textFill>
            <w14:solidFill>
              <w14:schemeClr w14:val="tx1"/>
            </w14:solidFill>
          </w14:textFill>
        </w:rPr>
      </w:r>
      <w:r/>
    </w:p>
    <w:p>
      <w:pPr>
        <w:jc w:val="center"/>
        <w:spacing w:line="360" w:lineRule="auto"/>
        <w:rPr>
          <w:rFonts w:hint="eastAsia" w:ascii="宋体" w:hAnsi="宋体" w:cs="宋体"/>
          <w:b/>
          <w:color w:val="000000" w:themeColor="text1"/>
          <w:sz w:val="28"/>
          <w:szCs w:val="28"/>
          <w14:textFill>
            <w14:solidFill>
              <w14:schemeClr w14:val="tx1"/>
            </w14:solidFill>
          </w14:textFill>
        </w:rPr>
        <w:outlineLvl w:val="0"/>
      </w:pPr>
      <w:r/>
      <w:bookmarkStart w:id="10" w:name="_Toc1826"/>
      <w:r/>
      <w:bookmarkStart w:id="11" w:name="_Toc4696384"/>
      <w:r/>
      <w:bookmarkStart w:id="12" w:name="_Toc20619"/>
      <w:r/>
      <w:bookmarkStart w:id="13" w:name="_Toc32131"/>
      <w:r/>
      <w:bookmarkStart w:id="14" w:name="_Toc11991"/>
      <w:r/>
      <w:bookmarkStart w:id="15" w:name="_Toc19726"/>
      <w:r/>
      <w:bookmarkStart w:id="16" w:name="_Toc22298"/>
      <w:r/>
      <w:bookmarkStart w:id="17" w:name="_Toc13535"/>
      <w:r/>
      <w:bookmarkStart w:id="18" w:name="_Toc15509"/>
      <w:r/>
      <w:bookmarkStart w:id="19" w:name="_Toc20112"/>
      <w:r/>
      <w:bookmarkStart w:id="20" w:name="_Toc7777"/>
      <w:r/>
      <w:bookmarkStart w:id="21" w:name="_Toc24606"/>
      <w:r>
        <w:rPr>
          <w:rFonts w:hint="eastAsia" w:ascii="宋体" w:hAnsi="宋体" w:cs="宋体"/>
          <w:b/>
          <w:color w:val="000000" w:themeColor="text1"/>
          <w:sz w:val="28"/>
          <w:szCs w:val="28"/>
          <w14:textFill>
            <w14:solidFill>
              <w14:schemeClr w14:val="tx1"/>
            </w14:solidFill>
          </w14:textFill>
        </w:rPr>
        <w:t xml:space="preserve">第一章 招标公告</w:t>
      </w:r>
      <w:bookmarkEnd w:id="10"/>
      <w:r/>
      <w:bookmarkEnd w:id="11"/>
      <w:r/>
      <w:bookmarkEnd w:id="12"/>
      <w:r/>
      <w:bookmarkEnd w:id="13"/>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22" w:name="_Toc21304"/>
      <w:r>
        <w:rPr>
          <w:rFonts w:hint="eastAsia" w:ascii="宋体" w:hAnsi="宋体" w:cs="宋体"/>
          <w:b/>
          <w:bCs/>
          <w:color w:val="000000" w:themeColor="text1"/>
          <w:szCs w:val="21"/>
          <w14:textFill>
            <w14:solidFill>
              <w14:schemeClr w14:val="tx1"/>
            </w14:solidFill>
          </w14:textFill>
        </w:rPr>
        <w:t xml:space="preserve">项目概况</w:t>
      </w:r>
      <w:bookmarkEnd w:id="22"/>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23" w:name="_Toc15613"/>
      <w:r/>
      <w:bookmarkStart w:id="24" w:name="_Hlk24379207"/>
      <w:r/>
      <w:bookmarkStart w:id="25" w:name="_Toc28359002"/>
      <w:r/>
      <w:bookmarkStart w:id="26" w:name="_Toc28359079"/>
      <w:r/>
      <w:bookmarkStart w:id="27" w:name="_Toc35393790"/>
      <w:r/>
      <w:bookmarkStart w:id="28" w:name="_Toc20859"/>
      <w:r/>
      <w:bookmarkStart w:id="29" w:name="_Toc35393621"/>
      <w:r>
        <w:rPr>
          <w:rFonts w:hint="eastAsia" w:ascii="宋体" w:hAnsi="宋体" w:cs="宋体"/>
          <w:color w:val="000000" w:themeColor="text1"/>
          <w:szCs w:val="21"/>
          <w14:textFill>
            <w14:solidFill>
              <w14:schemeClr w14:val="tx1"/>
            </w14:solidFill>
          </w14:textFill>
        </w:rPr>
        <w:t xml:space="preserve">江苏省特检院直属分院长庆油田管道内检测辅助工作外委项目的潜在投标人应在“苏采云”系统内免费下载招标文件，并于2026年11月10日09点30分（北京时间）前递交投标文件。</w:t>
      </w:r>
      <w:bookmarkEnd w:id="23"/>
      <w:r/>
      <w:bookmarkEnd w:id="24"/>
      <w:r/>
      <w:bookmarkEnd w:id="25"/>
      <w:r/>
      <w:bookmarkEnd w:id="26"/>
      <w:r/>
      <w:bookmarkEnd w:id="27"/>
      <w:r/>
      <w:bookmarkEnd w:id="28"/>
      <w:r/>
      <w:bookmarkEnd w:id="29"/>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30" w:name="_Toc7526"/>
      <w:r/>
      <w:bookmarkStart w:id="31" w:name="_Toc8615"/>
      <w:r/>
      <w:bookmarkStart w:id="32" w:name="_Toc241513269"/>
      <w:r/>
      <w:bookmarkStart w:id="33" w:name="_Toc29932"/>
      <w:r/>
      <w:bookmarkStart w:id="34" w:name="_Toc241501752"/>
      <w:r/>
      <w:bookmarkStart w:id="35" w:name="_Toc975"/>
      <w:r/>
      <w:bookmarkStart w:id="36" w:name="_Toc28359003"/>
      <w:r/>
      <w:bookmarkStart w:id="37" w:name="_Toc31638"/>
      <w:r/>
      <w:bookmarkStart w:id="38" w:name="_Toc35393622"/>
      <w:r/>
      <w:bookmarkStart w:id="39" w:name="_Toc28359080"/>
      <w:r/>
      <w:bookmarkStart w:id="40" w:name="_Toc3342"/>
      <w:r/>
      <w:bookmarkStart w:id="41" w:name="_Toc35393791"/>
      <w:r/>
      <w:bookmarkStart w:id="42" w:name="_Toc5396"/>
      <w:r>
        <w:rPr>
          <w:rFonts w:hint="eastAsia" w:ascii="宋体" w:hAnsi="宋体" w:cs="宋体"/>
          <w:b/>
          <w:bCs/>
          <w:color w:val="000000" w:themeColor="text1"/>
          <w:szCs w:val="21"/>
          <w14:textFill>
            <w14:solidFill>
              <w14:schemeClr w14:val="tx1"/>
            </w14:solidFill>
          </w14:textFill>
        </w:rPr>
        <w:t xml:space="preserve">一、项目基本情况</w:t>
      </w:r>
      <w:bookmarkEnd w:id="30"/>
      <w:r/>
      <w:bookmarkEnd w:id="31"/>
      <w:r/>
      <w:bookmarkEnd w:id="32"/>
      <w:r/>
      <w:bookmarkEnd w:id="33"/>
      <w:r/>
      <w:bookmarkEnd w:id="34"/>
      <w:r/>
      <w:bookmarkEnd w:id="35"/>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1、项目编号：</w:t>
      </w:r>
      <w:r>
        <w:rPr>
          <w:rFonts w:ascii="宋体" w:hAnsi="宋体" w:cs="宋体"/>
          <w:color w:val="000000" w:themeColor="text1"/>
          <w:szCs w:val="21"/>
          <w14:textFill>
            <w14:solidFill>
              <w14:schemeClr w14:val="tx1"/>
            </w14:solidFill>
          </w14:textFill>
        </w:rPr>
        <w:t xml:space="preserve">JSZC-320000-NJJC-G2026-0157</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2、项目名称：江苏省特检院直属分院长庆油田管道内检测辅助工作外委</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3、采购方式：公开招标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4、预算金额：410万元</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5、最高总限价：</w:t>
      </w:r>
      <w:r>
        <w:rPr>
          <w:rFonts w:hint="eastAsia" w:ascii="宋体" w:hAnsi="宋体" w:cs="宋体"/>
          <w:b/>
          <w:bCs/>
          <w:color w:val="000000" w:themeColor="text1"/>
          <w:szCs w:val="21"/>
          <w14:textFill>
            <w14:solidFill>
              <w14:schemeClr w14:val="tx1"/>
            </w14:solidFill>
          </w14:textFill>
        </w:rPr>
        <w:t xml:space="preserve">人民币410万元，</w:t>
      </w:r>
      <w:r>
        <w:rPr>
          <w:rFonts w:ascii="宋体" w:hAnsi="宋体" w:cs="宋体"/>
          <w:b/>
          <w:color w:val="000000" w:themeColor="text1"/>
          <w:szCs w:val="21"/>
          <w14:textFill>
            <w14:solidFill>
              <w14:schemeClr w14:val="tx1"/>
            </w14:solidFill>
          </w14:textFill>
        </w:rPr>
        <w:t xml:space="preserve">本项目按单项项目进行报价，单项报价不得超过</w:t>
      </w:r>
      <w:r>
        <w:rPr>
          <w:rFonts w:hint="eastAsia" w:ascii="宋体" w:hAnsi="宋体" w:cs="宋体"/>
          <w:b/>
          <w:color w:val="000000" w:themeColor="text1"/>
          <w:szCs w:val="21"/>
          <w14:textFill>
            <w14:solidFill>
              <w14:schemeClr w14:val="tx1"/>
            </w14:solidFill>
          </w14:textFill>
        </w:rPr>
        <w:t xml:space="preserve">对应</w:t>
      </w:r>
      <w:r>
        <w:rPr>
          <w:rFonts w:ascii="宋体" w:hAnsi="宋体" w:cs="宋体"/>
          <w:b/>
          <w:color w:val="000000" w:themeColor="text1"/>
          <w:szCs w:val="21"/>
          <w14:textFill>
            <w14:solidFill>
              <w14:schemeClr w14:val="tx1"/>
            </w14:solidFill>
          </w14:textFill>
        </w:rPr>
        <w:t xml:space="preserve">最高限价，项目总报价不得超过项目预算，投标人的报价超过最高限价的，作无效投标处理。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6、采购需求：</w:t>
      </w:r>
      <w:r>
        <w:rPr>
          <w:rFonts w:ascii="宋体" w:hAnsi="宋体" w:cs="宋体"/>
          <w:color w:val="000000" w:themeColor="text1"/>
          <w:szCs w:val="21"/>
          <w14:textFill>
            <w14:solidFill>
              <w14:schemeClr w14:val="tx1"/>
            </w14:solidFill>
          </w14:textFill>
        </w:rPr>
        <w:t xml:space="preserve">主要为江苏省特种设备安全监督检验研究院承担长庆油田</w:t>
      </w:r>
      <w:r>
        <w:rPr>
          <w:rFonts w:hint="eastAsia" w:ascii="宋体" w:hAnsi="宋体" w:cs="宋体"/>
          <w:color w:val="000000" w:themeColor="text1"/>
          <w:szCs w:val="21"/>
          <w14:textFill>
            <w14:solidFill>
              <w14:schemeClr w14:val="tx1"/>
            </w14:solidFill>
          </w14:textFill>
        </w:rPr>
        <w:t xml:space="preserve">管道</w:t>
      </w:r>
      <w:r>
        <w:rPr>
          <w:rFonts w:ascii="宋体" w:hAnsi="宋体" w:cs="宋体"/>
          <w:color w:val="000000" w:themeColor="text1"/>
          <w:szCs w:val="21"/>
          <w14:textFill>
            <w14:solidFill>
              <w14:schemeClr w14:val="tx1"/>
            </w14:solidFill>
          </w14:textFill>
        </w:rPr>
        <w:t xml:space="preserve">内检测项目所需要的辅助工作，服务内容包括转运整备、内检测器耗材、开挖、外检测辅助等工作，涉及压力管道11条（493.39千米），具体项目清单见下表：</w:t>
      </w:r>
      <w:r/>
    </w:p>
    <w:tbl>
      <w:tblPr>
        <w:tblStyle w:val="10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589"/>
        <w:gridCol w:w="4814"/>
        <w:gridCol w:w="1225"/>
        <w:gridCol w:w="780"/>
        <w:gridCol w:w="1282"/>
      </w:tblGrid>
      <w:tr>
        <w:trPr>
          <w:jc w:val="center"/>
          <w:trHeight w:val="692"/>
        </w:trPr>
        <w:tc>
          <w:tcPr>
            <w:tcW w:w="1268"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服务内容</w:t>
            </w:r>
            <w:r/>
          </w:p>
        </w:tc>
        <w:tc>
          <w:tcPr>
            <w:tcW w:w="599"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4939"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w:t>
            </w:r>
            <w:r/>
          </w:p>
        </w:tc>
        <w:tc>
          <w:tcPr>
            <w:tcW w:w="1252"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w:t>
            </w:r>
            <w:r/>
          </w:p>
        </w:tc>
        <w:tc>
          <w:tcPr>
            <w:tcW w:w="795"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计费</w:t>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单位</w:t>
            </w:r>
            <w:r/>
          </w:p>
        </w:tc>
        <w:tc>
          <w:tcPr>
            <w:tcW w:w="1310" w:type="dxa"/>
            <w:vAlign w:val="center"/>
            <w:textDirection w:val="lrTb"/>
            <w:noWrap w:val="false"/>
          </w:tcPr>
          <w:p>
            <w:pPr>
              <w:jc w:val="center"/>
              <w:spacing w:line="360" w:lineRule="auto"/>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单价最高限价</w:t>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（元）</w:t>
            </w:r>
            <w:r/>
          </w:p>
        </w:tc>
      </w:tr>
      <w:tr>
        <w:trPr>
          <w:jc w:val="center"/>
          <w:trHeight w:val="341"/>
        </w:trPr>
        <w:tc>
          <w:tcPr>
            <w:tcW w:w="1268" w:type="dxa"/>
            <w:vAlign w:val="center"/>
            <w:vMerge w:val="restart"/>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江苏省特检院直属分院长庆油田管道内检测辅助工作外委</w:t>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93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内检测实施辅助工作（内检测转运、现场内检测实施吊装发球、现场跟球、定标盒敷设回收等）</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条</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45000</w:t>
            </w:r>
            <w:r/>
          </w:p>
        </w:tc>
      </w:tr>
      <w:tr>
        <w:trPr>
          <w:jc w:val="center"/>
          <w:trHeight w:val="346"/>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493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管线防腐层不开挖检测辅助工作</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900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493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密间距管地电位法测试辅助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493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杂散电流普查测试辅助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493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管地电位梯度和杂散电流方向性测试辅助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493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711口径内检测器，含全套（泡沫、皮碗、钢刷）清管器、几何变形检测器、漏磁检测器</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条</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400000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W w:w="493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273、406.4口径内检测用漏磁探头、几何探头、皮碗、钢刷</w:t>
            </w:r>
            <w:r/>
          </w:p>
        </w:tc>
        <w:tc>
          <w:tcPr>
            <w:tcW w:w="1252"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100000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4939"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开挖验证辅助（包含验证点开挖、验证点防腐层剥离恢复、验证点焊缝埋藏缺陷检测等）</w:t>
            </w:r>
            <w:r/>
          </w:p>
        </w:tc>
        <w:tc>
          <w:tcPr>
            <w:tcW w:w="1252"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处</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16000</w:t>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4939"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内检测手续协助</w:t>
            </w:r>
            <w:r/>
          </w:p>
        </w:tc>
        <w:tc>
          <w:tcPr>
            <w:tcW w:w="1252"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79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1310"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42500</w:t>
            </w:r>
            <w:r/>
          </w:p>
        </w:tc>
      </w:tr>
    </w:tbl>
    <w:p>
      <w:pPr>
        <w:pStyle w:val="1096"/>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 1）、供应商负责中标合同约定业务，供应商实施的单个项目以采购人发出的书面委托单明确的具体服务项目内容为准。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2）、具体采购需求详见招标文件“第四章 采购需求”。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7、本项目不接受联合体投标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8、集中考察：不组织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9、所属行业：</w:t>
      </w:r>
      <w:r>
        <w:rPr>
          <w:rFonts w:hint="eastAsia" w:ascii="宋体" w:hAnsi="宋体" w:cs="宋体"/>
          <w:b/>
          <w:bCs/>
          <w:color w:val="000000" w:themeColor="text1"/>
          <w:szCs w:val="21"/>
          <w14:textFill>
            <w14:solidFill>
              <w14:schemeClr w14:val="tx1"/>
            </w14:solidFill>
          </w14:textFill>
        </w:rPr>
        <w:t xml:space="preserve">其他未列明行业</w:t>
      </w:r>
      <w:r/>
    </w:p>
    <w:p>
      <w:pPr>
        <w:pStyle w:val="1096"/>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10、合同履行期限：自合同签订之日起一年。</w:t>
      </w:r>
      <w:r>
        <w:rPr>
          <w:color w:val="000000" w:themeColor="text1"/>
          <w14:textFill>
            <w14:solidFill>
              <w14:schemeClr w14:val="tx1"/>
            </w14:solidFill>
          </w14:textFill>
        </w:rPr>
        <w:t xml:space="preserve">合同履行期间合同签订的单价不变，合同期内总结算费用不得超过预算额度，如经核算有超出的合同金额部分，甲方有权不予以支付，但不免除乙方在服务期内合同履行的义务。合同签订后，每项任务在得到采购人书面通知后开始，至项目规定的所有辅助服务工作完成止</w:t>
      </w:r>
      <w:r>
        <w:rPr>
          <w:rFonts w:hint="eastAsia"/>
          <w:color w:val="000000" w:themeColor="text1"/>
          <w14:textFill>
            <w14:solidFill>
              <w14:schemeClr w14:val="tx1"/>
            </w14:solidFill>
          </w14:textFill>
        </w:rPr>
        <w:t xml:space="preserve">。</w:t>
      </w:r>
      <w:r/>
    </w:p>
    <w:p>
      <w:pPr>
        <w:numPr>
          <w:ilvl w:val="0"/>
          <w:numId w:val="2"/>
        </w:num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申请人的资格要求：</w:t>
      </w:r>
      <w:bookmarkEnd w:id="36"/>
      <w:r/>
      <w:bookmarkEnd w:id="37"/>
      <w:r/>
      <w:bookmarkEnd w:id="38"/>
      <w:r/>
      <w:bookmarkEnd w:id="39"/>
      <w:r/>
      <w:bookmarkEnd w:id="40"/>
      <w:r/>
      <w:bookmarkEnd w:id="41"/>
      <w:r/>
      <w:bookmarkEnd w:id="42"/>
      <w:r/>
      <w:bookmarkStart w:id="43" w:name="_Toc6688"/>
      <w:r/>
      <w:bookmarkStart w:id="44" w:name="_Toc13065"/>
      <w:r/>
      <w:bookmarkStart w:id="45" w:name="_Toc193"/>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2.1.满足《中华人民共和国政府采购法》第二十二条规定；</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（1）具有独立承担民事责任的能力（提供法人或者其他组织的营业执照，自然人的身份证明，加盖电子公章）；</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提供以下三种材料的任意一种扫描件加盖电子公章）：①上一年度的经第三方会计师事务所审计的财务报告扫描件（包括报告及报表等内容，并由注册会计师签名、盖章以及会计师事务所盖章）；②提交投标文件截止日前六个月内基本开户银行出具的资信证明；③提交投标文件截止时间前六个月内任意一个月的财务状况记录（至少包括资产负债表和损益表）。</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（3）具有履行合同所必需的设备和专业技术能力（根据项目需求提供履行合同所必需的设备和专业技术能力的声明或证明材料加盖电子公章）；</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有依法缴纳税收和社会保障资金的良好记录【投标人需要提供提交投标文件截止日前六个月内任意一个月的企业依法缴纳税收（企业代缴的个人所得税除外）和社会保障资金的记录（如依法免税或依法不需要缴纳社会保障资金的，提供相应证明文件加盖电子公章，自拟文件无效】；</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（5）参加本次采购活动前三年内，在经营活动中没有重大违法记录（提供参加本次采购活动前三年内在经营活动中没有重大违法记录的书面声明加盖电子公章）；</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w:t>
      </w:r>
      <w:r/>
    </w:p>
    <w:p>
      <w:pPr>
        <w:ind w:firstLine="420"/>
        <w:jc w:val="left"/>
        <w:spacing w:line="360" w:lineRule="auto"/>
        <w:widowControl/>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 落实政府采购政策需满足的资格要求：</w:t>
      </w:r>
      <w:r>
        <w:rPr>
          <w:rFonts w:hint="eastAsia" w:ascii="宋体" w:hAnsi="宋体" w:cs="宋体"/>
          <w:b/>
          <w:color w:val="000000" w:themeColor="text1"/>
          <w:szCs w:val="21"/>
          <w14:textFill>
            <w14:solidFill>
              <w14:schemeClr w14:val="tx1"/>
            </w14:solidFill>
          </w14:textFill>
        </w:rPr>
        <w:t xml:space="preserve">本项目专门面向中小企业采购，供应商</w:t>
      </w:r>
      <w:r>
        <w:rPr>
          <w:rFonts w:hint="eastAsia" w:ascii="宋体" w:hAnsi="宋体" w:cs="宋体"/>
          <w:b/>
          <w:color w:val="000000" w:themeColor="text1"/>
          <w:szCs w:val="21"/>
          <w:lang w:val="zh-CN"/>
          <w14:textFill>
            <w14:solidFill>
              <w14:schemeClr w14:val="tx1"/>
            </w14:solidFill>
          </w14:textFill>
        </w:rPr>
        <w:t xml:space="preserve">应为中小微企业或监狱企业或残疾人福利性单位。（</w:t>
      </w:r>
      <w:r>
        <w:rPr>
          <w:rFonts w:hint="eastAsia" w:ascii="宋体" w:hAnsi="宋体" w:cs="宋体"/>
          <w:b/>
          <w:color w:val="000000" w:themeColor="text1"/>
          <w:szCs w:val="21"/>
          <w14:textFill>
            <w14:solidFill>
              <w14:schemeClr w14:val="tx1"/>
            </w14:solidFill>
          </w14:textFill>
        </w:rPr>
        <w:t xml:space="preserve">提供承诺函或证明材料，</w:t>
      </w:r>
      <w:r>
        <w:rPr>
          <w:rFonts w:hint="eastAsia" w:ascii="宋体" w:hAnsi="宋体" w:cs="宋体"/>
          <w:b/>
          <w:color w:val="000000" w:themeColor="text1"/>
          <w:szCs w:val="21"/>
          <w:lang w:val="zh-CN"/>
          <w14:textFill>
            <w14:solidFill>
              <w14:schemeClr w14:val="tx1"/>
            </w14:solidFill>
          </w14:textFill>
        </w:rPr>
        <w:t xml:space="preserve">格式见第六章）</w:t>
      </w:r>
      <w:r>
        <w:rPr>
          <w:rFonts w:hint="eastAsia" w:ascii="宋体" w:hAnsi="宋体" w:cs="宋体"/>
          <w:b/>
          <w:color w:val="000000" w:themeColor="text1"/>
          <w:szCs w:val="21"/>
          <w14:textFill>
            <w14:solidFill>
              <w14:schemeClr w14:val="tx1"/>
            </w14:solidFill>
          </w14:textFill>
        </w:rPr>
        <w:t xml:space="preserve">。</w:t>
      </w:r>
      <w:r/>
    </w:p>
    <w:p>
      <w:pPr>
        <w:ind w:firstLine="420"/>
        <w:jc w:val="left"/>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2.3.本项目的特定资格要求：</w:t>
      </w:r>
      <w:r>
        <w:rPr>
          <w:rFonts w:hint="eastAsia" w:ascii="宋体" w:hAnsi="宋体"/>
          <w:b/>
          <w:bCs/>
          <w:color w:val="000000" w:themeColor="text1"/>
          <w:szCs w:val="21"/>
          <w14:textFill>
            <w14:solidFill>
              <w14:schemeClr w14:val="tx1"/>
            </w14:solidFill>
          </w14:textFill>
        </w:rPr>
        <w:t xml:space="preserve">①供应商须具备由市场监督管理部门颁发的《中华人民共和国特种设备检验检测机构核准证》（</w:t>
      </w:r>
      <w:r>
        <w:rPr>
          <w:rFonts w:ascii="宋体" w:hAnsi="宋体"/>
          <w:b/>
          <w:bCs/>
          <w:color w:val="000000" w:themeColor="text1"/>
          <w:szCs w:val="21"/>
          <w14:textFill>
            <w14:solidFill>
              <w14:schemeClr w14:val="tx1"/>
            </w14:solidFill>
          </w14:textFill>
        </w:rPr>
        <w:t xml:space="preserve">检测项目至少须包含射线检测RT、超声检测UT、磁粉检测MT及渗透检测PT，提供有效证书复印件加盖</w:t>
      </w:r>
      <w:r>
        <w:rPr>
          <w:rFonts w:hint="eastAsia" w:ascii="宋体" w:hAnsi="宋体"/>
          <w:b/>
          <w:bCs/>
          <w:color w:val="000000" w:themeColor="text1"/>
          <w:szCs w:val="21"/>
          <w14:textFill>
            <w14:solidFill>
              <w14:schemeClr w14:val="tx1"/>
            </w14:solidFill>
          </w14:textFill>
        </w:rPr>
        <w:t xml:space="preserve">电子</w:t>
      </w:r>
      <w:r>
        <w:rPr>
          <w:rFonts w:ascii="宋体" w:hAnsi="宋体"/>
          <w:b/>
          <w:bCs/>
          <w:color w:val="000000" w:themeColor="text1"/>
          <w:szCs w:val="21"/>
          <w14:textFill>
            <w14:solidFill>
              <w14:schemeClr w14:val="tx1"/>
            </w14:solidFill>
          </w14:textFill>
        </w:rPr>
        <w:t xml:space="preserve">公章）</w:t>
      </w:r>
      <w:r>
        <w:rPr>
          <w:rFonts w:hint="eastAsia" w:ascii="宋体" w:hAnsi="宋体"/>
          <w:b/>
          <w:bCs/>
          <w:color w:val="000000" w:themeColor="text1"/>
          <w:szCs w:val="21"/>
          <w14:textFill>
            <w14:solidFill>
              <w14:schemeClr w14:val="tx1"/>
            </w14:solidFill>
          </w14:textFill>
        </w:rPr>
        <w:t xml:space="preserve">）；②供应商须具备由生态环境主管部门颁发的《</w:t>
      </w:r>
      <w:bookmarkStart w:id="46" w:name="OLE_LINK1"/>
      <w:r>
        <w:rPr>
          <w:rFonts w:hint="eastAsia" w:ascii="宋体" w:hAnsi="宋体"/>
          <w:b/>
          <w:bCs/>
          <w:color w:val="000000" w:themeColor="text1"/>
          <w:szCs w:val="21"/>
          <w14:textFill>
            <w14:solidFill>
              <w14:schemeClr w14:val="tx1"/>
            </w14:solidFill>
          </w14:textFill>
        </w:rPr>
        <w:t xml:space="preserve">辐射安全许可证</w:t>
      </w:r>
      <w:bookmarkEnd w:id="46"/>
      <w:r>
        <w:rPr>
          <w:rFonts w:hint="eastAsia" w:ascii="宋体" w:hAnsi="宋体"/>
          <w:b/>
          <w:bCs/>
          <w:color w:val="000000" w:themeColor="text1"/>
          <w:szCs w:val="21"/>
          <w14:textFill>
            <w14:solidFill>
              <w14:schemeClr w14:val="tx1"/>
            </w14:solidFill>
          </w14:textFill>
        </w:rPr>
        <w:t xml:space="preserve">》。（提供有效的证书复印件加盖电子公章）</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2.4.拒绝下述供应商参加本次采购活动的情形：</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（3）拒绝列入失信被执行人、重大税收违法案件当事人名单、政府采购严重违法失信行为记录名单的供应商参与政府采购活动。</w:t>
      </w:r>
      <w:r/>
    </w:p>
    <w:p>
      <w:pPr>
        <w:pStyle w:val="1096"/>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（4）公益一类事业单位、使用事业编制且由财政拨款保障的群团组织，不得参与本项目采购活动。</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2.5中标后不允许转包、分包。</w:t>
      </w:r>
      <w:r/>
    </w:p>
    <w:p>
      <w:pPr>
        <w:ind w:firstLine="420"/>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三、获取招标文件</w:t>
      </w:r>
      <w:bookmarkEnd w:id="43"/>
      <w:r/>
      <w:bookmarkEnd w:id="44"/>
      <w:r/>
      <w:bookmarkEnd w:id="45"/>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3.1时间：自招标文件公告发布之日起5个工作日。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3.2地点：“苏采云”系统内免费下载（投标人必须在苏采云系统中获取采购文件，方能参与本次政府采购项目）</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3.3方式：苏采云系统注册登记成功后系统内免费下载。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3.4售价：0元。</w:t>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47" w:name="_Toc18434"/>
      <w:r/>
      <w:bookmarkStart w:id="48" w:name="_Toc29481"/>
      <w:r/>
      <w:bookmarkStart w:id="49" w:name="_Toc241513270"/>
      <w:r/>
      <w:bookmarkStart w:id="50" w:name="_Toc3667"/>
      <w:r/>
      <w:bookmarkStart w:id="51" w:name="_Toc241501753"/>
      <w:r/>
      <w:bookmarkStart w:id="52" w:name="_Toc18950"/>
      <w:r/>
      <w:bookmarkStart w:id="53" w:name="_Toc698"/>
      <w:r/>
      <w:bookmarkStart w:id="54" w:name="_Toc30278"/>
      <w:r>
        <w:rPr>
          <w:rFonts w:hint="eastAsia" w:ascii="宋体" w:hAnsi="宋体" w:cs="宋体"/>
          <w:b/>
          <w:bCs/>
          <w:color w:val="000000" w:themeColor="text1"/>
          <w:szCs w:val="21"/>
          <w14:textFill>
            <w14:solidFill>
              <w14:schemeClr w14:val="tx1"/>
            </w14:solidFill>
          </w14:textFill>
        </w:rPr>
        <w:t xml:space="preserve">四、提交投标文件截止时间、开标时间和地点</w:t>
      </w:r>
      <w:bookmarkEnd w:id="47"/>
      <w:r/>
      <w:bookmarkEnd w:id="48"/>
      <w:r/>
      <w:bookmarkEnd w:id="49"/>
      <w:r/>
      <w:bookmarkEnd w:id="50"/>
      <w:r/>
      <w:bookmarkEnd w:id="51"/>
      <w:r/>
      <w:bookmarkEnd w:id="52"/>
      <w:r/>
      <w:bookmarkEnd w:id="53"/>
      <w:r/>
      <w:bookmarkEnd w:id="54"/>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55" w:name="_Toc35393625"/>
      <w:r/>
      <w:bookmarkStart w:id="56" w:name="_Toc28359084"/>
      <w:r/>
      <w:bookmarkStart w:id="57" w:name="_Toc35393794"/>
      <w:r/>
      <w:bookmarkStart w:id="58" w:name="_Toc28359007"/>
      <w:r>
        <w:rPr>
          <w:rFonts w:hint="eastAsia" w:ascii="宋体" w:hAnsi="宋体" w:cs="宋体"/>
          <w:bCs/>
          <w:color w:val="000000" w:themeColor="text1"/>
          <w:szCs w:val="21"/>
          <w14:textFill>
            <w14:solidFill>
              <w14:schemeClr w14:val="tx1"/>
            </w14:solidFill>
          </w14:textFill>
        </w:rPr>
        <w:t xml:space="preserve">4.1提交投标文件截止时间、开标时间：2026年11月10日09点30分（北京时间）</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4.2地点：江苏省政府采购交易系统（以下简称“苏采云系统”）网上开标大厅</w:t>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59" w:name="_Toc27623"/>
      <w:r/>
      <w:bookmarkStart w:id="60" w:name="_Toc32448"/>
      <w:r/>
      <w:bookmarkStart w:id="61" w:name="_Toc26431"/>
      <w:r/>
      <w:bookmarkStart w:id="62" w:name="_Toc2476"/>
      <w:r/>
      <w:bookmarkStart w:id="63" w:name="_Toc28374"/>
      <w:r/>
      <w:bookmarkStart w:id="64" w:name="_Toc27890"/>
      <w:r/>
      <w:bookmarkStart w:id="65" w:name="_Toc241513271"/>
      <w:r/>
      <w:bookmarkStart w:id="66" w:name="_Toc241501754"/>
      <w:r>
        <w:rPr>
          <w:rFonts w:hint="eastAsia" w:ascii="宋体" w:hAnsi="宋体" w:cs="宋体"/>
          <w:b/>
          <w:bCs/>
          <w:color w:val="000000" w:themeColor="text1"/>
          <w:szCs w:val="21"/>
          <w14:textFill>
            <w14:solidFill>
              <w14:schemeClr w14:val="tx1"/>
            </w14:solidFill>
          </w14:textFill>
        </w:rPr>
        <w:t xml:space="preserve">五、公告期限</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自本公告发布之日起5个工作日。</w:t>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67" w:name="_Toc4792"/>
      <w:r/>
      <w:bookmarkStart w:id="68" w:name="_Toc35393626"/>
      <w:r/>
      <w:bookmarkStart w:id="69" w:name="_Toc241513272"/>
      <w:r/>
      <w:bookmarkStart w:id="70" w:name="_Toc14246"/>
      <w:r/>
      <w:bookmarkStart w:id="71" w:name="_Toc35393795"/>
      <w:r/>
      <w:bookmarkStart w:id="72" w:name="_Toc7611"/>
      <w:r/>
      <w:bookmarkStart w:id="73" w:name="_Toc241501755"/>
      <w:r/>
      <w:bookmarkStart w:id="74" w:name="_Toc29175"/>
      <w:r/>
      <w:bookmarkStart w:id="75" w:name="_Toc27208"/>
      <w:r/>
      <w:bookmarkStart w:id="76" w:name="_Toc4129"/>
      <w:r>
        <w:rPr>
          <w:rFonts w:hint="eastAsia" w:ascii="宋体" w:hAnsi="宋体" w:cs="宋体"/>
          <w:b/>
          <w:bCs/>
          <w:color w:val="000000" w:themeColor="text1"/>
          <w:szCs w:val="21"/>
          <w14:textFill>
            <w14:solidFill>
              <w14:schemeClr w14:val="tx1"/>
            </w14:solidFill>
          </w14:textFill>
        </w:rPr>
        <w:t xml:space="preserve">六、其他补充事宜</w:t>
      </w:r>
      <w:bookmarkEnd w:id="14"/>
      <w:r/>
      <w:bookmarkEnd w:id="67"/>
      <w:r/>
      <w:bookmarkEnd w:id="68"/>
      <w:r/>
      <w:bookmarkEnd w:id="69"/>
      <w:r/>
      <w:bookmarkEnd w:id="70"/>
      <w:r/>
      <w:bookmarkEnd w:id="71"/>
      <w:r/>
      <w:bookmarkEnd w:id="72"/>
      <w:r/>
      <w:bookmarkEnd w:id="73"/>
      <w:r/>
      <w:bookmarkEnd w:id="74"/>
      <w:r/>
      <w:bookmarkEnd w:id="75"/>
      <w:r/>
      <w:bookmarkEnd w:id="76"/>
      <w:r/>
      <w:r/>
    </w:p>
    <w:p>
      <w:pPr>
        <w:pStyle w:val="130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6.1本次招标不收取投标保证金。</w:t>
      </w:r>
      <w:r/>
    </w:p>
    <w:p>
      <w:pPr>
        <w:pStyle w:val="130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本项目执行《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文件。</w:t>
      </w:r>
      <w:r/>
    </w:p>
    <w:p>
      <w:pPr>
        <w:pStyle w:val="130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集中现场考察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p>
    <w:p>
      <w:pPr>
        <w:pStyle w:val="130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ind w:firstLine="420"/>
        <w:jc w:val="left"/>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6.5</w:t>
      </w:r>
      <w:r>
        <w:rPr>
          <w:rFonts w:hint="eastAsia" w:ascii="宋体" w:hAnsi="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本次采购公告在“江苏政府采购网”上发布，有关本次采购的事项若存在变动或修改，敬请及时关注“江苏政府采购网”发布的信息更正公告，其责任由供应商自行承担。</w:t>
      </w:r>
      <w:r/>
    </w:p>
    <w:p>
      <w:pPr>
        <w:ind w:firstLine="422"/>
        <w:spacing w:line="360" w:lineRule="auto"/>
        <w:rPr>
          <w:rFonts w:hint="eastAsia" w:ascii="宋体" w:hAnsi="宋体" w:cs="宋体"/>
          <w:b/>
          <w:bCs/>
          <w:color w:val="000000" w:themeColor="text1"/>
          <w:szCs w:val="21"/>
          <w14:textFill>
            <w14:solidFill>
              <w14:schemeClr w14:val="tx1"/>
            </w14:solidFill>
          </w14:textFill>
        </w:rPr>
      </w:pPr>
      <w:r/>
      <w:bookmarkStart w:id="77" w:name="_Toc10646"/>
      <w:r/>
      <w:bookmarkStart w:id="78" w:name="_Toc26643"/>
      <w:r/>
      <w:bookmarkStart w:id="79" w:name="_Toc1940"/>
      <w:r/>
      <w:bookmarkStart w:id="80" w:name="_Toc241513273"/>
      <w:r/>
      <w:bookmarkStart w:id="81" w:name="_Toc241501756"/>
      <w:r>
        <w:rPr>
          <w:rFonts w:hint="eastAsia" w:ascii="宋体" w:hAnsi="宋体" w:cs="宋体"/>
          <w:b/>
          <w:bCs/>
          <w:color w:val="000000" w:themeColor="text1"/>
          <w:szCs w:val="21"/>
          <w14:textFill>
            <w14:solidFill>
              <w14:schemeClr w14:val="tx1"/>
            </w14:solidFill>
          </w14:textFill>
        </w:rPr>
        <w:t xml:space="preserve">七、对本次招标提出询问，请按以下方式联系</w:t>
      </w:r>
      <w:bookmarkEnd w:id="77"/>
      <w:r/>
      <w:bookmarkEnd w:id="78"/>
      <w:r/>
      <w:bookmarkEnd w:id="79"/>
      <w:r/>
      <w:bookmarkEnd w:id="80"/>
      <w:r/>
      <w:bookmarkEnd w:id="81"/>
      <w:r/>
      <w:r/>
    </w:p>
    <w:p>
      <w:pPr>
        <w:pStyle w:val="1083"/>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1、采购人信息</w:t>
      </w:r>
      <w:r/>
    </w:p>
    <w:p>
      <w:pPr>
        <w:pStyle w:val="1083"/>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名 称：江苏省特种设备安全监督检验研究院</w:t>
      </w:r>
      <w:r/>
    </w:p>
    <w:p>
      <w:pPr>
        <w:pStyle w:val="1083"/>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bookmarkStart w:id="82" w:name="_Toc28359086"/>
      <w:r/>
      <w:bookmarkStart w:id="83" w:name="_Toc28359009"/>
      <w:r>
        <w:rPr>
          <w:rFonts w:hint="eastAsia" w:ascii="宋体" w:hAnsi="宋体" w:eastAsia="宋体" w:cs="宋体"/>
          <w:color w:val="000000" w:themeColor="text1"/>
          <w:sz w:val="21"/>
          <w:szCs w:val="21"/>
          <w14:textFill>
            <w14:solidFill>
              <w14:schemeClr w14:val="tx1"/>
            </w14:solidFill>
          </w14:textFill>
        </w:rPr>
        <w:t xml:space="preserve">地址：江苏省南京市鼓楼区草场门大街107号龙江大厦</w:t>
      </w:r>
      <w:r/>
    </w:p>
    <w:p>
      <w:pPr>
        <w:pStyle w:val="1083"/>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联系人：张工</w:t>
      </w:r>
      <w:r/>
    </w:p>
    <w:p>
      <w:pPr>
        <w:pStyle w:val="1083"/>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  话：025-</w:t>
      </w:r>
      <w:r>
        <w:rPr>
          <w:rFonts w:ascii="宋体" w:hAnsi="宋体" w:eastAsia="宋体" w:cs="宋体"/>
          <w:color w:val="000000" w:themeColor="text1"/>
          <w:sz w:val="21"/>
          <w:szCs w:val="21"/>
          <w14:textFill>
            <w14:solidFill>
              <w14:schemeClr w14:val="tx1"/>
            </w14:solidFill>
          </w14:textFill>
        </w:rPr>
        <w:t xml:space="preserve">89621099</w:t>
      </w:r>
      <w:r/>
    </w:p>
    <w:p>
      <w:pPr>
        <w:ind w:firstLine="420"/>
        <w:spacing w:line="360" w:lineRule="auto"/>
        <w:rPr>
          <w:rFonts w:hint="eastAsia" w:ascii="宋体" w:hAnsi="宋体" w:cs="宋体"/>
          <w:color w:val="000000" w:themeColor="text1"/>
          <w14:textFill>
            <w14:solidFill>
              <w14:schemeClr w14:val="tx1"/>
            </w14:solidFill>
          </w14:textFill>
        </w:rPr>
      </w:pPr>
      <w:r/>
      <w:bookmarkStart w:id="84" w:name="_Toc241513274"/>
      <w:r/>
      <w:bookmarkStart w:id="85" w:name="_Toc18092"/>
      <w:r/>
      <w:bookmarkStart w:id="86" w:name="_Toc31073"/>
      <w:r/>
      <w:bookmarkStart w:id="87" w:name="_Toc241501757"/>
      <w:r/>
      <w:bookmarkStart w:id="88" w:name="_Toc3167"/>
      <w:r>
        <w:rPr>
          <w:rFonts w:hint="eastAsia" w:ascii="宋体" w:hAnsi="宋体" w:cs="宋体"/>
          <w:color w:val="000000" w:themeColor="text1"/>
          <w14:textFill>
            <w14:solidFill>
              <w14:schemeClr w14:val="tx1"/>
            </w14:solidFill>
          </w14:textFill>
        </w:rPr>
        <w:t xml:space="preserve">2、</w:t>
      </w:r>
      <w:bookmarkEnd w:id="82"/>
      <w:r/>
      <w:bookmarkEnd w:id="83"/>
      <w:r>
        <w:rPr>
          <w:rFonts w:hint="eastAsia" w:ascii="宋体" w:hAnsi="宋体" w:cs="宋体"/>
          <w:color w:val="000000" w:themeColor="text1"/>
          <w14:textFill>
            <w14:solidFill>
              <w14:schemeClr w14:val="tx1"/>
            </w14:solidFill>
          </w14:textFill>
        </w:rPr>
        <w:t xml:space="preserve">采购代理机构信息</w:t>
      </w:r>
      <w:bookmarkEnd w:id="84"/>
      <w:r/>
      <w:bookmarkEnd w:id="85"/>
      <w:r/>
      <w:bookmarkEnd w:id="86"/>
      <w:r/>
      <w:bookmarkEnd w:id="87"/>
      <w:r/>
      <w:bookmarkEnd w:id="88"/>
      <w:r/>
      <w:r/>
    </w:p>
    <w:p>
      <w:pPr>
        <w:ind w:firstLine="420"/>
        <w:spacing w:line="360" w:lineRule="auto"/>
        <w:rPr>
          <w:rFonts w:hint="eastAsia" w:ascii="宋体" w:hAnsi="宋体" w:cs="宋体"/>
          <w:color w:val="000000" w:themeColor="text1"/>
          <w14:textFill>
            <w14:solidFill>
              <w14:schemeClr w14:val="tx1"/>
            </w14:solidFill>
          </w14:textFill>
        </w:rPr>
      </w:pPr>
      <w:r/>
      <w:bookmarkStart w:id="89" w:name="_Toc30123"/>
      <w:r/>
      <w:bookmarkStart w:id="90" w:name="_Toc241501758"/>
      <w:r/>
      <w:bookmarkStart w:id="91" w:name="_Toc14037"/>
      <w:r/>
      <w:bookmarkStart w:id="92" w:name="_Toc241513275"/>
      <w:r/>
      <w:bookmarkStart w:id="93" w:name="_Toc20544"/>
      <w:r>
        <w:rPr>
          <w:rFonts w:hint="eastAsia" w:ascii="宋体" w:hAnsi="宋体" w:cs="宋体"/>
          <w:color w:val="000000" w:themeColor="text1"/>
          <w14:textFill>
            <w14:solidFill>
              <w14:schemeClr w14:val="tx1"/>
            </w14:solidFill>
          </w14:textFill>
        </w:rPr>
        <w:t xml:space="preserve">名 称：南京江城工程项目管理有限公司</w:t>
      </w:r>
      <w:bookmarkEnd w:id="89"/>
      <w:r/>
      <w:bookmarkEnd w:id="90"/>
      <w:r/>
      <w:bookmarkEnd w:id="91"/>
      <w:r/>
      <w:bookmarkEnd w:id="92"/>
      <w:r/>
      <w:bookmarkEnd w:id="93"/>
      <w:r>
        <w:rPr>
          <w:rFonts w:hint="eastAsia" w:ascii="宋体" w:hAnsi="宋体" w:cs="宋体"/>
          <w:color w:val="000000" w:themeColor="text1"/>
          <w14:textFill>
            <w14:solidFill>
              <w14:schemeClr w14:val="tx1"/>
            </w14:solidFill>
          </w14:textFill>
        </w:rPr>
        <w:t xml:space="preserve">　</w:t>
      </w:r>
      <w:r/>
    </w:p>
    <w:p>
      <w:pPr>
        <w:ind w:firstLine="420"/>
        <w:spacing w:line="360" w:lineRule="auto"/>
        <w:rPr>
          <w:rFonts w:hint="eastAsia" w:ascii="宋体" w:hAnsi="宋体" w:cs="宋体"/>
          <w:color w:val="000000" w:themeColor="text1"/>
          <w14:textFill>
            <w14:solidFill>
              <w14:schemeClr w14:val="tx1"/>
            </w14:solidFill>
          </w14:textFill>
        </w:rPr>
      </w:pPr>
      <w:r/>
      <w:bookmarkStart w:id="94" w:name="_Toc241501759"/>
      <w:r/>
      <w:bookmarkStart w:id="95" w:name="_Toc14911"/>
      <w:r/>
      <w:bookmarkStart w:id="96" w:name="_Toc241513276"/>
      <w:r/>
      <w:bookmarkStart w:id="97" w:name="_Toc4735"/>
      <w:r/>
      <w:bookmarkStart w:id="98" w:name="_Toc2732"/>
      <w:r>
        <w:rPr>
          <w:rFonts w:hint="eastAsia" w:ascii="宋体" w:hAnsi="宋体" w:cs="宋体"/>
          <w:color w:val="000000" w:themeColor="text1"/>
          <w14:textFill>
            <w14:solidFill>
              <w14:schemeClr w14:val="tx1"/>
            </w14:solidFill>
          </w14:textFill>
        </w:rPr>
        <w:t xml:space="preserve">地　址：南京市建邺区云龙山路89号龙湖时代上城写字楼1栋29楼（高区3号电梯厅进入）</w:t>
      </w:r>
      <w:bookmarkEnd w:id="94"/>
      <w:r/>
      <w:bookmarkEnd w:id="95"/>
      <w:r/>
      <w:bookmarkEnd w:id="96"/>
      <w:r/>
      <w:bookmarkEnd w:id="97"/>
      <w:r/>
      <w:bookmarkEnd w:id="98"/>
      <w:r/>
      <w:r/>
    </w:p>
    <w:p>
      <w:pPr>
        <w:ind w:firstLine="420"/>
        <w:spacing w:line="360" w:lineRule="auto"/>
        <w:rPr>
          <w:rFonts w:hint="eastAsia" w:ascii="宋体" w:hAnsi="宋体" w:cs="宋体"/>
          <w:color w:val="000000" w:themeColor="text1"/>
          <w14:textFill>
            <w14:solidFill>
              <w14:schemeClr w14:val="tx1"/>
            </w14:solidFill>
          </w14:textFill>
        </w:rPr>
      </w:pPr>
      <w:r/>
      <w:bookmarkStart w:id="99" w:name="_Toc2462"/>
      <w:r/>
      <w:bookmarkStart w:id="100" w:name="_Toc18633"/>
      <w:r/>
      <w:bookmarkStart w:id="101" w:name="_Toc241513277"/>
      <w:r/>
      <w:bookmarkStart w:id="102" w:name="_Toc241501760"/>
      <w:r/>
      <w:bookmarkStart w:id="103" w:name="_Toc5659"/>
      <w:r>
        <w:rPr>
          <w:rFonts w:hint="eastAsia" w:ascii="宋体" w:hAnsi="宋体" w:cs="宋体"/>
          <w:color w:val="000000" w:themeColor="text1"/>
          <w14:textFill>
            <w14:solidFill>
              <w14:schemeClr w14:val="tx1"/>
            </w14:solidFill>
          </w14:textFill>
        </w:rPr>
        <w:t xml:space="preserve">项目联系人：</w:t>
      </w:r>
      <w:bookmarkEnd w:id="99"/>
      <w:r/>
      <w:bookmarkEnd w:id="100"/>
      <w:r>
        <w:rPr>
          <w:rFonts w:hint="eastAsia" w:ascii="宋体" w:hAnsi="宋体" w:cs="宋体"/>
          <w:color w:val="000000" w:themeColor="text1"/>
          <w14:textFill>
            <w14:solidFill>
              <w14:schemeClr w14:val="tx1"/>
            </w14:solidFill>
          </w14:textFill>
        </w:rPr>
        <w:t xml:space="preserve">池爽</w:t>
      </w:r>
      <w:bookmarkEnd w:id="101"/>
      <w:r/>
      <w:bookmarkEnd w:id="102"/>
      <w:r/>
      <w:bookmarkEnd w:id="103"/>
      <w:r/>
      <w:r/>
    </w:p>
    <w:p>
      <w:pPr>
        <w:ind w:firstLine="420"/>
        <w:spacing w:line="360" w:lineRule="auto"/>
        <w:rPr>
          <w:rFonts w:hint="eastAsia" w:ascii="宋体" w:hAnsi="宋体" w:cs="宋体"/>
          <w:color w:val="000000" w:themeColor="text1"/>
          <w14:textFill>
            <w14:solidFill>
              <w14:schemeClr w14:val="tx1"/>
            </w14:solidFill>
          </w14:textFill>
        </w:rPr>
      </w:pPr>
      <w:r/>
      <w:bookmarkStart w:id="104" w:name="_Toc10005"/>
      <w:r/>
      <w:bookmarkStart w:id="105" w:name="_Toc241513278"/>
      <w:r/>
      <w:bookmarkStart w:id="106" w:name="_Toc31434"/>
      <w:r/>
      <w:bookmarkStart w:id="107" w:name="_Toc17393"/>
      <w:r/>
      <w:bookmarkStart w:id="108" w:name="_Toc241501761"/>
      <w:r>
        <w:rPr>
          <w:rFonts w:hint="eastAsia" w:ascii="宋体" w:hAnsi="宋体" w:cs="宋体"/>
          <w:color w:val="000000" w:themeColor="text1"/>
          <w14:textFill>
            <w14:solidFill>
              <w14:schemeClr w14:val="tx1"/>
            </w14:solidFill>
          </w14:textFill>
        </w:rPr>
        <w:t xml:space="preserve">联系方式：025-58835827-8016、025-58835827-0</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14:textFill>
            <w14:solidFill>
              <w14:schemeClr w14:val="tx1"/>
            </w14:solidFill>
          </w14:textFill>
        </w:rPr>
      </w:pPr>
      <w:r/>
      <w:bookmarkStart w:id="109" w:name="_Toc13461"/>
      <w:r/>
      <w:bookmarkStart w:id="110" w:name="_Toc241501762"/>
      <w:r/>
      <w:bookmarkStart w:id="111" w:name="_Toc241513279"/>
      <w:r/>
      <w:bookmarkStart w:id="112" w:name="_Toc2398"/>
      <w:r/>
      <w:bookmarkStart w:id="113" w:name="_Toc8893"/>
      <w:r>
        <w:rPr>
          <w:rFonts w:hint="eastAsia" w:ascii="宋体" w:hAnsi="宋体" w:cs="宋体"/>
          <w:color w:val="000000" w:themeColor="text1"/>
          <w14:textFill>
            <w14:solidFill>
              <w14:schemeClr w14:val="tx1"/>
            </w14:solidFill>
          </w14:textFill>
        </w:rPr>
        <w:t xml:space="preserve">3.项目联系方式</w:t>
      </w:r>
      <w:bookmarkEnd w:id="109"/>
      <w:r/>
      <w:bookmarkEnd w:id="110"/>
      <w:r/>
      <w:bookmarkEnd w:id="111"/>
      <w:r/>
      <w:bookmarkEnd w:id="112"/>
      <w:r/>
      <w:bookmarkEnd w:id="113"/>
      <w:r/>
      <w:bookmarkStart w:id="114" w:name="_Toc27772"/>
      <w:r/>
      <w:bookmarkStart w:id="115" w:name="_Toc2768"/>
      <w:r/>
      <w:r/>
    </w:p>
    <w:p>
      <w:pPr>
        <w:ind w:firstLine="420"/>
        <w:spacing w:line="360" w:lineRule="auto"/>
        <w:rPr>
          <w:rFonts w:hint="eastAsia" w:ascii="宋体" w:hAnsi="宋体" w:cs="宋体"/>
          <w:color w:val="000000" w:themeColor="text1"/>
          <w14:textFill>
            <w14:solidFill>
              <w14:schemeClr w14:val="tx1"/>
            </w14:solidFill>
          </w14:textFill>
        </w:rPr>
      </w:pPr>
      <w:r/>
      <w:bookmarkStart w:id="116" w:name="_Toc241501763"/>
      <w:r/>
      <w:bookmarkStart w:id="117" w:name="_Toc241513280"/>
      <w:r/>
      <w:bookmarkStart w:id="118" w:name="_Toc21178"/>
      <w:r>
        <w:rPr>
          <w:rFonts w:hint="eastAsia" w:ascii="宋体" w:hAnsi="宋体" w:cs="宋体"/>
          <w:color w:val="000000" w:themeColor="text1"/>
          <w14:textFill>
            <w14:solidFill>
              <w14:schemeClr w14:val="tx1"/>
            </w14:solidFill>
          </w14:textFill>
        </w:rPr>
        <w:t xml:space="preserve">项目联系人：</w:t>
      </w:r>
      <w:bookmarkEnd w:id="114"/>
      <w:r/>
      <w:bookmarkEnd w:id="115"/>
      <w:r>
        <w:rPr>
          <w:rFonts w:hint="eastAsia" w:ascii="宋体" w:hAnsi="宋体" w:cs="宋体"/>
          <w:color w:val="000000" w:themeColor="text1"/>
          <w14:textFill>
            <w14:solidFill>
              <w14:schemeClr w14:val="tx1"/>
            </w14:solidFill>
          </w14:textFill>
        </w:rPr>
        <w:t xml:space="preserve">池爽</w:t>
      </w:r>
      <w:bookmarkEnd w:id="116"/>
      <w:r/>
      <w:bookmarkEnd w:id="117"/>
      <w:r/>
      <w:bookmarkEnd w:id="118"/>
      <w:r/>
      <w:r/>
    </w:p>
    <w:p>
      <w:pPr>
        <w:ind w:firstLine="420"/>
        <w:spacing w:line="360" w:lineRule="auto"/>
        <w:rPr>
          <w:rFonts w:hint="eastAsia" w:ascii="宋体" w:hAnsi="宋体" w:cs="宋体"/>
          <w:color w:val="000000" w:themeColor="text1"/>
          <w14:textFill>
            <w14:solidFill>
              <w14:schemeClr w14:val="tx1"/>
            </w14:solidFill>
          </w14:textFill>
        </w:rPr>
      </w:pPr>
      <w:r/>
      <w:bookmarkStart w:id="119" w:name="_Toc22239"/>
      <w:r/>
      <w:bookmarkStart w:id="120" w:name="_Toc31715"/>
      <w:r/>
      <w:bookmarkStart w:id="121" w:name="_Toc22125"/>
      <w:r/>
      <w:bookmarkStart w:id="122" w:name="_Toc241513281"/>
      <w:r/>
      <w:bookmarkStart w:id="123" w:name="_Toc241501764"/>
      <w:r>
        <w:rPr>
          <w:rFonts w:hint="eastAsia" w:ascii="宋体" w:hAnsi="宋体" w:cs="宋体"/>
          <w:color w:val="000000" w:themeColor="text1"/>
          <w14:textFill>
            <w14:solidFill>
              <w14:schemeClr w14:val="tx1"/>
            </w14:solidFill>
          </w14:textFill>
        </w:rPr>
        <w:t xml:space="preserve">电　话：</w:t>
      </w:r>
      <w:bookmarkEnd w:id="119"/>
      <w:r/>
      <w:bookmarkEnd w:id="120"/>
      <w:r>
        <w:rPr>
          <w:rFonts w:hint="eastAsia" w:ascii="宋体" w:hAnsi="宋体" w:cs="宋体"/>
          <w:color w:val="000000" w:themeColor="text1"/>
          <w14:textFill>
            <w14:solidFill>
              <w14:schemeClr w14:val="tx1"/>
            </w14:solidFill>
          </w14:textFill>
        </w:rPr>
        <w:t xml:space="preserve">025-58835827-8016、025-58835827-0</w:t>
      </w:r>
      <w:bookmarkEnd w:id="121"/>
      <w:r/>
      <w:bookmarkEnd w:id="122"/>
      <w:r/>
      <w:bookmarkEnd w:id="123"/>
      <w:r/>
      <w:r/>
    </w:p>
    <w:p>
      <w:pPr>
        <w:pStyle w:val="105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81"/>
        <w:jc w:val="center"/>
        <w:spacing w:line="360" w:lineRule="auto"/>
        <w:rPr>
          <w:rFonts w:hint="eastAsia" w:ascii="宋体" w:hAnsi="宋体" w:cs="宋体"/>
          <w:b/>
          <w:color w:val="000000" w:themeColor="text1"/>
          <w:szCs w:val="21"/>
          <w14:textFill>
            <w14:solidFill>
              <w14:schemeClr w14:val="tx1"/>
            </w14:solidFill>
          </w14:textFill>
        </w:rPr>
        <w:outlineLvl w:val="0"/>
      </w:pPr>
      <w:r/>
      <w:bookmarkStart w:id="124" w:name="_Toc5585"/>
      <w:r/>
      <w:bookmarkStart w:id="125" w:name="_Toc7074"/>
      <w:r/>
      <w:bookmarkStart w:id="126" w:name="_Toc28996"/>
      <w:r/>
      <w:bookmarkStart w:id="127" w:name="_Toc26097"/>
      <w:r>
        <w:rPr>
          <w:rFonts w:hint="eastAsia" w:ascii="宋体" w:hAnsi="宋体" w:cs="宋体"/>
          <w:b/>
          <w:color w:val="000000" w:themeColor="text1"/>
          <w:sz w:val="28"/>
          <w:szCs w:val="28"/>
          <w14:textFill>
            <w14:solidFill>
              <w14:schemeClr w14:val="tx1"/>
            </w14:solidFill>
          </w14:textFill>
        </w:rPr>
        <w:t xml:space="preserve">第二章 </w:t>
      </w:r>
      <w:bookmarkEnd w:id="124"/>
      <w:r/>
      <w:bookmarkEnd w:id="125"/>
      <w:r/>
      <w:bookmarkEnd w:id="126"/>
      <w:r>
        <w:rPr>
          <w:rFonts w:hint="eastAsia" w:ascii="宋体" w:hAnsi="宋体" w:cs="宋体"/>
          <w:b/>
          <w:color w:val="000000" w:themeColor="text1"/>
          <w:sz w:val="28"/>
          <w:szCs w:val="28"/>
          <w14:textFill>
            <w14:solidFill>
              <w14:schemeClr w14:val="tx1"/>
            </w14:solidFill>
          </w14:textFill>
        </w:rPr>
        <w:t xml:space="preserve">投标人须知</w:t>
      </w:r>
      <w:bookmarkEnd w:id="127"/>
      <w:r/>
      <w:bookmarkStart w:id="128" w:name="_Toc9454"/>
      <w:r/>
      <w:bookmarkEnd w:id="15"/>
      <w:r/>
      <w:bookmarkEnd w:id="16"/>
      <w:r/>
      <w:bookmarkEnd w:id="17"/>
      <w:r/>
      <w:bookmarkEnd w:id="18"/>
      <w:r/>
      <w:bookmarkEnd w:id="19"/>
      <w:r/>
      <w:bookmarkEnd w:id="20"/>
      <w:r/>
      <w:bookmarkEnd w:id="21"/>
      <w:r/>
      <w:bookmarkEnd w:id="128"/>
      <w:r/>
      <w:r/>
    </w:p>
    <w:p>
      <w:pPr>
        <w:pStyle w:val="1040"/>
        <w:ind w:firstLine="422"/>
        <w:rPr>
          <w:color w:val="000000" w:themeColor="text1"/>
          <w14:textFill>
            <w14:solidFill>
              <w14:schemeClr w14:val="tx1"/>
            </w14:solidFill>
          </w14:textFill>
        </w:rPr>
      </w:pPr>
      <w:r/>
      <w:bookmarkStart w:id="129" w:name="_Toc24788"/>
      <w:r/>
      <w:bookmarkEnd w:id="129"/>
      <w:r/>
      <w:bookmarkStart w:id="130" w:name="_Toc21286"/>
      <w:r/>
      <w:bookmarkStart w:id="131" w:name="_Toc18510"/>
      <w:r/>
      <w:bookmarkStart w:id="132" w:name="_Toc31161"/>
      <w:r>
        <w:rPr>
          <w:rFonts w:hint="eastAsia"/>
          <w:color w:val="000000" w:themeColor="text1"/>
          <w14:textFill>
            <w14:solidFill>
              <w14:schemeClr w14:val="tx1"/>
            </w14:solidFill>
          </w14:textFill>
        </w:rPr>
        <w:t xml:space="preserve">一、总 则</w:t>
      </w:r>
      <w:bookmarkEnd w:id="130"/>
      <w:r/>
      <w:bookmarkEnd w:id="131"/>
      <w:r/>
      <w:bookmarkEnd w:id="132"/>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1.适用法律</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 《中华人民共和国政府采购法》《政府采购货物和服务招标投标管理办法》等有关法律、规章和规定等。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2.供应商定义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 “供应商”是指参加投标竞争，并符合招标文件规定资格条件的法人、其他组织或者自然人。</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3.货物和服务、用户或使用单位定义。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3.1 “货物和服务”指本招标文件中所述产品及相关服务。</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3.2 “用户或使用单位”是指使用货物及接受服务的单位。</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4.政策功能</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4.1 中小企业政策（本项目专门面向中小企业采购，不执行价格优惠）</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（2）对于非专门面向中小企业或小型、微型企业的项目，对符合规定的小微企业报价给予10%的扣除，用扣除后的价格参加评审。</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pStyle w:val="1040"/>
        <w:ind w:firstLine="422"/>
        <w:jc w:val="left"/>
        <w:rPr>
          <w:color w:val="000000" w:themeColor="text1"/>
          <w14:textFill>
            <w14:solidFill>
              <w14:schemeClr w14:val="tx1"/>
            </w14:solidFill>
          </w14:textFill>
        </w:rPr>
      </w:pPr>
      <w:r/>
      <w:bookmarkStart w:id="133" w:name="_Toc215"/>
      <w:r>
        <w:rPr>
          <w:rFonts w:hint="eastAsia"/>
          <w:color w:val="000000" w:themeColor="text1"/>
          <w14:textFill>
            <w14:solidFill>
              <w14:schemeClr w14:val="tx1"/>
            </w14:solidFill>
          </w14:textFill>
        </w:rPr>
        <w:t xml:space="preserve">二、招标文件构成</w:t>
      </w:r>
      <w:bookmarkEnd w:id="133"/>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5.1 招标文件由以下部分组成：</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第一章 招标公告</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"_Toc30906" \o</w:instrText>
      </w:r>
      <w:r>
        <w:instrText xml:space="preserve"> "http://jszfcg.jsczt.cn/jszc/onlyoffice/7.2.1-34/web-apps/apps/documenteditor/main/index_loader.html?_dc=7.2.1-34&amp;lang=zh&amp;customer=%20&amp;logo=%20&amp;headerlogo=%2Ffavicon.ico&amp;frameEditorId=iframePage&amp;compact=true&amp;parentOrigin=http://jszfcg.jsczt.cn#_Toc30906" </w:instrText>
      </w:r>
      <w:r>
        <w:fldChar w:fldCharType="separate"/>
      </w:r>
      <w:r>
        <w:rPr>
          <w:rFonts w:hint="eastAsia" w:ascii="宋体" w:hAnsi="宋体" w:cs="宋体"/>
          <w:color w:val="000000" w:themeColor="text1"/>
          <w:szCs w:val="21"/>
          <w14:textFill>
            <w14:solidFill>
              <w14:schemeClr w14:val="tx1"/>
            </w14:solidFill>
          </w14:textFill>
        </w:rPr>
        <w:t xml:space="preserve">第二章  投标人须知</w:t>
      </w:r>
      <w:r>
        <w:rPr>
          <w:rFonts w:hint="eastAsia" w:ascii="宋体" w:hAnsi="宋体" w:cs="宋体"/>
          <w:color w:val="000000" w:themeColor="text1"/>
          <w:szCs w:val="21"/>
          <w14:textFill>
            <w14:solidFill>
              <w14:schemeClr w14:val="tx1"/>
            </w14:solidFill>
          </w14:textFill>
        </w:rPr>
        <w:fldChar w:fldCharType="end"/>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"_Toc15260" \o</w:instrText>
      </w:r>
      <w:r>
        <w:instrText xml:space="preserve"> "http://jszfcg.jsczt.cn/jszc/onlyoffice/7.2.1-34/web-apps/apps/documenteditor/main/index_loader.html?_dc=7.2.1-34&amp;lang=zh&amp;customer=%20&amp;logo=%20&amp;headerlogo=%2Ffavicon.ico&amp;frameEditorId=iframePage&amp;compact=true&amp;parentOrigin=http://jszfcg.jsczt.cn#_Toc15260" </w:instrText>
      </w:r>
      <w:r>
        <w:fldChar w:fldCharType="separate"/>
      </w:r>
      <w:r>
        <w:rPr>
          <w:rFonts w:hint="eastAsia" w:ascii="宋体" w:hAnsi="宋体" w:cs="宋体"/>
          <w:color w:val="000000" w:themeColor="text1"/>
          <w:szCs w:val="21"/>
          <w14:textFill>
            <w14:solidFill>
              <w14:schemeClr w14:val="tx1"/>
            </w14:solidFill>
          </w14:textFill>
        </w:rPr>
        <w:t xml:space="preserve">第三章 评标标准</w:t>
      </w:r>
      <w:r>
        <w:rPr>
          <w:rFonts w:hint="eastAsia" w:ascii="宋体" w:hAnsi="宋体" w:cs="宋体"/>
          <w:color w:val="000000" w:themeColor="text1"/>
          <w:szCs w:val="21"/>
          <w14:textFill>
            <w14:solidFill>
              <w14:schemeClr w14:val="tx1"/>
            </w14:solidFill>
          </w14:textFill>
        </w:rPr>
        <w:fldChar w:fldCharType="end"/>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"_Toc27725" \o</w:instrText>
      </w:r>
      <w:r>
        <w:instrText xml:space="preserve"> "http://jszfcg.jsczt.cn/jszc/onlyoffice/7.2.1-34/web-apps/apps/documenteditor/main/index_loader.html?_dc=7.2.1-34&amp;lang=zh&amp;customer=%20&amp;logo=%20&amp;headerlogo=%2Ffavicon.ico&amp;frameEditorId=iframePage&amp;compact=true&amp;parentOrigin=http://jszfcg.jsczt.cn#_Toc27725" </w:instrText>
      </w:r>
      <w:r>
        <w:fldChar w:fldCharType="separate"/>
      </w:r>
      <w:r>
        <w:rPr>
          <w:rFonts w:hint="eastAsia" w:ascii="宋体" w:hAnsi="宋体" w:cs="宋体"/>
          <w:color w:val="000000" w:themeColor="text1"/>
          <w:szCs w:val="21"/>
          <w14:textFill>
            <w14:solidFill>
              <w14:schemeClr w14:val="tx1"/>
            </w14:solidFill>
          </w14:textFill>
        </w:rPr>
        <w:t xml:space="preserve">第四章 </w:t>
      </w:r>
      <w:r>
        <w:rPr>
          <w:rFonts w:ascii="宋体" w:hAnsi="宋体" w:cs="宋体"/>
          <w:color w:val="000000" w:themeColor="text1"/>
          <w:szCs w:val="21"/>
          <w14:textFill>
            <w14:solidFill>
              <w14:schemeClr w14:val="tx1"/>
            </w14:solidFill>
          </w14:textFill>
        </w:rPr>
        <w:t xml:space="preserve">采购需求</w:t>
      </w:r>
      <w:r>
        <w:rPr>
          <w:rFonts w:ascii="宋体" w:hAnsi="宋体" w:cs="宋体"/>
          <w:color w:val="000000" w:themeColor="text1"/>
          <w:szCs w:val="21"/>
          <w14:textFill>
            <w14:solidFill>
              <w14:schemeClr w14:val="tx1"/>
            </w14:solidFill>
          </w14:textFill>
        </w:rPr>
        <w:fldChar w:fldCharType="end"/>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"_Toc2047" \</w:instrText>
      </w:r>
      <w:r>
        <w:instrText xml:space="preserve">o "http://jszfcg.jsczt.cn/jszc/onlyoffice/7.2.1-34/web-apps/apps/documenteditor/main/index_loader.html?_dc=7.2.1-34&amp;lang=zh&amp;customer=%20&amp;logo=%20&amp;headerlogo=%2Ffavicon.ico&amp;frameEditorId=iframePage&amp;compact=true&amp;parentOrigin=http://jszfcg.jsczt.cn#_Toc2047" </w:instrText>
      </w:r>
      <w:r>
        <w:fldChar w:fldCharType="separate"/>
      </w:r>
      <w:r>
        <w:rPr>
          <w:rFonts w:hint="eastAsia" w:ascii="宋体" w:hAnsi="宋体" w:cs="宋体"/>
          <w:color w:val="000000" w:themeColor="text1"/>
          <w:szCs w:val="21"/>
          <w14:textFill>
            <w14:solidFill>
              <w14:schemeClr w14:val="tx1"/>
            </w14:solidFill>
          </w14:textFill>
        </w:rPr>
        <w:t xml:space="preserve">第五章 </w:t>
      </w:r>
      <w:r>
        <w:rPr>
          <w:rFonts w:ascii="宋体" w:hAnsi="宋体" w:cs="宋体"/>
          <w:color w:val="000000" w:themeColor="text1"/>
          <w:szCs w:val="21"/>
          <w14:textFill>
            <w14:solidFill>
              <w14:schemeClr w14:val="tx1"/>
            </w14:solidFill>
          </w14:textFill>
        </w:rPr>
        <w:t xml:space="preserve">拟签订的合同文本</w:t>
      </w:r>
      <w:r>
        <w:rPr>
          <w:rFonts w:ascii="宋体" w:hAnsi="宋体" w:cs="宋体"/>
          <w:color w:val="000000" w:themeColor="text1"/>
          <w:szCs w:val="21"/>
          <w14:textFill>
            <w14:solidFill>
              <w14:schemeClr w14:val="tx1"/>
            </w14:solidFill>
          </w14:textFill>
        </w:rPr>
        <w:fldChar w:fldCharType="end"/>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"_Toc10922" \o</w:instrText>
      </w:r>
      <w:r>
        <w:instrText xml:space="preserve"> "http://jszfcg.jsczt.cn/jszc/onlyoffice/7.2.1-34/web-apps/apps/documenteditor/main/index_loader.html?_dc=7.2.1-34&amp;lang=zh&amp;customer=%20&amp;logo=%20&amp;headerlogo=%2Ffavicon.ico&amp;frameEditorId=iframePage&amp;compact=true&amp;parentOrigin=http://jszfcg.jsczt.cn#_Toc10922" </w:instrText>
      </w:r>
      <w:r>
        <w:fldChar w:fldCharType="separate"/>
      </w:r>
      <w:r>
        <w:rPr>
          <w:rFonts w:hint="eastAsia" w:ascii="宋体" w:hAnsi="宋体" w:cs="宋体"/>
          <w:color w:val="000000" w:themeColor="text1"/>
          <w:szCs w:val="21"/>
          <w14:textFill>
            <w14:solidFill>
              <w14:schemeClr w14:val="tx1"/>
            </w14:solidFill>
          </w14:textFill>
        </w:rPr>
        <w:t xml:space="preserve">第六章 </w:t>
      </w:r>
      <w:r>
        <w:rPr>
          <w:rFonts w:ascii="宋体" w:hAnsi="宋体" w:cs="宋体"/>
          <w:color w:val="000000" w:themeColor="text1"/>
          <w:szCs w:val="21"/>
          <w14:textFill>
            <w14:solidFill>
              <w14:schemeClr w14:val="tx1"/>
            </w14:solidFill>
          </w14:textFill>
        </w:rPr>
        <w:t xml:space="preserve">投标文件格式及附件</w:t>
      </w:r>
      <w:r>
        <w:rPr>
          <w:rFonts w:ascii="宋体" w:hAnsi="宋体" w:cs="宋体"/>
          <w:color w:val="000000" w:themeColor="text1"/>
          <w:szCs w:val="21"/>
          <w14:textFill>
            <w14:solidFill>
              <w14:schemeClr w14:val="tx1"/>
            </w14:solidFill>
          </w14:textFill>
        </w:rPr>
        <w:fldChar w:fldCharType="end"/>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5.3 代理机构如果要求供应商按照招标文件规定提交备选供应商方案的，供应商可以提交备选方案；否则，备选方案将被拒绝。</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6.招标文件的澄清、补充或修改</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6.2 为使供应商在准备投标时，有合理的时间考虑招标文件的补充或修改，招标代理机构将视情况可能推迟投标截止时间和开标时间，并将此变更以书面形式通知所有的供应商。</w:t>
      </w:r>
      <w:r/>
    </w:p>
    <w:p>
      <w:pPr>
        <w:pStyle w:val="1040"/>
        <w:ind w:firstLine="422"/>
        <w:rPr>
          <w:color w:val="000000" w:themeColor="text1"/>
          <w14:textFill>
            <w14:solidFill>
              <w14:schemeClr w14:val="tx1"/>
            </w14:solidFill>
          </w14:textFill>
        </w:rPr>
      </w:pPr>
      <w:r/>
      <w:bookmarkStart w:id="134" w:name="_Toc18383"/>
      <w:r>
        <w:rPr>
          <w:rFonts w:hint="eastAsia"/>
          <w:color w:val="000000" w:themeColor="text1"/>
          <w14:textFill>
            <w14:solidFill>
              <w14:schemeClr w14:val="tx1"/>
            </w14:solidFill>
          </w14:textFill>
        </w:rPr>
        <w:t xml:space="preserve">三、投标文件的编制</w:t>
      </w:r>
      <w:bookmarkEnd w:id="134"/>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7.投标文件的语言、计量单位、货币和编制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7.2 供应商所使用的计量单位应为国家法定计量单位。</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7.3 供应商应用人民币报价。</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8.投标文件的组成</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8.2投标文件由商务部分、技术部分、价格部分以及其他部分组成。</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9.投标文件的商务部分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9.1 商务部分是证明供应商有资格参加投标和中标后有能力履行合同的文件，这些文件应能满足招标文件的要求，包括但不限于下列文件，</w:t>
      </w:r>
      <w:r>
        <w:rPr>
          <w:rFonts w:hint="eastAsia" w:ascii="宋体" w:hAnsi="宋体" w:cs="宋体"/>
          <w:b/>
          <w:bCs/>
          <w:color w:val="000000" w:themeColor="text1"/>
          <w:szCs w:val="21"/>
          <w14:textFill>
            <w14:solidFill>
              <w14:schemeClr w14:val="tx1"/>
            </w14:solidFill>
          </w14:textFill>
        </w:rPr>
        <w:t xml:space="preserve">其中加“※”项目不得有缺失或无效：</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（1）※投标函（投标申请及声明）；</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（2）※法定代表人授权委托书及委托代理人的身份证明文件的扫描件；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（3）※第一章投标邀请书中《中华人民共和国政府采购法》规定的资格条件证明文件；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（4）※第一章投标邀请书中采购人根据采购项目的特殊要求规定的特定条件证明文件；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（5）※《开标一览表》；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（6）※《分项报价表》；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（7）※《商务条款偏离表》；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（8）</w:t>
      </w:r>
      <w:r>
        <w:rPr>
          <w:rFonts w:ascii="宋体" w:hAnsi="宋体" w:cs="宋体"/>
          <w:color w:val="000000" w:themeColor="text1"/>
          <w:szCs w:val="21"/>
          <w14:textFill>
            <w14:solidFill>
              <w14:schemeClr w14:val="tx1"/>
            </w14:solidFill>
          </w14:textFill>
        </w:rPr>
        <w:t xml:space="preserve">拟签订的合同文本</w:t>
      </w:r>
      <w:r>
        <w:rPr>
          <w:rFonts w:hint="eastAsia" w:ascii="宋体" w:hAnsi="宋体" w:cs="宋体"/>
          <w:color w:val="000000" w:themeColor="text1"/>
          <w:szCs w:val="21"/>
          <w14:textFill>
            <w14:solidFill>
              <w14:schemeClr w14:val="tx1"/>
            </w14:solidFill>
          </w14:textFill>
        </w:rPr>
        <w:t xml:space="preserve">；</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（9）供应商认为需要提供的其他资格证明文件和商务资料。</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10.投标文件的技术部分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2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（1）※《技术条款偏离表》；</w:t>
      </w:r>
      <w:r/>
    </w:p>
    <w:p>
      <w:pPr>
        <w:ind w:firstLine="42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（2）服务承诺；</w:t>
      </w:r>
      <w:r/>
    </w:p>
    <w:p>
      <w:pPr>
        <w:ind w:firstLine="42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（3）供应商认为需要提供的其他技术资料。</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11.投标文件的价格部分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11.3 供应商的任何错漏、优惠、竞争性报价不得作为减轻责任、减少货物/服务、增加收费、降低质量的理由。</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11.5 本项目预算及</w:t>
      </w:r>
      <w:r>
        <w:rPr>
          <w:rFonts w:hint="eastAsia" w:ascii="宋体" w:hAnsi="宋体" w:cs="宋体"/>
          <w:b/>
          <w:bCs/>
          <w:color w:val="000000" w:themeColor="text1"/>
          <w:szCs w:val="21"/>
          <w14:textFill>
            <w14:solidFill>
              <w14:schemeClr w14:val="tx1"/>
            </w14:solidFill>
          </w14:textFill>
        </w:rPr>
        <w:t xml:space="preserve">最高限价及单项最高限价</w:t>
      </w:r>
      <w:r>
        <w:rPr>
          <w:rFonts w:hint="eastAsia" w:ascii="宋体" w:hAnsi="宋体" w:cs="宋体"/>
          <w:color w:val="000000" w:themeColor="text1"/>
          <w:szCs w:val="21"/>
          <w14:textFill>
            <w14:solidFill>
              <w14:schemeClr w14:val="tx1"/>
            </w14:solidFill>
          </w14:textFill>
        </w:rPr>
        <w:t xml:space="preserve">详见招标公告，供应商的投标报价不得超过预算或</w:t>
      </w:r>
      <w:r>
        <w:rPr>
          <w:rFonts w:hint="eastAsia" w:ascii="宋体" w:hAnsi="宋体" w:cs="宋体"/>
          <w:b/>
          <w:bCs/>
          <w:color w:val="000000" w:themeColor="text1"/>
          <w:szCs w:val="21"/>
          <w14:textFill>
            <w14:solidFill>
              <w14:schemeClr w14:val="tx1"/>
            </w14:solidFill>
          </w14:textFill>
        </w:rPr>
        <w:t xml:space="preserve">最高限价及单项最高限价</w:t>
      </w:r>
      <w:r>
        <w:rPr>
          <w:rFonts w:hint="eastAsia" w:ascii="宋体" w:hAnsi="宋体" w:cs="宋体"/>
          <w:color w:val="000000" w:themeColor="text1"/>
          <w:szCs w:val="21"/>
          <w14:textFill>
            <w14:solidFill>
              <w14:schemeClr w14:val="tx1"/>
            </w14:solidFill>
          </w14:textFill>
        </w:rPr>
        <w:t xml:space="preserve">。超过按无效投标处理。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12.投标文件的其他部分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12.1 其他部分由供应商根据编制投标文件需要提供的其他相关文件。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13.投标保证金</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本项目无需缴纳投标保证金</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14.投标有效期</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14.1 自开标之日起90天内投标有效。</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15.投标文件签署</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15.1 投标文件由投标供应商法定代表人或经正式授权并对投标供应商有约束力的委托代理人签字。</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16.投标费用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16.1 供应商应承担所有与准备和参加投标有关的费用，无论采购结果如何，代理机构和采购人在任何情况下均无义务和责任承担这些费用。</w:t>
      </w:r>
      <w:r/>
    </w:p>
    <w:p>
      <w:pPr>
        <w:ind w:firstLine="480"/>
        <w:spacing w:line="360" w:lineRule="auto"/>
        <w:rPr>
          <w:rFonts w:hint="eastAsia"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16.2 </w:t>
      </w:r>
      <w:r>
        <w:rPr>
          <w:rFonts w:hint="eastAsia" w:ascii="宋体" w:hAnsi="宋体" w:cs="宋体"/>
          <w:b/>
          <w:bCs/>
          <w:color w:val="000000" w:themeColor="text1"/>
          <w:szCs w:val="21"/>
          <w14:textFill>
            <w14:solidFill>
              <w14:schemeClr w14:val="tx1"/>
            </w14:solidFill>
          </w14:textFill>
        </w:rPr>
        <w:t xml:space="preserve">费用收取：本项目的招标代理费由中标人在领取中标通知书，</w:t>
      </w:r>
      <w:r>
        <w:rPr>
          <w:rFonts w:hint="eastAsia" w:ascii="宋体" w:hAnsi="宋体" w:cs="宋体"/>
          <w:b/>
          <w:bCs/>
          <w:color w:val="000000" w:themeColor="text1"/>
          <w:szCs w:val="21"/>
          <w:lang w:val="zh-CN"/>
          <w14:textFill>
            <w14:solidFill>
              <w14:schemeClr w14:val="tx1"/>
            </w14:solidFill>
          </w14:textFill>
        </w:rPr>
        <w:t xml:space="preserve">按照国家计委印发的《</w:t>
      </w:r>
      <w:r>
        <w:rPr>
          <w:rFonts w:hint="eastAsia" w:ascii="宋体" w:hAnsi="宋体" w:cs="宋体"/>
          <w:b/>
          <w:bCs/>
          <w:color w:val="000000" w:themeColor="text1"/>
          <w:szCs w:val="21"/>
          <w14:textFill>
            <w14:solidFill>
              <w14:schemeClr w14:val="tx1"/>
            </w14:solidFill>
          </w14:textFill>
        </w:rPr>
        <w:t xml:space="preserve">招标</w:t>
      </w:r>
      <w:r>
        <w:rPr>
          <w:rFonts w:hint="eastAsia" w:ascii="宋体" w:hAnsi="宋体" w:cs="宋体"/>
          <w:b/>
          <w:bCs/>
          <w:color w:val="000000" w:themeColor="text1"/>
          <w:szCs w:val="21"/>
          <w:lang w:val="zh-CN"/>
          <w14:textFill>
            <w14:solidFill>
              <w14:schemeClr w14:val="tx1"/>
            </w14:solidFill>
          </w14:textFill>
        </w:rPr>
        <w:t xml:space="preserve">代理服务收费管理暂行办法》（计价格[2002]1980号）取费标准下浮20%（优惠率）计取</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14:textFill>
            <w14:solidFill>
              <w14:schemeClr w14:val="tx1"/>
            </w14:solidFill>
          </w14:textFill>
        </w:rPr>
        <w:t xml:space="preserve">实行差额定率累进法，计算基准值为预算总价格，收费金额：31840元，</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注：</w:t>
      </w:r>
      <w:r>
        <w:rPr>
          <w:rFonts w:ascii="宋体" w:hAnsi="宋体" w:cs="宋体"/>
          <w:b/>
          <w:bCs/>
          <w:color w:val="000000" w:themeColor="text1"/>
          <w:szCs w:val="21"/>
          <w:lang w:val="zh-CN"/>
          <w14:textFill>
            <w14:solidFill>
              <w14:schemeClr w14:val="tx1"/>
            </w14:solidFill>
          </w14:textFill>
        </w:rPr>
        <w:t xml:space="preserve">以上费用已包含在响应报价中，不单独立项、不予单独结算，请各供应商在编制报价文件时务必充分考虑该费用因素，避免因报价疏漏造成损失。</w:t>
      </w:r>
      <w:r/>
    </w:p>
    <w:p>
      <w:pPr>
        <w:pStyle w:val="1040"/>
        <w:ind w:firstLine="422"/>
        <w:rPr>
          <w:color w:val="000000" w:themeColor="text1"/>
          <w14:textFill>
            <w14:solidFill>
              <w14:schemeClr w14:val="tx1"/>
            </w14:solidFill>
          </w14:textFill>
        </w:rPr>
      </w:pPr>
      <w:r/>
      <w:bookmarkStart w:id="135" w:name="_Toc13029"/>
      <w:r>
        <w:rPr>
          <w:rFonts w:hint="eastAsia"/>
          <w:color w:val="000000" w:themeColor="text1"/>
          <w14:textFill>
            <w14:solidFill>
              <w14:schemeClr w14:val="tx1"/>
            </w14:solidFill>
          </w14:textFill>
        </w:rPr>
        <w:t xml:space="preserve">四、投标文件的递交</w:t>
      </w:r>
      <w:bookmarkEnd w:id="135"/>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17.投标文件的递交</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17.1 电子投标文件的递交：投标人应当按照《操作手册》规定，在投标截止时间前制作并上传电子投标文件。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17.2 投标文件的解密：开标当天各供应商及时登录不见面开标大厅，投标文件递交截止时间后，采购人将在系统内公布供应商名单，然后通</w:t>
      </w:r>
      <w:r>
        <w:rPr>
          <w:rFonts w:hint="eastAsia" w:ascii="宋体" w:hAnsi="宋体" w:cs="宋体"/>
          <w:color w:val="000000" w:themeColor="text1"/>
          <w:szCs w:val="21"/>
          <w14:textFill>
            <w14:solidFill>
              <w14:schemeClr w14:val="tx1"/>
            </w14:solidFill>
          </w14:textFill>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18.有下列情形的投标文件将拒收：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18.1 采购人（代理机构）拒绝接收在其规定的投标截止时间后上传的任何投标文件。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19.投标文件的修改和撤回</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19.1 投标文件的撤回</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19.1.1 电子投标文件的撤回</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投标人可在投标截止时间前，撤回其电子投标文件，具体操作方法见《操作手册》。</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19.1.2 投标人撤回电子投标文件，则认为其不再参与本项目投标活动。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19.2 投标文件的修改</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19.2.1投标人可在投标截止时间前，对其电子投标文件进行修改，具体操作方法见《操作手册》。</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19.2.2 在投标截止时间之后，投标人不得对其电子投标文件作任何修改。</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19.3 在投标截止时间至招标文件中规定的投标有效期满之间的这段时间内，投标人不得撤回其投标文件。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20.诚实信用</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20.1 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20.2 投标供应商不得以向代理机构工作人员、评标委员会成员行贿或者采取其他不正当手段谋取中标。</w:t>
      </w:r>
      <w:r/>
    </w:p>
    <w:p>
      <w:pPr>
        <w:pStyle w:val="1040"/>
        <w:ind w:firstLine="422"/>
        <w:rPr>
          <w:color w:val="000000" w:themeColor="text1"/>
          <w14:textFill>
            <w14:solidFill>
              <w14:schemeClr w14:val="tx1"/>
            </w14:solidFill>
          </w14:textFill>
        </w:rPr>
      </w:pPr>
      <w:r/>
      <w:bookmarkStart w:id="136" w:name="_Toc29398"/>
      <w:r>
        <w:rPr>
          <w:rFonts w:hint="eastAsia"/>
          <w:color w:val="000000" w:themeColor="text1"/>
          <w14:textFill>
            <w14:solidFill>
              <w14:schemeClr w14:val="tx1"/>
            </w14:solidFill>
          </w14:textFill>
        </w:rPr>
        <w:t xml:space="preserve">五、开标、评标与定标</w:t>
      </w:r>
      <w:bookmarkEnd w:id="136"/>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21.开标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21.1 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21.2 开标仪式由代理机构组织。苏采云系统将自动对项目进行开标，并宣布各投标人名称和投标价格。</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21.5 开标时，《开标一览表》内容与投标文件中明细表内容不一致的，以《开标一览表》为准。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21.7 投标截止时间结束后参加投标的供应商不足三家的，不得开标。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22.评标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22.1 评标组织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22.1.1 评标工作由代理机构负责组织，具体评标事务由依法组建的评标委员会负责，并独立履行下列职责：</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（1）审查投标文件是否符合招标文件要求，并作出评价；</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（2）要求投标供应商对投标文件有关事项作出解释或者澄清；</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（3）推荐中标候选供应商名单，或者按照招标文件规定直接确定中标供应商；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（4）向代理机构或者有关部门报告非法干预评标工作的行为。</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22.1.2 评标委员会由采购人代表和有关技术方面的专家组成，独立开展评审工作。</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 评标程序</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（1）不具备招标文件中规定的资格条件的；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（2）未按照招标文件规定要求签署、盖章的 ；</w:t>
      </w:r>
      <w:r/>
    </w:p>
    <w:p>
      <w:pPr>
        <w:pStyle w:val="1096"/>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（3）供应商被“信用中国”网站（www.creditchina.gov.cn）、“中国政府采购网”（www.ccgp.gov.cn）列入失信被执行人、重大税收违法失信主体名单、政府采购严重违法失信行为记录名单的。</w:t>
      </w:r>
      <w:r/>
    </w:p>
    <w:p>
      <w:pPr>
        <w:pStyle w:val="1096"/>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（4）本项目属于政府购买服务项目，供应商为公益一类事业单位、使用事业编制且由财政拨款保障的群团组织参与本项目采购活动的。</w:t>
      </w:r>
      <w:r/>
    </w:p>
    <w:p>
      <w:pPr>
        <w:ind w:firstLine="42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（4）未实质性响应招标要求的；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（5）提供虚假材料的（包括营业执照、财务报表、资格证明文件等）；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（7）改变采购文件提供的项目清单中的计量单位、数量；</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（8）响应文件载明的采购项目完成期限超过采购文件规定的期限；</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（9）明显不符合技术规范、技术标准的要求；</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（10）法律法规和招标文件规定的其他无效情形。</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（11）不同供应商的响应文件以及响应文件制作过程出现了评标委员会认为不应当雷同的情况的。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（12）不符合法律法规和采购文件规定的其他实质性要求的。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22.2.2.1 实质性要求是指：</w:t>
      </w:r>
      <w:r>
        <w:rPr>
          <w:rFonts w:hint="eastAsia" w:ascii="宋体" w:hAnsi="宋体" w:cs="宋体"/>
          <w:color w:val="000000" w:themeColor="text1"/>
          <w:szCs w:val="21"/>
          <w:lang w:val="zh-CN"/>
          <w14:textFill>
            <w14:solidFill>
              <w14:schemeClr w14:val="tx1"/>
            </w14:solidFill>
          </w14:textFill>
        </w:rPr>
        <w:t xml:space="preserve">用“★”加注或特别说明的内容为实质性要求。</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22.2.2.2有下列情形之一的予以废标，同时将废标理由通知所有供应商：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（1）符合专业条件的供应商或者对招标文件做实质性响应的供应商不足三家的；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（2）出现影响采购公正的违法、违规行为的；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（3）供应商的报价均超过了采购预算或者最高限价的，采购人不能支付的；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（4）因重大变故，采购任务取消的。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（5）招标文件存在歧义、重大缺陷。</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22.2.2.3 在评标期间，出现符合专业条件的供应商或者对招标文件作出实质性响应的供应商不足三家情形的，不得继续进行评标。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22.2.3 澄清有关问题。对投标文件中含义不明确</w:t>
      </w:r>
      <w:r>
        <w:rPr>
          <w:rFonts w:hint="eastAsia" w:ascii="宋体" w:hAnsi="宋体" w:cs="宋体"/>
          <w:color w:val="000000" w:themeColor="text1"/>
          <w:szCs w:val="21"/>
          <w14:textFill>
            <w14:solidFill>
              <w14:schemeClr w14:val="tx1"/>
            </w14:solidFill>
          </w14:textFill>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22.2.4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22.3 评标方法和标准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人名称的最终得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22.3.2 综合评分的主要因素是：价格、商务部分、技术部分等；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22.3.3 评分标准详见第三章</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22.3.4 评标过程中出现下列情形之一的，评标委员会应当启动异常低价投标审查程序：</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①投标报价低于全部通过符合性审查供应商投标报价平均值65%的，即投标报价&lt;全部通过符合性审查供应商投标报价平均值×65%；</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②投标报价低于通过符合性审查的次低报价供应商投标报价65%的，即投标报价&lt;通过符合性审查的次低报价供应商投标报价×65%；</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③投标报价低于采购项目最高限价65%的，即投标报价&lt;采购项目最高限价×65%；</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④评标委员会基于专业判断，认为供应商报价过低，有可能影响产品质量或者不能诚信履约的其他情形。</w:t>
      </w:r>
      <w:r/>
    </w:p>
    <w:p>
      <w:pPr>
        <w:pStyle w:val="1305"/>
        <w:ind w:firstLine="420"/>
        <w:spacing w:line="360" w:lineRule="auto"/>
        <w:rPr>
          <w:rFonts w:hint="eastAsia"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评标委员会启动异常低价投标审查后，属于前述第1项至第4项情形的，相关供应商应在评审现场合理的时间内（不少于30分钟，具体根据评审现场书面通知为准）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23.确定中标供应商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23.1 采用综合评分法的，评标结果按评审后得分由高到低顺序排列，并编写评审报告。得分相同的，按投标报价（总价）由低到高顺序排列。得分且投标报价相同的，按服务方案优劣顺序排列。评标委员会根据最终排名向采购人推荐中标候选供应商。最低投标价等任何单项因素的最优不是中标的必要条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23.2 中标候选人确定后，默认按照以下第（2）种方式确定中标供应商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（1）评标委员会直接确定排名第一的中标候选人为中标供应商；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（2）采购人在评标报告确定的中标候选人名单中按顺序确定中标供应商。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23.4 中标通知书对采购人和中标供应商具有同等法律效力。</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23.7 代理机构对未中标的投标供应商不作未中标原因的解释。</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23.8 所有投标文件都将作为档案保存，不论中标与否，代理机构均不退回。</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24.编写评标报告</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24.1 评标委员会根据全体评标成员签字的原始评标记录和评标结果编写评标报</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25.评标过程的保密性</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25.1 代理机构将采取必要措施，保证评标在严格保密的情况下进行。</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25.2 任何单位和个人不得非法干预、影响评标办法的确定，以及评标过程和结果。</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25.3 凡是与审查、澄清、评价和比较投标的有关资料等，均不向投标供应商及与评标无关的其他人员透露。</w:t>
      </w:r>
      <w:r/>
    </w:p>
    <w:p>
      <w:pPr>
        <w:pStyle w:val="1040"/>
        <w:ind w:firstLine="422"/>
        <w:rPr>
          <w:color w:val="000000" w:themeColor="text1"/>
          <w14:textFill>
            <w14:solidFill>
              <w14:schemeClr w14:val="tx1"/>
            </w14:solidFill>
          </w14:textFill>
        </w:rPr>
      </w:pPr>
      <w:r/>
      <w:bookmarkStart w:id="137" w:name="_Toc11223"/>
      <w:r>
        <w:rPr>
          <w:rFonts w:hint="eastAsia"/>
          <w:color w:val="000000" w:themeColor="text1"/>
          <w14:textFill>
            <w14:solidFill>
              <w14:schemeClr w14:val="tx1"/>
            </w14:solidFill>
          </w14:textFill>
        </w:rPr>
        <w:t xml:space="preserve">六、签订合同</w:t>
      </w:r>
      <w:bookmarkEnd w:id="137"/>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26.签订合同</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26.3 中标供应商因不可抗力或者自身原因不能履行政府采购合同的，采购人可以重新招标。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pStyle w:val="1040"/>
        <w:ind w:firstLine="422"/>
        <w:rPr>
          <w:color w:val="000000" w:themeColor="text1"/>
          <w14:textFill>
            <w14:solidFill>
              <w14:schemeClr w14:val="tx1"/>
            </w14:solidFill>
          </w14:textFill>
        </w:rPr>
      </w:pPr>
      <w:r/>
      <w:bookmarkStart w:id="138" w:name="_Toc24841"/>
      <w:r>
        <w:rPr>
          <w:rFonts w:hint="eastAsia"/>
          <w:color w:val="000000" w:themeColor="text1"/>
          <w14:textFill>
            <w14:solidFill>
              <w14:schemeClr w14:val="tx1"/>
            </w14:solidFill>
          </w14:textFill>
        </w:rPr>
        <w:t xml:space="preserve">七、质疑和投诉</w:t>
      </w:r>
      <w:bookmarkEnd w:id="138"/>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27.质疑</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上述应知其权益受到损害之日，是指：</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（1）对可以质疑的招标文件提出质疑的，为收到招标文件之日或者招标文件公告期限届满之日；</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（2）对采购过程提出质疑的，为各采购程序环节结束之日；</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（3）对中标结果提出质疑的，为中标结果公告期限届满之日。</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质疑文件接收信息：</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（1）接收单位：采购代理机构</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（2）联 系 人：池爽 </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（3）联系电话：025-</w:t>
      </w:r>
      <w:r>
        <w:rPr>
          <w:rFonts w:ascii="宋体" w:hAnsi="宋体" w:cs="宋体"/>
          <w:color w:val="000000" w:themeColor="text1"/>
          <w:szCs w:val="21"/>
          <w14:textFill>
            <w14:solidFill>
              <w14:schemeClr w14:val="tx1"/>
            </w14:solidFill>
          </w14:textFill>
        </w:rPr>
        <w:t xml:space="preserve">58835827-8016</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（4）联系邮箱：</w:t>
      </w:r>
      <w:r>
        <w:rPr>
          <w:rFonts w:ascii="微软雅黑" w:hAnsi="微软雅黑" w:eastAsia="微软雅黑" w:cs="微软雅黑"/>
          <w:color w:val="000000" w:themeColor="text1"/>
          <w:sz w:val="18"/>
          <w:szCs w:val="18"/>
          <w:shd w:val="clear" w:color="auto" w:fill="ffffff"/>
          <w14:textFill>
            <w14:solidFill>
              <w14:schemeClr w14:val="tx1"/>
            </w14:solidFill>
          </w14:textFill>
        </w:rPr>
        <w:t xml:space="preserve">2673631603</w:t>
      </w:r>
      <w:r>
        <w:rPr>
          <w:rFonts w:hint="eastAsia" w:ascii="宋体" w:hAnsi="宋体" w:cs="宋体"/>
          <w:color w:val="000000" w:themeColor="text1"/>
          <w:szCs w:val="21"/>
          <w14:textFill>
            <w14:solidFill>
              <w14:schemeClr w14:val="tx1"/>
            </w14:solidFill>
          </w14:textFill>
        </w:rPr>
        <w:t xml:space="preserve">@qq.com</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（5）接收地址：南京市建邺区云龙山路89号龙湖时代1栋29楼</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（6）邮  编：210019</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（1）质疑项目名称、项目编号、招标公告发布时间、开标时间；</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（2）具体的质疑事项及法律依据（具体条款）；</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（3）质疑相关证明文件或证明材料，如果涉及产品功能或技术指标的，应出具相关制造商的证明文件；</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（4）质疑供应商名称、地址、联系方式（包括手机、传真号码）；</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28.投诉</w:t>
      </w:r>
      <w:r/>
    </w:p>
    <w:p>
      <w:pPr>
        <w:ind w:firstLine="480"/>
        <w:spacing w:line="360"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28.1 质疑投标供应商对代理机构的答复不满意，或代理机构未在规定的时间内作出答复的，可以在答复期满后十五个工作日内向采购人同级财政部门投诉。</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hint="eastAsia" w:ascii="宋体" w:hAnsi="宋体" w:cs="宋体"/>
          <w:bCs/>
          <w:color w:val="000000" w:themeColor="text1"/>
          <w:szCs w:val="21"/>
          <w14:textFill>
            <w14:solidFill>
              <w14:schemeClr w14:val="tx1"/>
            </w14:solidFill>
          </w14:textFill>
        </w:rPr>
        <w:sectPr>
          <w:headerReference w:type="default" r:id="rId11"/>
          <w:footerReference w:type="default" r:id="rId13"/>
          <w:footnotePr/>
          <w:endnotePr/>
          <w:type w:val="nextPage"/>
          <w:pgSz w:w="11910" w:h="16840" w:orient="portrait"/>
          <w:pgMar w:top="1480" w:right="1200" w:bottom="1200" w:left="1000" w:header="850" w:footer="964" w:gutter="0"/>
          <w:pgNumType w:start="1"/>
          <w:cols w:num="1" w:sep="0" w:space="720" w:equalWidth="1"/>
          <w:docGrid w:linePitch="360"/>
        </w:sectPr>
      </w:pPr>
      <w:r>
        <w:rPr>
          <w:rFonts w:hint="eastAsia" w:ascii="宋体" w:hAnsi="宋体" w:cs="宋体"/>
          <w:bCs/>
          <w:color w:val="000000" w:themeColor="text1"/>
          <w:szCs w:val="21"/>
          <w14:textFill>
            <w14:solidFill>
              <w14:schemeClr w14:val="tx1"/>
            </w14:solidFill>
          </w14:textFill>
        </w:rPr>
      </w:r>
      <w:r/>
    </w:p>
    <w:p>
      <w:pPr>
        <w:jc w:val="center"/>
        <w:spacing w:line="360" w:lineRule="auto"/>
        <w:shd w:val="clear" w:color="auto" w:fill="ffffff"/>
        <w:widowControl/>
        <w:rPr>
          <w:rFonts w:hint="eastAsia" w:ascii="宋体" w:hAnsi="宋体" w:cs="宋体"/>
          <w:color w:val="000000" w:themeColor="text1"/>
          <w14:textFill>
            <w14:solidFill>
              <w14:schemeClr w14:val="tx1"/>
            </w14:solidFill>
          </w14:textFill>
        </w:rPr>
        <w:outlineLvl w:val="0"/>
      </w:pPr>
      <w:r/>
      <w:bookmarkStart w:id="139" w:name="_Toc190"/>
      <w:r>
        <w:rPr>
          <w:rFonts w:hint="eastAsia" w:ascii="宋体" w:hAnsi="宋体" w:cs="宋体"/>
          <w:b/>
          <w:color w:val="000000" w:themeColor="text1"/>
          <w:sz w:val="28"/>
          <w:szCs w:val="28"/>
          <w14:textFill>
            <w14:solidFill>
              <w14:schemeClr w14:val="tx1"/>
            </w14:solidFill>
          </w14:textFill>
        </w:rPr>
        <w:t xml:space="preserve">第三章 评标标准</w:t>
      </w:r>
      <w:bookmarkEnd w:id="139"/>
      <w:r/>
      <w:bookmarkStart w:id="140" w:name="_Toc163629751"/>
      <w:r/>
      <w:bookmarkEnd w:id="140"/>
      <w:r/>
      <w:bookmarkStart w:id="141" w:name="_Toc142623417"/>
      <w:r/>
      <w:bookmarkEnd w:id="141"/>
      <w:r/>
      <w:bookmarkStart w:id="142" w:name="_Toc189726853"/>
      <w:r/>
      <w:bookmarkEnd w:id="142"/>
      <w:r/>
      <w:bookmarkStart w:id="143" w:name="_Toc522347554"/>
      <w:r/>
      <w:bookmarkEnd w:id="143"/>
      <w:r/>
      <w:bookmarkStart w:id="144" w:name="_Toc521839351"/>
      <w:r/>
      <w:bookmarkEnd w:id="144"/>
      <w:r/>
      <w:bookmarkStart w:id="145" w:name="_Toc25032666"/>
      <w:r/>
      <w:bookmarkEnd w:id="145"/>
      <w:r/>
      <w:bookmarkStart w:id="146" w:name="_Hlk297273538"/>
      <w:r/>
      <w:bookmarkEnd w:id="146"/>
      <w:r/>
      <w:r/>
    </w:p>
    <w:p>
      <w:pPr>
        <w:ind w:firstLine="420"/>
        <w:jc w:val="lef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本项目采用综合评分法确定中标候选人。评标委员会将按以下评标办法和标准进行评分。</w:t>
      </w:r>
      <w:r/>
    </w:p>
    <w:p>
      <w:pPr>
        <w:ind w:firstLine="420"/>
        <w:jc w:val="lef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分值为100分，小数点后保留两位。评标结果按评审后得分由高到低顺序排列，并编写评审报告。得分相同的，按投标报价（总价）由低到高顺序排列。得分且投标报价相同的，按服务方案优劣顺序排列。评标委员会根据最终排名向采购人推荐中标候选供应商。最低投标价等任何单项因素的最优不是中标的必要条件。</w:t>
      </w:r>
      <w:r/>
    </w:p>
    <w:tbl>
      <w:tblPr>
        <w:tblStyle w:val="10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1642"/>
        <w:gridCol w:w="6049"/>
        <w:gridCol w:w="756"/>
      </w:tblGrid>
      <w:tr>
        <w:trPr>
          <w:jc w:val="center"/>
          <w:trHeight w:val="291"/>
        </w:trPr>
        <w:tc>
          <w:tcPr>
            <w:tcW w:w="1058" w:type="dxa"/>
            <w:vAlign w:val="center"/>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1642" w:type="dxa"/>
            <w:vAlign w:val="center"/>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评审项</w:t>
            </w:r>
            <w:r/>
          </w:p>
        </w:tc>
        <w:tc>
          <w:tcPr>
            <w:tcW w:w="6049" w:type="dxa"/>
            <w:vAlign w:val="center"/>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评分内容</w:t>
            </w:r>
            <w:r/>
          </w:p>
        </w:tc>
        <w:tc>
          <w:tcPr>
            <w:tcW w:w="756" w:type="dxa"/>
            <w:vAlign w:val="center"/>
            <w:textDirection w:val="lrTb"/>
            <w:noWrap w:val="false"/>
          </w:tcPr>
          <w:p>
            <w:pPr>
              <w:jc w:val="center"/>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得分</w:t>
            </w:r>
            <w:r/>
          </w:p>
        </w:tc>
      </w:tr>
      <w:tr>
        <w:trPr>
          <w:jc w:val="center"/>
          <w:trHeight w:val="388"/>
        </w:trPr>
        <w:tc>
          <w:tcPr>
            <w:tcW w:w="1058"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投标报价（10分）</w:t>
            </w:r>
            <w:r/>
          </w:p>
        </w:tc>
        <w:tc>
          <w:tcPr>
            <w:tcW w:w="1642"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评审指标</w:t>
            </w:r>
            <w:r/>
          </w:p>
        </w:tc>
        <w:tc>
          <w:tcPr>
            <w:tcW w:w="6049" w:type="dxa"/>
            <w:vAlign w:val="center"/>
            <w:textDirection w:val="lrTb"/>
            <w:noWrap w:val="false"/>
          </w:tcPr>
          <w:p>
            <w:pPr>
              <w:jc w:val="left"/>
              <w:tabs>
                <w:tab w:val="left" w:pos="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采用低价优先法计算，即满足招标文件要求且报价</w:t>
            </w:r>
            <w:r>
              <w:rPr>
                <w:rFonts w:hint="eastAsia" w:ascii="宋体" w:hAnsi="宋体" w:cs="宋体"/>
                <w:b/>
                <w:bCs/>
                <w:color w:val="000000" w:themeColor="text1"/>
                <w:szCs w:val="21"/>
                <w14:textFill>
                  <w14:solidFill>
                    <w14:schemeClr w14:val="tx1"/>
                  </w14:solidFill>
                </w14:textFill>
              </w:rPr>
              <w:t xml:space="preserve">（总价）</w:t>
            </w:r>
            <w:r>
              <w:rPr>
                <w:rFonts w:hint="eastAsia" w:ascii="宋体" w:hAnsi="宋体" w:cs="宋体"/>
                <w:color w:val="000000" w:themeColor="text1"/>
                <w:szCs w:val="21"/>
                <w14:textFill>
                  <w14:solidFill>
                    <w14:schemeClr w14:val="tx1"/>
                  </w14:solidFill>
                </w14:textFill>
              </w:rPr>
              <w:t xml:space="preserve">最低的投标报价为评标基准价，其价格分为满分。</w:t>
            </w:r>
            <w:r/>
          </w:p>
          <w:p>
            <w:pPr>
              <w:jc w:val="lef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其他投标人的价格分统一按照下列公式计算：投标报价得分=(评标基准价/投标报价×10（得分小数点后四舍五入保留两位）</w:t>
            </w:r>
            <w:r/>
          </w:p>
        </w:tc>
        <w:tc>
          <w:tcPr>
            <w:tcW w:w="75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r>
      <w:tr>
        <w:trPr>
          <w:jc w:val="center"/>
          <w:trHeight w:val="388"/>
        </w:trPr>
        <w:tc>
          <w:tcPr>
            <w:tcW w:w="1058"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项目需求响应情况（15分）</w:t>
            </w:r>
            <w:r/>
          </w:p>
        </w:tc>
        <w:tc>
          <w:tcPr>
            <w:tcW w:w="1642" w:type="dxa"/>
            <w:vAlign w:val="center"/>
            <w:textDirection w:val="lrTb"/>
            <w:noWrap w:val="false"/>
          </w:tcPr>
          <w:p>
            <w:pPr>
              <w:jc w:val="center"/>
              <w:widowControl/>
              <w:rPr>
                <w:rFonts w:hint="eastAsia" w:ascii="宋体" w:hAnsi="宋体" w:cs="宋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项目需求响应情况</w:t>
            </w:r>
            <w:r/>
          </w:p>
        </w:tc>
        <w:tc>
          <w:tcPr>
            <w:tcW w:w="6049" w:type="dxa"/>
            <w:vAlign w:val="center"/>
            <w:textDirection w:val="lrTb"/>
            <w:noWrap w:val="false"/>
          </w:tcPr>
          <w:p>
            <w:pPr>
              <w:jc w:val="left"/>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投标人对招标文件第四章采购项目需求中“</w:t>
            </w:r>
            <w:r>
              <w:rPr>
                <w:rFonts w:hint="eastAsia" w:ascii="宋体" w:hAnsi="宋体" w:cs="宋体"/>
                <w:b/>
                <w:bCs/>
                <w:color w:val="000000" w:themeColor="text1"/>
                <w:szCs w:val="21"/>
                <w14:textFill>
                  <w14:solidFill>
                    <w14:schemeClr w14:val="tx1"/>
                  </w14:solidFill>
                </w14:textFill>
              </w:rPr>
              <w:t xml:space="preserve">服务及技术要求</w:t>
            </w:r>
            <w:r>
              <w:rPr>
                <w:rFonts w:hint="eastAsia" w:ascii="宋体" w:hAnsi="宋体" w:cs="宋体"/>
                <w:color w:val="000000" w:themeColor="text1"/>
                <w:szCs w:val="21"/>
                <w14:textFill>
                  <w14:solidFill>
                    <w14:schemeClr w14:val="tx1"/>
                  </w14:solidFill>
                </w14:textFill>
              </w:rPr>
              <w:t xml:space="preserve">”响应情况进行评分，全部满足的得满分15分（共计15项）：</w:t>
            </w:r>
            <w:r>
              <w:rPr>
                <w:rFonts w:hint="eastAsia" w:ascii="宋体" w:hAnsi="宋体" w:cs="宋体"/>
                <w:b/>
                <w:bCs/>
                <w:color w:val="000000" w:themeColor="text1"/>
                <w:szCs w:val="21"/>
                <w14:textFill>
                  <w14:solidFill>
                    <w14:schemeClr w14:val="tx1"/>
                  </w14:solidFill>
                </w14:textFill>
              </w:rPr>
              <w:t xml:space="preserve">其中标注“★”的内容为实质性要求，有一项不符合的，作无效投标处理</w:t>
            </w:r>
            <w:r>
              <w:rPr>
                <w:rFonts w:hint="eastAsia" w:ascii="宋体" w:hAnsi="宋体" w:cs="宋体"/>
                <w:color w:val="000000" w:themeColor="text1"/>
                <w:szCs w:val="21"/>
                <w14:textFill>
                  <w14:solidFill>
                    <w14:schemeClr w14:val="tx1"/>
                  </w14:solidFill>
                </w14:textFill>
              </w:rPr>
              <w:t xml:space="preserve">；其他服务要求，每有一项负偏离扣1分，扣完为止。（投标人需在“需求响应偏离表”中如实逐项应答，凡标有最低一级序号的指标项即为一项技术条款，无论是否隶属于上一级编号。如招标文件要求提供相应证明材料的，应在偏离表中注明证明材料所在投标文件的页码位置，否则</w:t>
            </w:r>
            <w:r>
              <w:rPr>
                <w:rFonts w:ascii="宋体" w:hAnsi="宋体" w:cs="宋体"/>
                <w:color w:val="000000" w:themeColor="text1"/>
                <w:szCs w:val="21"/>
                <w14:textFill>
                  <w14:solidFill>
                    <w14:schemeClr w14:val="tx1"/>
                  </w14:solidFill>
                </w14:textFill>
              </w:rPr>
              <w:t xml:space="preserve">评标委员会</w:t>
            </w:r>
            <w:r>
              <w:rPr>
                <w:rFonts w:hint="eastAsia" w:ascii="宋体" w:hAnsi="宋体" w:cs="宋体"/>
                <w:color w:val="000000" w:themeColor="text1"/>
                <w:szCs w:val="21"/>
                <w14:textFill>
                  <w14:solidFill>
                    <w14:schemeClr w14:val="tx1"/>
                  </w14:solidFill>
                </w14:textFill>
              </w:rPr>
              <w:t xml:space="preserve">有权作负偏离处理）</w:t>
            </w:r>
            <w:r/>
          </w:p>
        </w:tc>
        <w:tc>
          <w:tcPr>
            <w:tcW w:w="75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15分</w:t>
            </w:r>
            <w:r/>
          </w:p>
        </w:tc>
      </w:tr>
      <w:tr>
        <w:trPr>
          <w:jc w:val="center"/>
          <w:trHeight w:val="582"/>
        </w:trPr>
        <w:tc>
          <w:tcPr>
            <w:tcW w:w="1058"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服务方案（37分）</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w:t>
            </w:r>
            <w:r/>
          </w:p>
        </w:tc>
        <w:tc>
          <w:tcPr>
            <w:tcW w:w="6049"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根据投标人提供的对本项目目标、范围和对项目需求的理解和把握程度，制定的整个实施方案描述准确及详细程度进行综合评审：</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实施方案全面，细致，有针对性，贴合项目需求的得8分；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实施方案较全面，细致，有较强针对性，较贴合项目需求的得6分；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实施方案不够全面，细致，针对性一般的，得4分；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实施方案不全面性，细致性，针对性较差的，得2分。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未提供方案的不得分。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8分</w:t>
            </w:r>
            <w:r/>
          </w:p>
        </w:tc>
      </w:tr>
      <w:tr>
        <w:trPr>
          <w:jc w:val="center"/>
          <w:trHeight w:val="428"/>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对本项目的特点、难点、重点分析</w:t>
            </w:r>
            <w:r/>
          </w:p>
        </w:tc>
        <w:tc>
          <w:tcPr>
            <w:tcW w:w="6049"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根据投标人提供的对本项目的特点、难点、重点分析，关键性技术问题的对策措施进行综合评分：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项目特点、难点、重点分析准确，关键性技术问题理解透彻并且提出对策措施全面、详细完整、科学合理得8分；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项目特点、难点、重点分析较准确，关键性技术问题理解较透彻并且提出对策措施较全面、较详细、较科学合理得6分；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项目特点、难点、重点分析一般，关键性技术问题理解一般并且提出对策措施一般得4分；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项目特点、难点、重点分析较差，关键性技术问题理解较差并且提出对策措施较差得2分；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未提供方案的不得分。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8分</w:t>
            </w:r>
            <w:r/>
          </w:p>
        </w:tc>
      </w:tr>
      <w:tr>
        <w:trPr>
          <w:jc w:val="center"/>
          <w:trHeight w:val="280"/>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人员组织管理和保障方案</w:t>
            </w:r>
            <w:r/>
          </w:p>
        </w:tc>
        <w:tc>
          <w:tcPr>
            <w:tcW w:w="6049"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根据本项目的特点从人员组织管理、安全保障制定的人员组织管理和保障方案进行综合评审：</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方案全面，细致，有针对性，贴合项目需求的得7分；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方案较全面，细致，有较强针对性，较贴合项目需求的得5分；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方案不够全面，细致，针对性一般的，得3分；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方案不全面性，细致性，针对性较差的，得1分。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未提供方案的不得分。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7分</w:t>
            </w:r>
            <w:r/>
          </w:p>
        </w:tc>
      </w:tr>
      <w:tr>
        <w:trPr>
          <w:jc w:val="center"/>
          <w:trHeight w:val="2047"/>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质量控制、进度计划方案</w:t>
            </w:r>
            <w:r/>
          </w:p>
        </w:tc>
        <w:tc>
          <w:tcPr>
            <w:tcW w:w="6049"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根据本项目的特点从质量控制、进度计划制定的方案进行综合评审：</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方案全面，细致，有针对性，贴合项目需求的得7分；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方案较全面，细致，有较强针对性，较贴合项目需求的得5分；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方案不够全面，细致，针对性一般的，得3分；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方案不全面性，细致性，针对性较差的，得1分。</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未提供方案的不得分。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7分</w:t>
            </w:r>
            <w:r/>
          </w:p>
        </w:tc>
      </w:tr>
      <w:tr>
        <w:trPr>
          <w:jc w:val="center"/>
          <w:trHeight w:val="885"/>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TW" w:eastAsia="zh-TW" w:bidi="ar"/>
                <w14:textFill>
                  <w14:solidFill>
                    <w14:schemeClr w14:val="tx1"/>
                  </w14:solidFill>
                </w14:textFill>
              </w:rPr>
              <w:t xml:space="preserve">安全管理制度和应急预案</w:t>
            </w:r>
            <w:r/>
          </w:p>
        </w:tc>
        <w:tc>
          <w:tcPr>
            <w:tcW w:w="6049" w:type="dxa"/>
            <w:vAlign w:val="center"/>
            <w:textDirection w:val="lrTb"/>
            <w:noWrap w:val="false"/>
          </w:tcPr>
          <w:p>
            <w:pPr>
              <w:rPr>
                <w:rFonts w:hint="eastAsia" w:ascii="宋体" w:hAnsi="宋体" w:cs="宋体"/>
                <w:color w:val="000000" w:themeColor="text1"/>
                <w:szCs w:val="21"/>
                <w:lang w:val="zh-TW" w:bidi="ar"/>
                <w14:textFill>
                  <w14:solidFill>
                    <w14:schemeClr w14:val="tx1"/>
                  </w14:solidFill>
                </w14:textFill>
              </w:rPr>
            </w:pPr>
            <w:r>
              <w:rPr>
                <w:rFonts w:hint="eastAsia" w:ascii="宋体" w:hAnsi="宋体" w:cs="宋体"/>
                <w:color w:val="000000" w:themeColor="text1"/>
                <w:szCs w:val="21"/>
                <w:lang w:val="zh-TW" w:eastAsia="zh-TW" w:bidi="ar"/>
                <w14:textFill>
                  <w14:solidFill>
                    <w14:schemeClr w14:val="tx1"/>
                  </w14:solidFill>
                </w14:textFill>
              </w:rPr>
              <w:t xml:space="preserve">根据</w:t>
            </w:r>
            <w:r>
              <w:rPr>
                <w:rFonts w:hint="eastAsia" w:ascii="宋体" w:hAnsi="宋体" w:cs="宋体"/>
                <w:color w:val="000000" w:themeColor="text1"/>
                <w:szCs w:val="21"/>
                <w:lang w:bidi="ar"/>
                <w14:textFill>
                  <w14:solidFill>
                    <w14:schemeClr w14:val="tx1"/>
                  </w14:solidFill>
                </w14:textFill>
              </w:rPr>
              <w:t xml:space="preserve">投标人</w:t>
            </w:r>
            <w:r>
              <w:rPr>
                <w:rFonts w:hint="eastAsia" w:ascii="宋体" w:hAnsi="宋体" w:cs="宋体"/>
                <w:color w:val="000000" w:themeColor="text1"/>
                <w:szCs w:val="21"/>
                <w:lang w:val="zh-TW" w:eastAsia="zh-TW" w:bidi="ar"/>
                <w14:textFill>
                  <w14:solidFill>
                    <w14:schemeClr w14:val="tx1"/>
                  </w14:solidFill>
                </w14:textFill>
              </w:rPr>
              <w:t xml:space="preserve">提供的安全管理制度和应急预案方案的科学性、合理性等情况进行综合评审：</w:t>
            </w:r>
            <w:r/>
          </w:p>
          <w:p>
            <w:pPr>
              <w:rPr>
                <w:rFonts w:hint="eastAsia" w:ascii="宋体" w:hAnsi="宋体" w:cs="宋体"/>
                <w:color w:val="000000" w:themeColor="text1"/>
                <w:szCs w:val="21"/>
                <w:lang w:val="zh-TW" w:eastAsia="zh-TW" w:bidi="ar"/>
                <w14:textFill>
                  <w14:solidFill>
                    <w14:schemeClr w14:val="tx1"/>
                  </w14:solidFill>
                </w14:textFill>
              </w:rPr>
            </w:pPr>
            <w:r>
              <w:rPr>
                <w:rFonts w:hint="eastAsia" w:ascii="宋体" w:hAnsi="宋体" w:cs="宋体"/>
                <w:color w:val="000000" w:themeColor="text1"/>
                <w:szCs w:val="21"/>
                <w:lang w:val="zh-TW" w:eastAsia="zh-TW" w:bidi="ar"/>
                <w14:textFill>
                  <w14:solidFill>
                    <w14:schemeClr w14:val="tx1"/>
                  </w14:solidFill>
                </w14:textFill>
              </w:rPr>
              <w:t xml:space="preserve">分析及对策处理</w:t>
            </w:r>
            <w:r>
              <w:rPr>
                <w:rFonts w:hint="eastAsia" w:ascii="宋体" w:hAnsi="宋体" w:cs="宋体"/>
                <w:color w:val="000000" w:themeColor="text1"/>
                <w:szCs w:val="21"/>
                <w14:textFill>
                  <w14:solidFill>
                    <w14:schemeClr w14:val="tx1"/>
                  </w14:solidFill>
                </w14:textFill>
              </w:rPr>
              <w:t xml:space="preserve">有针对性，贴合项目需求的得7分</w:t>
            </w:r>
            <w:r>
              <w:rPr>
                <w:rFonts w:hint="eastAsia" w:ascii="宋体" w:hAnsi="宋体" w:cs="宋体"/>
                <w:color w:val="000000" w:themeColor="text1"/>
                <w:szCs w:val="21"/>
                <w:lang w:val="zh-TW" w:eastAsia="zh-TW" w:bidi="ar"/>
                <w14:textFill>
                  <w14:solidFill>
                    <w14:schemeClr w14:val="tx1"/>
                  </w14:solidFill>
                </w14:textFill>
              </w:rPr>
              <w:t xml:space="preserve">；</w:t>
            </w:r>
            <w:r/>
          </w:p>
          <w:p>
            <w:pPr>
              <w:rPr>
                <w:rFonts w:hint="eastAsia" w:ascii="宋体" w:hAnsi="宋体" w:cs="宋体"/>
                <w:color w:val="000000" w:themeColor="text1"/>
                <w:szCs w:val="21"/>
                <w:lang w:val="zh-TW" w:eastAsia="zh-TW" w:bidi="ar"/>
                <w14:textFill>
                  <w14:solidFill>
                    <w14:schemeClr w14:val="tx1"/>
                  </w14:solidFill>
                </w14:textFill>
              </w:rPr>
            </w:pPr>
            <w:r>
              <w:rPr>
                <w:rFonts w:hint="eastAsia" w:ascii="宋体" w:hAnsi="宋体" w:cs="宋体"/>
                <w:color w:val="000000" w:themeColor="text1"/>
                <w:szCs w:val="21"/>
                <w:lang w:val="zh-TW" w:eastAsia="zh-TW" w:bidi="ar"/>
                <w14:textFill>
                  <w14:solidFill>
                    <w14:schemeClr w14:val="tx1"/>
                  </w14:solidFill>
                </w14:textFill>
              </w:rPr>
              <w:t xml:space="preserve">分析及对策处理</w:t>
            </w:r>
            <w:r>
              <w:rPr>
                <w:rFonts w:hint="eastAsia" w:ascii="宋体" w:hAnsi="宋体" w:cs="宋体"/>
                <w:color w:val="000000" w:themeColor="text1"/>
                <w:szCs w:val="21"/>
                <w14:textFill>
                  <w14:solidFill>
                    <w14:schemeClr w14:val="tx1"/>
                  </w14:solidFill>
                </w14:textFill>
              </w:rPr>
              <w:t xml:space="preserve">有较强针对性，较贴合项目需求的得5分；</w:t>
            </w:r>
            <w:r/>
          </w:p>
          <w:p>
            <w:pPr>
              <w:rPr>
                <w:rFonts w:hint="eastAsia" w:ascii="宋体" w:hAnsi="宋体" w:cs="宋体"/>
                <w:color w:val="000000" w:themeColor="text1"/>
                <w:szCs w:val="21"/>
                <w:lang w:val="zh-TW" w:eastAsia="zh-TW" w:bidi="ar"/>
                <w14:textFill>
                  <w14:solidFill>
                    <w14:schemeClr w14:val="tx1"/>
                  </w14:solidFill>
                </w14:textFill>
              </w:rPr>
            </w:pPr>
            <w:r>
              <w:rPr>
                <w:rFonts w:hint="eastAsia" w:ascii="宋体" w:hAnsi="宋体" w:cs="宋体"/>
                <w:color w:val="000000" w:themeColor="text1"/>
                <w:szCs w:val="21"/>
                <w:lang w:val="zh-TW" w:eastAsia="zh-TW" w:bidi="ar"/>
                <w14:textFill>
                  <w14:solidFill>
                    <w14:schemeClr w14:val="tx1"/>
                  </w14:solidFill>
                </w14:textFill>
              </w:rPr>
              <w:t xml:space="preserve">分析及对策</w:t>
            </w:r>
            <w:r>
              <w:rPr>
                <w:rFonts w:hint="eastAsia" w:ascii="宋体" w:hAnsi="宋体" w:cs="宋体"/>
                <w:color w:val="000000" w:themeColor="text1"/>
                <w:szCs w:val="21"/>
                <w14:textFill>
                  <w14:solidFill>
                    <w14:schemeClr w14:val="tx1"/>
                  </w14:solidFill>
                </w14:textFill>
              </w:rPr>
              <w:t xml:space="preserve">不够全面，细致，针对性一般的，得3分</w:t>
            </w:r>
            <w:r>
              <w:rPr>
                <w:rFonts w:hint="eastAsia" w:ascii="宋体" w:hAnsi="宋体" w:cs="宋体"/>
                <w:color w:val="000000" w:themeColor="text1"/>
                <w:szCs w:val="21"/>
                <w:lang w:val="zh-TW" w:eastAsia="zh-TW" w:bidi="ar"/>
                <w14:textFill>
                  <w14:solidFill>
                    <w14:schemeClr w14:val="tx1"/>
                  </w14:solidFill>
                </w14:textFill>
              </w:rPr>
              <w:t xml:space="preserve">；</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分析及对策不全面性，细致性，针对性较差的，得1分。</w:t>
            </w:r>
            <w:r/>
          </w:p>
          <w:p>
            <w:pPr>
              <w:rPr>
                <w:rFonts w:hint="eastAsia" w:ascii="宋体" w:hAnsi="宋体" w:cs="宋体"/>
                <w:color w:val="000000" w:themeColor="text1"/>
                <w:szCs w:val="21"/>
                <w:lang w:eastAsia="zh-T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未提供方案的不得分。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 xml:space="preserve">7</w:t>
            </w:r>
            <w:r/>
          </w:p>
        </w:tc>
      </w:tr>
      <w:tr>
        <w:trPr>
          <w:jc w:val="center"/>
          <w:trHeight w:val="620"/>
        </w:trPr>
        <w:tc>
          <w:tcPr>
            <w:tcW w:w="1058"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商务部分（38分）</w:t>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投标人类似业绩</w:t>
            </w:r>
            <w:r/>
          </w:p>
        </w:tc>
        <w:tc>
          <w:tcPr>
            <w:tcW w:w="6049" w:type="dxa"/>
            <w:vAlign w:val="center"/>
            <w:textDirection w:val="lrTb"/>
            <w:noWrap w:val="false"/>
          </w:tcPr>
          <w:p>
            <w:pPr>
              <w:jc w:val="left"/>
              <w:tabs>
                <w:tab w:val="left" w:pos="840" w:leader="none"/>
              </w:tabs>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投标人自2023年1月1日（以合同签订日期为准）以来承担过类似项目业绩项目，每提供一个有效合同得2分，最高得8分。（提供有效合同复印件并加盖投标人电子公章，合同须体现相关服务内容及</w:t>
            </w:r>
            <w:r>
              <w:rPr>
                <w:rFonts w:hint="eastAsia" w:ascii="宋体" w:hAnsi="宋体" w:cs="宋体"/>
                <w:color w:val="000000" w:themeColor="text1"/>
                <w14:textFill>
                  <w14:solidFill>
                    <w14:schemeClr w14:val="tx1"/>
                  </w14:solidFill>
                </w14:textFill>
              </w:rPr>
              <w:t xml:space="preserve">签订日期、合同对应任意一张发票、双方签字盖章页等关键评审因素</w:t>
            </w:r>
            <w:r>
              <w:rPr>
                <w:rFonts w:hint="eastAsia" w:ascii="宋体" w:hAnsi="宋体" w:cs="宋体"/>
                <w:color w:val="000000" w:themeColor="text1"/>
                <w:szCs w:val="21"/>
                <w14:textFill>
                  <w14:solidFill>
                    <w14:schemeClr w14:val="tx1"/>
                  </w14:solidFill>
                </w14:textFill>
              </w:rPr>
              <w:t xml:space="preserve">，未提供或不符合不得分） </w:t>
            </w:r>
            <w:r/>
          </w:p>
        </w:tc>
        <w:tc>
          <w:tcPr>
            <w:tcW w:w="75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8分</w:t>
            </w:r>
            <w:r/>
          </w:p>
        </w:tc>
      </w:tr>
      <w:tr>
        <w:trPr>
          <w:jc w:val="center"/>
          <w:trHeight w:val="350"/>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vMerge w:val="restart"/>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拟为本项目配备的人员</w:t>
            </w:r>
            <w:r/>
          </w:p>
        </w:tc>
        <w:tc>
          <w:tcPr>
            <w:tcW w:w="6049" w:type="dxa"/>
            <w:vAlign w:val="center"/>
            <w:textDirection w:val="lrTb"/>
            <w:noWrap w:val="false"/>
          </w:tcPr>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1.项目负责人（1名）：</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投标人拟配备的项目负责人自2023年1月1日（以合同签订日期为准）具有类似本项目检测服务工作经验，每提供1个得2分，满分6分。（提供履历表、相关工作经验证明材料（</w:t>
            </w:r>
            <w:r>
              <w:rPr>
                <w:rFonts w:hint="eastAsia"/>
                <w:color w:val="000000" w:themeColor="text1"/>
                <w:szCs w:val="21"/>
                <w14:textFill>
                  <w14:solidFill>
                    <w14:schemeClr w14:val="tx1"/>
                  </w14:solidFill>
                </w14:textFill>
              </w:rPr>
              <w:t xml:space="preserve">担任项目负责人的合同复印件</w:t>
            </w:r>
            <w:r>
              <w:rPr>
                <w:rFonts w:hint="eastAsia" w:ascii="Arial" w:hAnsi="Arial" w:cs="Arial"/>
                <w:color w:val="000000" w:themeColor="text1"/>
                <w:szCs w:val="21"/>
                <w14:textFill>
                  <w14:solidFill>
                    <w14:schemeClr w14:val="tx1"/>
                  </w14:solidFill>
                </w14:textFill>
              </w:rPr>
              <w:t xml:space="preserve">或</w:t>
            </w:r>
            <w:r>
              <w:rPr>
                <w:rFonts w:hint="eastAsia" w:ascii="Arial" w:hAnsi="Arial" w:cs="Arial"/>
                <w:color w:val="000000" w:themeColor="text1"/>
                <w:szCs w:val="21"/>
                <w:lang w:val="zh-CN"/>
                <w14:textFill>
                  <w14:solidFill>
                    <w14:schemeClr w14:val="tx1"/>
                  </w14:solidFill>
                </w14:textFill>
              </w:rPr>
              <w:t xml:space="preserve">业主单位出具的</w:t>
            </w:r>
            <w:r>
              <w:rPr>
                <w:rFonts w:hint="eastAsia" w:ascii="Arial" w:hAnsi="Arial" w:cs="Arial"/>
                <w:color w:val="000000" w:themeColor="text1"/>
                <w:szCs w:val="21"/>
                <w14:textFill>
                  <w14:solidFill>
                    <w14:schemeClr w14:val="tx1"/>
                  </w14:solidFill>
                </w14:textFill>
              </w:rPr>
              <w:t xml:space="preserve">证明材料加盖业主单位章或业务主管部门章</w:t>
            </w:r>
            <w:r>
              <w:rPr>
                <w:rFonts w:hint="eastAsia" w:ascii="宋体" w:hAnsi="宋体" w:cs="宋体"/>
                <w:color w:val="000000" w:themeColor="text1"/>
                <w:szCs w:val="21"/>
                <w14:textFill>
                  <w14:solidFill>
                    <w14:schemeClr w14:val="tx1"/>
                  </w14:solidFill>
                </w14:textFill>
              </w:rPr>
              <w:t xml:space="preserve">）及2026年4月至今任意一个月投标人为其缴纳社保的证明材料，上述证明材料复印件并加盖投标人电子公章，未提供或不符合不得分）</w:t>
            </w:r>
            <w:r/>
          </w:p>
          <w:p>
            <w:pPr>
              <w:jc w:val="left"/>
              <w:widowControl/>
              <w:rPr>
                <w:rFonts w:hint="eastAsia" w:ascii="宋体" w:hAnsi="宋体" w:cs="宋体"/>
                <w:color w:val="000000" w:themeColor="text1"/>
                <w:szCs w:val="21"/>
                <w14:textFill>
                  <w14:solidFill>
                    <w14:schemeClr w14:val="tx1"/>
                  </w14:solidFill>
                </w14:textFill>
              </w:rPr>
            </w:pPr>
            <w:r>
              <w:rPr>
                <w:rStyle w:val="1094"/>
                <w:rFonts w:hint="eastAsia" w:ascii="宋体" w:hAnsi="宋体" w:cs="宋体"/>
                <w:color w:val="000000" w:themeColor="text1"/>
                <w14:textFill>
                  <w14:solidFill>
                    <w14:schemeClr w14:val="tx1"/>
                  </w14:solidFill>
                </w14:textFill>
              </w:rPr>
              <w:t xml:space="preserve">备注：</w:t>
            </w:r>
            <w:r>
              <w:rPr>
                <w:rStyle w:val="1094"/>
                <w:rFonts w:hint="eastAsia" w:ascii="宋体" w:hAnsi="宋体" w:cs="宋体"/>
                <w:b/>
                <w:bCs/>
                <w:color w:val="000000" w:themeColor="text1"/>
                <w14:textFill>
                  <w14:solidFill>
                    <w14:schemeClr w14:val="tx1"/>
                  </w14:solidFill>
                </w14:textFill>
              </w:rPr>
              <w:t xml:space="preserve">如项目负责人工作经验佐证材料提供的合同与投标人类似业绩合同为同一合同，</w:t>
            </w:r>
            <w:r>
              <w:rPr>
                <w:rFonts w:hint="eastAsia" w:ascii="宋体" w:hAnsi="宋体" w:cs="宋体"/>
                <w:b/>
                <w:bCs/>
                <w:color w:val="000000" w:themeColor="text1"/>
                <w:szCs w:val="21"/>
                <w14:textFill>
                  <w14:solidFill>
                    <w14:schemeClr w14:val="tx1"/>
                  </w14:solidFill>
                </w14:textFill>
              </w:rPr>
              <w:t xml:space="preserve">可同时得分。</w:t>
            </w:r>
            <w:r/>
          </w:p>
        </w:tc>
        <w:tc>
          <w:tcPr>
            <w:tcW w:w="75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r>
      <w:tr>
        <w:trPr>
          <w:jc w:val="center"/>
          <w:trHeight w:val="557"/>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49" w:type="dxa"/>
            <w:vAlign w:val="center"/>
            <w:textDirection w:val="lrTb"/>
            <w:noWrap w:val="false"/>
          </w:tcPr>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2.投标人拟投入的项目团队人员情况（不含项目负责人）：</w:t>
            </w:r>
            <w:r/>
          </w:p>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本项目现场工作人员需配备不少于10人团队，其中：</w:t>
            </w:r>
            <w:r/>
          </w:p>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①具备有效的长庆油田 HSE 培训合格证及硫化氢防护专项培训合格证，涉及含硫化氢介质管道作业时，所有进场作业人员硫化氢防护证书应在有效期内,每提供一人得2分，最高6分；</w:t>
            </w:r>
            <w:r/>
          </w:p>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②</w:t>
            </w:r>
            <w:r>
              <w:rPr>
                <w:rFonts w:hint="eastAsia"/>
                <w:color w:val="000000" w:themeColor="text1"/>
                <w:szCs w:val="21"/>
                <w14:textFill>
                  <w14:solidFill>
                    <w14:schemeClr w14:val="tx1"/>
                  </w14:solidFill>
                </w14:textFill>
              </w:rPr>
              <w:t xml:space="preserve">具备有效的特种设备检测人员</w:t>
            </w:r>
            <w:r>
              <w:rPr>
                <w:color w:val="000000" w:themeColor="text1"/>
                <w:szCs w:val="21"/>
                <w14:textFill>
                  <w14:solidFill>
                    <w14:schemeClr w14:val="tx1"/>
                  </w14:solidFill>
                </w14:textFill>
              </w:rPr>
              <w:t xml:space="preserve">RTII</w:t>
            </w:r>
            <w:r>
              <w:rPr>
                <w:rFonts w:hint="eastAsia"/>
                <w:color w:val="000000" w:themeColor="text1"/>
                <w:szCs w:val="21"/>
                <w14:textFill>
                  <w14:solidFill>
                    <w14:schemeClr w14:val="tx1"/>
                  </w14:solidFill>
                </w14:textFill>
              </w:rPr>
              <w:t xml:space="preserve">级及以上或</w:t>
            </w:r>
            <w:r>
              <w:rPr>
                <w:rFonts w:hint="eastAsia" w:ascii="宋体" w:hAnsi="宋体" w:cs="宋体"/>
                <w:color w:val="000000" w:themeColor="text1"/>
                <w:szCs w:val="21"/>
                <w14:textFill>
                  <w14:solidFill>
                    <w14:schemeClr w14:val="tx1"/>
                  </w14:solidFill>
                </w14:textFill>
              </w:rPr>
              <w:t xml:space="preserve">UTⅡ级及以上证书，每提供一种证书得1分，最高得4分。</w:t>
            </w:r>
            <w:r/>
          </w:p>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（(1)人员需提供有效证书复印件加盖电子公章，其中第</w:t>
            </w:r>
            <w:r>
              <w:rPr>
                <w:rFonts w:hint="eastAsia" w:ascii="宋体" w:hAnsi="宋体"/>
                <w:color w:val="000000" w:themeColor="text1"/>
                <w:szCs w:val="21"/>
                <w14:textFill>
                  <w14:solidFill>
                    <w14:schemeClr w14:val="tx1"/>
                  </w14:solidFill>
                </w14:textFill>
              </w:rPr>
              <w:t xml:space="preserve">②项人员，需</w:t>
            </w:r>
            <w:r>
              <w:rPr>
                <w:rFonts w:hint="eastAsia" w:ascii="宋体" w:hAnsi="宋体" w:cs="宋体"/>
                <w:color w:val="000000" w:themeColor="text1"/>
                <w:szCs w:val="21"/>
                <w14:textFill>
                  <w14:solidFill>
                    <w14:schemeClr w14:val="tx1"/>
                  </w14:solidFill>
                </w14:textFill>
              </w:rPr>
              <w:t xml:space="preserve">按名单提供一一对应的有效期内的中华人民共和国特种设备检验检测人员证、--对应的注册在投标供应商本单位的执业注册证复印件;</w:t>
            </w:r>
            <w:r/>
          </w:p>
          <w:p>
            <w:pPr>
              <w:numPr>
                <w:ilvl w:val="255"/>
                <w:numId w:val="0"/>
              </w:num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2026年4月至今任意一个月由投标人为其缴纳社保的证明材料。未提供证明材料或证明材料不符合要求不得分。）</w:t>
            </w:r>
            <w:r/>
          </w:p>
        </w:tc>
        <w:tc>
          <w:tcPr>
            <w:tcW w:w="756"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r>
      <w:tr>
        <w:trPr>
          <w:jc w:val="center"/>
          <w:trHeight w:val="574"/>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拟投入设备</w:t>
            </w:r>
            <w:r/>
          </w:p>
        </w:tc>
        <w:tc>
          <w:tcPr>
            <w:tcW w:w="6049"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投标人具有符合条件的外防腐层检测设备、GPS记录仪、电火花检测仪、土壤电阻率测试仪、可记录式万用表、杂散电流测试仪、接地电阻测试仪、密间隔等设备的，每提供一台得1分，最高得8分。</w:t>
            </w:r>
            <w:r/>
          </w:p>
          <w:p>
            <w:pPr>
              <w:jc w:val="lef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需提供上述设备清单</w:t>
            </w:r>
            <w:r>
              <w:rPr>
                <w:rFonts w:hint="eastAsia"/>
                <w:color w:val="000000" w:themeColor="text1"/>
                <w:szCs w:val="21"/>
                <w14:textFill>
                  <w14:solidFill>
                    <w14:schemeClr w14:val="tx1"/>
                  </w14:solidFill>
                </w14:textFill>
              </w:rPr>
              <w:t xml:space="preserve">（所提供设备名称评分细则规定不同时，应提供符合上述要求的内容（功能）说明及关键信息，否则不予认可）</w:t>
            </w:r>
            <w:r>
              <w:rPr>
                <w:color w:val="000000" w:themeColor="text1"/>
                <w:szCs w:val="21"/>
                <w14:textFill>
                  <w14:solidFill>
                    <w14:schemeClr w14:val="tx1"/>
                  </w14:solidFill>
                </w14:textFill>
              </w:rPr>
              <w:t xml:space="preserve">、发票和有效期内的校准证书(或检定证书)复印件</w:t>
            </w:r>
            <w:r>
              <w:rPr>
                <w:rFonts w:hint="eastAsia"/>
                <w:color w:val="000000" w:themeColor="text1"/>
                <w:szCs w:val="21"/>
                <w14:textFill>
                  <w14:solidFill>
                    <w14:schemeClr w14:val="tx1"/>
                  </w14:solidFill>
                </w14:textFill>
              </w:rPr>
              <w:t xml:space="preserve">加盖投标人电子公章</w:t>
            </w:r>
            <w:r>
              <w:rPr>
                <w:color w:val="000000" w:themeColor="text1"/>
                <w:szCs w:val="21"/>
                <w14:textFill>
                  <w14:solidFill>
                    <w14:schemeClr w14:val="tx1"/>
                  </w14:solidFill>
                </w14:textFill>
              </w:rPr>
              <w:t xml:space="preserve">)，发票上面的购买方和校准证书(或检定证书)上的委托方应为投标人</w:t>
            </w:r>
            <w:r>
              <w:rPr>
                <w:rFonts w:hint="eastAsia"/>
                <w:color w:val="000000" w:themeColor="text1"/>
                <w:szCs w:val="21"/>
                <w14:textFill>
                  <w14:solidFill>
                    <w14:schemeClr w14:val="tx1"/>
                  </w14:solidFill>
                </w14:textFill>
              </w:rPr>
              <w:t xml:space="preserve">，未提供或不符合不得分。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8分</w:t>
            </w:r>
            <w:r/>
          </w:p>
        </w:tc>
      </w:tr>
      <w:tr>
        <w:trPr>
          <w:jc w:val="center"/>
          <w:trHeight w:val="2678"/>
        </w:trPr>
        <w:tc>
          <w:tcPr>
            <w:tcW w:w="1058" w:type="dxa"/>
            <w:vAlign w:val="center"/>
            <w:vMerge w:val="continue"/>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642" w:type="dxa"/>
            <w:vAlign w:val="center"/>
            <w:textDirection w:val="lrTb"/>
            <w:noWrap w:val="false"/>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拟投入车辆</w:t>
            </w:r>
            <w:r/>
          </w:p>
        </w:tc>
        <w:tc>
          <w:tcPr>
            <w:tcW w:w="6049" w:type="dxa"/>
            <w:vAlign w:val="center"/>
            <w:textDirection w:val="lrTb"/>
            <w:noWrap w:val="false"/>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投标人具有自有或租赁配合车辆的，有1辆得2分，最高6分；若为投标人自有，投标文件中须提供车辆的行驶证（行驶证上显示的所有人为投标人）复印件和抽样车相关图片</w:t>
            </w:r>
            <w:r>
              <w:rPr>
                <w:rFonts w:hint="eastAsia" w:ascii="宋体" w:hAnsi="宋体"/>
                <w:color w:val="000000" w:themeColor="text1"/>
                <w:szCs w:val="21"/>
                <w14:textFill>
                  <w14:solidFill>
                    <w14:schemeClr w14:val="tx1"/>
                  </w14:solidFill>
                </w14:textFill>
              </w:rPr>
              <w:t xml:space="preserve">（车辆前、后及车箱内等三张，车牌号须与车辆行驶证一致）</w:t>
            </w:r>
            <w:r>
              <w:rPr>
                <w:rFonts w:hint="eastAsia"/>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若为租赁，提供截至投标截止时间仍在合同期有效期内的租赁合同及租赁期内任意一张支付凭证、车辆行驶证（行驶证上显示的所有人需与出租方名称一致）、车辆图片（车辆前、后及车箱内等三张，车牌号须与车辆行驶证一致）；以上证明材料加盖投标人电子公章，未提供或不符合不得分。</w:t>
            </w:r>
            <w:r/>
          </w:p>
        </w:tc>
        <w:tc>
          <w:tcPr>
            <w:tcW w:w="75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r>
    </w:tbl>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t xml:space="preserve">说明：</w:t>
      </w:r>
      <w:r/>
    </w:p>
    <w:p>
      <w:pPr>
        <w:spacing w:line="440" w:lineRule="exact"/>
        <w:rPr>
          <w:rFonts w:hint="eastAsia" w:ascii="宋体" w:hAnsi="宋体" w:cs="宋体"/>
          <w:b/>
          <w:color w:val="000000" w:themeColor="text1"/>
          <w:szCs w:val="21"/>
          <w14:textFill>
            <w14:solidFill>
              <w14:schemeClr w14:val="tx1"/>
            </w14:solidFill>
          </w14:textFill>
        </w:rPr>
      </w:pPr>
      <w:r/>
      <w:bookmarkStart w:id="147" w:name="_Toc17947"/>
      <w:r>
        <w:rPr>
          <w:rFonts w:hint="eastAsia" w:ascii="宋体" w:hAnsi="宋体" w:cs="宋体"/>
          <w:color w:val="000000" w:themeColor="text1"/>
          <w:szCs w:val="21"/>
          <w14:textFill>
            <w14:solidFill>
              <w14:schemeClr w14:val="tx1"/>
            </w14:solidFill>
          </w14:textFill>
        </w:rPr>
        <w:t xml:space="preserve">1.所有认证、证明和业绩均以有效清晰的证明文件的复印件（扫描件）为依据，加盖电子公章。</w:t>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2.若投标人提供虚假资料，一经查实作无效投标处理，将依据相关法律法规进行处罚。</w:t>
      </w:r>
      <w:r/>
    </w:p>
    <w:p>
      <w:pP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147"/>
      <w:r/>
      <w:r/>
    </w:p>
    <w:p>
      <w:pPr>
        <w:numPr>
          <w:ilvl w:val="0"/>
          <w:numId w:val="3"/>
        </w:numPr>
        <w:jc w:val="center"/>
        <w:spacing w:line="360" w:lineRule="auto"/>
        <w:rPr>
          <w:rFonts w:hint="eastAsia" w:ascii="宋体" w:hAnsi="宋体" w:cs="宋体"/>
          <w:b/>
          <w:color w:val="000000" w:themeColor="text1"/>
          <w:sz w:val="28"/>
          <w:szCs w:val="28"/>
          <w14:textFill>
            <w14:solidFill>
              <w14:schemeClr w14:val="tx1"/>
            </w14:solidFill>
          </w14:textFill>
        </w:rPr>
        <w:outlineLvl w:val="0"/>
      </w:pPr>
      <w:r/>
      <w:bookmarkStart w:id="148" w:name="_Toc1009"/>
      <w:r>
        <w:rPr>
          <w:rFonts w:hint="eastAsia" w:ascii="宋体" w:hAnsi="宋体" w:cs="宋体"/>
          <w:b/>
          <w:color w:val="000000" w:themeColor="text1"/>
          <w:sz w:val="28"/>
          <w:szCs w:val="28"/>
          <w14:textFill>
            <w14:solidFill>
              <w14:schemeClr w14:val="tx1"/>
            </w14:solidFill>
          </w14:textFill>
        </w:rPr>
        <w:t xml:space="preserve">采购需求</w:t>
      </w:r>
      <w:bookmarkEnd w:id="148"/>
      <w:r/>
      <w:r/>
    </w:p>
    <w:p>
      <w:pPr>
        <w:ind w:firstLine="422"/>
        <w:keepLines/>
        <w:keepNext/>
        <w:spacing w:line="360" w:lineRule="auto"/>
        <w:rPr>
          <w:rFonts w:hint="eastAsia" w:ascii="宋体" w:hAnsi="宋体" w:cs="宋体"/>
          <w:b/>
          <w:bCs/>
          <w:color w:val="000000" w:themeColor="text1"/>
          <w:szCs w:val="21"/>
          <w14:textFill>
            <w14:solidFill>
              <w14:schemeClr w14:val="tx1"/>
            </w14:solidFill>
          </w14:textFill>
        </w:rPr>
        <w:outlineLvl w:val="1"/>
      </w:pPr>
      <w:r/>
      <w:bookmarkStart w:id="149" w:name="_Toc241501768"/>
      <w:r/>
      <w:bookmarkStart w:id="150" w:name="_Toc241513285"/>
      <w:r/>
      <w:bookmarkStart w:id="151" w:name="_Toc13013"/>
      <w:r>
        <w:rPr>
          <w:rFonts w:hint="eastAsia" w:ascii="宋体" w:hAnsi="宋体" w:cs="宋体"/>
          <w:b/>
          <w:bCs/>
          <w:color w:val="000000" w:themeColor="text1"/>
          <w:szCs w:val="21"/>
          <w14:textFill>
            <w14:solidFill>
              <w14:schemeClr w14:val="tx1"/>
            </w14:solidFill>
          </w14:textFill>
        </w:rPr>
        <w:t xml:space="preserve">一、基本情况</w:t>
      </w:r>
      <w:bookmarkEnd w:id="149"/>
      <w:r/>
      <w:bookmarkEnd w:id="150"/>
      <w:r/>
      <w:bookmarkEnd w:id="151"/>
      <w:r/>
      <w:r/>
    </w:p>
    <w:p>
      <w:pPr>
        <w:ind w:firstLine="420"/>
        <w:keepLines/>
        <w:keepNext/>
        <w:spacing w:line="360" w:lineRule="auto"/>
        <w:rPr>
          <w:rFonts w:hint="eastAsia" w:ascii="宋体" w:hAnsi="宋体" w:cs="宋体"/>
          <w:color w:val="000000" w:themeColor="text1"/>
          <w:szCs w:val="21"/>
          <w14:textFill>
            <w14:solidFill>
              <w14:schemeClr w14:val="tx1"/>
            </w14:solidFill>
          </w14:textFill>
        </w:rPr>
        <w:outlineLvl w:val="1"/>
      </w:pPr>
      <w:r/>
      <w:bookmarkStart w:id="152" w:name="_Toc241513286"/>
      <w:r/>
      <w:bookmarkStart w:id="153" w:name="_Toc241501769"/>
      <w:r/>
      <w:bookmarkStart w:id="154" w:name="_Toc7778"/>
      <w:r>
        <w:rPr>
          <w:rFonts w:hint="eastAsia" w:ascii="宋体" w:hAnsi="宋体" w:cs="宋体"/>
          <w:color w:val="000000" w:themeColor="text1"/>
          <w:szCs w:val="21"/>
          <w14:textFill>
            <w14:solidFill>
              <w14:schemeClr w14:val="tx1"/>
            </w14:solidFill>
          </w14:textFill>
        </w:rPr>
        <w:t xml:space="preserve">1、项目概况：江苏省特检院直属分院长庆油田管道内检测辅助工作外委。</w:t>
      </w:r>
      <w:bookmarkEnd w:id="152"/>
      <w:r/>
      <w:bookmarkEnd w:id="153"/>
      <w:r/>
      <w:bookmarkEnd w:id="154"/>
      <w:r/>
      <w:r/>
    </w:p>
    <w:p>
      <w:pPr>
        <w:ind w:firstLine="420"/>
        <w:keepLines/>
        <w:keepNext/>
        <w:spacing w:line="360" w:lineRule="auto"/>
        <w:rPr>
          <w:rFonts w:hint="eastAsia" w:ascii="宋体" w:hAnsi="宋体" w:cs="宋体"/>
          <w:color w:val="000000" w:themeColor="text1"/>
          <w:szCs w:val="21"/>
          <w14:textFill>
            <w14:solidFill>
              <w14:schemeClr w14:val="tx1"/>
            </w14:solidFill>
          </w14:textFill>
        </w:rPr>
        <w:outlineLvl w:val="1"/>
      </w:pPr>
      <w:r/>
      <w:bookmarkStart w:id="155" w:name="_Toc241501770"/>
      <w:r/>
      <w:bookmarkStart w:id="156" w:name="_Toc241513287"/>
      <w:r/>
      <w:bookmarkStart w:id="157" w:name="_Toc19966"/>
      <w:r>
        <w:rPr>
          <w:rFonts w:hint="eastAsia" w:ascii="宋体" w:hAnsi="宋体" w:cs="宋体"/>
          <w:color w:val="000000" w:themeColor="text1"/>
          <w:szCs w:val="21"/>
          <w14:textFill>
            <w14:solidFill>
              <w14:schemeClr w14:val="tx1"/>
            </w14:solidFill>
          </w14:textFill>
        </w:rPr>
        <w:t xml:space="preserve">2、服务范围：</w:t>
      </w:r>
      <w:r>
        <w:rPr>
          <w:rFonts w:ascii="宋体" w:hAnsi="宋体" w:cs="宋体"/>
          <w:color w:val="000000" w:themeColor="text1"/>
          <w:szCs w:val="21"/>
          <w14:textFill>
            <w14:solidFill>
              <w14:schemeClr w14:val="tx1"/>
            </w14:solidFill>
          </w14:textFill>
        </w:rPr>
        <w:t xml:space="preserve">主要为江苏省特种设备安全监督检验研究院承担长庆油田</w:t>
      </w:r>
      <w:r>
        <w:rPr>
          <w:rFonts w:hint="eastAsia" w:ascii="宋体" w:hAnsi="宋体" w:cs="宋体"/>
          <w:color w:val="000000" w:themeColor="text1"/>
          <w:szCs w:val="21"/>
          <w14:textFill>
            <w14:solidFill>
              <w14:schemeClr w14:val="tx1"/>
            </w14:solidFill>
          </w14:textFill>
        </w:rPr>
        <w:t xml:space="preserve">管道</w:t>
      </w:r>
      <w:r>
        <w:rPr>
          <w:rFonts w:ascii="宋体" w:hAnsi="宋体" w:cs="宋体"/>
          <w:color w:val="000000" w:themeColor="text1"/>
          <w:szCs w:val="21"/>
          <w14:textFill>
            <w14:solidFill>
              <w14:schemeClr w14:val="tx1"/>
            </w14:solidFill>
          </w14:textFill>
        </w:rPr>
        <w:t xml:space="preserve">内检测项目所需要的辅助工作，服务内容包括转运整备、内检测器耗材、开挖、外检测辅助等工作，涉及压力管道11条（493.39千米），具体项目清单见下表：</w:t>
      </w:r>
      <w:bookmarkEnd w:id="155"/>
      <w:r/>
      <w:bookmarkEnd w:id="156"/>
      <w:r/>
      <w:bookmarkEnd w:id="157"/>
      <w:r/>
      <w:r/>
    </w:p>
    <w:tbl>
      <w:tblPr>
        <w:tblStyle w:val="1049"/>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605"/>
        <w:gridCol w:w="4944"/>
        <w:gridCol w:w="1258"/>
        <w:gridCol w:w="801"/>
        <w:gridCol w:w="1317"/>
      </w:tblGrid>
      <w:tr>
        <w:trPr>
          <w:jc w:val="center"/>
          <w:trHeight w:val="692"/>
        </w:trPr>
        <w:tc>
          <w:tcPr>
            <w:tcW w:w="1275" w:type="dxa"/>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服务内容</w:t>
            </w:r>
            <w:r/>
          </w:p>
        </w:tc>
        <w:tc>
          <w:tcPr>
            <w:tcW w:w="605"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4944"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w:t>
            </w:r>
            <w:r/>
          </w:p>
        </w:tc>
        <w:tc>
          <w:tcPr>
            <w:tcW w:w="1258"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w:t>
            </w:r>
            <w:r/>
          </w:p>
        </w:tc>
        <w:tc>
          <w:tcPr>
            <w:tcW w:w="801" w:type="dxa"/>
            <w:vAlign w:val="center"/>
            <w:textDirection w:val="lrTb"/>
            <w:noWrap w:val="false"/>
          </w:tcPr>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计费</w:t>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单位</w:t>
            </w:r>
            <w:r/>
          </w:p>
        </w:tc>
        <w:tc>
          <w:tcPr>
            <w:tcW w:w="1317" w:type="dxa"/>
            <w:vAlign w:val="center"/>
            <w:textDirection w:val="lrTb"/>
            <w:noWrap w:val="false"/>
          </w:tcPr>
          <w:p>
            <w:pPr>
              <w:jc w:val="center"/>
              <w:spacing w:line="360" w:lineRule="auto"/>
              <w:rPr>
                <w:rFonts w:cs="宋体"/>
                <w:b/>
                <w:bCs/>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单价最高限价</w:t>
            </w:r>
            <w:r/>
          </w:p>
          <w:p>
            <w:pPr>
              <w:jc w:val="cente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（元）</w:t>
            </w:r>
            <w:r/>
          </w:p>
        </w:tc>
      </w:tr>
      <w:tr>
        <w:trPr>
          <w:jc w:val="center"/>
          <w:trHeight w:val="341"/>
        </w:trPr>
        <w:tc>
          <w:tcPr>
            <w:tcW w:w="1275" w:type="dxa"/>
            <w:vAlign w:val="center"/>
            <w:vMerge w:val="restart"/>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江苏省特检院直属分院长庆油田管道内检测辅助工作外委</w:t>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494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内检测实施辅助工作（内检测转运、现场内检测实施吊装发球、现场跟球、定标盒敷设回收等）</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条</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45000</w:t>
            </w:r>
            <w:r/>
          </w:p>
        </w:tc>
      </w:tr>
      <w:tr>
        <w:trPr>
          <w:jc w:val="center"/>
          <w:trHeight w:val="346"/>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494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管线防腐层不开挖检测辅助工作</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900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494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密间距管地电位法测试辅助</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550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494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杂散电流普查测试辅助</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494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管地电位梯度和杂散电流方向性测试辅助</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388.2</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km</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494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711口径内检测器，含全套（泡沫、皮碗、钢刷）清管器、几何变形检测器、漏磁检测器</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条</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400000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W w:w="494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273、406.4口径内检测用漏磁探头、几何探头、皮碗、钢刷</w:t>
            </w:r>
            <w:r/>
          </w:p>
        </w:tc>
        <w:tc>
          <w:tcPr>
            <w:tcW w:w="1258"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100000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494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开挖验证辅助（包含验证点开挖、验证点防腐层剥离恢复、验证点焊缝埋藏缺陷检测等）</w:t>
            </w:r>
            <w:r/>
          </w:p>
        </w:tc>
        <w:tc>
          <w:tcPr>
            <w:tcW w:w="1258"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处</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16000</w:t>
            </w:r>
            <w:r/>
          </w:p>
        </w:tc>
      </w:tr>
      <w:tr>
        <w:trPr>
          <w:jc w:val="center"/>
          <w:trHeight w:val="341"/>
        </w:trPr>
        <w:tc>
          <w:tcPr>
            <w:tcW w:w="1275" w:type="dxa"/>
            <w:vAlign w:val="center"/>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0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W w:w="4944"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内检测手续协助</w:t>
            </w:r>
            <w:r/>
          </w:p>
        </w:tc>
        <w:tc>
          <w:tcPr>
            <w:tcW w:w="1258"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801"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c>
          <w:tcPr>
            <w:tcW w:w="1317"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42500</w:t>
            </w:r>
            <w:r/>
          </w:p>
        </w:tc>
      </w:tr>
    </w:tbl>
    <w:p>
      <w:pPr>
        <w:pStyle w:val="1096"/>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ind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1）、投标人负责中标合同约定业务，投标人实施的单个项目以采购人发出的书面委托单明确的具体服务项目内容为准。</w:t>
      </w:r>
      <w:r/>
    </w:p>
    <w:p>
      <w:pPr>
        <w:ind w:firstLine="420"/>
        <w:spacing w:line="360" w:lineRule="auto"/>
        <w:rPr>
          <w:rStyle w:val="1299"/>
          <w:rFonts w:eastAsiaTheme="minor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2）合同履行期限：</w:t>
      </w:r>
      <w:r>
        <w:rPr>
          <w:color w:val="000000" w:themeColor="text1"/>
          <w14:textFill>
            <w14:solidFill>
              <w14:schemeClr w14:val="tx1"/>
            </w14:solidFill>
          </w14:textFill>
        </w:rPr>
        <w:t xml:space="preserve">自合同签订之日起一年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合同履行期间合同签订的单价不变，合同期内总结算费用不得超过预算额度，如经核算有超出的合同金额部分，甲方有权不予以支付，但不免除乙方在服务期内合同履行的义务。合同签订后，每项任务在得到采购人书面通知后开始，至项目规定的所有辅助服务工作完成止</w:t>
      </w:r>
      <w:r>
        <w:rPr>
          <w:rFonts w:hint="eastAsia"/>
          <w:color w:val="000000" w:themeColor="text1"/>
          <w14:textFill>
            <w14:solidFill>
              <w14:schemeClr w14:val="tx1"/>
            </w14:solidFill>
          </w14:textFill>
        </w:rPr>
        <w:t xml:space="preserve">。</w:t>
      </w:r>
      <w:r/>
    </w:p>
    <w:p>
      <w:pPr>
        <w:ind w:firstLine="422"/>
        <w:spacing w:line="360" w:lineRule="auto"/>
        <w:rPr>
          <w:rFonts w:hint="eastAsia" w:ascii="宋体" w:hAnsi="宋体" w:cs="Arial"/>
          <w:b/>
          <w:bCs/>
          <w:color w:val="000000" w:themeColor="text1"/>
          <w:szCs w:val="21"/>
          <w14:textFill>
            <w14:solidFill>
              <w14:schemeClr w14:val="tx1"/>
            </w14:solidFill>
          </w14:textFill>
        </w:rPr>
        <w:outlineLvl w:val="1"/>
      </w:pPr>
      <w:r/>
      <w:bookmarkStart w:id="158" w:name="_Toc6036"/>
      <w:r/>
      <w:bookmarkStart w:id="159" w:name="_Toc241513288"/>
      <w:r/>
      <w:bookmarkStart w:id="160" w:name="_Toc241501771"/>
      <w:r>
        <w:rPr>
          <w:rFonts w:hint="eastAsia" w:ascii="宋体" w:hAnsi="宋体" w:cs="Arial"/>
          <w:b/>
          <w:bCs/>
          <w:color w:val="000000" w:themeColor="text1"/>
          <w:szCs w:val="21"/>
          <w14:textFill>
            <w14:solidFill>
              <w14:schemeClr w14:val="tx1"/>
            </w14:solidFill>
          </w14:textFill>
        </w:rPr>
        <w:t xml:space="preserve">二、服务及技术要求：</w:t>
      </w:r>
      <w:bookmarkEnd w:id="158"/>
      <w:r/>
      <w:bookmarkEnd w:id="159"/>
      <w:r/>
      <w:bookmarkEnd w:id="160"/>
      <w:r/>
      <w:r/>
    </w:p>
    <w:p>
      <w:pPr>
        <w:ind w:firstLine="422"/>
        <w:spacing w:line="360" w:lineRule="auto"/>
        <w:rPr>
          <w:rFonts w:hint="eastAsia" w:ascii="宋体" w:hAnsi="宋体"/>
          <w:b/>
          <w:color w:val="000000" w:themeColor="text1"/>
          <w:szCs w:val="21"/>
          <w14:textFill>
            <w14:solidFill>
              <w14:schemeClr w14:val="tx1"/>
            </w14:solidFill>
          </w14:textFill>
        </w:rPr>
      </w:pPr>
      <w:r/>
      <w:bookmarkStart w:id="161" w:name="_Hlk239630145"/>
      <w:r>
        <w:rPr>
          <w:rFonts w:hint="eastAsia" w:ascii="宋体" w:hAnsi="宋体"/>
          <w:b/>
          <w:color w:val="000000" w:themeColor="text1"/>
          <w:szCs w:val="21"/>
          <w14:textFill>
            <w14:solidFill>
              <w14:schemeClr w14:val="tx1"/>
            </w14:solidFill>
          </w14:textFill>
        </w:rPr>
        <w:t xml:space="preserve">（一）服务总体要求：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★1、按照采购人的辅助服务任务通知要求，投标人在 24 小时内对工作任务做出响应（包含夜间任务），并配合采购人在现场完成辅助服务工作。对采购人安排的技术指令不得擅自更改。工作完成后应及时提交数据记录，并对工作结果负责，保证坐标、影像及统计数据的真实性、准确性、有效性。无本项目合同或法律规定的免责事由，投标人不得拒绝采购人根据合同约定及项目实际情况发出的合理工作安排，否则视为投标人违约，采购人有权依据本项目合同第三条追究其违约责任。</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★2、检测所需的交通、食宿和材料等均由投标人自行解决。</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★3、严格遵守合同要求，对工作质量负责，由于投标人自身原因导致须重新开展相关工作的，相应的所有责任和费用均由投标人自行承担，并且不得故意停工或故意拖延检验辅助工期。</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★4、投标人需配置能满足项目技术服务所需的测量与辅助设备及工具等，保证检验设备的标识、检定、使用、保养、维修符合要求，确保在投入使用前均测试正常，以及检验设备使用数据无误。</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5、因服务人员操作不当而造成采购人经济损失的，投标人要负责赔偿造成的全部经济损失；采购人保留对投标人提交成果质量的无限期追责的权利。</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★6、安全风险防控要求：</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人应认真做好现场安全防护工作，在施工现场危险区域设置安全标志，并指定专人负责安全工作，加强安全管理，做到安全责任全覆盖、安全范围全覆盖，确保人身和设备安全，投标人应对其现场工作人员的安全健康负责，为其工作人员购买人身意外险。</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（2）投标人应严格遵守使用单位和采购人的各项安全管理制度，严格执行 HSE 体系规定的法律法规及标准规范，接受使用单位的安全教育、培训，编制事故的应急预案、救援事故报告与赔偿等文件，在施工现场危险区域设置安全标志，并指定专人负责安全工作，如有违反法律、法规的要求，投标人承担全部后果。</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（3）未经被检测单位的工作人员许可，投标人的操作人员不得对被检测单位的特种设备进行任何操作，严禁违规操作。</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投标人应负责在服务中的所有安全及环境责任。如果发生因投标人及其人员未遵守国家和行业相关规定或未遵守被检测单位的规定等直接或间接原因，造成安全、环境事故或其他财产损失和人身伤害，均由投标人承担一切经济和法律责任，并保证采购人免于承担由此导致的一切诉讼、争执、索赔、罚款；</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（5）对采购人和受检单位需保密的有关商业、技术、经营、管理等方面的信息、结果、资料等，投标人不得向其他单位或个人泄密，对需保密的</w:t>
      </w:r>
      <w:r>
        <w:rPr>
          <w:rFonts w:hint="eastAsia" w:ascii="宋体" w:hAnsi="宋体"/>
          <w:color w:val="000000" w:themeColor="text1"/>
          <w:szCs w:val="21"/>
          <w14:textFill>
            <w14:solidFill>
              <w14:schemeClr w14:val="tx1"/>
            </w14:solidFill>
          </w14:textFill>
        </w:rPr>
        <w:t xml:space="preserve">资料要妥善保管，无关人员不得翻阅、复制。投标人承诺严格遵守国家关于隐私方面的所有法律法规，为采购人绝对保密任何有关采购人和受检单位的资料，不得泄露检测所服务的企业单位的任何商业机密，不得将检测数据私自泄露，未经采购人书面授权，严禁擅自留存（除法定存档外）、对外发布、泄露或用于本项目以外的任何用途。采购人不承担本项目实施过程中的任何因投标人泄密造成的责任及经济赔偿。投标人应对项目执行过程中的所有资料承担严格的保密责任，未经采购人书面授权，严禁擅自留存（除法定存档外）、对外发布、泄露或用于本项目以外的任何用途；</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（6）本项目服务期间，投标人不得以采购人名义对外进行书面或口头承诺，不得以采购人名义对外签署协议，不得以与采购人存在合同关系对外进行宣传。</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★7、本项目履行过程中产生的全部测绘及定位原始数据、管线走向图等工作记录及相关知识产权均归采购人独家所有，投标人不得擅自使用、复制、传播、许可第三方使用或用于其他任何目的。</w:t>
      </w:r>
      <w:r/>
    </w:p>
    <w:p>
      <w:pPr>
        <w:ind w:firstLine="420"/>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投标人必须具备独立完成本项目的能力，中标后不允许分包、转包。如发现投标人在本项目中存在资质挂靠、转包、分包、不委派指定的技术人员及其他违规情况，视为投标人根本违约，一切不利后果由投标人负责。采购人有权立即单方解除合同，投标人应向采购人支付合同总预算额度 30% 的违约金。若该违约金不足以弥补采购人因此遭受的全部损失 (包括但不限于重新采购服务的差价损失、对第三方承担的违约责任等)，采购人有权要求投标人赔偿超出违约金部分的损失。</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★9、本项目实施过程中，凡因投标</w:t>
      </w:r>
      <w:r>
        <w:rPr>
          <w:rFonts w:hint="eastAsia" w:ascii="宋体" w:hAnsi="宋体" w:cs="宋体"/>
          <w:bCs/>
          <w:color w:val="000000" w:themeColor="text1"/>
          <w:szCs w:val="21"/>
          <w14:textFill>
            <w14:solidFill>
              <w14:schemeClr w14:val="tx1"/>
            </w14:solidFill>
          </w14:textFill>
        </w:rPr>
        <w:t xml:space="preserve">人原因（包括但不限于辅助工作质量缺陷、报告虚假、违章操作、安全事故、未能按时交付报告等）给采购人或第三方造成损失的，投标人应承担全部赔偿责任，包括但不限于采购人的直接损失、间接损失（该等间接损失应为在合同订立时投标人可预见的、因投标人违约必然造成的损失）以及采购人为处理此事由所支付的律师费、诉讼费、保全费、鉴定费等全部费用。采购人有权从应付投标人的服务费中扣除等额赔偿款及合同约定的违约金。若采购人因此被第三方追责或产生连带赔偿责任，采购人先行支付后有权向投标人全额追偿，追偿范围包含采购人为此支出的所有成本。</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10、</w:t>
      </w:r>
      <w:r>
        <w:rPr>
          <w:rFonts w:ascii="宋体" w:hAnsi="宋体" w:cs="宋体"/>
          <w:bCs/>
          <w:color w:val="000000" w:themeColor="text1"/>
          <w:szCs w:val="21"/>
          <w14:textFill>
            <w14:solidFill>
              <w14:schemeClr w14:val="tx1"/>
            </w14:solidFill>
          </w14:textFill>
        </w:rPr>
        <w:t xml:space="preserve">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11、</w:t>
      </w:r>
      <w:r>
        <w:rPr>
          <w:rFonts w:ascii="宋体" w:hAnsi="宋体" w:cs="宋体"/>
          <w:bCs/>
          <w:color w:val="000000" w:themeColor="text1"/>
          <w:szCs w:val="21"/>
          <w14:textFill>
            <w14:solidFill>
              <w14:schemeClr w14:val="tx1"/>
            </w14:solidFill>
          </w14:textFill>
        </w:rPr>
        <w:t xml:space="preserve">严格执行台帐制度，保证试验检测各个环节都有台帐记录，做到所有试验检测数据都可追溯。</w:t>
      </w:r>
      <w:r/>
    </w:p>
    <w:p>
      <w:pPr>
        <w:ind w:firstLine="236"/>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w:t>
      </w:r>
      <w:r>
        <w:rPr>
          <w:rFonts w:hint="eastAsia" w:ascii="宋体" w:hAnsi="宋体" w:cs="宋体"/>
          <w:b/>
          <w:color w:val="000000" w:themeColor="text1"/>
          <w:szCs w:val="21"/>
          <w14:textFill>
            <w14:solidFill>
              <w14:schemeClr w14:val="tx1"/>
            </w14:solidFill>
          </w14:textFill>
        </w:rPr>
        <w:t xml:space="preserve">服务技术要求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★1、内检测实施辅助工作包括</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内检测转运、现场内检测实施吊装发球、现场跟球、定标盒敷设回收等，按照辅助服务方案得要求敷设和回收内检测定标盒，提供工程车辆协助江苏省特检院进行设备转运、清管、内检测器投运工作，并在收发球过程中提供人员和车辆进行辅助跟球。</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2、管线防腐层不开挖检测辅助内容包括:</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（1）管线地理信息采集：包括管道位置，深度，走向，管线图绘制，测试桩位置坐标测量等。管道位置、深度、走向应根据PCM+或DM等专用钢质埋地管道防腐层检测系统的检测结果</w:t>
      </w:r>
      <w:r>
        <w:rPr>
          <w:rFonts w:hint="eastAsia" w:ascii="宋体" w:hAnsi="宋体" w:cs="宋体"/>
          <w:color w:val="000000" w:themeColor="text1"/>
          <w:szCs w:val="21"/>
          <w14:textFill>
            <w14:solidFill>
              <w14:schemeClr w14:val="tx1"/>
            </w14:solidFill>
          </w14:textFill>
        </w:rPr>
        <w:t xml:space="preserve">，进行管道地理位置描述，含工业区、村庄、医院、学校、铁路、公路、河流、山体等，穿越和跨越描述，用手机或相机拍照，其坐标采用GPS记录仪格式。测试桩位置，描述周围环境，并采用GPS记录仪格式记录，所有管道和测试桩的GPS数据采用符合本项目实施要求的专业地图软件进行绘制成线型图。辅助工作完成当日用EXCEL软件格式输入电脑，进行电子存档，现场手写的原始数据记录于第二天移交给采购人项目负责人。拍照的相片应用中文名称标识一一对应，每天应用EXCEL软件统计穿越和跨越数量，数据含GPS坐标、管道与周围环境的相对位置。</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管线建（构）筑物占压统计及调查：管线各5米范围内住人的建筑物，堆货的构筑物，管道上方的占压物数量统计，位置标记，并进行拍照图示。利用标尺测量占压物与管道的相对距离，距离单位为米，采用GPS坐标标识占压起止点，用手机或相机拍照，并描述占压物的形式、周边地理信息以及与周边环境的相对位置，每天应用EXCEL软件统计占压情况。</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管线深根植物统计及调查：管道两侧5米范围内，对管道防腐层和本体有影响的深根植物数量，密度，位置的统计和测绘。利用GPS记录深根植物的占压长度进行起止点定位，描述植物种类、植物大小、植物密度、周边的地理信息、和周边环境的相对位置，必要时拍照记录，每天应用EXCEL软件统计深根植物情况。</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管线防腐层不开挖检测辅助工作，主要包括看守发射机、记录电流值数据、GPS打点、疑似破损点打木桩、问题点拍照等。辅助检测防腐层不开挖状况时，在取电流值的位置、疑似破损点的位置或其他问题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3、密间距管地电位法测试辅助工作包括：</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负责搬运仪器和数据读取，确定管道位置，在通电电位和断电电位异常的地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4、杂散电流普查测试辅助工作包括：</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安放硫酸铜参比电极和读取数据，GPS记录，同时记录周边永久性标志、参照物等；连续测试时，看守设备等；方向性测试时，安放铜硫酸铜参比电极和地针，确定杂散电流方向，记录周围标志性参照物。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5、管地电位梯度和杂散电流方向性测试辅助工作包括：</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阴极保护站阴保系统检测辅助工作，外加电流阴极保护恒电位仪检查时，需要配合升电位和降电位测试的辅助；牺牲阳极阴极保护一般都埋设阳极地床，辅助工作含配合我院检测人员布线、安装地极、测量和收线等。在阴极保护测试桩埋设和取出金属试片，埋设深度30cm以上，并协助检测人员进行通断电位的测量。</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711口径内检测器设备需适用于目标管道的介质环境，耐压等级需高于管道最高运行压力。其采样频率、轴向/环向分辨率必须达到现行国家或行业标准，确保能够精准识别管壁金属损失、变形及特征点。合同签订后，成交供应商须提供检测器牵拉试验报告等性能测试资料，现场标定测试正常。服务人员需熟练操作检测器，并能解决现场遇见的突发问题。</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★7、273、406.4口径内检测用漏磁探头、几何探头、皮碗、钢刷提供，按照现场需求提供泡沫清管器、测径板、钢刷、皮碗等耗材。</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土方开挖，包括探坑人工开挖和地貌恢复。应编制开挖的技术施工方案，采用人工方式开挖，不得损坏管道防腐层，探坑长度的确定原则是露出管体（包括破损点）大于等于2米；探坑深度的确定原则是挖到管体下方悬空0.3米以上，必要时需要打桩排水，使管道具备检测条件；探坑宽度和边坡等几何尺寸，及安全措施应符合GB/T50369-2006《油气长输管道工程施工及验收规范》。地貌恢复要求：（1）填土前要清除坑底的杂物、垃圾；（2）原土回填；（3）管道部位应回填细土，严禁有块石与管道接触，必要时铺设警示带；（4）回</w:t>
      </w:r>
      <w:r>
        <w:rPr>
          <w:rFonts w:hint="eastAsia" w:ascii="宋体" w:hAnsi="宋体" w:cs="宋体"/>
          <w:color w:val="000000" w:themeColor="text1"/>
          <w:szCs w:val="21"/>
          <w14:textFill>
            <w14:solidFill>
              <w14:schemeClr w14:val="tx1"/>
            </w14:solidFill>
          </w14:textFill>
        </w:rPr>
        <w:t xml:space="preserve">填土采用分层回填，分层厚度300㎜，每层采用人工夯实处理；（5）最后按照原来地貌恢复。服务过程中，敷设环境调查时，地电位梯度辅助检测，硫酸铜参比电极安放、收放线、GPS坐标记录等。服务过程中，土壤电阻率检测辅助工作，协助检测人员按照GB/T19285标准要求布置测试现场，用GPS坐标记录位置，并记录周围标志性的参考物。服务过程中，管道外防腐层拆除及恢复，为检查管道本体的剩余壁厚和腐蚀状况、检测管道本体的内部质量需要拆除外防腐层，检查和检测完成后，需要恢复防腐层状况，验收质量以符合管道使用方的具体要求为依据。</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服务过程中，防腐层粘结力检测和电火花检测辅助，辅助检测人员完成粘结力测试和电火花检测等。</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服务过程中，如遇开挖处有对接焊缝，应保证现场具备检测条件并对对接焊缝进行射线或超声埋藏缺陷检测，提供检测报告。</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★9、遵守长庆油田相应安全规程和要求，在辅助工作开展前，完成人员HSE培训，取得人员证件，协助办理各项作业票，协调开挖现场，办理开挖手续。</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10、其他服务技术要求：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★（1）应按辅助作业的相关技术规范进行作业，发现现场环境或技术手段不能满足采购人需求时，应及时告知采购人并协商调整作业方案；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（2）对于现场无法完成测绘及辅助作业的情况及时告知采购人，并按要求进行补充测量或调查；</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（3）投标人应确保现场作业全过程质量受控。本项目履行过程中形成的原始记录（含含坐标数据等）的质量合格率达到 100%（对不合格的应及时重测或重新采集数据）；</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（4）原则上测量结果需要在辅助工作完成后的 24 个小时内以纸质或电子版形式向采购人提交；</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（5）投标人应具备健全的测绘及辅助作业管理制度，作业方案、现场原始记录和数据处理成果应符合院内的相关规范与要求；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（6）严格执行台帐制度，保证现场测绘与辅助作业的各个环节都有台帐记录和原始记录，做到所有现场采集的数据都可追溯；</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严格执行档案管理制度。根据采购人的保密要求，投标人对测绘与辅助工作过程中形成的档案资料（包括但不限于原始电子数据、管线走向图及统计台账等），且应确保电子数据的清晰度、完整性及不可篡改性。保存期满后，投标人应优先将上述资料全部无偿移交采购人存档，确需销毁的，必须提前征得采购人书面同意，销毁过程需由采购人派员监销。若投标人存在丢失、篡改、擅自披露项目档案资料情形的，应向采购人支付对应服务项目费用 20% 的违约金，造成采购人或第三方损失的，投标人还应承担全部赔偿责任；</w:t>
      </w:r>
      <w:r/>
    </w:p>
    <w:p>
      <w:pPr>
        <w:ind w:firstLine="420"/>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★（8）工作完成后，投标人应将所有纸质资料进行数字化处理，连同原始电子数据汇总形成完整的电子文档包移交给采购人存档。此项费用应包含在投标报价中，采购人不再支付任何额外的费用。</w:t>
      </w:r>
      <w:r/>
    </w:p>
    <w:p>
      <w:pPr>
        <w:ind w:firstLine="48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★（三）质量安全要求：</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投标人根据采购人要求实施</w:t>
      </w:r>
      <w:r>
        <w:rPr>
          <w:rFonts w:hint="eastAsia" w:ascii="宋体" w:hAnsi="宋体" w:cs="宋体"/>
          <w:color w:val="000000" w:themeColor="text1"/>
          <w:szCs w:val="21"/>
          <w14:textFill>
            <w14:solidFill>
              <w14:schemeClr w14:val="tx1"/>
            </w14:solidFill>
          </w14:textFill>
        </w:rPr>
        <w:t xml:space="preserve">辅助服务工作</w:t>
      </w:r>
      <w:r>
        <w:rPr>
          <w:rFonts w:hint="eastAsia" w:ascii="宋体" w:hAnsi="宋体"/>
          <w:color w:val="000000" w:themeColor="text1"/>
          <w:szCs w:val="21"/>
          <w14:textFill>
            <w14:solidFill>
              <w14:schemeClr w14:val="tx1"/>
            </w14:solidFill>
          </w14:textFill>
        </w:rPr>
        <w:t xml:space="preserve">，必须严格按照质量体系要求和相关质量保证规范。必须符合国家的相关标准、特种设备安全技术规范、行业技术标准、项目服务方案及采购人项目负责人指定的技术要求以及被服务单位的各项管理规定：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1、建立质量管理机构，各责任人职责明确；</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2、质量管理体系运行规范，质量制度落实到位；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20"/>
        <w:spacing w:line="360" w:lineRule="auto"/>
        <w:tabs>
          <w:tab w:val="left" w:pos="478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4、仪器设备齐全，并在检定、校准有效期内使用；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5、建立安全环境管理及保障措施；</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6、日常工作能满足项目和采购人单位的辅助工作要求等；</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场地设施和环境(包括温度、湿度、光照度、清洁度等)满足体系要求；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投标人在参加本次招标活动前两年内及本项目合同履行期间，如经查实存在下列情形之一的，采购人有权立即单方解除合同，并向同级财政部门报告。由此给采购人造成的实际损失及违约责任的，由投标人承担全部责任和经济处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（1）被认定存在检测造假、出具虚假报告的；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（2）发生重大质量、安全事故，或存在重大质量、安全事故隐患的；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（3）因检测质量、安全和诚信原因被政府、行业列入黑名单的；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（4）被政府部门通报批评的；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（5）超资质范围检测的；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（6）使用未取得相应检测资格的人员从事无损检测工作的。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（四）人员要求：</w:t>
      </w:r>
      <w:r/>
    </w:p>
    <w:p>
      <w:pPr>
        <w:ind w:firstLine="420"/>
        <w:spacing w:line="360" w:lineRule="auto"/>
        <w:rPr>
          <w:rFonts w:hint="eastAsia" w:ascii="宋体" w:hAnsi="宋体"/>
          <w:strike/>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1、为保证项目的顺利实施，投标人需为本项目配备相应的全职服务人员，且管理机构设置合理，人员职责明确，人员的专业配备齐全。</w:t>
      </w:r>
      <w:r>
        <w:rPr>
          <w:rFonts w:ascii="宋体" w:hAnsi="宋体"/>
          <w:color w:val="000000" w:themeColor="text1"/>
          <w:szCs w:val="21"/>
          <w14:textFill>
            <w14:solidFill>
              <w14:schemeClr w14:val="tx1"/>
            </w14:solidFill>
          </w14:textFill>
        </w:rPr>
        <w:t xml:space="preserve">本项目现场工作人员配置不少于10人，每组5人，满足两组同时开工作业要求；另配置项目负责人、技术负责人、安全负责人各1名，并设置相应基础保障人员。</w:t>
      </w:r>
      <w:r>
        <w:rPr>
          <w:rFonts w:hint="eastAsia" w:ascii="宋体" w:hAnsi="宋体"/>
          <w:color w:val="000000" w:themeColor="text1"/>
          <w:szCs w:val="21"/>
          <w14:textFill>
            <w14:solidFill>
              <w14:schemeClr w14:val="tx1"/>
            </w14:solidFill>
          </w14:textFill>
        </w:rPr>
        <w:t xml:space="preserve">如开挖处发现对接焊缝，提供采用对应的埋藏缺陷检测方法的特种设备检测人员（RT或UT），所有人员均须坚决服从现场管理人员的要求。</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2、投标人为本项目配备</w:t>
      </w:r>
      <w:r>
        <w:rPr>
          <w:rFonts w:ascii="宋体" w:hAnsi="宋体"/>
          <w:color w:val="000000" w:themeColor="text1"/>
          <w:szCs w:val="21"/>
          <w14:textFill>
            <w14:solidFill>
              <w14:schemeClr w14:val="tx1"/>
            </w14:solidFill>
          </w14:textFill>
        </w:rPr>
        <w:t xml:space="preserve">的服务人员原则上在项目服务期间不得更换。如因特殊原因确需更换的，需</w:t>
      </w:r>
      <w:r>
        <w:rPr>
          <w:rFonts w:hint="eastAsia" w:ascii="宋体" w:hAnsi="宋体"/>
          <w:color w:val="000000" w:themeColor="text1"/>
          <w:szCs w:val="21"/>
          <w14:textFill>
            <w14:solidFill>
              <w14:schemeClr w14:val="tx1"/>
            </w14:solidFill>
          </w14:textFill>
        </w:rPr>
        <w:t xml:space="preserve">至少提前5个工作日</w:t>
      </w:r>
      <w:r>
        <w:rPr>
          <w:rFonts w:ascii="宋体" w:hAnsi="宋体"/>
          <w:color w:val="000000" w:themeColor="text1"/>
          <w:szCs w:val="21"/>
          <w14:textFill>
            <w14:solidFill>
              <w14:schemeClr w14:val="tx1"/>
            </w14:solidFill>
          </w14:textFill>
        </w:rPr>
        <w:t xml:space="preserve">提交相关的书面申请，说明原因且理由充分，且更换的人员在资格、技术及能力等各方面应不低于原项目服务人员</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在报经</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同意后</w:t>
      </w:r>
      <w:r>
        <w:rPr>
          <w:rFonts w:hint="eastAsia" w:ascii="宋体" w:hAnsi="宋体"/>
          <w:color w:val="000000" w:themeColor="text1"/>
          <w:szCs w:val="21"/>
          <w14:textFill>
            <w14:solidFill>
              <w14:schemeClr w14:val="tx1"/>
            </w14:solidFill>
          </w14:textFill>
        </w:rPr>
        <w:t xml:space="preserve">方可更换。</w:t>
      </w:r>
      <w:r>
        <w:rPr>
          <w:rFonts w:ascii="宋体" w:hAnsi="宋体"/>
          <w:color w:val="000000" w:themeColor="text1"/>
          <w:szCs w:val="21"/>
          <w14:textFill>
            <w14:solidFill>
              <w14:schemeClr w14:val="tx1"/>
            </w14:solidFill>
          </w14:textFill>
        </w:rPr>
        <w:t xml:space="preserve">未经</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同意擅自更换核心人员的，</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有权要求</w:t>
      </w:r>
      <w:r>
        <w:rPr>
          <w:rFonts w:hint="eastAsia" w:ascii="宋体" w:hAnsi="宋体"/>
          <w:color w:val="000000" w:themeColor="text1"/>
          <w:szCs w:val="21"/>
          <w14:textFill>
            <w14:solidFill>
              <w14:schemeClr w14:val="tx1"/>
            </w14:solidFill>
          </w14:textFill>
        </w:rPr>
        <w:t xml:space="preserve">投标人</w:t>
      </w:r>
      <w:r>
        <w:rPr>
          <w:rFonts w:ascii="宋体" w:hAnsi="宋体"/>
          <w:color w:val="000000" w:themeColor="text1"/>
          <w:szCs w:val="21"/>
          <w14:textFill>
            <w14:solidFill>
              <w14:schemeClr w14:val="tx1"/>
            </w14:solidFill>
          </w14:textFill>
        </w:rPr>
        <w:t xml:space="preserve">限期改正，</w:t>
      </w:r>
      <w:r>
        <w:rPr>
          <w:rFonts w:hint="eastAsia" w:ascii="宋体" w:hAnsi="宋体"/>
          <w:color w:val="000000" w:themeColor="text1"/>
          <w:szCs w:val="21"/>
          <w14:textFill>
            <w14:solidFill>
              <w14:schemeClr w14:val="tx1"/>
            </w14:solidFill>
          </w14:textFill>
        </w:rPr>
        <w:t xml:space="preserve">投标人</w:t>
      </w:r>
      <w:r>
        <w:rPr>
          <w:rFonts w:ascii="宋体" w:hAnsi="宋体"/>
          <w:color w:val="000000" w:themeColor="text1"/>
          <w:szCs w:val="21"/>
          <w14:textFill>
            <w14:solidFill>
              <w14:schemeClr w14:val="tx1"/>
            </w14:solidFill>
          </w14:textFill>
        </w:rPr>
        <w:t xml:space="preserve">拒不改正的，</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有权解除本合同。</w:t>
      </w:r>
      <w:r>
        <w:rPr>
          <w:rFonts w:hint="eastAsia" w:ascii="宋体" w:hAnsi="宋体"/>
          <w:color w:val="000000" w:themeColor="text1"/>
          <w:szCs w:val="21"/>
          <w14:textFill>
            <w14:solidFill>
              <w14:schemeClr w14:val="tx1"/>
            </w14:solidFill>
          </w14:textFill>
        </w:rPr>
        <w:t xml:space="preserve">若出现工作人员临时无法正常工作，投标人应</w:t>
      </w:r>
      <w:r>
        <w:rPr>
          <w:rFonts w:ascii="宋体" w:hAnsi="宋体"/>
          <w:color w:val="000000" w:themeColor="text1"/>
          <w:szCs w:val="21"/>
          <w14:textFill>
            <w14:solidFill>
              <w14:schemeClr w14:val="tx1"/>
            </w14:solidFill>
          </w14:textFill>
        </w:rPr>
        <w:t xml:space="preserve">在报经</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同意后</w:t>
      </w:r>
      <w:r>
        <w:rPr>
          <w:rFonts w:hint="eastAsia" w:ascii="宋体" w:hAnsi="宋体"/>
          <w:color w:val="000000" w:themeColor="text1"/>
          <w:szCs w:val="21"/>
          <w14:textFill>
            <w14:solidFill>
              <w14:schemeClr w14:val="tx1"/>
            </w14:solidFill>
          </w14:textFill>
        </w:rPr>
        <w:t xml:space="preserve">，在24小时之内派遣经采购人认可的替代人员。</w:t>
      </w:r>
      <w:r/>
    </w:p>
    <w:p>
      <w:pPr>
        <w:ind w:firstLine="48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在服务期内，投标人</w:t>
      </w:r>
      <w:r>
        <w:rPr>
          <w:rFonts w:hint="eastAsia" w:ascii="宋体" w:hAnsi="宋体"/>
          <w:color w:val="000000" w:themeColor="text1"/>
          <w:szCs w:val="21"/>
          <w14:textFill>
            <w14:solidFill>
              <w14:schemeClr w14:val="tx1"/>
            </w14:solidFill>
          </w14:textFill>
        </w:rPr>
        <w:t xml:space="preserve">需提供全天24小时工作响应（含夜间服务），</w:t>
      </w:r>
      <w:r>
        <w:rPr>
          <w:rFonts w:ascii="宋体" w:hAnsi="宋体"/>
          <w:color w:val="000000" w:themeColor="text1"/>
          <w:szCs w:val="21"/>
          <w14:textFill>
            <w14:solidFill>
              <w14:schemeClr w14:val="tx1"/>
            </w14:solidFill>
          </w14:textFill>
        </w:rPr>
        <w:t xml:space="preserve">投标人需具备支持多个不同地点同时开展</w:t>
      </w:r>
      <w:bookmarkStart w:id="162" w:name="OLE_LINK5"/>
      <w:r>
        <w:rPr>
          <w:rFonts w:hint="eastAsia" w:ascii="宋体" w:hAnsi="宋体"/>
          <w:color w:val="000000" w:themeColor="text1"/>
          <w:szCs w:val="21"/>
          <w14:textFill>
            <w14:solidFill>
              <w14:schemeClr w14:val="tx1"/>
            </w14:solidFill>
          </w14:textFill>
        </w:rPr>
        <w:t xml:space="preserve">辅助</w:t>
      </w:r>
      <w:bookmarkEnd w:id="162"/>
      <w:r>
        <w:rPr>
          <w:rFonts w:hint="eastAsia" w:ascii="宋体" w:hAnsi="宋体"/>
          <w:color w:val="000000" w:themeColor="text1"/>
          <w:szCs w:val="21"/>
          <w14:textFill>
            <w14:solidFill>
              <w14:schemeClr w14:val="tx1"/>
            </w14:solidFill>
          </w14:textFill>
        </w:rPr>
        <w:t xml:space="preserve">服务</w:t>
      </w:r>
      <w:r>
        <w:rPr>
          <w:rFonts w:ascii="宋体" w:hAnsi="宋体"/>
          <w:color w:val="000000" w:themeColor="text1"/>
          <w:szCs w:val="21"/>
          <w14:textFill>
            <w14:solidFill>
              <w14:schemeClr w14:val="tx1"/>
            </w14:solidFill>
          </w14:textFill>
        </w:rPr>
        <w:t xml:space="preserve">的能力，并根据每个</w:t>
      </w:r>
      <w:r>
        <w:rPr>
          <w:rFonts w:hint="eastAsia" w:ascii="宋体" w:hAnsi="宋体"/>
          <w:color w:val="000000" w:themeColor="text1"/>
          <w:szCs w:val="21"/>
          <w14:textFill>
            <w14:solidFill>
              <w14:schemeClr w14:val="tx1"/>
            </w14:solidFill>
          </w14:textFill>
        </w:rPr>
        <w:t xml:space="preserve">辅助服务</w:t>
      </w:r>
      <w:r>
        <w:rPr>
          <w:rFonts w:ascii="宋体" w:hAnsi="宋体"/>
          <w:color w:val="000000" w:themeColor="text1"/>
          <w:szCs w:val="21"/>
          <w14:textFill>
            <w14:solidFill>
              <w14:schemeClr w14:val="tx1"/>
            </w14:solidFill>
          </w14:textFill>
        </w:rPr>
        <w:t xml:space="preserve">任务调配分项负责人、技术人员、安全管理人员等</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投标人应组建专职常驻现场的服务团队。合同签订后，投标人必须向</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提交</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专职服务人员备案清单</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及配套证明材料</w:t>
      </w:r>
      <w:r>
        <w:rPr>
          <w:rFonts w:hint="eastAsia" w:ascii="宋体" w:hAnsi="宋体"/>
          <w:color w:val="000000" w:themeColor="text1"/>
          <w:szCs w:val="21"/>
          <w14:textFill>
            <w14:solidFill>
              <w14:schemeClr w14:val="tx1"/>
            </w14:solidFill>
          </w14:textFill>
        </w:rPr>
        <w:t xml:space="preserve">（包括</w:t>
      </w:r>
      <w:r>
        <w:rPr>
          <w:rFonts w:ascii="宋体" w:hAnsi="宋体"/>
          <w:color w:val="000000" w:themeColor="text1"/>
          <w:szCs w:val="21"/>
          <w14:textFill>
            <w14:solidFill>
              <w14:schemeClr w14:val="tx1"/>
            </w14:solidFill>
          </w14:textFill>
        </w:rPr>
        <w:t xml:space="preserve">人员花名册、身份证复印件、本单位社保</w:t>
      </w:r>
      <w:r>
        <w:rPr>
          <w:rFonts w:hint="eastAsia" w:ascii="宋体" w:hAnsi="宋体"/>
          <w:color w:val="000000" w:themeColor="text1"/>
          <w:szCs w:val="21"/>
          <w14:textFill>
            <w14:solidFill>
              <w14:schemeClr w14:val="tx1"/>
            </w14:solidFill>
          </w14:textFill>
        </w:rPr>
        <w:t xml:space="preserve">缴纳</w:t>
      </w:r>
      <w:r>
        <w:rPr>
          <w:rFonts w:ascii="宋体" w:hAnsi="宋体"/>
          <w:color w:val="000000" w:themeColor="text1"/>
          <w:szCs w:val="21"/>
          <w14:textFill>
            <w14:solidFill>
              <w14:schemeClr w14:val="tx1"/>
            </w14:solidFill>
          </w14:textFill>
        </w:rPr>
        <w:t xml:space="preserve">证明、岗位职责</w:t>
      </w:r>
      <w:r>
        <w:rPr>
          <w:rFonts w:hint="eastAsia" w:ascii="宋体" w:hAnsi="宋体"/>
          <w:color w:val="000000" w:themeColor="text1"/>
          <w:szCs w:val="21"/>
          <w14:textFill>
            <w14:solidFill>
              <w14:schemeClr w14:val="tx1"/>
            </w14:solidFill>
          </w14:textFill>
        </w:rPr>
        <w:t xml:space="preserve">、职业健康体检报告</w:t>
      </w:r>
      <w:r>
        <w:rPr>
          <w:rFonts w:ascii="宋体" w:hAnsi="宋体"/>
          <w:color w:val="000000" w:themeColor="text1"/>
          <w:szCs w:val="21"/>
          <w14:textFill>
            <w14:solidFill>
              <w14:schemeClr w14:val="tx1"/>
            </w14:solidFill>
          </w14:textFill>
        </w:rPr>
        <w:t xml:space="preserve">以及处于有效期内的各类资格证书复印件</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进行书面报备与审核。经</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审核确认后，相关人员方可进场开展工作</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5、在项目工作期间，投标人应对劳务服务输出人员保持承担相应责任和义务（包括但不限于薪酬、职业保险等），并应根据所适用的法律履行或执行对雇员的补偿和其他各类保险。本项目合同终止或解除后，投标人应立即向采购人返还全部保密资料，不得留存任何纸质副本或电子备份，确需留存备份的必须经采购人书面同意。经采购人同意留存的备份仅可用于本合同项下必要的整改工作，不得用于任何其他用途。</w:t>
      </w:r>
      <w:r/>
    </w:p>
    <w:p>
      <w:pPr>
        <w:ind w:firstLine="420"/>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（五）</w:t>
      </w:r>
      <w:bookmarkStart w:id="163" w:name="OLE_LINK12"/>
      <w:r>
        <w:rPr>
          <w:rFonts w:hint="eastAsia" w:ascii="宋体" w:hAnsi="宋体" w:cs="宋体"/>
          <w:b/>
          <w:bCs/>
          <w:color w:val="000000" w:themeColor="text1"/>
          <w:szCs w:val="21"/>
          <w14:textFill>
            <w14:solidFill>
              <w14:schemeClr w14:val="tx1"/>
            </w14:solidFill>
          </w14:textFill>
        </w:rPr>
        <w:t xml:space="preserve">考核要求：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会对投标人进行工作抽查，根据抽查结果，对投标人工作内容和工作量进行调整。如抽查复验时，发现投标人存在弄虚作假等严重问题，采购人有权立即单方解除合同。因工期延误等产生损失的，由投标人承担全部责任和经济处罚；</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业务范围中实际需要开展的外委服务项目，采购人将开具《外委工作委托单》。投标人必须按要求完成相应服务工作，接受采购人的任务完成情况考核。对未能及时完成的工作任务，或者所完成的工作未能达到服务要求的，经考核确认后，按比例减扣相应外委服务费，情节严重的，采购人有权解除合同。</w:t>
      </w:r>
      <w:bookmarkEnd w:id="163"/>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三、商务部分要求</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1、报价要求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★（1）本项目按单项项目进行报价，单项报价不得超过对应单价最高限价，项目总报价不得超过项目预算，投标人的报价超过最高限价的，作无效投标处理。</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（2）采购人将与投标人签订合同（附单项报价表），具体实施单个项目前再发《外委工作委托单》，确定具体服务项目内容。</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采购人应支付给投标人的服务费已经包含服务所需的一切费用，含：人工费、交通差旅费、现场车辆费、设备机具费、消耗材料费、保险费、税费、各类规费及外协费用等，采购人不再支付任何额外的费用；但不包括因登高、进入有毒介质或因壁厚而产生的系数费用。</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（4）在服务过程中，如发现有缺项、漏项，投标人应无条件、无偿补齐，所发生的一切费用，视为已包含在投标人响应时的投标报价之中，且并不因此而影响交付采购人服务的时间。</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2、交付要求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（1）投标人根据采购人提供的检测工作量、检测工期，拟派满足合同要求的人员赴现场开展检测工作。投标人应配备足够的人员和设备</w:t>
      </w:r>
      <w:r>
        <w:rPr>
          <w:rFonts w:hint="eastAsia"/>
          <w:color w:val="000000" w:themeColor="text1"/>
          <w:szCs w:val="21"/>
          <w14:textFill>
            <w14:solidFill>
              <w14:schemeClr w14:val="tx1"/>
            </w14:solidFill>
          </w14:textFill>
        </w:rPr>
        <w:t xml:space="preserve">，保证在约定的时间内完成检测工作。每迟延一天，按该迟延交付项目对应服务费用的5‰向采购人支付违约金，自投标人应完成检测工作之日起算，但采购人书面催告可视为对投标人违约事实的确认，违约金总金额不超过该迟延交付项目对应服务费用的20%。若因投标人迟延交付给采购人造成的损失超出前述违约金金额的，投标人还应赔偿超出部分的全部损失。采购人有权在支付费用时直接扣除。投标人逾期交付达3天，视为投标人拒绝交付、不能交付或不能完成合同，采购人有权解除合同，解除合同的通知自到达投标人时生效，解除合同造成的损失全部由投标人承担。</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3、验收要求：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（1）验收标准：采购文件及响应文件、双方签订的技术协议、国家的相关标准、行业技术标准、符合项目服务方案及采购人项目负责人指定的技术要求、符合被服务方的各项管理规定。</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（2）验收方式：所提供的服务符合标准或规范，经采购人项目负责人确认填写项目验收单。</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4、结算方式</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（1）根据实际的工作量（以采购人确认的</w:t>
      </w:r>
      <w:r>
        <w:rPr>
          <w:rFonts w:hint="eastAsia" w:ascii="宋体" w:hAnsi="宋体" w:cs="宋体"/>
          <w:color w:val="000000" w:themeColor="text1"/>
          <w:szCs w:val="21"/>
          <w14:textFill>
            <w14:solidFill>
              <w14:schemeClr w14:val="tx1"/>
            </w14:solidFill>
          </w14:textFill>
        </w:rPr>
        <w:t xml:space="preserve">《外委工作委托单》</w:t>
      </w:r>
      <w:r>
        <w:rPr>
          <w:rFonts w:hint="eastAsia"/>
          <w:color w:val="000000" w:themeColor="text1"/>
          <w:szCs w:val="21"/>
          <w14:textFill>
            <w14:solidFill>
              <w14:schemeClr w14:val="tx1"/>
            </w14:solidFill>
          </w14:textFill>
        </w:rPr>
        <w:t xml:space="preserve">为准）核算，最终服务费=中标单项单价×经采购人核实过的实际数量。</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（2）本项目服务费按实结算，以实际发生为准，每个服务项目结束并验收合格后，采购人根据双方签订的合同并收到投标人提供的发票后，向投标人支付服务费。</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在服务期内，投标人根据完成工作量进行结算时，最终结算总金额不超过服务预算额度，超出预算金额部分采购人不予支付，投标人不得就超出部分向采购人主张或提出异议，否则采购人有权向投标人主张服务总费用5%的违约金。</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（4）对政府有政策性减免要求的服务单位，投标人计费金额应按政府要求减免比例实行减免。投标人应充分考虑所有可能影响到报价的价格及政策等风险因素，一旦中标，服务单价将包定，一律不予调整。</w:t>
      </w:r>
      <w:r/>
    </w:p>
    <w:p>
      <w:pPr>
        <w:ind w:firstLine="420"/>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（5）采购人有权在应付</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的任何款项中直接扣除</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应承担的违约金、赔偿金及其他根据合同约定应由</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支付的款项。</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w:t>
      </w:r>
      <w:r>
        <w:rPr>
          <w:color w:val="000000" w:themeColor="text1"/>
          <w:szCs w:val="21"/>
          <w14:textFill>
            <w14:solidFill>
              <w14:schemeClr w14:val="tx1"/>
            </w14:solidFill>
          </w14:textFill>
        </w:rPr>
        <w:t xml:space="preserve">因供应商自身原因导致的针对同一检测点的重复检测工作，不可重复计费。</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四、其他要求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2、投标人需在商务偏离表中逐条对商务要求进行响应（特别要求的按要求进行响应），实质性条款不接受负偏离。</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3、因服务人员操作不当而造成采购人经济损失的，投标人要负责赔偿造成的全部经济损失，采购人保留对投标人提交成果质量的无限期追责的权利。</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★4、廉政要求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（1）投标人及其相关工作人员应遵守法律法规和国家准则；恪守严格依法、正直坦诚、客观公正、勤勉尽责、保守秘密的基本职业道德，保持应有的独立性。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（2）投标人及其相关工作人员与项目有利害关系的，应事先声明，实行回避。</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（3）投标人应独立、客观、公正地完成受托项目的检测辅助服务工作，并对工作的真实性、准确性、合法性负责，不得将受托项目转包或分包。</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（4）采购人对受托投标人违反规定发生违纪行为，检测结果出现严重差错或故意提供不实、虚假结果的情形，依法追究其法律责任。</w:t>
      </w:r>
      <w:bookmarkEnd w:id="161"/>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5、其他</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（1）制定实施方案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应根据招标文件要求及本项目特点，制订项目实施方案，方案应至少包含工作范围、服务边界、质量保证体系、现场协调、交叉作业管理及备案保密等内容。方案应完整全面、具体详实、科学合理，并且具有针对性和可行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（2）制定特点、难点、重点分析方案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应根据招标文件要求及本项目特点，制订项目特点、难点、重点分析方案，方案应至少包含夜间作业保障、风险防控、安全管控、应对恶劣天气以及长庆油田涉及第二输油处、采气六厂、采油二厂、采油四厂、采油十二场风险隐患的分析等内容。方案应完整全面、具体详实、科学合理，并且具有针对性和可行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（3）制定人员组织管理和安全保障方案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应根据招标文件要求及本项目特点，制订人员组织管理和安全保障方案，方案应至少包含团队人员的安排管理、岗位培训、驻场保障服务等内容。方案应完整全面、具体详实、科学合理，并且具有针对性和可行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（4）制定质量控制、进度计划措施方案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应根据招标文件要求及本项目特点，制订质量控制、进度计划措施方案，方案应至少包含质量控制措施、进度计划保障、协同管理措施、响应时效等内容。方案应完整全面、具体详实、科学合理，并且具有针对性和可行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（5）制定</w:t>
      </w:r>
      <w:r>
        <w:rPr>
          <w:color w:val="000000" w:themeColor="text1"/>
          <w:szCs w:val="21"/>
          <w14:textFill>
            <w14:solidFill>
              <w14:schemeClr w14:val="tx1"/>
            </w14:solidFill>
          </w14:textFill>
        </w:rPr>
        <w:t xml:space="preserve">设备和工具配备方案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投标人应根据招标文件要求及本项目特点，制订优化方案，方案应至少包含辅助跟球和开挖等内容。方案应完整全面、具体详实、科学合理，并且具有针对性和可行性。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（6）投标人应配置能满足项目技术服务所需的设备和工具，如：防腐层检测设备、</w:t>
      </w:r>
      <w:r>
        <w:rPr>
          <w:color w:val="000000" w:themeColor="text1"/>
          <w:szCs w:val="21"/>
          <w14:textFill>
            <w14:solidFill>
              <w14:schemeClr w14:val="tx1"/>
            </w14:solidFill>
          </w14:textFill>
        </w:rPr>
        <w:t xml:space="preserve">GPS</w:t>
      </w:r>
      <w:r>
        <w:rPr>
          <w:rFonts w:hint="eastAsia"/>
          <w:color w:val="000000" w:themeColor="text1"/>
          <w:szCs w:val="21"/>
          <w14:textFill>
            <w14:solidFill>
              <w14:schemeClr w14:val="tx1"/>
            </w14:solidFill>
          </w14:textFill>
        </w:rPr>
        <w:t xml:space="preserve">记录仪、音频检漏仪、电火花检测仪、土壤电阻率测试仪、可记录式万用表、杂散电流测试仪、接地电阻测试仪等。设备性能应稳定、精度达标，能够应对多作业面同时开工的需求，以确保检测辅助工作的顺利开展。</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（7）投标人为本项目服务应配备相应的全职服务人员，且管理机构设置合理，人员职责明确，人员的专业配备齐全。</w:t>
      </w:r>
      <w:r>
        <w:rPr>
          <w:rFonts w:ascii="宋体" w:hAnsi="宋体"/>
          <w:color w:val="000000" w:themeColor="text1"/>
          <w:szCs w:val="21"/>
          <w14:textFill>
            <w14:solidFill>
              <w14:schemeClr w14:val="tx1"/>
            </w14:solidFill>
          </w14:textFill>
        </w:rPr>
        <w:t xml:space="preserve">本项目现场派驻工作人员配置不得少于 10 人，按每组 5 人进行编组，保障两组可同步开展作业；除此之外，须配置项目负责人 1 名、技术负责人 1 名、安全负责人 1 名，同时配套设置基础保障人员。</w:t>
      </w:r>
      <w:r>
        <w:rPr>
          <w:rFonts w:hint="eastAsia"/>
          <w:color w:val="000000" w:themeColor="text1"/>
          <w:szCs w:val="21"/>
          <w14:textFill>
            <w14:solidFill>
              <w14:schemeClr w14:val="tx1"/>
            </w14:solidFill>
          </w14:textFill>
        </w:rPr>
        <w:t xml:space="preserve">所有人员均须坚决服从现场管理人员的要求；在此基础上专职人员还需具备无损检测人员资质，以确保检测工作的顺利、安全的开展。</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（8）投标人应具备处理类似本项目的成熟管理经验及技术储备，投标人自2023年1月1日（以合同签订为准）以来，承担过的类似检测服务业绩的优先。</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（9）投标人为本项目应配置车辆，可满足服务工作要求，以确保可及时响应采购人需求。</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备注：以上加★条款逐条提供承诺书原件加盖投标人电子公章，承诺函格式详见第六章附件。</w:t>
      </w:r>
      <w:r/>
    </w:p>
    <w:p>
      <w:pPr>
        <w:pStyle w:val="1096"/>
        <w:rPr>
          <w:color w:val="000000" w:themeColor="text1"/>
          <w:lang w:bidi="ar"/>
          <w14:textFill>
            <w14:solidFill>
              <w14:schemeClr w14:val="tx1"/>
            </w14:solidFill>
          </w14:textFill>
        </w:rPr>
      </w:pPr>
      <w:r>
        <w:rPr>
          <w:color w:val="000000" w:themeColor="text1"/>
          <w:lang w:bidi="ar"/>
          <w14:textFill>
            <w14:solidFill>
              <w14:schemeClr w14:val="tx1"/>
            </w14:solidFill>
          </w14:textFill>
        </w:rPr>
      </w:r>
      <w:r/>
    </w:p>
    <w:p>
      <w:pPr>
        <w:pStyle w:val="1096"/>
        <w:rPr>
          <w:color w:val="000000" w:themeColor="text1"/>
          <w:lang w:bidi="ar"/>
          <w14:textFill>
            <w14:solidFill>
              <w14:schemeClr w14:val="tx1"/>
            </w14:solidFill>
          </w14:textFill>
        </w:rPr>
      </w:pPr>
      <w:r>
        <w:rPr>
          <w:color w:val="000000" w:themeColor="text1"/>
          <w:lang w:bidi="ar"/>
          <w14:textFill>
            <w14:solidFill>
              <w14:schemeClr w14:val="tx1"/>
            </w14:solidFill>
          </w14:textFill>
        </w:rPr>
      </w:r>
      <w:r/>
    </w:p>
    <w:p>
      <w:pPr>
        <w:pStyle w:val="1301"/>
        <w:ind w:left="0" w:firstLine="0"/>
        <w:spacing w:line="360" w:lineRule="auto"/>
        <w:rPr>
          <w:rFonts w:hint="eastAsia"/>
          <w:b/>
          <w:bCs/>
          <w:color w:val="000000" w:themeColor="text1"/>
          <w:szCs w:val="21"/>
          <w:lang w:val="en-US"/>
          <w14:textFill>
            <w14:solidFill>
              <w14:schemeClr w14:val="tx1"/>
            </w14:solidFill>
          </w14:textFill>
        </w:rPr>
      </w:pPr>
      <w:r>
        <w:rPr>
          <w:rFonts w:hint="eastAsia"/>
          <w:b/>
          <w:bCs/>
          <w:color w:val="000000" w:themeColor="text1"/>
          <w:szCs w:val="21"/>
          <w:lang w:val="en-US"/>
          <w14:textFill>
            <w14:solidFill>
              <w14:schemeClr w14:val="tx1"/>
            </w14:solidFill>
          </w14:textFill>
        </w:rPr>
      </w:r>
      <w:r/>
    </w:p>
    <w:p>
      <w:pPr>
        <w:pStyle w:val="1301"/>
        <w:ind w:left="0" w:firstLine="0"/>
        <w:spacing w:line="360" w:lineRule="auto"/>
        <w:rPr>
          <w:rFonts w:hint="eastAsia"/>
          <w:b/>
          <w:bCs/>
          <w:color w:val="000000" w:themeColor="text1"/>
          <w:szCs w:val="21"/>
          <w:lang w:val="en-US"/>
          <w14:textFill>
            <w14:solidFill>
              <w14:schemeClr w14:val="tx1"/>
            </w14:solidFill>
          </w14:textFill>
        </w:rPr>
      </w:pPr>
      <w:r>
        <w:rPr>
          <w:rFonts w:hint="eastAsia"/>
          <w:b/>
          <w:bCs/>
          <w:color w:val="000000" w:themeColor="text1"/>
          <w:szCs w:val="21"/>
          <w:lang w:val="en-US"/>
          <w14:textFill>
            <w14:solidFill>
              <w14:schemeClr w14:val="tx1"/>
            </w14:solidFill>
          </w14:textFill>
        </w:rPr>
      </w:r>
      <w:r/>
    </w:p>
    <w:p>
      <w:pPr>
        <w:pStyle w:val="1301"/>
        <w:ind w:left="0" w:firstLine="0"/>
        <w:spacing w:line="360" w:lineRule="auto"/>
        <w:rPr>
          <w:rFonts w:hint="eastAsia"/>
          <w:b/>
          <w:bCs/>
          <w:color w:val="000000" w:themeColor="text1"/>
          <w:szCs w:val="21"/>
          <w:lang w:val="en-US"/>
          <w14:textFill>
            <w14:solidFill>
              <w14:schemeClr w14:val="tx1"/>
            </w14:solidFill>
          </w14:textFill>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b/>
          <w:bCs/>
          <w:color w:val="000000" w:themeColor="text1"/>
          <w:szCs w:val="21"/>
          <w:lang w:val="en-US"/>
          <w14:textFill>
            <w14:solidFill>
              <w14:schemeClr w14:val="tx1"/>
            </w14:solidFill>
          </w14:textFill>
        </w:rPr>
      </w:r>
      <w:r/>
    </w:p>
    <w:p>
      <w:pPr>
        <w:pStyle w:val="1301"/>
        <w:ind w:left="0" w:firstLine="0"/>
        <w:spacing w:line="360" w:lineRule="auto"/>
        <w:rPr>
          <w:rFonts w:hint="eastAsia"/>
          <w:b/>
          <w:bCs/>
          <w:color w:val="000000" w:themeColor="text1"/>
          <w:szCs w:val="21"/>
          <w:lang w:val="en-US"/>
          <w14:textFill>
            <w14:solidFill>
              <w14:schemeClr w14:val="tx1"/>
            </w14:solidFill>
          </w14:textFill>
        </w:rPr>
      </w:pPr>
      <w:r>
        <w:rPr>
          <w:rFonts w:hint="eastAsia"/>
          <w:b/>
          <w:bCs/>
          <w:color w:val="000000" w:themeColor="text1"/>
          <w:szCs w:val="21"/>
          <w:lang w:val="en-US"/>
          <w14:textFill>
            <w14:solidFill>
              <w14:schemeClr w14:val="tx1"/>
            </w14:solidFill>
          </w14:textFill>
        </w:rPr>
      </w:r>
      <w:r/>
    </w:p>
    <w:p>
      <w:pPr>
        <w:pStyle w:val="1039"/>
        <w:rPr>
          <w:b/>
          <w:bCs/>
          <w:color w:val="000000" w:themeColor="text1"/>
          <w:sz w:val="32"/>
          <w:szCs w:val="21"/>
          <w14:textFill>
            <w14:solidFill>
              <w14:schemeClr w14:val="tx1"/>
            </w14:solidFill>
          </w14:textFill>
        </w:rPr>
      </w:pPr>
      <w:r/>
      <w:bookmarkStart w:id="164" w:name="_Toc241501772"/>
      <w:r/>
      <w:bookmarkStart w:id="165" w:name="_Toc25604"/>
      <w:r>
        <w:rPr>
          <w:rFonts w:hint="eastAsia"/>
          <w:b/>
          <w:bCs/>
          <w:color w:val="000000" w:themeColor="text1"/>
          <w:sz w:val="32"/>
          <w:szCs w:val="21"/>
          <w14:textFill>
            <w14:solidFill>
              <w14:schemeClr w14:val="tx1"/>
            </w14:solidFill>
          </w14:textFill>
        </w:rPr>
        <w:t xml:space="preserve">第五章 拟签订的合同文本</w:t>
      </w:r>
      <w:bookmarkEnd w:id="164"/>
      <w:r/>
      <w:bookmarkEnd w:id="165"/>
      <w:r/>
      <w:r/>
    </w:p>
    <w:p>
      <w:pPr>
        <w:jc w:val="center"/>
        <w:spacing w:line="440" w:lineRule="exact"/>
        <w:rPr>
          <w:rFonts w:hint="eastAsia" w:ascii="宋体" w:hAnsi="宋体" w:cs="宋体"/>
          <w:b/>
          <w:color w:val="000000" w:themeColor="text1"/>
          <w:sz w:val="30"/>
          <w:szCs w:val="30"/>
          <w14:textFill>
            <w14:solidFill>
              <w14:schemeClr w14:val="tx1"/>
            </w14:solidFill>
          </w14:textFill>
        </w:rPr>
      </w:pPr>
      <w:r/>
      <w:bookmarkStart w:id="166" w:name="_Toc4445"/>
      <w:r/>
      <w:bookmarkStart w:id="167" w:name="_Toc15343"/>
      <w:r/>
      <w:bookmarkStart w:id="168" w:name="_Toc27786"/>
      <w:r/>
      <w:r/>
    </w:p>
    <w:p>
      <w:pPr>
        <w:jc w:val="center"/>
        <w:spacing w:line="44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jc w:val="right"/>
        <w:spacing w:line="264" w:lineRule="auto"/>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江苏省特检院直属分院长庆油田管道内检测辅助工作外委</w:t>
      </w:r>
      <w:r/>
    </w:p>
    <w:p>
      <w:pPr>
        <w:jc w:val="center"/>
        <w:spacing w:line="360" w:lineRule="auto"/>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jc w:val="center"/>
        <w:spacing w:line="360" w:lineRule="auto"/>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 xml:space="preserve">服务合同</w:t>
      </w:r>
      <w:r/>
    </w:p>
    <w:p>
      <w:pPr>
        <w:jc w:val="center"/>
        <w:spacing w:line="360" w:lineRule="auto"/>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1440"/>
        <w:jc w:val="left"/>
        <w:spacing w:line="360" w:lineRule="auto"/>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1440"/>
        <w:jc w:val="left"/>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r>
      <w:r/>
    </w:p>
    <w:p>
      <w:pPr>
        <w:ind w:left="1440"/>
        <w:jc w:val="left"/>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t xml:space="preserve">合同编号 ：</w:t>
      </w:r>
      <w:r/>
    </w:p>
    <w:p>
      <w:pPr>
        <w:ind w:left="1440"/>
        <w:jc w:val="left"/>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r>
      <w:r/>
    </w:p>
    <w:p>
      <w:pPr>
        <w:ind w:left="1235" w:firstLine="156"/>
        <w:jc w:val="left"/>
        <w:spacing w:line="360" w:lineRule="auto"/>
        <w:widowControl/>
        <w:rPr>
          <w:rFonts w:hint="eastAsia" w:ascii="宋体" w:hAnsi="宋体"/>
          <w:b/>
          <w:color w:val="000000" w:themeColor="text1"/>
          <w:sz w:val="31"/>
          <w:u w:val="single"/>
          <w14:textFill>
            <w14:solidFill>
              <w14:schemeClr w14:val="tx1"/>
            </w14:solidFill>
          </w14:textFill>
        </w:rPr>
      </w:pPr>
      <w:r>
        <w:rPr>
          <w:rFonts w:hint="eastAsia" w:ascii="宋体" w:hAnsi="宋体"/>
          <w:b/>
          <w:color w:val="000000" w:themeColor="text1"/>
          <w:sz w:val="31"/>
          <w14:textFill>
            <w14:solidFill>
              <w14:schemeClr w14:val="tx1"/>
            </w14:solidFill>
          </w14:textFill>
        </w:rPr>
        <w:t xml:space="preserve">项目名称 :</w:t>
      </w:r>
      <w:r>
        <w:rPr>
          <w:rFonts w:hint="eastAsia"/>
          <w:color w:val="000000" w:themeColor="text1"/>
          <w14:textFill>
            <w14:solidFill>
              <w14:schemeClr w14:val="tx1"/>
            </w14:solidFill>
          </w14:textFill>
        </w:rPr>
        <w:t xml:space="preserve"> </w:t>
      </w:r>
      <w:r>
        <w:rPr>
          <w:rFonts w:hint="eastAsia" w:ascii="宋体" w:hAnsi="宋体"/>
          <w:b/>
          <w:color w:val="000000" w:themeColor="text1"/>
          <w:sz w:val="31"/>
          <w:u w:val="single"/>
          <w14:textFill>
            <w14:solidFill>
              <w14:schemeClr w14:val="tx1"/>
            </w14:solidFill>
          </w14:textFill>
        </w:rPr>
        <w:t xml:space="preserve">江苏省特检院直属分院长庆油田管道内检测辅助工作外委</w:t>
      </w:r>
      <w:r/>
    </w:p>
    <w:p>
      <w:pPr>
        <w:ind w:left="1440"/>
        <w:jc w:val="left"/>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t xml:space="preserve">委托方(甲方)：</w:t>
      </w:r>
      <w:r>
        <w:rPr>
          <w:rFonts w:hint="eastAsia" w:ascii="宋体" w:hAnsi="宋体"/>
          <w:b/>
          <w:color w:val="000000" w:themeColor="text1"/>
          <w:sz w:val="31"/>
          <w:u w:val="single"/>
          <w14:textFill>
            <w14:solidFill>
              <w14:schemeClr w14:val="tx1"/>
            </w14:solidFill>
          </w14:textFill>
        </w:rPr>
        <w:t xml:space="preserve">江苏省特种设备安全监督检验研究院</w:t>
      </w:r>
      <w:r>
        <w:rPr>
          <w:rFonts w:hint="eastAsia" w:ascii="宋体" w:hAnsi="宋体"/>
          <w:b/>
          <w:color w:val="000000" w:themeColor="text1"/>
          <w:sz w:val="31"/>
          <w14:textFill>
            <w14:solidFill>
              <w14:schemeClr w14:val="tx1"/>
            </w14:solidFill>
          </w14:textFill>
        </w:rPr>
        <w:t xml:space="preserve"> </w:t>
      </w:r>
      <w:r/>
    </w:p>
    <w:p>
      <w:pPr>
        <w:ind w:left="1440"/>
        <w:jc w:val="left"/>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r>
      <w:r/>
    </w:p>
    <w:p>
      <w:pPr>
        <w:ind w:left="1440"/>
        <w:jc w:val="left"/>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sz w:val="31"/>
          <w14:textFill>
            <w14:solidFill>
              <w14:schemeClr w14:val="tx1"/>
            </w14:solidFill>
          </w14:textFill>
        </w:rPr>
        <w:t xml:space="preserve">服务方(乙方)：  </w:t>
      </w:r>
      <w:r/>
    </w:p>
    <w:p>
      <w:pPr>
        <w:ind w:left="1440"/>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          </w:t>
      </w:r>
      <w:r/>
    </w:p>
    <w:p>
      <w:pP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jc w:val="center"/>
        <w:spacing w:line="360" w:lineRule="auto"/>
        <w:rPr>
          <w:rFonts w:hint="eastAsia" w:ascii="宋体" w:hAnsi="宋体"/>
          <w:b/>
          <w:color w:val="000000" w:themeColor="text1"/>
          <w:sz w:val="31"/>
          <w14:textFill>
            <w14:solidFill>
              <w14:schemeClr w14:val="tx1"/>
            </w14:solidFill>
          </w14:textFill>
        </w:rPr>
      </w:pPr>
      <w:r>
        <w:rPr>
          <w:rFonts w:hint="eastAsia" w:ascii="宋体" w:hAnsi="宋体"/>
          <w:b/>
          <w:color w:val="000000" w:themeColor="text1"/>
          <w:sz w:val="31"/>
          <w14:textFill>
            <w14:solidFill>
              <w14:schemeClr w14:val="tx1"/>
            </w14:solidFill>
          </w14:textFill>
        </w:rPr>
        <w:t xml:space="preserve">签订日期:</w:t>
      </w:r>
      <w:r>
        <w:rPr>
          <w:rFonts w:hint="eastAsia" w:ascii="宋体" w:hAnsi="宋体"/>
          <w:b/>
          <w:color w:val="000000" w:themeColor="text1"/>
          <w14:textFill>
            <w14:solidFill>
              <w14:schemeClr w14:val="tx1"/>
            </w14:solidFill>
          </w14:textFill>
        </w:rPr>
        <w:t xml:space="preserve">     </w:t>
      </w:r>
      <w:r>
        <w:rPr>
          <w:rFonts w:hint="eastAsia" w:ascii="宋体" w:hAnsi="宋体"/>
          <w:b/>
          <w:color w:val="000000" w:themeColor="text1"/>
          <w:sz w:val="31"/>
          <w:u w:val="single"/>
          <w14:textFill>
            <w14:solidFill>
              <w14:schemeClr w14:val="tx1"/>
            </w14:solidFill>
          </w14:textFill>
        </w:rPr>
        <w:t xml:space="preserve">       </w:t>
      </w:r>
      <w:r>
        <w:rPr>
          <w:rFonts w:hint="eastAsia" w:ascii="宋体" w:hAnsi="宋体"/>
          <w:b/>
          <w:color w:val="000000" w:themeColor="text1"/>
          <w:sz w:val="31"/>
          <w14:textFill>
            <w14:solidFill>
              <w14:schemeClr w14:val="tx1"/>
            </w14:solidFill>
          </w14:textFill>
        </w:rPr>
        <w:t xml:space="preserve"> 年</w:t>
      </w:r>
      <w:r>
        <w:rPr>
          <w:rFonts w:hint="eastAsia" w:ascii="宋体" w:hAnsi="宋体"/>
          <w:b/>
          <w:color w:val="000000" w:themeColor="text1"/>
          <w:sz w:val="31"/>
          <w:u w:val="single"/>
          <w14:textFill>
            <w14:solidFill>
              <w14:schemeClr w14:val="tx1"/>
            </w14:solidFill>
          </w14:textFill>
        </w:rPr>
        <w:t xml:space="preserve">     </w:t>
      </w:r>
      <w:r>
        <w:rPr>
          <w:rFonts w:hint="eastAsia" w:ascii="宋体" w:hAnsi="宋体"/>
          <w:b/>
          <w:color w:val="000000" w:themeColor="text1"/>
          <w:sz w:val="31"/>
          <w14:textFill>
            <w14:solidFill>
              <w14:schemeClr w14:val="tx1"/>
            </w14:solidFill>
          </w14:textFill>
        </w:rPr>
        <w:t xml:space="preserve">月</w:t>
      </w:r>
      <w:r>
        <w:rPr>
          <w:rFonts w:hint="eastAsia" w:ascii="宋体" w:hAnsi="宋体"/>
          <w:b/>
          <w:color w:val="000000" w:themeColor="text1"/>
          <w:sz w:val="31"/>
          <w:u w:val="single"/>
          <w14:textFill>
            <w14:solidFill>
              <w14:schemeClr w14:val="tx1"/>
            </w14:solidFill>
          </w14:textFill>
        </w:rPr>
        <w:t xml:space="preserve">     </w:t>
      </w:r>
      <w:r>
        <w:rPr>
          <w:rFonts w:hint="eastAsia" w:ascii="宋体" w:hAnsi="宋体"/>
          <w:b/>
          <w:color w:val="000000" w:themeColor="text1"/>
          <w:sz w:val="31"/>
          <w14:textFill>
            <w14:solidFill>
              <w14:schemeClr w14:val="tx1"/>
            </w14:solidFill>
          </w14:textFill>
        </w:rPr>
        <w:t xml:space="preserve">日</w:t>
      </w:r>
      <w:r/>
    </w:p>
    <w:p>
      <w:pPr>
        <w:pStyle w:val="1096"/>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sectPr>
          <w:footnotePr/>
          <w:endnotePr/>
          <w:type w:val="nextPage"/>
          <w:pgSz w:w="11906" w:h="16838" w:orient="portrait"/>
          <w:pgMar w:top="1361" w:right="1287" w:bottom="1361" w:left="1259" w:header="851" w:footer="992" w:gutter="0"/>
          <w:cols w:num="1" w:sep="0" w:space="720" w:equalWidth="1"/>
          <w:docGrid w:linePitch="360"/>
          <w:titlePg/>
        </w:sect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440" w:lineRule="exact"/>
        <w:rPr>
          <w:rFonts w:hint="eastAsia" w:ascii="仿宋_GB2312" w:hAnsi="仿宋_GB2312" w:cs="仿宋_GB2312"/>
          <w:bCs/>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                     </w:t>
      </w:r>
      <w:r>
        <w:rPr>
          <w:rFonts w:hint="eastAsia" w:ascii="仿宋_GB2312" w:hAnsi="仿宋_GB2312" w:cs="仿宋_GB2312"/>
          <w:color w:val="000000" w:themeColor="text1"/>
          <w:sz w:val="24"/>
          <w14:textFill>
            <w14:solidFill>
              <w14:schemeClr w14:val="tx1"/>
            </w14:solidFill>
          </w14:textFill>
        </w:rPr>
        <w:t xml:space="preserve">                                     </w:t>
      </w:r>
      <w:r>
        <w:rPr>
          <w:rFonts w:ascii="仿宋_GB2312" w:hAnsi="仿宋_GB2312" w:cs="仿宋_GB2312"/>
          <w:color w:val="000000" w:themeColor="text1"/>
          <w:sz w:val="24"/>
          <w14:textFill>
            <w14:solidFill>
              <w14:schemeClr w14:val="tx1"/>
            </w14:solidFill>
          </w14:textFill>
        </w:rPr>
        <w:t xml:space="preserve">采购编号：</w:t>
      </w:r>
      <w:r/>
    </w:p>
    <w:p>
      <w:pPr>
        <w:spacing w:line="440" w:lineRule="exact"/>
        <w:rPr>
          <w:rFonts w:hint="eastAsia" w:ascii="仿宋_GB2312" w:hAnsi="仿宋_GB2312" w:cs="仿宋_GB2312"/>
          <w:bCs/>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甲方：江苏省特种设备安全监督检验研究院</w:t>
      </w:r>
      <w:r/>
    </w:p>
    <w:p>
      <w:pPr>
        <w:spacing w:line="440" w:lineRule="exact"/>
        <w:rPr>
          <w:rFonts w:hint="eastAsia" w:ascii="仿宋_GB2312" w:hAnsi="仿宋_GB2312" w:cs="仿宋_GB2312"/>
          <w:bCs/>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乙方： </w:t>
      </w:r>
      <w:r/>
    </w:p>
    <w:p>
      <w:pPr>
        <w:jc w:val="left"/>
        <w:spacing w:line="440" w:lineRule="exact"/>
        <w:tabs>
          <w:tab w:val="left" w:pos="4785" w:leader="none"/>
        </w:tabs>
        <w:rPr>
          <w:rFonts w:hint="eastAsia" w:ascii="仿宋_GB2312" w:hAnsi="仿宋_GB2312" w:cs="仿宋_GB2312"/>
          <w:b/>
          <w:color w:val="000000" w:themeColor="text1"/>
          <w:sz w:val="24"/>
          <w14:textFill>
            <w14:solidFill>
              <w14:schemeClr w14:val="tx1"/>
            </w14:solidFill>
          </w14:textFill>
        </w:rPr>
      </w:pPr>
      <w:r>
        <w:rPr>
          <w:rFonts w:ascii="仿宋_GB2312" w:hAnsi="仿宋_GB2312" w:cs="仿宋_GB2312"/>
          <w:b/>
          <w:color w:val="000000" w:themeColor="text1"/>
          <w:sz w:val="24"/>
          <w14:textFill>
            <w14:solidFill>
              <w14:schemeClr w14:val="tx1"/>
            </w14:solidFill>
          </w14:textFill>
        </w:rPr>
        <w:t xml:space="preserve">一、说明：</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根据《中华人民共和国民法典》及相关法律法规以及本院行政、业务、财务、采购、科研、人事等管理制度的要求，遵循平等、自愿、公平和诚实信用的原则，双方就</w:t>
      </w:r>
      <w:r>
        <w:rPr>
          <w:rFonts w:hint="eastAsia" w:ascii="仿宋_GB2312" w:hAnsi="仿宋_GB2312" w:cs="仿宋_GB2312"/>
          <w:color w:val="000000" w:themeColor="text1"/>
          <w:sz w:val="24"/>
          <w:u w:val="single"/>
          <w14:textFill>
            <w14:solidFill>
              <w14:schemeClr w14:val="tx1"/>
            </w14:solidFill>
          </w14:textFill>
        </w:rPr>
        <w:t xml:space="preserve">江苏省特检院直属分院长庆油田管道内检测辅助工作外委</w:t>
      </w:r>
      <w:r>
        <w:rPr>
          <w:rFonts w:hint="eastAsia" w:ascii="宋体" w:hAnsi="宋体" w:cs="宋体"/>
          <w:color w:val="000000" w:themeColor="text1"/>
          <w:sz w:val="24"/>
          <w:u w:val="single"/>
          <w14:textFill>
            <w14:solidFill>
              <w14:schemeClr w14:val="tx1"/>
            </w14:solidFill>
          </w14:textFill>
        </w:rPr>
        <w:t xml:space="preserve">项目</w:t>
      </w:r>
      <w:r>
        <w:rPr>
          <w:rFonts w:ascii="宋体" w:hAnsi="宋体" w:cs="仿宋_GB2312"/>
          <w:color w:val="000000" w:themeColor="text1"/>
          <w:sz w:val="24"/>
          <w14:textFill>
            <w14:solidFill>
              <w14:schemeClr w14:val="tx1"/>
            </w14:solidFill>
          </w14:textFill>
        </w:rPr>
        <w:t xml:space="preserve">（项目编号：</w:t>
      </w:r>
      <w:r>
        <w:rPr>
          <w:rFonts w:hint="eastAsia" w:ascii="宋体" w:hAnsi="宋体" w:cs="仿宋_GB2312"/>
          <w:color w:val="000000" w:themeColor="text1"/>
          <w:sz w:val="24"/>
          <w:u w:val="single"/>
          <w14:textFill>
            <w14:solidFill>
              <w14:schemeClr w14:val="tx1"/>
            </w14:solidFill>
          </w14:textFill>
        </w:rPr>
        <w:t xml:space="preserve">      </w:t>
      </w:r>
      <w:r>
        <w:rPr>
          <w:rFonts w:ascii="宋体" w:hAnsi="宋体" w:cs="仿宋_GB231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及有关事项，签订本协议。</w:t>
      </w:r>
      <w:r/>
    </w:p>
    <w:p>
      <w:pPr>
        <w:jc w:val="left"/>
        <w:spacing w:line="440" w:lineRule="exact"/>
        <w:tabs>
          <w:tab w:val="left" w:pos="4785" w:leader="none"/>
        </w:tabs>
        <w:rPr>
          <w:rFonts w:hint="eastAsia" w:ascii="仿宋_GB2312" w:hAnsi="仿宋_GB2312" w:cs="仿宋_GB2312"/>
          <w:b/>
          <w:color w:val="000000" w:themeColor="text1"/>
          <w:sz w:val="24"/>
          <w14:textFill>
            <w14:solidFill>
              <w14:schemeClr w14:val="tx1"/>
            </w14:solidFill>
          </w14:textFill>
        </w:rPr>
      </w:pPr>
      <w:r>
        <w:rPr>
          <w:rFonts w:ascii="仿宋_GB2312" w:hAnsi="仿宋_GB2312" w:cs="仿宋_GB2312"/>
          <w:b/>
          <w:color w:val="000000" w:themeColor="text1"/>
          <w:sz w:val="24"/>
          <w14:textFill>
            <w14:solidFill>
              <w14:schemeClr w14:val="tx1"/>
            </w14:solidFill>
          </w14:textFill>
        </w:rPr>
        <w:t xml:space="preserve">二、合同条款：</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合同由甲乙双方签订，并依据</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号采购文件规定，按下列合同条款甲方同意购入，乙方同意</w:t>
      </w:r>
      <w:r>
        <w:rPr>
          <w:rFonts w:hint="eastAsia" w:ascii="宋体" w:hAnsi="宋体" w:cs="宋体"/>
          <w:color w:val="000000" w:themeColor="text1"/>
          <w:sz w:val="24"/>
          <w14:textFill>
            <w14:solidFill>
              <w14:schemeClr w14:val="tx1"/>
            </w14:solidFill>
          </w14:textFill>
        </w:rPr>
        <w:t xml:space="preserve">提供以下</w:t>
      </w:r>
      <w:r>
        <w:rPr>
          <w:rFonts w:ascii="宋体" w:hAnsi="宋体" w:cs="宋体"/>
          <w:color w:val="000000" w:themeColor="text1"/>
          <w:sz w:val="24"/>
          <w14:textFill>
            <w14:solidFill>
              <w14:schemeClr w14:val="tx1"/>
            </w14:solidFill>
          </w14:textFill>
        </w:rPr>
        <w:t xml:space="preserve">服务</w:t>
      </w:r>
      <w:r>
        <w:rPr>
          <w:rFonts w:hint="eastAsia" w:ascii="宋体" w:hAnsi="宋体" w:cs="宋体"/>
          <w:color w:val="000000" w:themeColor="text1"/>
          <w:sz w:val="24"/>
          <w14:textFill>
            <w14:solidFill>
              <w14:schemeClr w14:val="tx1"/>
            </w14:solidFill>
          </w14:textFill>
        </w:rPr>
        <w:t xml:space="preserve">：</w:t>
      </w:r>
      <w:r/>
    </w:p>
    <w:p>
      <w:pPr>
        <w:jc w:val="left"/>
        <w:spacing w:line="440" w:lineRule="exact"/>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本合同履行过程中产生的全部检测原始数据、数字图谱、检测报告、工作记录、分析成果及相关知识产权均归甲方独家所有，乙方不得擅自使用、复制、传播、许可第三方使用或用于其他任何目的。</w:t>
      </w:r>
      <w:r/>
    </w:p>
    <w:tbl>
      <w:tblPr>
        <w:tblStyle w:val="10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587"/>
        <w:gridCol w:w="4774"/>
        <w:gridCol w:w="1216"/>
        <w:gridCol w:w="775"/>
        <w:gridCol w:w="1272"/>
      </w:tblGrid>
      <w:tr>
        <w:trPr>
          <w:jc w:val="center"/>
          <w:trHeight w:val="692"/>
        </w:trPr>
        <w:tc>
          <w:tcPr>
            <w:tcW w:w="1268"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cs="宋体"/>
                <w:b/>
                <w:bCs/>
                <w:color w:val="000000" w:themeColor="text1"/>
                <w:sz w:val="24"/>
                <w14:textFill>
                  <w14:solidFill>
                    <w14:schemeClr w14:val="tx1"/>
                  </w14:solidFill>
                </w14:textFill>
              </w:rPr>
              <w:t xml:space="preserve">服务内容</w:t>
            </w:r>
            <w:r/>
          </w:p>
        </w:tc>
        <w:tc>
          <w:tcPr>
            <w:tcW w:w="599"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4939"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w:t>
            </w:r>
            <w:r/>
          </w:p>
        </w:tc>
        <w:tc>
          <w:tcPr>
            <w:tcW w:w="1252"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c>
          <w:tcPr>
            <w:tcW w:w="795"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计费</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单位</w:t>
            </w:r>
            <w:r/>
          </w:p>
        </w:tc>
        <w:tc>
          <w:tcPr>
            <w:tcW w:w="1310" w:type="dxa"/>
            <w:vAlign w:val="center"/>
            <w:textDirection w:val="lrTb"/>
            <w:noWrap w:val="false"/>
          </w:tcPr>
          <w:p>
            <w:pPr>
              <w:jc w:val="center"/>
              <w:spacing w:line="360" w:lineRule="auto"/>
              <w:rPr>
                <w:rFonts w:cs="宋体"/>
                <w:b/>
                <w:bCs/>
                <w:color w:val="000000" w:themeColor="text1"/>
                <w:sz w:val="24"/>
                <w14:textFill>
                  <w14:solidFill>
                    <w14:schemeClr w14:val="tx1"/>
                  </w14:solidFill>
                </w14:textFill>
              </w:rPr>
            </w:pPr>
            <w:r>
              <w:rPr>
                <w:rFonts w:hint="eastAsia" w:cs="宋体"/>
                <w:b/>
                <w:bCs/>
                <w:color w:val="000000" w:themeColor="text1"/>
                <w:sz w:val="24"/>
                <w14:textFill>
                  <w14:solidFill>
                    <w14:schemeClr w14:val="tx1"/>
                  </w14:solidFill>
                </w14:textFill>
              </w:rPr>
              <w:t xml:space="preserve">中标单价</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（元）</w:t>
            </w:r>
            <w:r/>
          </w:p>
        </w:tc>
      </w:tr>
      <w:tr>
        <w:trPr>
          <w:jc w:val="center"/>
          <w:trHeight w:val="341"/>
        </w:trPr>
        <w:tc>
          <w:tcPr>
            <w:tcW w:w="1268" w:type="dxa"/>
            <w:vAlign w:val="center"/>
            <w:vMerge w:val="restart"/>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江苏省特检院直属分院长庆油田管道内检测辅助工作外委</w:t>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9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内检测实施辅助工作（内检测转运、现场内检测实施吊装发球、现场跟球、定标盒敷设回收等）</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493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管线防腐层不开挖检测辅助工作</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493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密间距管地电位法测试辅助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493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杂散电流普查测试辅助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49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管地电位梯度和杂散电流方向性测试辅助</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49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711口径内检测器，含全套（泡沫、皮碗、钢刷）清管器、几何变形检测器、漏磁检测器</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49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273、406.4口径内检测用漏磁探头、几何探头、皮碗、钢刷</w:t>
            </w:r>
            <w:r/>
          </w:p>
        </w:tc>
        <w:tc>
          <w:tcPr>
            <w:tcW w:w="125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493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开挖验证辅助（包含验证点开挖、验证点防腐层剥离恢复、验证点焊缝埋藏缺陷检测等）</w:t>
            </w:r>
            <w:r/>
          </w:p>
        </w:tc>
        <w:tc>
          <w:tcPr>
            <w:tcW w:w="125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处</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68"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9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tcW w:w="493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内检测手续协助</w:t>
            </w:r>
            <w:r/>
          </w:p>
        </w:tc>
        <w:tc>
          <w:tcPr>
            <w:tcW w:w="1252"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79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131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jc w:val="left"/>
        <w:spacing w:line="440" w:lineRule="exact"/>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p>
      <w:pPr>
        <w:ind w:firstLine="480"/>
        <w:spacing w:line="360" w:lineRule="auto"/>
        <w:rPr>
          <w:rFonts w:hint="eastAsia" w:ascii="仿宋_GB2312" w:hAnsi="仿宋_GB2312"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乙方根据甲方项目需要，指派符合资质要求的称职人员，前往甲方指定地点，以完成甲方指定的辅助服务工作，具体服务内容、工作要求以甲方出具的</w:t>
      </w:r>
      <w:r>
        <w:rPr>
          <w:rFonts w:hint="eastAsia" w:ascii="宋体" w:hAnsi="宋体" w:cs="宋体"/>
          <w:color w:val="000000" w:themeColor="text1"/>
          <w:sz w:val="24"/>
          <w14:textFill>
            <w14:solidFill>
              <w14:schemeClr w14:val="tx1"/>
            </w14:solidFill>
          </w14:textFill>
        </w:rPr>
        <w:t xml:space="preserve">《外委工作委托单》</w:t>
      </w:r>
      <w:r>
        <w:rPr>
          <w:rFonts w:hint="eastAsia" w:ascii="宋体" w:hAnsi="宋体" w:cs="仿宋_GB2312"/>
          <w:color w:val="000000" w:themeColor="text1"/>
          <w:sz w:val="24"/>
          <w14:textFill>
            <w14:solidFill>
              <w14:schemeClr w14:val="tx1"/>
            </w14:solidFill>
          </w14:textFill>
        </w:rPr>
        <w:t xml:space="preserve">为准。</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ascii="仿宋_GB2312" w:hAnsi="仿宋_GB2312" w:cs="仿宋_GB2312"/>
          <w:color w:val="000000" w:themeColor="text1"/>
          <w:sz w:val="24"/>
          <w:szCs w:val="24"/>
          <w14:textFill>
            <w14:solidFill>
              <w14:schemeClr w14:val="tx1"/>
            </w14:solidFill>
          </w14:textFill>
        </w:rPr>
        <w:t xml:space="preserve">2、服务费支付：</w:t>
      </w:r>
      <w:r/>
    </w:p>
    <w:p>
      <w:pPr>
        <w:ind w:firstLine="480"/>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乙方中标总</w:t>
      </w:r>
      <w:r>
        <w:rPr>
          <w:rFonts w:hint="eastAsia" w:ascii="宋体" w:hAnsi="宋体" w:cs="宋体"/>
          <w:color w:val="000000" w:themeColor="text1"/>
          <w:sz w:val="24"/>
          <w:szCs w:val="24"/>
          <w:u w:val="single"/>
          <w14:textFill>
            <w14:solidFill>
              <w14:schemeClr w14:val="tx1"/>
            </w14:solidFill>
          </w14:textFill>
        </w:rPr>
        <w:t xml:space="preserve">价（暂定）     </w:t>
      </w:r>
      <w:r>
        <w:rPr>
          <w:rFonts w:hint="eastAsia" w:ascii="宋体" w:hAnsi="宋体" w:cs="宋体"/>
          <w:color w:val="000000" w:themeColor="text1"/>
          <w:sz w:val="24"/>
          <w:szCs w:val="24"/>
          <w14:textFill>
            <w14:solidFill>
              <w14:schemeClr w14:val="tx1"/>
            </w14:solidFill>
          </w14:textFill>
        </w:rPr>
        <w:t xml:space="preserve"> ；（元，人民币）</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（1）承包方式：固定单价合同。 </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（2）付款方式：</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1）计算规则：根据实际的工作量（以甲方确认的《外委工作委托单》为准）核算，最终服务费=中标单项单价×经采购人核实过的实际数量。</w:t>
      </w:r>
      <w:r/>
    </w:p>
    <w:p>
      <w:pPr>
        <w:ind w:firstLine="480"/>
        <w:spacing w:line="360"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color w:val="000000" w:themeColor="text1"/>
          <w:sz w:val="24"/>
          <w14:textFill>
            <w14:solidFill>
              <w14:schemeClr w14:val="tx1"/>
            </w14:solidFill>
          </w14:textFill>
        </w:rPr>
        <w:t xml:space="preserve">开</w:t>
      </w:r>
      <w:r>
        <w:rPr>
          <w:rFonts w:ascii="宋体" w:hAnsi="宋体"/>
          <w:bCs/>
          <w:color w:val="000000" w:themeColor="text1"/>
          <w:sz w:val="24"/>
          <w14:textFill>
            <w14:solidFill>
              <w14:schemeClr w14:val="tx1"/>
            </w14:solidFill>
          </w14:textFill>
        </w:rPr>
        <w:t xml:space="preserve">具</w:t>
      </w:r>
      <w:r>
        <w:rPr>
          <w:rFonts w:hint="eastAsia" w:ascii="宋体" w:hAnsi="宋体"/>
          <w:bCs/>
          <w:color w:val="000000" w:themeColor="text1"/>
          <w:sz w:val="24"/>
          <w14:textFill>
            <w14:solidFill>
              <w14:schemeClr w14:val="tx1"/>
            </w14:solidFill>
          </w14:textFill>
        </w:rPr>
        <w:t xml:space="preserve">的发票等付款资料</w:t>
      </w:r>
      <w:r>
        <w:rPr>
          <w:rFonts w:ascii="宋体" w:hAnsi="宋体"/>
          <w:bCs/>
          <w:color w:val="000000" w:themeColor="text1"/>
          <w:sz w:val="24"/>
          <w14:textFill>
            <w14:solidFill>
              <w14:schemeClr w14:val="tx1"/>
            </w14:solidFill>
          </w14:textFill>
        </w:rPr>
        <w:t xml:space="preserve">不符合国家规定或甲方要求</w:t>
      </w:r>
      <w:r>
        <w:rPr>
          <w:rFonts w:hint="eastAsia" w:ascii="宋体" w:hAnsi="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甲方有权拒收，并不承担逾期付款责任。</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甲方有权在应付乙方的任何款项中直接扣除乙方应承担的违约金、赔偿金及其他根据合同约定应由乙方支付的款项。</w:t>
      </w:r>
      <w:r/>
    </w:p>
    <w:p>
      <w:pPr>
        <w:numPr>
          <w:ilvl w:val="0"/>
          <w:numId w:val="4"/>
        </w:num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甲方将与乙方签订服务合同，实施的单个项目以《</w:t>
      </w:r>
      <w:r>
        <w:rPr>
          <w:rFonts w:hint="eastAsia" w:ascii="宋体" w:hAnsi="宋体"/>
          <w:color w:val="000000" w:themeColor="text1"/>
          <w:sz w:val="24"/>
          <w:szCs w:val="24"/>
          <w14:textFill>
            <w14:solidFill>
              <w14:schemeClr w14:val="tx1"/>
            </w14:solidFill>
          </w14:textFill>
        </w:rPr>
        <w:t xml:space="preserve">外委工作委托单</w:t>
      </w:r>
      <w:r>
        <w:rPr>
          <w:rFonts w:hint="eastAsia" w:ascii="宋体" w:hAnsi="宋体" w:cs="宋体"/>
          <w:color w:val="000000" w:themeColor="text1"/>
          <w:sz w:val="24"/>
          <w14:textFill>
            <w14:solidFill>
              <w14:schemeClr w14:val="tx1"/>
            </w14:solidFill>
          </w14:textFill>
        </w:rPr>
        <w:t xml:space="preserve">》为准，明确具体服务项目内容。</w:t>
      </w:r>
      <w:r/>
    </w:p>
    <w:p>
      <w:pPr>
        <w:numPr>
          <w:ilvl w:val="0"/>
          <w:numId w:val="4"/>
        </w:num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numPr>
          <w:ilvl w:val="0"/>
          <w:numId w:val="5"/>
        </w:numPr>
        <w:ind w:firstLine="480"/>
        <w:jc w:val="left"/>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合同履行期限（服务期）</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自合同签订之日起一年。</w:t>
      </w:r>
      <w:r/>
    </w:p>
    <w:p>
      <w:pPr>
        <w:numPr>
          <w:ilvl w:val="255"/>
          <w:numId w:val="0"/>
        </w:num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合同履行期间合同签订的单价不变，</w:t>
      </w:r>
      <w:r>
        <w:rPr>
          <w:rFonts w:hint="eastAsia" w:ascii="宋体" w:hAnsi="宋体" w:cs="宋体"/>
          <w:color w:val="000000" w:themeColor="text1"/>
          <w:sz w:val="24"/>
          <w:u w:val="single"/>
          <w14:textFill>
            <w14:solidFill>
              <w14:schemeClr w14:val="tx1"/>
            </w14:solidFill>
          </w14:textFill>
        </w:rPr>
        <w:t xml:space="preserve">合同期内总结算费用不得超过预算额度，如经核算有超出的合同金额部分，甲方有权不予以支付，但不免除乙方在服务期内合同履行的义务。合同签订后，每项任务在得到采购人书面通知后开始，至项目规定的所有辅助服务工作完成止。</w:t>
      </w:r>
      <w:r/>
    </w:p>
    <w:p>
      <w:pPr>
        <w:ind w:firstLine="480"/>
        <w:spacing w:line="360" w:lineRule="auto"/>
        <w:rPr>
          <w:rFonts w:hint="eastAsia" w:ascii="仿宋_GB2312" w:hAnsi="仿宋_GB2312" w:cs="仿宋_GB2312"/>
          <w:color w:val="000000" w:themeColor="text1"/>
          <w:sz w:val="24"/>
          <w:szCs w:val="24"/>
          <w14:textFill>
            <w14:solidFill>
              <w14:schemeClr w14:val="tx1"/>
            </w14:solidFill>
          </w14:textFill>
        </w:rPr>
      </w:pPr>
      <w:r>
        <w:rPr>
          <w:rFonts w:ascii="仿宋_GB2312" w:hAnsi="仿宋_GB2312" w:cs="仿宋_GB2312"/>
          <w:color w:val="000000" w:themeColor="text1"/>
          <w:sz w:val="24"/>
          <w:szCs w:val="24"/>
          <w14:textFill>
            <w14:solidFill>
              <w14:schemeClr w14:val="tx1"/>
            </w14:solidFill>
          </w14:textFill>
        </w:rPr>
        <w:t xml:space="preserve">4</w:t>
      </w:r>
      <w:r>
        <w:rPr>
          <w:rFonts w:hint="eastAsia" w:ascii="仿宋_GB2312" w:hAnsi="仿宋_GB2312" w:cs="仿宋_GB2312"/>
          <w:color w:val="000000" w:themeColor="text1"/>
          <w:sz w:val="24"/>
          <w:szCs w:val="24"/>
          <w14:textFill>
            <w14:solidFill>
              <w14:schemeClr w14:val="tx1"/>
            </w14:solidFill>
          </w14:textFill>
        </w:rPr>
        <w:t xml:space="preserve">、履约地点</w:t>
      </w:r>
      <w:r>
        <w:rPr>
          <w:rFonts w:ascii="仿宋_GB2312" w:hAnsi="仿宋_GB2312" w:cs="仿宋_GB2312"/>
          <w:color w:val="000000" w:themeColor="text1"/>
          <w:sz w:val="24"/>
          <w:szCs w:val="24"/>
          <w14:textFill>
            <w14:solidFill>
              <w14:schemeClr w14:val="tx1"/>
            </w14:solidFill>
          </w14:textFill>
        </w:rPr>
        <w:t xml:space="preserve">：</w:t>
      </w:r>
      <w:r/>
    </w:p>
    <w:p>
      <w:pPr>
        <w:ind w:firstLine="480"/>
        <w:spacing w:line="360" w:lineRule="auto"/>
        <w:rPr>
          <w:rFonts w:hint="eastAsia" w:ascii="仿宋_GB2312" w:hAnsi="仿宋_GB2312" w:cs="仿宋_GB2312"/>
          <w:color w:val="000000" w:themeColor="text1"/>
          <w:sz w:val="24"/>
          <w:szCs w:val="24"/>
          <w:u w:val="single"/>
          <w14:textFill>
            <w14:solidFill>
              <w14:schemeClr w14:val="tx1"/>
            </w14:solidFill>
          </w14:textFill>
        </w:rPr>
      </w:pPr>
      <w:r>
        <w:rPr>
          <w:rFonts w:hint="eastAsia" w:ascii="仿宋_GB2312" w:hAnsi="仿宋_GB2312" w:cs="仿宋_GB2312"/>
          <w:color w:val="000000" w:themeColor="text1"/>
          <w:sz w:val="24"/>
          <w:szCs w:val="24"/>
          <w:u w:val="single"/>
          <w14:textFill>
            <w14:solidFill>
              <w14:schemeClr w14:val="tx1"/>
            </w14:solidFill>
          </w14:textFill>
        </w:rPr>
        <w:t xml:space="preserve">（1）</w:t>
      </w:r>
      <w:r>
        <w:rPr>
          <w:rFonts w:ascii="仿宋_GB2312" w:hAnsi="仿宋_GB2312" w:cs="仿宋_GB2312"/>
          <w:color w:val="000000" w:themeColor="text1"/>
          <w:sz w:val="24"/>
          <w:szCs w:val="24"/>
          <w:u w:val="single"/>
          <w14:textFill>
            <w14:solidFill>
              <w14:schemeClr w14:val="tx1"/>
            </w14:solidFill>
          </w14:textFill>
        </w:rPr>
        <w:t xml:space="preserve">履约地点：长庆油田作业区，具体以甲方通知为准</w:t>
      </w:r>
      <w:r/>
    </w:p>
    <w:p>
      <w:pPr>
        <w:ind w:firstLine="480"/>
        <w:spacing w:line="360" w:lineRule="auto"/>
        <w:rPr>
          <w:rFonts w:hint="eastAsia" w:ascii="仿宋_GB2312" w:hAnsi="仿宋_GB2312" w:cs="仿宋_GB2312"/>
          <w:color w:val="000000" w:themeColor="text1"/>
          <w:sz w:val="24"/>
          <w:szCs w:val="24"/>
          <w:u w:val="single"/>
          <w14:textFill>
            <w14:solidFill>
              <w14:schemeClr w14:val="tx1"/>
            </w14:solidFill>
          </w14:textFill>
        </w:rPr>
      </w:pPr>
      <w:r>
        <w:rPr>
          <w:rFonts w:hint="eastAsia" w:ascii="仿宋_GB2312" w:hAnsi="仿宋_GB2312" w:cs="仿宋_GB2312"/>
          <w:color w:val="000000" w:themeColor="text1"/>
          <w:sz w:val="24"/>
          <w:szCs w:val="24"/>
          <w:u w:val="single"/>
          <w14:textFill>
            <w14:solidFill>
              <w14:schemeClr w14:val="tx1"/>
            </w14:solidFill>
          </w14:textFill>
        </w:rPr>
        <w:t xml:space="preserve">（2）</w:t>
      </w:r>
      <w:r>
        <w:rPr>
          <w:rFonts w:ascii="仿宋_GB2312" w:hAnsi="仿宋_GB2312" w:cs="仿宋_GB2312"/>
          <w:color w:val="000000" w:themeColor="text1"/>
          <w:sz w:val="24"/>
          <w:szCs w:val="24"/>
          <w:u w:val="single"/>
          <w14:textFill>
            <w14:solidFill>
              <w14:schemeClr w14:val="tx1"/>
            </w14:solidFill>
          </w14:textFill>
        </w:rPr>
        <w:t xml:space="preserve">甲方负责人：           联系电话：            </w:t>
      </w:r>
      <w:r/>
    </w:p>
    <w:p>
      <w:pPr>
        <w:ind w:firstLine="480"/>
        <w:spacing w:line="360" w:lineRule="auto"/>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u w:val="single"/>
          <w14:textFill>
            <w14:solidFill>
              <w14:schemeClr w14:val="tx1"/>
            </w14:solidFill>
          </w14:textFill>
        </w:rPr>
        <w:t xml:space="preserve">（3）</w:t>
      </w:r>
      <w:r>
        <w:rPr>
          <w:rFonts w:ascii="仿宋_GB2312" w:hAnsi="仿宋_GB2312" w:cs="仿宋_GB2312"/>
          <w:color w:val="000000" w:themeColor="text1"/>
          <w:sz w:val="24"/>
          <w:szCs w:val="24"/>
          <w:u w:val="single"/>
          <w14:textFill>
            <w14:solidFill>
              <w14:schemeClr w14:val="tx1"/>
            </w14:solidFill>
          </w14:textFill>
        </w:rPr>
        <w:t xml:space="preserve">乙方负责人：           联系电话：            </w:t>
      </w:r>
      <w:r/>
    </w:p>
    <w:p>
      <w:pPr>
        <w:pStyle w:val="1052"/>
        <w:ind w:firstLine="480"/>
        <w:spacing w:line="360" w:lineRule="auto"/>
        <w:tabs>
          <w:tab w:val="left" w:pos="-235" w:leader="none"/>
        </w:tabs>
        <w:rPr>
          <w:rFonts w:hint="eastAsia" w:ascii="仿宋_GB2312" w:hAnsi="仿宋_GB2312" w:cs="仿宋_GB2312"/>
          <w:b w:val="0"/>
          <w:color w:val="000000" w:themeColor="text1"/>
          <w:szCs w:val="24"/>
          <w:u w:val="single"/>
          <w14:textFill>
            <w14:solidFill>
              <w14:schemeClr w14:val="tx1"/>
            </w14:solidFill>
          </w14:textFill>
        </w:rPr>
      </w:pPr>
      <w:r>
        <w:rPr>
          <w:rFonts w:hint="eastAsia" w:ascii="仿宋_GB2312" w:hAnsi="仿宋_GB2312" w:cs="仿宋_GB2312"/>
          <w:b w:val="0"/>
          <w:color w:val="000000" w:themeColor="text1"/>
          <w:szCs w:val="24"/>
          <w14:textFill>
            <w14:solidFill>
              <w14:schemeClr w14:val="tx1"/>
            </w14:solidFill>
          </w14:textFill>
        </w:rPr>
        <w:t xml:space="preserve">5、</w:t>
      </w:r>
      <w:r>
        <w:rPr>
          <w:rFonts w:ascii="仿宋_GB2312" w:hAnsi="仿宋_GB2312" w:cs="仿宋_GB2312"/>
          <w:b w:val="0"/>
          <w:color w:val="000000" w:themeColor="text1"/>
          <w:szCs w:val="24"/>
          <w14:textFill>
            <w14:solidFill>
              <w14:schemeClr w14:val="tx1"/>
            </w14:solidFill>
          </w14:textFill>
        </w:rPr>
        <w:t xml:space="preserve"> </w:t>
      </w:r>
      <w:r>
        <w:rPr>
          <w:rFonts w:hint="eastAsia" w:ascii="仿宋_GB2312" w:hAnsi="仿宋_GB2312" w:cs="仿宋_GB2312"/>
          <w:b w:val="0"/>
          <w:color w:val="000000" w:themeColor="text1"/>
          <w:szCs w:val="24"/>
          <w14:textFill>
            <w14:solidFill>
              <w14:schemeClr w14:val="tx1"/>
            </w14:solidFill>
          </w14:textFill>
        </w:rPr>
        <w:t xml:space="preserve">服务的提供</w:t>
      </w:r>
      <w:r>
        <w:rPr>
          <w:rFonts w:ascii="仿宋_GB2312" w:hAnsi="仿宋_GB2312" w:cs="仿宋_GB2312"/>
          <w:b w:val="0"/>
          <w:color w:val="000000" w:themeColor="text1"/>
          <w:szCs w:val="24"/>
          <w14:textFill>
            <w14:solidFill>
              <w14:schemeClr w14:val="tx1"/>
            </w14:solidFill>
          </w14:textFill>
        </w:rPr>
        <w:t xml:space="preserve">应符合下列标准或规范并据此验收：</w:t>
      </w:r>
      <w:r>
        <w:rPr>
          <w:rFonts w:ascii="仿宋_GB2312" w:hAnsi="仿宋_GB2312" w:cs="仿宋_GB2312"/>
          <w:color w:val="000000" w:themeColor="text1"/>
          <w:szCs w:val="24"/>
          <w:u w:val="single"/>
          <w14:textFill>
            <w14:solidFill>
              <w14:schemeClr w14:val="tx1"/>
            </w14:solidFill>
          </w14:textFill>
        </w:rPr>
        <w:t xml:space="preserve">招</w:t>
      </w:r>
      <w:r>
        <w:rPr>
          <w:rFonts w:hint="eastAsia" w:ascii="仿宋_GB2312" w:hAnsi="仿宋_GB2312" w:cs="仿宋_GB2312"/>
          <w:color w:val="000000" w:themeColor="text1"/>
          <w:szCs w:val="24"/>
          <w:u w:val="single"/>
          <w14:textFill>
            <w14:solidFill>
              <w14:schemeClr w14:val="tx1"/>
            </w14:solidFill>
          </w14:textFill>
        </w:rPr>
        <w:t xml:space="preserve">标及投标</w:t>
      </w:r>
      <w:r>
        <w:rPr>
          <w:rFonts w:ascii="仿宋_GB2312" w:hAnsi="仿宋_GB2312" w:cs="仿宋_GB2312"/>
          <w:color w:val="000000" w:themeColor="text1"/>
          <w:szCs w:val="24"/>
          <w:u w:val="single"/>
          <w14:textFill>
            <w14:solidFill>
              <w14:schemeClr w14:val="tx1"/>
            </w14:solidFill>
          </w14:textFill>
        </w:rPr>
        <w:t xml:space="preserve">文件、双方签订的技术协议</w:t>
      </w:r>
      <w:r>
        <w:rPr>
          <w:rFonts w:hint="eastAsia" w:ascii="仿宋_GB2312" w:hAnsi="仿宋_GB2312" w:cs="仿宋_GB2312"/>
          <w:color w:val="000000" w:themeColor="text1"/>
          <w:szCs w:val="24"/>
          <w:u w:val="single"/>
          <w14:textFill>
            <w14:solidFill>
              <w14:schemeClr w14:val="tx1"/>
            </w14:solidFill>
          </w14:textFill>
        </w:rPr>
        <w:t xml:space="preserve">、</w:t>
      </w:r>
      <w:r>
        <w:rPr>
          <w:rFonts w:ascii="仿宋_GB2312" w:hAnsi="仿宋_GB2312" w:cs="仿宋_GB2312"/>
          <w:color w:val="000000" w:themeColor="text1"/>
          <w:szCs w:val="24"/>
          <w:u w:val="single"/>
          <w14:textFill>
            <w14:solidFill>
              <w14:schemeClr w14:val="tx1"/>
            </w14:solidFill>
          </w14:textFill>
        </w:rPr>
        <w:t xml:space="preserve">国家的相关标准</w:t>
      </w:r>
      <w:r>
        <w:rPr>
          <w:rFonts w:hint="eastAsia" w:ascii="仿宋_GB2312" w:hAnsi="仿宋_GB2312" w:cs="仿宋_GB2312"/>
          <w:color w:val="000000" w:themeColor="text1"/>
          <w:szCs w:val="24"/>
          <w:u w:val="single"/>
          <w14:textFill>
            <w14:solidFill>
              <w14:schemeClr w14:val="tx1"/>
            </w14:solidFill>
          </w14:textFill>
        </w:rPr>
        <w:t xml:space="preserve">、</w:t>
      </w:r>
      <w:r>
        <w:rPr>
          <w:rFonts w:hint="eastAsia" w:ascii="宋体" w:hAnsi="宋体" w:cs="宋体"/>
          <w:color w:val="000000" w:themeColor="text1"/>
          <w:szCs w:val="24"/>
          <w14:textFill>
            <w14:solidFill>
              <w14:schemeClr w14:val="tx1"/>
            </w14:solidFill>
          </w14:textFill>
        </w:rPr>
        <w:t xml:space="preserve">行业技术标准、符合项目技术方案及甲方项目负责人指定的技术要求、</w:t>
      </w:r>
      <w:r>
        <w:rPr>
          <w:rFonts w:ascii="宋体" w:hAnsi="宋体" w:cs="宋体"/>
          <w:color w:val="000000" w:themeColor="text1"/>
          <w:szCs w:val="24"/>
          <w14:textFill>
            <w14:solidFill>
              <w14:schemeClr w14:val="tx1"/>
            </w14:solidFill>
          </w14:textFill>
        </w:rPr>
        <w:t xml:space="preserve">符合被服务方的各项管理规定</w:t>
      </w:r>
      <w:r>
        <w:rPr>
          <w:rFonts w:ascii="仿宋_GB2312" w:hAnsi="仿宋_GB2312" w:cs="仿宋_GB2312"/>
          <w:color w:val="000000" w:themeColor="text1"/>
          <w:szCs w:val="24"/>
          <w14:textFill>
            <w14:solidFill>
              <w14:schemeClr w14:val="tx1"/>
            </w14:solidFill>
          </w14:textFill>
        </w:rPr>
        <w:t xml:space="preserve">。</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6、</w:t>
      </w:r>
      <w:r>
        <w:rPr>
          <w:rFonts w:ascii="仿宋_GB2312" w:hAnsi="仿宋_GB2312" w:cs="仿宋_GB2312"/>
          <w:color w:val="000000" w:themeColor="text1"/>
          <w:sz w:val="24"/>
          <w:szCs w:val="24"/>
          <w14:textFill>
            <w14:solidFill>
              <w14:schemeClr w14:val="tx1"/>
            </w14:solidFill>
          </w14:textFill>
        </w:rPr>
        <w:t xml:space="preserve">交付和验收</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（1）</w:t>
      </w:r>
      <w:r>
        <w:rPr>
          <w:rFonts w:ascii="仿宋_GB2312" w:hAnsi="仿宋_GB2312" w:cs="仿宋_GB2312"/>
          <w:color w:val="000000" w:themeColor="text1"/>
          <w:sz w:val="24"/>
          <w:szCs w:val="24"/>
          <w14:textFill>
            <w14:solidFill>
              <w14:schemeClr w14:val="tx1"/>
            </w14:solidFill>
          </w14:textFill>
        </w:rPr>
        <w:t xml:space="preserve">乙方应当在合同签订，根据招标文件及投标文件的要求完成服务事项。</w:t>
      </w:r>
      <w:r/>
    </w:p>
    <w:p>
      <w:pPr>
        <w:pStyle w:val="1065"/>
        <w:ind w:firstLine="480"/>
        <w:spacing w:line="360" w:lineRule="auto"/>
        <w:rPr>
          <w:rFonts w:hint="eastAsia" w:hAnsi="宋体"/>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甲方依法组织履约验收工作：</w:t>
      </w:r>
      <w:r/>
    </w:p>
    <w:p>
      <w:pPr>
        <w:pStyle w:val="1065"/>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①</w:t>
      </w:r>
      <w:r>
        <w:rPr>
          <w:rFonts w:hint="eastAsia" w:hAnsi="宋体"/>
          <w:color w:val="000000" w:themeColor="text1"/>
          <w:sz w:val="24"/>
          <w:szCs w:val="24"/>
          <w14:textFill>
            <w14:solidFill>
              <w14:schemeClr w14:val="tx1"/>
            </w14:solidFill>
          </w14:textFill>
        </w:rPr>
        <w:t xml:space="preserve">甲方的外委控制责任人在外委项目完成后，填写JSTJ-ZLJL-12-02“外委工作质量验收表”对外委工作进行验收，部门负责人（项目负责人）审核确认。乙方应做好相应配合</w:t>
      </w:r>
      <w:r/>
    </w:p>
    <w:p>
      <w:pPr>
        <w:pStyle w:val="1065"/>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②</w:t>
      </w:r>
      <w:r>
        <w:rPr>
          <w:rFonts w:hint="eastAsia" w:hAnsi="宋体"/>
          <w:color w:val="000000" w:themeColor="text1"/>
          <w:sz w:val="24"/>
          <w:szCs w:val="24"/>
          <w14:textFill>
            <w14:solidFill>
              <w14:schemeClr w14:val="tx1"/>
            </w14:solidFill>
          </w14:textFill>
        </w:rPr>
        <w:t xml:space="preserve">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w:t>
      </w:r>
      <w:r/>
    </w:p>
    <w:p>
      <w:pPr>
        <w:ind w:firstLine="482"/>
        <w:jc w:val="left"/>
        <w:spacing w:line="360" w:lineRule="auto"/>
        <w:tabs>
          <w:tab w:val="left" w:pos="4785" w:leader="none"/>
        </w:tabs>
        <w:rPr>
          <w:rFonts w:hint="eastAsia" w:ascii="仿宋_GB2312" w:hAnsi="仿宋_GB2312" w:cs="仿宋_GB2312"/>
          <w:b/>
          <w:color w:val="000000" w:themeColor="text1"/>
          <w:sz w:val="24"/>
          <w:szCs w:val="24"/>
          <w14:textFill>
            <w14:solidFill>
              <w14:schemeClr w14:val="tx1"/>
            </w14:solidFill>
          </w14:textFill>
        </w:rPr>
      </w:pPr>
      <w:r>
        <w:rPr>
          <w:rFonts w:hint="eastAsia" w:ascii="仿宋_GB2312" w:hAnsi="仿宋_GB2312" w:cs="仿宋_GB2312"/>
          <w:b/>
          <w:color w:val="000000" w:themeColor="text1"/>
          <w:sz w:val="24"/>
          <w:szCs w:val="24"/>
          <w14:textFill>
            <w14:solidFill>
              <w14:schemeClr w14:val="tx1"/>
            </w14:solidFill>
          </w14:textFill>
        </w:rPr>
        <w:t xml:space="preserve">三、双方的权利义务</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ascii="仿宋_GB2312" w:hAnsi="仿宋_GB2312" w:cs="仿宋_GB2312"/>
          <w:color w:val="000000" w:themeColor="text1"/>
          <w:sz w:val="24"/>
          <w:szCs w:val="24"/>
          <w14:textFill>
            <w14:solidFill>
              <w14:schemeClr w14:val="tx1"/>
            </w14:solidFill>
          </w14:textFill>
        </w:rPr>
        <w:t xml:space="preserve">1、甲方的权利义务：</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w:t>
      </w:r>
      <w:r>
        <w:rPr>
          <w:rFonts w:ascii="仿宋_GB2312" w:hAnsi="仿宋_GB2312" w:cs="仿宋_GB2312"/>
          <w:color w:val="000000" w:themeColor="text1"/>
          <w:sz w:val="24"/>
          <w:szCs w:val="24"/>
          <w14:textFill>
            <w14:solidFill>
              <w14:schemeClr w14:val="tx1"/>
            </w14:solidFill>
          </w14:textFill>
        </w:rPr>
        <w:t xml:space="preserve">1）现场提供必要的协助；</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w:t>
      </w:r>
      <w:r>
        <w:rPr>
          <w:rFonts w:ascii="仿宋_GB2312" w:hAnsi="仿宋_GB2312" w:cs="仿宋_GB2312"/>
          <w:color w:val="000000" w:themeColor="text1"/>
          <w:sz w:val="24"/>
          <w:szCs w:val="24"/>
          <w14:textFill>
            <w14:solidFill>
              <w14:schemeClr w14:val="tx1"/>
            </w14:solidFill>
          </w14:textFill>
        </w:rPr>
        <w:t xml:space="preserve">2）按照合同约定及时支付相关费用；</w:t>
      </w:r>
      <w:r/>
    </w:p>
    <w:p>
      <w:pPr>
        <w:ind w:firstLine="480"/>
        <w:jc w:val="left"/>
        <w:spacing w:line="360" w:lineRule="auto"/>
        <w:tabs>
          <w:tab w:val="left" w:pos="4785" w:leader="none"/>
        </w:tabs>
        <w:rPr>
          <w:rFonts w:hint="eastAsia" w:ascii="仿宋_GB2312" w:hAnsi="仿宋_GB2312" w:cs="仿宋_GB2312"/>
          <w:color w:val="000000" w:themeColor="text1"/>
          <w:sz w:val="24"/>
          <w:szCs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w:t>
      </w:r>
      <w:r>
        <w:rPr>
          <w:rFonts w:ascii="仿宋_GB2312" w:hAnsi="仿宋_GB2312" w:cs="仿宋_GB2312"/>
          <w:color w:val="000000" w:themeColor="text1"/>
          <w:sz w:val="24"/>
          <w:szCs w:val="24"/>
          <w14:textFill>
            <w14:solidFill>
              <w14:schemeClr w14:val="tx1"/>
            </w14:solidFill>
          </w14:textFill>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ind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szCs w:val="24"/>
          <w14:textFill>
            <w14:solidFill>
              <w14:schemeClr w14:val="tx1"/>
            </w14:solidFill>
          </w14:textFill>
        </w:rPr>
        <w:t xml:space="preserve">（</w:t>
      </w:r>
      <w:r>
        <w:rPr>
          <w:rFonts w:ascii="仿宋_GB2312" w:hAnsi="仿宋_GB2312" w:cs="仿宋_GB2312"/>
          <w:color w:val="000000" w:themeColor="text1"/>
          <w:sz w:val="24"/>
          <w:szCs w:val="24"/>
          <w14:textFill>
            <w14:solidFill>
              <w14:schemeClr w14:val="tx1"/>
            </w14:solidFill>
          </w14:textFill>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rPr>
          <w:rFonts w:ascii="仿宋_GB2312" w:hAnsi="仿宋_GB2312" w:cs="仿宋_GB2312"/>
          <w:color w:val="000000" w:themeColor="text1"/>
          <w:sz w:val="24"/>
          <w14:textFill>
            <w14:solidFill>
              <w14:schemeClr w14:val="tx1"/>
            </w14:solidFill>
          </w14:textFill>
        </w:rPr>
        <w:t xml:space="preserve">。</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5）对乙方的</w:t>
      </w:r>
      <w:r>
        <w:rPr>
          <w:rFonts w:hint="eastAsia" w:ascii="仿宋_GB2312" w:hAnsi="仿宋_GB2312" w:cs="仿宋_GB2312"/>
          <w:color w:val="000000" w:themeColor="text1"/>
          <w:sz w:val="24"/>
          <w14:textFill>
            <w14:solidFill>
              <w14:schemeClr w14:val="tx1"/>
            </w14:solidFill>
          </w14:textFill>
        </w:rPr>
        <w:t xml:space="preserve">辅助服务</w:t>
      </w:r>
      <w:r>
        <w:rPr>
          <w:rFonts w:ascii="仿宋_GB2312" w:hAnsi="仿宋_GB2312" w:cs="仿宋_GB2312"/>
          <w:color w:val="000000" w:themeColor="text1"/>
          <w:sz w:val="24"/>
          <w14:textFill>
            <w14:solidFill>
              <w14:schemeClr w14:val="tx1"/>
            </w14:solidFill>
          </w14:textFill>
        </w:rPr>
        <w:t xml:space="preserve">工作进行现场监督并填写工作质量审核表，进行评估</w:t>
      </w:r>
      <w:r>
        <w:rPr>
          <w:rFonts w:hint="eastAsia" w:ascii="仿宋_GB2312" w:hAnsi="仿宋_GB2312" w:cs="仿宋_GB2312"/>
          <w:color w:val="000000" w:themeColor="text1"/>
          <w:sz w:val="24"/>
          <w14:textFill>
            <w14:solidFill>
              <w14:schemeClr w14:val="tx1"/>
            </w14:solidFill>
          </w14:textFill>
        </w:rPr>
        <w:t xml:space="preserve">；</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6）甲方有权对</w:t>
      </w:r>
      <w:r>
        <w:rPr>
          <w:rFonts w:hint="eastAsia" w:ascii="仿宋_GB2312" w:hAnsi="仿宋_GB2312" w:cs="仿宋_GB2312"/>
          <w:color w:val="000000" w:themeColor="text1"/>
          <w:sz w:val="24"/>
          <w14:textFill>
            <w14:solidFill>
              <w14:schemeClr w14:val="tx1"/>
            </w14:solidFill>
          </w14:textFill>
        </w:rPr>
        <w:t xml:space="preserve">乙方擅自</w:t>
      </w:r>
      <w:r>
        <w:rPr>
          <w:rFonts w:ascii="仿宋_GB2312" w:hAnsi="仿宋_GB2312" w:cs="仿宋_GB2312"/>
          <w:color w:val="000000" w:themeColor="text1"/>
          <w:sz w:val="24"/>
          <w14:textFill>
            <w14:solidFill>
              <w14:schemeClr w14:val="tx1"/>
            </w14:solidFill>
          </w14:textFill>
        </w:rPr>
        <w:t xml:space="preserve">转包或分包的乙方终止承包合同</w:t>
      </w:r>
      <w:r>
        <w:rPr>
          <w:rFonts w:hint="eastAsia" w:ascii="仿宋_GB2312" w:hAnsi="仿宋_GB2312" w:cs="仿宋_GB2312"/>
          <w:color w:val="000000" w:themeColor="text1"/>
          <w:sz w:val="24"/>
          <w14:textFill>
            <w14:solidFill>
              <w14:schemeClr w14:val="tx1"/>
            </w14:solidFill>
          </w14:textFill>
        </w:rPr>
        <w:t xml:space="preserve">；</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（7）乙方未按照甲方要求指派人员开展辅助服务工作或者指派人员不符合要求的，视为乙方拒绝履行合同，甲方有权单方面解除本合同。</w:t>
      </w:r>
      <w:r/>
    </w:p>
    <w:p>
      <w:pPr>
        <w:ind w:firstLine="480"/>
        <w:spacing w:line="360" w:lineRule="auto"/>
        <w:tabs>
          <w:tab w:val="left" w:pos="478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（8）甲方应当按照行业通行标准和乙方投标文件的承诺（不低于国家相关标准）及时对采购标的进行验收。</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（9）甲方有权根据国家政策或法律法规的变动对项目实施的需求标准和质量做出相应变动。</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2、乙方的权利义务：</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1）乙方根据甲方提供的</w:t>
      </w:r>
      <w:r>
        <w:rPr>
          <w:rFonts w:hint="eastAsia" w:ascii="仿宋_GB2312" w:hAnsi="仿宋_GB2312" w:cs="仿宋_GB2312"/>
          <w:color w:val="000000" w:themeColor="text1"/>
          <w:sz w:val="24"/>
          <w14:textFill>
            <w14:solidFill>
              <w14:schemeClr w14:val="tx1"/>
            </w14:solidFill>
          </w14:textFill>
        </w:rPr>
        <w:t xml:space="preserve">辅助服务</w:t>
      </w:r>
      <w:r>
        <w:rPr>
          <w:rFonts w:ascii="仿宋_GB2312" w:hAnsi="仿宋_GB2312" w:cs="仿宋_GB2312"/>
          <w:color w:val="000000" w:themeColor="text1"/>
          <w:sz w:val="24"/>
          <w14:textFill>
            <w14:solidFill>
              <w14:schemeClr w14:val="tx1"/>
            </w14:solidFill>
          </w14:textFill>
        </w:rPr>
        <w:t xml:space="preserve">工作量、</w:t>
      </w:r>
      <w:r>
        <w:rPr>
          <w:rFonts w:hint="eastAsia" w:ascii="仿宋_GB2312" w:hAnsi="仿宋_GB2312" w:cs="仿宋_GB2312"/>
          <w:color w:val="000000" w:themeColor="text1"/>
          <w:sz w:val="24"/>
          <w14:textFill>
            <w14:solidFill>
              <w14:schemeClr w14:val="tx1"/>
            </w14:solidFill>
          </w14:textFill>
        </w:rPr>
        <w:t xml:space="preserve">辅助服务</w:t>
      </w:r>
      <w:r>
        <w:rPr>
          <w:rFonts w:ascii="仿宋_GB2312" w:hAnsi="仿宋_GB2312" w:cs="仿宋_GB2312"/>
          <w:color w:val="000000" w:themeColor="text1"/>
          <w:sz w:val="24"/>
          <w14:textFill>
            <w14:solidFill>
              <w14:schemeClr w14:val="tx1"/>
            </w14:solidFill>
          </w14:textFill>
        </w:rPr>
        <w:t xml:space="preserve">工期，</w:t>
      </w:r>
      <w:r>
        <w:rPr>
          <w:rFonts w:hint="eastAsia" w:ascii="仿宋_GB2312" w:hAnsi="仿宋_GB2312" w:cs="仿宋_GB2312"/>
          <w:color w:val="000000" w:themeColor="text1"/>
          <w:sz w:val="24"/>
          <w14:textFill>
            <w14:solidFill>
              <w14:schemeClr w14:val="tx1"/>
            </w14:solidFill>
          </w14:textFill>
        </w:rPr>
        <w:t xml:space="preserve">拟派满足合同要求的人员赴现场开展辅助服务工作。</w:t>
      </w:r>
      <w:r>
        <w:rPr>
          <w:rFonts w:hint="eastAsia" w:ascii="仿宋_GB2312" w:hAnsi="仿宋_GB2312" w:cs="仿宋_GB2312"/>
          <w:color w:val="000000" w:themeColor="text1"/>
          <w:sz w:val="24"/>
          <w14:textFill>
            <w14:solidFill>
              <w14:schemeClr w14:val="tx1"/>
            </w14:solidFill>
          </w14:textFill>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3天，视为乙方拒绝交付、不能交付或不能完成合同，甲方有权解除合同，解除合同的通知自到达乙方时生效，解除合同造成的损失全部由乙方承担。</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2）参与辅助的各类人员应符合国家相关法律、法规的劳动用工要求；同时乙方辅助人员应相对固定，在服务期内不应有大量人事变动以致影响向</w:t>
      </w:r>
      <w:r>
        <w:rPr>
          <w:rFonts w:hint="eastAsia" w:ascii="仿宋_GB2312" w:hAnsi="仿宋_GB2312" w:cs="仿宋_GB2312"/>
          <w:color w:val="000000" w:themeColor="text1"/>
          <w:sz w:val="24"/>
          <w14:textFill>
            <w14:solidFill>
              <w14:schemeClr w14:val="tx1"/>
            </w14:solidFill>
          </w14:textFill>
        </w:rPr>
        <w:t xml:space="preserve">采购人</w:t>
      </w:r>
      <w:r>
        <w:rPr>
          <w:rFonts w:ascii="仿宋_GB2312" w:hAnsi="仿宋_GB2312" w:cs="仿宋_GB2312"/>
          <w:color w:val="000000" w:themeColor="text1"/>
          <w:sz w:val="24"/>
          <w14:textFill>
            <w14:solidFill>
              <w14:schemeClr w14:val="tx1"/>
            </w14:solidFill>
          </w14:textFill>
        </w:rPr>
        <w:t xml:space="preserve">提供的服务质量。</w:t>
      </w:r>
      <w:r>
        <w:rPr>
          <w:rFonts w:hint="eastAsia" w:ascii="宋体" w:hAnsi="宋体"/>
          <w:bCs/>
          <w:color w:val="000000" w:themeColor="text1"/>
          <w:sz w:val="24"/>
          <w14:textFill>
            <w14:solidFill>
              <w14:schemeClr w14:val="tx1"/>
            </w14:solidFill>
          </w14:textFill>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3）乙方自行采购</w:t>
      </w:r>
      <w:r>
        <w:rPr>
          <w:rFonts w:hint="eastAsia" w:ascii="仿宋_GB2312" w:hAnsi="仿宋_GB2312" w:cs="仿宋_GB2312"/>
          <w:color w:val="000000" w:themeColor="text1"/>
          <w:sz w:val="24"/>
          <w14:textFill>
            <w14:solidFill>
              <w14:schemeClr w14:val="tx1"/>
            </w14:solidFill>
          </w14:textFill>
        </w:rPr>
        <w:t xml:space="preserve">本项目</w:t>
      </w:r>
      <w:r>
        <w:rPr>
          <w:rFonts w:ascii="仿宋_GB2312" w:hAnsi="仿宋_GB2312" w:cs="仿宋_GB2312"/>
          <w:color w:val="000000" w:themeColor="text1"/>
          <w:sz w:val="24"/>
          <w14:textFill>
            <w14:solidFill>
              <w14:schemeClr w14:val="tx1"/>
            </w14:solidFill>
          </w14:textFill>
        </w:rPr>
        <w:t xml:space="preserve">所需的各种耗材。用于检测</w:t>
      </w:r>
      <w:r>
        <w:rPr>
          <w:rFonts w:hint="eastAsia" w:ascii="仿宋_GB2312" w:hAnsi="仿宋_GB2312" w:cs="仿宋_GB2312"/>
          <w:color w:val="000000" w:themeColor="text1"/>
          <w:sz w:val="24"/>
          <w14:textFill>
            <w14:solidFill>
              <w14:schemeClr w14:val="tx1"/>
            </w14:solidFill>
          </w14:textFill>
        </w:rPr>
        <w:t xml:space="preserve">和</w:t>
      </w:r>
      <w:r>
        <w:rPr>
          <w:rFonts w:ascii="仿宋_GB2312" w:hAnsi="仿宋_GB2312" w:cs="仿宋_GB2312"/>
          <w:color w:val="000000" w:themeColor="text1"/>
          <w:sz w:val="24"/>
          <w14:textFill>
            <w14:solidFill>
              <w14:schemeClr w14:val="tx1"/>
            </w14:solidFill>
          </w14:textFill>
        </w:rPr>
        <w:t xml:space="preserve">辅助服务工作的仪器设备、计量器具、标准物质等必须按照国家有关要求进行量值溯源或检定、校准。</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4）服务过程发现问题乙方负责人应向甲方项目负责人书面说明情况。乙方不得擅自处理或隐瞒发现的问题，因乙方隐瞒问题造成的全部损失由乙方承担。</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乙方应严格遵守使用单位和甲方的各项安全管理制度,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一旦进入检验现场，表示乙方对现场检验安全准备工作的认可，因乙方违规、违章作业造成的人身伤害和财产损失，包含但不限于常压储罐使用单位被检测设备造成损坏、乙方指派的人员遭受人身损害、对第三人造成人身损害等均由乙方负责，甲方不承担任何责任。</w:t>
      </w:r>
      <w:r/>
    </w:p>
    <w:p>
      <w:pPr>
        <w:ind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6）乙方检测人员在检测中应严格执行检测标准和检测工艺，并对检测结果的完整性、正确性负责。</w:t>
      </w:r>
      <w:r/>
    </w:p>
    <w:p>
      <w:pPr>
        <w:ind w:firstLine="480"/>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7）对甲方和受检単位需保密的有关商业、技术、经营、管理等方面的信息、结果、资料等，乙方不得向其他单位或个人泄密，对需保密的资料要妥善保管，无关人员不得翻阅、复制。乙方承诺严格遵守国家关于隐私方面的所有法律法规，为甲方绝对保密任何有关甲方和受检単位的资料，不得泄露检测所服务的企业单位的任何商业机密，不得将检测数据私自泄露。甲方不承担本项目实施过程中的任何因乙方泄密造成的责任及经济赔偿。本</w:t>
      </w:r>
      <w:r>
        <w:rPr>
          <w:rFonts w:hint="eastAsia" w:ascii="宋体" w:hAnsi="宋体"/>
          <w:color w:val="000000" w:themeColor="text1"/>
          <w:sz w:val="24"/>
          <w14:textFill>
            <w14:solidFill>
              <w14:schemeClr w14:val="tx1"/>
            </w14:solidFill>
          </w14:textFill>
        </w:rPr>
        <w:t xml:space="preserve">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w:t>
      </w:r>
      <w:r>
        <w:rPr>
          <w:rFonts w:ascii="仿宋_GB2312" w:hAnsi="仿宋_GB2312" w:cs="仿宋_GB2312"/>
          <w:color w:val="000000" w:themeColor="text1"/>
          <w:sz w:val="24"/>
          <w14:textFill>
            <w14:solidFill>
              <w14:schemeClr w14:val="tx1"/>
            </w14:solidFill>
          </w14:textFill>
        </w:rPr>
        <w:t xml:space="preserve">8）在项目工作期间，乙方应对劳务服务输出人员保持承担相应责任和义务（包括但不限于薪酬、职业保险等），并应根据所适用的法律履行或执行对雇员的补偿和其他各类保险。</w:t>
      </w:r>
      <w:r/>
    </w:p>
    <w:p>
      <w:pPr>
        <w:ind w:firstLine="480"/>
        <w:spacing w:line="360" w:lineRule="auto"/>
        <w:tabs>
          <w:tab w:val="left" w:pos="4785" w:leader="none"/>
        </w:tabs>
        <w:rPr>
          <w:rFonts w:hint="eastAsia" w:ascii="宋体" w:hAnsi="宋体"/>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乙方拒绝交付、不能交付、不能完成合同约定的义务，甲方有权解除本合同。</w:t>
      </w:r>
      <w:r/>
    </w:p>
    <w:p>
      <w:pPr>
        <w:ind w:firstLine="480"/>
        <w:spacing w:line="360" w:lineRule="auto"/>
        <w:tabs>
          <w:tab w:val="left" w:pos="4785" w:leader="none"/>
        </w:tabs>
        <w:rPr>
          <w:rFonts w:hint="eastAsia" w:ascii="宋体" w:hAnsi="宋体"/>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（10）</w:t>
      </w:r>
      <w:bookmarkStart w:id="169" w:name="auto_fouce_29"/>
      <w:r>
        <w:rPr>
          <w:rFonts w:hint="eastAsia" w:ascii="宋体" w:hAnsi="宋体"/>
          <w:color w:val="000000" w:themeColor="text1"/>
          <w:sz w:val="24"/>
          <w14:textFill>
            <w14:solidFill>
              <w14:schemeClr w14:val="tx1"/>
            </w14:solidFill>
          </w14:textFill>
        </w:rPr>
        <w:t xml:space="preserve">乙方履行义务存在重大不符合合同约定，且该等不符合属于对检测结果准确性、可靠性或项目整体进度造成重大影响的情形（包括但不限于本章节（12）条约定的情形）时，应无偿整改直至符合要求。整改后仍不符合的，甲方有权拒绝支付对应服务费用，并有权扣减该不合格服务部分结算费用的5%作为违约金。</w:t>
      </w:r>
      <w:bookmarkEnd w:id="169"/>
      <w:r/>
      <w:r/>
    </w:p>
    <w:p>
      <w:pPr>
        <w:ind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（11）</w:t>
      </w:r>
      <w:r>
        <w:rPr>
          <w:rFonts w:ascii="仿宋_GB2312" w:hAnsi="仿宋_GB2312" w:cs="仿宋_GB2312"/>
          <w:color w:val="000000" w:themeColor="text1"/>
          <w:sz w:val="24"/>
          <w14:textFill>
            <w14:solidFill>
              <w14:schemeClr w14:val="tx1"/>
            </w14:solidFill>
          </w14:textFill>
        </w:rPr>
        <w:t xml:space="preserve"> 乙方供给甲方的设备、材料及乙方自己的施工用具，进入甲方工地现场后的保管，由乙方负责；乙方在甲方工地现场安装、调试、验收人员的安全、保险、食宿、交通由乙方负责。</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12）本项目实施过程中，凡因乙方原因（包括但不限于辅助工作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（13）乙方要严格按照方案开展辅助服务任务及本合同项下工作任务，不得弄虚作假，一经发现，甲方有权解除本服务合同。</w:t>
      </w:r>
      <w:r/>
    </w:p>
    <w:p>
      <w:pPr>
        <w:ind w:left="108"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t xml:space="preserve">（14）本合同履行期间，乙方不得以甲方名义对外进行书面或口头承诺，不得以甲方名义对外签署协议，不得以与甲方存在合同关系对外进行宣传。</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15）本合同履行期间，乙方无正当理由拒绝或未按时完成甲方安排的辅助工作任务、或拒绝配合甲方业务调配的，每发生一次甲方有权扣减本次结算费用的3%，且甲方有权要求其继续履行；累计发生两次（含）以上的，甲方有权解除本合同。</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（16）乙方应按照国家和甲方的操作规范执行并做好完整的工作记录。</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（17）乙方应接受并主动配合甲方及行业主管部门的检查，对甲方指出的问题，应及时做出合理解释或予以纠正。</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（18）乙方应自行承担项目实施一切有关费用。</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（19）国家法律法规规定及本合同约定应由乙方承担的其他义务和责任。</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四、技术及服务要求</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1、服务总体要求</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（1）按照甲方的辅助服务任务通知要求，乙方在 24 小时内对工作任务做出响应（包含夜间任务），并配合甲方在现场完成辅助服务工作。对甲方安排的技术指令不得擅自更改。工作完成后应及时提交数据记录，并对工作结果负责，保证坐标、影像及统计数据的真实性、准确性、有效性。无本项目合同或法律规定的免责事由，乙方不得拒绝甲方根据合同约定及项目实际情况发出的合理工作安排，否则视为乙方违约，甲方有权依据本项目合同第三条追究其违约责任。</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（2）乙方需配置能满足项目技术服务所需的测量与辅助设备及工具等，保证检验设备的标识、检定、使用、保养、维修符合要求，确保在投入使用前均测试正常，以及检验设备使用数据无误。</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（3）安全风险防控要求：</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乙方应认真做好现场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2）未经被检测单位的工作人员许可，乙方的操作人员不得对被检测单位的特种设备进行任何操作，严禁违规操作。</w:t>
      </w:r>
      <w:r/>
    </w:p>
    <w:p>
      <w:pPr>
        <w:ind w:firstLine="480"/>
        <w:jc w:val="left"/>
        <w:spacing w:line="360" w:lineRule="auto"/>
        <w:tabs>
          <w:tab w:val="left" w:pos="478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ind w:firstLine="480"/>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乙方必须具备独立完成本项目的能力，中标后不允许分包、转包。如发现乙方在本项目中存在资质挂靠、转包、分包、不委派指定的技术人员及其他违规情况，视为乙方根本违约，一切不利后果由乙方负责。甲方有权立即单方解除合同，乙方应向甲方支付合同总预算额度 30% 的违约金。若该违约金不足以弥补甲方因此遭受的全部损失 (包括但不限于重新采购服务的差价损失、对第三方承担的违约责任等)，甲方有权要求乙方赔偿超出违约金部分的损失。</w:t>
      </w:r>
      <w:r/>
    </w:p>
    <w:p>
      <w:pPr>
        <w:ind w:left="108"/>
        <w:jc w:val="left"/>
        <w:spacing w:line="360" w:lineRule="auto"/>
        <w:tabs>
          <w:tab w:val="left" w:pos="4785" w:leader="none"/>
        </w:tabs>
        <w:rPr>
          <w:rFonts w:hint="eastAsia" w:ascii="仿宋_GB2312" w:hAnsi="仿宋_GB2312" w:cs="仿宋_GB2312"/>
          <w:b/>
          <w:color w:val="000000" w:themeColor="text1"/>
          <w:sz w:val="24"/>
          <w14:textFill>
            <w14:solidFill>
              <w14:schemeClr w14:val="tx1"/>
            </w14:solidFill>
          </w14:textFill>
        </w:rPr>
      </w:pPr>
      <w:r>
        <w:rPr>
          <w:rFonts w:hint="eastAsia" w:ascii="仿宋_GB2312" w:hAnsi="仿宋_GB2312" w:cs="仿宋_GB2312"/>
          <w:b/>
          <w:color w:val="000000" w:themeColor="text1"/>
          <w:sz w:val="24"/>
          <w14:textFill>
            <w14:solidFill>
              <w14:schemeClr w14:val="tx1"/>
            </w14:solidFill>
          </w14:textFill>
        </w:rPr>
        <w:t xml:space="preserve">2、服务技术要求</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（1）内检测实施辅助工作包括</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检测转运、现场内检测实施吊装发球、现场跟球、定标盒敷设回收等，按照辅助服务方案得要求敷设和回收内检测定标盒，提供工程车辆协助江苏省特检院进行设备转运、清管、内检测器投运工作，并在收发球过程中提供人员和车辆进行辅助跟球。</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（2）管线防腐层不开挖检测辅助内容包括:</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1）管线地理信息采集：包括管道位置，深度，走向，管线图绘制，测试桩位置坐标测量等。管道位置、深度、走向应根据PCM+或DM等专用钢质埋地管道防腐层检测系统的检测结果</w:t>
      </w:r>
      <w:r>
        <w:rPr>
          <w:rFonts w:hint="eastAsia" w:ascii="宋体" w:hAnsi="宋体" w:cs="宋体"/>
          <w:color w:val="000000" w:themeColor="text1"/>
          <w:sz w:val="24"/>
          <w:szCs w:val="24"/>
          <w14:textFill>
            <w14:solidFill>
              <w14:schemeClr w14:val="tx1"/>
            </w14:solidFill>
          </w14:textFill>
        </w:rPr>
        <w:t xml:space="preserve">，进行管道地理位置描述，含工业区、村庄、医院、学校、铁路、公路、河流、山体等，穿越和跨越描述，用手机或相机拍照，其坐标采用GPS记录仪格式。测试桩位置，描述周围环境，并采用GPS记录仪格式记录，所有管道和测试桩的GPS数据采用符合本项目实施要求的专业地图软件进行绘制成线型图。辅助工作完成当日用EXCEL软件格式输入电脑，进行电子存档，现场手写的原始数据记录于第二天移交给采购人项目负责人。拍照的相片应用中文名称标识一一对应，每天应用EXCEL软件统计穿越和跨越数量，数据含GPS坐标、管道与周围环境的相对位置。</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管线建（构）筑物占压统计及调查：管线各5米范围内住人的建筑物，堆货的构筑物，管道上方的占压物数量统计，位置标记，并进行拍照图示。利用标尺测量占压物与管道的相对距离，距离单位为米，采用GPS坐标标识占压起止点，用手机或相机拍照，并描述占压物的形式、周边地理信息以及与周边环境的相对位置，每天应用EXCEL软件统计占压情况。</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管线深根植物统计及调查：管道两侧5米范围内，对管道防腐层和本体有影响的深根植物数量，密度，位置的统计和测绘。利用GPS记录深根植物的占压长度进行起止点定位，描述植物种类、植物大小、植物密度、周边的地理信息、和周边环境的相对位置，必要时拍照记录，每天应用EXCEL软件统计深根植物情况。</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管线防腐层不开挖检测辅助工作，主要包括看守发射机、记录电流值数据、GPS打点、疑似破损点打木桩、问题点拍照等。辅助检测防腐层不开挖状况时，在取电流值的位置、疑似破损点的位置或其他问题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（3）密间距管地电位法测试辅助工作包括：</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负责搬运仪器和数据读取，确定管道位置，在通电电位和断电电位异常的地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（4）杂散电流普查测试辅助工作包括：</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放硫酸铜参比电极和读取数据，GPS记录，同时记录周边永久性标志、参照物等；连续测试时，看守设备等；方向性测试时，安放铜硫酸铜参比电极和地针，确定杂散电流方向，记录周围标志性参照物。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（5）管地电位梯度和杂散电流方向性测试辅助工作包括：</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阴极保护站阴保系统检测辅助工作，外加电流阴极保护恒电位仪检查时，需要配合升电位和降电位测试的辅助；牺牲阳极阴极保护一般都埋设阳极地床，辅助工作含配合我院检测人员布线、安装地极、测量和收线等。在阴极保护测试桩埋设和取出金属试片，埋设深度30cm以上，并协助检测人员进行通断电位的测量。</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711口径内检测器设备需适用于目标管道的介质环境，耐压等级需高于管道最高运行压力。其采样频率、轴向/环向分辨率必须达到现行国家或行业标准，确保能够精准识别管壁金属损失、变形及特征点。合同签订后，成交供应商须提供检测器牵拉试验报告等性能测试资料，现场标定测试正常。服务人员需熟练操作检测器，并能解决现场遇见的突发问题。</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（7）273、406.4口径内检测用漏磁探头、几何探头、皮碗、钢刷提供，按照现场需求提供泡沫清管器、测径板、钢刷、皮碗等耗材。</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土方开挖，包括探坑人工开挖和地貌恢复。应编制开挖的技术施工方案，采用人工方式开挖，不得损坏管道防腐层，探坑长度的确定原则是露出管体（包括破损点）大于等于2米；探坑深度的确定原则是挖到管体下方悬空0.3米以上，必要时需要打桩排水，使管道具备检测条件；探坑宽度和边坡等几何尺寸，及安全措施应符合GB/T50369-2006《油气长输管道工程施工及验收规范》。地貌恢复要求：1）填土前要清除坑底的杂物、垃圾；2）原土回填；3）管道部位应回填细土，严禁有块石与管道接触，必要时铺设警示带；4）</w:t>
      </w:r>
      <w:r>
        <w:rPr>
          <w:rFonts w:hint="eastAsia" w:ascii="宋体" w:hAnsi="宋体" w:cs="宋体"/>
          <w:color w:val="000000" w:themeColor="text1"/>
          <w:sz w:val="24"/>
          <w:szCs w:val="24"/>
          <w14:textFill>
            <w14:solidFill>
              <w14:schemeClr w14:val="tx1"/>
            </w14:solidFill>
          </w14:textFill>
        </w:rPr>
        <w:t xml:space="preserve">回填土采用分层回填，分层厚度300㎜，每层采用人工夯实处理；5）最后按照原来地貌恢复。服务过程中，敷设环境调查时，地电位梯度辅助检测，硫酸铜参比电极安放、收放线、GPS坐标记录等。服务过程中，土壤电阻率检测辅助工作，协助检测人员按照GB/T19285标准要求布置测试现场，用GPS坐标记录位置，并记录周围标志性的参考物。服务过程中，管道外防腐层拆除及恢复，为检查管道本体的剩余壁厚和腐蚀状况、检测管道本体的内部质量需要拆除外防腐层，检查和检测完成后，需要恢复防腐层状况，验收质量以符合管道使用方的具体要求为依据。</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服务过程中，防腐层粘结力检测和电火花检测辅助，辅助检测人员完成粘结力测试和电火花检测等。</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服务过程中，如遇开挖处有对接焊缝，应保证现场具备检测条件并对对接焊缝进行射线或超声埋藏缺陷检测，提供检测报告。</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（9）遵守长庆油田相应安全规程和要求，在辅助工作开展前，完成人员HSE培训，取得人员证件，协助办理各项作业票，协调开挖现场，办理开挖手续。</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（10）其他服务技术要求：</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1）应按辅助作业的相关技术规范进行作业，发现现场环境或技术手段不能满足甲方需求时，应及时告知甲方并协商调整作业方案；</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2）对于现场无法完成测绘及辅助作业的情况及时告知甲方，并按要求进行补充测量或调查；</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3）乙方应确保现场作业全过程质量受控。本项目履行过程中形成的原始记录（含坐标数据等）的质量合格率达到 100%（对不合格的应及时重测或重新采集数据）；</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4）乙方应严格遵守使用单位和甲方的各项安全管理制度，严格执行 HSE 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5）原则上测量结果需要在辅助工作完成后的 24 个小时内以纸质或电子版形式向甲方提交；</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6）乙方应具备健全的测绘及辅助作业管理制度，作业方案、现场原始记录和数据处理成果应符合院内的相关规范与要求；</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7）严格执行台帐制度，保证现场测绘与辅助作业的各个环节都有台帐记录和原始记录，做到所有现场采集的数据都可追溯；</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严格执行档案管理制度。根据甲方的保密要求，乙方对测绘与辅助工作过程中形成的档案资料（包括但不限于原始电子数据、管线走向图及统计台账等），且应确保电子数据的清晰度、完整性及不可篡改性。保存期满后，乙方应优先将上述资料全部无偿移交甲方存档，确需销毁的，必须提前征得甲方书面同意，销毁过程需由甲方派员监销。若乙方存在丢失、篡改、擅自披露项目档案资料情形的，应向甲方支付对应服务项目费用 20% 的违约金，造成甲方或第三方损失的，乙方还应承担全部赔偿责任；</w:t>
      </w:r>
      <w:r/>
    </w:p>
    <w:p>
      <w:pPr>
        <w:ind w:firstLine="480"/>
        <w:jc w:val="left"/>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9）工作完成后，乙方应将所有纸质资料进行数字化处理，连同原始电子数据汇总形成完整的电子文档包移交给甲方存档。此项费用应包含在投标报价中，甲方不再支付任何额外的费用。</w:t>
      </w:r>
      <w:r/>
    </w:p>
    <w:p>
      <w:pPr>
        <w:ind w:firstLine="482"/>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（10）质量安全要求：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乙方根据甲方要求实施</w:t>
      </w:r>
      <w:r>
        <w:rPr>
          <w:rFonts w:hint="eastAsia" w:ascii="宋体" w:hAnsi="宋体" w:cs="宋体"/>
          <w:color w:val="000000" w:themeColor="text1"/>
          <w:sz w:val="24"/>
          <w:szCs w:val="24"/>
          <w14:textFill>
            <w14:solidFill>
              <w14:schemeClr w14:val="tx1"/>
            </w14:solidFill>
          </w14:textFill>
        </w:rPr>
        <w:t xml:space="preserve">辅助服务工作</w:t>
      </w:r>
      <w:r>
        <w:rPr>
          <w:rFonts w:hint="eastAsia" w:ascii="宋体" w:hAnsi="宋体"/>
          <w:color w:val="000000" w:themeColor="text1"/>
          <w:sz w:val="24"/>
          <w:szCs w:val="24"/>
          <w14:textFill>
            <w14:solidFill>
              <w14:schemeClr w14:val="tx1"/>
            </w14:solidFill>
          </w14:textFill>
        </w:rPr>
        <w:t xml:space="preserve">，必须严格按照质量体系要求和相关质量保证规范。必须符合国家的相关标准、特种设备安全技术规范、行业技术标准、项目服务方案及甲方项目负责人指定的技术要求以及被服务单位的各项管理规定：</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1）建立质量管理机构，各责任人职责明确；</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2）质量管理体系运行规范，质量制度落实到位；</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4）仪器设备齐全，并在检定、校准有效期内使用；</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5）建立安全环境管理及保障措施；</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6）日常工作能满足项目和甲方单位的辅助工作要求等；</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ascii="宋体" w:hAnsi="宋体"/>
          <w:color w:val="000000" w:themeColor="text1"/>
          <w:sz w:val="24"/>
          <w:szCs w:val="24"/>
          <w14:textFill>
            <w14:solidFill>
              <w14:schemeClr w14:val="tx1"/>
            </w14:solidFill>
          </w14:textFill>
        </w:rPr>
        <w:t xml:space="preserve">场地设施和环境(包括温度、湿度、光照度、清洁度等)满足体系要求；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乙方在参加本次招标活动前两年内及本项目合同履行期间，如经查实存在下列情形之一的，甲方有权立即单方解除合同，并向同级财政部门报告。由此给甲方造成的实际损失及违约责任的，由乙方承担全部责任和经济处罚；</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①被认定存在检测造假、出具虚假报告的；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②发生重大质量、安全事故，或存在重大质量、安全事故隐患的；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③因检测质量、安全和诚信原因被政府、行业列入黑名单的；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④被政府部门通报批评的；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⑤超资质范围检测的；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⑥使用未取得相应检测资格的人员从事无损检测工作的。</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9）乙方</w:t>
      </w:r>
      <w:r>
        <w:rPr>
          <w:rFonts w:ascii="宋体" w:hAnsi="宋体"/>
          <w:color w:val="000000" w:themeColor="text1"/>
          <w:sz w:val="24"/>
          <w:szCs w:val="24"/>
          <w14:textFill>
            <w14:solidFill>
              <w14:schemeClr w14:val="tx1"/>
            </w14:solidFill>
          </w14:textFill>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color w:val="000000" w:themeColor="text1"/>
          <w:sz w:val="24"/>
          <w:szCs w:val="24"/>
          <w14:textFill>
            <w14:solidFill>
              <w14:schemeClr w14:val="tx1"/>
            </w14:solidFill>
          </w14:textFill>
        </w:rPr>
        <w:t xml:space="preserve">甲方</w:t>
      </w:r>
      <w:r>
        <w:rPr>
          <w:rFonts w:ascii="宋体" w:hAnsi="宋体"/>
          <w:color w:val="000000" w:themeColor="text1"/>
          <w:sz w:val="24"/>
          <w:szCs w:val="24"/>
          <w14:textFill>
            <w14:solidFill>
              <w14:schemeClr w14:val="tx1"/>
            </w14:solidFill>
          </w14:textFill>
        </w:rPr>
        <w:t xml:space="preserve">有权单方面中止项目、解除合同并追究其违约责任。</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r>
        <w:rPr>
          <w:rFonts w:ascii="宋体" w:hAnsi="宋体"/>
          <w:color w:val="000000" w:themeColor="text1"/>
          <w:sz w:val="24"/>
          <w:szCs w:val="24"/>
          <w14:textFill>
            <w14:solidFill>
              <w14:schemeClr w14:val="tx1"/>
            </w14:solidFill>
          </w14:textFill>
        </w:rPr>
        <w:t xml:space="preserve">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w:t>
      </w:r>
      <w:r>
        <w:rPr>
          <w:rFonts w:ascii="宋体" w:hAnsi="宋体"/>
          <w:color w:val="000000" w:themeColor="text1"/>
          <w:sz w:val="24"/>
          <w:szCs w:val="24"/>
          <w14:textFill>
            <w14:solidFill>
              <w14:schemeClr w14:val="tx1"/>
            </w14:solidFill>
          </w14:textFill>
        </w:rPr>
        <w:t xml:space="preserve">严格执行台帐制度，保证试验检测各个环节都有台帐记录，做到所有试验检测数据都可追溯。</w:t>
      </w:r>
      <w:r/>
    </w:p>
    <w:p>
      <w:pPr>
        <w:ind w:firstLine="482"/>
        <w:spacing w:line="360" w:lineRule="auto"/>
        <w:tabs>
          <w:tab w:val="left" w:pos="4785" w:leader="none"/>
        </w:tabs>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六、货物、服务的购买或租赁权利瑕疵条款</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乙方应保证提供的货物、设备或服务不存在所有权、抵押权、使用权、知识产权等权利瑕疵。</w:t>
      </w:r>
      <w:r/>
    </w:p>
    <w:p>
      <w:pPr>
        <w:ind w:firstLine="482"/>
        <w:spacing w:line="360" w:lineRule="auto"/>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七、不可抗力</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82"/>
        <w:spacing w:line="360" w:lineRule="auto"/>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八、合同的变更和终止</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cs="仿宋_GB2312"/>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除《政府采购法》第50条第二款规定的情形外，本合同一经签订，甲乙双方不得擅自变更、中止或终止合同。</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s="仿宋_GB2312"/>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除发生法律规定的不能预见、不能避免并不能克服的客观情况外，甲乙双方不得放弃或拒绝履行合同。</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任何对本合同的变更均需经甲乙双方协商一致后，以书面形式作出，口头变更不发生效力。</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一方依据本合同约定单方解除合同的，应当向对方发出书面解除通知，解除通知按照本合同约定送达方式送达对方后即发生效力。</w:t>
      </w:r>
      <w:r/>
    </w:p>
    <w:p>
      <w:pPr>
        <w:ind w:firstLine="482"/>
        <w:spacing w:line="360" w:lineRule="auto"/>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九、合同权利义务的转让条款</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乙方不得将合同标的转包给其他供应商履行,也不得将合同主体部分或关键性工作分包给第三方；</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s="仿宋_GB2312"/>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十、争议的解决</w:t>
      </w:r>
      <w:r/>
    </w:p>
    <w:p>
      <w:pPr>
        <w:ind w:firstLine="480"/>
        <w:spacing w:line="360" w:lineRule="auto"/>
        <w:rPr>
          <w:rFonts w:hint="eastAsia" w:ascii="宋体" w:hAnsi="宋体" w:cs="仿宋_GB2312"/>
          <w:strike/>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合同履行过程中发生争议，双方应友好协商，协商不成的，同意提交</w:t>
      </w:r>
      <w:r>
        <w:rPr>
          <w:rFonts w:hint="eastAsia" w:ascii="宋体" w:hAnsi="宋体"/>
          <w:color w:val="000000" w:themeColor="text1"/>
          <w:sz w:val="24"/>
          <w:u w:val="single"/>
          <w14:textFill>
            <w14:solidFill>
              <w14:schemeClr w14:val="tx1"/>
            </w14:solidFill>
          </w14:textFill>
        </w:rPr>
        <w:t xml:space="preserve">南京</w:t>
      </w:r>
      <w:r>
        <w:rPr>
          <w:rFonts w:hint="eastAsia" w:ascii="宋体" w:hAnsi="宋体"/>
          <w:color w:val="000000" w:themeColor="text1"/>
          <w:sz w:val="24"/>
          <w14:textFill>
            <w14:solidFill>
              <w14:schemeClr w14:val="tx1"/>
            </w14:solidFill>
          </w14:textFill>
        </w:rPr>
        <w:t xml:space="preserve">仲裁委员会按其仲裁规则裁决。</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在仲裁期间，本合同应继续履行，仲裁产生的仲裁费、鉴定费、保全费、</w:t>
      </w:r>
      <w:r>
        <w:rPr>
          <w:rFonts w:hint="eastAsia" w:ascii="宋体" w:hAnsi="宋体" w:cs="仿宋_GB2312"/>
          <w:color w:val="000000" w:themeColor="text1"/>
          <w:sz w:val="24"/>
          <w14:textFill>
            <w14:solidFill>
              <w14:schemeClr w14:val="tx1"/>
            </w14:solidFill>
          </w14:textFill>
        </w:rPr>
        <w:t xml:space="preserve">担保费、</w:t>
      </w:r>
      <w:r>
        <w:rPr>
          <w:rFonts w:hint="eastAsia" w:ascii="宋体" w:hAnsi="宋体"/>
          <w:color w:val="000000" w:themeColor="text1"/>
          <w:sz w:val="24"/>
          <w14:textFill>
            <w14:solidFill>
              <w14:schemeClr w14:val="tx1"/>
            </w14:solidFill>
          </w14:textFill>
        </w:rPr>
        <w:t xml:space="preserve">律师费等合理支出由违约方承担。</w:t>
      </w:r>
      <w:r/>
    </w:p>
    <w:p>
      <w:pPr>
        <w:ind w:firstLine="482"/>
        <w:spacing w:line="360" w:lineRule="auto"/>
        <w:tabs>
          <w:tab w:val="left" w:pos="4785" w:leader="none"/>
        </w:tabs>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十一、 诚实信用和廉洁条款</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tabs>
          <w:tab w:val="left" w:pos="4785" w:leader="none"/>
        </w:tabs>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十二、保密条款</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ind w:firstLine="482"/>
        <w:spacing w:line="360" w:lineRule="auto"/>
        <w:tabs>
          <w:tab w:val="left" w:pos="4785" w:leader="none"/>
        </w:tabs>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十三、送达条款</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cs="仿宋_GB2312"/>
          <w:b/>
          <w:color w:val="000000" w:themeColor="text1"/>
          <w:sz w:val="24"/>
          <w14:textFill>
            <w14:solidFill>
              <w14:schemeClr w14:val="tx1"/>
            </w14:solidFill>
          </w14:textFill>
        </w:rPr>
      </w:pPr>
      <w:r>
        <w:rPr>
          <w:rFonts w:hint="eastAsia" w:ascii="宋体" w:hAnsi="宋体" w:cs="仿宋_GB2312"/>
          <w:b/>
          <w:color w:val="000000" w:themeColor="text1"/>
          <w:sz w:val="24"/>
          <w14:textFill>
            <w14:solidFill>
              <w14:schemeClr w14:val="tx1"/>
            </w14:solidFill>
          </w14:textFill>
        </w:rPr>
        <w:t xml:space="preserve">十四、其他</w:t>
      </w:r>
      <w:r/>
    </w:p>
    <w:p>
      <w:pPr>
        <w:ind w:firstLine="480"/>
        <w:spacing w:line="360" w:lineRule="auto"/>
        <w:rPr>
          <w:rFonts w:hint="eastAsia"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合同的生效：本合同一式陆份，自甲乙双方签字盖章之日起生效。</w:t>
      </w:r>
      <w:r/>
    </w:p>
    <w:p>
      <w:pPr>
        <w:ind w:firstLine="480"/>
        <w:spacing w:line="360" w:lineRule="auto"/>
        <w:rPr>
          <w:rFonts w:hint="eastAsia"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未尽事宜、双方协商解决，并按《中华人民共和国民法典》</w:t>
      </w:r>
      <w:r>
        <w:rPr>
          <w:rFonts w:hint="eastAsia" w:ascii="宋体" w:hAnsi="宋体" w:cs="仿宋_GB2312"/>
          <w:color w:val="000000" w:themeColor="text1"/>
          <w:sz w:val="24"/>
          <w14:textFill>
            <w14:solidFill>
              <w14:schemeClr w14:val="tx1"/>
            </w14:solidFill>
          </w14:textFill>
        </w:rPr>
        <w:t xml:space="preserve">及相关法律、法规</w:t>
      </w:r>
      <w:r>
        <w:rPr>
          <w:rFonts w:hint="eastAsia" w:ascii="宋体" w:hAnsi="宋体"/>
          <w:color w:val="000000" w:themeColor="text1"/>
          <w:sz w:val="24"/>
          <w14:textFill>
            <w14:solidFill>
              <w14:schemeClr w14:val="tx1"/>
            </w14:solidFill>
          </w14:textFill>
        </w:rPr>
        <w:t xml:space="preserve">的规定调整。</w:t>
      </w:r>
      <w:r/>
    </w:p>
    <w:p>
      <w:pPr>
        <w:ind w:firstLine="480"/>
        <w:spacing w:line="360" w:lineRule="auto"/>
        <w:rPr>
          <w:rFonts w:hint="eastAsia" w:ascii="宋体" w:hAnsi="宋体" w:cs="仿宋_GB2312"/>
          <w:color w:val="000000" w:themeColor="text1"/>
          <w:sz w:val="24"/>
          <w14:textFill>
            <w14:solidFill>
              <w14:schemeClr w14:val="tx1"/>
            </w14:solidFill>
          </w14:textFill>
        </w:rPr>
      </w:pPr>
      <w:r>
        <w:rPr>
          <w:rFonts w:hint="eastAsia" w:ascii="宋体" w:hAnsi="宋体" w:cs="仿宋_GB2312"/>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采购文件、成交通知书、乙方的响应文件及响应承诺书是签订本合同的依据，本合同未尽事项首先依据采购文件、</w:t>
      </w:r>
      <w:r>
        <w:rPr>
          <w:rFonts w:hint="eastAsia" w:ascii="宋体" w:hAnsi="宋体" w:cs="仿宋_GB2312"/>
          <w:color w:val="000000" w:themeColor="text1"/>
          <w:sz w:val="24"/>
          <w14:textFill>
            <w14:solidFill>
              <w14:schemeClr w14:val="tx1"/>
            </w14:solidFill>
          </w14:textFill>
        </w:rPr>
        <w:t xml:space="preserve">成交</w:t>
      </w:r>
      <w:r>
        <w:rPr>
          <w:rFonts w:hint="eastAsia" w:ascii="宋体" w:hAnsi="宋体"/>
          <w:color w:val="000000" w:themeColor="text1"/>
          <w:sz w:val="24"/>
          <w14:textFill>
            <w14:solidFill>
              <w14:schemeClr w14:val="tx1"/>
            </w14:solidFill>
          </w14:textFill>
        </w:rPr>
        <w:t xml:space="preserve">通知书、乙方的响应文件及响应承诺书进行履行，双方也可以在不违背本合同实质性内容的基础上达成补充协议，补充协议与本合同具有相同的法律效力。</w:t>
      </w:r>
      <w:r/>
    </w:p>
    <w:p>
      <w:pPr>
        <w:ind w:left="108"/>
        <w:jc w:val="left"/>
        <w:spacing w:line="360" w:lineRule="auto"/>
        <w:tabs>
          <w:tab w:val="left" w:pos="4785" w:leader="none"/>
        </w:tabs>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tbl>
      <w:tblPr>
        <w:tblStyle w:val="1049"/>
        <w:tblW w:w="9025" w:type="dxa"/>
        <w:tblInd w:w="0" w:type="dxa"/>
        <w:tblLayout w:type="fixed"/>
        <w:tblCellMar>
          <w:left w:w="108" w:type="dxa"/>
          <w:top w:w="0" w:type="dxa"/>
          <w:right w:w="108" w:type="dxa"/>
          <w:bottom w:w="0" w:type="dxa"/>
        </w:tblCellMar>
        <w:tblLook w:val="04A0" w:firstRow="1" w:lastRow="0" w:firstColumn="1" w:lastColumn="0" w:noHBand="0" w:noVBand="1"/>
      </w:tblPr>
      <w:tblGrid>
        <w:gridCol w:w="4702"/>
        <w:gridCol w:w="4323"/>
      </w:tblGrid>
      <w:tr>
        <w:trPr>
          <w:trHeight w:val="4483"/>
        </w:trPr>
        <w:tc>
          <w:tcPr>
            <w:tcW w:w="4702" w:type="dxa"/>
            <w:textDirection w:val="lrTb"/>
            <w:noWrap w:val="false"/>
          </w:tcPr>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甲方：</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单位名称：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单位地址：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法定代表人：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委托代理人（签字）：</w:t>
            </w:r>
            <w:r/>
          </w:p>
          <w:p>
            <w:pPr>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hint="eastAsia" w:ascii="仿宋_GB2312" w:hAnsi="仿宋_GB2312" w:cs="仿宋_GB2312"/>
                <w:color w:val="000000" w:themeColor="text1"/>
                <w:sz w:val="24"/>
                <w14:textFill>
                  <w14:solidFill>
                    <w14:schemeClr w14:val="tx1"/>
                  </w14:solidFill>
                </w14:textFill>
              </w:rPr>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联系方式：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签订日期：         年     月    日</w:t>
            </w:r>
            <w:r/>
          </w:p>
        </w:tc>
        <w:tc>
          <w:tcPr>
            <w:tcW w:w="4323" w:type="dxa"/>
            <w:textDirection w:val="lrTb"/>
            <w:noWrap w:val="false"/>
          </w:tcPr>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乙方：</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单位名称：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单位地址：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法定代表人：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委托代理人（签字）：</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电话：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传真：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开户银行：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帐号：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税号： </w:t>
            </w:r>
            <w:r/>
          </w:p>
          <w:p>
            <w:pPr>
              <w:spacing w:line="400" w:lineRule="exact"/>
              <w:rPr>
                <w:rFonts w:hint="eastAsia" w:ascii="仿宋_GB2312" w:hAnsi="仿宋_GB2312" w:cs="仿宋_GB2312"/>
                <w:color w:val="000000" w:themeColor="text1"/>
                <w:sz w:val="24"/>
                <w14:textFill>
                  <w14:solidFill>
                    <w14:schemeClr w14:val="tx1"/>
                  </w14:solidFill>
                </w14:textFill>
              </w:rPr>
            </w:pPr>
            <w:r>
              <w:rPr>
                <w:rFonts w:ascii="仿宋_GB2312" w:hAnsi="仿宋_GB2312" w:cs="仿宋_GB2312"/>
                <w:color w:val="000000" w:themeColor="text1"/>
                <w:sz w:val="24"/>
                <w14:textFill>
                  <w14:solidFill>
                    <w14:schemeClr w14:val="tx1"/>
                  </w14:solidFill>
                </w14:textFill>
              </w:rPr>
              <w:t xml:space="preserve">签订日期：         年     月    日</w:t>
            </w:r>
            <w:bookmarkEnd w:id="166"/>
            <w:r/>
            <w:bookmarkEnd w:id="167"/>
            <w:r/>
            <w:bookmarkEnd w:id="168"/>
            <w:r/>
            <w:r/>
          </w:p>
        </w:tc>
      </w:tr>
    </w:tbl>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jc w:val="center"/>
        <w:spacing w:line="360" w:lineRule="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39"/>
        <w:rPr>
          <w:b/>
          <w:bCs/>
          <w:color w:val="000000" w:themeColor="text1"/>
          <w:sz w:val="32"/>
          <w:szCs w:val="21"/>
          <w14:textFill>
            <w14:solidFill>
              <w14:schemeClr w14:val="tx1"/>
            </w14:solidFill>
          </w14:textFill>
        </w:rPr>
      </w:pPr>
      <w:r/>
      <w:bookmarkStart w:id="170" w:name="_Toc11211"/>
      <w:r>
        <w:rPr>
          <w:rFonts w:hint="eastAsia"/>
          <w:b/>
          <w:bCs/>
          <w:color w:val="000000" w:themeColor="text1"/>
          <w:sz w:val="32"/>
          <w:szCs w:val="21"/>
          <w14:textFill>
            <w14:solidFill>
              <w14:schemeClr w14:val="tx1"/>
            </w14:solidFill>
          </w14:textFill>
        </w:rPr>
        <w:t xml:space="preserve">第六章  投标文件格式及附件</w:t>
      </w:r>
      <w:bookmarkEnd w:id="170"/>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jc w:val="center"/>
        <w:spacing w:line="360" w:lineRule="auto"/>
        <w:rPr>
          <w:color w:val="000000" w:themeColor="text1"/>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投标文件</w:t>
      </w:r>
      <w:r/>
    </w:p>
    <w:p>
      <w:pPr>
        <w:pStyle w:val="1309"/>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             </w:t>
      </w:r>
      <w:r/>
    </w:p>
    <w:p>
      <w:pPr>
        <w:pStyle w:val="1309"/>
        <w:ind w:firstLine="3534"/>
        <w:jc w:val="both"/>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项目编号:</w:t>
      </w:r>
      <w:r/>
    </w:p>
    <w:p>
      <w:pPr>
        <w:pStyle w:val="1309"/>
        <w:ind w:firstLine="3534"/>
        <w:jc w:val="both"/>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r>
      <w:r/>
    </w:p>
    <w:p>
      <w:pPr>
        <w:pStyle w:val="1309"/>
        <w:ind w:firstLine="3253"/>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 </w:t>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1305"/>
        <w:rPr>
          <w:color w:val="000000" w:themeColor="text1"/>
          <w14:textFill>
            <w14:solidFill>
              <w14:schemeClr w14:val="tx1"/>
            </w14:solidFill>
          </w14:textFill>
        </w:rPr>
      </w:pPr>
      <w:r>
        <w:rPr>
          <w:color w:val="000000" w:themeColor="text1"/>
          <w14:textFill>
            <w14:solidFill>
              <w14:schemeClr w14:val="tx1"/>
            </w14:solidFill>
          </w14:textFill>
        </w:rPr>
      </w:r>
      <w:r/>
    </w:p>
    <w:p>
      <w:pPr>
        <w:pStyle w:val="1305"/>
        <w:rPr>
          <w:color w:val="000000" w:themeColor="text1"/>
          <w14:textFill>
            <w14:solidFill>
              <w14:schemeClr w14:val="tx1"/>
            </w14:solidFill>
          </w14:textFill>
        </w:rPr>
      </w:pPr>
      <w:r>
        <w:rPr>
          <w:color w:val="000000" w:themeColor="text1"/>
          <w14:textFill>
            <w14:solidFill>
              <w14:schemeClr w14:val="tx1"/>
            </w14:solidFill>
          </w14:textFill>
        </w:rPr>
      </w:r>
      <w:r/>
    </w:p>
    <w:p>
      <w:pPr>
        <w:pStyle w:val="1305"/>
        <w:rPr>
          <w:color w:val="000000" w:themeColor="text1"/>
          <w14:textFill>
            <w14:solidFill>
              <w14:schemeClr w14:val="tx1"/>
            </w14:solidFill>
          </w14:textFill>
        </w:rPr>
      </w:pPr>
      <w:r>
        <w:rPr>
          <w:color w:val="000000" w:themeColor="text1"/>
          <w14:textFill>
            <w14:solidFill>
              <w14:schemeClr w14:val="tx1"/>
            </w14:solidFill>
          </w14:textFill>
        </w:rPr>
      </w:r>
      <w:r/>
    </w:p>
    <w:p>
      <w:pPr>
        <w:pStyle w:val="1305"/>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投标人：（加盖单位电子公章）</w:t>
      </w:r>
      <w:r/>
    </w:p>
    <w:p>
      <w:pPr>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法定代表人或其委托代理人：（签字）</w:t>
      </w:r>
      <w:r/>
    </w:p>
    <w:p>
      <w:pPr>
        <w:jc w:val="center"/>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年 月 日</w:t>
      </w:r>
      <w:r/>
    </w:p>
    <w:p>
      <w:pPr>
        <w:spacing w:line="360" w:lineRule="auto"/>
        <w:shd w:val="clear" w:color="auto" w:fill="ffffff"/>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cs="宋体"/>
          <w:b/>
          <w:bCs/>
          <w:color w:val="000000" w:themeColor="text1"/>
          <w14:textFill>
            <w14:solidFill>
              <w14:schemeClr w14:val="tx1"/>
            </w14:solidFill>
          </w14:textFill>
        </w:rPr>
        <w:br w:type="page" w:clear="all"/>
      </w:r>
      <w:r/>
    </w:p>
    <w:p>
      <w:pPr>
        <w:pStyle w:val="1040"/>
        <w:ind w:firstLine="422"/>
        <w:jc w:val="center"/>
        <w:spacing w:line="360" w:lineRule="auto"/>
        <w:rPr>
          <w:rFonts w:hint="eastAsia" w:ascii="宋体" w:hAnsi="宋体" w:cs="宋体"/>
          <w:color w:val="000000" w:themeColor="text1"/>
          <w:szCs w:val="21"/>
          <w14:textFill>
            <w14:solidFill>
              <w14:schemeClr w14:val="tx1"/>
            </w14:solidFill>
          </w14:textFill>
        </w:rPr>
      </w:pPr>
      <w:r/>
      <w:bookmarkStart w:id="171" w:name="_Toc29373"/>
      <w:r/>
      <w:bookmarkStart w:id="172" w:name="_Toc496780634"/>
      <w:r/>
      <w:bookmarkStart w:id="173" w:name="_Toc241501773"/>
      <w:r/>
      <w:bookmarkStart w:id="174" w:name="_Toc16691"/>
      <w:r/>
      <w:bookmarkStart w:id="175" w:name="_Toc241513291"/>
      <w:r/>
      <w:bookmarkStart w:id="176" w:name="_Toc3528"/>
      <w:r/>
      <w:bookmarkStart w:id="177" w:name="_Toc31843"/>
      <w:r/>
      <w:bookmarkStart w:id="178" w:name="_Toc24614"/>
      <w:r/>
      <w:bookmarkStart w:id="179" w:name="_Toc4200"/>
      <w:r/>
      <w:bookmarkStart w:id="180" w:name="_Toc4892"/>
      <w:r>
        <w:rPr>
          <w:rFonts w:hint="eastAsia" w:ascii="宋体" w:hAnsi="宋体" w:cs="宋体"/>
          <w:color w:val="000000" w:themeColor="text1"/>
          <w:szCs w:val="21"/>
          <w14:textFill>
            <w14:solidFill>
              <w14:schemeClr w14:val="tx1"/>
            </w14:solidFill>
          </w14:textFill>
        </w:rPr>
        <w:t xml:space="preserve">评审索引</w:t>
      </w:r>
      <w:bookmarkEnd w:id="171"/>
      <w:r/>
      <w:bookmarkEnd w:id="172"/>
      <w:r>
        <w:rPr>
          <w:rFonts w:hint="eastAsia" w:ascii="宋体" w:hAnsi="宋体" w:cs="宋体"/>
          <w:color w:val="000000" w:themeColor="text1"/>
          <w:szCs w:val="21"/>
          <w14:textFill>
            <w14:solidFill>
              <w14:schemeClr w14:val="tx1"/>
            </w14:solidFill>
          </w14:textFill>
        </w:rPr>
        <w:t xml:space="preserve">表</w:t>
      </w:r>
      <w:bookmarkEnd w:id="173"/>
      <w:r/>
      <w:bookmarkEnd w:id="174"/>
      <w:r/>
      <w:bookmarkEnd w:id="175"/>
      <w:r/>
      <w:bookmarkEnd w:id="176"/>
      <w:r/>
      <w:bookmarkEnd w:id="177"/>
      <w:r/>
      <w:bookmarkEnd w:id="178"/>
      <w:r/>
      <w:bookmarkEnd w:id="179"/>
      <w:r/>
      <w:bookmarkEnd w:id="180"/>
      <w:r/>
      <w:r/>
    </w:p>
    <w:tbl>
      <w:tblPr>
        <w:tblStyle w:val="104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评审项目</w:t>
            </w:r>
            <w:r/>
          </w:p>
        </w:tc>
        <w:tc>
          <w:tcPr>
            <w:tcW w:w="6604" w:type="dxa"/>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评分要求</w:t>
            </w:r>
            <w:r/>
          </w:p>
        </w:tc>
        <w:tc>
          <w:tcPr>
            <w:tcW w:w="1524" w:type="dxa"/>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所在页码</w:t>
            </w:r>
            <w:r/>
          </w:p>
        </w:tc>
      </w:tr>
      <w:tr>
        <w:trPr>
          <w:jc w:val="center"/>
        </w:trPr>
        <w:tc>
          <w:tcPr>
            <w:tcW w:w="422" w:type="dxa"/>
            <w:vAlign w:val="center"/>
            <w:textDirection w:val="lrTb"/>
            <w:noWrap w:val="false"/>
          </w:tcPr>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ind w:left="613"/>
              <w:spacing w:line="360" w:lineRule="auto"/>
              <w:widowControl/>
              <w:tabs>
                <w:tab w:val="left" w:pos="403"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611"/>
        </w:trPr>
        <w:tc>
          <w:tcPr>
            <w:tcW w:w="42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604"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52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630"/>
        <w:spacing w:line="360" w:lineRule="auto"/>
        <w:rPr>
          <w:rFonts w:hint="eastAsia" w:ascii="宋体" w:hAnsi="宋体" w:cs="宋体"/>
          <w:color w:val="000000" w:themeColor="text1"/>
          <w:szCs w:val="21"/>
          <w14:textFill>
            <w14:solidFill>
              <w14:schemeClr w14:val="tx1"/>
            </w14:solidFill>
          </w14:textFill>
        </w:rPr>
        <w:sectPr>
          <w:headerReference w:type="default" r:id="rId12"/>
          <w:footerReference w:type="default" r:id="rId15"/>
          <w:footnotePr/>
          <w:endnotePr/>
          <w:type w:val="nextPage"/>
          <w:pgSz w:w="11906" w:h="16838" w:orient="portrait"/>
          <w:pgMar w:top="1134" w:right="1134" w:bottom="1134" w:left="1134" w:header="851" w:footer="992" w:gutter="0"/>
          <w:cols w:num="1" w:sep="0" w:space="720" w:equalWidth="1"/>
          <w:docGrid w:linePitch="360"/>
        </w:sectPr>
        <w:outlineLvl w:val="1"/>
      </w:pPr>
      <w:r>
        <w:rPr>
          <w:rFonts w:hint="eastAsia"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bookmarkStart w:id="181" w:name="_Toc4034"/>
      <w:r/>
      <w:bookmarkStart w:id="182" w:name="_Toc15346"/>
      <w:r/>
      <w:bookmarkStart w:id="183" w:name="_Toc28190"/>
      <w:r/>
      <w:bookmarkStart w:id="184" w:name="_Toc9700"/>
      <w:r/>
      <w:bookmarkStart w:id="185" w:name="_Toc1929"/>
      <w:r/>
      <w:bookmarkStart w:id="186" w:name="_Toc24640"/>
      <w:r/>
      <w:r/>
    </w:p>
    <w:p>
      <w:pPr>
        <w:jc w:val="center"/>
        <w:spacing w:line="360" w:lineRule="auto"/>
        <w:rPr>
          <w:rFonts w:hint="eastAsia" w:ascii="宋体" w:hAnsi="宋体" w:cs="宋体"/>
          <w:b/>
          <w:bCs/>
          <w:color w:val="000000" w:themeColor="text1"/>
          <w:szCs w:val="21"/>
          <w14:textFill>
            <w14:solidFill>
              <w14:schemeClr w14:val="tx1"/>
            </w14:solidFill>
          </w14:textFill>
        </w:rPr>
        <w:outlineLvl w:val="1"/>
      </w:pPr>
      <w:r/>
      <w:bookmarkStart w:id="187" w:name="_Toc8782"/>
      <w:r/>
      <w:bookmarkStart w:id="188" w:name="_Toc3944"/>
      <w:r/>
      <w:bookmarkStart w:id="189" w:name="_Toc241513292"/>
      <w:r/>
      <w:bookmarkStart w:id="190" w:name="_Toc241501774"/>
      <w:r/>
      <w:bookmarkStart w:id="191" w:name="_Toc18741"/>
      <w:r>
        <w:rPr>
          <w:rFonts w:hint="eastAsia" w:ascii="宋体" w:hAnsi="宋体" w:cs="宋体"/>
          <w:b/>
          <w:bCs/>
          <w:color w:val="000000" w:themeColor="text1"/>
          <w:szCs w:val="21"/>
          <w14:textFill>
            <w14:solidFill>
              <w14:schemeClr w14:val="tx1"/>
            </w14:solidFill>
          </w14:textFill>
        </w:rPr>
        <w:t xml:space="preserve">附件一 投标函格式</w:t>
      </w:r>
      <w:bookmarkEnd w:id="181"/>
      <w:r/>
      <w:bookmarkEnd w:id="182"/>
      <w:r/>
      <w:bookmarkEnd w:id="183"/>
      <w:r/>
      <w:bookmarkEnd w:id="187"/>
      <w:r/>
      <w:bookmarkEnd w:id="188"/>
      <w:r/>
      <w:bookmarkEnd w:id="189"/>
      <w:r/>
      <w:bookmarkEnd w:id="190"/>
      <w:r/>
      <w:bookmarkEnd w:id="191"/>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投标函</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致：南京江城工程项目管理有限公司</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根据贵方</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（项目名称） </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（项目编号）投标邀请，正式授权下述签字人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(姓名和职务)代表</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（投标人名称），提交投标文件。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据此函，签字人兹宣布同意如下：</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2．按招标要求，</w:t>
      </w:r>
      <w:r>
        <w:rPr>
          <w:rFonts w:ascii="宋体" w:hAnsi="宋体" w:cs="宋体"/>
          <w:color w:val="000000" w:themeColor="text1"/>
          <w:szCs w:val="21"/>
          <w14:textFill>
            <w14:solidFill>
              <w14:schemeClr w14:val="tx1"/>
            </w14:solidFill>
          </w14:textFill>
        </w:rPr>
        <w:t xml:space="preserve">我们的总报价为（大写）</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元人民币，</w:t>
      </w:r>
      <w:r>
        <w:rPr>
          <w:rFonts w:hint="eastAsia" w:ascii="宋体" w:hAnsi="宋体" w:cs="宋体"/>
          <w:color w:val="000000" w:themeColor="text1"/>
          <w:szCs w:val="21"/>
          <w14:textFill>
            <w14:solidFill>
              <w14:schemeClr w14:val="tx1"/>
            </w14:solidFill>
          </w14:textFill>
        </w:rPr>
        <w:t xml:space="preserve">小写</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bCs/>
          <w:color w:val="000000" w:themeColor="text1"/>
          <w:szCs w:val="21"/>
          <w14:textFill>
            <w14:solidFill>
              <w14:schemeClr w14:val="tx1"/>
            </w14:solidFill>
          </w14:textFill>
        </w:rPr>
        <w:t xml:space="preserve">不对招标文件本身提出质疑</w:t>
      </w:r>
      <w:r>
        <w:rPr>
          <w:rFonts w:hint="eastAsia" w:ascii="宋体" w:hAnsi="宋体" w:cs="宋体"/>
          <w:color w:val="000000" w:themeColor="text1"/>
          <w:szCs w:val="21"/>
          <w14:textFill>
            <w14:solidFill>
              <w14:schemeClr w14:val="tx1"/>
            </w14:solidFill>
          </w14:textFill>
        </w:rPr>
        <w:t xml:space="preserve">。否则，属于不诚信和故意扰乱政府采购活动行为，我们将无条件接受处罚。</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4．我们同意在本项目招标文件中规定的开标之日起90天内遵守本投标文件中的承诺且在此期限期满之前均具有约束力。</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5．我们愿意向采购代理机构提供任何与本次招标有关的其他资料，并保证已提供和将要提供的文件是真实的、准确的。</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6．我们理解，你们无义务必须接受投标价最低的投标，并有权拒绝所有的投标。</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8．其他说明：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w:t>
      </w:r>
      <w:r>
        <w:rPr>
          <w:rFonts w:hint="eastAsia" w:ascii="宋体" w:hAnsi="宋体" w:cs="宋体"/>
          <w:color w:val="000000" w:themeColor="text1"/>
          <w:szCs w:val="21"/>
          <w:u w:val="single"/>
          <w14:textFill>
            <w14:solidFill>
              <w14:schemeClr w14:val="tx1"/>
            </w14:solidFill>
          </w14:textFill>
        </w:rPr>
        <w:t xml:space="preserve">                   （加盖电子公章）</w:t>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邮编：</w:t>
      </w:r>
      <w:r>
        <w:rPr>
          <w:rFonts w:hint="eastAsia" w:ascii="宋体" w:hAnsi="宋体" w:cs="宋体"/>
          <w:color w:val="000000" w:themeColor="text1"/>
          <w:szCs w:val="21"/>
          <w:u w:val="single"/>
          <w14:textFill>
            <w14:solidFill>
              <w14:schemeClr w14:val="tx1"/>
            </w14:solidFill>
          </w14:textFill>
        </w:rPr>
        <w:t xml:space="preserve">              </w:t>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传真：</w:t>
      </w:r>
      <w:r>
        <w:rPr>
          <w:rFonts w:hint="eastAsia" w:ascii="宋体" w:hAnsi="宋体" w:cs="宋体"/>
          <w:color w:val="000000" w:themeColor="text1"/>
          <w:szCs w:val="21"/>
          <w:u w:val="single"/>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bookmarkEnd w:id="184"/>
      <w:r/>
      <w:bookmarkEnd w:id="185"/>
      <w:r/>
      <w:bookmarkEnd w:id="186"/>
      <w:r/>
      <w:r/>
    </w:p>
    <w:p>
      <w:pPr>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outlineLvl w:val="1"/>
      </w:pPr>
      <w:r/>
      <w:bookmarkStart w:id="192" w:name="_Toc31033"/>
      <w:r/>
      <w:bookmarkStart w:id="193" w:name="_Toc7761"/>
      <w:r/>
      <w:bookmarkStart w:id="194" w:name="_Toc28362"/>
      <w:r/>
      <w:bookmarkStart w:id="195" w:name="_Toc241501775"/>
      <w:r/>
      <w:bookmarkStart w:id="196" w:name="_Toc241513293"/>
      <w:r>
        <w:rPr>
          <w:rFonts w:hint="eastAsia" w:ascii="宋体" w:hAnsi="宋体" w:cs="宋体"/>
          <w:b/>
          <w:bCs/>
          <w:color w:val="000000" w:themeColor="text1"/>
          <w:szCs w:val="21"/>
          <w14:textFill>
            <w14:solidFill>
              <w14:schemeClr w14:val="tx1"/>
            </w14:solidFill>
          </w14:textFill>
        </w:rPr>
        <w:t xml:space="preserve">附件二 开标一览表</w:t>
      </w:r>
      <w:bookmarkEnd w:id="192"/>
      <w:r/>
      <w:bookmarkEnd w:id="193"/>
      <w:r/>
      <w:bookmarkEnd w:id="194"/>
      <w:r/>
      <w:bookmarkEnd w:id="195"/>
      <w:r/>
      <w:bookmarkEnd w:id="196"/>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开标一览表</w:t>
      </w:r>
      <w:r/>
    </w:p>
    <w:tbl>
      <w:tblPr>
        <w:tblStyle w:val="1049"/>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944"/>
        </w:trPr>
        <w:tc>
          <w:tcPr>
            <w:tcW w:w="2235" w:type="dxa"/>
            <w:vAlign w:val="center"/>
            <w:textDirection w:val="lrTb"/>
            <w:noWrap w:val="false"/>
          </w:tcPr>
          <w:p>
            <w:pPr>
              <w:jc w:val="cente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项目名称</w:t>
            </w:r>
            <w:r/>
          </w:p>
        </w:tc>
        <w:tc>
          <w:tcPr>
            <w:tcW w:w="6695" w:type="dxa"/>
            <w:vAlign w:val="center"/>
            <w:textDirection w:val="lrTb"/>
            <w:noWrap w:val="false"/>
          </w:tcPr>
          <w:p>
            <w:pPr>
              <w:jc w:val="center"/>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tc>
      </w:tr>
      <w:tr>
        <w:trPr>
          <w:trHeight w:val="962"/>
        </w:trPr>
        <w:tc>
          <w:tcPr>
            <w:tcW w:w="2235" w:type="dxa"/>
            <w:vAlign w:val="center"/>
            <w:textDirection w:val="lrTb"/>
            <w:noWrap w:val="false"/>
          </w:tcPr>
          <w:p>
            <w:pPr>
              <w:jc w:val="cente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项目编号</w:t>
            </w:r>
            <w:r/>
          </w:p>
        </w:tc>
        <w:tc>
          <w:tcPr>
            <w:tcW w:w="6695" w:type="dxa"/>
            <w:vAlign w:val="center"/>
            <w:textDirection w:val="lrTb"/>
            <w:noWrap w:val="false"/>
          </w:tcPr>
          <w:p>
            <w:pPr>
              <w:jc w:val="cente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tc>
      </w:tr>
      <w:tr>
        <w:trPr>
          <w:trHeight w:val="1850"/>
        </w:trPr>
        <w:tc>
          <w:tcPr>
            <w:tcW w:w="2235" w:type="dxa"/>
            <w:vAlign w:val="center"/>
            <w:textDirection w:val="lrTb"/>
            <w:noWrap w:val="false"/>
          </w:tcPr>
          <w:p>
            <w:pPr>
              <w:jc w:val="center"/>
              <w:rPr>
                <w:rFonts w:hint="eastAsia" w:ascii="宋体" w:hAnsi="宋体" w:cs="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投标总报价（元）</w:t>
            </w:r>
            <w:r/>
          </w:p>
        </w:tc>
        <w:tc>
          <w:tcPr>
            <w:tcW w:w="6695" w:type="dxa"/>
            <w:vAlign w:val="center"/>
            <w:textDirection w:val="lrTb"/>
            <w:noWrap w:val="false"/>
          </w:tcPr>
          <w:p>
            <w:pPr>
              <w:pStyle w:val="1057"/>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大写（人民币）：</w:t>
            </w:r>
            <w:r/>
          </w:p>
          <w:p>
            <w:pPr>
              <w:pStyle w:val="1057"/>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小写（人民币）：</w:t>
            </w:r>
            <w:r/>
          </w:p>
        </w:tc>
      </w:tr>
      <w:tr>
        <w:trPr>
          <w:trHeight w:val="1100"/>
        </w:trPr>
        <w:tc>
          <w:tcPr>
            <w:tcW w:w="2235" w:type="dxa"/>
            <w:vAlign w:val="center"/>
            <w:textDirection w:val="lrTb"/>
            <w:noWrap w:val="false"/>
          </w:tcPr>
          <w:p>
            <w:pPr>
              <w:jc w:val="center"/>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合同履行期限</w:t>
            </w:r>
            <w:r/>
          </w:p>
        </w:tc>
        <w:tc>
          <w:tcPr>
            <w:tcW w:w="6695" w:type="dxa"/>
            <w:vAlign w:val="center"/>
            <w:textDirection w:val="lrTb"/>
            <w:noWrap w:val="false"/>
          </w:tcPr>
          <w:p>
            <w:pPr>
              <w:pStyle w:val="1057"/>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tc>
      </w:tr>
      <w:tr>
        <w:trPr>
          <w:trHeight w:val="1723"/>
        </w:trPr>
        <w:tc>
          <w:tcPr>
            <w:tcW w:w="2235" w:type="dxa"/>
            <w:vAlign w:val="center"/>
            <w:textDirection w:val="lrTb"/>
            <w:noWrap w:val="false"/>
          </w:tcPr>
          <w:p>
            <w:pPr>
              <w:pStyle w:val="1067"/>
              <w:spacing w:line="360" w:lineRule="auto"/>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 xml:space="preserve">是否提供了中小企业声明</w:t>
            </w:r>
            <w:r/>
          </w:p>
        </w:tc>
        <w:tc>
          <w:tcPr>
            <w:tcW w:w="6695" w:type="dxa"/>
            <w:vAlign w:val="center"/>
            <w:textDirection w:val="lrTb"/>
            <w:noWrap w:val="false"/>
          </w:tcPr>
          <w:p>
            <w:pPr>
              <w:pStyle w:val="1057"/>
              <w:rPr>
                <w:rFonts w:hint="eastAsia" w:hAnsi="宋体"/>
                <w:color w:val="000000" w:themeColor="text1"/>
                <w:szCs w:val="24"/>
                <w14:textFill>
                  <w14:solidFill>
                    <w14:schemeClr w14:val="tx1"/>
                  </w14:solidFill>
                </w14:textFill>
              </w:rPr>
            </w:pPr>
            <w:r>
              <w:rPr>
                <w:rFonts w:ascii="Wingdings 2" w:hAnsi="Wingdings 2" w:eastAsia="Wingdings 2" w:cs="Wingdings 2"/>
                <w:color w:val="000000" w:themeColor="text1"/>
                <w:szCs w:val="24"/>
                <w14:textFill>
                  <w14:solidFill>
                    <w14:schemeClr w14:val="tx1"/>
                  </w14:solidFill>
                </w14:textFill>
              </w:rPr>
              <w:t xml:space="preserve">*</w:t>
            </w:r>
            <w:r>
              <w:rPr>
                <w:rFonts w:hint="eastAsia" w:hAnsi="宋体"/>
                <w:color w:val="000000" w:themeColor="text1"/>
                <w:szCs w:val="24"/>
                <w14:textFill>
                  <w14:solidFill>
                    <w14:schemeClr w14:val="tx1"/>
                  </w14:solidFill>
                </w14:textFill>
              </w:rPr>
              <w:t xml:space="preserve">否； </w:t>
            </w:r>
            <w:r>
              <w:rPr>
                <w:rFonts w:hAnsi="宋体"/>
                <w:color w:val="000000" w:themeColor="text1"/>
                <w:szCs w:val="24"/>
                <w14:textFill>
                  <w14:solidFill>
                    <w14:schemeClr w14:val="tx1"/>
                  </w14:solidFill>
                </w14:textFill>
              </w:rPr>
              <w:t xml:space="preserve">   </w:t>
            </w:r>
            <w:r/>
          </w:p>
          <w:p>
            <w:pPr>
              <w:pStyle w:val="1057"/>
              <w:rPr>
                <w:rFonts w:hint="eastAsia" w:hAnsi="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Cs w:val="24"/>
                <w14:textFill>
                  <w14:solidFill>
                    <w14:schemeClr w14:val="tx1"/>
                  </w14:solidFill>
                </w14:textFill>
              </w:rPr>
              <w:t xml:space="preserve">*</w:t>
            </w:r>
            <w:r>
              <w:rPr>
                <w:rFonts w:hint="eastAsia" w:hAnsi="宋体"/>
                <w:color w:val="000000" w:themeColor="text1"/>
                <w:szCs w:val="24"/>
                <w14:textFill>
                  <w14:solidFill>
                    <w14:schemeClr w14:val="tx1"/>
                  </w14:solidFill>
                </w14:textFill>
              </w:rPr>
              <w:t xml:space="preserve">是（</w:t>
            </w:r>
            <w:r>
              <w:rPr>
                <w:rFonts w:ascii="Wingdings 2" w:hAnsi="Wingdings 2" w:eastAsia="Wingdings 2" w:cs="Wingdings 2"/>
                <w:color w:val="000000" w:themeColor="text1"/>
                <w:szCs w:val="24"/>
                <w14:textFill>
                  <w14:solidFill>
                    <w14:schemeClr w14:val="tx1"/>
                  </w14:solidFill>
                </w14:textFill>
              </w:rPr>
              <w:t xml:space="preserve">*</w:t>
            </w:r>
            <w:r>
              <w:rPr>
                <w:rFonts w:hint="eastAsia" w:hAnsi="宋体"/>
                <w:color w:val="000000" w:themeColor="text1"/>
                <w:szCs w:val="24"/>
                <w14:textFill>
                  <w14:solidFill>
                    <w14:schemeClr w14:val="tx1"/>
                  </w14:solidFill>
                </w14:textFill>
              </w:rPr>
              <w:t xml:space="preserve">中</w:t>
            </w:r>
            <w:r>
              <w:rPr>
                <w:rFonts w:hAnsi="宋体"/>
                <w:color w:val="000000" w:themeColor="text1"/>
                <w:szCs w:val="24"/>
                <w14:textFill>
                  <w14:solidFill>
                    <w14:schemeClr w14:val="tx1"/>
                  </w14:solidFill>
                </w14:textFill>
              </w:rPr>
              <w:t xml:space="preserve">型企业</w:t>
            </w:r>
            <w:r>
              <w:rPr>
                <w:rFonts w:hint="eastAsia" w:hAnsi="宋体"/>
                <w:color w:val="000000" w:themeColor="text1"/>
                <w:szCs w:val="24"/>
                <w14:textFill>
                  <w14:solidFill>
                    <w14:schemeClr w14:val="tx1"/>
                  </w14:solidFill>
                </w14:textFill>
              </w:rPr>
              <w:t xml:space="preserve"> </w:t>
            </w:r>
            <w:r>
              <w:rPr>
                <w:rFonts w:ascii="Wingdings 2" w:hAnsi="Wingdings 2" w:eastAsia="Wingdings 2" w:cs="Wingdings 2"/>
                <w:color w:val="000000" w:themeColor="text1"/>
                <w:szCs w:val="24"/>
                <w14:textFill>
                  <w14:solidFill>
                    <w14:schemeClr w14:val="tx1"/>
                  </w14:solidFill>
                </w14:textFill>
              </w:rPr>
              <w:t xml:space="preserve">*</w:t>
            </w:r>
            <w:r>
              <w:rPr>
                <w:rFonts w:hint="eastAsia" w:hAnsi="宋体"/>
                <w:color w:val="000000" w:themeColor="text1"/>
                <w:szCs w:val="24"/>
                <w14:textFill>
                  <w14:solidFill>
                    <w14:schemeClr w14:val="tx1"/>
                  </w14:solidFill>
                </w14:textFill>
              </w:rPr>
              <w:t xml:space="preserve">小</w:t>
            </w:r>
            <w:r>
              <w:rPr>
                <w:rFonts w:hAnsi="宋体"/>
                <w:color w:val="000000" w:themeColor="text1"/>
                <w:szCs w:val="24"/>
                <w14:textFill>
                  <w14:solidFill>
                    <w14:schemeClr w14:val="tx1"/>
                  </w14:solidFill>
                </w14:textFill>
              </w:rPr>
              <w:t xml:space="preserve">型企业</w:t>
            </w:r>
            <w:r>
              <w:rPr>
                <w:rFonts w:hint="eastAsia" w:hAnsi="宋体"/>
                <w:color w:val="000000" w:themeColor="text1"/>
                <w:szCs w:val="24"/>
                <w14:textFill>
                  <w14:solidFill>
                    <w14:schemeClr w14:val="tx1"/>
                  </w14:solidFill>
                </w14:textFill>
              </w:rPr>
              <w:t xml:space="preserve"> </w:t>
            </w:r>
            <w:r>
              <w:rPr>
                <w:rFonts w:ascii="Wingdings 2" w:hAnsi="Wingdings 2" w:eastAsia="Wingdings 2" w:cs="Wingdings 2"/>
                <w:color w:val="000000" w:themeColor="text1"/>
                <w:szCs w:val="24"/>
                <w14:textFill>
                  <w14:solidFill>
                    <w14:schemeClr w14:val="tx1"/>
                  </w14:solidFill>
                </w14:textFill>
              </w:rPr>
              <w:t xml:space="preserve">*</w:t>
            </w:r>
            <w:r>
              <w:rPr>
                <w:rFonts w:hint="eastAsia" w:hAnsi="宋体"/>
                <w:color w:val="000000" w:themeColor="text1"/>
                <w:szCs w:val="24"/>
                <w14:textFill>
                  <w14:solidFill>
                    <w14:schemeClr w14:val="tx1"/>
                  </w14:solidFill>
                </w14:textFill>
              </w:rPr>
              <w:t xml:space="preserve">微</w:t>
            </w:r>
            <w:r>
              <w:rPr>
                <w:rFonts w:hAnsi="宋体"/>
                <w:color w:val="000000" w:themeColor="text1"/>
                <w:szCs w:val="24"/>
                <w14:textFill>
                  <w14:solidFill>
                    <w14:schemeClr w14:val="tx1"/>
                  </w14:solidFill>
                </w14:textFill>
              </w:rPr>
              <w:t xml:space="preserve">型企业</w:t>
            </w:r>
            <w:r>
              <w:rPr>
                <w:rFonts w:hint="eastAsia" w:hAnsi="宋体"/>
                <w:color w:val="000000" w:themeColor="text1"/>
                <w:szCs w:val="24"/>
                <w14:textFill>
                  <w14:solidFill>
                    <w14:schemeClr w14:val="tx1"/>
                  </w14:solidFill>
                </w14:textFill>
              </w:rPr>
              <w:t xml:space="preserve">）；</w:t>
            </w:r>
            <w:r/>
          </w:p>
        </w:tc>
      </w:tr>
    </w:tbl>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注：1、此表应按“投标人须知”的规定密封标记单独提交。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2、此表中，投标总报价合计应和分项报价表中的总价一致。</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3、本项目仅接受一个价格，不得填报有选择性报价方案。若有优惠条款须注明，但不得影响报价，影响产品整体功能。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4、“投标标的是否全部由小微企业提供”栏内填写“是”或“否”。如填写“是”，投标人应按招标文件要求提供《中小企业声明函》、《残疾人福利性单位声明函》、《属于监狱企业的证明文件》。</w:t>
      </w:r>
      <w:r>
        <w:rPr>
          <w:rFonts w:ascii="宋体" w:hAnsi="宋体" w:cs="宋体"/>
          <w:color w:val="000000" w:themeColor="text1"/>
          <w:szCs w:val="21"/>
          <w14:textFill>
            <w14:solidFill>
              <w14:schemeClr w14:val="tx1"/>
            </w14:solidFill>
          </w14:textFill>
        </w:rPr>
        <w:t xml:space="preserve">如未按要求提供、填报相关材料，或内容表述不清、前后矛盾的，不予享受价格扣除。</w:t>
      </w:r>
      <w:r>
        <w:rPr>
          <w:rFonts w:ascii="宋体" w:hAnsi="宋体" w:cs="宋体"/>
          <w:b/>
          <w:bCs/>
          <w:color w:val="000000" w:themeColor="text1"/>
          <w:szCs w:val="21"/>
          <w14:textFill>
            <w14:solidFill>
              <w14:schemeClr w14:val="tx1"/>
            </w14:solidFill>
          </w14:textFill>
        </w:rPr>
        <w:t xml:space="preserve">本项目专门面向中小企业采购，不执行价格优惠政策</w:t>
      </w:r>
      <w:r>
        <w:rPr>
          <w:rFonts w:hint="eastAsia" w:ascii="宋体" w:hAnsi="宋体" w:cs="宋体"/>
          <w:b/>
          <w:bCs/>
          <w:color w:val="000000" w:themeColor="text1"/>
          <w:szCs w:val="21"/>
          <w14:textFill>
            <w14:solidFill>
              <w14:schemeClr w14:val="tx1"/>
            </w14:solidFill>
          </w14:textFill>
        </w:rPr>
        <w:t xml:space="preserve">。</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after="120" w:line="360" w:lineRule="auto"/>
        <w:rPr>
          <w:rFonts w:hint="eastAsia" w:ascii="宋体" w:hAnsi="宋体" w:cs="宋体"/>
          <w:b/>
          <w:bCs/>
          <w:color w:val="000000" w:themeColor="text1"/>
          <w:szCs w:val="21"/>
          <w14:textFill>
            <w14:solidFill>
              <w14:schemeClr w14:val="tx1"/>
            </w14:solidFill>
          </w14:textFill>
        </w:rPr>
        <w:outlineLvl w:val="1"/>
      </w:pPr>
      <w:r/>
      <w:bookmarkStart w:id="197" w:name="_Toc241501776"/>
      <w:r/>
      <w:bookmarkStart w:id="198" w:name="_Toc241513294"/>
      <w:r/>
      <w:bookmarkStart w:id="199" w:name="_Toc32603"/>
      <w:r/>
      <w:bookmarkStart w:id="200" w:name="_Toc113527849"/>
      <w:r/>
      <w:bookmarkStart w:id="201" w:name="_Toc31821"/>
      <w:r/>
      <w:bookmarkStart w:id="202" w:name="_Toc30888"/>
      <w:r/>
      <w:bookmarkStart w:id="203" w:name="_Toc14830"/>
      <w:r/>
      <w:bookmarkStart w:id="204" w:name="_Toc5355"/>
      <w:r/>
      <w:bookmarkStart w:id="205" w:name="_Toc1916"/>
      <w:r>
        <w:rPr>
          <w:rFonts w:hint="eastAsia" w:ascii="宋体" w:hAnsi="宋体" w:cs="宋体"/>
          <w:b/>
          <w:bCs/>
          <w:color w:val="000000" w:themeColor="text1"/>
          <w:szCs w:val="21"/>
          <w14:textFill>
            <w14:solidFill>
              <w14:schemeClr w14:val="tx1"/>
            </w14:solidFill>
          </w14:textFill>
        </w:rPr>
        <w:t xml:space="preserve">附件三 分项报价表</w:t>
      </w:r>
      <w:bookmarkEnd w:id="197"/>
      <w:r/>
      <w:bookmarkEnd w:id="198"/>
      <w:r/>
      <w:bookmarkEnd w:id="199"/>
      <w:r/>
      <w:r/>
    </w:p>
    <w:tbl>
      <w:tblPr>
        <w:tblStyle w:val="10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587"/>
        <w:gridCol w:w="4774"/>
        <w:gridCol w:w="1216"/>
        <w:gridCol w:w="775"/>
        <w:gridCol w:w="1272"/>
      </w:tblGrid>
      <w:tr>
        <w:trPr>
          <w:jc w:val="center"/>
          <w:trHeight w:val="692"/>
        </w:trPr>
        <w:tc>
          <w:tcPr>
            <w:tcW w:w="1233"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cs="宋体"/>
                <w:b/>
                <w:bCs/>
                <w:color w:val="000000" w:themeColor="text1"/>
                <w:sz w:val="24"/>
                <w14:textFill>
                  <w14:solidFill>
                    <w14:schemeClr w14:val="tx1"/>
                  </w14:solidFill>
                </w14:textFill>
              </w:rPr>
              <w:t xml:space="preserve">服务内容</w:t>
            </w:r>
            <w:r/>
          </w:p>
        </w:tc>
        <w:tc>
          <w:tcPr>
            <w:tcW w:w="587"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4774"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w:t>
            </w:r>
            <w:r/>
          </w:p>
        </w:tc>
        <w:tc>
          <w:tcPr>
            <w:tcW w:w="1216"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w:t>
            </w:r>
            <w:r/>
          </w:p>
        </w:tc>
        <w:tc>
          <w:tcPr>
            <w:tcW w:w="775" w:type="dxa"/>
            <w:vAlign w:val="center"/>
            <w:textDirection w:val="lrTb"/>
            <w:noWrap w:val="false"/>
          </w:tcPr>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计费</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单位</w:t>
            </w:r>
            <w:r/>
          </w:p>
        </w:tc>
        <w:tc>
          <w:tcPr>
            <w:tcW w:w="1272" w:type="dxa"/>
            <w:vAlign w:val="center"/>
            <w:textDirection w:val="lrTb"/>
            <w:noWrap w:val="false"/>
          </w:tcPr>
          <w:p>
            <w:pPr>
              <w:jc w:val="center"/>
              <w:spacing w:line="360" w:lineRule="auto"/>
              <w:rPr>
                <w:rFonts w:cs="宋体"/>
                <w:b/>
                <w:bCs/>
                <w:color w:val="000000" w:themeColor="text1"/>
                <w:sz w:val="24"/>
                <w14:textFill>
                  <w14:solidFill>
                    <w14:schemeClr w14:val="tx1"/>
                  </w14:solidFill>
                </w14:textFill>
              </w:rPr>
            </w:pPr>
            <w:r>
              <w:rPr>
                <w:rFonts w:hint="eastAsia" w:cs="宋体"/>
                <w:b/>
                <w:bCs/>
                <w:color w:val="000000" w:themeColor="text1"/>
                <w:sz w:val="24"/>
                <w14:textFill>
                  <w14:solidFill>
                    <w14:schemeClr w14:val="tx1"/>
                  </w14:solidFill>
                </w14:textFill>
              </w:rPr>
              <w:t xml:space="preserve">投标单价</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（元）</w:t>
            </w:r>
            <w:r/>
          </w:p>
        </w:tc>
      </w:tr>
      <w:tr>
        <w:trPr>
          <w:jc w:val="center"/>
          <w:trHeight w:val="341"/>
        </w:trPr>
        <w:tc>
          <w:tcPr>
            <w:tcW w:w="1233" w:type="dxa"/>
            <w:vAlign w:val="center"/>
            <w:vMerge w:val="restart"/>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江苏省特检院直属分院长庆油田管道内检测辅助工作外委</w:t>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774"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内检测实施辅助工作（内检测转运、现场内检测实施吊装发球、现场跟球、定标盒敷设回收等）</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477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管线防腐层不开挖检测辅助工作</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477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密间距管地电位法测试辅助</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477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杂散电流普查测试辅助</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4774"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管地电位梯度和杂散电流方向性测试辅助</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388.2</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km</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4774"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711口径内检测器，含全套（泡沫、皮碗、钢刷）清管器、几何变形检测器、漏磁检测器</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4774"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273、406.4口径内检测用漏磁探头、几何探头、皮碗、钢刷</w:t>
            </w:r>
            <w:r/>
          </w:p>
        </w:tc>
        <w:tc>
          <w:tcPr>
            <w:tcW w:w="121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4774"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开挖验证辅助（包含验证点开挖、验证点防腐层剥离恢复、验证点焊缝埋藏缺陷检测等）</w:t>
            </w:r>
            <w:r/>
          </w:p>
        </w:tc>
        <w:tc>
          <w:tcPr>
            <w:tcW w:w="1216"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处</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vMerge w:val="continue"/>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587"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tcW w:w="477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内检测手续协助</w:t>
            </w:r>
            <w:r/>
          </w:p>
        </w:tc>
        <w:tc>
          <w:tcPr>
            <w:tcW w:w="1216"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775"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p>
        </w:tc>
        <w:tc>
          <w:tcPr>
            <w:tcW w:w="127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41"/>
        </w:trPr>
        <w:tc>
          <w:tcPr>
            <w:tcW w:w="1233"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合计</w:t>
            </w:r>
            <w:r/>
          </w:p>
        </w:tc>
        <w:tc>
          <w:tcPr>
            <w:gridSpan w:val="5"/>
            <w:tcW w:w="862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tc>
      </w:tr>
    </w:tbl>
    <w:p>
      <w:pPr>
        <w:pStyle w:val="1268"/>
        <w:rPr>
          <w:color w:val="000000" w:themeColor="text1"/>
          <w14:textFill>
            <w14:solidFill>
              <w14:schemeClr w14:val="tx1"/>
            </w14:solidFill>
          </w14:textFill>
        </w:rPr>
      </w:pPr>
      <w:r>
        <w:rPr>
          <w:color w:val="000000" w:themeColor="text1"/>
          <w14:textFill>
            <w14:solidFill>
              <w14:schemeClr w14:val="tx1"/>
            </w14:solidFill>
          </w14:textFill>
        </w:rPr>
      </w:r>
      <w:r/>
    </w:p>
    <w:p>
      <w:pPr>
        <w:pStyle w:val="126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hAnsi="宋体" w:cs="Arial"/>
          <w:color w:val="000000" w:themeColor="text1"/>
          <w:sz w:val="24"/>
          <w14:textFill>
            <w14:solidFill>
              <w14:schemeClr w14:val="tx1"/>
            </w14:solidFill>
          </w14:textFill>
        </w:rPr>
      </w:pPr>
      <w:r>
        <w:rPr>
          <w:rFonts w:hint="eastAsia" w:hAnsi="宋体" w:cs="Arial"/>
          <w:color w:val="000000" w:themeColor="text1"/>
          <w:sz w:val="24"/>
          <w14:textFill>
            <w14:solidFill>
              <w14:schemeClr w14:val="tx1"/>
            </w14:solidFill>
          </w14:textFill>
        </w:rPr>
        <w:t xml:space="preserve">说明：如果行数不够，请自行增加。</w:t>
      </w:r>
      <w:r/>
    </w:p>
    <w:p>
      <w:pPr>
        <w:spacing w:line="360" w:lineRule="auto"/>
        <w:rPr>
          <w:rFonts w:hint="eastAsia" w:hAnsi="宋体" w:cs="Arial"/>
          <w:b/>
          <w:bCs/>
          <w:color w:val="000000" w:themeColor="text1"/>
          <w:sz w:val="24"/>
          <w14:textFill>
            <w14:solidFill>
              <w14:schemeClr w14:val="tx1"/>
            </w14:solidFill>
          </w14:textFill>
        </w:rPr>
      </w:pPr>
      <w:r>
        <w:rPr>
          <w:rFonts w:hint="eastAsia" w:hAnsi="宋体" w:cs="Arial"/>
          <w:b/>
          <w:bCs/>
          <w:color w:val="000000" w:themeColor="text1"/>
          <w:sz w:val="24"/>
          <w14:textFill>
            <w14:solidFill>
              <w14:schemeClr w14:val="tx1"/>
            </w14:solidFill>
          </w14:textFill>
        </w:rPr>
        <w:t xml:space="preserve">注：</w:t>
      </w:r>
      <w:r>
        <w:rPr>
          <w:rFonts w:hAnsi="宋体" w:cs="Arial"/>
          <w:b/>
          <w:bCs/>
          <w:color w:val="000000" w:themeColor="text1"/>
          <w:sz w:val="24"/>
          <w14:textFill>
            <w14:solidFill>
              <w14:schemeClr w14:val="tx1"/>
            </w14:solidFill>
          </w14:textFill>
        </w:rPr>
        <w:t xml:space="preserve">单项报价不得超过</w:t>
      </w:r>
      <w:r>
        <w:rPr>
          <w:rFonts w:hint="eastAsia" w:hAnsi="宋体" w:cs="Arial"/>
          <w:b/>
          <w:bCs/>
          <w:color w:val="000000" w:themeColor="text1"/>
          <w:sz w:val="24"/>
          <w14:textFill>
            <w14:solidFill>
              <w14:schemeClr w14:val="tx1"/>
            </w14:solidFill>
          </w14:textFill>
        </w:rPr>
        <w:t xml:space="preserve">对应</w:t>
      </w:r>
      <w:r>
        <w:rPr>
          <w:rFonts w:hAnsi="宋体" w:cs="Arial"/>
          <w:b/>
          <w:bCs/>
          <w:color w:val="000000" w:themeColor="text1"/>
          <w:sz w:val="24"/>
          <w14:textFill>
            <w14:solidFill>
              <w14:schemeClr w14:val="tx1"/>
            </w14:solidFill>
          </w14:textFill>
        </w:rPr>
        <w:t xml:space="preserve">最高限价，项目总报价不得超过项目预算，投标人的报价超过最高限价的，作无效投标处理</w:t>
      </w:r>
      <w:r>
        <w:rPr>
          <w:rFonts w:hint="eastAsia" w:hAnsi="宋体" w:cs="Arial"/>
          <w:b/>
          <w:bCs/>
          <w:color w:val="000000" w:themeColor="text1"/>
          <w:sz w:val="24"/>
          <w14:textFill>
            <w14:solidFill>
              <w14:schemeClr w14:val="tx1"/>
            </w14:solidFill>
          </w14:textFill>
        </w:rPr>
        <w:t xml:space="preserve">。</w:t>
      </w:r>
      <w:r/>
    </w:p>
    <w:p>
      <w:pPr>
        <w:ind w:firstLine="360"/>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ind w:left="2520"/>
        <w:spacing w:line="360" w:lineRule="auto"/>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132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32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rPr>
          <w:rFonts w:hint="eastAsia" w:hAnsi="宋体" w:cs="Arial"/>
          <w:color w:val="000000" w:themeColor="text1"/>
          <w:sz w:val="24"/>
          <w:u w:val="single"/>
          <w14:textFill>
            <w14:solidFill>
              <w14:schemeClr w14:val="tx1"/>
            </w14:solidFill>
          </w14:textFill>
        </w:rPr>
      </w:pPr>
      <w:r>
        <w:rPr>
          <w:rFonts w:hint="eastAsia" w:hAnsi="宋体" w:cs="Arial"/>
          <w:color w:val="000000" w:themeColor="text1"/>
          <w:sz w:val="24"/>
          <w14:textFill>
            <w14:solidFill>
              <w14:schemeClr w14:val="tx1"/>
            </w14:solidFill>
          </w14:textFill>
        </w:rPr>
        <w:t xml:space="preserve">投标人名称（加盖电子公章）：</w:t>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p>
    <w:p>
      <w:pPr>
        <w:spacing w:line="360" w:lineRule="auto"/>
        <w:rPr>
          <w:rFonts w:hint="eastAsia" w:hAnsi="宋体" w:cs="Arial"/>
          <w:color w:val="000000" w:themeColor="text1"/>
          <w:sz w:val="24"/>
          <w:u w:val="single"/>
          <w14:textFill>
            <w14:solidFill>
              <w14:schemeClr w14:val="tx1"/>
            </w14:solidFill>
          </w14:textFill>
        </w:rPr>
      </w:pPr>
      <w:r>
        <w:rPr>
          <w:rFonts w:hint="eastAsia" w:hAnsi="宋体" w:cs="Arial"/>
          <w:color w:val="000000" w:themeColor="text1"/>
          <w:sz w:val="24"/>
          <w14:textFill>
            <w14:solidFill>
              <w14:schemeClr w14:val="tx1"/>
            </w14:solidFill>
          </w14:textFill>
        </w:rPr>
        <w:t xml:space="preserve">日期：</w:t>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rPr>
          <w:rFonts w:hAnsi="宋体" w:cs="Arial"/>
          <w:color w:val="000000" w:themeColor="text1"/>
          <w:sz w:val="24"/>
          <w:u w:val="single"/>
          <w14:textFill>
            <w14:solidFill>
              <w14:schemeClr w14:val="tx1"/>
            </w14:solidFill>
          </w14:textFill>
        </w:rPr>
        <w:tab/>
      </w:r>
      <w:r/>
    </w:p>
    <w:p>
      <w:pPr>
        <w:pStyle w:val="1268"/>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cs="宋体"/>
          <w:color w:val="000000" w:themeColor="text1"/>
          <w:szCs w:val="21"/>
          <w14:textFill>
            <w14:solidFill>
              <w14:schemeClr w14:val="tx1"/>
            </w14:solidFill>
          </w14:textFill>
        </w:rPr>
      </w:pPr>
      <w:r>
        <w:rPr>
          <w:color w:val="000000" w:themeColor="text1"/>
          <w14:textFill>
            <w14:solidFill>
              <w14:schemeClr w14:val="tx1"/>
            </w14:solidFill>
          </w14:textFill>
        </w:rPr>
        <w:br w:type="page" w:clear="all"/>
      </w:r>
      <w:r/>
    </w:p>
    <w:p>
      <w:pPr>
        <w:pStyle w:val="1268"/>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after="120" w:line="360" w:lineRule="auto"/>
        <w:rPr>
          <w:rFonts w:hint="eastAsia" w:ascii="宋体" w:hAnsi="宋体" w:cs="宋体"/>
          <w:b/>
          <w:bCs/>
          <w:color w:val="000000" w:themeColor="text1"/>
          <w:szCs w:val="21"/>
          <w14:textFill>
            <w14:solidFill>
              <w14:schemeClr w14:val="tx1"/>
            </w14:solidFill>
          </w14:textFill>
        </w:rPr>
        <w:outlineLvl w:val="1"/>
      </w:pPr>
      <w:r/>
      <w:bookmarkStart w:id="206" w:name="_Toc241501777"/>
      <w:r/>
      <w:bookmarkStart w:id="207" w:name="_Toc241513295"/>
      <w:r/>
      <w:bookmarkStart w:id="208" w:name="_Toc17194"/>
      <w:r>
        <w:rPr>
          <w:rFonts w:hint="eastAsia" w:ascii="宋体" w:hAnsi="宋体" w:cs="宋体"/>
          <w:b/>
          <w:bCs/>
          <w:color w:val="000000" w:themeColor="text1"/>
          <w:szCs w:val="21"/>
          <w14:textFill>
            <w14:solidFill>
              <w14:schemeClr w14:val="tx1"/>
            </w14:solidFill>
          </w14:textFill>
        </w:rPr>
        <w:t xml:space="preserve">附件四 商务条款偏离表</w:t>
      </w:r>
      <w:bookmarkEnd w:id="200"/>
      <w:r/>
      <w:bookmarkEnd w:id="201"/>
      <w:r/>
      <w:bookmarkEnd w:id="202"/>
      <w:r/>
      <w:bookmarkEnd w:id="203"/>
      <w:r/>
      <w:bookmarkEnd w:id="204"/>
      <w:r/>
      <w:bookmarkEnd w:id="205"/>
      <w:r/>
      <w:bookmarkEnd w:id="206"/>
      <w:r/>
      <w:bookmarkEnd w:id="207"/>
      <w:r/>
      <w:bookmarkEnd w:id="208"/>
      <w:r/>
      <w:r/>
    </w:p>
    <w:tbl>
      <w:tblPr>
        <w:tblStyle w:val="104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注：1、投标人如对包括报价要求、交付要求、验收要求及结算方式等商务条款的响应有任何偏离，请在本表中详细填写；如不列出，则视为投标人完全同意招标文件的商务条款。</w:t>
      </w:r>
      <w:r/>
    </w:p>
    <w:p>
      <w:pPr>
        <w:ind w:left="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2、“投标人的承诺或说明”栏请注明“响应/正偏离/负偏离”，正偏离指投标人的响应高于招标文件要求，负偏离指投标人的响应低于招标文件要求。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3、如果行数不够，请自行增加。</w:t>
      </w:r>
      <w:r/>
    </w:p>
    <w:p>
      <w:pPr>
        <w:ind w:firstLine="549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33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33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33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334"/>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jc w:val="center"/>
        <w:spacing w:after="120" w:line="360" w:lineRule="auto"/>
        <w:rPr>
          <w:rFonts w:hint="eastAsia" w:ascii="宋体" w:hAnsi="宋体" w:cs="宋体"/>
          <w:b/>
          <w:bCs/>
          <w:color w:val="000000" w:themeColor="text1"/>
          <w:szCs w:val="21"/>
          <w14:textFill>
            <w14:solidFill>
              <w14:schemeClr w14:val="tx1"/>
            </w14:solidFill>
          </w14:textFill>
        </w:rPr>
        <w:outlineLvl w:val="1"/>
      </w:pPr>
      <w:r/>
      <w:bookmarkStart w:id="209" w:name="_Toc32381"/>
      <w:r/>
      <w:bookmarkStart w:id="210" w:name="_Toc7213"/>
      <w:r/>
      <w:bookmarkStart w:id="211" w:name="_Toc6138"/>
      <w:r/>
      <w:bookmarkStart w:id="212" w:name="_Toc25051"/>
      <w:r/>
      <w:bookmarkStart w:id="213" w:name="_Toc21068"/>
      <w:r/>
      <w:bookmarkStart w:id="214" w:name="_Toc241513296"/>
      <w:r/>
      <w:bookmarkStart w:id="215" w:name="_Toc24346"/>
      <w:r/>
      <w:bookmarkStart w:id="216" w:name="_Toc241501778"/>
      <w:r/>
      <w:bookmarkStart w:id="217" w:name="_Toc113527850"/>
      <w:r>
        <w:rPr>
          <w:rFonts w:hint="eastAsia" w:ascii="宋体" w:hAnsi="宋体" w:cs="宋体"/>
          <w:b/>
          <w:bCs/>
          <w:color w:val="000000" w:themeColor="text1"/>
          <w:szCs w:val="21"/>
          <w14:textFill>
            <w14:solidFill>
              <w14:schemeClr w14:val="tx1"/>
            </w14:solidFill>
          </w14:textFill>
        </w:rPr>
        <w:t xml:space="preserve">附件五 需求响应偏离表</w:t>
      </w:r>
      <w:bookmarkEnd w:id="209"/>
      <w:r/>
      <w:bookmarkEnd w:id="210"/>
      <w:r/>
      <w:bookmarkEnd w:id="211"/>
      <w:r/>
      <w:bookmarkEnd w:id="212"/>
      <w:r/>
      <w:bookmarkEnd w:id="213"/>
      <w:r/>
      <w:bookmarkEnd w:id="214"/>
      <w:r/>
      <w:bookmarkEnd w:id="215"/>
      <w:r/>
      <w:bookmarkEnd w:id="216"/>
      <w:r/>
      <w:bookmarkEnd w:id="217"/>
      <w:r/>
      <w:r/>
    </w:p>
    <w:tbl>
      <w:tblPr>
        <w:tblStyle w:val="104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证明文件响应的具体位置（如有）</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注：1、投标人应对招标文件第四章采购需求的内容给予逐条响应，若漏项或不逐条应答视为负偏离。以投标产品和服务所能达到的内容予以填写。</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2、投标文件“响应具体情况",指所投产品的服务需求响应情况。“说明”栏请注明“响应/正偏离/负偏离”，并且标注针对服务响应的证明文件在投标文件中的页码及具体位置（如有）。</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投标响应和招标要求不一致，而投标人却在此表应答为响应或正偏离时，必须提供充分理由说明（不提供或理由不充分将视为负偏离）；因此种情况在产品验收时产生争议，采购人有权按照招标文件的原始标准进行验收。</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4、如果行数不够，请自行增加。</w:t>
      </w:r>
      <w:bookmarkStart w:id="218" w:name="_Toc17724"/>
      <w:r/>
      <w:bookmarkStart w:id="219" w:name="_Toc3639"/>
      <w:r/>
      <w:bookmarkStart w:id="220" w:name="_Toc22252"/>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keepLines/>
        <w:keepNext/>
        <w:spacing w:before="52" w:after="290" w:line="360" w:lineRule="auto"/>
        <w:rPr>
          <w:rFonts w:hint="eastAsia" w:ascii="宋体" w:hAnsi="宋体" w:cs="宋体"/>
          <w:b/>
          <w:bCs/>
          <w:color w:val="000000" w:themeColor="text1"/>
          <w:szCs w:val="21"/>
          <w14:textFill>
            <w14:solidFill>
              <w14:schemeClr w14:val="tx1"/>
            </w14:solidFill>
          </w14:textFill>
        </w:rPr>
        <w:outlineLvl w:val="4"/>
      </w:pPr>
      <w:r>
        <w:rPr>
          <w:rFonts w:hint="eastAsia" w:ascii="宋体" w:hAnsi="宋体" w:cs="宋体"/>
          <w:b/>
          <w:bCs/>
          <w:color w:val="000000" w:themeColor="text1"/>
          <w:szCs w:val="21"/>
          <w14:textFill>
            <w14:solidFill>
              <w14:schemeClr w14:val="tx1"/>
            </w14:solidFill>
          </w14:textFill>
        </w:rPr>
        <w:t xml:space="preserve">附件六、拟参与本项目服务人员一览表</w:t>
      </w:r>
      <w:r/>
    </w:p>
    <w:p>
      <w:pPr>
        <w:ind w:left="1325" w:right="1312"/>
        <w:jc w:val="center"/>
        <w:keepLines/>
        <w:keepNext/>
        <w:spacing w:before="157" w:after="290" w:line="360" w:lineRule="auto"/>
        <w:rPr>
          <w:rFonts w:hint="eastAsia" w:ascii="宋体" w:hAnsi="宋体" w:cs="宋体"/>
          <w:b/>
          <w:bCs/>
          <w:color w:val="000000" w:themeColor="text1"/>
          <w:szCs w:val="21"/>
          <w14:textFill>
            <w14:solidFill>
              <w14:schemeClr w14:val="tx1"/>
            </w14:solidFill>
          </w14:textFill>
        </w:rPr>
        <w:outlineLvl w:val="4"/>
      </w:pPr>
      <w:r>
        <w:rPr>
          <w:rFonts w:hint="eastAsia" w:ascii="宋体" w:hAnsi="宋体" w:cs="宋体"/>
          <w:b/>
          <w:bCs/>
          <w:color w:val="000000" w:themeColor="text1"/>
          <w:szCs w:val="21"/>
          <w14:textFill>
            <w14:solidFill>
              <w14:schemeClr w14:val="tx1"/>
            </w14:solidFill>
          </w14:textFill>
        </w:rPr>
        <w:t xml:space="preserve">6-1 拟参与本项目服务人员一览表</w:t>
      </w:r>
      <w:r/>
    </w:p>
    <w:p>
      <w:pPr>
        <w:ind w:left="420"/>
        <w:spacing w:before="1" w:after="12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left="420"/>
        <w:spacing w:before="1" w:after="22"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w:t>
      </w:r>
      <w:r/>
    </w:p>
    <w:tbl>
      <w:tblPr>
        <w:tblStyle w:val="1049"/>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序</w:t>
            </w:r>
            <w:r/>
          </w:p>
          <w:p>
            <w:pPr>
              <w:ind w:left="161"/>
              <w:spacing w:before="43"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号</w:t>
            </w:r>
            <w:r/>
          </w:p>
        </w:tc>
        <w:tc>
          <w:tcPr>
            <w:tcW w:w="896" w:type="dxa"/>
            <w:textDirection w:val="lrTb"/>
            <w:noWrap w:val="false"/>
          </w:tcPr>
          <w:p>
            <w:pPr>
              <w:ind w:left="237"/>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姓名</w:t>
            </w:r>
            <w:r/>
          </w:p>
        </w:tc>
        <w:tc>
          <w:tcPr>
            <w:tcW w:w="663" w:type="dxa"/>
            <w:textDirection w:val="lrTb"/>
            <w:noWrap w:val="false"/>
          </w:tcPr>
          <w:p>
            <w:pPr>
              <w:ind w:left="121"/>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性别</w:t>
            </w:r>
            <w:r/>
          </w:p>
        </w:tc>
        <w:tc>
          <w:tcPr>
            <w:tcW w:w="709" w:type="dxa"/>
            <w:textDirection w:val="lrTb"/>
            <w:noWrap w:val="false"/>
          </w:tcPr>
          <w:p>
            <w:pPr>
              <w:ind w:left="144"/>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年龄</w:t>
            </w:r>
            <w:r/>
          </w:p>
        </w:tc>
        <w:tc>
          <w:tcPr>
            <w:tcW w:w="1134" w:type="dxa"/>
            <w:textDirection w:val="lrTb"/>
            <w:noWrap w:val="false"/>
          </w:tcPr>
          <w:p>
            <w:pPr>
              <w:ind w:left="357"/>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专业</w:t>
            </w:r>
            <w:r/>
          </w:p>
        </w:tc>
        <w:tc>
          <w:tcPr>
            <w:tcW w:w="931" w:type="dxa"/>
            <w:textDirection w:val="lrTb"/>
            <w:noWrap w:val="false"/>
          </w:tcPr>
          <w:p>
            <w:pPr>
              <w:ind w:left="255"/>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学历</w:t>
            </w:r>
            <w:r/>
          </w:p>
        </w:tc>
        <w:tc>
          <w:tcPr>
            <w:tcW w:w="1020" w:type="dxa"/>
            <w:textDirection w:val="lrTb"/>
            <w:noWrap w:val="false"/>
          </w:tcPr>
          <w:p>
            <w:pPr>
              <w:ind w:left="298"/>
              <w:spacing w:before="20"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执业</w:t>
            </w:r>
            <w:r/>
          </w:p>
          <w:p>
            <w:pPr>
              <w:ind w:left="298"/>
              <w:spacing w:before="43"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资格</w:t>
            </w:r>
            <w:r/>
          </w:p>
        </w:tc>
        <w:tc>
          <w:tcPr>
            <w:tcW w:w="994" w:type="dxa"/>
            <w:textDirection w:val="lrTb"/>
            <w:noWrap w:val="false"/>
          </w:tcPr>
          <w:p>
            <w:pPr>
              <w:ind w:left="181"/>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证书号</w:t>
            </w:r>
            <w:r/>
          </w:p>
        </w:tc>
        <w:tc>
          <w:tcPr>
            <w:tcW w:w="882" w:type="dxa"/>
            <w:textDirection w:val="lrTb"/>
            <w:noWrap w:val="false"/>
          </w:tcPr>
          <w:p>
            <w:pPr>
              <w:ind w:left="104" w:right="94"/>
              <w:jc w:val="center"/>
              <w:spacing w:before="20"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技术职</w:t>
            </w:r>
            <w:r/>
          </w:p>
          <w:p>
            <w:pPr>
              <w:ind w:left="10"/>
              <w:jc w:val="center"/>
              <w:spacing w:before="43"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称</w:t>
            </w:r>
            <w:r/>
          </w:p>
        </w:tc>
        <w:tc>
          <w:tcPr>
            <w:tcW w:w="850" w:type="dxa"/>
            <w:textDirection w:val="lrTb"/>
            <w:noWrap w:val="false"/>
          </w:tcPr>
          <w:p>
            <w:pPr>
              <w:ind w:left="109"/>
              <w:spacing w:before="20"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相关工</w:t>
            </w:r>
            <w:r/>
          </w:p>
          <w:p>
            <w:pPr>
              <w:ind w:left="109"/>
              <w:spacing w:before="43"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作年限</w:t>
            </w:r>
            <w:r/>
          </w:p>
        </w:tc>
        <w:tc>
          <w:tcPr>
            <w:tcW w:w="851" w:type="dxa"/>
            <w:textDirection w:val="lrTb"/>
            <w:noWrap w:val="false"/>
          </w:tcPr>
          <w:p>
            <w:pPr>
              <w:ind w:left="215"/>
              <w:spacing w:before="176" w:line="360" w:lineRule="auto"/>
              <w:rPr>
                <w:rFonts w:hint="eastAsia" w:ascii="宋体" w:hAnsi="宋体" w:cs="宋体"/>
                <w:b/>
                <w:color w:val="000000" w:themeColor="text1"/>
                <w:szCs w:val="21"/>
                <w:lang w:val="zh-CN" w:bidi="zh-CN"/>
                <w14:textFill>
                  <w14:solidFill>
                    <w14:schemeClr w14:val="tx1"/>
                  </w14:solidFill>
                </w14:textFill>
              </w:rPr>
            </w:pPr>
            <w:r>
              <w:rPr>
                <w:rFonts w:hint="eastAsia" w:ascii="宋体" w:hAnsi="宋体" w:cs="宋体"/>
                <w:b/>
                <w:color w:val="000000" w:themeColor="text1"/>
                <w:szCs w:val="21"/>
                <w:lang w:val="zh-CN" w:bidi="zh-CN"/>
                <w14:textFill>
                  <w14:solidFill>
                    <w14:schemeClr w14:val="tx1"/>
                  </w14:solidFill>
                </w14:textFill>
              </w:rPr>
              <w:t xml:space="preserve">备注</w:t>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1"/>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1"/>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312"/>
        </w:trPr>
        <w:tc>
          <w:tcPr>
            <w:tcW w:w="5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96"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663"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70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3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2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0"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51"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bl>
    <w:p>
      <w:pPr>
        <w:ind w:left="420"/>
        <w:spacing w:before="98" w:after="120" w:line="360" w:lineRule="auto"/>
        <w:tabs>
          <w:tab w:val="left" w:pos="442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rPr>
          <w:rFonts w:hint="eastAsia" w:ascii="宋体" w:hAnsi="宋体" w:cs="宋体"/>
          <w:color w:val="000000" w:themeColor="text1"/>
          <w:szCs w:val="21"/>
          <w:u w:val="single"/>
          <w14:textFill>
            <w14:solidFill>
              <w14:schemeClr w14:val="tx1"/>
            </w14:solidFill>
          </w14:textFill>
        </w:rPr>
        <w:tab/>
      </w:r>
      <w:r/>
    </w:p>
    <w:p>
      <w:pPr>
        <w:ind w:left="420"/>
        <w:spacing w:before="3"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spacing w:before="70" w:after="120" w:line="360" w:lineRule="auto"/>
        <w:tabs>
          <w:tab w:val="left" w:pos="453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rPr>
          <w:rFonts w:hint="eastAsia" w:ascii="宋体" w:hAnsi="宋体" w:cs="宋体"/>
          <w:color w:val="000000" w:themeColor="text1"/>
          <w:szCs w:val="21"/>
          <w:u w:val="single"/>
          <w14:textFill>
            <w14:solidFill>
              <w14:schemeClr w14:val="tx1"/>
            </w14:solidFill>
          </w14:textFill>
        </w:rPr>
        <w:tab/>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60" w:lineRule="auto"/>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6-2</w:t>
      </w:r>
      <w:r>
        <w:rPr>
          <w:rFonts w:hint="eastAsia" w:ascii="宋体"/>
          <w:b/>
          <w:bCs/>
          <w:color w:val="000000" w:themeColor="text1"/>
          <w:szCs w:val="21"/>
          <w14:textFill>
            <w14:solidFill>
              <w14:schemeClr w14:val="tx1"/>
            </w14:solidFill>
          </w14:textFill>
        </w:rPr>
        <w:t xml:space="preserve">项目负责人</w:t>
      </w:r>
      <w:r>
        <w:rPr>
          <w:rFonts w:ascii="宋体"/>
          <w:b/>
          <w:bCs/>
          <w:color w:val="000000" w:themeColor="text1"/>
          <w:szCs w:val="21"/>
          <w14:textFill>
            <w14:solidFill>
              <w14:schemeClr w14:val="tx1"/>
            </w14:solidFill>
          </w14:textFill>
        </w:rPr>
        <w:t xml:space="preserve">履历表</w:t>
      </w:r>
      <w:r/>
    </w:p>
    <w:p>
      <w:pPr>
        <w:ind w:left="420"/>
        <w:spacing w:before="1" w:after="22"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w:t>
      </w:r>
      <w:r/>
    </w:p>
    <w:tbl>
      <w:tblPr>
        <w:tblStyle w:val="1049"/>
        <w:tblW w:w="9277" w:type="dxa"/>
        <w:tblInd w:w="-25" w:type="dxa"/>
        <w:tblLayout w:type="fixed"/>
        <w:tblCellMar>
          <w:left w:w="0" w:type="dxa"/>
          <w:top w:w="0" w:type="dxa"/>
          <w:right w:w="0" w:type="dxa"/>
          <w:bottom w:w="0" w:type="dxa"/>
        </w:tblCellMar>
        <w:tblLook w:val="04A0" w:firstRow="1" w:lastRow="0" w:firstColumn="1" w:lastColumn="0" w:noHBand="0" w:noVBand="1"/>
      </w:tblPr>
      <w:tblGrid>
        <w:gridCol w:w="1669"/>
        <w:gridCol w:w="1129"/>
        <w:gridCol w:w="835"/>
        <w:gridCol w:w="1145"/>
        <w:gridCol w:w="647"/>
        <w:gridCol w:w="629"/>
        <w:gridCol w:w="1599"/>
        <w:gridCol w:w="1624"/>
      </w:tblGrid>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姓</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年</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月</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日</w:t>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年</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月</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日</w:t>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专业</w:t>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r>
      <w:tr>
        <w:trPr>
          <w:trHeight w:val="683"/>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职务</w:t>
            </w:r>
            <w:r/>
          </w:p>
        </w:tc>
        <w:tc>
          <w:tcPr>
            <w:gridSpan w:val="2"/>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职称</w:t>
            </w:r>
            <w:r/>
          </w:p>
        </w:tc>
        <w:tc>
          <w:tcPr>
            <w:gridSpan w:val="2"/>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r>
      <w:tr>
        <w:trPr>
          <w:trHeight w:val="631" w:hRule="exact"/>
        </w:trPr>
        <w:tc>
          <w:tcPr>
            <w:gridSpan w:val="8"/>
            <w:tcBorders>
              <w:top w:val="single" w:color="000000" w:sz="4" w:space="0"/>
              <w:left w:val="single" w:color="000000" w:sz="4" w:space="0"/>
              <w:bottom w:val="single" w:color="000000" w:sz="4" w:space="0"/>
              <w:right w:val="single" w:color="000000" w:sz="4" w:space="0"/>
            </w:tcBorders>
            <w:tcW w:w="9277" w:type="dxa"/>
            <w:vAlign w:val="center"/>
            <w:textDirection w:val="lrTb"/>
            <w:noWrap w:val="false"/>
          </w:tcPr>
          <w:p>
            <w:pPr>
              <w:jc w:val="center"/>
              <w:rPr>
                <w:rFonts w:hint="eastAsia" w:hAnsi="宋体" w:cs="宋体"/>
                <w:b/>
                <w:bCs/>
                <w:color w:val="000000" w:themeColor="text1"/>
                <w:sz w:val="24"/>
                <w14:textFill>
                  <w14:solidFill>
                    <w14:schemeClr w14:val="tx1"/>
                  </w14:solidFill>
                </w14:textFill>
              </w:rPr>
            </w:pPr>
            <w:r>
              <w:rPr>
                <w:rFonts w:hint="eastAsia" w:hAnsi="宋体" w:cs="宋体"/>
                <w:b/>
                <w:bCs/>
                <w:color w:val="000000" w:themeColor="text1"/>
                <w:sz w:val="24"/>
                <w14:textFill>
                  <w14:solidFill>
                    <w14:schemeClr w14:val="tx1"/>
                  </w14:solidFill>
                </w14:textFill>
              </w:rPr>
              <w:t xml:space="preserve">主</w:t>
            </w:r>
            <w:r>
              <w:rPr>
                <w:rFonts w:hint="eastAsia" w:hAnsi="宋体" w:cs="宋体"/>
                <w:b/>
                <w:bCs/>
                <w:color w:val="000000" w:themeColor="text1"/>
                <w:sz w:val="24"/>
                <w14:textFill>
                  <w14:solidFill>
                    <w14:schemeClr w14:val="tx1"/>
                  </w14:solidFill>
                </w14:textFill>
              </w:rPr>
              <w:tab/>
            </w:r>
            <w:r>
              <w:rPr>
                <w:rFonts w:hint="eastAsia" w:hAnsi="宋体" w:cs="宋体"/>
                <w:b/>
                <w:bCs/>
                <w:color w:val="000000" w:themeColor="text1"/>
                <w:sz w:val="24"/>
                <w14:textFill>
                  <w14:solidFill>
                    <w14:schemeClr w14:val="tx1"/>
                  </w14:solidFill>
                </w14:textFill>
              </w:rPr>
              <w:t xml:space="preserve">要</w:t>
            </w:r>
            <w:r>
              <w:rPr>
                <w:rFonts w:hint="eastAsia" w:hAnsi="宋体" w:cs="宋体"/>
                <w:b/>
                <w:bCs/>
                <w:color w:val="000000" w:themeColor="text1"/>
                <w:sz w:val="24"/>
                <w14:textFill>
                  <w14:solidFill>
                    <w14:schemeClr w14:val="tx1"/>
                  </w14:solidFill>
                </w14:textFill>
              </w:rPr>
              <w:tab/>
            </w:r>
            <w:r>
              <w:rPr>
                <w:rFonts w:hint="eastAsia" w:hAnsi="宋体" w:cs="宋体"/>
                <w:b/>
                <w:bCs/>
                <w:color w:val="000000" w:themeColor="text1"/>
                <w:sz w:val="24"/>
                <w14:textFill>
                  <w14:solidFill>
                    <w14:schemeClr w14:val="tx1"/>
                  </w14:solidFill>
                </w14:textFill>
              </w:rPr>
              <w:t xml:space="preserve">经</w:t>
            </w:r>
            <w:r>
              <w:rPr>
                <w:rFonts w:hint="eastAsia" w:hAnsi="宋体" w:cs="宋体"/>
                <w:b/>
                <w:bCs/>
                <w:color w:val="000000" w:themeColor="text1"/>
                <w:sz w:val="24"/>
                <w14:textFill>
                  <w14:solidFill>
                    <w14:schemeClr w14:val="tx1"/>
                  </w14:solidFill>
                </w14:textFill>
              </w:rPr>
              <w:tab/>
            </w:r>
            <w:r>
              <w:rPr>
                <w:rFonts w:hint="eastAsia" w:hAnsi="宋体" w:cs="宋体"/>
                <w:b/>
                <w:bCs/>
                <w:color w:val="000000" w:themeColor="text1"/>
                <w:sz w:val="24"/>
                <w14:textFill>
                  <w14:solidFill>
                    <w14:schemeClr w14:val="tx1"/>
                  </w14:solidFill>
                </w14:textFill>
              </w:rPr>
              <w:t xml:space="preserve">历</w:t>
            </w:r>
            <w:r/>
          </w:p>
        </w:tc>
      </w:tr>
      <w:tr>
        <w:trPr>
          <w:trHeight w:val="768"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时</w:t>
            </w:r>
            <w:r>
              <w:rPr>
                <w:rFonts w:hint="eastAsia" w:hAnsi="宋体" w:cs="宋体"/>
                <w:color w:val="000000" w:themeColor="text1"/>
                <w:sz w:val="24"/>
                <w14:textFill>
                  <w14:solidFill>
                    <w14:schemeClr w14:val="tx1"/>
                  </w14:solidFill>
                </w14:textFill>
              </w:rPr>
              <w:tab/>
            </w:r>
            <w:r>
              <w:rPr>
                <w:rFonts w:hint="eastAsia" w:hAnsi="宋体" w:cs="宋体"/>
                <w:color w:val="000000" w:themeColor="text1"/>
                <w:sz w:val="24"/>
                <w14:textFill>
                  <w14:solidFill>
                    <w14:schemeClr w14:val="tx1"/>
                  </w14:solidFill>
                </w14:textFill>
              </w:rPr>
              <w:t xml:space="preserve">间</w:t>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该项目中任职</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jc w:val="center"/>
              <w:rPr>
                <w:rFonts w:hint="eastAsia" w:hAnsi="宋体" w:cs="宋体"/>
                <w:color w:val="000000" w:themeColor="text1"/>
                <w:sz w:val="24"/>
                <w14:textFill>
                  <w14:solidFill>
                    <w14:schemeClr w14:val="tx1"/>
                  </w14:solidFill>
                </w14:textFill>
              </w:rPr>
            </w:pPr>
            <w:r>
              <w:rPr>
                <w:rStyle w:val="1321"/>
                <w:rFonts w:hint="eastAsia" w:hAnsi="宋体" w:cs="宋体"/>
                <w:color w:val="000000" w:themeColor="text1"/>
                <w:sz w:val="24"/>
                <w14:textFill>
                  <w14:solidFill>
                    <w14:schemeClr w14:val="tx1"/>
                  </w14:solidFill>
                </w14:textFill>
              </w:rPr>
              <w:t xml:space="preserve">业主单位、联系人电话</w:t>
            </w:r>
            <w:r/>
          </w:p>
        </w:tc>
      </w:tr>
      <w:tr>
        <w:trPr>
          <w:trHeight w:val="501" w:hRule="exact"/>
        </w:trPr>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4"/>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pStyle w:val="1305"/>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bl>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注：1、根据投标人拟投入本项目负责人填写履历表。</w:t>
      </w:r>
      <w:r/>
    </w:p>
    <w:p>
      <w:pPr>
        <w:pStyle w:val="1314"/>
        <w:ind w:right="214"/>
        <w:spacing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2、具体要求及需提交的证明材料见“第三章 评标标准”。</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投标人名称（加盖电子公章）：</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p>
    <w:p>
      <w:pPr>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ab/>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0"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keepLines/>
        <w:keepNext/>
        <w:spacing w:before="42" w:after="290" w:line="360" w:lineRule="auto"/>
        <w:rPr>
          <w:rFonts w:hint="eastAsia" w:ascii="宋体" w:hAnsi="宋体" w:cs="宋体"/>
          <w:b/>
          <w:bCs/>
          <w:color w:val="000000" w:themeColor="text1"/>
          <w:szCs w:val="21"/>
          <w14:textFill>
            <w14:solidFill>
              <w14:schemeClr w14:val="tx1"/>
            </w14:solidFill>
          </w14:textFill>
        </w:rPr>
        <w:outlineLvl w:val="4"/>
      </w:pPr>
      <w:r>
        <w:rPr>
          <w:rFonts w:hint="eastAsia" w:ascii="宋体" w:hAnsi="宋体" w:cs="宋体"/>
          <w:b/>
          <w:bCs/>
          <w:color w:val="000000" w:themeColor="text1"/>
          <w:szCs w:val="21"/>
          <w14:textFill>
            <w14:solidFill>
              <w14:schemeClr w14:val="tx1"/>
            </w14:solidFill>
          </w14:textFill>
        </w:rPr>
        <w:t xml:space="preserve">附件七、投标人类似业绩情况表</w:t>
      </w:r>
      <w:r/>
    </w:p>
    <w:p>
      <w:pPr>
        <w:ind w:left="1325" w:right="1312"/>
        <w:jc w:val="center"/>
        <w:keepLines/>
        <w:keepNext/>
        <w:spacing w:before="280" w:after="290" w:line="360" w:lineRule="auto"/>
        <w:rPr>
          <w:rFonts w:hint="eastAsia" w:ascii="宋体" w:hAnsi="宋体" w:cs="宋体"/>
          <w:b/>
          <w:bCs/>
          <w:color w:val="000000" w:themeColor="text1"/>
          <w:szCs w:val="21"/>
          <w14:textFill>
            <w14:solidFill>
              <w14:schemeClr w14:val="tx1"/>
            </w14:solidFill>
          </w14:textFill>
        </w:rPr>
        <w:outlineLvl w:val="4"/>
      </w:pPr>
      <w:r>
        <w:rPr>
          <w:rFonts w:hint="eastAsia" w:ascii="宋体" w:hAnsi="宋体" w:cs="宋体"/>
          <w:b/>
          <w:bCs/>
          <w:color w:val="000000" w:themeColor="text1"/>
          <w:szCs w:val="21"/>
          <w14:textFill>
            <w14:solidFill>
              <w14:schemeClr w14:val="tx1"/>
            </w14:solidFill>
          </w14:textFill>
        </w:rPr>
        <w:t xml:space="preserve">投标人类似业绩情况表</w:t>
      </w:r>
      <w:r/>
    </w:p>
    <w:p>
      <w:pPr>
        <w:ind w:left="420"/>
        <w:spacing w:before="3" w:after="12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bl>
      <w:tblPr>
        <w:tblStyle w:val="1049"/>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序号</w:t>
            </w:r>
            <w:r/>
          </w:p>
        </w:tc>
        <w:tc>
          <w:tcPr>
            <w:tcW w:w="1559" w:type="dxa"/>
            <w:vAlign w:val="center"/>
            <w:textDirection w:val="lrTb"/>
            <w:noWrap w:val="false"/>
          </w:tcPr>
          <w:p>
            <w:pPr>
              <w:jc w:val="cente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项目名称</w:t>
            </w:r>
            <w:r/>
          </w:p>
        </w:tc>
        <w:tc>
          <w:tcPr>
            <w:tcW w:w="1418" w:type="dxa"/>
            <w:vAlign w:val="center"/>
            <w:textDirection w:val="lrTb"/>
            <w:noWrap w:val="false"/>
          </w:tcPr>
          <w:p>
            <w:pPr>
              <w:jc w:val="cente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业主单位</w:t>
            </w:r>
            <w:r/>
          </w:p>
        </w:tc>
        <w:tc>
          <w:tcPr>
            <w:tcW w:w="992" w:type="dxa"/>
            <w:textDirection w:val="lrTb"/>
            <w:noWrap w:val="false"/>
          </w:tcPr>
          <w:p>
            <w:pPr>
              <w:ind w:left="286" w:right="275"/>
              <w:spacing w:before="19"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项目规模</w:t>
            </w:r>
            <w:r/>
          </w:p>
        </w:tc>
        <w:tc>
          <w:tcPr>
            <w:tcW w:w="1034" w:type="dxa"/>
            <w:textDirection w:val="lrTb"/>
            <w:noWrap w:val="false"/>
          </w:tcPr>
          <w:p>
            <w:pPr>
              <w:ind w:left="307" w:right="296"/>
              <w:spacing w:before="19"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获奖情况</w:t>
            </w:r>
            <w:r/>
          </w:p>
        </w:tc>
        <w:tc>
          <w:tcPr>
            <w:tcW w:w="1517" w:type="dxa"/>
            <w:textDirection w:val="lrTb"/>
            <w:noWrap w:val="false"/>
          </w:tcPr>
          <w:p>
            <w:pPr>
              <w:ind w:left="547" w:right="222" w:hanging="315"/>
              <w:spacing w:before="19"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签约及服务时间</w:t>
            </w:r>
            <w:r/>
          </w:p>
        </w:tc>
        <w:tc>
          <w:tcPr>
            <w:tcW w:w="1134" w:type="dxa"/>
            <w:textDirection w:val="lrTb"/>
            <w:noWrap w:val="false"/>
          </w:tcPr>
          <w:p>
            <w:pPr>
              <w:ind w:left="355" w:right="137" w:hanging="209"/>
              <w:spacing w:before="19"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联系人及电话</w:t>
            </w:r>
            <w:r/>
          </w:p>
        </w:tc>
        <w:tc>
          <w:tcPr>
            <w:tcW w:w="838" w:type="dxa"/>
            <w:textDirection w:val="lrTb"/>
            <w:noWrap w:val="false"/>
          </w:tcPr>
          <w:p>
            <w:pPr>
              <w:ind w:left="207"/>
              <w:spacing w:before="129"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t xml:space="preserve">备注</w:t>
            </w:r>
            <w:r/>
          </w:p>
        </w:tc>
      </w:tr>
      <w:tr>
        <w:trPr>
          <w:trHeight w:val="381"/>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r>
        <w:trPr>
          <w:trHeight w:val="400"/>
        </w:trPr>
        <w:tc>
          <w:tcPr>
            <w:tcW w:w="68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59"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41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992"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0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517"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1134"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c>
          <w:tcPr>
            <w:tcW w:w="838" w:type="dxa"/>
            <w:textDirection w:val="lrTb"/>
            <w:noWrap w:val="false"/>
          </w:tcPr>
          <w:p>
            <w:pPr>
              <w:spacing w:line="360" w:lineRule="auto"/>
              <w:rPr>
                <w:rFonts w:hint="eastAsia" w:ascii="宋体" w:hAnsi="宋体" w:cs="宋体"/>
                <w:color w:val="000000" w:themeColor="text1"/>
                <w:szCs w:val="21"/>
                <w:lang w:val="zh-CN" w:bidi="zh-CN"/>
                <w14:textFill>
                  <w14:solidFill>
                    <w14:schemeClr w14:val="tx1"/>
                  </w14:solidFill>
                </w14:textFill>
              </w:rPr>
            </w:pPr>
            <w:r>
              <w:rPr>
                <w:rFonts w:hint="eastAsia" w:ascii="宋体" w:hAnsi="宋体" w:cs="宋体"/>
                <w:color w:val="000000" w:themeColor="text1"/>
                <w:szCs w:val="21"/>
                <w:lang w:val="zh-CN" w:bidi="zh-CN"/>
                <w14:textFill>
                  <w14:solidFill>
                    <w14:schemeClr w14:val="tx1"/>
                  </w14:solidFill>
                </w14:textFill>
              </w:rPr>
            </w:r>
            <w:r/>
          </w:p>
        </w:tc>
      </w:tr>
    </w:tbl>
    <w:p>
      <w:pPr>
        <w:ind w:left="420"/>
        <w:spacing w:before="100" w:after="120" w:line="360" w:lineRule="auto"/>
        <w:tabs>
          <w:tab w:val="left" w:pos="442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rPr>
          <w:rFonts w:hint="eastAsia" w:ascii="宋体" w:hAnsi="宋体" w:cs="宋体"/>
          <w:color w:val="000000" w:themeColor="text1"/>
          <w:szCs w:val="21"/>
          <w:u w:val="single"/>
          <w14:textFill>
            <w14:solidFill>
              <w14:schemeClr w14:val="tx1"/>
            </w14:solidFill>
          </w14:textFill>
        </w:rPr>
        <w:tab/>
      </w:r>
      <w:r/>
    </w:p>
    <w:p>
      <w:pPr>
        <w:ind w:left="420"/>
        <w:spacing w:before="3"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spacing w:before="70" w:after="120" w:line="360" w:lineRule="auto"/>
        <w:tabs>
          <w:tab w:val="left" w:pos="453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rPr>
          <w:rFonts w:hint="eastAsia" w:ascii="宋体" w:hAnsi="宋体" w:cs="宋体"/>
          <w:color w:val="000000" w:themeColor="text1"/>
          <w:szCs w:val="21"/>
          <w:u w:val="single"/>
          <w14:textFill>
            <w14:solidFill>
              <w14:schemeClr w14:val="tx1"/>
            </w14:solidFill>
          </w14:textFill>
        </w:rPr>
        <w:tab/>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840"/>
        <w:spacing w:before="120"/>
        <w:rPr>
          <w:rFonts w:hint="eastAsia" w:ascii="宋体" w:hAnsi="宋体" w:cs="宋体"/>
          <w:b/>
          <w:bCs/>
          <w:color w:val="000000" w:themeColor="text1"/>
          <w:sz w:val="24"/>
          <w:szCs w:val="21"/>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left="840"/>
        <w:spacing w:before="120"/>
        <w:rPr>
          <w:rFonts w:hint="eastAsia" w:ascii="宋体" w:hAnsi="宋体" w:cs="宋体"/>
          <w:b/>
          <w:bCs/>
          <w:color w:val="000000" w:themeColor="text1"/>
          <w:sz w:val="24"/>
          <w:szCs w:val="21"/>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left="840"/>
        <w:spacing w:before="120"/>
        <w:rPr>
          <w:rFonts w:hint="eastAsia" w:ascii="宋体" w:hAnsi="宋体" w:cs="宋体"/>
          <w:b/>
          <w:bCs/>
          <w:color w:val="000000" w:themeColor="text1"/>
          <w:sz w:val="24"/>
          <w:szCs w:val="21"/>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ind w:left="840"/>
        <w:spacing w:before="120"/>
        <w:rPr>
          <w:rFonts w:hint="eastAsia" w:ascii="宋体" w:hAnsi="宋体" w:cs="宋体"/>
          <w:b/>
          <w:bCs/>
          <w:color w:val="000000" w:themeColor="text1"/>
          <w:sz w:val="24"/>
          <w:szCs w:val="21"/>
          <w14:textFill>
            <w14:solidFill>
              <w14:schemeClr w14:val="tx1"/>
            </w14:solidFill>
          </w14:textFill>
        </w:rPr>
      </w:pPr>
      <w:r>
        <w:rPr>
          <w:rFonts w:hint="eastAsia" w:ascii="宋体" w:hAnsi="宋体" w:cs="宋体"/>
          <w:b/>
          <w:bCs/>
          <w:color w:val="000000" w:themeColor="text1"/>
          <w:sz w:val="24"/>
          <w:szCs w:val="2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rPr>
          <w:rFonts w:hint="eastAsia" w:ascii="宋体" w:hAnsi="宋体" w:cs="宋体"/>
          <w:b/>
          <w:bCs/>
          <w:color w:val="000000" w:themeColor="text1"/>
          <w:szCs w:val="21"/>
          <w14:textFill>
            <w14:solidFill>
              <w14:schemeClr w14:val="tx1"/>
            </w14:solidFill>
          </w14:textFill>
        </w:rPr>
      </w:pPr>
      <w:r/>
      <w:bookmarkStart w:id="221" w:name="_Toc113527851"/>
      <w:r>
        <w:rPr>
          <w:rFonts w:hint="eastAsia" w:ascii="宋体" w:hAnsi="宋体" w:cs="宋体"/>
          <w:b/>
          <w:bCs/>
          <w:color w:val="000000" w:themeColor="text1"/>
          <w:szCs w:val="21"/>
          <w14:textFill>
            <w14:solidFill>
              <w14:schemeClr w14:val="tx1"/>
            </w14:solidFill>
          </w14:textFill>
        </w:rPr>
        <w:t xml:space="preserve">附件八 政府采购政策</w:t>
      </w:r>
      <w:bookmarkEnd w:id="218"/>
      <w:r/>
      <w:bookmarkEnd w:id="219"/>
      <w:r/>
      <w:bookmarkEnd w:id="220"/>
      <w:r/>
      <w:bookmarkEnd w:id="221"/>
      <w:r/>
      <w:r/>
    </w:p>
    <w:p>
      <w:pPr>
        <w:jc w:val="center"/>
        <w:spacing w:line="360" w:lineRule="auto"/>
        <w:widowControl/>
        <w:rPr>
          <w:rFonts w:hint="eastAsia" w:ascii="宋体" w:hAnsi="宋体" w:cs="宋体"/>
          <w:b/>
          <w:bCs/>
          <w:color w:val="000000" w:themeColor="text1"/>
          <w:szCs w:val="21"/>
          <w14:textFill>
            <w14:solidFill>
              <w14:schemeClr w14:val="tx1"/>
            </w14:solidFill>
          </w14:textFill>
        </w:rPr>
        <w:outlineLvl w:val="2"/>
      </w:pPr>
      <w:r/>
      <w:bookmarkStart w:id="222" w:name="_Toc17125"/>
      <w:r/>
      <w:bookmarkStart w:id="223" w:name="_Toc28798"/>
      <w:r/>
      <w:bookmarkStart w:id="224" w:name="_Toc241501779"/>
      <w:r/>
      <w:bookmarkStart w:id="225" w:name="_Toc21802"/>
      <w:r/>
      <w:bookmarkStart w:id="226" w:name="_Toc241513297"/>
      <w:r/>
      <w:bookmarkStart w:id="227" w:name="_Toc15785"/>
      <w:r/>
      <w:bookmarkStart w:id="228" w:name="_Toc18700"/>
      <w:r/>
      <w:bookmarkStart w:id="229" w:name="_Toc92"/>
      <w:r/>
      <w:bookmarkStart w:id="230" w:name="_Toc81"/>
      <w:r/>
      <w:bookmarkStart w:id="231" w:name="_Toc14311"/>
      <w:r>
        <w:rPr>
          <w:rFonts w:hint="eastAsia" w:ascii="宋体" w:hAnsi="宋体" w:cs="宋体"/>
          <w:b/>
          <w:bCs/>
          <w:color w:val="000000" w:themeColor="text1"/>
          <w:szCs w:val="21"/>
          <w14:textFill>
            <w14:solidFill>
              <w14:schemeClr w14:val="tx1"/>
            </w14:solidFill>
          </w14:textFill>
        </w:rPr>
        <w:t xml:space="preserve">（一）《中小企业声明函》</w:t>
      </w:r>
      <w:bookmarkEnd w:id="222"/>
      <w:r/>
      <w:bookmarkEnd w:id="223"/>
      <w:r/>
      <w:bookmarkEnd w:id="224"/>
      <w:r/>
      <w:bookmarkEnd w:id="225"/>
      <w:r/>
      <w:bookmarkEnd w:id="226"/>
      <w:r>
        <w:rPr>
          <w:rFonts w:hint="eastAsia" w:ascii="宋体" w:hAnsi="宋体" w:cs="宋体"/>
          <w:b/>
          <w:bCs/>
          <w:color w:val="000000" w:themeColor="text1"/>
          <w:szCs w:val="21"/>
          <w14:textFill>
            <w14:solidFill>
              <w14:schemeClr w14:val="tx1"/>
            </w14:solidFill>
          </w14:textFill>
        </w:rPr>
        <w:br/>
      </w:r>
      <w:r>
        <w:rPr>
          <w:rFonts w:hint="eastAsia" w:ascii="宋体" w:hAnsi="宋体" w:cs="宋体"/>
          <w:b/>
          <w:bCs/>
          <w:color w:val="000000" w:themeColor="text1"/>
          <w:szCs w:val="21"/>
          <w14:textFill>
            <w14:solidFill>
              <w14:schemeClr w14:val="tx1"/>
            </w14:solidFill>
          </w14:textFill>
        </w:rPr>
        <w:br/>
      </w:r>
      <w:bookmarkEnd w:id="227"/>
      <w:r/>
      <w:bookmarkEnd w:id="228"/>
      <w:r/>
      <w:bookmarkEnd w:id="229"/>
      <w:r/>
      <w:bookmarkEnd w:id="230"/>
      <w:r/>
      <w:bookmarkEnd w:id="231"/>
      <w:r/>
      <w:r/>
    </w:p>
    <w:p>
      <w:pPr>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【不属于小微企业的无需填写、递交】</w:t>
      </w:r>
      <w:r>
        <w:rPr>
          <w:rFonts w:hint="eastAsia" w:ascii="宋体" w:hAnsi="宋体" w:cs="宋体"/>
          <w:b/>
          <w:color w:val="000000" w:themeColor="text1"/>
          <w:szCs w:val="21"/>
          <w14:textFill>
            <w14:solidFill>
              <w14:schemeClr w14:val="tx1"/>
            </w14:solidFill>
          </w14:textFill>
        </w:rPr>
        <w:br/>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（企业名称）郑重声明，根据《政府采购促进中小企业发展管理办法》（财库﹝2020﹞46 号）的规定，本公司</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（企业名称）参加</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（单位名称）的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（项目名称）采购活动，项目的服务全部由符合政策要求的中小企业承接。相关企业的具体情况如下：</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（标的名称），属于（其他未列明行业）；承建（承接）企业为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（企业名称），从业人员人，营业收入为万元，资产总额为万元，属于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（中型企业、小型企业、微型企业）；</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备注：从业人员、营业收入、资产总额填报上一年度数据，无上一年度数据的新成立企业可不填报。</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firstLine="609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firstLine="609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企业名称（加盖电子公章）： </w:t>
      </w:r>
      <w:r/>
    </w:p>
    <w:p>
      <w:pPr>
        <w:ind w:left="420" w:firstLine="609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80"/>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注：1、招标文件中明确的所属行业详见第一章项目基本情况。</w:t>
      </w:r>
      <w:r/>
    </w:p>
    <w:p>
      <w:pPr>
        <w:ind w:firstLine="84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2、从业人员、营业收入、资产总额填报上一年度数据，无上一年度数据的新成立企业可不填报。</w:t>
      </w:r>
      <w:r/>
    </w:p>
    <w:p>
      <w:pPr>
        <w:ind w:firstLine="84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w:t>
      </w:r>
      <w:r>
        <w:rPr>
          <w:rFonts w:ascii="宋体" w:hAnsi="宋体" w:cs="宋体"/>
          <w:b/>
          <w:bCs/>
          <w:color w:val="000000" w:themeColor="text1"/>
          <w:szCs w:val="21"/>
          <w14:textFill>
            <w14:solidFill>
              <w14:schemeClr w14:val="tx1"/>
            </w14:solidFill>
          </w14:textFill>
        </w:rPr>
        <w:t xml:space="preserve">本项目专门面向中小企业采购，不执行价格优惠</w:t>
      </w:r>
      <w:r>
        <w:rPr>
          <w:rFonts w:hint="eastAsia" w:ascii="宋体" w:hAnsi="宋体" w:cs="宋体"/>
          <w:b/>
          <w:bCs/>
          <w:color w:val="000000" w:themeColor="text1"/>
          <w:szCs w:val="21"/>
          <w14:textFill>
            <w14:solidFill>
              <w14:schemeClr w14:val="tx1"/>
            </w14:solidFill>
          </w14:textFill>
        </w:rPr>
        <w:t xml:space="preserve">。</w:t>
      </w:r>
      <w:r/>
    </w:p>
    <w:p>
      <w:pP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jc w:val="cente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中小企业划型标准规定工信部联企业〔2011〕300号</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一、根据《中华人民共和国中小企业促进法》和《国务院关于进一步促进中小企业发展的若干意见》（国发〔2009〕36号)，制定本规定。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二、中小企业划分为中型、小型、微型三种类型，具体标准根据企业从业人员、营业收入、资产总额等指标，结合行业特点制定。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四、各行业划型标准为：</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633"/>
        <w:spacing w:line="360" w:lineRule="auto"/>
        <w:shd w:val="clear" w:color="auto" w:fill="ffffff"/>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color w:val="000000" w:themeColor="text1"/>
          <w:szCs w:val="21"/>
          <w14:textFill>
            <w14:solidFill>
              <w14:schemeClr w14:val="tx1"/>
            </w14:solidFill>
          </w14:textFill>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000000" w:themeColor="text1"/>
          <w:szCs w:val="21"/>
          <w14:textFill>
            <w14:solidFill>
              <w14:schemeClr w14:val="tx1"/>
            </w14:solidFill>
          </w14:textFill>
        </w:rPr>
      </w:r>
      <w:r/>
    </w:p>
    <w:p>
      <w:pPr>
        <w:rPr>
          <w:color w:val="000000" w:themeColor="text1"/>
          <w14:textFill>
            <w14:solidFill>
              <w14:schemeClr w14:val="tx1"/>
            </w14:solidFill>
          </w14:textFill>
        </w:rPr>
      </w:pPr>
      <w:r/>
      <w:bookmarkStart w:id="232" w:name="_Toc17455"/>
      <w:r/>
      <w:bookmarkStart w:id="233" w:name="_Toc13680"/>
      <w:r/>
      <w:bookmarkStart w:id="234" w:name="_Toc113527853"/>
      <w:r/>
      <w:bookmarkStart w:id="235" w:name="_Toc17686"/>
      <w:r/>
      <w:r/>
    </w:p>
    <w:p>
      <w:pPr>
        <w:jc w:val="center"/>
        <w:spacing w:line="360" w:lineRule="auto"/>
        <w:rPr>
          <w:rFonts w:hint="eastAsia" w:ascii="宋体" w:hAnsi="宋体" w:cs="宋体"/>
          <w:b/>
          <w:bCs/>
          <w:color w:val="000000" w:themeColor="text1"/>
          <w:szCs w:val="21"/>
          <w14:textFill>
            <w14:solidFill>
              <w14:schemeClr w14:val="tx1"/>
            </w14:solidFill>
          </w14:textFill>
        </w:rPr>
        <w:outlineLvl w:val="2"/>
      </w:pPr>
      <w:r/>
      <w:bookmarkStart w:id="236" w:name="_Toc24750"/>
      <w:r/>
      <w:bookmarkStart w:id="237" w:name="_Toc241513298"/>
      <w:r/>
      <w:bookmarkStart w:id="238" w:name="_Toc15958"/>
      <w:r/>
      <w:bookmarkStart w:id="239" w:name="_Toc241501780"/>
      <w:r/>
      <w:bookmarkStart w:id="240" w:name="_Toc30715"/>
      <w:r>
        <w:rPr>
          <w:rFonts w:hint="eastAsia" w:ascii="宋体" w:hAnsi="宋体" w:cs="宋体"/>
          <w:b/>
          <w:bCs/>
          <w:color w:val="000000" w:themeColor="text1"/>
          <w:szCs w:val="21"/>
          <w14:textFill>
            <w14:solidFill>
              <w14:schemeClr w14:val="tx1"/>
            </w14:solidFill>
          </w14:textFill>
        </w:rPr>
        <w:t xml:space="preserve">（二）残疾人福利性单位声明函</w:t>
      </w:r>
      <w:bookmarkEnd w:id="232"/>
      <w:r/>
      <w:bookmarkEnd w:id="233"/>
      <w:r/>
      <w:bookmarkEnd w:id="234"/>
      <w:r/>
      <w:bookmarkEnd w:id="235"/>
      <w:r/>
      <w:bookmarkEnd w:id="236"/>
      <w:r/>
      <w:bookmarkEnd w:id="237"/>
      <w:r/>
      <w:bookmarkEnd w:id="238"/>
      <w:r/>
      <w:bookmarkEnd w:id="239"/>
      <w:r/>
      <w:bookmarkEnd w:id="240"/>
      <w:r/>
      <w:r/>
    </w:p>
    <w:p>
      <w:pPr>
        <w:ind w:right="178" w:firstLine="444"/>
        <w:jc w:val="left"/>
        <w:spacing w:line="360" w:lineRule="auto"/>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本单位对上述声明的真实性负责。如有虚假，将依法承担相应责任。</w:t>
      </w:r>
      <w:r/>
    </w:p>
    <w:p>
      <w:pPr>
        <w:ind w:right="1560" w:firstLine="444"/>
        <w:jc w:val="right"/>
        <w:spacing w:line="360" w:lineRule="auto"/>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1560" w:firstLine="444"/>
        <w:jc w:val="right"/>
        <w:spacing w:line="360" w:lineRule="auto"/>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单位名称（加盖电子公章）：</w:t>
      </w:r>
      <w:r/>
    </w:p>
    <w:p>
      <w:pPr>
        <w:ind w:right="1560" w:firstLine="444"/>
        <w:jc w:val="right"/>
        <w:spacing w:line="360" w:lineRule="auto"/>
        <w:tabs>
          <w:tab w:val="left" w:pos="4860" w:leader="none"/>
        </w:tabs>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日 期：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420" w:firstLine="420"/>
        <w:spacing w:after="12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Cs w:val="21"/>
          <w14:textFill>
            <w14:solidFill>
              <w14:schemeClr w14:val="tx1"/>
            </w14:solidFill>
          </w14:textFill>
        </w:rPr>
        <w:outlineLvl w:val="2"/>
      </w:pPr>
      <w:r/>
      <w:bookmarkStart w:id="241" w:name="_Toc113527854"/>
      <w:r/>
      <w:bookmarkStart w:id="242" w:name="_Toc241513299"/>
      <w:r/>
      <w:bookmarkStart w:id="243" w:name="_Toc21509"/>
      <w:r/>
      <w:bookmarkStart w:id="244" w:name="_Toc7879"/>
      <w:r/>
      <w:bookmarkStart w:id="245" w:name="_Toc241501781"/>
      <w:r/>
      <w:bookmarkStart w:id="246" w:name="_Toc16309"/>
      <w:r>
        <w:rPr>
          <w:rFonts w:hint="eastAsia" w:ascii="宋体" w:hAnsi="宋体" w:cs="宋体"/>
          <w:b/>
          <w:bCs/>
          <w:color w:val="000000" w:themeColor="text1"/>
          <w:szCs w:val="21"/>
          <w14:textFill>
            <w14:solidFill>
              <w14:schemeClr w14:val="tx1"/>
            </w14:solidFill>
          </w14:textFill>
        </w:rPr>
        <w:t xml:space="preserve">（三）属于监狱企业的证明文件</w:t>
      </w:r>
      <w:bookmarkEnd w:id="241"/>
      <w:r/>
      <w:bookmarkEnd w:id="242"/>
      <w:r/>
      <w:bookmarkEnd w:id="243"/>
      <w:r/>
      <w:bookmarkEnd w:id="244"/>
      <w:r/>
      <w:bookmarkEnd w:id="245"/>
      <w:r/>
      <w:bookmarkEnd w:id="246"/>
      <w:r/>
      <w:r/>
    </w:p>
    <w:p>
      <w:pPr>
        <w:ind w:left="420" w:right="597"/>
        <w:jc w:val="left"/>
        <w:spacing w:before="232" w:after="120"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（提供由省级以上监狱管理局、戒毒管理局(含新疆生产建设兵团)出具的属于监狱企业的证明文件</w:t>
      </w:r>
      <w:r/>
    </w:p>
    <w:p>
      <w:pPr>
        <w:ind w:left="420" w:right="597"/>
        <w:jc w:val="center"/>
        <w:spacing w:before="232" w:after="120"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outlineLvl w:val="1"/>
      </w:pPr>
      <w:r/>
      <w:bookmarkStart w:id="247" w:name="_Toc27256"/>
      <w:r/>
      <w:bookmarkStart w:id="248" w:name="_Toc14428"/>
      <w:r/>
      <w:bookmarkStart w:id="249" w:name="_Toc241513300"/>
      <w:r/>
      <w:bookmarkStart w:id="250" w:name="_Toc20189"/>
      <w:r/>
      <w:bookmarkStart w:id="251" w:name="_Toc164"/>
      <w:r/>
      <w:bookmarkStart w:id="252" w:name="_Toc241501782"/>
      <w:r/>
      <w:bookmarkStart w:id="253" w:name="_Toc9854"/>
      <w:r/>
      <w:bookmarkStart w:id="254" w:name="_Toc113527858"/>
      <w:r/>
      <w:bookmarkStart w:id="255" w:name="_Toc3177"/>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14:textFill>
            <w14:solidFill>
              <w14:schemeClr w14:val="tx1"/>
            </w14:solidFill>
          </w14:textFill>
        </w:rPr>
        <w:t xml:space="preserve">九 </w:t>
      </w:r>
      <w:r>
        <w:rPr>
          <w:rFonts w:hint="eastAsia" w:ascii="宋体" w:hAnsi="宋体" w:cs="宋体"/>
          <w:b/>
          <w:bCs/>
          <w:color w:val="000000" w:themeColor="text1"/>
          <w:szCs w:val="21"/>
          <w:lang w:val="zh-CN"/>
          <w14:textFill>
            <w14:solidFill>
              <w14:schemeClr w14:val="tx1"/>
            </w14:solidFill>
          </w14:textFill>
        </w:rPr>
        <w:t xml:space="preserve">资格</w:t>
      </w:r>
      <w:bookmarkEnd w:id="247"/>
      <w:r/>
      <w:bookmarkEnd w:id="248"/>
      <w:r>
        <w:rPr>
          <w:rFonts w:hint="eastAsia" w:ascii="宋体" w:hAnsi="宋体" w:cs="宋体"/>
          <w:b/>
          <w:bCs/>
          <w:color w:val="000000" w:themeColor="text1"/>
          <w:szCs w:val="21"/>
          <w:lang w:val="zh-CN"/>
          <w14:textFill>
            <w14:solidFill>
              <w14:schemeClr w14:val="tx1"/>
            </w14:solidFill>
          </w14:textFill>
        </w:rPr>
        <w:t xml:space="preserve">证明文件</w:t>
      </w:r>
      <w:bookmarkEnd w:id="249"/>
      <w:r/>
      <w:bookmarkEnd w:id="250"/>
      <w:r/>
      <w:bookmarkEnd w:id="251"/>
      <w:r/>
      <w:bookmarkEnd w:id="252"/>
      <w:r/>
      <w:bookmarkEnd w:id="253"/>
      <w:r/>
      <w:bookmarkEnd w:id="254"/>
      <w:r/>
      <w:bookmarkEnd w:id="255"/>
      <w:r/>
      <w:r/>
    </w:p>
    <w:p>
      <w:pPr>
        <w:spacing w:line="360" w:lineRule="auto"/>
        <w:rPr>
          <w:rFonts w:hint="eastAsia" w:ascii="宋体" w:hAnsi="宋体" w:cs="宋体"/>
          <w:color w:val="000000" w:themeColor="text1"/>
          <w:szCs w:val="21"/>
          <w14:textFill>
            <w14:solidFill>
              <w14:schemeClr w14:val="tx1"/>
            </w14:solidFill>
          </w14:textFill>
        </w:rPr>
      </w:pPr>
      <w:r/>
      <w:bookmarkStart w:id="256" w:name="_Toc13646"/>
      <w:r/>
      <w:bookmarkStart w:id="257" w:name="_Toc113527859"/>
      <w:r/>
      <w:bookmarkStart w:id="258" w:name="_Toc12234"/>
      <w:r/>
      <w:bookmarkStart w:id="259" w:name="_Toc4916"/>
      <w:r>
        <w:rPr>
          <w:rFonts w:hint="eastAsia" w:ascii="宋体" w:hAnsi="宋体" w:cs="宋体"/>
          <w:b/>
          <w:bCs/>
          <w:color w:val="000000" w:themeColor="text1"/>
          <w:szCs w:val="21"/>
          <w:lang w:val="zh-CN"/>
          <w14:textFill>
            <w14:solidFill>
              <w14:schemeClr w14:val="tx1"/>
            </w14:solidFill>
          </w14:textFill>
        </w:rPr>
        <w:t xml:space="preserve">1、</w:t>
      </w:r>
      <w:bookmarkEnd w:id="256"/>
      <w:r/>
      <w:bookmarkEnd w:id="257"/>
      <w:r/>
      <w:bookmarkEnd w:id="258"/>
      <w:r/>
      <w:bookmarkEnd w:id="259"/>
      <w:r>
        <w:rPr>
          <w:rFonts w:hint="eastAsia" w:ascii="宋体" w:hAnsi="宋体" w:cs="宋体"/>
          <w:b/>
          <w:bCs/>
          <w:color w:val="000000" w:themeColor="text1"/>
          <w:szCs w:val="21"/>
          <w:lang w:val="zh-CN"/>
          <w14:textFill>
            <w14:solidFill>
              <w14:schemeClr w14:val="tx1"/>
            </w14:solidFill>
          </w14:textFill>
        </w:rPr>
        <w:t xml:space="preserve">具有独立承担民事责任的能力（提供法人或者其他组织的营业执照，自然人的身份证明）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sectPr>
          <w:footerReference w:type="default" r:id="rId17"/>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000000" w:themeColor="text1"/>
          <w:szCs w:val="21"/>
          <w:lang w:val="zh-CN"/>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outlineLvl w:val="2"/>
      </w:pPr>
      <w:r/>
      <w:bookmarkStart w:id="260" w:name="_Toc1205"/>
      <w:r/>
      <w:bookmarkStart w:id="261" w:name="_Toc26588"/>
      <w:r/>
      <w:bookmarkStart w:id="262" w:name="_Toc24535"/>
      <w:r/>
      <w:bookmarkStart w:id="263" w:name="_Toc16627"/>
      <w:r/>
      <w:bookmarkStart w:id="264" w:name="_Toc241513301"/>
      <w:r/>
      <w:bookmarkStart w:id="265" w:name="_Toc5163"/>
      <w:r/>
      <w:bookmarkStart w:id="266" w:name="_Toc241501783"/>
      <w:r/>
      <w:bookmarkStart w:id="267" w:name="_Toc29528"/>
      <w:r>
        <w:rPr>
          <w:rFonts w:hint="eastAsia" w:ascii="宋体" w:hAnsi="宋体" w:cs="宋体"/>
          <w:b/>
          <w:bCs/>
          <w:color w:val="000000" w:themeColor="text1"/>
          <w:szCs w:val="21"/>
          <w:lang w:val="zh-CN"/>
          <w14:textFill>
            <w14:solidFill>
              <w14:schemeClr w14:val="tx1"/>
            </w14:solidFill>
          </w14:textFill>
        </w:rPr>
        <w:t xml:space="preserve">2、法人代表授权书</w:t>
      </w:r>
      <w:bookmarkEnd w:id="260"/>
      <w:r/>
      <w:bookmarkEnd w:id="261"/>
      <w:r/>
      <w:bookmarkEnd w:id="262"/>
      <w:r>
        <w:rPr>
          <w:rFonts w:hint="eastAsia" w:ascii="宋体" w:hAnsi="宋体" w:cs="宋体"/>
          <w:b/>
          <w:bCs/>
          <w:color w:val="000000" w:themeColor="text1"/>
          <w:szCs w:val="21"/>
          <w14:textFill>
            <w14:solidFill>
              <w14:schemeClr w14:val="tx1"/>
            </w14:solidFill>
          </w14:textFill>
        </w:rPr>
        <w:t xml:space="preserve">（如果是法定代表人直接参与投标的可以不提供授权书，但须提供法定代表人身份证）</w:t>
      </w:r>
      <w:bookmarkEnd w:id="263"/>
      <w:r/>
      <w:bookmarkEnd w:id="264"/>
      <w:r/>
      <w:bookmarkEnd w:id="265"/>
      <w:r/>
      <w:bookmarkEnd w:id="266"/>
      <w:r/>
      <w:bookmarkEnd w:id="267"/>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致南京江城工程项目管理有限公司：</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本授权委托书声明：注册于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（投标人住址）的</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（投标人名称）法定代表人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（法定代表人姓名、职务）代表本公司授权在下面签字的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（投标人代表姓名、职务）为本公司的合法代理人，就贵方组织的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（项目编号）投标，以本公司名义处理一切与之有关的事务。</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日签字生效，特此声明。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法定代表人签字：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 </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附：法定代表人、投标人授权代表的身份证扫描件加盖公章</w:t>
      </w:r>
      <w:r/>
    </w:p>
    <w:tbl>
      <w:tblPr>
        <w:tblStyle w:val="1049"/>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tc>
      </w:tr>
    </w:tbl>
    <w:p>
      <w:pPr>
        <w:ind w:right="-5"/>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outlineLvl w:val="2"/>
      </w:pPr>
      <w:r/>
      <w:bookmarkStart w:id="268" w:name="_Toc241513302"/>
      <w:r/>
      <w:bookmarkStart w:id="269" w:name="_Toc113527862"/>
      <w:r/>
      <w:bookmarkStart w:id="270" w:name="_Toc241501784"/>
      <w:r/>
      <w:bookmarkStart w:id="271" w:name="_Toc21603"/>
      <w:r/>
      <w:bookmarkStart w:id="272" w:name="_Toc1213"/>
      <w:r/>
      <w:bookmarkStart w:id="273" w:name="_Toc24273"/>
      <w:r/>
      <w:bookmarkStart w:id="274" w:name="_Toc3078"/>
      <w:r/>
      <w:bookmarkStart w:id="275" w:name="_Toc17317"/>
      <w:r/>
      <w:bookmarkStart w:id="276" w:name="_Toc19702"/>
      <w:r>
        <w:rPr>
          <w:rFonts w:hint="eastAsia" w:ascii="宋体" w:hAnsi="宋体" w:cs="宋体"/>
          <w:b/>
          <w:bCs/>
          <w:color w:val="000000" w:themeColor="text1"/>
          <w:szCs w:val="21"/>
          <w:lang w:val="zh-CN"/>
          <w14:textFill>
            <w14:solidFill>
              <w14:schemeClr w14:val="tx1"/>
            </w14:solidFill>
          </w14:textFill>
        </w:rPr>
        <w:t xml:space="preserve">3、具有良好的商业信誉和健全的财务会计制度</w:t>
      </w:r>
      <w:bookmarkEnd w:id="268"/>
      <w:r/>
      <w:bookmarkEnd w:id="269"/>
      <w:r/>
      <w:bookmarkEnd w:id="270"/>
      <w:r/>
      <w:bookmarkEnd w:id="271"/>
      <w:r/>
      <w:bookmarkEnd w:id="272"/>
      <w:r/>
      <w:bookmarkEnd w:id="273"/>
      <w:r/>
      <w:bookmarkEnd w:id="274"/>
      <w:r/>
      <w:bookmarkEnd w:id="275"/>
      <w:r/>
      <w:bookmarkEnd w:id="276"/>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具有良好的商业信誉和健全的财务会计制度（提供以下三种材料的任意一种扫描件加盖电子公章）：</w:t>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②提交投标文件截止日前六个月内基本开户银行出具的资信证明；</w:t>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③提交投标文件截止时间前六个月内任意一个月的财务状况记录（至少包括资产负债表和损益表，并加盖电子公章）。</w:t>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2"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b/>
          <w:bCs/>
          <w:color w:val="000000" w:themeColor="text1"/>
          <w:szCs w:val="21"/>
          <w:lang w:val="zh-CN"/>
          <w14:textFill>
            <w14:solidFill>
              <w14:schemeClr w14:val="tx1"/>
            </w14:solidFill>
          </w14:textFill>
        </w:rPr>
        <w:outlineLvl w:val="2"/>
      </w:pPr>
      <w:r/>
      <w:bookmarkStart w:id="277" w:name="_Toc113527863"/>
      <w:r/>
      <w:bookmarkStart w:id="278" w:name="_Toc15262"/>
      <w:r/>
      <w:bookmarkStart w:id="279" w:name="_Toc241501785"/>
      <w:r/>
      <w:bookmarkStart w:id="280" w:name="_Toc23961"/>
      <w:r/>
      <w:bookmarkStart w:id="281" w:name="_Toc4722"/>
      <w:r/>
      <w:bookmarkStart w:id="282" w:name="_Toc17389"/>
      <w:r/>
      <w:bookmarkStart w:id="283" w:name="_Toc241513303"/>
      <w:r/>
      <w:bookmarkStart w:id="284" w:name="_Toc22894"/>
      <w:r/>
      <w:bookmarkStart w:id="285" w:name="_Toc385"/>
      <w:r>
        <w:rPr>
          <w:rFonts w:hint="eastAsia" w:ascii="宋体" w:hAnsi="宋体" w:cs="宋体"/>
          <w:b/>
          <w:bCs/>
          <w:color w:val="000000" w:themeColor="text1"/>
          <w:szCs w:val="21"/>
          <w14:textFill>
            <w14:solidFill>
              <w14:schemeClr w14:val="tx1"/>
            </w14:solidFill>
          </w14:textFill>
        </w:rPr>
        <w:t xml:space="preserve">4、</w:t>
      </w:r>
      <w:r>
        <w:rPr>
          <w:rFonts w:hint="eastAsia" w:ascii="宋体" w:hAnsi="宋体" w:cs="宋体"/>
          <w:b/>
          <w:bCs/>
          <w:color w:val="000000" w:themeColor="text1"/>
          <w:szCs w:val="21"/>
          <w:lang w:val="zh-CN"/>
          <w14:textFill>
            <w14:solidFill>
              <w14:schemeClr w14:val="tx1"/>
            </w14:solidFill>
          </w14:textFill>
        </w:rPr>
        <w:t xml:space="preserve">具有履行合同所必需的设备和专业技术能力</w:t>
      </w:r>
      <w:bookmarkEnd w:id="277"/>
      <w:r/>
      <w:bookmarkEnd w:id="278"/>
      <w:r/>
      <w:bookmarkEnd w:id="279"/>
      <w:r/>
      <w:bookmarkEnd w:id="280"/>
      <w:r/>
      <w:bookmarkEnd w:id="281"/>
      <w:r/>
      <w:bookmarkEnd w:id="282"/>
      <w:r/>
      <w:bookmarkEnd w:id="283"/>
      <w:r/>
      <w:bookmarkEnd w:id="284"/>
      <w:r/>
      <w:bookmarkEnd w:id="285"/>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根据项目需求提供履行合同所必需的设备和专业技术能力的证明材料，提供书面声明原件。</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0"/>
          <w14:textFill>
            <w14:solidFill>
              <w14:schemeClr w14:val="tx1"/>
            </w14:solidFill>
          </w14:textFill>
        </w:rPr>
        <w:t xml:space="preserve"> </w:t>
      </w:r>
      <w:r/>
    </w:p>
    <w:p>
      <w:pPr>
        <w:jc w:val="left"/>
        <w:widowControl/>
        <w:rPr>
          <w:rFonts w:hint="eastAsia"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r>
      <w:r/>
    </w:p>
    <w:p>
      <w:pPr>
        <w:jc w:val="center"/>
        <w:widowControl/>
        <w:rPr>
          <w:rFonts w:hint="eastAsia" w:ascii="宋体" w:hAnsi="宋体" w:cs="宋体"/>
          <w:b/>
          <w:bCs/>
          <w:color w:val="000000" w:themeColor="text1"/>
          <w:sz w:val="28"/>
          <w:lang w:val="zh-TW" w:eastAsia="zh-TW"/>
          <w14:textFill>
            <w14:solidFill>
              <w14:schemeClr w14:val="tx1"/>
            </w14:solidFill>
          </w14:textFill>
        </w:rPr>
      </w:pPr>
      <w:r>
        <w:rPr>
          <w:rFonts w:hint="eastAsia" w:ascii="宋体" w:hAnsi="宋体" w:cs="宋体"/>
          <w:b/>
          <w:bCs/>
          <w:color w:val="000000" w:themeColor="text1"/>
          <w:sz w:val="28"/>
          <w:lang w:val="zh-TW" w:eastAsia="zh-TW"/>
          <w14:textFill>
            <w14:solidFill>
              <w14:schemeClr w14:val="tx1"/>
            </w14:solidFill>
          </w14:textFill>
        </w:rPr>
      </w:r>
      <w:r/>
    </w:p>
    <w:p>
      <w:pPr>
        <w:jc w:val="center"/>
        <w:widowControl/>
        <w:rPr>
          <w:rFonts w:hint="eastAsia" w:ascii="宋体" w:hAnsi="宋体" w:cs="宋体"/>
          <w:b/>
          <w:bCs/>
          <w:color w:val="000000" w:themeColor="text1"/>
          <w:sz w:val="28"/>
          <w:lang w:val="zh-TW" w:eastAsia="zh-TW"/>
          <w14:textFill>
            <w14:solidFill>
              <w14:schemeClr w14:val="tx1"/>
            </w14:solidFill>
          </w14:textFill>
        </w:rPr>
      </w:pPr>
      <w:r>
        <w:rPr>
          <w:rFonts w:hint="eastAsia" w:ascii="宋体" w:hAnsi="宋体" w:cs="宋体"/>
          <w:b/>
          <w:bCs/>
          <w:color w:val="000000" w:themeColor="text1"/>
          <w:sz w:val="28"/>
          <w:lang w:val="zh-TW" w:eastAsia="zh-TW"/>
          <w14:textFill>
            <w14:solidFill>
              <w14:schemeClr w14:val="tx1"/>
            </w14:solidFill>
          </w14:textFill>
        </w:rPr>
        <w:t xml:space="preserve">承诺函</w:t>
      </w:r>
      <w:r/>
    </w:p>
    <w:p>
      <w:pPr>
        <w:ind w:left="420" w:firstLine="420"/>
        <w:spacing w:after="120"/>
        <w:rPr>
          <w:rFonts w:hint="eastAsia"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sz w:val="20"/>
          <w14:textFill>
            <w14:solidFill>
              <w14:schemeClr w14:val="tx1"/>
            </w14:solidFill>
          </w14:textFill>
        </w:rPr>
      </w:r>
      <w:r/>
    </w:p>
    <w:p>
      <w:pPr>
        <w:pStyle w:val="1057"/>
        <w:jc w:val="center"/>
        <w:spacing w:before="26" w:line="360" w:lineRule="auto"/>
        <w:tabs>
          <w:tab w:val="left" w:pos="993" w:leader="none"/>
          <w:tab w:val="left" w:pos="1134" w:leader="none"/>
        </w:tabs>
        <w:rPr>
          <w:rFonts w:hint="eastAsia" w:hAnsi="宋体" w:cs="宋体"/>
          <w:b/>
          <w:color w:val="000000" w:themeColor="text1"/>
          <w14:textFill>
            <w14:solidFill>
              <w14:schemeClr w14:val="tx1"/>
            </w14:solidFill>
          </w14:textFill>
        </w:rPr>
      </w:pPr>
      <w:r>
        <w:rPr>
          <w:rFonts w:hint="eastAsia" w:hAnsi="宋体" w:cs="宋体"/>
          <w:b/>
          <w:bCs/>
          <w:color w:val="000000" w:themeColor="text1"/>
          <w:lang w:val="zh-TW" w:eastAsia="zh-TW"/>
          <w14:textFill>
            <w14:solidFill>
              <w14:schemeClr w14:val="tx1"/>
            </w14:solidFill>
          </w14:textFill>
        </w:rPr>
        <w:t xml:space="preserve">具备履行合同所必需的设备和专业技术能力</w:t>
      </w:r>
      <w:r/>
    </w:p>
    <w:p>
      <w:pPr>
        <w:pStyle w:val="1266"/>
        <w:spacing w:line="360" w:lineRule="auto"/>
        <w:rPr>
          <w:rFonts w:ascii="宋体" w:hAnsi="宋体" w:cs="宋体"/>
          <w:color w:val="000000" w:themeColor="text1"/>
          <w:lang w:val="zh-TW" w:eastAsia="zh-TW"/>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cs="宋体"/>
          <w:color w:val="000000" w:themeColor="text1"/>
          <w:lang w:val="zh-TW" w:eastAsia="zh-TW"/>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 </w:t>
      </w:r>
      <w:r/>
    </w:p>
    <w:p>
      <w:pPr>
        <w:spacing w:before="26"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                             （投标人名称）郑重声明：</w:t>
      </w:r>
      <w:r/>
    </w:p>
    <w:p>
      <w:pPr>
        <w:spacing w:before="26"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spacing w:before="26"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主要设备有：                          ( 如有 )</w:t>
      </w:r>
      <w:r/>
    </w:p>
    <w:p>
      <w:pPr>
        <w:spacing w:before="26"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主要专业技术能力有：                   ( 如有 )</w:t>
      </w:r>
      <w:r/>
    </w:p>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pStyle w:val="1301"/>
        <w:numPr>
          <w:ilvl w:val="0"/>
          <w:numId w:val="6"/>
        </w:numPr>
        <w:jc w:val="left"/>
        <w:spacing w:line="360" w:lineRule="auto"/>
        <w:rPr>
          <w:rFonts w:hint="eastAsia"/>
          <w:b/>
          <w:bCs/>
          <w:color w:val="000000" w:themeColor="text1"/>
          <w:szCs w:val="21"/>
          <w14:textFill>
            <w14:solidFill>
              <w14:schemeClr w14:val="tx1"/>
            </w14:solidFill>
          </w14:textFill>
        </w:rPr>
        <w:outlineLvl w:val="2"/>
      </w:pPr>
      <w:r/>
      <w:bookmarkStart w:id="286" w:name="_Toc2909"/>
      <w:r/>
      <w:bookmarkStart w:id="287" w:name="_Toc241513304"/>
      <w:r/>
      <w:bookmarkStart w:id="288" w:name="_Toc18830"/>
      <w:r/>
      <w:bookmarkStart w:id="289" w:name="_Toc241501786"/>
      <w:r/>
      <w:bookmarkStart w:id="290" w:name="_Toc17139"/>
      <w:r>
        <w:rPr>
          <w:rFonts w:hint="eastAsia"/>
          <w:b/>
          <w:bCs/>
          <w:color w:val="000000" w:themeColor="text1"/>
          <w:szCs w:val="21"/>
          <w14:textFill>
            <w14:solidFill>
              <w14:schemeClr w14:val="tx1"/>
            </w14:solidFill>
          </w14:textFill>
        </w:rPr>
        <w:t xml:space="preserve">参加政府采购活动前三年内，在经营活动中没有重大违法记录</w:t>
      </w:r>
      <w:bookmarkEnd w:id="286"/>
      <w:r/>
      <w:bookmarkEnd w:id="287"/>
      <w:r/>
      <w:bookmarkEnd w:id="288"/>
      <w:r/>
      <w:bookmarkEnd w:id="289"/>
      <w:r/>
      <w:bookmarkEnd w:id="290"/>
      <w:r/>
      <w:r/>
    </w:p>
    <w:p>
      <w:pPr>
        <w:jc w:val="center"/>
        <w:keepLines/>
        <w:keepNext/>
        <w:spacing w:before="280" w:after="290" w:line="360" w:lineRule="auto"/>
        <w:rPr>
          <w:rFonts w:hint="eastAsia" w:ascii="宋体" w:hAnsi="宋体" w:cs="宋体"/>
          <w:b/>
          <w:bCs/>
          <w:color w:val="000000" w:themeColor="text1"/>
          <w:szCs w:val="21"/>
          <w14:textFill>
            <w14:solidFill>
              <w14:schemeClr w14:val="tx1"/>
            </w14:solidFill>
          </w14:textFill>
        </w:rPr>
        <w:outlineLvl w:val="3"/>
      </w:pPr>
      <w:r>
        <w:rPr>
          <w:rFonts w:hint="eastAsia" w:ascii="宋体" w:hAnsi="宋体" w:cs="宋体"/>
          <w:color w:val="000000" w:themeColor="text1"/>
          <w:szCs w:val="21"/>
          <w14:textFill>
            <w14:solidFill>
              <w14:schemeClr w14:val="tx1"/>
            </w14:solidFill>
          </w14:textFill>
        </w:rPr>
        <w:tab/>
      </w:r>
      <w:r>
        <w:rPr>
          <w:rFonts w:hint="eastAsia" w:ascii="宋体" w:hAnsi="宋体" w:cs="宋体"/>
          <w:b/>
          <w:bCs/>
          <w:color w:val="000000" w:themeColor="text1"/>
          <w:szCs w:val="21"/>
          <w14:textFill>
            <w14:solidFill>
              <w14:schemeClr w14:val="tx1"/>
            </w14:solidFill>
          </w14:textFill>
        </w:rPr>
        <w:t xml:space="preserve">无重大违法记录声明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before="6"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598"/>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采购人名称：</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1018"/>
        <w:spacing w:before="154"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我单位（投标人名称）郑重声明：</w:t>
      </w:r>
      <w:r/>
    </w:p>
    <w:p>
      <w:pPr>
        <w:spacing w:before="1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598" w:right="583"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7"/>
          <w:szCs w:val="21"/>
          <w14:textFill>
            <w14:solidFill>
              <w14:schemeClr w14:val="tx1"/>
            </w14:solidFill>
          </w14:textFill>
        </w:rPr>
        <w:t xml:space="preserve">参加政府采购活动前三</w:t>
      </w:r>
      <w:r>
        <w:rPr>
          <w:rFonts w:hint="eastAsia" w:ascii="宋体" w:hAnsi="宋体" w:cs="宋体"/>
          <w:color w:val="000000" w:themeColor="text1"/>
          <w:spacing w:val="6"/>
          <w:szCs w:val="21"/>
          <w14:textFill>
            <w14:solidFill>
              <w14:schemeClr w14:val="tx1"/>
            </w14:solidFill>
          </w14:textFill>
        </w:rPr>
        <w:t xml:space="preserve">年内在经营活动中</w:t>
      </w:r>
      <w:r>
        <w:rPr>
          <w:rFonts w:hint="eastAsia" w:ascii="宋体" w:hAnsi="宋体" w:cs="宋体"/>
          <w:color w:val="000000" w:themeColor="text1"/>
          <w:spacing w:val="6"/>
          <w:szCs w:val="21"/>
          <w:u w:val="single"/>
          <w14:textFill>
            <w14:solidFill>
              <w14:schemeClr w14:val="tx1"/>
            </w14:solidFill>
          </w14:textFill>
        </w:rPr>
        <w:t xml:space="preserve">      </w:t>
      </w:r>
      <w:r>
        <w:rPr>
          <w:rFonts w:hint="eastAsia" w:ascii="宋体" w:hAnsi="宋体" w:cs="宋体"/>
          <w:color w:val="000000" w:themeColor="text1"/>
          <w:spacing w:val="6"/>
          <w:szCs w:val="21"/>
          <w14:textFill>
            <w14:solidFill>
              <w14:schemeClr w14:val="tx1"/>
            </w14:solidFill>
          </w14:textFill>
        </w:rPr>
        <w:t xml:space="preserve">（在下划线上如实填写 “有”或“没有”）</w:t>
      </w:r>
      <w:r>
        <w:rPr>
          <w:rFonts w:hint="eastAsia" w:ascii="宋体" w:hAnsi="宋体" w:cs="宋体"/>
          <w:color w:val="000000" w:themeColor="text1"/>
          <w:spacing w:val="1"/>
          <w:szCs w:val="21"/>
          <w14:textFill>
            <w14:solidFill>
              <w14:schemeClr w14:val="tx1"/>
            </w14:solidFill>
          </w14:textFill>
        </w:rPr>
        <w:t xml:space="preserve">重大违法记录。</w:t>
      </w:r>
      <w:r/>
    </w:p>
    <w:p>
      <w:pPr>
        <w:ind w:left="598" w:right="597" w:firstLine="314"/>
        <w:spacing w:before="9"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left="420" w:right="597" w:firstLine="314"/>
        <w:spacing w:before="9"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spacing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spacing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left="420"/>
        <w:spacing w:after="12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w:t>
      </w:r>
      <w:r>
        <w:rPr>
          <w:rFonts w:hint="eastAsia" w:ascii="宋体" w:hAnsi="宋体" w:cs="宋体"/>
          <w:color w:val="000000" w:themeColor="text1"/>
          <w:szCs w:val="21"/>
          <w:lang w:val="zh-CN"/>
          <w14:textFill>
            <w14:solidFill>
              <w14:schemeClr w14:val="tx1"/>
            </w14:solidFill>
          </w14:textFill>
        </w:rPr>
        <w:t xml:space="preserve">电子</w:t>
      </w:r>
      <w:r>
        <w:rPr>
          <w:rFonts w:hint="eastAsia" w:ascii="宋体" w:hAnsi="宋体" w:cs="宋体"/>
          <w:color w:val="000000" w:themeColor="text1"/>
          <w:szCs w:val="21"/>
          <w14:textFill>
            <w14:solidFill>
              <w14:schemeClr w14:val="tx1"/>
            </w14:solidFill>
          </w14:textFill>
        </w:rPr>
        <w:t xml:space="preserve">公章）：</w:t>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jc w:val="right"/>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t xml:space="preserve">日期：</w:t>
      </w:r>
      <w:r/>
    </w:p>
    <w:p>
      <w:pPr>
        <w:jc w:val="left"/>
        <w:spacing w:line="360" w:lineRule="auto"/>
        <w:rPr>
          <w:rFonts w:hint="eastAsia" w:ascii="宋体" w:hAnsi="宋体" w:cs="宋体"/>
          <w:b/>
          <w:bCs/>
          <w:color w:val="000000" w:themeColor="text1"/>
          <w:szCs w:val="21"/>
          <w14:textFill>
            <w14:solidFill>
              <w14:schemeClr w14:val="tx1"/>
            </w14:solidFill>
          </w14:textFill>
        </w:rPr>
        <w:outlineLvl w:val="2"/>
      </w:pPr>
      <w:r/>
      <w:bookmarkStart w:id="291" w:name="_Toc25029"/>
      <w:r/>
      <w:bookmarkStart w:id="292" w:name="_Toc241513305"/>
      <w:r/>
      <w:bookmarkStart w:id="293" w:name="_Toc11157"/>
      <w:r/>
      <w:bookmarkStart w:id="294" w:name="_Toc241501787"/>
      <w:r/>
      <w:bookmarkStart w:id="295" w:name="_Toc15201"/>
      <w:r>
        <w:rPr>
          <w:rFonts w:hint="eastAsia" w:ascii="宋体" w:hAnsi="宋体" w:cs="宋体"/>
          <w:b/>
          <w:bCs/>
          <w:color w:val="000000" w:themeColor="text1"/>
          <w:szCs w:val="21"/>
          <w14:textFill>
            <w14:solidFill>
              <w14:schemeClr w14:val="tx1"/>
            </w14:solidFill>
          </w14:textFill>
        </w:rPr>
        <w:t xml:space="preserve">6、有依法缴纳税收和社会保障资金的良好记录</w:t>
      </w:r>
      <w:bookmarkEnd w:id="291"/>
      <w:r/>
      <w:bookmarkEnd w:id="292"/>
      <w:r/>
      <w:bookmarkEnd w:id="293"/>
      <w:r/>
      <w:bookmarkEnd w:id="294"/>
      <w:r/>
      <w:bookmarkEnd w:id="295"/>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有依法缴纳税收和社会保障资金的良好记录【投标人需要提供提交投标文件截止日前六个月内任意一个月的企业依法缴纳税收（企业代缴的个人所得税除外）和社会保障资金的记录（如依法免税或依法不需要缴纳社会保障资金的，提供相应证明文件加盖公章，自拟文件无效】。</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14:textFill>
            <w14:solidFill>
              <w14:schemeClr w14:val="tx1"/>
            </w14:solidFill>
          </w14:textFill>
        </w:rPr>
      </w:pPr>
      <w:r/>
      <w:bookmarkStart w:id="296" w:name="_Toc20105"/>
      <w:r/>
      <w:r/>
    </w:p>
    <w:p>
      <w:pPr>
        <w:jc w:val="left"/>
        <w:spacing w:line="360" w:lineRule="auto"/>
        <w:rPr>
          <w:rFonts w:hint="eastAsia" w:ascii="宋体" w:hAnsi="宋体" w:cs="宋体"/>
          <w:b/>
          <w:bCs/>
          <w:color w:val="000000" w:themeColor="text1"/>
          <w:szCs w:val="21"/>
          <w14:textFill>
            <w14:solidFill>
              <w14:schemeClr w14:val="tx1"/>
            </w14:solidFill>
          </w14:textFill>
        </w:rPr>
        <w:outlineLvl w:val="2"/>
      </w:pPr>
      <w:r/>
      <w:bookmarkStart w:id="297" w:name="_Toc3374"/>
      <w:r/>
      <w:bookmarkStart w:id="298" w:name="_Toc241501788"/>
      <w:r/>
      <w:bookmarkStart w:id="299" w:name="_Toc1485"/>
      <w:r/>
      <w:bookmarkStart w:id="300" w:name="_Toc113527868"/>
      <w:r/>
      <w:bookmarkStart w:id="301" w:name="_Toc241513306"/>
      <w:r/>
      <w:bookmarkStart w:id="302" w:name="_Toc19453"/>
      <w:r/>
      <w:bookmarkStart w:id="303" w:name="_Toc14640"/>
      <w:r/>
      <w:bookmarkStart w:id="304" w:name="_Toc5701"/>
      <w:r>
        <w:rPr>
          <w:rFonts w:hint="eastAsia" w:ascii="宋体" w:hAnsi="宋体" w:cs="宋体"/>
          <w:b/>
          <w:bCs/>
          <w:color w:val="000000" w:themeColor="text1"/>
          <w:szCs w:val="21"/>
          <w14:textFill>
            <w14:solidFill>
              <w14:schemeClr w14:val="tx1"/>
            </w14:solidFill>
          </w14:textFill>
        </w:rPr>
        <w:t xml:space="preserve">7、投标人认为其需要提供的其他资格证明文件。</w:t>
      </w:r>
      <w:bookmarkEnd w:id="296"/>
      <w:r/>
      <w:bookmarkEnd w:id="297"/>
      <w:r/>
      <w:bookmarkEnd w:id="298"/>
      <w:r/>
      <w:bookmarkEnd w:id="299"/>
      <w:r/>
      <w:bookmarkEnd w:id="300"/>
      <w:r/>
      <w:bookmarkEnd w:id="301"/>
      <w:r/>
      <w:bookmarkEnd w:id="302"/>
      <w:r/>
      <w:bookmarkEnd w:id="303"/>
      <w:r/>
      <w:bookmarkEnd w:id="304"/>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w:t>
      </w:r>
      <w:r>
        <w:rPr>
          <w:rFonts w:hint="eastAsia" w:ascii="宋体" w:hAnsi="宋体" w:cs="宋体"/>
          <w:color w:val="000000" w:themeColor="text1"/>
          <w:szCs w:val="21"/>
          <w:lang w:val="zh-CN"/>
          <w14:textFill>
            <w14:solidFill>
              <w14:schemeClr w14:val="tx1"/>
            </w14:solidFill>
          </w14:textFill>
        </w:rPr>
        <w:t xml:space="preserve">电子公章</w:t>
      </w:r>
      <w:r>
        <w:rPr>
          <w:rFonts w:hint="eastAsia" w:ascii="宋体" w:hAnsi="宋体" w:cs="宋体"/>
          <w:color w:val="000000" w:themeColor="text1"/>
          <w:szCs w:val="21"/>
          <w14:textFill>
            <w14:solidFill>
              <w14:schemeClr w14:val="tx1"/>
            </w14:solidFill>
          </w14:textFill>
        </w:rPr>
        <w:t xml:space="preserve">）：</w:t>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bookmarkStart w:id="305" w:name="_Toc21790"/>
      <w:r/>
      <w:bookmarkEnd w:id="305"/>
      <w:r/>
      <w:bookmarkStart w:id="306" w:name="_Toc5506"/>
      <w:r/>
      <w:bookmarkEnd w:id="306"/>
      <w:r/>
      <w:bookmarkStart w:id="307" w:name="_Toc22079"/>
      <w:r/>
      <w:bookmarkEnd w:id="307"/>
      <w:r/>
      <w:r/>
    </w:p>
    <w:p>
      <w:pPr>
        <w:spacing w:line="360" w:lineRule="auto"/>
        <w:rPr>
          <w:rFonts w:hint="eastAsia" w:ascii="宋体" w:hAnsi="宋体" w:cs="宋体"/>
          <w:b/>
          <w:color w:val="000000" w:themeColor="text1"/>
          <w:szCs w:val="21"/>
          <w:lang w:val="zh-CN"/>
          <w14:textFill>
            <w14:solidFill>
              <w14:schemeClr w14:val="tx1"/>
            </w14:solidFill>
          </w14:textFill>
        </w:rPr>
        <w:outlineLvl w:val="1"/>
      </w:pPr>
      <w:r/>
      <w:bookmarkStart w:id="308" w:name="_Toc241513307"/>
      <w:r/>
      <w:bookmarkStart w:id="309" w:name="_Toc2821"/>
      <w:r/>
      <w:bookmarkStart w:id="310" w:name="_Toc22537"/>
      <w:r/>
      <w:bookmarkStart w:id="311" w:name="_Toc241501789"/>
      <w:r/>
      <w:bookmarkStart w:id="312" w:name="_Toc8290"/>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14:textFill>
            <w14:solidFill>
              <w14:schemeClr w14:val="tx1"/>
            </w14:solidFill>
          </w14:textFill>
        </w:rPr>
        <w:t xml:space="preserve">十 </w:t>
      </w:r>
      <w:r>
        <w:rPr>
          <w:rFonts w:hint="eastAsia" w:ascii="宋体" w:hAnsi="宋体" w:cs="宋体"/>
          <w:b/>
          <w:bCs/>
          <w:color w:val="000000" w:themeColor="text1"/>
          <w:szCs w:val="21"/>
          <w:lang w:val="zh-CN"/>
          <w14:textFill>
            <w14:solidFill>
              <w14:schemeClr w14:val="tx1"/>
            </w14:solidFill>
          </w14:textFill>
        </w:rPr>
        <w:t xml:space="preserve">其他相关文件</w:t>
      </w:r>
      <w:bookmarkEnd w:id="308"/>
      <w:r/>
      <w:bookmarkEnd w:id="309"/>
      <w:r/>
      <w:bookmarkEnd w:id="310"/>
      <w:r/>
      <w:bookmarkEnd w:id="311"/>
      <w:r/>
      <w:bookmarkEnd w:id="312"/>
      <w:r/>
      <w:r/>
    </w:p>
    <w:p>
      <w:pP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r>
      <w:r/>
    </w:p>
    <w:p>
      <w:pP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注：须授权代表签字或加盖投标人名称公章</w:t>
      </w:r>
      <w:r/>
    </w:p>
    <w:p>
      <w:pP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5"/>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附件十一、</w:t>
      </w:r>
      <w:r>
        <w:rPr>
          <w:rFonts w:hint="eastAsia" w:ascii="宋体" w:hAnsi="宋体" w:cs="宋体"/>
          <w:b/>
          <w:color w:val="000000" w:themeColor="text1"/>
          <w:szCs w:val="21"/>
          <w:lang w:val="zh-CN"/>
          <w14:textFill>
            <w14:solidFill>
              <w14:schemeClr w14:val="tx1"/>
            </w14:solidFill>
          </w14:textFill>
        </w:rPr>
        <w:t xml:space="preserve">投标人认为应提供的其他材料</w:t>
      </w:r>
      <w:r/>
    </w:p>
    <w:p>
      <w:pPr>
        <w:ind w:right="-5"/>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（针对具体的评标标准提供相应其他材料）</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outlineLvl w:val="0"/>
      </w:pPr>
      <w:r>
        <w:rPr>
          <w:rFonts w:hint="eastAsia" w:ascii="宋体" w:hAnsi="宋体" w:cs="宋体"/>
          <w:b/>
          <w:color w:val="000000" w:themeColor="text1"/>
          <w:szCs w:val="2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5"/>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★附件十二、供应商服务承诺函</w:t>
      </w:r>
      <w:r/>
    </w:p>
    <w:p>
      <w:pPr>
        <w:ind w:right="-5"/>
        <w:jc w:val="center"/>
        <w:spacing w:line="360" w:lineRule="auto"/>
        <w:rPr>
          <w:rFonts w:hint="eastAsia"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服务承诺函</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ascii="宋体" w:hAnsi="宋体" w:cs="宋体"/>
          <w:color w:val="000000" w:themeColor="text1"/>
          <w:szCs w:val="21"/>
          <w14:textFill>
            <w14:solidFill>
              <w14:schemeClr w14:val="tx1"/>
            </w14:solidFill>
          </w14:textFill>
        </w:rPr>
        <w:t xml:space="preserve">江苏省特种设备安全监督检验研究院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根据贵方</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（项目名称） </w:t>
      </w:r>
      <w:r>
        <w:rPr>
          <w:rFonts w:hint="eastAsia" w:ascii="宋体" w:hAnsi="宋体" w:cs="宋体"/>
          <w:b/>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（项目编号）投标邀请，正式授权下述签字人</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(姓名和职务)代表</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（投标人名称），</w:t>
      </w:r>
      <w:r>
        <w:rPr>
          <w:rFonts w:ascii="宋体" w:hAnsi="宋体" w:cs="宋体"/>
          <w:color w:val="000000" w:themeColor="text1"/>
          <w:szCs w:val="21"/>
          <w:lang w:val="zh-CN"/>
          <w14:textFill>
            <w14:solidFill>
              <w14:schemeClr w14:val="tx1"/>
            </w14:solidFill>
          </w14:textFill>
        </w:rPr>
        <w:t xml:space="preserve">我方针对下述服务内容，</w:t>
      </w:r>
      <w:r>
        <w:rPr>
          <w:rFonts w:hint="eastAsia" w:ascii="宋体" w:hAnsi="宋体" w:cs="宋体"/>
          <w:color w:val="000000" w:themeColor="text1"/>
          <w:szCs w:val="21"/>
          <w:lang w:val="zh-CN"/>
          <w14:textFill>
            <w14:solidFill>
              <w14:schemeClr w14:val="tx1"/>
            </w14:solidFill>
          </w14:textFill>
        </w:rPr>
        <w:t xml:space="preserve">做出承诺</w:t>
      </w:r>
      <w:r>
        <w:rPr>
          <w:rFonts w:ascii="宋体" w:hAnsi="宋体" w:cs="宋体"/>
          <w:color w:val="000000" w:themeColor="text1"/>
          <w:szCs w:val="21"/>
          <w:lang w:val="zh-CN"/>
          <w14:textFill>
            <w14:solidFill>
              <w14:schemeClr w14:val="tx1"/>
            </w14:solidFill>
          </w14:textFill>
        </w:rPr>
        <w:t xml:space="preserve">：</w:t>
      </w:r>
      <w:r/>
    </w:p>
    <w:p>
      <w:pPr>
        <w:ind w:firstLine="422"/>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（一）服务总</w:t>
      </w:r>
      <w:r>
        <w:rPr>
          <w:rFonts w:hint="eastAsia" w:ascii="宋体" w:hAnsi="宋体"/>
          <w:b/>
          <w:color w:val="000000" w:themeColor="text1"/>
          <w:szCs w:val="21"/>
          <w14:textFill>
            <w14:solidFill>
              <w14:schemeClr w14:val="tx1"/>
            </w14:solidFill>
          </w14:textFill>
        </w:rPr>
        <w:t xml:space="preserve">体要求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1、按照采购人的辅助服务任务通知要求，我方在 24 小时内对工作任务做出响应（包含夜间任务），并配合采购人在现场完成辅助服务工作。对采购人安排的技术指令不得擅自更改。工作完成后应及时提交数据记录，并对工作结果负责，保证坐标、影像及统计数据的真实性、准确性、有效性。无本项目合同或法律规定的免责事由，我方不得拒绝采购人根据合同约定及项目实际情况发出的合理工作安排，否则视为我方违约，采购人有权依据本项目合同第三条追究我方违约责任。</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2、检测所需的交通、食宿和材料等均由我方自行解决。</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3、严格遵守合同要求，对工作质量负责，由于我方自身原因导致须重新开展相关工作的，相应的所有责任和费用均由我方自行承担，并且不得故意停工或故意拖延检验辅助工期。</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4、我方需配置能满足项目技术服务所需的测量与辅助设备及工具等，保证检验设备的标识、检定、使用、保养、维修符合要求，确保在投入使用前均测试正常，以及检验设备使用数据无误。</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5、安全风险防控要求：</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我方应认真做好现场安全防护工作，在施工现场危险区域设置安全标志，并指定专人负责安全工作，加强安全管理，做到安全责任全覆盖、安全范围全覆盖，确保人身和设备安全，我方应对其现场工作人员的安全健康负责，为其工作人员购买人身意外险。</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（2）我方应严格遵守使用单位和采购人的各项安全管理制度，严格执行 HSE 体系规定的法律法规及标准规范，接受使用单位的安全教育、培训，编制事故的应急预案、救援事故报告与赔偿等文件，在施工现场危险区域设置安全标志，并指定专人负责安全工作，如有违反法律、法规的要求，我方承担全部后果。</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（3）未经被检测单位的工作人员许可，我方的操作人员不得对被检测单位的特种设备进行任何操作，严禁违规操作。</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方应负责在服务中的所有安全及环境责任。如果发生因我方及其人员未遵守国家和行业相关规定或未遵守被检测单位的规定等直接或间接原因，造成安全、环境事故或其他财产损失和人身伤害，均由我方承担一切经济和法律责任，并保证采购人免于承担由此导致的一切诉讼、争执、索赔、罚款；</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（5）对采购人和受检单位需保密的有关商业、技术、经营、管理等方面的信息、结果、资料等，我方不得向其他单位或个人泄密，对需</w:t>
      </w:r>
      <w:r>
        <w:rPr>
          <w:rFonts w:hint="eastAsia" w:ascii="宋体" w:hAnsi="宋体"/>
          <w:color w:val="000000" w:themeColor="text1"/>
          <w:szCs w:val="21"/>
          <w14:textFill>
            <w14:solidFill>
              <w14:schemeClr w14:val="tx1"/>
            </w14:solidFill>
          </w14:textFill>
        </w:rPr>
        <w:t xml:space="preserve">保密的资料要妥善保管，无关人员不得翻阅、复制。我方承诺严格遵守国家关于隐私方面的所有法律法规，为采购人绝对保密任何有关采购人和受检单位的资料，不得泄露检测所服务的企业单位的任何商业机密，不得将检测数据私自泄露，未经采购人书面授权，严禁擅自留存（除法定存档外）、对外发布、泄露或用于本项目以外的任何用途。采购人不承担本项目实施过程中的任何因我方泄密造成的责任及经济赔偿。我方应对项目执行过程中的所有资料承担严格的保密责任，未经采购人书面授权，严禁擅自留存（除法定存档外）、对外发布、泄露或用于本项目以外的任何用途；</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（6）本项目服务期间，我方不得以采购人名义对外进行书面或口头承诺，不得以采购人名义对外签署协议，不得以与采购人存在合同关系对外进行宣传。</w:t>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6、本项目履行过程中产生的全部测绘及定位原始数据、管线走向图等工作记录及相关知识产权均归采购人独家所有，我方不会擅自使用、复制、传播、许可第三方使用或用于其他任何目的。</w:t>
      </w:r>
      <w:r/>
    </w:p>
    <w:p>
      <w:pPr>
        <w:ind w:firstLine="420"/>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方必须独立完成本项目的能力，中标后不会分包、转包。如发现我方在本项目中存在资质挂靠、转包、分包、不委派指定的技术人员及其他违规情况，视为我方根本违约，一切不利后果由我方负责。采购人有权立即单方解除合同，我方应向采购人支付合同总预算额度 30% 的违约金。若该违约金不足以弥补采购人因此遭受的全部损失 (包括但不限于重新采购服务的差价损失、对第三方承担的违约责任等)，采购人有权要求我方赔偿超出违约金部分的损失。</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8、本项目实施过程</w:t>
      </w:r>
      <w:r>
        <w:rPr>
          <w:rFonts w:hint="eastAsia" w:ascii="宋体" w:hAnsi="宋体" w:cs="宋体"/>
          <w:bCs/>
          <w:color w:val="000000" w:themeColor="text1"/>
          <w:szCs w:val="21"/>
          <w14:textFill>
            <w14:solidFill>
              <w14:schemeClr w14:val="tx1"/>
            </w14:solidFill>
          </w14:textFill>
        </w:rPr>
        <w:t xml:space="preserve">中，凡因我方原因（包括但不限于辅助工作质量缺陷、报告虚假、违章操作、安全事故、未能按时交付报告等）给采购人或第三方造成损失的，我方应承担全部赔偿责任，包括但不限于采购人的直接损失、间接损失（该等间接损失应为在合同订立时我方可预见的、因我方违约必然造成的损失）以及采购人为处理此事由所支付的律师费、诉讼费、保全费、鉴定费等全部费用。采购人有权从应付我方的服务费中扣除等额赔偿款及合同约定的违约金。若采购人因此被第三方追责或产生连带赔偿责任，采购人先行支付后有权向我方全额追偿，追偿范围包含采购人为此支出的所有成本。</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w:t>
      </w:r>
      <w:r>
        <w:rPr>
          <w:rFonts w:ascii="宋体" w:hAnsi="宋体" w:cs="宋体"/>
          <w:bCs/>
          <w:color w:val="000000" w:themeColor="text1"/>
          <w:szCs w:val="21"/>
          <w14:textFill>
            <w14:solidFill>
              <w14:schemeClr w14:val="tx1"/>
            </w14:solidFill>
          </w14:textFill>
        </w:rPr>
        <w:t xml:space="preserve">检测中，</w:t>
      </w:r>
      <w:r>
        <w:rPr>
          <w:rFonts w:hint="eastAsia" w:ascii="宋体" w:hAnsi="宋体" w:cs="宋体"/>
          <w:bCs/>
          <w:color w:val="000000" w:themeColor="text1"/>
          <w:szCs w:val="21"/>
          <w14:textFill>
            <w14:solidFill>
              <w14:schemeClr w14:val="tx1"/>
            </w14:solidFill>
          </w14:textFill>
        </w:rPr>
        <w:t xml:space="preserve">我方将</w:t>
      </w:r>
      <w:r>
        <w:rPr>
          <w:rFonts w:ascii="宋体" w:hAnsi="宋体" w:cs="宋体"/>
          <w:bCs/>
          <w:color w:val="000000" w:themeColor="text1"/>
          <w:szCs w:val="21"/>
          <w14:textFill>
            <w14:solidFill>
              <w14:schemeClr w14:val="tx1"/>
            </w14:solidFill>
          </w14:textFill>
        </w:rPr>
        <w:t xml:space="preserve">严格执行档案管理制度。根据《承压设备无损检测 第1部分:通用要求》（NB/T 47013.1-2015）及相关特种设备安全技术规范的要求，我方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w:t>
      </w:r>
      <w:r>
        <w:rPr>
          <w:rFonts w:ascii="宋体" w:hAnsi="宋体" w:cs="宋体"/>
          <w:bCs/>
          <w:color w:val="000000" w:themeColor="text1"/>
          <w:szCs w:val="21"/>
          <w14:textFill>
            <w14:solidFill>
              <w14:schemeClr w14:val="tx1"/>
            </w14:solidFill>
          </w14:textFill>
        </w:rPr>
        <w:t xml:space="preserve">我方将严格执行台帐制度，保证试验检测各个环节都有台帐记录，做到所有试验检测数据都可追溯。</w:t>
      </w:r>
      <w:r/>
    </w:p>
    <w:p>
      <w:pPr>
        <w:ind w:firstLine="236"/>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w:t>
      </w:r>
      <w:r>
        <w:rPr>
          <w:rFonts w:hint="eastAsia" w:ascii="宋体" w:hAnsi="宋体" w:cs="宋体"/>
          <w:b/>
          <w:color w:val="000000" w:themeColor="text1"/>
          <w:szCs w:val="21"/>
          <w14:textFill>
            <w14:solidFill>
              <w14:schemeClr w14:val="tx1"/>
            </w14:solidFill>
          </w14:textFill>
        </w:rPr>
        <w:t xml:space="preserve">服务技术要求</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我单位承诺所提供技术服务包含：</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内检测实施辅助工作包括：内检测转运、现场内检测实施吊装发球、现场跟球、定标盒敷设回收等，按照辅助服务方案得要求敷设和回收内检测定标盒，提供工程车辆协助江苏省特检院进行设备转运、清管、内检测器投运工作，并在收发球过程中提供人员和车辆进行辅助跟球。</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711口径内检测器设备需适用于目标管道的介质环境，耐压等级需高于管道最高运行压力。其采样频率、轴向/环向分辨率必须达到现行国家或行业标准，确保能够精准识别管壁金属损失、变形及特征点。合同签订后，成交供应商须提供检测器牵拉试验报告等性能测试资料，现场标定测试正常。服务人员需熟练操作检测器，并能解决现场遇见的突发问题。</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3、273、406.4口径内检测用漏磁探头、几何探头、皮碗、钢刷提供，按照现场需求提供泡沫清管器、测径板、钢刷、皮碗等耗材。</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土方开挖，包括探坑人工开挖和地貌恢复。应编制开挖的技术施工方案，采用人工方式开挖，不得损坏管道防腐层，探坑长度的确定原则是露出管体（包括破损点）大于等于2米；探坑深度的确定原则是挖到管体下方悬空0.3米以上，必要时需要打桩排水，使管道具备检测条件；探坑宽度和边坡等几何尺寸，及安全措施应符合GB/T50369-2006《油气长输管道工程施工及验收规范》。地貌恢复要求：（1）填土前要清除坑底的杂物、垃圾；（2）原土回填；（3）管道部位应回填细土，严禁有块石与管道接触，必要时铺设警示带；（4）回</w:t>
      </w:r>
      <w:r>
        <w:rPr>
          <w:rFonts w:hint="eastAsia" w:ascii="宋体" w:hAnsi="宋体" w:cs="宋体"/>
          <w:color w:val="000000" w:themeColor="text1"/>
          <w:szCs w:val="21"/>
          <w14:textFill>
            <w14:solidFill>
              <w14:schemeClr w14:val="tx1"/>
            </w14:solidFill>
          </w14:textFill>
        </w:rPr>
        <w:t xml:space="preserve">填土采用分层回填，分层厚度300㎜，每层采用人工夯实处理；（5）最后按照原来地貌恢复。服务过程中，敷设环境调查时，地电位梯度辅助检测，硫酸铜参比电极安放、收放线、GPS坐标记录等。服务过程中，土壤电阻率检测辅助工作，协助检测人员按照GB/T19285标准要求布置测试现场，用GPS坐标记录位置，并记录周围标志性的参考物。服务过程中，管道外防腐层拆除及恢复，为检查管道本体的剩余壁厚和腐蚀状况、检测管道本体的内部质量需要拆除外防腐层，检查和检测完成后，需要恢复防腐层状况，验收质量以符合管道使用方的具体要求为依据。</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服务过程中，防腐层粘结力检测和电火花检测辅助，辅助检测人员完成粘结力测试和电火花检测等。</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服务过程中，如遇开挖处有对接焊缝，应保证现场具备检测条件并对对接焊缝进行射线或超声埋藏缺陷检测，提供检测报告。</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5、遵守长庆油田相应安全规程和要求，在辅助工作开展前，完成人员HSE培训，取得人员证件，协助办理各项作业票，协调开挖现场，办理开挖手续。</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其他服务技术要求：（1）应按辅助作业的相关技术规范进行作业，发现现场环境或技术手段不能满足采购人需求时，应及时告知采购人并协商调整作业方案；（2）严格执行档案管理制度。根据采购人的保密要求，我方对测绘与辅助工作过程中形成的档案资料（包括但不限于原始电子数据、管线走</w:t>
      </w:r>
      <w:r>
        <w:rPr>
          <w:rFonts w:hint="eastAsia" w:ascii="宋体" w:hAnsi="宋体" w:cs="宋体"/>
          <w:color w:val="000000" w:themeColor="text1"/>
          <w:szCs w:val="21"/>
          <w14:textFill>
            <w14:solidFill>
              <w14:schemeClr w14:val="tx1"/>
            </w14:solidFill>
          </w14:textFill>
        </w:rPr>
        <w:t xml:space="preserve">向图及统计台账等），且应确保电子数据的清晰度、完整性及不可篡改性。保存期满后，我方应优先将上述资料全部无偿移交采购人存档，确需销毁的，必须提前征得采购人书面同意，销毁过程需由采购人派员监销。若我方存在丢失、篡改、擅自披露项目档案资料情形的，应向采购人支付对应服务项目费用 20% 的违约金，造成采购人或第三方损失的，我方还应承担全部赔偿责任；（3）工作完成后，我方应将所有纸质资料进行数字化处理，连同原始电子数据汇总形成完整的电子文档包移交给采购人存档。此项费用应包含在投标报价中，采购人不再支付任何额外的费用。</w:t>
      </w:r>
      <w:r/>
    </w:p>
    <w:p>
      <w:pPr>
        <w:ind w:firstLine="48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（三）质量安全要求：</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我方根据采购人要求实施</w:t>
      </w:r>
      <w:r>
        <w:rPr>
          <w:rFonts w:hint="eastAsia" w:ascii="宋体" w:hAnsi="宋体" w:cs="宋体"/>
          <w:color w:val="000000" w:themeColor="text1"/>
          <w:szCs w:val="21"/>
          <w14:textFill>
            <w14:solidFill>
              <w14:schemeClr w14:val="tx1"/>
            </w14:solidFill>
          </w14:textFill>
        </w:rPr>
        <w:t xml:space="preserve">辅助服务工作</w:t>
      </w:r>
      <w:r>
        <w:rPr>
          <w:rFonts w:hint="eastAsia" w:ascii="宋体" w:hAnsi="宋体"/>
          <w:color w:val="000000" w:themeColor="text1"/>
          <w:szCs w:val="21"/>
          <w14:textFill>
            <w14:solidFill>
              <w14:schemeClr w14:val="tx1"/>
            </w14:solidFill>
          </w14:textFill>
        </w:rPr>
        <w:t xml:space="preserve">，将严格按照质量体系要求和相关质量保证规范。所提供技术服务符合国家的相关标准、特种设备安全技术规范、行业技术标准、项目服务方案及采购人项目负责人指定的技术要求以及被服务单位的各项管理规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1、建立质量管理机构，各责任人职责明确；</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2、质量管理体系运行规范，质量制度落实到位；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20"/>
        <w:spacing w:line="360" w:lineRule="auto"/>
        <w:tabs>
          <w:tab w:val="left" w:pos="478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4、仪器设备齐全，并在检定、校准有效期内使用；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5、建立安全环境管理及保障措施；</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6、日常工作能满足项目和采购人单位的辅助工作要求等；</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场地设施和环境(包括温度、湿度、光照度、清洁度等)满足体系要求；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在参加本次招标活动前两年内及本项目合同履行期间，如经查实存在下列情形之一的，采购人有权立即单方解除合同，并向同级财政部门报告。由此给采购人造成的实际损失及违约责任的，由我方承担全部责任和经济处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（1）被认定存在检测造假、出具虚假报告的；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（2）发生重大质量、安全事故，或存在重大质量、安全事故隐患的；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（3）因检测质量、安全和诚信原因被政府、行业列入黑名单的；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（4）被政府部门通报批评的；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（5）超资质范围检测的；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（6）使用未取得相应检测资格的人员从事无损检测工作的。</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9、我方在本项目履约全过程中，我方整体资源条件（包括但不限于持证人员配备、检测仪器设备等）持续且实质性满足《特种设备检测机构核准规则》（TSG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Z7002-2022）的法定标准。本项目履约期间，如发生因人员、设备变动等任何经营原因导致实际状况低于法定核准要求情形的，则构成根本违约，采购人有权单方面中止项目、解除合同并追究我方违约责任。</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（四）人员要求：</w:t>
      </w:r>
      <w:r/>
    </w:p>
    <w:p>
      <w:pPr>
        <w:ind w:firstLine="48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在服务期内，我方</w:t>
      </w:r>
      <w:r>
        <w:rPr>
          <w:rFonts w:hint="eastAsia" w:ascii="宋体" w:hAnsi="宋体"/>
          <w:color w:val="000000" w:themeColor="text1"/>
          <w:szCs w:val="21"/>
          <w14:textFill>
            <w14:solidFill>
              <w14:schemeClr w14:val="tx1"/>
            </w14:solidFill>
          </w14:textFill>
        </w:rPr>
        <w:t xml:space="preserve">将提供全天24小时工作响应（含夜间服务），</w:t>
      </w:r>
      <w:r>
        <w:rPr>
          <w:rFonts w:ascii="宋体" w:hAnsi="宋体"/>
          <w:color w:val="000000" w:themeColor="text1"/>
          <w:szCs w:val="21"/>
          <w14:textFill>
            <w14:solidFill>
              <w14:schemeClr w14:val="tx1"/>
            </w14:solidFill>
          </w14:textFill>
        </w:rPr>
        <w:t xml:space="preserve">我方具备支持多个不同地点同时开展</w:t>
      </w:r>
      <w:r>
        <w:rPr>
          <w:rFonts w:hint="eastAsia" w:ascii="宋体" w:hAnsi="宋体"/>
          <w:color w:val="000000" w:themeColor="text1"/>
          <w:szCs w:val="21"/>
          <w14:textFill>
            <w14:solidFill>
              <w14:schemeClr w14:val="tx1"/>
            </w14:solidFill>
          </w14:textFill>
        </w:rPr>
        <w:t xml:space="preserve">辅助服务</w:t>
      </w:r>
      <w:r>
        <w:rPr>
          <w:rFonts w:ascii="宋体" w:hAnsi="宋体"/>
          <w:color w:val="000000" w:themeColor="text1"/>
          <w:szCs w:val="21"/>
          <w14:textFill>
            <w14:solidFill>
              <w14:schemeClr w14:val="tx1"/>
            </w14:solidFill>
          </w14:textFill>
        </w:rPr>
        <w:t xml:space="preserve">的能力，并根据每个</w:t>
      </w:r>
      <w:r>
        <w:rPr>
          <w:rFonts w:hint="eastAsia" w:ascii="宋体" w:hAnsi="宋体"/>
          <w:color w:val="000000" w:themeColor="text1"/>
          <w:szCs w:val="21"/>
          <w14:textFill>
            <w14:solidFill>
              <w14:schemeClr w14:val="tx1"/>
            </w14:solidFill>
          </w14:textFill>
        </w:rPr>
        <w:t xml:space="preserve">辅助服务</w:t>
      </w:r>
      <w:r>
        <w:rPr>
          <w:rFonts w:ascii="宋体" w:hAnsi="宋体"/>
          <w:color w:val="000000" w:themeColor="text1"/>
          <w:szCs w:val="21"/>
          <w14:textFill>
            <w14:solidFill>
              <w14:schemeClr w14:val="tx1"/>
            </w14:solidFill>
          </w14:textFill>
        </w:rPr>
        <w:t xml:space="preserve">任务调配分项负责人、技术人员、安全管理人员等</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我方</w:t>
      </w:r>
      <w:r>
        <w:rPr>
          <w:rFonts w:hint="eastAsia" w:ascii="宋体" w:hAnsi="宋体"/>
          <w:color w:val="000000" w:themeColor="text1"/>
          <w:szCs w:val="21"/>
          <w14:textFill>
            <w14:solidFill>
              <w14:schemeClr w14:val="tx1"/>
            </w14:solidFill>
          </w14:textFill>
        </w:rPr>
        <w:t xml:space="preserve">将</w:t>
      </w:r>
      <w:r>
        <w:rPr>
          <w:rFonts w:ascii="宋体" w:hAnsi="宋体"/>
          <w:color w:val="000000" w:themeColor="text1"/>
          <w:szCs w:val="21"/>
          <w14:textFill>
            <w14:solidFill>
              <w14:schemeClr w14:val="tx1"/>
            </w14:solidFill>
          </w14:textFill>
        </w:rPr>
        <w:t xml:space="preserve">组建专职常驻现场的服务团队。合同签订后，我方</w:t>
      </w:r>
      <w:r>
        <w:rPr>
          <w:rFonts w:hint="eastAsia" w:ascii="宋体" w:hAnsi="宋体"/>
          <w:color w:val="000000" w:themeColor="text1"/>
          <w:szCs w:val="21"/>
          <w14:textFill>
            <w14:solidFill>
              <w14:schemeClr w14:val="tx1"/>
            </w14:solidFill>
          </w14:textFill>
        </w:rPr>
        <w:t xml:space="preserve">将</w:t>
      </w:r>
      <w:r>
        <w:rPr>
          <w:rFonts w:ascii="宋体" w:hAnsi="宋体"/>
          <w:color w:val="000000" w:themeColor="text1"/>
          <w:szCs w:val="21"/>
          <w14:textFill>
            <w14:solidFill>
              <w14:schemeClr w14:val="tx1"/>
            </w14:solidFill>
          </w14:textFill>
        </w:rPr>
        <w:t xml:space="preserve">向</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提交</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专职服务人员备案清单</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及配套证明材料</w:t>
      </w:r>
      <w:r>
        <w:rPr>
          <w:rFonts w:hint="eastAsia" w:ascii="宋体" w:hAnsi="宋体"/>
          <w:color w:val="000000" w:themeColor="text1"/>
          <w:szCs w:val="21"/>
          <w14:textFill>
            <w14:solidFill>
              <w14:schemeClr w14:val="tx1"/>
            </w14:solidFill>
          </w14:textFill>
        </w:rPr>
        <w:t xml:space="preserve">（包括</w:t>
      </w:r>
      <w:r>
        <w:rPr>
          <w:rFonts w:ascii="宋体" w:hAnsi="宋体"/>
          <w:color w:val="000000" w:themeColor="text1"/>
          <w:szCs w:val="21"/>
          <w14:textFill>
            <w14:solidFill>
              <w14:schemeClr w14:val="tx1"/>
            </w14:solidFill>
          </w14:textFill>
        </w:rPr>
        <w:t xml:space="preserve">人员花名册、身份证复印件、本单位社保</w:t>
      </w:r>
      <w:r>
        <w:rPr>
          <w:rFonts w:hint="eastAsia" w:ascii="宋体" w:hAnsi="宋体"/>
          <w:color w:val="000000" w:themeColor="text1"/>
          <w:szCs w:val="21"/>
          <w14:textFill>
            <w14:solidFill>
              <w14:schemeClr w14:val="tx1"/>
            </w14:solidFill>
          </w14:textFill>
        </w:rPr>
        <w:t xml:space="preserve">缴纳</w:t>
      </w:r>
      <w:r>
        <w:rPr>
          <w:rFonts w:ascii="宋体" w:hAnsi="宋体"/>
          <w:color w:val="000000" w:themeColor="text1"/>
          <w:szCs w:val="21"/>
          <w14:textFill>
            <w14:solidFill>
              <w14:schemeClr w14:val="tx1"/>
            </w14:solidFill>
          </w14:textFill>
        </w:rPr>
        <w:t xml:space="preserve">证明、岗位职责</w:t>
      </w:r>
      <w:r>
        <w:rPr>
          <w:rFonts w:hint="eastAsia" w:ascii="宋体" w:hAnsi="宋体"/>
          <w:color w:val="000000" w:themeColor="text1"/>
          <w:szCs w:val="21"/>
          <w14:textFill>
            <w14:solidFill>
              <w14:schemeClr w14:val="tx1"/>
            </w14:solidFill>
          </w14:textFill>
        </w:rPr>
        <w:t xml:space="preserve">、职业健康体检报告</w:t>
      </w:r>
      <w:r>
        <w:rPr>
          <w:rFonts w:ascii="宋体" w:hAnsi="宋体"/>
          <w:color w:val="000000" w:themeColor="text1"/>
          <w:szCs w:val="21"/>
          <w14:textFill>
            <w14:solidFill>
              <w14:schemeClr w14:val="tx1"/>
            </w14:solidFill>
          </w14:textFill>
        </w:rPr>
        <w:t xml:space="preserve">以及处于有效期内的各类资格证书复印件</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进行书面报备与审核。经</w:t>
      </w:r>
      <w:r>
        <w:rPr>
          <w:rFonts w:hint="eastAsia" w:ascii="宋体" w:hAnsi="宋体"/>
          <w:color w:val="000000" w:themeColor="text1"/>
          <w:szCs w:val="21"/>
          <w14:textFill>
            <w14:solidFill>
              <w14:schemeClr w14:val="tx1"/>
            </w14:solidFill>
          </w14:textFill>
        </w:rPr>
        <w:t xml:space="preserve">采购人</w:t>
      </w:r>
      <w:r>
        <w:rPr>
          <w:rFonts w:ascii="宋体" w:hAnsi="宋体"/>
          <w:color w:val="000000" w:themeColor="text1"/>
          <w:szCs w:val="21"/>
          <w14:textFill>
            <w14:solidFill>
              <w14:schemeClr w14:val="tx1"/>
            </w14:solidFill>
          </w14:textFill>
        </w:rPr>
        <w:t xml:space="preserve">审核确认后，相关人员方可进场开展工作</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在项目工作期间，我方对劳务服务输出人员保持承担相应责任和义务（包括但不限于薪酬、职业保险等），并应根据所适用的法律履行或执行对雇员的补偿和其他各类保险。本项目合同终止或解除后，我方将立即向采购人返还全部保密资料，不得留存任何纸质副本或电子备份，确需留存备份的必须经采购人书面同意。经采购人同意留存的备份仅可用于本合同项下必要的整改工作，不得用于任何其他用途。</w:t>
      </w:r>
      <w:r/>
    </w:p>
    <w:p>
      <w:pPr>
        <w:ind w:firstLine="422"/>
        <w:jc w:val="left"/>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（五）考核要求：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会对我方进行工作抽查，根据抽查结果，对我方工作内容和工作量进行调整。如抽查复验时，发现我方存在弄虚作假等严重问题，采购人有权立即单方解除合同。因工期延误等产生损失的，由我方承担全部责任和经济处罚；</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业务范围中实际需要开展的外委服务项目，采购人将开具《外委工作委托单》。我方必须按要求完成相应服务工作，接受采购人的任务完成情况考核。对未能及时完成的工作任务，或者所完成的工作未能达到服务要求的，经考核确认后，按比例减扣相应外委服务费，情节严重的，采购人有权解除合同。</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（六）报价要求：</w:t>
      </w:r>
      <w:r>
        <w:rPr>
          <w:rFonts w:hint="eastAsia"/>
          <w:color w:val="000000" w:themeColor="text1"/>
          <w:szCs w:val="21"/>
          <w14:textFill>
            <w14:solidFill>
              <w14:schemeClr w14:val="tx1"/>
            </w14:solidFill>
          </w14:textFill>
        </w:rPr>
        <w:t xml:space="preserve">本项目按单项项目进行报价，单项报价不得超过对应单价最高限价，项目总报价不得超过项目预算，我方的报价超过最高限价的，作无效投标处理。</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（七）、其他要求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我方须承诺决不提供虚假材料谋取中标、决不采取不正当手段诋毁、排挤其他我方、决不与采购人、其它我方或者代理机构恶意串通、决不向采购人、代理机构工作人员和评委进行商业贿赂、决不拒绝有关部门监督检查或提供虚假情况，如有违反，无条件接受采购人及相关管理部门的处罚且若中标的取消中标资格。</w:t>
      </w:r>
      <w:r/>
    </w:p>
    <w:p>
      <w:pPr>
        <w:ind w:firstLine="422"/>
        <w:jc w:val="left"/>
        <w:spacing w:line="360" w:lineRule="auto"/>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2、廉政要求</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（1）我方及其相关工作人员将遵守法律法规和国家准则；恪守严格依法、正直坦诚、客观公正、勤勉尽责、保守秘密的基本职业道德，保持应有的独立性。</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（2）我方及其相关工作人员与项目有利害关系的，应事先声明，实行回避。</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（3）我方将独立、客观、公正地完成受托项目的检测辅助服务工作，并对工作的真实性、准确性、合法性负责，不会将受托项目转包或分包。</w:t>
      </w:r>
      <w:r/>
    </w:p>
    <w:p>
      <w:pPr>
        <w:ind w:firstLine="420"/>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（4）采购人对受托我方违反规定发生违纪行为，检测结果出现严重差错或故意提供不实、虚假结果的情形，依法追究其法律责任。</w:t>
      </w:r>
      <w:r/>
    </w:p>
    <w:p>
      <w:pPr>
        <w:ind w:right="-5"/>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5386"/>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投标人名称（加盖电子公章）：</w:t>
      </w:r>
      <w:r/>
    </w:p>
    <w:p>
      <w:pPr>
        <w:ind w:left="5386"/>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ind w:left="5386"/>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等线">
    <w:panose1 w:val="02010600030101010101"/>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新魏">
    <w:panose1 w:val="020108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3054350</wp:posOffset>
              </wp:positionH>
              <wp:positionV relativeFrom="paragraph">
                <wp:posOffset>1270</wp:posOffset>
              </wp:positionV>
              <wp:extent cx="240665" cy="163195"/>
              <wp:effectExtent l="0" t="0" r="6985" b="8255"/>
              <wp:wrapNone/>
              <wp:docPr id="1" name="文本框 36"/>
              <wp:cNvGraphicFramePr/>
              <a:graphic xmlns:a="http://schemas.openxmlformats.org/drawingml/2006/main">
                <a:graphicData uri="http://schemas.microsoft.com/office/word/2010/wordprocessingShape">
                  <wps:wsp>
                    <wps:cNvPr id="0" name=""/>
                    <wps:cNvSpPr txBox="1"/>
                    <wps:spPr bwMode="auto">
                      <a:xfrm>
                        <a:off x="0" y="0"/>
                        <a:ext cx="240665" cy="163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5408;o:allowoverlap:true;o:allowincell:true;mso-position-horizontal-relative:margin;margin-left:240.5pt;mso-position-horizontal:absolute;mso-position-vertical-relative:text;margin-top:0.1pt;mso-position-vertical:absolute;width:18.9pt;height:12.8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2"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071"/>
                            <w:rPr>
                              <w:rStyle w:val="1091"/>
                            </w:rPr>
                          </w:pPr>
                          <w:r>
                            <w:rPr>
                              <w:rStyle w:val="1091"/>
                              <w:rFonts w:hint="eastAsia"/>
                            </w:rP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071"/>
                      <w:rPr>
                        <w:rStyle w:val="1091"/>
                      </w:rPr>
                    </w:pPr>
                    <w:r>
                      <w:rPr>
                        <w:rStyle w:val="1091"/>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3058795</wp:posOffset>
              </wp:positionH>
              <wp:positionV relativeFrom="paragraph">
                <wp:posOffset>1270</wp:posOffset>
              </wp:positionV>
              <wp:extent cx="389890" cy="198755"/>
              <wp:effectExtent l="0" t="0" r="10795" b="10795"/>
              <wp:wrapNone/>
              <wp:docPr id="3" name="文本框 37"/>
              <wp:cNvGraphicFramePr/>
              <a:graphic xmlns:a="http://schemas.openxmlformats.org/drawingml/2006/main">
                <a:graphicData uri="http://schemas.microsoft.com/office/word/2010/wordprocessingShape">
                  <wps:wsp>
                    <wps:cNvPr id="0" name=""/>
                    <wps:cNvSpPr txBox="1"/>
                    <wps:spPr bwMode="auto">
                      <a:xfrm>
                        <a:off x="0" y="0"/>
                        <a:ext cx="389614" cy="19878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6432;o:allowoverlap:true;o:allowincell:true;mso-position-horizontal-relative:margin;margin-left:240.8pt;mso-position-horizontal:absolute;mso-position-vertical-relative:text;margin-top:0.1pt;mso-position-vertical:absolute;width:30.7pt;height:15.6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20</w:t>
                    </w:r>
                    <w:r>
                      <w:fldChar w:fldCharType="end"/>
                    </w:r>
                    <w:r/>
                  </w:p>
                </w:txbxContent>
              </v:textbox>
            </v:shape>
          </w:pict>
        </mc:Fallback>
      </mc:AlternateContent>
    </w:r>
    <w:r>
      <w:b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lang w:val="zh-CN"/>
      </w:rPr>
      <w:t xml:space="preserve"> </w:t>
    </w:r>
    <w:r/>
  </w:p>
  <w:p>
    <w:pPr>
      <w:pStyle w:val="10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61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73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71"/>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Pr>
        <w:rFonts w:hint="eastAsia"/>
      </w:rPr>
      <w:t xml:space="preserve">                            </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spacing w:line="360" w:lineRule="auto"/>
      <w:pBdr>
        <w:bottom w:val="none" w:color="auto" w:sz="0" w:space="0"/>
      </w:pBdr>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p>
    <w:pPr>
      <w:pStyle w:val="1072"/>
      <w:jc w:val="right"/>
      <w:rPr>
        <w:sz w:val="21"/>
      </w:rPr>
      <w:pBdr>
        <w:bottom w:val="none" w:color="auto" w:sz="0" w:space="0"/>
      </w:pBdr>
    </w:pP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right="180"/>
      <w:jc w:val="right"/>
      <w:tabs>
        <w:tab w:val="left" w:pos="7052" w:leader="none"/>
      </w:tabs>
      <w:pBdr>
        <w:bottom w:val="none" w:color="auto"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7"/>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pStyle w:val="1318"/>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265"/>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5">
    <w:multiLevelType w:val="hybridMultilevel"/>
    <w:lvl w:ilvl="0">
      <w:start w:val="5"/>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1">
    <w:name w:val="Heading 6 Char"/>
    <w:basedOn w:val="1048"/>
    <w:link w:val="1044"/>
    <w:uiPriority w:val="9"/>
    <w:rPr>
      <w:rFonts w:ascii="Arial" w:hAnsi="Arial" w:eastAsia="Arial" w:cs="Arial"/>
      <w:b/>
      <w:bCs/>
      <w:sz w:val="22"/>
      <w:szCs w:val="22"/>
    </w:rPr>
  </w:style>
  <w:style w:type="character" w:styleId="1012">
    <w:name w:val="Heading 8 Char"/>
    <w:basedOn w:val="1048"/>
    <w:link w:val="1046"/>
    <w:uiPriority w:val="9"/>
    <w:rPr>
      <w:rFonts w:ascii="Arial" w:hAnsi="Arial" w:eastAsia="Arial" w:cs="Arial"/>
      <w:i/>
      <w:iCs/>
      <w:sz w:val="22"/>
      <w:szCs w:val="22"/>
    </w:rPr>
  </w:style>
  <w:style w:type="character" w:styleId="1013">
    <w:name w:val="Heading 9 Char"/>
    <w:basedOn w:val="1048"/>
    <w:link w:val="1047"/>
    <w:uiPriority w:val="9"/>
    <w:rPr>
      <w:rFonts w:ascii="Arial" w:hAnsi="Arial" w:eastAsia="Arial" w:cs="Arial"/>
      <w:i/>
      <w:iCs/>
      <w:sz w:val="21"/>
      <w:szCs w:val="21"/>
    </w:rPr>
  </w:style>
  <w:style w:type="character" w:styleId="1014">
    <w:name w:val="Quote Char"/>
    <w:link w:val="1109"/>
    <w:uiPriority w:val="29"/>
    <w:rPr>
      <w:i/>
    </w:rPr>
  </w:style>
  <w:style w:type="character" w:styleId="1015">
    <w:name w:val="Intense Quote Char"/>
    <w:link w:val="1111"/>
    <w:uiPriority w:val="30"/>
    <w:rPr>
      <w:i/>
    </w:rPr>
  </w:style>
  <w:style w:type="table" w:styleId="1016">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1">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2">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7">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35">
    <w:name w:val="Footnote Text Char"/>
    <w:link w:val="1076"/>
    <w:uiPriority w:val="99"/>
    <w:rPr>
      <w:sz w:val="18"/>
    </w:rPr>
  </w:style>
  <w:style w:type="character" w:styleId="1036">
    <w:name w:val="Endnote Text Char"/>
    <w:link w:val="1069"/>
    <w:uiPriority w:val="99"/>
    <w:rPr>
      <w:sz w:val="20"/>
    </w:rPr>
  </w:style>
  <w:style w:type="paragraph" w:styleId="1037">
    <w:name w:val="TOC Heading"/>
    <w:uiPriority w:val="39"/>
    <w:unhideWhenUsed/>
  </w:style>
  <w:style w:type="paragraph" w:styleId="103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39">
    <w:name w:val="Heading 1"/>
    <w:basedOn w:val="1038"/>
    <w:next w:val="1038"/>
    <w:uiPriority w:val="0"/>
    <w:qFormat/>
    <w:pPr>
      <w:jc w:val="center"/>
      <w:keepNext/>
      <w:spacing w:line="440" w:lineRule="exact"/>
      <w:outlineLvl w:val="0"/>
    </w:pPr>
    <w:rPr>
      <w:rFonts w:ascii="宋体"/>
      <w:sz w:val="28"/>
    </w:rPr>
  </w:style>
  <w:style w:type="paragraph" w:styleId="1040">
    <w:name w:val="Heading 2"/>
    <w:basedOn w:val="1038"/>
    <w:next w:val="1038"/>
    <w:uiPriority w:val="0"/>
    <w:qFormat/>
    <w:pPr>
      <w:ind w:firstLine="482"/>
      <w:keepLines/>
      <w:keepNext/>
      <w:spacing w:before="260" w:after="260"/>
      <w:outlineLvl w:val="1"/>
    </w:pPr>
    <w:rPr>
      <w:rFonts w:ascii="Arial" w:hAnsi="Arial"/>
      <w:b/>
      <w:bCs/>
      <w:szCs w:val="24"/>
    </w:rPr>
  </w:style>
  <w:style w:type="paragraph" w:styleId="1041">
    <w:name w:val="Heading 3"/>
    <w:basedOn w:val="1038"/>
    <w:next w:val="1038"/>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042">
    <w:name w:val="Heading 4"/>
    <w:basedOn w:val="1038"/>
    <w:next w:val="1038"/>
    <w:uiPriority w:val="0"/>
    <w:qFormat/>
    <w:pPr>
      <w:keepLines/>
      <w:keepNext/>
      <w:spacing w:before="280" w:after="290" w:line="372" w:lineRule="auto"/>
      <w:outlineLvl w:val="3"/>
    </w:pPr>
    <w:rPr>
      <w:rFonts w:ascii="Arial" w:hAnsi="Arial" w:eastAsia="黑体" w:cs="Arial"/>
      <w:b/>
      <w:bCs/>
      <w:sz w:val="28"/>
      <w:szCs w:val="28"/>
    </w:rPr>
  </w:style>
  <w:style w:type="paragraph" w:styleId="1043">
    <w:name w:val="Heading 5"/>
    <w:basedOn w:val="1038"/>
    <w:next w:val="1038"/>
    <w:uiPriority w:val="1"/>
    <w:qFormat/>
    <w:pPr>
      <w:ind w:left="598"/>
      <w:spacing w:before="1"/>
      <w:outlineLvl w:val="4"/>
    </w:pPr>
    <w:rPr>
      <w:rFonts w:ascii="宋体" w:hAnsi="宋体" w:cs="宋体"/>
      <w:b/>
      <w:bCs/>
      <w:sz w:val="24"/>
      <w:szCs w:val="24"/>
      <w:lang w:val="zh-CN" w:bidi="zh-CN"/>
    </w:rPr>
  </w:style>
  <w:style w:type="paragraph" w:styleId="1044">
    <w:name w:val="Heading 6"/>
    <w:basedOn w:val="1038"/>
    <w:next w:val="1038"/>
    <w:link w:val="1102"/>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uiPriority w:val="1"/>
    <w:qFormat/>
    <w:pPr>
      <w:ind w:left="1018"/>
      <w:outlineLvl w:val="6"/>
    </w:pPr>
    <w:rPr>
      <w:rFonts w:ascii="宋体" w:hAnsi="宋体" w:cs="宋体"/>
      <w:b/>
      <w:bCs/>
      <w:szCs w:val="21"/>
      <w:lang w:val="zh-CN" w:bidi="zh-CN"/>
    </w:rPr>
  </w:style>
  <w:style w:type="paragraph" w:styleId="1046">
    <w:name w:val="Heading 8"/>
    <w:basedOn w:val="1038"/>
    <w:next w:val="1038"/>
    <w:link w:val="1104"/>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05"/>
    <w:uiPriority w:val="9"/>
    <w:unhideWhenUsed/>
    <w:qFormat/>
    <w:pPr>
      <w:keepLines/>
      <w:keepNext/>
      <w:spacing w:before="320" w:after="200"/>
      <w:outlineLvl w:val="8"/>
    </w:pPr>
    <w:rPr>
      <w:rFonts w:ascii="Arial" w:hAnsi="Arial" w:eastAsia="Arial" w:cs="Arial"/>
      <w:i/>
      <w:iCs/>
      <w:szCs w:val="21"/>
    </w:rPr>
  </w:style>
  <w:style w:type="character" w:styleId="1048" w:default="1">
    <w:name w:val="Default Paragraph Font"/>
    <w:uiPriority w:val="1"/>
    <w:semiHidden/>
    <w:unhideWhenUsed/>
  </w:style>
  <w:style w:type="table" w:styleId="1049" w:default="1">
    <w:name w:val="Normal Table"/>
    <w:uiPriority w:val="99"/>
    <w:semiHidden/>
    <w:unhideWhenUsed/>
    <w:tblPr>
      <w:tblCellMar>
        <w:left w:w="108" w:type="dxa"/>
        <w:top w:w="0" w:type="dxa"/>
        <w:right w:w="108" w:type="dxa"/>
        <w:bottom w:w="0" w:type="dxa"/>
      </w:tblCellMar>
    </w:tblPr>
  </w:style>
  <w:style w:type="paragraph" w:styleId="1050">
    <w:name w:val="List 3"/>
    <w:basedOn w:val="1038"/>
    <w:uiPriority w:val="0"/>
    <w:qFormat/>
    <w:pPr>
      <w:contextualSpacing/>
      <w:ind w:left="600" w:hanging="200"/>
    </w:pPr>
  </w:style>
  <w:style w:type="paragraph" w:styleId="1051">
    <w:name w:val="toc 7"/>
    <w:basedOn w:val="1038"/>
    <w:next w:val="1038"/>
    <w:uiPriority w:val="0"/>
    <w:qFormat/>
    <w:pPr>
      <w:ind w:left="1200"/>
    </w:pPr>
  </w:style>
  <w:style w:type="paragraph" w:styleId="1052">
    <w:name w:val="Normal Indent"/>
    <w:basedOn w:val="1038"/>
    <w:link w:val="1317"/>
    <w:uiPriority w:val="99"/>
    <w:qFormat/>
    <w:pPr>
      <w:ind w:firstLine="420"/>
    </w:pPr>
    <w:rPr>
      <w:b/>
      <w:sz w:val="24"/>
    </w:rPr>
  </w:style>
  <w:style w:type="paragraph" w:styleId="1053">
    <w:name w:val="Caption"/>
    <w:basedOn w:val="1038"/>
    <w:next w:val="1038"/>
    <w:uiPriority w:val="0"/>
    <w:qFormat/>
    <w:pPr>
      <w:jc w:val="center"/>
    </w:pPr>
    <w:rPr>
      <w:rFonts w:cs="Arial"/>
    </w:rPr>
  </w:style>
  <w:style w:type="paragraph" w:styleId="1054">
    <w:name w:val="Document Map"/>
    <w:basedOn w:val="1038"/>
    <w:uiPriority w:val="0"/>
    <w:qFormat/>
    <w:rPr>
      <w:rFonts w:ascii="宋体"/>
      <w:sz w:val="18"/>
      <w:szCs w:val="18"/>
    </w:rPr>
  </w:style>
  <w:style w:type="paragraph" w:styleId="1055">
    <w:name w:val="toa heading"/>
    <w:basedOn w:val="1038"/>
    <w:next w:val="1038"/>
    <w:uiPriority w:val="99"/>
    <w:qFormat/>
    <w:pPr>
      <w:spacing w:before="120"/>
    </w:pPr>
    <w:rPr>
      <w:rFonts w:ascii="Cambria" w:hAnsi="Cambria"/>
      <w:sz w:val="24"/>
    </w:rPr>
  </w:style>
  <w:style w:type="paragraph" w:styleId="1056">
    <w:name w:val="annotation text"/>
    <w:basedOn w:val="1038"/>
    <w:link w:val="1300"/>
    <w:uiPriority w:val="0"/>
    <w:qFormat/>
    <w:pPr>
      <w:jc w:val="left"/>
    </w:pPr>
  </w:style>
  <w:style w:type="paragraph" w:styleId="1057">
    <w:name w:val="Body Text"/>
    <w:basedOn w:val="1038"/>
    <w:uiPriority w:val="0"/>
    <w:qFormat/>
    <w:rPr>
      <w:rFonts w:ascii="宋体"/>
      <w:sz w:val="28"/>
    </w:rPr>
  </w:style>
  <w:style w:type="paragraph" w:styleId="1058">
    <w:name w:val="Body Text Indent"/>
    <w:basedOn w:val="1038"/>
    <w:next w:val="1059"/>
    <w:link w:val="1298"/>
    <w:uiPriority w:val="0"/>
    <w:qFormat/>
    <w:pPr>
      <w:ind w:firstLine="420"/>
      <w:spacing w:line="360" w:lineRule="auto"/>
    </w:pPr>
    <w:rPr>
      <w:rFonts w:ascii="宋体"/>
      <w:sz w:val="24"/>
    </w:rPr>
  </w:style>
  <w:style w:type="paragraph" w:styleId="1059">
    <w:name w:val="envelope return"/>
    <w:basedOn w:val="1038"/>
    <w:uiPriority w:val="99"/>
    <w:qFormat/>
    <w:rPr>
      <w:rFonts w:ascii="Arial" w:hAnsi="Arial"/>
    </w:rPr>
  </w:style>
  <w:style w:type="paragraph" w:styleId="1060">
    <w:name w:val="List 2"/>
    <w:basedOn w:val="1038"/>
    <w:uiPriority w:val="0"/>
    <w:qFormat/>
    <w:pPr>
      <w:ind w:left="400" w:hanging="200"/>
    </w:pPr>
  </w:style>
  <w:style w:type="paragraph" w:styleId="1061">
    <w:name w:val="Block Text"/>
    <w:basedOn w:val="1038"/>
    <w:uiPriority w:val="0"/>
    <w:qFormat/>
    <w:pPr>
      <w:ind w:left="540" w:right="26"/>
    </w:pPr>
    <w:rPr>
      <w:sz w:val="24"/>
    </w:rPr>
  </w:style>
  <w:style w:type="paragraph" w:styleId="1062">
    <w:name w:val="index 4"/>
    <w:basedOn w:val="1038"/>
    <w:next w:val="1038"/>
    <w:uiPriority w:val="0"/>
    <w:qFormat/>
    <w:pPr>
      <w:ind w:left="600"/>
    </w:pPr>
    <w:rPr>
      <w:rFonts w:ascii="宋体"/>
      <w:b/>
      <w:position w:val="-10"/>
      <w:sz w:val="24"/>
    </w:rPr>
  </w:style>
  <w:style w:type="paragraph" w:styleId="1063">
    <w:name w:val="toc 5"/>
    <w:basedOn w:val="1038"/>
    <w:next w:val="1038"/>
    <w:uiPriority w:val="0"/>
    <w:qFormat/>
    <w:pPr>
      <w:ind w:left="800"/>
    </w:pPr>
  </w:style>
  <w:style w:type="paragraph" w:styleId="1064">
    <w:name w:val="toc 3"/>
    <w:basedOn w:val="1038"/>
    <w:next w:val="1038"/>
    <w:uiPriority w:val="39"/>
    <w:qFormat/>
    <w:pPr>
      <w:ind w:left="400"/>
    </w:pPr>
  </w:style>
  <w:style w:type="paragraph" w:styleId="1065">
    <w:name w:val="Plain Text"/>
    <w:basedOn w:val="1038"/>
    <w:uiPriority w:val="0"/>
    <w:qFormat/>
    <w:rPr>
      <w:rFonts w:ascii="宋体"/>
    </w:rPr>
  </w:style>
  <w:style w:type="paragraph" w:styleId="1066">
    <w:name w:val="toc 8"/>
    <w:basedOn w:val="1038"/>
    <w:next w:val="1038"/>
    <w:uiPriority w:val="0"/>
    <w:qFormat/>
    <w:pPr>
      <w:ind w:left="1400"/>
    </w:pPr>
  </w:style>
  <w:style w:type="paragraph" w:styleId="1067">
    <w:name w:val="Date"/>
    <w:basedOn w:val="1038"/>
    <w:next w:val="1038"/>
    <w:link w:val="1322"/>
    <w:uiPriority w:val="0"/>
    <w:qFormat/>
    <w:rPr>
      <w:rFonts w:ascii="宋体"/>
    </w:rPr>
  </w:style>
  <w:style w:type="paragraph" w:styleId="1068">
    <w:name w:val="Body Text Indent 2"/>
    <w:basedOn w:val="1038"/>
    <w:uiPriority w:val="0"/>
    <w:qFormat/>
    <w:pPr>
      <w:ind w:firstLine="525"/>
      <w:spacing w:line="420" w:lineRule="exact"/>
    </w:pPr>
    <w:rPr>
      <w:rFonts w:ascii="宋体"/>
    </w:rPr>
  </w:style>
  <w:style w:type="paragraph" w:styleId="1069">
    <w:name w:val="endnote text"/>
    <w:basedOn w:val="1038"/>
    <w:link w:val="1242"/>
    <w:uiPriority w:val="99"/>
    <w:semiHidden/>
    <w:unhideWhenUsed/>
    <w:qFormat/>
    <w:rPr>
      <w:sz w:val="20"/>
    </w:rPr>
  </w:style>
  <w:style w:type="paragraph" w:styleId="1070">
    <w:name w:val="Balloon Text"/>
    <w:basedOn w:val="1038"/>
    <w:uiPriority w:val="0"/>
    <w:qFormat/>
    <w:rPr>
      <w:sz w:val="18"/>
      <w:szCs w:val="18"/>
    </w:rPr>
  </w:style>
  <w:style w:type="paragraph" w:styleId="1071">
    <w:name w:val="Footer"/>
    <w:basedOn w:val="1038"/>
    <w:uiPriority w:val="0"/>
    <w:qFormat/>
    <w:pPr>
      <w:jc w:val="left"/>
      <w:tabs>
        <w:tab w:val="center" w:pos="4153" w:leader="none"/>
        <w:tab w:val="right" w:pos="8306" w:leader="none"/>
      </w:tabs>
    </w:pPr>
    <w:rPr>
      <w:sz w:val="18"/>
    </w:rPr>
  </w:style>
  <w:style w:type="paragraph" w:styleId="1072">
    <w:name w:val="Header"/>
    <w:basedOn w:val="1038"/>
    <w:uiPriority w:val="0"/>
    <w:qFormat/>
    <w:pPr>
      <w:jc w:val="center"/>
      <w:tabs>
        <w:tab w:val="center" w:pos="4153" w:leader="none"/>
        <w:tab w:val="right" w:pos="8306" w:leader="none"/>
      </w:tabs>
      <w:pBdr>
        <w:bottom w:val="single" w:color="auto" w:sz="6" w:space="1"/>
      </w:pBdr>
    </w:pPr>
    <w:rPr>
      <w:sz w:val="18"/>
    </w:rPr>
  </w:style>
  <w:style w:type="paragraph" w:styleId="1073">
    <w:name w:val="toc 1"/>
    <w:basedOn w:val="1038"/>
    <w:next w:val="1038"/>
    <w:uiPriority w:val="39"/>
    <w:qFormat/>
  </w:style>
  <w:style w:type="paragraph" w:styleId="1074">
    <w:name w:val="toc 4"/>
    <w:basedOn w:val="1038"/>
    <w:next w:val="1038"/>
    <w:uiPriority w:val="0"/>
    <w:qFormat/>
    <w:pPr>
      <w:ind w:left="600"/>
    </w:pPr>
  </w:style>
  <w:style w:type="paragraph" w:styleId="1075">
    <w:name w:val="Subtitle"/>
    <w:basedOn w:val="1038"/>
    <w:next w:val="1038"/>
    <w:uiPriority w:val="0"/>
    <w:qFormat/>
    <w:pPr>
      <w:jc w:val="center"/>
      <w:spacing w:before="240" w:after="60" w:line="312" w:lineRule="auto"/>
      <w:outlineLvl w:val="1"/>
    </w:pPr>
    <w:rPr>
      <w:rFonts w:ascii="Cambria" w:hAnsi="Cambria"/>
      <w:b/>
      <w:bCs/>
      <w:sz w:val="32"/>
      <w:szCs w:val="32"/>
    </w:rPr>
  </w:style>
  <w:style w:type="paragraph" w:styleId="1076">
    <w:name w:val="footnote text"/>
    <w:basedOn w:val="1038"/>
    <w:link w:val="1241"/>
    <w:uiPriority w:val="99"/>
    <w:semiHidden/>
    <w:unhideWhenUsed/>
    <w:qFormat/>
    <w:pPr>
      <w:spacing w:after="40"/>
    </w:pPr>
    <w:rPr>
      <w:sz w:val="18"/>
    </w:rPr>
  </w:style>
  <w:style w:type="paragraph" w:styleId="1077">
    <w:name w:val="toc 6"/>
    <w:basedOn w:val="1038"/>
    <w:next w:val="1038"/>
    <w:uiPriority w:val="0"/>
    <w:qFormat/>
    <w:pPr>
      <w:ind w:left="1000"/>
    </w:pPr>
  </w:style>
  <w:style w:type="paragraph" w:styleId="1078">
    <w:name w:val="Body Text Indent 3"/>
    <w:basedOn w:val="1038"/>
    <w:uiPriority w:val="0"/>
    <w:qFormat/>
    <w:pPr>
      <w:ind w:firstLine="100"/>
    </w:pPr>
    <w:rPr>
      <w:rFonts w:eastAsia="华文新魏"/>
      <w:b/>
      <w:bCs/>
      <w:sz w:val="84"/>
    </w:rPr>
  </w:style>
  <w:style w:type="paragraph" w:styleId="1079">
    <w:name w:val="table of figures"/>
    <w:basedOn w:val="1038"/>
    <w:next w:val="1038"/>
    <w:uiPriority w:val="99"/>
    <w:unhideWhenUsed/>
    <w:qFormat/>
  </w:style>
  <w:style w:type="paragraph" w:styleId="1080">
    <w:name w:val="toc 2"/>
    <w:basedOn w:val="1038"/>
    <w:next w:val="1038"/>
    <w:uiPriority w:val="39"/>
    <w:qFormat/>
    <w:pPr>
      <w:ind w:left="200"/>
    </w:pPr>
  </w:style>
  <w:style w:type="paragraph" w:styleId="1081">
    <w:name w:val="toc 9"/>
    <w:basedOn w:val="1038"/>
    <w:next w:val="1038"/>
    <w:uiPriority w:val="0"/>
    <w:qFormat/>
    <w:pPr>
      <w:ind w:left="1600"/>
    </w:pPr>
  </w:style>
  <w:style w:type="paragraph" w:styleId="1082">
    <w:name w:val="HTML Preformatted"/>
    <w:basedOn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083">
    <w:name w:val="Normal (Web)"/>
    <w:basedOn w:val="103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84">
    <w:name w:val="Title"/>
    <w:basedOn w:val="1038"/>
    <w:uiPriority w:val="0"/>
    <w:qFormat/>
    <w:pPr>
      <w:jc w:val="center"/>
    </w:pPr>
    <w:rPr>
      <w:sz w:val="30"/>
      <w:szCs w:val="24"/>
    </w:rPr>
  </w:style>
  <w:style w:type="paragraph" w:styleId="1085">
    <w:name w:val="annotation subject"/>
    <w:basedOn w:val="1056"/>
    <w:next w:val="1056"/>
    <w:uiPriority w:val="0"/>
    <w:qFormat/>
    <w:rPr>
      <w:b/>
      <w:bCs/>
    </w:rPr>
  </w:style>
  <w:style w:type="paragraph" w:styleId="1086">
    <w:name w:val="Body Text First Indent"/>
    <w:basedOn w:val="1057"/>
    <w:uiPriority w:val="0"/>
    <w:qFormat/>
    <w:pPr>
      <w:ind w:firstLine="420"/>
    </w:pPr>
  </w:style>
  <w:style w:type="paragraph" w:styleId="1087">
    <w:name w:val="Body Text First Indent 2"/>
    <w:basedOn w:val="1058"/>
    <w:link w:val="1306"/>
    <w:uiPriority w:val="0"/>
    <w:qFormat/>
    <w:pPr>
      <w:ind w:left="420"/>
      <w:spacing w:after="120" w:line="240" w:lineRule="auto"/>
    </w:pPr>
    <w:rPr>
      <w:sz w:val="21"/>
    </w:rPr>
  </w:style>
  <w:style w:type="table" w:styleId="1088">
    <w:name w:val="Table Grid"/>
    <w:basedOn w:val="10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uiPriority w:val="0"/>
    <w:qFormat/>
    <w:rPr>
      <w:b/>
      <w:bCs/>
    </w:rPr>
  </w:style>
  <w:style w:type="character" w:styleId="1090">
    <w:name w:val="endnote reference"/>
    <w:basedOn w:val="1048"/>
    <w:uiPriority w:val="99"/>
    <w:semiHidden/>
    <w:unhideWhenUsed/>
    <w:qFormat/>
    <w:rPr>
      <w:vertAlign w:val="superscript"/>
    </w:rPr>
  </w:style>
  <w:style w:type="character" w:styleId="1091">
    <w:name w:val="page number"/>
    <w:basedOn w:val="1048"/>
    <w:uiPriority w:val="0"/>
    <w:qFormat/>
  </w:style>
  <w:style w:type="character" w:styleId="1092">
    <w:name w:val="Emphasis"/>
    <w:uiPriority w:val="0"/>
    <w:qFormat/>
    <w:rPr>
      <w:i/>
    </w:rPr>
  </w:style>
  <w:style w:type="character" w:styleId="1093">
    <w:name w:val="Hyperlink"/>
    <w:uiPriority w:val="99"/>
    <w:qFormat/>
    <w:rPr>
      <w:color w:val="000000"/>
      <w:sz w:val="18"/>
      <w:szCs w:val="18"/>
      <w:u w:val="none"/>
    </w:rPr>
  </w:style>
  <w:style w:type="character" w:styleId="1094">
    <w:name w:val="annotation reference"/>
    <w:basedOn w:val="1048"/>
    <w:uiPriority w:val="0"/>
    <w:qFormat/>
    <w:rPr>
      <w:sz w:val="21"/>
      <w:szCs w:val="21"/>
    </w:rPr>
  </w:style>
  <w:style w:type="character" w:styleId="1095">
    <w:name w:val="footnote reference"/>
    <w:basedOn w:val="1048"/>
    <w:uiPriority w:val="99"/>
    <w:unhideWhenUsed/>
    <w:qFormat/>
    <w:rPr>
      <w:vertAlign w:val="superscript"/>
    </w:rPr>
  </w:style>
  <w:style w:type="paragraph" w:styleId="1096" w:customStyle="1">
    <w:name w:val="列出段落1"/>
    <w:basedOn w:val="1038"/>
    <w:uiPriority w:val="0"/>
    <w:qFormat/>
    <w:pPr>
      <w:ind w:firstLine="200"/>
    </w:pPr>
    <w:rPr>
      <w:rFonts w:ascii="Calibri" w:hAnsi="Calibri"/>
      <w:szCs w:val="22"/>
    </w:rPr>
  </w:style>
  <w:style w:type="character" w:styleId="1097" w:customStyle="1">
    <w:name w:val="Heading 1 Char"/>
    <w:basedOn w:val="1048"/>
    <w:uiPriority w:val="9"/>
    <w:qFormat/>
    <w:rPr>
      <w:rFonts w:ascii="Arial" w:hAnsi="Arial" w:eastAsia="Arial" w:cs="Arial"/>
      <w:sz w:val="40"/>
      <w:szCs w:val="40"/>
    </w:rPr>
  </w:style>
  <w:style w:type="character" w:styleId="1098" w:customStyle="1">
    <w:name w:val="Heading 2 Char"/>
    <w:basedOn w:val="1048"/>
    <w:uiPriority w:val="9"/>
    <w:qFormat/>
    <w:rPr>
      <w:rFonts w:ascii="Arial" w:hAnsi="Arial" w:eastAsia="Arial" w:cs="Arial"/>
      <w:sz w:val="34"/>
    </w:rPr>
  </w:style>
  <w:style w:type="character" w:styleId="1099" w:customStyle="1">
    <w:name w:val="Heading 3 Char"/>
    <w:basedOn w:val="1048"/>
    <w:uiPriority w:val="9"/>
    <w:qFormat/>
    <w:rPr>
      <w:rFonts w:ascii="Arial" w:hAnsi="Arial" w:eastAsia="Arial" w:cs="Arial"/>
      <w:sz w:val="30"/>
      <w:szCs w:val="30"/>
    </w:rPr>
  </w:style>
  <w:style w:type="character" w:styleId="1100" w:customStyle="1">
    <w:name w:val="Heading 4 Char"/>
    <w:basedOn w:val="1048"/>
    <w:uiPriority w:val="9"/>
    <w:qFormat/>
    <w:rPr>
      <w:rFonts w:ascii="Arial" w:hAnsi="Arial" w:eastAsia="Arial" w:cs="Arial"/>
      <w:b/>
      <w:bCs/>
      <w:sz w:val="26"/>
      <w:szCs w:val="26"/>
    </w:rPr>
  </w:style>
  <w:style w:type="character" w:styleId="1101" w:customStyle="1">
    <w:name w:val="Heading 5 Char"/>
    <w:basedOn w:val="1048"/>
    <w:uiPriority w:val="9"/>
    <w:qFormat/>
    <w:rPr>
      <w:rFonts w:ascii="Arial" w:hAnsi="Arial" w:eastAsia="Arial" w:cs="Arial"/>
      <w:b/>
      <w:bCs/>
      <w:sz w:val="24"/>
      <w:szCs w:val="24"/>
    </w:rPr>
  </w:style>
  <w:style w:type="character" w:styleId="1102" w:customStyle="1">
    <w:name w:val="标题 6 字符"/>
    <w:basedOn w:val="1048"/>
    <w:link w:val="1044"/>
    <w:uiPriority w:val="9"/>
    <w:qFormat/>
    <w:rPr>
      <w:rFonts w:ascii="Arial" w:hAnsi="Arial" w:eastAsia="Arial" w:cs="Arial"/>
      <w:b/>
      <w:bCs/>
      <w:sz w:val="22"/>
      <w:szCs w:val="22"/>
    </w:rPr>
  </w:style>
  <w:style w:type="character" w:styleId="1103" w:customStyle="1">
    <w:name w:val="Heading 7 Char"/>
    <w:basedOn w:val="1048"/>
    <w:uiPriority w:val="9"/>
    <w:qFormat/>
    <w:rPr>
      <w:rFonts w:ascii="Arial" w:hAnsi="Arial" w:eastAsia="Arial" w:cs="Arial"/>
      <w:b/>
      <w:bCs/>
      <w:i/>
      <w:iCs/>
      <w:sz w:val="22"/>
      <w:szCs w:val="22"/>
    </w:rPr>
  </w:style>
  <w:style w:type="character" w:styleId="1104" w:customStyle="1">
    <w:name w:val="标题 8 字符"/>
    <w:basedOn w:val="1048"/>
    <w:link w:val="1046"/>
    <w:uiPriority w:val="9"/>
    <w:qFormat/>
    <w:rPr>
      <w:rFonts w:ascii="Arial" w:hAnsi="Arial" w:eastAsia="Arial" w:cs="Arial"/>
      <w:i/>
      <w:iCs/>
      <w:sz w:val="22"/>
      <w:szCs w:val="22"/>
    </w:rPr>
  </w:style>
  <w:style w:type="character" w:styleId="1105" w:customStyle="1">
    <w:name w:val="标题 9 字符"/>
    <w:basedOn w:val="1048"/>
    <w:link w:val="1047"/>
    <w:uiPriority w:val="9"/>
    <w:qFormat/>
    <w:rPr>
      <w:rFonts w:ascii="Arial" w:hAnsi="Arial" w:eastAsia="Arial" w:cs="Arial"/>
      <w:i/>
      <w:iCs/>
      <w:sz w:val="21"/>
      <w:szCs w:val="21"/>
    </w:rPr>
  </w:style>
  <w:style w:type="paragraph" w:styleId="1106">
    <w:name w:val="No Spacing"/>
    <w:uiPriority w:val="1"/>
    <w:qFormat/>
    <w:rPr>
      <w:rFonts w:ascii="Times New Roman" w:hAnsi="Times New Roman" w:eastAsia="宋体" w:cs="Times New Roman"/>
      <w:lang w:val="en-US" w:eastAsia="zh-CN" w:bidi="ar-SA"/>
    </w:rPr>
  </w:style>
  <w:style w:type="character" w:styleId="1107" w:customStyle="1">
    <w:name w:val="Title Char"/>
    <w:basedOn w:val="1048"/>
    <w:uiPriority w:val="10"/>
    <w:qFormat/>
    <w:rPr>
      <w:sz w:val="48"/>
      <w:szCs w:val="48"/>
    </w:rPr>
  </w:style>
  <w:style w:type="character" w:styleId="1108" w:customStyle="1">
    <w:name w:val="Subtitle Char"/>
    <w:basedOn w:val="1048"/>
    <w:uiPriority w:val="11"/>
    <w:qFormat/>
    <w:rPr>
      <w:sz w:val="24"/>
      <w:szCs w:val="24"/>
    </w:rPr>
  </w:style>
  <w:style w:type="paragraph" w:styleId="1109">
    <w:name w:val="Quote"/>
    <w:basedOn w:val="1038"/>
    <w:next w:val="1038"/>
    <w:link w:val="1110"/>
    <w:uiPriority w:val="29"/>
    <w:qFormat/>
    <w:pPr>
      <w:ind w:left="720" w:right="720"/>
    </w:pPr>
    <w:rPr>
      <w:i/>
    </w:rPr>
  </w:style>
  <w:style w:type="character" w:styleId="1110" w:customStyle="1">
    <w:name w:val="引用 字符"/>
    <w:link w:val="1109"/>
    <w:uiPriority w:val="29"/>
    <w:qFormat/>
    <w:rPr>
      <w:i/>
    </w:rPr>
  </w:style>
  <w:style w:type="paragraph" w:styleId="1111">
    <w:name w:val="Intense Quote"/>
    <w:basedOn w:val="1038"/>
    <w:next w:val="1038"/>
    <w:link w:val="11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2" w:customStyle="1">
    <w:name w:val="明显引用 字符"/>
    <w:link w:val="1111"/>
    <w:uiPriority w:val="30"/>
    <w:qFormat/>
    <w:rPr>
      <w:i/>
    </w:rPr>
  </w:style>
  <w:style w:type="character" w:styleId="1113" w:customStyle="1">
    <w:name w:val="Header Char"/>
    <w:basedOn w:val="1048"/>
    <w:uiPriority w:val="99"/>
    <w:qFormat/>
  </w:style>
  <w:style w:type="character" w:styleId="1114" w:customStyle="1">
    <w:name w:val="Footer Char"/>
    <w:basedOn w:val="1048"/>
    <w:uiPriority w:val="99"/>
    <w:qFormat/>
  </w:style>
  <w:style w:type="character" w:styleId="1115" w:customStyle="1">
    <w:name w:val="Caption Char"/>
    <w:uiPriority w:val="99"/>
    <w:qFormat/>
  </w:style>
  <w:style w:type="table" w:styleId="1116" w:customStyle="1">
    <w:name w:val="Table Grid Light"/>
    <w:basedOn w:val="10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17" w:customStyle="1">
    <w:name w:val="无格式表格 11"/>
    <w:basedOn w:val="10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无格式表格 21"/>
    <w:basedOn w:val="10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无格式表格 3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customStyle="1">
    <w:name w:val="无格式表格 4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customStyle="1">
    <w:name w:val="无格式表格 51"/>
    <w:basedOn w:val="10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2" w:customStyle="1">
    <w:name w:val="网格表 1 浅色1"/>
    <w:basedOn w:val="10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1"/>
    <w:basedOn w:val="10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2"/>
    <w:basedOn w:val="10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3"/>
    <w:basedOn w:val="10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4"/>
    <w:basedOn w:val="10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5"/>
    <w:basedOn w:val="10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6"/>
    <w:basedOn w:val="10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9" w:customStyle="1">
    <w:name w:val="网格表 21"/>
    <w:basedOn w:val="10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0" w:customStyle="1">
    <w:name w:val="Grid Table 2 - Accent 1"/>
    <w:basedOn w:val="10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1" w:customStyle="1">
    <w:name w:val="Grid Table 2 - Accent 2"/>
    <w:basedOn w:val="10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Grid Table 2 - Accent 3"/>
    <w:basedOn w:val="10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3" w:customStyle="1">
    <w:name w:val="Grid Table 2 - Accent 4"/>
    <w:basedOn w:val="10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Grid Table 2 - Accent 5"/>
    <w:basedOn w:val="10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5" w:customStyle="1">
    <w:name w:val="Grid Table 2 - Accent 6"/>
    <w:basedOn w:val="10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6" w:customStyle="1">
    <w:name w:val="网格表 31"/>
    <w:basedOn w:val="10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1"/>
    <w:basedOn w:val="10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2"/>
    <w:basedOn w:val="10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3"/>
    <w:basedOn w:val="10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4"/>
    <w:basedOn w:val="10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5"/>
    <w:basedOn w:val="10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6"/>
    <w:basedOn w:val="10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网格表 41"/>
    <w:basedOn w:val="10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4" w:customStyle="1">
    <w:name w:val="Grid Table 4 - Accent 1"/>
    <w:basedOn w:val="10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5" w:customStyle="1">
    <w:name w:val="Grid Table 4 - Accent 2"/>
    <w:basedOn w:val="10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6" w:customStyle="1">
    <w:name w:val="Grid Table 4 - Accent 3"/>
    <w:basedOn w:val="10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7" w:customStyle="1">
    <w:name w:val="Grid Table 4 - Accent 4"/>
    <w:basedOn w:val="10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8" w:customStyle="1">
    <w:name w:val="Grid Table 4 - Accent 5"/>
    <w:basedOn w:val="10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9" w:customStyle="1">
    <w:name w:val="Grid Table 4 - Accent 6"/>
    <w:basedOn w:val="10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0" w:customStyle="1">
    <w:name w:val="网格表 5 深色1"/>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1" w:customStyle="1">
    <w:name w:val="Grid Table 5 Dark- Accent 1"/>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2" w:customStyle="1">
    <w:name w:val="Grid Table 5 Dark - Accent 2"/>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3" w:customStyle="1">
    <w:name w:val="Grid Table 5 Dark - Accent 3"/>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4" w:customStyle="1">
    <w:name w:val="Grid Table 5 Dark- Accent 4"/>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5" w:customStyle="1">
    <w:name w:val="Grid Table 5 Dark - Accent 5"/>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6" w:customStyle="1">
    <w:name w:val="Grid Table 5 Dark - Accent 6"/>
    <w:basedOn w:val="10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7" w:customStyle="1">
    <w:name w:val="网格表 6 彩色1"/>
    <w:basedOn w:val="10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8" w:customStyle="1">
    <w:name w:val="Grid Table 6 Colorful - Accent 1"/>
    <w:basedOn w:val="10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9" w:customStyle="1">
    <w:name w:val="Grid Table 6 Colorful - Accent 2"/>
    <w:basedOn w:val="10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0" w:customStyle="1">
    <w:name w:val="Grid Table 6 Colorful - Accent 3"/>
    <w:basedOn w:val="10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1" w:customStyle="1">
    <w:name w:val="Grid Table 6 Colorful - Accent 4"/>
    <w:basedOn w:val="10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2" w:customStyle="1">
    <w:name w:val="Grid Table 6 Colorful - Accent 5"/>
    <w:basedOn w:val="10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6 Colorful - Accent 6"/>
    <w:basedOn w:val="10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4" w:customStyle="1">
    <w:name w:val="网格表 7 彩色1"/>
    <w:basedOn w:val="10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Grid Table 7 Colorful - Accent 1"/>
    <w:basedOn w:val="10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6" w:customStyle="1">
    <w:name w:val="Grid Table 7 Colorful - Accent 2"/>
    <w:basedOn w:val="10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Grid Table 7 Colorful - Accent 3"/>
    <w:basedOn w:val="10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8" w:customStyle="1">
    <w:name w:val="Grid Table 7 Colorful - Accent 4"/>
    <w:basedOn w:val="10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Grid Table 7 Colorful - Accent 5"/>
    <w:basedOn w:val="10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0" w:customStyle="1">
    <w:name w:val="Grid Table 7 Colorful - Accent 6"/>
    <w:basedOn w:val="10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1" w:customStyle="1">
    <w:name w:val="清单表 1 浅色1"/>
    <w:basedOn w:val="10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customStyle="1">
    <w:name w:val="List Table 1 Light - Accent 1"/>
    <w:basedOn w:val="104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3" w:customStyle="1">
    <w:name w:val="List Table 1 Light - Accent 2"/>
    <w:basedOn w:val="104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4" w:customStyle="1">
    <w:name w:val="List Table 1 Light - Accent 3"/>
    <w:basedOn w:val="104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5" w:customStyle="1">
    <w:name w:val="List Table 1 Light - Accent 4"/>
    <w:basedOn w:val="104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6" w:customStyle="1">
    <w:name w:val="List Table 1 Light - Accent 5"/>
    <w:basedOn w:val="104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7" w:customStyle="1">
    <w:name w:val="List Table 1 Light - Accent 6"/>
    <w:basedOn w:val="104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8" w:customStyle="1">
    <w:name w:val="清单表 21"/>
    <w:basedOn w:val="10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9" w:customStyle="1">
    <w:name w:val="List Table 2 - Accent 1"/>
    <w:basedOn w:val="10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0" w:customStyle="1">
    <w:name w:val="List Table 2 - Accent 2"/>
    <w:basedOn w:val="10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1" w:customStyle="1">
    <w:name w:val="List Table 2 - Accent 3"/>
    <w:basedOn w:val="10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2" w:customStyle="1">
    <w:name w:val="List Table 2 - Accent 4"/>
    <w:basedOn w:val="10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3" w:customStyle="1">
    <w:name w:val="List Table 2 - Accent 5"/>
    <w:basedOn w:val="10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4" w:customStyle="1">
    <w:name w:val="List Table 2 - Accent 6"/>
    <w:basedOn w:val="10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5" w:customStyle="1">
    <w:name w:val="清单表 31"/>
    <w:basedOn w:val="10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6" w:customStyle="1">
    <w:name w:val="List Table 3 - Accent 1"/>
    <w:basedOn w:val="10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7" w:customStyle="1">
    <w:name w:val="List Table 3 - Accent 2"/>
    <w:basedOn w:val="10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8" w:customStyle="1">
    <w:name w:val="List Table 3 - Accent 3"/>
    <w:basedOn w:val="10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9" w:customStyle="1">
    <w:name w:val="List Table 3 - Accent 4"/>
    <w:basedOn w:val="10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0" w:customStyle="1">
    <w:name w:val="List Table 3 - Accent 5"/>
    <w:basedOn w:val="10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1" w:customStyle="1">
    <w:name w:val="List Table 3 - Accent 6"/>
    <w:basedOn w:val="10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2" w:customStyle="1">
    <w:name w:val="清单表 41"/>
    <w:basedOn w:val="10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3" w:customStyle="1">
    <w:name w:val="List Table 4 - Accent 1"/>
    <w:basedOn w:val="10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4" w:customStyle="1">
    <w:name w:val="List Table 4 - Accent 2"/>
    <w:basedOn w:val="10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5" w:customStyle="1">
    <w:name w:val="List Table 4 - Accent 3"/>
    <w:basedOn w:val="10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6" w:customStyle="1">
    <w:name w:val="List Table 4 - Accent 4"/>
    <w:basedOn w:val="10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7" w:customStyle="1">
    <w:name w:val="List Table 4 - Accent 5"/>
    <w:basedOn w:val="10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8" w:customStyle="1">
    <w:name w:val="List Table 4 - Accent 6"/>
    <w:basedOn w:val="10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9" w:customStyle="1">
    <w:name w:val="清单表 5 深色1"/>
    <w:basedOn w:val="10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1"/>
    <w:basedOn w:val="10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2"/>
    <w:basedOn w:val="10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3"/>
    <w:basedOn w:val="10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4"/>
    <w:basedOn w:val="10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5"/>
    <w:basedOn w:val="10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6"/>
    <w:basedOn w:val="10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清单表 6 彩色1"/>
    <w:basedOn w:val="10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7" w:customStyle="1">
    <w:name w:val="List Table 6 Colorful - Accent 1"/>
    <w:basedOn w:val="104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8" w:customStyle="1">
    <w:name w:val="List Table 6 Colorful - Accent 2"/>
    <w:basedOn w:val="104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9" w:customStyle="1">
    <w:name w:val="List Table 6 Colorful - Accent 3"/>
    <w:basedOn w:val="104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0" w:customStyle="1">
    <w:name w:val="List Table 6 Colorful - Accent 4"/>
    <w:basedOn w:val="104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1" w:customStyle="1">
    <w:name w:val="List Table 6 Colorful - Accent 5"/>
    <w:basedOn w:val="104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2" w:customStyle="1">
    <w:name w:val="List Table 6 Colorful - Accent 6"/>
    <w:basedOn w:val="104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3" w:customStyle="1">
    <w:name w:val="清单表 7 彩色1"/>
    <w:basedOn w:val="10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4" w:customStyle="1">
    <w:name w:val="List Table 7 Colorful - Accent 1"/>
    <w:basedOn w:val="104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5" w:customStyle="1">
    <w:name w:val="List Table 7 Colorful - Accent 2"/>
    <w:basedOn w:val="104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6" w:customStyle="1">
    <w:name w:val="List Table 7 Colorful - Accent 3"/>
    <w:basedOn w:val="104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7" w:customStyle="1">
    <w:name w:val="List Table 7 Colorful - Accent 4"/>
    <w:basedOn w:val="104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8" w:customStyle="1">
    <w:name w:val="List Table 7 Colorful - Accent 5"/>
    <w:basedOn w:val="104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9" w:customStyle="1">
    <w:name w:val="List Table 7 Colorful - Accent 6"/>
    <w:basedOn w:val="104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0" w:customStyle="1">
    <w:name w:val="Lined - Accent"/>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1" w:customStyle="1">
    <w:name w:val="Lined - Accent 1"/>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2" w:customStyle="1">
    <w:name w:val="Lined - Accent 2"/>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3" w:customStyle="1">
    <w:name w:val="Lined - Accent 3"/>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4" w:customStyle="1">
    <w:name w:val="Lined - Accent 4"/>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5" w:customStyle="1">
    <w:name w:val="Lined - Accent 5"/>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6" w:customStyle="1">
    <w:name w:val="Lined - Accent 6"/>
    <w:basedOn w:val="10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7" w:customStyle="1">
    <w:name w:val="Bordered &amp; Lined - Accent"/>
    <w:basedOn w:val="10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Bordered &amp; Lined - Accent 1"/>
    <w:basedOn w:val="10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9" w:customStyle="1">
    <w:name w:val="Bordered &amp; Lined - Accent 2"/>
    <w:basedOn w:val="10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0" w:customStyle="1">
    <w:name w:val="Bordered &amp; Lined - Accent 3"/>
    <w:basedOn w:val="10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1" w:customStyle="1">
    <w:name w:val="Bordered &amp; Lined - Accent 4"/>
    <w:basedOn w:val="10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2" w:customStyle="1">
    <w:name w:val="Bordered &amp; Lined - Accent 5"/>
    <w:basedOn w:val="10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3" w:customStyle="1">
    <w:name w:val="Bordered &amp; Lined - Accent 6"/>
    <w:basedOn w:val="10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4" w:customStyle="1">
    <w:name w:val="Bordered"/>
    <w:basedOn w:val="10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5" w:customStyle="1">
    <w:name w:val="Bordered - Accent 1"/>
    <w:basedOn w:val="10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6" w:customStyle="1">
    <w:name w:val="Bordered - Accent 2"/>
    <w:basedOn w:val="10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7" w:customStyle="1">
    <w:name w:val="Bordered - Accent 3"/>
    <w:basedOn w:val="10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8" w:customStyle="1">
    <w:name w:val="Bordered - Accent 4"/>
    <w:basedOn w:val="10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9" w:customStyle="1">
    <w:name w:val="Bordered - Accent 5"/>
    <w:basedOn w:val="10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0" w:customStyle="1">
    <w:name w:val="Bordered - Accent 6"/>
    <w:basedOn w:val="10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1" w:customStyle="1">
    <w:name w:val="脚注文本 字符"/>
    <w:link w:val="1076"/>
    <w:uiPriority w:val="99"/>
    <w:qFormat/>
    <w:rPr>
      <w:sz w:val="18"/>
    </w:rPr>
  </w:style>
  <w:style w:type="character" w:styleId="1242" w:customStyle="1">
    <w:name w:val="尾注文本 字符"/>
    <w:link w:val="1069"/>
    <w:uiPriority w:val="99"/>
    <w:qFormat/>
    <w:rPr>
      <w:sz w:val="20"/>
    </w:rPr>
  </w:style>
  <w:style w:type="paragraph" w:styleId="1243" w:customStyle="1">
    <w:name w:val="TOC 标题1"/>
    <w:uiPriority w:val="39"/>
    <w:unhideWhenUsed/>
    <w:qFormat/>
    <w:rPr>
      <w:rFonts w:ascii="Times New Roman" w:hAnsi="Times New Roman" w:eastAsia="宋体" w:cs="Times New Roman"/>
      <w:lang w:val="en-US" w:eastAsia="zh-CN" w:bidi="ar-SA"/>
    </w:rPr>
  </w:style>
  <w:style w:type="paragraph" w:styleId="1244" w:customStyle="1">
    <w:name w:val="[Normal]"/>
    <w:uiPriority w:val="99"/>
    <w:qFormat/>
    <w:rPr>
      <w:rFonts w:ascii="方正仿宋简体" w:hAnsi="方正仿宋简体" w:eastAsia="方正仿宋简体" w:cs="Courier New"/>
      <w:sz w:val="24"/>
      <w:szCs w:val="22"/>
      <w:lang w:val="zh-CN" w:eastAsia="zh-CN" w:bidi="ar-SA"/>
    </w:rPr>
  </w:style>
  <w:style w:type="paragraph" w:styleId="1245" w:customStyle="1">
    <w:name w:val="二级条标题"/>
    <w:basedOn w:val="1246"/>
    <w:next w:val="1038"/>
    <w:uiPriority w:val="0"/>
    <w:qFormat/>
    <w:pPr>
      <w:outlineLvl w:val="2"/>
    </w:pPr>
    <w:rPr>
      <w:szCs w:val="24"/>
    </w:rPr>
  </w:style>
  <w:style w:type="paragraph" w:styleId="1246" w:customStyle="1">
    <w:name w:val="一级条标题"/>
    <w:basedOn w:val="1247"/>
    <w:next w:val="1248"/>
    <w:uiPriority w:val="0"/>
    <w:qFormat/>
    <w:pPr>
      <w:outlineLvl w:val="1"/>
    </w:pPr>
    <w:rPr>
      <w:sz w:val="24"/>
    </w:rPr>
  </w:style>
  <w:style w:type="paragraph" w:styleId="1247" w:customStyle="1">
    <w:name w:val="章标题"/>
    <w:basedOn w:val="1038"/>
    <w:next w:val="1038"/>
    <w:uiPriority w:val="0"/>
    <w:qFormat/>
    <w:pPr>
      <w:numPr>
        <w:ilvl w:val="0"/>
        <w:numId w:val="1"/>
      </w:numPr>
      <w:jc w:val="left"/>
      <w:outlineLvl w:val="0"/>
    </w:pPr>
    <w:rPr>
      <w:b/>
      <w:sz w:val="28"/>
      <w:szCs w:val="28"/>
    </w:rPr>
  </w:style>
  <w:style w:type="paragraph" w:styleId="1248" w:customStyle="1">
    <w:name w:val="段"/>
    <w:basedOn w:val="1038"/>
    <w:next w:val="1038"/>
    <w:uiPriority w:val="0"/>
    <w:qFormat/>
    <w:pPr>
      <w:ind w:firstLine="200"/>
      <w:widowControl/>
    </w:pPr>
    <w:rPr>
      <w:rFonts w:hint="eastAsia" w:ascii="宋体"/>
    </w:rPr>
  </w:style>
  <w:style w:type="paragraph" w:styleId="1249" w:customStyle="1">
    <w:name w:val="Char Char Char Char Char Char Char"/>
    <w:basedOn w:val="1038"/>
    <w:uiPriority w:val="0"/>
    <w:qFormat/>
    <w:pPr>
      <w:ind w:left="432" w:hanging="432"/>
      <w:jc w:val="center"/>
      <w:tabs>
        <w:tab w:val="left" w:pos="432" w:leader="none"/>
      </w:tabs>
    </w:pPr>
    <w:rPr>
      <w:rFonts w:ascii="仿宋_GB2312" w:hAnsi="仿宋_GB2312" w:eastAsia="仿宋_GB2312"/>
      <w:sz w:val="24"/>
      <w:szCs w:val="24"/>
    </w:rPr>
  </w:style>
  <w:style w:type="paragraph" w:styleId="1250" w:customStyle="1">
    <w:name w:val="Char Char Char Char Char Char Char1"/>
    <w:basedOn w:val="1038"/>
    <w:uiPriority w:val="0"/>
    <w:qFormat/>
    <w:rPr>
      <w:rFonts w:ascii="Tahoma" w:hAnsi="Tahoma" w:cs="仿宋_GB2312"/>
      <w:sz w:val="24"/>
      <w:szCs w:val="28"/>
    </w:rPr>
  </w:style>
  <w:style w:type="paragraph" w:styleId="1251" w:customStyle="1">
    <w:name w:val="正文文本首行缩进1"/>
    <w:basedOn w:val="1057"/>
    <w:uiPriority w:val="0"/>
    <w:qFormat/>
    <w:pPr>
      <w:ind w:firstLine="420"/>
    </w:pPr>
  </w:style>
  <w:style w:type="paragraph" w:styleId="1252" w:customStyle="1">
    <w:name w:val="表中字"/>
    <w:basedOn w:val="1038"/>
    <w:uiPriority w:val="0"/>
    <w:qFormat/>
    <w:pPr>
      <w:jc w:val="center"/>
    </w:pPr>
    <w:rPr>
      <w:szCs w:val="21"/>
    </w:rPr>
  </w:style>
  <w:style w:type="paragraph" w:styleId="1253" w:customStyle="1">
    <w:name w:val="Char Char"/>
    <w:basedOn w:val="1038"/>
    <w:uiPriority w:val="0"/>
    <w:qFormat/>
    <w:pPr>
      <w:ind w:left="360" w:hanging="360"/>
    </w:pPr>
    <w:rPr>
      <w:sz w:val="24"/>
      <w:szCs w:val="24"/>
    </w:rPr>
  </w:style>
  <w:style w:type="paragraph" w:styleId="1254" w:customStyle="1">
    <w:name w:val="正文1"/>
    <w:basedOn w:val="1038"/>
    <w:uiPriority w:val="0"/>
    <w:qFormat/>
    <w:pPr>
      <w:jc w:val="left"/>
      <w:spacing w:after="200" w:line="300" w:lineRule="atLeast"/>
      <w:widowControl/>
    </w:pPr>
    <w:rPr>
      <w:rFonts w:ascii="Calibri" w:hAnsi="Calibri" w:cs="宋体"/>
      <w:sz w:val="22"/>
      <w:szCs w:val="22"/>
    </w:rPr>
  </w:style>
  <w:style w:type="paragraph" w:styleId="1255" w:customStyle="1">
    <w:name w:val="彩色列表 - 强调文字颜色 11"/>
    <w:basedOn w:val="1038"/>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56" w:customStyle="1">
    <w:name w:val="图片格式"/>
    <w:basedOn w:val="1038"/>
    <w:next w:val="1038"/>
    <w:uiPriority w:val="0"/>
    <w:qFormat/>
    <w:pPr>
      <w:jc w:val="center"/>
      <w:keepNext/>
    </w:pPr>
  </w:style>
  <w:style w:type="paragraph" w:styleId="1257" w:customStyle="1">
    <w:name w:val="列表段落1"/>
    <w:basedOn w:val="1038"/>
    <w:uiPriority w:val="0"/>
    <w:qFormat/>
    <w:pPr>
      <w:ind w:firstLine="200"/>
    </w:pPr>
    <w:rPr>
      <w:rFonts w:ascii="Calibri" w:hAnsi="Calibri"/>
      <w:szCs w:val="22"/>
    </w:rPr>
  </w:style>
  <w:style w:type="paragraph" w:styleId="1258" w:customStyle="1">
    <w:name w:val="简单回函地址"/>
    <w:basedOn w:val="1038"/>
    <w:uiPriority w:val="0"/>
    <w:qFormat/>
    <w:rPr>
      <w:szCs w:val="24"/>
    </w:rPr>
  </w:style>
  <w:style w:type="paragraph" w:styleId="1259" w:customStyle="1">
    <w:name w:val="Table Sub Section"/>
    <w:basedOn w:val="1038"/>
    <w:uiPriority w:val="0"/>
    <w:qFormat/>
    <w:pPr>
      <w:jc w:val="left"/>
      <w:keepNext/>
      <w:spacing w:before="160" w:after="160" w:line="276" w:lineRule="auto"/>
      <w:widowControl/>
    </w:pPr>
    <w:rPr>
      <w:rFonts w:ascii="Arial" w:hAnsi="Arial"/>
      <w:b/>
      <w:color w:val="0f0f0f"/>
      <w:sz w:val="20"/>
      <w:lang w:eastAsia="en-US"/>
    </w:rPr>
  </w:style>
  <w:style w:type="paragraph" w:styleId="1260" w:customStyle="1">
    <w:name w:val="yiv1658056056msonormal"/>
    <w:basedOn w:val="1038"/>
    <w:uiPriority w:val="0"/>
    <w:qFormat/>
    <w:pPr>
      <w:jc w:val="left"/>
      <w:spacing w:before="100" w:beforeAutospacing="1" w:after="100" w:afterAutospacing="1"/>
      <w:widowControl/>
    </w:pPr>
    <w:rPr>
      <w:rFonts w:ascii="宋体" w:cs="宋体"/>
      <w:sz w:val="24"/>
      <w:szCs w:val="24"/>
    </w:rPr>
  </w:style>
  <w:style w:type="paragraph" w:styleId="1261" w:customStyle="1">
    <w:name w:val="样式 首行缩进:  2 字符"/>
    <w:basedOn w:val="1038"/>
    <w:uiPriority w:val="0"/>
    <w:qFormat/>
    <w:pPr>
      <w:ind w:firstLine="200"/>
      <w:spacing w:line="400" w:lineRule="exact"/>
    </w:pPr>
    <w:rPr>
      <w:rFonts w:cs="宋体"/>
      <w:sz w:val="24"/>
      <w:szCs w:val="24"/>
    </w:rPr>
  </w:style>
  <w:style w:type="paragraph" w:styleId="1262" w:customStyle="1">
    <w:name w:val="p0"/>
    <w:basedOn w:val="1038"/>
    <w:uiPriority w:val="0"/>
    <w:qFormat/>
    <w:pPr>
      <w:widowControl/>
    </w:pPr>
    <w:rPr>
      <w:szCs w:val="21"/>
    </w:rPr>
  </w:style>
  <w:style w:type="paragraph" w:styleId="1263" w:customStyle="1">
    <w:name w:val="列表段落2"/>
    <w:basedOn w:val="1038"/>
    <w:uiPriority w:val="0"/>
    <w:qFormat/>
    <w:pPr>
      <w:ind w:firstLine="200"/>
      <w:jc w:val="left"/>
      <w:spacing w:line="300" w:lineRule="auto"/>
    </w:pPr>
    <w:rPr>
      <w:szCs w:val="22"/>
    </w:rPr>
  </w:style>
  <w:style w:type="paragraph" w:styleId="1264" w:customStyle="1">
    <w:name w:val="Char Char Char"/>
    <w:basedOn w:val="1038"/>
    <w:uiPriority w:val="0"/>
    <w:qFormat/>
    <w:pPr>
      <w:jc w:val="center"/>
      <w:spacing w:line="400" w:lineRule="exact"/>
      <w:widowControl/>
    </w:pPr>
    <w:rPr>
      <w:szCs w:val="24"/>
    </w:rPr>
  </w:style>
  <w:style w:type="paragraph" w:styleId="1265" w:customStyle="1">
    <w:name w:val="编号一级列项"/>
    <w:basedOn w:val="1038"/>
    <w:uiPriority w:val="0"/>
    <w:qFormat/>
    <w:pPr>
      <w:numPr>
        <w:ilvl w:val="6"/>
        <w:numId w:val="1"/>
      </w:numPr>
      <w:jc w:val="left"/>
      <w:outlineLvl w:val="6"/>
    </w:pPr>
  </w:style>
  <w:style w:type="paragraph" w:styleId="126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67" w:customStyle="1">
    <w:name w:val="Normal1"/>
    <w:basedOn w:val="1038"/>
    <w:uiPriority w:val="0"/>
    <w:qFormat/>
    <w:pPr>
      <w:jc w:val="left"/>
      <w:spacing w:after="200" w:line="300" w:lineRule="atLeast"/>
      <w:widowControl/>
    </w:pPr>
    <w:rPr>
      <w:rFonts w:ascii="Calibri" w:hAnsi="Calibri" w:cs="宋体"/>
      <w:sz w:val="22"/>
      <w:szCs w:val="22"/>
    </w:rPr>
  </w:style>
  <w:style w:type="paragraph" w:styleId="1268" w:customStyle="1">
    <w:name w:val="标准文本"/>
    <w:basedOn w:val="1038"/>
    <w:uiPriority w:val="0"/>
    <w:qFormat/>
    <w:pPr>
      <w:ind w:firstLine="200"/>
      <w:spacing w:line="300" w:lineRule="auto"/>
    </w:pPr>
    <w:rPr>
      <w:rFonts w:ascii="宋体" w:cs="宋体"/>
      <w:szCs w:val="21"/>
    </w:rPr>
  </w:style>
  <w:style w:type="paragraph" w:styleId="1269" w:customStyle="1">
    <w:name w:val="正文文本首行缩进 21"/>
    <w:basedOn w:val="1038"/>
    <w:uiPriority w:val="0"/>
    <w:qFormat/>
    <w:pPr>
      <w:ind w:firstLine="200"/>
    </w:pPr>
    <w:rPr>
      <w:sz w:val="24"/>
      <w:szCs w:val="24"/>
    </w:rPr>
  </w:style>
  <w:style w:type="paragraph" w:styleId="1270"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271"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272"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273"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274"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275"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276"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277"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278"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279"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280"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281"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282"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283"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284"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285"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286"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287" w:customStyle="1">
    <w:name w:val="列出段落2"/>
    <w:basedOn w:val="1038"/>
    <w:uiPriority w:val="99"/>
    <w:qFormat/>
    <w:pPr>
      <w:ind w:firstLine="420"/>
    </w:pPr>
    <w:rPr>
      <w:rFonts w:ascii="Calibri" w:hAnsi="Calibri"/>
      <w:szCs w:val="22"/>
    </w:rPr>
  </w:style>
  <w:style w:type="paragraph" w:styleId="1288" w:customStyle="1">
    <w:name w:val="表格"/>
    <w:basedOn w:val="1075"/>
    <w:next w:val="1038"/>
    <w:uiPriority w:val="0"/>
    <w:qFormat/>
    <w:pPr>
      <w:jc w:val="left"/>
      <w:spacing w:line="240" w:lineRule="auto"/>
      <w:widowControl/>
      <w:outlineLvl w:val="9"/>
    </w:pPr>
    <w:rPr>
      <w:rFonts w:eastAsia="仿宋"/>
      <w:b w:val="0"/>
      <w:sz w:val="21"/>
    </w:rPr>
  </w:style>
  <w:style w:type="paragraph" w:styleId="1289" w:customStyle="1">
    <w:name w:val="列表段落3"/>
    <w:basedOn w:val="1038"/>
    <w:uiPriority w:val="34"/>
    <w:qFormat/>
    <w:pPr>
      <w:ind w:firstLine="420"/>
    </w:pPr>
    <w:rPr>
      <w:rFonts w:ascii="Calibri" w:hAnsi="Calibri"/>
      <w:szCs w:val="22"/>
    </w:rPr>
  </w:style>
  <w:style w:type="paragraph" w:styleId="1290"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291" w:customStyle="1">
    <w:name w:val="访问过的超链接1"/>
    <w:uiPriority w:val="0"/>
    <w:qFormat/>
    <w:rPr>
      <w:color w:val="000000"/>
      <w:sz w:val="18"/>
      <w:szCs w:val="18"/>
      <w:u w:val="none"/>
    </w:rPr>
  </w:style>
  <w:style w:type="character" w:styleId="1292" w:customStyle="1">
    <w:name w:val="c lh15"/>
    <w:basedOn w:val="1048"/>
    <w:uiPriority w:val="0"/>
    <w:qFormat/>
  </w:style>
  <w:style w:type="character" w:styleId="1293" w:customStyle="1">
    <w:name w:val="style21"/>
    <w:uiPriority w:val="0"/>
    <w:qFormat/>
    <w:rPr>
      <w:sz w:val="18"/>
      <w:szCs w:val="18"/>
    </w:rPr>
  </w:style>
  <w:style w:type="character" w:styleId="1294" w:customStyle="1">
    <w:name w:val="A13"/>
    <w:uiPriority w:val="0"/>
    <w:qFormat/>
    <w:rPr>
      <w:rFonts w:ascii="Univers LT Std 45 Light" w:eastAsia="Univers LT Std 45 Light" w:cs="Univers LT Std 45 Light"/>
      <w:color w:val="221e1f"/>
      <w:sz w:val="10"/>
      <w:szCs w:val="10"/>
    </w:rPr>
  </w:style>
  <w:style w:type="character" w:styleId="1295" w:customStyle="1">
    <w:name w:val="页脚 字符"/>
    <w:uiPriority w:val="0"/>
    <w:qFormat/>
  </w:style>
  <w:style w:type="character" w:styleId="1296" w:customStyle="1">
    <w:name w:val="font21"/>
    <w:uiPriority w:val="0"/>
    <w:qFormat/>
    <w:rPr>
      <w:rFonts w:ascii="宋体" w:eastAsia="宋体" w:cs="宋体"/>
      <w:color w:val="000000"/>
      <w:sz w:val="20"/>
      <w:szCs w:val="20"/>
      <w:u w:val="none"/>
      <w:lang w:bidi="ar-SA"/>
    </w:rPr>
  </w:style>
  <w:style w:type="character" w:styleId="1297" w:customStyle="1">
    <w:name w:val="font31"/>
    <w:uiPriority w:val="0"/>
    <w:qFormat/>
    <w:rPr>
      <w:rFonts w:ascii="宋体" w:eastAsia="宋体" w:cs="宋体"/>
      <w:color w:val="000000"/>
      <w:sz w:val="20"/>
      <w:szCs w:val="20"/>
      <w:u w:val="none"/>
      <w:lang w:bidi="ar-SA"/>
    </w:rPr>
  </w:style>
  <w:style w:type="character" w:styleId="1298" w:customStyle="1">
    <w:name w:val="正文文本缩进 字符"/>
    <w:link w:val="1058"/>
    <w:uiPriority w:val="0"/>
    <w:qFormat/>
    <w:rPr>
      <w:rFonts w:ascii="宋体"/>
      <w:sz w:val="24"/>
    </w:rPr>
  </w:style>
  <w:style w:type="character" w:styleId="1299" w:customStyle="1">
    <w:name w:val="doctitle"/>
    <w:basedOn w:val="1048"/>
    <w:uiPriority w:val="0"/>
    <w:qFormat/>
  </w:style>
  <w:style w:type="character" w:styleId="1300" w:customStyle="1">
    <w:name w:val="批注文字 字符"/>
    <w:link w:val="1056"/>
    <w:uiPriority w:val="0"/>
    <w:qFormat/>
    <w:rPr>
      <w:sz w:val="21"/>
    </w:rPr>
  </w:style>
  <w:style w:type="paragraph" w:styleId="1301">
    <w:name w:val="List Paragraph"/>
    <w:basedOn w:val="1038"/>
    <w:uiPriority w:val="1"/>
    <w:qFormat/>
    <w:pPr>
      <w:ind w:left="598" w:firstLine="420"/>
    </w:pPr>
    <w:rPr>
      <w:rFonts w:ascii="宋体" w:hAnsi="宋体" w:cs="宋体"/>
      <w:lang w:val="zh-CN" w:bidi="zh-CN"/>
    </w:rPr>
  </w:style>
  <w:style w:type="paragraph" w:styleId="1302" w:customStyle="1">
    <w:name w:val="Table Paragraph"/>
    <w:basedOn w:val="1038"/>
    <w:uiPriority w:val="1"/>
    <w:qFormat/>
    <w:rPr>
      <w:rFonts w:ascii="宋体" w:hAnsi="宋体" w:cs="宋体"/>
      <w:lang w:val="zh-CN" w:bidi="zh-CN"/>
    </w:rPr>
  </w:style>
  <w:style w:type="paragraph" w:styleId="1303" w:customStyle="1">
    <w:name w:val="列表段落31"/>
    <w:basedOn w:val="1038"/>
    <w:uiPriority w:val="34"/>
    <w:qFormat/>
    <w:pPr>
      <w:ind w:firstLine="420"/>
    </w:pPr>
    <w:rPr>
      <w:rFonts w:ascii="Calibri" w:hAnsi="Calibri"/>
      <w:szCs w:val="22"/>
    </w:rPr>
  </w:style>
  <w:style w:type="paragraph" w:styleId="1304" w:customStyle="1">
    <w:name w:val="修订1"/>
    <w:hidden/>
    <w:uiPriority w:val="99"/>
    <w:semiHidden/>
    <w:qFormat/>
    <w:rPr>
      <w:rFonts w:ascii="Times New Roman" w:hAnsi="Times New Roman" w:eastAsia="宋体" w:cs="Times New Roman"/>
      <w:sz w:val="21"/>
      <w:lang w:val="en-US" w:eastAsia="zh-CN" w:bidi="ar-SA"/>
    </w:rPr>
  </w:style>
  <w:style w:type="paragraph" w:styleId="1305" w:customStyle="1">
    <w:name w:val="首行缩进"/>
    <w:basedOn w:val="1038"/>
    <w:uiPriority w:val="99"/>
    <w:qFormat/>
    <w:pPr>
      <w:ind w:firstLine="480"/>
    </w:pPr>
    <w:rPr>
      <w:rFonts w:ascii="Calibri" w:hAnsi="Calibri" w:eastAsia="Calibri" w:cs="宋体"/>
      <w:sz w:val="20"/>
      <w:lang w:val="zh-CN"/>
    </w:rPr>
  </w:style>
  <w:style w:type="character" w:styleId="1306" w:customStyle="1">
    <w:name w:val="正文文本首行缩进 2 字符"/>
    <w:basedOn w:val="1298"/>
    <w:link w:val="1087"/>
    <w:uiPriority w:val="0"/>
    <w:qFormat/>
    <w:rPr>
      <w:rFonts w:ascii="宋体"/>
      <w:sz w:val="21"/>
    </w:rPr>
  </w:style>
  <w:style w:type="paragraph" w:styleId="1307" w:customStyle="1">
    <w:name w:val="修订2"/>
    <w:hidden/>
    <w:uiPriority w:val="99"/>
    <w:unhideWhenUsed/>
    <w:qFormat/>
    <w:rPr>
      <w:rFonts w:ascii="Times New Roman" w:hAnsi="Times New Roman" w:eastAsia="宋体" w:cs="Times New Roman"/>
      <w:sz w:val="21"/>
      <w:lang w:val="en-US" w:eastAsia="zh-CN" w:bidi="ar-SA"/>
    </w:rPr>
  </w:style>
  <w:style w:type="paragraph" w:styleId="1308" w:customStyle="1">
    <w:name w:val="Body Text First Indent1"/>
    <w:basedOn w:val="1057"/>
    <w:uiPriority w:val="0"/>
    <w:qFormat/>
    <w:pPr>
      <w:ind w:firstLine="425"/>
    </w:pPr>
  </w:style>
  <w:style w:type="paragraph" w:styleId="130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310" w:customStyle="1">
    <w:name w:val="正文缩进1"/>
    <w:basedOn w:val="1038"/>
    <w:uiPriority w:val="0"/>
    <w:qFormat/>
    <w:pPr>
      <w:ind w:firstLine="420"/>
    </w:pPr>
  </w:style>
  <w:style w:type="paragraph" w:styleId="1311" w:customStyle="1">
    <w:name w:val="列表段落4"/>
    <w:basedOn w:val="1038"/>
    <w:uiPriority w:val="34"/>
    <w:qFormat/>
    <w:pPr>
      <w:contextualSpacing/>
      <w:ind w:left="720"/>
    </w:pPr>
    <w:rPr>
      <w:rFonts w:eastAsia="Arial"/>
      <w:szCs w:val="22"/>
    </w:rPr>
  </w:style>
  <w:style w:type="paragraph" w:styleId="1312" w:customStyle="1">
    <w:name w:val="批注文字1"/>
    <w:basedOn w:val="1038"/>
    <w:uiPriority w:val="99"/>
    <w:unhideWhenUsed/>
    <w:qFormat/>
  </w:style>
  <w:style w:type="paragraph" w:styleId="1313" w:customStyle="1">
    <w:name w:val="正文首行缩进1"/>
    <w:basedOn w:val="1314"/>
    <w:uiPriority w:val="99"/>
    <w:unhideWhenUsed/>
    <w:qFormat/>
    <w:pPr>
      <w:ind w:firstLine="420"/>
    </w:pPr>
    <w:rPr>
      <w:szCs w:val="22"/>
    </w:rPr>
  </w:style>
  <w:style w:type="paragraph" w:styleId="1314" w:customStyle="1">
    <w:name w:val="正文文本1"/>
    <w:basedOn w:val="1038"/>
    <w:next w:val="1246"/>
    <w:uiPriority w:val="1"/>
    <w:qFormat/>
    <w:pPr>
      <w:spacing w:after="120"/>
    </w:pPr>
  </w:style>
  <w:style w:type="paragraph" w:styleId="1315" w:customStyle="1">
    <w:name w:val="普通(网站)1"/>
    <w:basedOn w:val="1038"/>
    <w:uiPriority w:val="99"/>
    <w:qFormat/>
    <w:pPr>
      <w:spacing w:before="100" w:beforeAutospacing="1" w:after="100" w:afterAutospacing="1"/>
      <w:widowControl/>
    </w:pPr>
    <w:rPr>
      <w:sz w:val="24"/>
      <w:szCs w:val="24"/>
    </w:rPr>
  </w:style>
  <w:style w:type="character" w:styleId="1316" w:customStyle="1">
    <w:name w:val="强调1"/>
    <w:uiPriority w:val="20"/>
    <w:qFormat/>
    <w:rPr>
      <w:rFonts w:ascii="Times New Roman" w:hAnsi="Times New Roman" w:eastAsia="宋体" w:cs="Times New Roman"/>
      <w:sz w:val="21"/>
      <w:lang w:val="en-US" w:eastAsia="zh-CN" w:bidi="ar-SA"/>
    </w:rPr>
  </w:style>
  <w:style w:type="character" w:styleId="1317" w:customStyle="1">
    <w:name w:val="正文缩进 字符"/>
    <w:link w:val="1052"/>
    <w:uiPriority w:val="99"/>
    <w:qFormat/>
    <w:rPr>
      <w:b/>
      <w:sz w:val="24"/>
    </w:rPr>
  </w:style>
  <w:style w:type="paragraph" w:styleId="1318" w:customStyle="1">
    <w:name w:val="标题 411"/>
    <w:basedOn w:val="1038"/>
    <w:next w:val="103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319" w:customStyle="1">
    <w:name w:val="修订3"/>
    <w:hidden/>
    <w:uiPriority w:val="99"/>
    <w:unhideWhenUsed/>
    <w:qFormat/>
    <w:rPr>
      <w:rFonts w:ascii="Times New Roman" w:hAnsi="Times New Roman" w:eastAsia="宋体" w:cs="Times New Roman"/>
      <w:sz w:val="21"/>
      <w:lang w:val="en-US" w:eastAsia="zh-CN" w:bidi="ar-SA"/>
    </w:rPr>
  </w:style>
  <w:style w:type="paragraph" w:styleId="1320" w:customStyle="1">
    <w:name w:val="NormalIndent"/>
    <w:basedOn w:val="1038"/>
    <w:uiPriority w:val="0"/>
    <w:qFormat/>
    <w:pPr>
      <w:ind w:firstLine="420"/>
      <w:jc w:val="left"/>
      <w:widowControl/>
    </w:pPr>
    <w:rPr>
      <w:rFonts w:ascii="宋体"/>
      <w:sz w:val="20"/>
    </w:rPr>
  </w:style>
  <w:style w:type="character" w:styleId="1321" w:customStyle="1">
    <w:name w:val="NormalCharacter1"/>
    <w:uiPriority w:val="0"/>
    <w:qFormat/>
    <w:rPr>
      <w:sz w:val="21"/>
      <w:szCs w:val="24"/>
      <w:lang w:val="en-US" w:eastAsia="zh-CN" w:bidi="ar-SA"/>
    </w:rPr>
  </w:style>
  <w:style w:type="character" w:styleId="1322" w:customStyle="1">
    <w:name w:val="日期 字符"/>
    <w:link w:val="1067"/>
    <w:uiPriority w:val="0"/>
    <w:qFormat/>
    <w:rPr>
      <w:rFonts w:ascii="宋体"/>
      <w:sz w:val="21"/>
    </w:rPr>
  </w:style>
  <w:style w:type="paragraph" w:styleId="1323" w:customStyle="1">
    <w:name w:val="修订4"/>
    <w:hidden/>
    <w:uiPriority w:val="99"/>
    <w:unhideWhenUsed/>
    <w:qFormat/>
    <w:rPr>
      <w:rFonts w:ascii="Times New Roman" w:hAnsi="Times New Roman" w:eastAsia="宋体" w:cs="Times New Roman"/>
      <w:sz w:val="21"/>
      <w:lang w:val="en-US" w:eastAsia="zh-CN" w:bidi="ar-SA"/>
    </w:rPr>
  </w:style>
  <w:style w:type="paragraph" w:styleId="1324" w:customStyle="1">
    <w:name w:val="修订5"/>
    <w:hidden/>
    <w:uiPriority w:val="99"/>
    <w:unhideWhenUsed/>
    <w:qFormat/>
    <w:rPr>
      <w:rFonts w:ascii="Times New Roman" w:hAnsi="Times New Roman" w:eastAsia="宋体" w:cs="Times New Roman"/>
      <w:sz w:val="21"/>
      <w:lang w:val="en-US" w:eastAsia="zh-CN" w:bidi="ar-SA"/>
    </w:rPr>
  </w:style>
  <w:style w:type="paragraph" w:styleId="1325" w:customStyle="1">
    <w:name w:val="TOC 标题2"/>
    <w:basedOn w:val="1039"/>
    <w:next w:val="1038"/>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paragraph" w:styleId="1326" w:customStyle="1">
    <w:name w:val="Revision"/>
    <w:hidden/>
    <w:uiPriority w:val="99"/>
    <w:unhideWhenUsed/>
    <w:rPr>
      <w:rFonts w:ascii="Times New Roman" w:hAnsi="Times New Roman" w:eastAsia="宋体" w:cs="Times New Roman"/>
      <w:sz w:val="21"/>
      <w:lang w:val="en-US" w:eastAsia="zh-CN"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76FD31-1C24-4B85-8FF7-310DF5A80C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高婷（江城）</cp:lastModifiedBy>
  <cp:revision>5</cp:revision>
  <dcterms:created xsi:type="dcterms:W3CDTF">2026-10-20T01:40:00Z</dcterms:created>
  <dcterms:modified xsi:type="dcterms:W3CDTF">2026-10-20T07:34:31Z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DCF8D57F27D54DBF83CA12E9368594B4_13</vt:lpwstr>
  </property>
  <property fmtid="{D5CDD505-2E9C-101B-9397-08002B2CF9AE}" pid="4" name="KSOTemplateDocerSaveRecord">
    <vt:lpwstr>eyJoZGlkIjoiMTRjMjIyNDU0NmFmYjE3NjhlZmEzOTc5ZmU3MGIxMmEiLCJ1c2VySWQiOiIxMzQxMTY0NTg2In0=</vt:lpwstr>
  </property>
</Properties>
</file>