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spacing w:line="360" w:lineRule="auto"/>
        <w:rPr>
          <w:rFonts w:hint="eastAsia" w:eastAsia="宋体"/>
          <w:sz w:val="60"/>
          <w:szCs w:val="60"/>
          <w:lang w:eastAsia="zh-CN"/>
        </w:rPr>
      </w:pPr>
      <w:r>
        <w:rPr>
          <w:rFonts w:hint="eastAsia" w:eastAsia="宋体"/>
          <w:sz w:val="60"/>
          <w:szCs w:val="60"/>
          <w:lang w:eastAsia="zh-CN"/>
        </w:rPr>
      </w:r>
      <w:r/>
    </w:p>
    <w:p>
      <w:pPr>
        <w:ind w:firstLine="72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金坛区金城镇2026年度城镇老旧小区改造项目通讯、智能化改造</w:t>
      </w:r>
      <w:r/>
    </w:p>
    <w:p>
      <w:pPr>
        <w:ind w:firstLine="72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项目编号/包号：</w:t>
      </w:r>
      <w:r>
        <w:rPr>
          <w:rFonts w:hint="eastAsia"/>
          <w:bCs/>
          <w:sz w:val="36"/>
          <w:szCs w:val="36"/>
        </w:rPr>
        <w:tab/>
      </w:r>
      <w:r>
        <w:rPr>
          <w:rFonts w:hint="eastAsia"/>
          <w:bCs/>
          <w:sz w:val="36"/>
          <w:szCs w:val="36"/>
        </w:rPr>
        <w:t xml:space="preserve">JSZC-320413031-JTHR-G2026-0001</w:t>
      </w:r>
      <w:r/>
    </w:p>
    <w:p>
      <w:pPr>
        <w:ind w:firstLine="72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常州市金坛区金城镇人民政府</w:t>
      </w:r>
      <w:r/>
    </w:p>
    <w:p>
      <w:pPr>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江苏和润工程项目管理有限公司</w:t>
      </w:r>
      <w:r>
        <w:rPr>
          <w:bCs/>
          <w:sz w:val="36"/>
          <w:szCs w:val="36"/>
        </w:rPr>
        <w:t xml:space="preserve"> </w:t>
      </w:r>
      <w:r/>
    </w:p>
    <w:p>
      <w:pPr>
        <w:jc w:val="left"/>
        <w:widowControl/>
        <w:rPr>
          <w:b/>
          <w:bCs/>
          <w:sz w:val="44"/>
        </w:rPr>
      </w:pPr>
      <w:r>
        <w:rPr>
          <w:b/>
          <w:bCs/>
          <w:sz w:val="44"/>
        </w:rPr>
        <w:br w:type="page" w:clear="all"/>
      </w:r>
      <w:r/>
    </w:p>
    <w:p>
      <w:pPr>
        <w:jc w:val="center"/>
        <w:spacing w:line="360" w:lineRule="auto"/>
        <w:rPr>
          <w:b/>
          <w:sz w:val="36"/>
          <w:szCs w:val="36"/>
        </w:rPr>
        <w:outlineLvl w:val="0"/>
      </w:pPr>
      <w:r/>
      <w:bookmarkStart w:id="0" w:name="_Toc99301418"/>
      <w:r>
        <w:rPr>
          <w:b/>
          <w:sz w:val="36"/>
          <w:szCs w:val="36"/>
        </w:rPr>
        <w:t xml:space="preserve">目      录</w:t>
      </w:r>
      <w:bookmarkEnd w:id="0"/>
      <w:r/>
      <w:r/>
    </w:p>
    <w:p>
      <w:r/>
      <w:r/>
    </w:p>
    <w:p>
      <w:r/>
      <w:r/>
    </w:p>
    <w:p>
      <w:r/>
      <w:r/>
    </w:p>
    <w:p>
      <w:pPr>
        <w:pStyle w:val="936"/>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36"/>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60"/>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p>
    <w:p>
      <w:pPr>
        <w:pStyle w:val="936"/>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6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rPr>
        <w:fldChar w:fldCharType="end"/>
      </w:r>
      <w:r/>
    </w:p>
    <w:p>
      <w:pPr>
        <w:pStyle w:val="936"/>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60"/>
          <w:rFonts w:ascii="Times New Roman" w:hAnsi="Times New Roman"/>
        </w:rPr>
        <w:t xml:space="preserve">第三章   资</w:t>
      </w:r>
      <w:bookmarkStart w:id="1" w:name="_Hlt100754117"/>
      <w:r>
        <w:rPr>
          <w:rStyle w:val="960"/>
          <w:rFonts w:ascii="Times New Roman" w:hAnsi="Times New Roman"/>
        </w:rPr>
        <w:t xml:space="preserve">格</w:t>
      </w:r>
      <w:bookmarkEnd w:id="1"/>
      <w:r>
        <w:rPr>
          <w:rStyle w:val="960"/>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p>
    <w:p>
      <w:pPr>
        <w:pStyle w:val="936"/>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60"/>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936"/>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60"/>
          <w:rFonts w:ascii="Times New Roman" w:hAnsi="Times New Roman"/>
        </w:rPr>
        <w:t xml:space="preserve">第五章   采购</w:t>
      </w:r>
      <w:bookmarkStart w:id="2" w:name="_Hlt100754102"/>
      <w:r/>
      <w:bookmarkStart w:id="3" w:name="_Hlt100754103"/>
      <w:r>
        <w:rPr>
          <w:rStyle w:val="960"/>
          <w:rFonts w:ascii="Times New Roman" w:hAnsi="Times New Roman"/>
        </w:rPr>
        <w:t xml:space="preserve">需</w:t>
      </w:r>
      <w:bookmarkEnd w:id="2"/>
      <w:r/>
      <w:bookmarkEnd w:id="3"/>
      <w:r>
        <w:rPr>
          <w:rStyle w:val="960"/>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p>
    <w:p>
      <w:pPr>
        <w:pStyle w:val="936"/>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60"/>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Fonts w:ascii="Times New Roman" w:hAnsi="Times New Roman"/>
        </w:rPr>
        <w:fldChar w:fldCharType="end"/>
      </w:r>
      <w:r/>
    </w:p>
    <w:p>
      <w:pPr>
        <w:pStyle w:val="936"/>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60"/>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Fonts w:ascii="Times New Roman" w:hAnsi="Times New Roman"/>
        </w:rPr>
        <w:fldChar w:fldCharType="end"/>
      </w:r>
      <w:r/>
    </w:p>
    <w:p>
      <w:pPr>
        <w:pStyle w:val="936"/>
        <w:spacing w:line="360" w:lineRule="auto"/>
        <w:rPr>
          <w:rFonts w:ascii="Times New Roman" w:hAnsi="Times New Roman"/>
          <w:b w:val="0"/>
        </w:rPr>
      </w:pPr>
      <w:r>
        <w:rPr>
          <w:rFonts w:ascii="Times New Roman" w:hAnsi="Times New Roman"/>
          <w:b w:val="0"/>
        </w:rPr>
        <w:fldChar w:fldCharType="end"/>
      </w:r>
      <w:r/>
    </w:p>
    <w:p>
      <w:pPr>
        <w:jc w:val="center"/>
        <w:keepLines w:val="0"/>
        <w:keepNext w:val="0"/>
        <w:pageBreakBefore w:val="0"/>
        <w:spacing w:line="400" w:lineRule="exact"/>
        <w:widowControl w:val="off"/>
        <w:rPr>
          <w:sz w:val="32"/>
          <w:szCs w:val="32"/>
          <w:highlight w:val="none"/>
        </w:rPr>
        <w:outlineLvl w:val="0"/>
      </w:pPr>
      <w:r>
        <w:rPr>
          <w:sz w:val="24"/>
        </w:rPr>
        <w:br w:type="page" w:clear="all"/>
      </w:r>
      <w:bookmarkStart w:id="4" w:name="_Toc99301419"/>
      <w:r>
        <w:rPr>
          <w:b/>
          <w:sz w:val="36"/>
          <w:szCs w:val="36"/>
          <w:highlight w:val="none"/>
        </w:rPr>
        <w:t xml:space="preserve">第一章   投标邀请</w:t>
      </w:r>
      <w:bookmarkEnd w:id="4"/>
      <w:r>
        <w:rPr>
          <w:highlight w:val="none"/>
        </w:rPr>
      </w:r>
      <w:r/>
    </w:p>
    <w:p>
      <w:pPr>
        <w:pStyle w:val="885"/>
        <w:ind w:left="0" w:firstLine="482"/>
        <w:jc w:val="left"/>
        <w:pageBreakBefore w:val="0"/>
        <w:spacing w:before="0" w:line="400" w:lineRule="exact"/>
        <w:rPr>
          <w:rFonts w:hint="eastAsia" w:ascii="宋体" w:hAnsi="宋体" w:eastAsia="宋体" w:cs="宋体"/>
          <w:sz w:val="24"/>
          <w:szCs w:val="24"/>
          <w:highlight w:val="none"/>
        </w:rPr>
      </w:pPr>
      <w:r>
        <w:rPr>
          <w:highlight w:val="none"/>
        </w:rPr>
      </w:r>
      <w:bookmarkStart w:id="5" w:name="_Toc28359002"/>
      <w:r>
        <w:rPr>
          <w:highlight w:val="none"/>
        </w:rPr>
      </w:r>
      <w:bookmarkStart w:id="6" w:name="_Toc35393621"/>
      <w:r>
        <w:rPr>
          <w:highlight w:val="none"/>
        </w:rPr>
      </w:r>
      <w:bookmarkStart w:id="7" w:name="_Toc28359079"/>
      <w:r>
        <w:rPr>
          <w:highlight w:val="none"/>
        </w:rPr>
      </w:r>
      <w:bookmarkStart w:id="8" w:name="_Toc35393790"/>
      <w:r>
        <w:rPr>
          <w:highlight w:val="none"/>
        </w:rPr>
      </w:r>
      <w:bookmarkStart w:id="9" w:name="_Hlk24379207"/>
      <w:r>
        <w:rPr>
          <w:rFonts w:hint="eastAsia" w:ascii="宋体" w:hAnsi="宋体" w:eastAsia="宋体" w:cs="宋体"/>
          <w:sz w:val="24"/>
          <w:szCs w:val="24"/>
          <w:highlight w:val="none"/>
        </w:rPr>
        <w:t xml:space="preserve">一、项目基本情况</w:t>
      </w:r>
      <w:bookmarkEnd w:id="5"/>
      <w:r>
        <w:rPr>
          <w:highlight w:val="none"/>
        </w:rPr>
      </w:r>
      <w:bookmarkEnd w:id="6"/>
      <w:r>
        <w:rPr>
          <w:highlight w:val="none"/>
        </w:rPr>
      </w:r>
      <w:bookmarkEnd w:id="7"/>
      <w:r>
        <w:rPr>
          <w:highlight w:val="none"/>
        </w:rPr>
      </w:r>
      <w:bookmarkEnd w:id="8"/>
      <w:r>
        <w:rPr>
          <w:highlight w:val="none"/>
        </w:rPr>
      </w:r>
      <w:r/>
    </w:p>
    <w:p>
      <w:pPr>
        <w:ind w:left="0" w:firstLine="480"/>
        <w:pageBreakBefore w:val="0"/>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1.项目编号/包号：</w:t>
      </w:r>
      <w:r>
        <w:rPr>
          <w:rFonts w:hint="eastAsia" w:ascii="宋体" w:hAnsi="宋体" w:cs="宋体"/>
          <w:sz w:val="24"/>
          <w:szCs w:val="24"/>
          <w:highlight w:val="none"/>
          <w:u w:val="single"/>
          <w:lang w:eastAsia="zh-CN"/>
        </w:rPr>
        <w:t xml:space="preserve">JSZC-320413031-JTHR-G2026-0001</w:t>
      </w:r>
      <w:r>
        <w:rPr>
          <w:highlight w:val="none"/>
        </w:rPr>
      </w:r>
      <w:r/>
    </w:p>
    <w:p>
      <w:pPr>
        <w:ind w:left="0" w:firstLine="48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sz w:val="24"/>
          <w:szCs w:val="24"/>
          <w:highlight w:val="none"/>
        </w:rPr>
        <w:t xml:space="preserve">2.项目</w:t>
      </w:r>
      <w:r>
        <w:rPr>
          <w:rFonts w:hint="eastAsia" w:ascii="宋体" w:hAnsi="宋体" w:eastAsia="宋体" w:cs="宋体"/>
          <w:color w:val="000000" w:themeColor="text1"/>
          <w:sz w:val="24"/>
          <w:szCs w:val="24"/>
          <w:highlight w:val="none"/>
        </w:rPr>
        <w:t xml:space="preserve">名称：</w:t>
      </w:r>
      <w:r>
        <w:rPr>
          <w:rFonts w:hint="eastAsia" w:ascii="宋体" w:hAnsi="宋体" w:cs="宋体"/>
          <w:color w:val="000000" w:themeColor="text1"/>
          <w:sz w:val="24"/>
          <w:szCs w:val="24"/>
          <w:highlight w:val="none"/>
          <w:u w:val="single"/>
          <w:lang w:eastAsia="zh-CN"/>
        </w:rPr>
        <w:t xml:space="preserve">金坛区金城镇2026年度城镇老旧小区改造项目通讯、智能化改造</w:t>
      </w:r>
      <w:bookmarkEnd w:id="9"/>
      <w:r>
        <w:rPr>
          <w:color w:val="000000" w:themeColor="text1"/>
          <w:highlight w:val="none"/>
        </w:rPr>
      </w:r>
      <w:r>
        <w:rPr>
          <w:color w:val="000000" w:themeColor="text1"/>
        </w:rPr>
      </w:r>
    </w:p>
    <w:p>
      <w:pPr>
        <w:ind w:left="0" w:firstLine="48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3.项目预算金额：</w:t>
      </w:r>
      <w:r>
        <w:rPr>
          <w:rFonts w:hint="eastAsia" w:ascii="宋体" w:hAnsi="宋体" w:cs="宋体"/>
          <w:color w:val="000000" w:themeColor="text1"/>
          <w:sz w:val="24"/>
          <w:szCs w:val="24"/>
          <w:highlight w:val="none"/>
          <w:u w:val="single"/>
          <w:lang w:val="en-US" w:eastAsia="zh-CN"/>
        </w:rPr>
        <w:t xml:space="preserve">320</w:t>
      </w:r>
      <w:r>
        <w:rPr>
          <w:rFonts w:hint="eastAsia" w:ascii="宋体" w:hAnsi="宋体" w:eastAsia="宋体" w:cs="宋体"/>
          <w:color w:val="000000" w:themeColor="text1"/>
          <w:sz w:val="24"/>
          <w:szCs w:val="24"/>
          <w:highlight w:val="none"/>
          <w:u w:val="single"/>
          <w:lang w:val="en-US" w:eastAsia="zh-CN"/>
        </w:rPr>
        <w:t xml:space="preserve">万元</w:t>
      </w:r>
      <w:r>
        <w:rPr>
          <w:color w:val="000000" w:themeColor="text1"/>
          <w:highlight w:val="none"/>
        </w:rPr>
      </w:r>
      <w:r>
        <w:rPr>
          <w:color w:val="000000" w:themeColor="text1"/>
        </w:rPr>
      </w:r>
    </w:p>
    <w:p>
      <w:pPr>
        <w:ind w:left="0" w:firstLine="480"/>
        <w:pageBreakBefore w:val="0"/>
        <w:spacing w:line="400" w:lineRule="exact"/>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rPr>
        <w:t xml:space="preserve">项目最高限价（如有）：</w:t>
      </w:r>
      <w:r>
        <w:rPr>
          <w:rFonts w:hint="eastAsia" w:ascii="宋体" w:hAnsi="宋体" w:cs="宋体"/>
          <w:color w:val="000000" w:themeColor="text1"/>
          <w:sz w:val="24"/>
          <w:szCs w:val="24"/>
          <w:highlight w:val="none"/>
          <w:u w:val="single"/>
          <w:lang w:val="en-US" w:eastAsia="zh-CN"/>
        </w:rPr>
        <w:t xml:space="preserve"> 2101646.06</w:t>
      </w:r>
      <w:r>
        <w:rPr>
          <w:rFonts w:hint="eastAsia" w:ascii="宋体" w:hAnsi="宋体" w:eastAsia="宋体" w:cs="宋体"/>
          <w:color w:val="000000" w:themeColor="text1"/>
          <w:sz w:val="24"/>
          <w:szCs w:val="24"/>
          <w:highlight w:val="none"/>
          <w:u w:val="single"/>
          <w:lang w:val="en-US" w:eastAsia="zh-CN"/>
        </w:rPr>
        <w:t xml:space="preserve">元，</w:t>
      </w:r>
      <w:r>
        <w:rPr>
          <w:rFonts w:hint="eastAsia"/>
          <w:color w:val="000000" w:themeColor="text1"/>
          <w:sz w:val="24"/>
          <w:highlight w:val="none"/>
          <w:u w:val="none"/>
        </w:rPr>
        <w:t xml:space="preserve">投标报价超过最高限价</w:t>
      </w:r>
      <w:r>
        <w:rPr>
          <w:rFonts w:hint="eastAsia" w:ascii="Times New Roman" w:eastAsia="宋体"/>
          <w:color w:val="000000" w:themeColor="text1"/>
          <w:sz w:val="24"/>
          <w:highlight w:val="none"/>
          <w:u w:val="none"/>
          <w:lang w:val="en-US" w:eastAsia="zh-CN"/>
        </w:rPr>
        <w:t xml:space="preserve">和最高限制单价</w:t>
      </w:r>
      <w:r>
        <w:rPr>
          <w:rFonts w:hint="eastAsia"/>
          <w:color w:val="000000" w:themeColor="text1"/>
          <w:sz w:val="24"/>
          <w:highlight w:val="none"/>
          <w:u w:val="none"/>
        </w:rPr>
        <w:t xml:space="preserve">的作无效</w:t>
      </w:r>
      <w:r>
        <w:rPr>
          <w:rFonts w:hint="eastAsia" w:eastAsia="宋体"/>
          <w:color w:val="000000" w:themeColor="text1"/>
          <w:sz w:val="24"/>
          <w:highlight w:val="none"/>
          <w:u w:val="none"/>
          <w:lang w:eastAsia="zh-CN"/>
        </w:rPr>
        <w:t xml:space="preserve">投标</w:t>
      </w:r>
      <w:r>
        <w:rPr>
          <w:rFonts w:hint="eastAsia"/>
          <w:color w:val="000000" w:themeColor="text1"/>
          <w:sz w:val="24"/>
          <w:highlight w:val="none"/>
          <w:u w:val="none"/>
        </w:rPr>
        <w:t xml:space="preserve">文件处理</w:t>
      </w:r>
      <w:r>
        <w:rPr>
          <w:rFonts w:hint="eastAsia" w:ascii="宋体" w:hAnsi="宋体" w:eastAsia="宋体" w:cs="宋体"/>
          <w:color w:val="000000" w:themeColor="text1"/>
          <w:sz w:val="24"/>
          <w:szCs w:val="24"/>
          <w:highlight w:val="none"/>
          <w:u w:val="none"/>
          <w:lang w:eastAsia="zh-CN"/>
        </w:rPr>
        <w:t xml:space="preserve">。</w:t>
      </w:r>
      <w:r>
        <w:rPr>
          <w:color w:val="000000" w:themeColor="text1"/>
          <w:highlight w:val="none"/>
        </w:rPr>
      </w:r>
      <w:r>
        <w:rPr>
          <w:color w:val="000000" w:themeColor="text1"/>
        </w:rPr>
      </w:r>
    </w:p>
    <w:p>
      <w:pPr>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p>
    <w:tbl>
      <w:tblPr>
        <w:tblStyle w:val="708"/>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2665"/>
        <w:gridCol w:w="2274"/>
        <w:gridCol w:w="936"/>
        <w:gridCol w:w="3118"/>
      </w:tblGrid>
      <w:tr>
        <w:trPr>
          <w:trHeight w:val="590"/>
        </w:trPr>
        <w:tc>
          <w:tcPr>
            <w:tcW w:w="375"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p>
        </w:tc>
        <w:tc>
          <w:tcPr>
            <w:tcW w:w="1370"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p>
        </w:tc>
        <w:tc>
          <w:tcPr>
            <w:tcW w:w="1169"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color w:val="000000" w:themeColor="text1"/>
              </w:rPr>
            </w:r>
          </w:p>
          <w:p>
            <w:pPr>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color w:val="000000" w:themeColor="text1"/>
              </w:rPr>
            </w:r>
          </w:p>
        </w:tc>
        <w:tc>
          <w:tcPr>
            <w:tcW w:w="481"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p>
        </w:tc>
        <w:tc>
          <w:tcPr>
            <w:tcW w:w="1603"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p>
        </w:tc>
      </w:tr>
      <w:tr>
        <w:trPr>
          <w:trHeight w:val="900"/>
        </w:trPr>
        <w:tc>
          <w:tcPr>
            <w:tcW w:w="375"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p>
        </w:tc>
        <w:tc>
          <w:tcPr>
            <w:tcW w:w="1370" w:type="dxa"/>
            <w:vAlign w:val="center"/>
            <w:textDirection w:val="lrTb"/>
            <w:noWrap w:val="false"/>
          </w:tcPr>
          <w:p>
            <w:pPr>
              <w:ind w:left="0" w:firstLine="0"/>
              <w:jc w:val="both"/>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lang w:eastAsia="zh-CN"/>
              </w:rPr>
              <w:t xml:space="preserve">金坛区金城镇2026年度城镇老旧小区改造项目通讯、智能化改造</w:t>
            </w:r>
            <w:r>
              <w:rPr>
                <w:color w:val="000000" w:themeColor="text1"/>
              </w:rPr>
            </w:r>
          </w:p>
        </w:tc>
        <w:tc>
          <w:tcPr>
            <w:tcW w:w="1169" w:type="dxa"/>
            <w:vAlign w:val="center"/>
            <w:textDirection w:val="lrTb"/>
            <w:noWrap w:val="false"/>
          </w:tcPr>
          <w:p>
            <w:pPr>
              <w:ind w:left="0" w:firstLine="0"/>
              <w:jc w:val="center"/>
              <w:keepLines w:val="0"/>
              <w:keepNext w:val="0"/>
              <w:pageBreakBefore w:val="0"/>
              <w:spacing w:line="400" w:lineRule="exact"/>
              <w:widowControl w:val="off"/>
              <w:rPr>
                <w:rFonts w:hint="default" w:ascii="宋体" w:hAnsi="宋体" w:eastAsia="宋体" w:cs="宋体"/>
                <w:bCs/>
                <w:color w:val="000000" w:themeColor="text1"/>
                <w:sz w:val="24"/>
                <w:szCs w:val="24"/>
              </w:rPr>
            </w:pPr>
            <w:r>
              <w:rPr>
                <w:rFonts w:hint="eastAsia" w:ascii="宋体" w:hAnsi="宋体" w:cs="宋体"/>
                <w:color w:val="000000" w:themeColor="text1"/>
                <w:sz w:val="24"/>
                <w:szCs w:val="24"/>
                <w:u w:val="none"/>
                <w:lang w:val="en-US" w:eastAsia="zh-CN"/>
              </w:rPr>
              <w:t xml:space="preserve">320</w:t>
            </w:r>
            <w:r>
              <w:rPr>
                <w:color w:val="000000" w:themeColor="text1"/>
              </w:rPr>
            </w:r>
          </w:p>
        </w:tc>
        <w:tc>
          <w:tcPr>
            <w:tcW w:w="481"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color w:val="000000" w:themeColor="text1"/>
              </w:rPr>
            </w:r>
          </w:p>
        </w:tc>
        <w:tc>
          <w:tcPr>
            <w:tcW w:w="1603" w:type="dxa"/>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p>
        </w:tc>
      </w:tr>
    </w:tbl>
    <w:p>
      <w:pPr>
        <w:ind w:left="0" w:firstLine="480"/>
        <w:pageBreakBefore w:val="0"/>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highlight w:val="none"/>
          <w:u w:val="single"/>
          <w:lang w:eastAsia="zh-CN"/>
        </w:rPr>
        <w:t xml:space="preserve">接到采购人入场</w:t>
      </w:r>
      <w:r>
        <w:rPr>
          <w:rFonts w:hint="eastAsia" w:ascii="宋体" w:hAnsi="宋体" w:eastAsia="宋体" w:cs="宋体"/>
          <w:color w:val="000000" w:themeColor="text1"/>
          <w:sz w:val="24"/>
          <w:szCs w:val="24"/>
          <w:highlight w:val="none"/>
          <w:u w:val="single"/>
          <w:lang w:eastAsia="zh-CN"/>
        </w:rPr>
        <w:t xml:space="preserve">通知后</w:t>
      </w:r>
      <w:r>
        <w:rPr>
          <w:rFonts w:hint="eastAsia" w:ascii="宋体" w:hAnsi="宋体" w:cs="宋体"/>
          <w:color w:val="000000" w:themeColor="text1"/>
          <w:sz w:val="24"/>
          <w:szCs w:val="24"/>
          <w:highlight w:val="none"/>
          <w:u w:val="single"/>
          <w:lang w:val="en-US" w:eastAsia="zh-CN"/>
        </w:rPr>
        <w:t xml:space="preserve">100</w:t>
      </w:r>
      <w:r>
        <w:rPr>
          <w:rFonts w:hint="eastAsia" w:ascii="宋体" w:hAnsi="宋体" w:eastAsia="宋体" w:cs="宋体"/>
          <w:color w:val="000000" w:themeColor="text1"/>
          <w:sz w:val="24"/>
          <w:szCs w:val="24"/>
          <w:highlight w:val="none"/>
          <w:u w:val="single"/>
          <w:lang w:eastAsia="zh-CN"/>
        </w:rPr>
        <w:t xml:space="preserve">天内完成本项目的安装调试，验收合格并正常使用。质保期2年。</w:t>
      </w:r>
      <w:r>
        <w:rPr>
          <w:color w:val="000000" w:themeColor="text1"/>
          <w:highlight w:val="none"/>
        </w:rPr>
      </w:r>
      <w:r>
        <w:rPr>
          <w:color w:val="000000" w:themeColor="text1"/>
        </w:rPr>
      </w:r>
    </w:p>
    <w:p>
      <w:pPr>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pStyle w:val="885"/>
        <w:ind w:left="0" w:firstLine="482"/>
        <w:jc w:val="left"/>
        <w:pageBreakBefore w:val="0"/>
        <w:spacing w:before="0" w:line="400" w:lineRule="exact"/>
        <w:rPr>
          <w:rFonts w:hint="eastAsia" w:ascii="宋体" w:hAnsi="宋体" w:eastAsia="宋体" w:cs="宋体"/>
          <w:sz w:val="24"/>
          <w:szCs w:val="24"/>
        </w:rPr>
      </w:pPr>
      <w:r/>
      <w:bookmarkStart w:id="10" w:name="_Toc28359003"/>
      <w:r/>
      <w:bookmarkStart w:id="11" w:name="_Toc28359080"/>
      <w:r/>
      <w:bookmarkStart w:id="12" w:name="_Toc35393791"/>
      <w:r/>
      <w:bookmarkStart w:id="13" w:name="_Toc35393622"/>
      <w:r>
        <w:rPr>
          <w:rFonts w:hint="eastAsia" w:ascii="宋体" w:hAnsi="宋体" w:eastAsia="宋体" w:cs="宋体"/>
          <w:sz w:val="24"/>
          <w:szCs w:val="24"/>
        </w:rPr>
        <w:t xml:space="preserve">二、申请人的资格要求（须同时满足）</w:t>
      </w:r>
      <w:bookmarkEnd w:id="10"/>
      <w:r/>
      <w:bookmarkEnd w:id="11"/>
      <w:r/>
      <w:bookmarkEnd w:id="12"/>
      <w:r/>
      <w:bookmarkEnd w:id="13"/>
      <w:r/>
      <w:r/>
    </w:p>
    <w:p>
      <w:pPr>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400" w:lineRule="exact"/>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2.落实政府采购政策需满足的资格要求：</w:t>
      </w:r>
      <w:r/>
    </w:p>
    <w:p>
      <w:pPr>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p>
    <w:p>
      <w:pPr>
        <w:ind w:left="0" w:firstLine="480"/>
        <w:pageBreakBefore w:val="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p>
    <w:p>
      <w:pPr>
        <w:ind w:left="0" w:firstLine="480"/>
        <w:pageBreakBefore w:val="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eastAsia="zh-CN"/>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p>
    <w:p>
      <w:pPr>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p>
    <w:p>
      <w:pPr>
        <w:ind w:left="0" w:firstLine="480"/>
        <w:pageBreakBefore w:val="0"/>
        <w:spacing w:line="40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p>
    <w:p>
      <w:p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p>
    <w:p>
      <w:p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p>
    <w:p>
      <w:pPr>
        <w:numPr>
          <w:ilvl w:val="0"/>
          <w:numId w:val="0"/>
        </w:numPr>
        <w:ind w:left="0" w:firstLine="480"/>
        <w:pageBreakBefore w:val="0"/>
        <w:spacing w:line="400" w:lineRule="exact"/>
        <w:shd w:val="clear" w:color="auto" w:fill="ffffff"/>
        <w:widowControl/>
        <w:rPr>
          <w:rFonts w:hint="eastAsia" w:ascii="宋体" w:hAnsi="宋体" w:eastAsia="宋体" w:cs="宋体"/>
          <w:color w:val="0000ff"/>
          <w:sz w:val="24"/>
          <w:szCs w:val="24"/>
          <w:highlight w:val="yellow"/>
          <w:lang w:val="en-US" w:eastAsia="zh-CN"/>
        </w:rPr>
      </w:pPr>
      <w:r>
        <w:rPr>
          <w:rFonts w:hint="eastAsia" w:ascii="宋体" w:hAnsi="宋体" w:eastAsia="宋体" w:cs="宋体"/>
          <w:sz w:val="24"/>
          <w:szCs w:val="24"/>
          <w:highlight w:val="none"/>
        </w:rPr>
        <w:t xml:space="preserve">3.3其他特定资格要求：</w:t>
      </w:r>
      <w:r>
        <w:rPr>
          <w:rFonts w:hint="eastAsia" w:ascii="宋体" w:hAnsi="宋体" w:eastAsia="宋体" w:cs="宋体"/>
          <w:sz w:val="24"/>
          <w:szCs w:val="24"/>
          <w:highlight w:val="none"/>
          <w:u w:val="single"/>
          <w:lang w:val="en-US" w:eastAsia="zh-CN"/>
        </w:rPr>
        <w:t xml:space="preserve"> /</w:t>
      </w:r>
      <w:r>
        <w:rPr>
          <w:rFonts w:hint="eastAsia" w:ascii="宋体" w:hAnsi="宋体"/>
          <w:color w:val="0000ff"/>
          <w:sz w:val="24"/>
          <w:u w:val="single"/>
          <w:lang w:eastAsia="zh-CN"/>
        </w:rPr>
        <w:t xml:space="preserve">。</w:t>
      </w:r>
      <w:bookmarkEnd w:id="14"/>
      <w:r/>
      <w:bookmarkEnd w:id="15"/>
      <w:r/>
      <w:r/>
    </w:p>
    <w:p>
      <w:pPr>
        <w:pStyle w:val="885"/>
        <w:ind w:left="0" w:firstLine="482"/>
        <w:jc w:val="left"/>
        <w:pageBreakBefore w:val="0"/>
        <w:spacing w:before="0" w:line="400" w:lineRule="exact"/>
        <w:widowControl/>
        <w:rPr>
          <w:rFonts w:hint="eastAsia" w:ascii="宋体" w:hAnsi="宋体" w:eastAsia="宋体" w:cs="宋体"/>
          <w:sz w:val="24"/>
          <w:szCs w:val="24"/>
        </w:rPr>
      </w:pPr>
      <w:r/>
      <w:bookmarkStart w:id="16" w:name="_Toc35393792"/>
      <w:r/>
      <w:bookmarkStart w:id="17" w:name="_Toc35393623"/>
      <w:r>
        <w:rPr>
          <w:rFonts w:hint="eastAsia" w:ascii="宋体" w:hAnsi="宋体" w:eastAsia="宋体" w:cs="宋体"/>
          <w:sz w:val="24"/>
          <w:szCs w:val="24"/>
        </w:rPr>
        <w:t xml:space="preserve">三、获取招标文件</w:t>
      </w:r>
      <w:bookmarkEnd w:id="16"/>
      <w:r/>
      <w:bookmarkEnd w:id="17"/>
      <w:r/>
      <w:r/>
    </w:p>
    <w:p>
      <w:pPr>
        <w:ind w:left="0" w:firstLine="480"/>
        <w:pageBreakBefore w:val="0"/>
        <w:spacing w:line="40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p>
    <w:p>
      <w:pPr>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p>
    <w:p>
      <w:pPr>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p>
    <w:p>
      <w:pPr>
        <w:ind w:left="0" w:firstLine="480"/>
        <w:pageBreakBefore w:val="0"/>
        <w:spacing w:line="40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p>
    <w:p>
      <w:pPr>
        <w:pStyle w:val="885"/>
        <w:ind w:left="0" w:firstLine="482"/>
        <w:jc w:val="left"/>
        <w:pageBreakBefore w:val="0"/>
        <w:spacing w:before="0" w:line="400" w:lineRule="exact"/>
        <w:widowControl/>
        <w:rPr>
          <w:rFonts w:hint="eastAsia" w:ascii="宋体" w:hAnsi="宋体" w:eastAsia="宋体" w:cs="宋体"/>
          <w:sz w:val="24"/>
          <w:szCs w:val="24"/>
        </w:rPr>
      </w:pPr>
      <w:r/>
      <w:bookmarkStart w:id="18" w:name="_Toc28359082"/>
      <w:r/>
      <w:bookmarkStart w:id="19" w:name="_Toc28359005"/>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
    </w:p>
    <w:p>
      <w:pPr>
        <w:ind w:left="0" w:firstLine="480"/>
        <w:pageBreakBefore w:val="0"/>
        <w:spacing w:line="40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w:t>
      </w:r>
      <w:r>
        <w:rPr>
          <w:rFonts w:hint="eastAsia" w:ascii="宋体" w:hAnsi="宋体" w:eastAsia="宋体" w:cs="宋体"/>
          <w:color w:val="0000ff"/>
          <w:sz w:val="24"/>
          <w:szCs w:val="24"/>
          <w:highlight w:val="yellow"/>
          <w:u w:val="single"/>
          <w:lang w:val="en-US" w:eastAsia="zh-CN" w:bidi="ar"/>
        </w:rPr>
        <w:t xml:space="preserve">1</w:t>
      </w:r>
      <w:r>
        <w:rPr>
          <w:rFonts w:hint="eastAsia" w:ascii="宋体" w:hAnsi="宋体" w:cs="宋体"/>
          <w:color w:val="0000ff"/>
          <w:sz w:val="24"/>
          <w:szCs w:val="24"/>
          <w:highlight w:val="yellow"/>
          <w:u w:val="single"/>
          <w:lang w:val="en-US" w:eastAsia="zh-CN" w:bidi="ar"/>
        </w:rPr>
        <w:t xml:space="preserve">1</w:t>
      </w:r>
      <w:r>
        <w:rPr>
          <w:rFonts w:hint="eastAsia" w:ascii="宋体" w:hAnsi="宋体" w:eastAsia="宋体" w:cs="宋体"/>
          <w:color w:val="0000ff"/>
          <w:sz w:val="24"/>
          <w:szCs w:val="24"/>
          <w:highlight w:val="yellow"/>
          <w:u w:val="single"/>
          <w:lang w:val="en-US" w:eastAsia="zh-CN" w:bidi="ar"/>
        </w:rPr>
        <w:t xml:space="preserve">月</w:t>
      </w:r>
      <w:r>
        <w:rPr>
          <w:rFonts w:hint="eastAsia" w:ascii="宋体" w:hAnsi="宋体" w:cs="宋体"/>
          <w:color w:val="0000ff"/>
          <w:sz w:val="24"/>
          <w:szCs w:val="24"/>
          <w:highlight w:val="yellow"/>
          <w:u w:val="single"/>
          <w:lang w:val="en-US" w:eastAsia="zh-CN" w:bidi="ar"/>
        </w:rPr>
        <w:t xml:space="preserve">23</w:t>
      </w:r>
      <w:r>
        <w:rPr>
          <w:rFonts w:hint="eastAsia" w:ascii="宋体" w:hAnsi="宋体" w:eastAsia="宋体" w:cs="宋体"/>
          <w:color w:val="0000ff"/>
          <w:sz w:val="24"/>
          <w:szCs w:val="24"/>
          <w:highlight w:val="yellow"/>
          <w:u w:val="single"/>
          <w:lang w:bidi="ar"/>
        </w:rPr>
        <w:t xml:space="preserve">日</w:t>
      </w:r>
      <w:r>
        <w:rPr>
          <w:rFonts w:hint="eastAsia" w:ascii="宋体" w:hAnsi="宋体" w:eastAsia="宋体" w:cs="宋体"/>
          <w:color w:val="0000ff"/>
          <w:sz w:val="24"/>
          <w:szCs w:val="24"/>
          <w:highlight w:val="yellow"/>
          <w:u w:val="single"/>
          <w:lang w:val="en-US" w:eastAsia="zh-CN" w:bidi="ar"/>
        </w:rPr>
        <w:t xml:space="preserve">9</w:t>
      </w:r>
      <w:r>
        <w:rPr>
          <w:rFonts w:hint="eastAsia" w:ascii="宋体" w:hAnsi="宋体" w:eastAsia="宋体" w:cs="宋体"/>
          <w:color w:val="0000ff"/>
          <w:sz w:val="24"/>
          <w:szCs w:val="24"/>
          <w:highlight w:val="yellow"/>
          <w:u w:val="single"/>
          <w:lang w:bidi="ar"/>
        </w:rPr>
        <w:t xml:space="preserve">点</w:t>
      </w:r>
      <w:r>
        <w:rPr>
          <w:rFonts w:hint="eastAsia" w:ascii="宋体" w:hAnsi="宋体" w:eastAsia="宋体" w:cs="宋体"/>
          <w:color w:val="0000ff"/>
          <w:sz w:val="24"/>
          <w:szCs w:val="24"/>
          <w:highlight w:val="yellow"/>
          <w:u w:val="single"/>
          <w:lang w:val="en-US" w:eastAsia="zh-CN" w:bidi="ar"/>
        </w:rPr>
        <w:t xml:space="preserve">00</w:t>
      </w:r>
      <w:r>
        <w:rPr>
          <w:rFonts w:hint="eastAsia" w:ascii="宋体" w:hAnsi="宋体" w:eastAsia="宋体" w:cs="宋体"/>
          <w:color w:val="0000ff"/>
          <w:sz w:val="24"/>
          <w:szCs w:val="24"/>
          <w:highlight w:val="yellow"/>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p>
    <w:p>
      <w:pPr>
        <w:pStyle w:val="885"/>
        <w:ind w:left="0" w:firstLine="480"/>
        <w:jc w:val="left"/>
        <w:pageBreakBefore w:val="0"/>
        <w:spacing w:before="0" w:line="40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794"/>
      <w:r/>
      <w:bookmarkStart w:id="23" w:name="_Toc28359007"/>
      <w:r/>
      <w:bookmarkStart w:id="24" w:name="_Toc35393625"/>
      <w:r/>
      <w:bookmarkStart w:id="25" w:name="_Toc2835908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p>
    <w:p>
      <w:pPr>
        <w:pStyle w:val="885"/>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
    </w:p>
    <w:p>
      <w:pPr>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885"/>
        <w:ind w:left="0" w:firstLine="482"/>
        <w:jc w:val="left"/>
        <w:pageBreakBefore w:val="0"/>
        <w:spacing w:before="0" w:line="400" w:lineRule="exact"/>
        <w:rPr>
          <w:rFonts w:hint="eastAsia" w:ascii="宋体" w:hAnsi="宋体" w:eastAsia="宋体" w:cs="宋体"/>
          <w:sz w:val="24"/>
          <w:szCs w:val="24"/>
        </w:rPr>
      </w:pPr>
      <w:r/>
      <w:bookmarkStart w:id="26" w:name="_Toc35393626"/>
      <w:r/>
      <w:bookmarkStart w:id="27" w:name="_Toc35393795"/>
      <w:r>
        <w:rPr>
          <w:rFonts w:hint="eastAsia" w:ascii="宋体" w:hAnsi="宋体" w:eastAsia="宋体" w:cs="宋体"/>
          <w:sz w:val="24"/>
          <w:szCs w:val="24"/>
        </w:rPr>
        <w:t xml:space="preserve">六、其他补充事宜</w:t>
      </w:r>
      <w:bookmarkEnd w:id="26"/>
      <w:r/>
      <w:bookmarkEnd w:id="27"/>
      <w:r/>
      <w:r/>
    </w:p>
    <w:p>
      <w:pPr>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扶持中小企业、监狱企业、残疾人福利企业、本国产品</w:t>
      </w:r>
      <w:r>
        <w:rPr>
          <w:rFonts w:hint="eastAsia" w:ascii="宋体" w:hAnsi="宋体" w:eastAsia="宋体" w:cs="宋体"/>
          <w:sz w:val="24"/>
          <w:szCs w:val="24"/>
          <w:lang w:bidi="ar"/>
        </w:rPr>
        <w:t xml:space="preserve">。</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p>
    <w:p>
      <w:pPr>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85"/>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p>
    <w:p>
      <w:pPr>
        <w:ind w:left="0" w:firstLine="482"/>
        <w:jc w:val="left"/>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1.采购人信息</w:t>
      </w:r>
      <w:r/>
    </w:p>
    <w:p>
      <w:pPr>
        <w:ind w:left="0" w:firstLine="480"/>
        <w:jc w:val="left"/>
        <w:pageBreakBefore w:val="0"/>
        <w:spacing w:line="40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cs="宋体"/>
          <w:sz w:val="24"/>
          <w:szCs w:val="24"/>
          <w:u w:val="single"/>
          <w:lang w:val="zh-TW" w:eastAsia="zh-CN"/>
        </w:rPr>
        <w:t xml:space="preserve">常州市金坛区金城镇人民政府</w:t>
      </w:r>
      <w:r/>
    </w:p>
    <w:p>
      <w:pPr>
        <w:ind w:left="0" w:firstLine="480"/>
        <w:jc w:val="left"/>
        <w:pageBreakBefore w:val="0"/>
        <w:spacing w:line="40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江苏省</w:t>
      </w:r>
      <w:r>
        <w:rPr>
          <w:rFonts w:hint="eastAsia" w:ascii="宋体" w:hAnsi="宋体" w:cs="宋体"/>
          <w:sz w:val="24"/>
          <w:szCs w:val="24"/>
          <w:u w:val="single"/>
          <w:lang w:val="zh-TW" w:eastAsia="zh-CN"/>
        </w:rPr>
        <w:t xml:space="preserve">常州市金坛区江南路99号</w:t>
      </w:r>
      <w:r/>
    </w:p>
    <w:p>
      <w:pPr>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cs="宋体"/>
          <w:sz w:val="24"/>
          <w:szCs w:val="24"/>
          <w:u w:val="single"/>
          <w:lang w:eastAsia="zh-CN"/>
        </w:rPr>
        <w:t xml:space="preserve">0519-82858581</w:t>
      </w:r>
      <w:r/>
    </w:p>
    <w:p>
      <w:pPr>
        <w:ind w:left="0" w:firstLine="482"/>
        <w:jc w:val="left"/>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
    </w:p>
    <w:p>
      <w:pPr>
        <w:ind w:left="0" w:firstLine="480"/>
        <w:jc w:val="left"/>
        <w:pageBreakBefore w:val="0"/>
        <w:spacing w:line="40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cs="宋体"/>
          <w:sz w:val="24"/>
          <w:szCs w:val="24"/>
          <w:u w:val="single"/>
          <w:lang w:eastAsia="zh-CN"/>
        </w:rPr>
        <w:t xml:space="preserve">江苏和润工程项目管理有限公司</w:t>
      </w:r>
      <w:r/>
    </w:p>
    <w:p>
      <w:pPr>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cs="宋体"/>
          <w:sz w:val="24"/>
          <w:szCs w:val="24"/>
          <w:u w:val="single"/>
          <w:lang w:eastAsia="zh-CN"/>
        </w:rPr>
        <w:t xml:space="preserve">江苏省常州市金坛区汇贤中路989号</w:t>
      </w:r>
      <w:r/>
    </w:p>
    <w:p>
      <w:pPr>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cs="宋体"/>
          <w:sz w:val="24"/>
          <w:szCs w:val="24"/>
          <w:u w:val="single"/>
          <w:lang w:val="en-US" w:eastAsia="zh-CN"/>
        </w:rPr>
        <w:t xml:space="preserve">0519-82809789</w:t>
      </w:r>
      <w:r/>
    </w:p>
    <w:p>
      <w:pPr>
        <w:ind w:left="0" w:firstLine="482"/>
        <w:pageBreakBefore w:val="0"/>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
    </w:p>
    <w:p>
      <w:pPr>
        <w:pStyle w:val="923"/>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hAnsi="宋体" w:cs="宋体"/>
          <w:sz w:val="24"/>
          <w:szCs w:val="24"/>
          <w:u w:val="single"/>
          <w:lang w:eastAsia="zh-CN"/>
        </w:rPr>
        <w:t xml:space="preserve">胡女士</w:t>
      </w:r>
      <w:r/>
    </w:p>
    <w:p>
      <w:pPr>
        <w:pStyle w:val="923"/>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hAnsi="宋体" w:cs="宋体"/>
          <w:sz w:val="24"/>
          <w:szCs w:val="24"/>
          <w:u w:val="single"/>
          <w:lang w:val="en-US" w:eastAsia="zh-CN"/>
        </w:rPr>
        <w:t xml:space="preserve">0519-82809789</w:t>
      </w:r>
      <w:r/>
    </w:p>
    <w:p>
      <w:pPr>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127161488"/>
      <w:r/>
      <w:bookmarkStart w:id="33" w:name="_Toc195842950"/>
      <w:r/>
      <w:bookmarkStart w:id="34" w:name="_Toc305158928"/>
      <w:r/>
      <w:bookmarkStart w:id="35" w:name="_Toc150774783"/>
      <w:r/>
      <w:bookmarkStart w:id="36" w:name="_Toc512937850"/>
      <w:r/>
      <w:bookmarkStart w:id="37" w:name="_Toc264969275"/>
      <w:r/>
      <w:bookmarkStart w:id="38" w:name="_Toc265228423"/>
      <w:r/>
      <w:bookmarkStart w:id="39" w:name="_Toc226965856"/>
      <w:r/>
      <w:bookmarkStart w:id="40" w:name="_Toc305158854"/>
      <w:r/>
      <w:bookmarkStart w:id="41" w:name="_Toc353873938"/>
      <w:r/>
      <w:bookmarkStart w:id="42" w:name="_Toc353825548"/>
      <w:r/>
      <w:bookmarkStart w:id="43" w:name="_Toc99301420"/>
      <w:r/>
      <w:bookmarkStart w:id="44" w:name="_Toc127151777"/>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885"/>
        <w:spacing w:before="0" w:line="240" w:lineRule="auto"/>
        <w:tabs>
          <w:tab w:val="center" w:pos="4592" w:leader="none"/>
          <w:tab w:val="left" w:pos="7860" w:leader="none"/>
        </w:tabs>
        <w:rPr>
          <w:b w:val="0"/>
          <w:sz w:val="28"/>
          <w:szCs w:val="28"/>
        </w:rPr>
      </w:pPr>
      <w:r/>
      <w:bookmarkStart w:id="45" w:name="_Toc127151519"/>
      <w:r/>
      <w:bookmarkStart w:id="46" w:name="_Toc164351613"/>
      <w:r/>
      <w:bookmarkStart w:id="47" w:name="_Toc164608633"/>
      <w:r/>
      <w:bookmarkStart w:id="48" w:name="_Toc142311021"/>
      <w:r/>
      <w:bookmarkStart w:id="49" w:name="_Toc127161433"/>
      <w:r/>
      <w:bookmarkStart w:id="50" w:name="_Toc151193689"/>
      <w:r/>
      <w:bookmarkStart w:id="51" w:name="_Toc151193833"/>
      <w:r/>
      <w:bookmarkStart w:id="52" w:name="_Toc127151720"/>
      <w:r/>
      <w:bookmarkStart w:id="53" w:name="_Toc164229214"/>
      <w:r/>
      <w:bookmarkStart w:id="54" w:name="_Toc151193617"/>
      <w:r/>
      <w:bookmarkStart w:id="55" w:name="_Toc520356144"/>
      <w:r/>
      <w:bookmarkStart w:id="56" w:name="_Toc151190146"/>
      <w:r/>
      <w:bookmarkStart w:id="57" w:name="_Toc164608788"/>
      <w:r/>
      <w:bookmarkStart w:id="58" w:name="_Toc226337215"/>
      <w:r/>
      <w:bookmarkStart w:id="59" w:name="_Toc164229360"/>
      <w:r/>
      <w:bookmarkStart w:id="60" w:name="_Toc226965709"/>
      <w:r/>
      <w:bookmarkStart w:id="61" w:name="_Toc151193907"/>
      <w:r/>
      <w:bookmarkStart w:id="62" w:name="_Toc150480757"/>
      <w:r/>
      <w:bookmarkStart w:id="63" w:name="_Toc150774724"/>
      <w:r/>
      <w:bookmarkStart w:id="64" w:name="_Toc150509270"/>
      <w:r/>
      <w:bookmarkStart w:id="65" w:name="_Toc226965792"/>
      <w:r/>
      <w:bookmarkStart w:id="66" w:name="_Toc195842884"/>
      <w:r/>
      <w:bookmarkStart w:id="67" w:name="_Toc150774619"/>
      <w:r/>
      <w:bookmarkStart w:id="68" w:name="_Toc151193761"/>
      <w:r/>
      <w:bookmarkStart w:id="69" w:name="_Toc149720812"/>
      <w:r/>
      <w:bookmarkStart w:id="70" w:name="_Toc226309763"/>
      <w:r>
        <w:rPr>
          <w:rFonts w:ascii="Times New Roman" w:hAnsi="Times New Roman" w:eastAsia="宋体"/>
          <w:sz w:val="28"/>
        </w:rPr>
        <w:t xml:space="preserve">投标人须知资料表</w:t>
      </w:r>
      <w:r/>
    </w:p>
    <w:p>
      <w:pPr>
        <w:ind w:firstLine="480"/>
        <w:spacing w:line="240" w:lineRule="auto"/>
        <w:rPr>
          <w:rFonts w:hint="eastAsia"/>
          <w:sz w:val="24"/>
        </w:rPr>
      </w:pPr>
      <w:r>
        <w:rPr>
          <w:sz w:val="24"/>
        </w:rPr>
        <w:t xml:space="preserve">本表是对投标人须知的具体补充和修改，如有矛盾，均以本资料表为准。</w:t>
      </w:r>
      <w:r/>
    </w:p>
    <w:p>
      <w:pPr>
        <w:ind w:firstLine="480"/>
        <w:spacing w:line="240" w:lineRule="auto"/>
        <w:rPr>
          <w:sz w:val="24"/>
        </w:rPr>
      </w:pPr>
      <w:r>
        <w:rPr>
          <w:sz w:val="24"/>
        </w:rPr>
        <w:t xml:space="preserve">标记</w:t>
      </w:r>
      <w:r>
        <w:rPr>
          <w:color w:val="000000"/>
          <w:sz w:val="24"/>
        </w:rPr>
        <w:t xml:space="preserve">“</w:t>
      </w:r>
      <w:r>
        <w:rPr>
          <w:rFonts w:hint="eastAsia" w:ascii="宋体" w:hAnsi="宋体" w:eastAsia="宋体" w:cs="宋体"/>
          <w:sz w:val="24"/>
          <w:szCs w:val="24"/>
          <w:lang w:eastAsia="zh-CN"/>
        </w:rPr>
        <w:t xml:space="preserve">☑</w:t>
      </w:r>
      <w:r>
        <w:rPr>
          <w:color w:val="000000"/>
          <w:sz w:val="24"/>
        </w:rPr>
        <w:t xml:space="preserve">”</w:t>
      </w:r>
      <w:r>
        <w:rPr>
          <w:sz w:val="24"/>
        </w:rPr>
        <w:t xml:space="preserve">的选项意为适用于本项目，标记“</w:t>
      </w:r>
      <w:r>
        <w:rPr>
          <w:rFonts w:hint="eastAsia" w:ascii="宋体" w:hAnsi="宋体" w:eastAsia="宋体" w:cs="宋体"/>
          <w:sz w:val="24"/>
          <w:szCs w:val="24"/>
          <w:lang w:eastAsia="zh-CN"/>
        </w:rPr>
        <w:t xml:space="preserve">□</w:t>
      </w:r>
      <w:r>
        <w:rPr>
          <w:sz w:val="24"/>
        </w:rPr>
        <w:t xml:space="preserve">”的选项意为不适用于本项目。</w:t>
      </w:r>
      <w:r/>
    </w:p>
    <w:tbl>
      <w:tblPr>
        <w:tblStyle w:val="708"/>
        <w:tblW w:w="9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78"/>
        <w:gridCol w:w="7248"/>
      </w:tblGrid>
      <w:tr>
        <w:trPr>
          <w:jc w:val="center"/>
          <w:trHeight w:val="449"/>
          <w:tblHeader/>
        </w:trPr>
        <w:tc>
          <w:tcPr>
            <w:tcW w:w="910"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sz w:val="24"/>
                <w:szCs w:val="24"/>
              </w:rPr>
              <w:t xml:space="preserve">条款号</w:t>
            </w:r>
            <w:r/>
          </w:p>
        </w:tc>
        <w:tc>
          <w:tcPr>
            <w:tcW w:w="1678"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条目</w:t>
            </w:r>
            <w:r/>
          </w:p>
        </w:tc>
        <w:tc>
          <w:tcPr>
            <w:tcW w:w="7248"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526"/>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w:t>
            </w:r>
            <w:r/>
          </w:p>
        </w:tc>
      </w:tr>
      <w:tr>
        <w:trPr>
          <w:jc w:val="center"/>
          <w:trHeight w:val="436"/>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tc>
      </w:tr>
      <w:tr>
        <w:trPr>
          <w:jc w:val="center"/>
          <w:trHeight w:val="511"/>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关于核心产品本项目</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包不适用。</w:t>
            </w:r>
            <w:r/>
          </w:p>
        </w:tc>
      </w:tr>
      <w:tr>
        <w:trPr>
          <w:jc w:val="center"/>
          <w:trHeight w:val="860"/>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cs="宋体"/>
                <w:sz w:val="24"/>
                <w:szCs w:val="24"/>
                <w:u w:val="single"/>
                <w:lang w:val="en-US" w:eastAsia="zh-CN"/>
              </w:rPr>
              <w:t xml:space="preserve">  </w:t>
            </w:r>
            <w:r>
              <w:rPr>
                <w:rFonts w:hint="eastAsia" w:ascii="宋体" w:hAnsi="宋体" w:cs="宋体"/>
                <w:b/>
                <w:bCs/>
                <w:color w:val="0000ff"/>
                <w:sz w:val="24"/>
                <w:szCs w:val="24"/>
                <w:highlight w:val="yellow"/>
                <w:u w:val="single"/>
                <w:lang w:val="en-US" w:eastAsia="zh-CN"/>
              </w:rPr>
              <w:t xml:space="preserve">20</w:t>
            </w:r>
            <w:r>
              <w:rPr>
                <w:rFonts w:hint="eastAsia" w:ascii="宋体" w:hAnsi="宋体" w:eastAsia="宋体" w:cs="宋体"/>
                <w:b/>
                <w:bCs/>
                <w:color w:val="0000ff"/>
                <w:sz w:val="24"/>
                <w:szCs w:val="24"/>
                <w:highlight w:val="yellow"/>
                <w:u w:val="single"/>
              </w:rPr>
              <w:t xml:space="preserve">%</w:t>
            </w:r>
            <w:r>
              <w:rPr>
                <w:rFonts w:hint="eastAsia" w:ascii="宋体" w:hAnsi="宋体" w:cs="宋体"/>
                <w:b/>
                <w:bCs/>
                <w:color w:val="0000ff"/>
                <w:sz w:val="24"/>
                <w:szCs w:val="24"/>
                <w:highlight w:val="yellow"/>
                <w:u w:val="single"/>
                <w:lang w:val="en-US" w:eastAsia="zh-CN"/>
              </w:rPr>
              <w:t xml:space="preserve">  </w:t>
            </w:r>
            <w:r>
              <w:rPr>
                <w:rFonts w:hint="eastAsia" w:ascii="宋体" w:hAnsi="宋体" w:eastAsia="宋体" w:cs="宋体"/>
                <w:sz w:val="24"/>
                <w:szCs w:val="24"/>
              </w:rPr>
              <w:t xml:space="preserve">的扣除，用扣除后的价格参与评审。</w:t>
            </w:r>
            <w:r/>
          </w:p>
        </w:tc>
      </w:tr>
      <w:tr>
        <w:trPr>
          <w:jc w:val="center"/>
          <w:trHeight w:val="481"/>
        </w:trPr>
        <w:tc>
          <w:tcPr>
            <w:tcW w:w="910" w:type="dxa"/>
            <w:vAlign w:val="center"/>
            <w:vMerge w:val="restart"/>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不组织</w:t>
            </w:r>
            <w:r/>
          </w:p>
        </w:tc>
      </w:tr>
      <w:tr>
        <w:trPr>
          <w:jc w:val="center"/>
          <w:trHeight w:val="496"/>
        </w:trPr>
        <w:tc>
          <w:tcPr>
            <w:tcW w:w="910" w:type="dxa"/>
            <w:vAlign w:val="center"/>
            <w:vMerge w:val="continue"/>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p>
        </w:tc>
      </w:tr>
      <w:tr>
        <w:trPr>
          <w:jc w:val="center"/>
          <w:trHeight w:val="471"/>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p>
        </w:tc>
      </w:tr>
      <w:tr>
        <w:trPr>
          <w:jc w:val="center"/>
          <w:trHeight w:val="90"/>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7248" w:type="dxa"/>
            <w:vAlign w:val="center"/>
            <w:textDirection w:val="lrTb"/>
            <w:noWrap w:val="false"/>
          </w:tcPr>
          <w:p>
            <w:pPr>
              <w:jc w:val="left"/>
              <w:keepLines w:val="0"/>
              <w:keepNext w:val="0"/>
              <w:pageBreakBefore w:val="0"/>
              <w:spacing w:line="400" w:lineRule="exact"/>
              <w:rPr>
                <w:rFonts w:ascii="宋体" w:hAnsi="宋体" w:eastAsia="宋体" w:cs="宋体"/>
                <w:sz w:val="24"/>
                <w:szCs w:val="24"/>
                <w:lang w:val="en-US"/>
              </w:rPr>
            </w:pPr>
            <w:r>
              <w:rPr>
                <w:rFonts w:hint="eastAsia" w:ascii="宋体" w:hAnsi="宋体" w:eastAsia="宋体" w:cs="宋体"/>
                <w:sz w:val="24"/>
                <w:szCs w:val="24"/>
                <w:lang w:val="en-US" w:eastAsia="zh-CN"/>
              </w:rPr>
              <w:t xml:space="preserve">详见“采购需求”</w:t>
            </w:r>
            <w:r/>
          </w:p>
        </w:tc>
      </w:tr>
      <w:tr>
        <w:trPr>
          <w:jc w:val="center"/>
          <w:trHeight w:val="912"/>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是否需要通过系统上传演示视频</w:t>
            </w:r>
            <w:r/>
          </w:p>
        </w:tc>
        <w:tc>
          <w:tcPr>
            <w:tcW w:w="7248" w:type="dxa"/>
            <w:vAlign w:val="center"/>
            <w:textDirection w:val="lrTb"/>
            <w:noWrap w:val="false"/>
          </w:tcPr>
          <w:p>
            <w:pPr>
              <w:jc w:val="left"/>
              <w:keepLines w:val="0"/>
              <w:keepNext w:val="0"/>
              <w:pageBreakBefore w:val="0"/>
              <w:spacing w:after="0" w:line="400" w:lineRule="exact"/>
              <w:rPr>
                <w:rFonts w:hint="eastAsia" w:ascii="宋体" w:hAnsi="宋体" w:eastAsia="宋体" w:cs="宋体"/>
                <w:b/>
                <w:color w:val="000000"/>
                <w:sz w:val="24"/>
                <w:szCs w:val="24"/>
                <w:highlight w:val="none"/>
                <w:lang w:val="zh-TW" w:eastAsia="zh-CN" w:bidi="ar-SA"/>
              </w:rPr>
            </w:pPr>
            <w:r>
              <w:rPr>
                <w:rFonts w:hint="eastAsia" w:ascii="宋体" w:hAnsi="宋体" w:eastAsia="宋体" w:cs="宋体"/>
                <w:b/>
                <w:color w:val="000000"/>
                <w:sz w:val="24"/>
                <w:szCs w:val="24"/>
                <w:highlight w:val="none"/>
                <w:lang w:val="zh-TW" w:eastAsia="zh-CN" w:bidi="ar-SA"/>
              </w:rPr>
              <w:t xml:space="preserve">☑否</w:t>
            </w:r>
            <w:r/>
          </w:p>
        </w:tc>
      </w:tr>
      <w:tr>
        <w:trPr>
          <w:jc w:val="center"/>
          <w:trHeight w:val="545"/>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p>
        </w:tc>
      </w:tr>
      <w:tr>
        <w:trPr>
          <w:jc w:val="center"/>
          <w:trHeight w:val="430"/>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p>
        </w:tc>
      </w:tr>
      <w:tr>
        <w:trPr>
          <w:jc w:val="center"/>
          <w:trHeight w:val="430"/>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履约保证金</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sz w:val="24"/>
              </w:rPr>
              <w:t xml:space="preserve">本项目履约保证金为合同价的</w:t>
            </w:r>
            <w:r>
              <w:rPr>
                <w:rFonts w:hint="eastAsia"/>
                <w:sz w:val="24"/>
                <w:u w:val="single"/>
              </w:rPr>
              <w:t xml:space="preserve"> 5%</w:t>
            </w:r>
            <w:r>
              <w:rPr>
                <w:rFonts w:hint="eastAsia"/>
                <w:sz w:val="24"/>
              </w:rPr>
              <w:t xml:space="preserve">（中标供应商自主选择以支票、汇票、本票、保函等非现金形式缴纳或递交），采购人将在终验完毕后返还乙方履约保证金。</w:t>
            </w:r>
            <w:r/>
          </w:p>
        </w:tc>
      </w:tr>
      <w:tr>
        <w:trPr>
          <w:jc w:val="center"/>
          <w:trHeight w:val="545"/>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sz w:val="24"/>
                <w:szCs w:val="24"/>
                <w:u w:val="single"/>
                <w:lang w:val="en-US" w:eastAsia="zh-CN"/>
              </w:rPr>
              <w:t xml:space="preserve">120</w:t>
            </w:r>
            <w:r>
              <w:rPr>
                <w:rFonts w:hint="eastAsia" w:ascii="宋体" w:hAnsi="宋体" w:eastAsia="宋体" w:cs="宋体"/>
                <w:sz w:val="24"/>
                <w:szCs w:val="24"/>
              </w:rPr>
              <w:t xml:space="preserve">日历天。</w:t>
            </w:r>
            <w:r/>
          </w:p>
        </w:tc>
      </w:tr>
      <w:tr>
        <w:trPr>
          <w:jc w:val="center"/>
          <w:trHeight w:val="545"/>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份数</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p>
        </w:tc>
      </w:tr>
      <w:tr>
        <w:trPr>
          <w:jc w:val="center"/>
          <w:trHeight w:val="545"/>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14</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p>
        </w:tc>
      </w:tr>
      <w:tr>
        <w:trPr>
          <w:jc w:val="center"/>
          <w:trHeight w:val="545"/>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p>
        </w:tc>
      </w:tr>
      <w:tr>
        <w:trPr>
          <w:jc w:val="center"/>
          <w:trHeight w:val="2012"/>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p>
        </w:tc>
        <w:tc>
          <w:tcPr>
            <w:tcW w:w="7248"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w:t>
            </w:r>
            <w:r>
              <w:rPr>
                <w:rFonts w:hint="eastAsia" w:ascii="宋体" w:hAnsi="宋体" w:eastAsia="宋体" w:cs="宋体"/>
                <w:color w:val="000000" w:themeColor="text1"/>
                <w:sz w:val="24"/>
                <w:szCs w:val="24"/>
                <w:highlight w:val="none"/>
                <w:lang w:val="en-US" w:eastAsia="zh-CN" w:bidi="ar-SA"/>
              </w:rPr>
              <w:t xml:space="preserve">项目的投标人对招标文件如有疑问，可于</w:t>
            </w:r>
            <w:r>
              <w:rPr>
                <w:rFonts w:hint="eastAsia" w:ascii="宋体" w:hAnsi="宋体" w:eastAsia="宋体" w:cs="宋体"/>
                <w:color w:val="000000" w:themeColor="text1"/>
                <w:sz w:val="24"/>
                <w:szCs w:val="24"/>
                <w:highlight w:val="none"/>
                <w:u w:val="single"/>
                <w:lang w:val="en-US" w:eastAsia="zh-CN" w:bidi="ar-SA"/>
              </w:rPr>
              <w:t xml:space="preserve">2026</w:t>
            </w:r>
            <w:r>
              <w:rPr>
                <w:rFonts w:hint="eastAsia" w:ascii="宋体" w:hAnsi="宋体" w:eastAsia="宋体" w:cs="宋体"/>
                <w:color w:val="000000" w:themeColor="text1"/>
                <w:sz w:val="24"/>
                <w:szCs w:val="24"/>
                <w:highlight w:val="none"/>
                <w:u w:val="single"/>
                <w:lang w:val="en-US" w:eastAsia="zh-CN" w:bidi="ar-SA"/>
              </w:rPr>
              <w:t xml:space="preserve">年</w:t>
            </w:r>
            <w:r>
              <w:rPr>
                <w:rFonts w:hint="eastAsia" w:ascii="宋体" w:hAnsi="宋体" w:cs="宋体"/>
                <w:color w:val="000000" w:themeColor="text1"/>
                <w:sz w:val="24"/>
                <w:szCs w:val="24"/>
                <w:highlight w:val="none"/>
                <w:u w:val="single"/>
                <w:lang w:val="en-US" w:eastAsia="zh-CN" w:bidi="ar-SA"/>
              </w:rPr>
              <w:t xml:space="preserve">11</w:t>
            </w:r>
            <w:r>
              <w:rPr>
                <w:rFonts w:hint="eastAsia" w:ascii="宋体" w:hAnsi="宋体" w:eastAsia="宋体" w:cs="宋体"/>
                <w:color w:val="000000" w:themeColor="text1"/>
                <w:sz w:val="24"/>
                <w:szCs w:val="24"/>
                <w:highlight w:val="none"/>
                <w:u w:val="single"/>
                <w:lang w:val="en-US" w:eastAsia="zh-CN" w:bidi="ar-SA"/>
              </w:rPr>
              <w:t xml:space="preserve">月</w:t>
            </w:r>
            <w:r>
              <w:rPr>
                <w:rFonts w:hint="eastAsia" w:ascii="宋体" w:hAnsi="宋体" w:cs="宋体"/>
                <w:color w:val="000000" w:themeColor="text1"/>
                <w:sz w:val="24"/>
                <w:szCs w:val="24"/>
                <w:highlight w:val="none"/>
                <w:u w:val="single"/>
                <w:lang w:val="en-US" w:eastAsia="zh-CN" w:bidi="ar-SA"/>
              </w:rPr>
              <w:t xml:space="preserve">4</w:t>
            </w:r>
            <w:r>
              <w:rPr>
                <w:rFonts w:hint="eastAsia" w:ascii="宋体" w:hAnsi="宋体" w:eastAsia="宋体" w:cs="宋体"/>
                <w:color w:val="000000" w:themeColor="text1"/>
                <w:sz w:val="24"/>
                <w:szCs w:val="24"/>
                <w:highlight w:val="none"/>
                <w:lang w:val="en-US" w:eastAsia="zh-CN" w:bidi="ar-SA"/>
              </w:rPr>
              <w:fldChar w:fldCharType="begin"/>
            </w:r>
            <w:r>
              <w:rPr>
                <w:rFonts w:hint="eastAsia" w:ascii="宋体" w:hAnsi="宋体" w:eastAsia="宋体" w:cs="宋体"/>
                <w:color w:val="000000" w:themeColor="text1"/>
                <w:sz w:val="24"/>
                <w:szCs w:val="24"/>
                <w:highlight w:val="none"/>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color w:val="000000" w:themeColor="text1"/>
                <w:sz w:val="24"/>
                <w:szCs w:val="24"/>
                <w:highlight w:val="none"/>
                <w:lang w:val="en-US" w:eastAsia="zh-CN" w:bidi="ar-SA"/>
              </w:rPr>
              <w:fldChar w:fldCharType="separate"/>
            </w:r>
            <w:r>
              <w:rPr>
                <w:rFonts w:hint="eastAsia" w:ascii="宋体" w:hAnsi="宋体" w:eastAsia="宋体" w:cs="宋体"/>
                <w:color w:val="000000" w:themeColor="text1"/>
                <w:sz w:val="24"/>
                <w:szCs w:val="24"/>
                <w:highlight w:val="none"/>
                <w:u w:val="single"/>
                <w:lang w:val="en-US" w:eastAsia="zh-CN" w:bidi="ar-SA"/>
              </w:rPr>
              <w:t xml:space="preserve">日17时00</w:t>
            </w:r>
            <w:r>
              <w:rPr>
                <w:rFonts w:hint="eastAsia" w:ascii="宋体" w:hAnsi="宋体" w:eastAsia="宋体" w:cs="宋体"/>
                <w:color w:val="000000" w:themeColor="text1"/>
                <w:sz w:val="24"/>
                <w:szCs w:val="24"/>
                <w:highlight w:val="none"/>
                <w:u w:val="single"/>
                <w:lang w:val="en-US" w:eastAsia="zh-CN" w:bidi="ar-SA"/>
              </w:rPr>
              <w:t xml:space="preserve">分前</w:t>
            </w:r>
            <w:r>
              <w:rPr>
                <w:rFonts w:hint="eastAsia" w:ascii="宋体" w:hAnsi="宋体" w:eastAsia="宋体" w:cs="宋体"/>
                <w:color w:val="000000" w:themeColor="text1"/>
                <w:sz w:val="24"/>
                <w:szCs w:val="24"/>
                <w:highlight w:val="none"/>
                <w:lang w:val="en-US" w:eastAsia="zh-CN" w:bidi="ar-SA"/>
              </w:rPr>
              <w:t xml:space="preserve">将相关疑问发送至邮箱（</w:t>
            </w:r>
            <w:r>
              <w:rPr>
                <w:rFonts w:hint="eastAsia" w:ascii="宋体" w:hAnsi="宋体" w:cs="宋体"/>
                <w:color w:val="000000" w:themeColor="text1"/>
                <w:sz w:val="24"/>
                <w:szCs w:val="24"/>
                <w:highlight w:val="none"/>
                <w:lang w:val="en-US" w:eastAsia="zh-CN" w:bidi="ar-SA"/>
              </w:rPr>
              <w:t xml:space="preserve">478104987</w:t>
            </w:r>
            <w:r>
              <w:rPr>
                <w:rFonts w:hint="eastAsia" w:ascii="宋体" w:hAnsi="宋体" w:eastAsia="宋体" w:cs="宋体"/>
                <w:color w:val="000000" w:themeColor="text1"/>
                <w:sz w:val="24"/>
                <w:szCs w:val="24"/>
                <w:highlight w:val="none"/>
                <w:lang w:val="en-US" w:eastAsia="zh-CN" w:bidi="ar-SA"/>
              </w:rPr>
              <w:t xml:space="preserve">@qq.com）进行咨询并电话确认（0519-82809789），如口头可解释的问题亦可电话咨询采购人。</w:t>
            </w:r>
            <w:r>
              <w:rPr>
                <w:rFonts w:hint="eastAsia" w:ascii="宋体" w:hAnsi="宋体" w:eastAsia="宋体" w:cs="宋体"/>
                <w:color w:val="000000" w:themeColor="text1"/>
                <w:sz w:val="24"/>
                <w:szCs w:val="24"/>
                <w:highlight w:val="none"/>
                <w:lang w:val="en-US" w:eastAsia="zh-CN" w:bidi="ar-SA"/>
              </w:rPr>
              <w:fldChar w:fldCharType="end"/>
            </w:r>
            <w:r/>
          </w:p>
          <w:p>
            <w:pPr>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未提出疑问将被视为完全认同招标文件，逾期将不接受其对采购文件的相关异议。如有变更，更正公告将在常州市政府采购网公布。</w:t>
            </w:r>
            <w:r/>
          </w:p>
        </w:tc>
      </w:tr>
      <w:tr>
        <w:trPr>
          <w:jc w:val="center"/>
          <w:trHeight w:val="775"/>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16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p>
        </w:tc>
        <w:tc>
          <w:tcPr>
            <w:tcW w:w="724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p>
        </w:tc>
      </w:tr>
      <w:tr>
        <w:trPr>
          <w:jc w:val="center"/>
          <w:trHeight w:val="1655"/>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cs="宋体"/>
                <w:sz w:val="24"/>
                <w:szCs w:val="24"/>
                <w:u w:val="single"/>
                <w:lang w:eastAsia="zh-CN"/>
              </w:rPr>
              <w:t xml:space="preserve">江苏和润工程项目管理有限公司、常州市金坛区金城镇人民政府</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82809789、</w:t>
            </w:r>
            <w:r>
              <w:rPr>
                <w:rFonts w:hint="eastAsia" w:ascii="宋体" w:hAnsi="宋体" w:cs="宋体"/>
                <w:sz w:val="24"/>
                <w:szCs w:val="24"/>
                <w:u w:val="single"/>
                <w:lang w:eastAsia="zh-CN"/>
              </w:rPr>
              <w:t xml:space="preserve">0519-82858581</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cs="宋体"/>
                <w:sz w:val="24"/>
                <w:szCs w:val="24"/>
                <w:u w:val="single"/>
                <w:lang w:eastAsia="zh-CN"/>
              </w:rPr>
              <w:t xml:space="preserve">江苏省常州市金坛区汇贤中路989号</w:t>
            </w:r>
            <w:r>
              <w:rPr>
                <w:rFonts w:hint="eastAsia" w:ascii="宋体" w:hAnsi="宋体" w:cs="宋体"/>
                <w:sz w:val="24"/>
                <w:szCs w:val="24"/>
                <w:u w:val="single"/>
                <w:lang w:eastAsia="zh-CN"/>
              </w:rPr>
              <w:t xml:space="preserve">、</w:t>
            </w:r>
            <w:r>
              <w:rPr>
                <w:rFonts w:hint="eastAsia" w:ascii="宋体" w:hAnsi="宋体" w:cs="宋体"/>
                <w:sz w:val="24"/>
                <w:szCs w:val="24"/>
                <w:u w:val="single"/>
                <w:lang w:eastAsia="zh-CN"/>
              </w:rPr>
              <w:t xml:space="preserve">常州市金坛区江南路99号</w:t>
            </w:r>
            <w:r>
              <w:rPr>
                <w:rFonts w:hint="eastAsia" w:ascii="宋体" w:hAnsi="宋体" w:eastAsia="宋体" w:cs="宋体"/>
                <w:sz w:val="24"/>
                <w:szCs w:val="24"/>
                <w:u w:val="single"/>
              </w:rPr>
              <w:t xml:space="preserve">。</w:t>
            </w:r>
            <w:r/>
          </w:p>
        </w:tc>
      </w:tr>
      <w:tr>
        <w:trPr>
          <w:jc w:val="center"/>
          <w:trHeight w:val="1826"/>
        </w:trPr>
        <w:tc>
          <w:tcPr>
            <w:tcW w:w="910"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p>
        </w:tc>
        <w:tc>
          <w:tcPr>
            <w:tcW w:w="167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收</w:t>
            </w:r>
            <w:r>
              <w:rPr>
                <w:rFonts w:hint="eastAsia" w:ascii="宋体" w:hAnsi="宋体" w:eastAsia="宋体" w:cs="宋体"/>
                <w:sz w:val="24"/>
                <w:szCs w:val="24"/>
                <w:highlight w:val="none"/>
              </w:rPr>
              <w:t xml:space="preserve">费对象：</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val="en-US" w:eastAsia="zh-CN"/>
              </w:rPr>
              <w:t xml:space="preserve">    </w:t>
            </w: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lang w:eastAsia="zh-CN"/>
              </w:rPr>
              <w:t xml:space="preserve">中标人</w:t>
            </w:r>
            <w:r/>
          </w:p>
          <w:p>
            <w:pPr>
              <w:jc w:val="both"/>
              <w:keepLines w:val="0"/>
              <w:keepNext w:val="0"/>
              <w:pageBreakBefore w:val="0"/>
              <w:spacing w:line="40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收费标准：</w:t>
            </w:r>
            <w:r>
              <w:rPr>
                <w:rFonts w:hint="eastAsia" w:ascii="宋体" w:hAnsi="宋体" w:cs="宋体"/>
                <w:sz w:val="24"/>
                <w:szCs w:val="24"/>
                <w:highlight w:val="none"/>
                <w:u w:val="single"/>
                <w:lang w:val="en-US" w:eastAsia="zh-CN"/>
              </w:rPr>
              <w:t xml:space="preserve">按人民币6651元计取</w:t>
            </w:r>
            <w:r>
              <w:rPr>
                <w:rFonts w:hint="eastAsia" w:ascii="宋体" w:hAnsi="宋体" w:eastAsia="宋体" w:cs="宋体"/>
                <w:sz w:val="24"/>
                <w:szCs w:val="24"/>
                <w:highlight w:val="none"/>
                <w:u w:val="single"/>
              </w:rPr>
              <w:t xml:space="preserve">；</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u w:val="single"/>
                <w:lang w:val="en-US" w:eastAsia="zh-CN"/>
              </w:rPr>
              <w:t xml:space="preserve">由中标人在领取中标通知书</w:t>
            </w:r>
            <w:r>
              <w:rPr>
                <w:rFonts w:hint="eastAsia" w:ascii="宋体" w:hAnsi="宋体" w:eastAsia="宋体" w:cs="宋体"/>
                <w:sz w:val="24"/>
                <w:szCs w:val="24"/>
                <w:u w:val="single"/>
                <w:lang w:val="en-US" w:eastAsia="zh-CN"/>
              </w:rPr>
              <w:t xml:space="preserve">时支付代理费，请投标单位综合考虑在报价中</w:t>
            </w:r>
            <w:r>
              <w:rPr>
                <w:rFonts w:hint="eastAsia" w:ascii="宋体" w:hAnsi="宋体" w:eastAsia="宋体" w:cs="宋体"/>
                <w:sz w:val="24"/>
                <w:szCs w:val="24"/>
                <w:u w:val="none"/>
              </w:rPr>
              <w:t xml:space="preserve">。</w:t>
            </w:r>
            <w:r/>
          </w:p>
        </w:tc>
      </w:tr>
    </w:tbl>
    <w:p>
      <w:pPr>
        <w:jc w:val="center"/>
        <w:pageBreakBefore w:val="0"/>
        <w:spacing w:before="240" w:after="240" w:line="380" w:lineRule="exact"/>
        <w:widowControl w:val="off"/>
        <w:rPr>
          <w:b/>
          <w:sz w:val="28"/>
          <w:szCs w:val="28"/>
        </w:rPr>
      </w:pPr>
      <w:r>
        <w:br w:type="page" w:clear="all"/>
      </w:r>
      <w:bookmarkStart w:id="71" w:name="_Toc150774722"/>
      <w:r/>
      <w:bookmarkStart w:id="72" w:name="_Toc265228355"/>
      <w:r/>
      <w:bookmarkStart w:id="73" w:name="_Toc150480755"/>
      <w:r/>
      <w:bookmarkStart w:id="74" w:name="_Toc305158785"/>
      <w:r/>
      <w:bookmarkStart w:id="75" w:name="_Toc353873662"/>
      <w:r/>
      <w:bookmarkStart w:id="76" w:name="_Toc226337213"/>
      <w:r/>
      <w:bookmarkStart w:id="77" w:name="_Toc127151517"/>
      <w:r/>
      <w:bookmarkStart w:id="78" w:name="_Toc353825542"/>
      <w:r/>
      <w:bookmarkStart w:id="79" w:name="_Toc305158859"/>
      <w:r/>
      <w:bookmarkStart w:id="80" w:name="_Toc226965790"/>
      <w:r/>
      <w:bookmarkStart w:id="81" w:name="_Toc353873932"/>
      <w:r/>
      <w:bookmarkStart w:id="82" w:name="_Toc195842882"/>
      <w:r/>
      <w:bookmarkStart w:id="83" w:name="_Toc142311019"/>
      <w:r/>
      <w:bookmarkStart w:id="84" w:name="_Toc264969207"/>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885"/>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226965708"/>
      <w:r/>
      <w:bookmarkStart w:id="88" w:name="_Toc305158860"/>
      <w:r/>
      <w:bookmarkStart w:id="89" w:name="_Toc264969208"/>
      <w:r/>
      <w:bookmarkStart w:id="90" w:name="_Toc226309762"/>
      <w:r/>
      <w:bookmarkStart w:id="91" w:name="_Toc305158786"/>
      <w:r/>
      <w:bookmarkStart w:id="92" w:name="_Toc151193688"/>
      <w:r/>
      <w:bookmarkStart w:id="93" w:name="_Toc151190145"/>
      <w:r/>
      <w:bookmarkStart w:id="94" w:name="_Toc150480756"/>
      <w:r/>
      <w:bookmarkStart w:id="95" w:name="_Toc142311020"/>
      <w:r/>
      <w:bookmarkStart w:id="96" w:name="_Toc150774723"/>
      <w:r/>
      <w:bookmarkStart w:id="97" w:name="_Toc151193906"/>
      <w:r/>
      <w:bookmarkStart w:id="98" w:name="_Toc195842883"/>
      <w:r/>
      <w:bookmarkStart w:id="99" w:name="_Toc151193832"/>
      <w:r/>
      <w:bookmarkStart w:id="100" w:name="_Toc150509269"/>
      <w:r/>
      <w:bookmarkStart w:id="101" w:name="_Toc226965791"/>
      <w:r/>
      <w:bookmarkStart w:id="102" w:name="_Toc265228356"/>
      <w:r/>
      <w:bookmarkStart w:id="103" w:name="_Toc226337214"/>
      <w:r/>
      <w:bookmarkStart w:id="104" w:name="_Toc151193616"/>
      <w:r/>
      <w:bookmarkStart w:id="105" w:name="_Toc151193760"/>
      <w:r/>
      <w:bookmarkStart w:id="106" w:name="_Toc150774618"/>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p>
    <w:p>
      <w:pPr>
        <w:numPr>
          <w:ilvl w:val="0"/>
          <w:numId w:val="8"/>
        </w:numPr>
        <w:ind w:left="357" w:hanging="357"/>
        <w:pageBreakBefore w:val="0"/>
        <w:spacing w:line="380" w:lineRule="exact"/>
        <w:widowControl w:val="off"/>
        <w:tabs>
          <w:tab w:val="left" w:pos="360" w:leader="none"/>
        </w:tabs>
        <w:rPr>
          <w:sz w:val="24"/>
        </w:rPr>
        <w:outlineLvl w:val="1"/>
      </w:pPr>
      <w:r/>
      <w:bookmarkStart w:id="107" w:name="_Toc305158787"/>
      <w:r/>
      <w:bookmarkStart w:id="108" w:name="_Toc264969209"/>
      <w:r/>
      <w:bookmarkStart w:id="109" w:name="_Toc305158861"/>
      <w:r/>
      <w:bookmarkStart w:id="110" w:name="_Toc265228357"/>
      <w:r>
        <w:rPr>
          <w:sz w:val="24"/>
        </w:rPr>
        <w:t xml:space="preserve">采购人、采购代理机构、投标人</w:t>
      </w:r>
      <w:bookmarkEnd w:id="107"/>
      <w:r/>
      <w:bookmarkEnd w:id="108"/>
      <w:r/>
      <w:bookmarkEnd w:id="109"/>
      <w:r/>
      <w:bookmarkEnd w:id="110"/>
      <w:r>
        <w:rPr>
          <w:rFonts w:hint="eastAsia"/>
          <w:sz w:val="24"/>
        </w:rPr>
        <w:t xml:space="preserve">、联合体</w:t>
      </w:r>
      <w:r/>
    </w:p>
    <w:p>
      <w:pPr>
        <w:numPr>
          <w:ilvl w:val="1"/>
          <w:numId w:val="8"/>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pageBreakBefore w:val="0"/>
        <w:spacing w:line="380" w:lineRule="exact"/>
        <w:widowControl w:val="off"/>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pageBreakBefore w:val="0"/>
        <w:spacing w:line="380" w:lineRule="exact"/>
        <w:widowControl w:val="off"/>
        <w:tabs>
          <w:tab w:val="left" w:pos="360" w:leader="none"/>
        </w:tabs>
        <w:rPr>
          <w:sz w:val="24"/>
        </w:rPr>
        <w:outlineLvl w:val="1"/>
      </w:pPr>
      <w:r/>
      <w:bookmarkStart w:id="111" w:name="_Toc142311022"/>
      <w:r/>
      <w:bookmarkStart w:id="112" w:name="_Toc226965793"/>
      <w:r/>
      <w:bookmarkStart w:id="113" w:name="_Toc305158788"/>
      <w:r/>
      <w:bookmarkStart w:id="114" w:name="_Toc151193908"/>
      <w:r/>
      <w:bookmarkStart w:id="115" w:name="_Toc164229361"/>
      <w:r/>
      <w:bookmarkStart w:id="116" w:name="_Toc264969210"/>
      <w:r/>
      <w:bookmarkStart w:id="117" w:name="_Toc226337216"/>
      <w:r/>
      <w:bookmarkStart w:id="118" w:name="_Toc226965710"/>
      <w:r/>
      <w:bookmarkStart w:id="119" w:name="_Toc151193762"/>
      <w:r/>
      <w:bookmarkStart w:id="120" w:name="_Toc164229215"/>
      <w:r/>
      <w:bookmarkStart w:id="121" w:name="_Toc150774620"/>
      <w:r/>
      <w:bookmarkStart w:id="122" w:name="_Toc164608634"/>
      <w:r/>
      <w:bookmarkStart w:id="123" w:name="_Toc305158862"/>
      <w:r/>
      <w:bookmarkStart w:id="124" w:name="_Toc265228358"/>
      <w:r/>
      <w:bookmarkStart w:id="125" w:name="_Toc164608789"/>
      <w:r/>
      <w:bookmarkStart w:id="126" w:name="_Toc195842885"/>
      <w:r/>
      <w:bookmarkStart w:id="127" w:name="_Toc150774725"/>
      <w:r/>
      <w:bookmarkStart w:id="128" w:name="_Toc226309764"/>
      <w:r/>
      <w:bookmarkStart w:id="129" w:name="_Toc150509271"/>
      <w:r/>
      <w:bookmarkStart w:id="130" w:name="_Toc151193618"/>
      <w:r/>
      <w:bookmarkStart w:id="131" w:name="_Toc149720813"/>
      <w:r/>
      <w:bookmarkStart w:id="132" w:name="_Toc164351614"/>
      <w:r/>
      <w:bookmarkStart w:id="133" w:name="_Toc150480758"/>
      <w:r/>
      <w:bookmarkStart w:id="134" w:name="_Toc127151721"/>
      <w:r/>
      <w:bookmarkStart w:id="135" w:name="_Toc151193834"/>
      <w:r/>
      <w:bookmarkStart w:id="136" w:name="_Toc127151520"/>
      <w:r/>
      <w:bookmarkStart w:id="137" w:name="_Toc151193690"/>
      <w:r/>
      <w:bookmarkStart w:id="138" w:name="_Toc127161434"/>
      <w:r/>
      <w:bookmarkStart w:id="139" w:name="_Toc151190147"/>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项目属性见《投标人须知资料表》。</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现场考察、开标前答疑会</w:t>
      </w:r>
      <w:r/>
    </w:p>
    <w:p>
      <w:pPr>
        <w:numPr>
          <w:ilvl w:val="1"/>
          <w:numId w:val="8"/>
        </w:numPr>
        <w:ind w:left="1080" w:hanging="720"/>
        <w:pageBreakBefore w:val="0"/>
        <w:spacing w:line="380" w:lineRule="exact"/>
        <w:widowControl w:val="off"/>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226965712"/>
      <w:r/>
      <w:bookmarkStart w:id="141" w:name="_Toc142311024"/>
      <w:r/>
      <w:bookmarkStart w:id="142" w:name="_Toc265228360"/>
      <w:r/>
      <w:bookmarkStart w:id="143" w:name="_Toc226337218"/>
      <w:r/>
      <w:bookmarkStart w:id="144" w:name="_Toc264969212"/>
      <w:r/>
      <w:bookmarkStart w:id="145" w:name="_Toc151193836"/>
      <w:r/>
      <w:bookmarkStart w:id="146" w:name="_Toc151193620"/>
      <w:r/>
      <w:bookmarkStart w:id="147" w:name="_Toc151190149"/>
      <w:r/>
      <w:bookmarkStart w:id="148" w:name="_Toc195842887"/>
      <w:r/>
      <w:bookmarkStart w:id="149" w:name="_Toc151193692"/>
      <w:r/>
      <w:bookmarkStart w:id="150" w:name="_Toc226309766"/>
      <w:r/>
      <w:bookmarkStart w:id="151" w:name="_Toc151193764"/>
      <w:r/>
      <w:bookmarkStart w:id="152" w:name="_Toc150480760"/>
      <w:r/>
      <w:bookmarkStart w:id="153" w:name="_Toc226965795"/>
      <w:r/>
      <w:bookmarkStart w:id="154" w:name="_Toc150774622"/>
      <w:r/>
      <w:bookmarkStart w:id="155" w:name="_Toc305158790"/>
      <w:r/>
      <w:bookmarkStart w:id="156" w:name="_Toc150509273"/>
      <w:r/>
      <w:bookmarkStart w:id="157" w:name="_Toc305158864"/>
      <w:r/>
      <w:bookmarkStart w:id="158" w:name="_Toc127151522"/>
      <w:r/>
      <w:bookmarkStart w:id="159" w:name="_Toc151193910"/>
      <w:r/>
      <w:bookmarkStart w:id="160" w:name="_Toc520356146"/>
      <w:r/>
      <w:bookmarkStart w:id="161" w:name="_Toc150774727"/>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样品</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进口产品</w:t>
      </w:r>
      <w:r/>
    </w:p>
    <w:p>
      <w:pPr>
        <w:numPr>
          <w:ilvl w:val="2"/>
          <w:numId w:val="8"/>
        </w:numPr>
        <w:pageBreakBefore w:val="0"/>
        <w:spacing w:line="380" w:lineRule="exact"/>
        <w:widowControl w:val="off"/>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中小企业、监狱企业及残疾人福利性单位</w:t>
      </w:r>
      <w:r/>
    </w:p>
    <w:p>
      <w:pPr>
        <w:numPr>
          <w:ilvl w:val="2"/>
          <w:numId w:val="8"/>
        </w:numPr>
        <w:pageBreakBefore w:val="0"/>
        <w:spacing w:line="380" w:lineRule="exact"/>
        <w:widowControl w:val="off"/>
        <w:rPr>
          <w:sz w:val="24"/>
        </w:rPr>
      </w:pPr>
      <w:r>
        <w:rPr>
          <w:sz w:val="24"/>
        </w:rPr>
        <w:t xml:space="preserve">中小企业定义：</w:t>
      </w:r>
      <w:r/>
    </w:p>
    <w:p>
      <w:pPr>
        <w:pStyle w:val="981"/>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1"/>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            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            5.2.1.2供应商提供的货物、工程或者服务符合下列情形的，享受中小企业扶持政策：</w:t>
      </w:r>
      <w:r/>
    </w:p>
    <w:p>
      <w:pPr>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p>
    <w:p>
      <w:pPr>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           5.2.1.3在货物采购项目中，供应商提供的货物既有中小企业制造货物，也有大型企业制造货物的，不享受中小企业扶持政策。</w:t>
      </w:r>
      <w:r/>
    </w:p>
    <w:p>
      <w:pPr>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           5.2.1.4以联合体形式参加政府采购活动，联合体各方均为中小企业的，联合体视同中小企业。其中，联合体各方均为小微企业的，联合体视同小微企业。</w:t>
      </w:r>
      <w:r/>
    </w:p>
    <w:p>
      <w:pPr>
        <w:numPr>
          <w:ilvl w:val="2"/>
          <w:numId w:val="8"/>
        </w:numPr>
        <w:pageBreakBefore w:val="0"/>
        <w:spacing w:line="380" w:lineRule="exact"/>
        <w:widowControl w:val="off"/>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pageBreakBefore w:val="0"/>
        <w:spacing w:line="380" w:lineRule="exact"/>
        <w:widowControl w:val="off"/>
        <w:rPr>
          <w:sz w:val="24"/>
        </w:rPr>
      </w:pPr>
      <w:r>
        <w:rPr>
          <w:sz w:val="24"/>
        </w:rPr>
        <w:t xml:space="preserve">残疾人福利单位定义：享受政府采购支持政策的残疾人福利性单位应当同时满足以下条件：</w:t>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                5.2.3.1安置的残疾人占本单位在职职工人数的比例不低于25%（含25%），并且安置的残疾人人数不少于10 人（含10 人）；</w:t>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                5.2.3.2依法与安置的每位残疾人签订了一年以上（含一年）的劳动合同或服务协议；</w:t>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                5.2.3.3为安置的每位残疾人按月足额缴纳了基本养老保险、基本医疗保险、失业保险、工伤保险和生育保险等社会保险费；</w:t>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                5.2.3.4通过银行等金融机构向安置的每位残疾人，按月支付了不低于单位所在区县适用的经省级人民政府批准的月最低工资标准的工资；</w:t>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                5.2.3.5提供本单位制造的货物、承担的工程或者服务（以下简称产品），或者提供其他残疾人福利性单位制造的货物（不包括使用非残疾人福利性单位注册商标的货物）；</w:t>
      </w:r>
      <w:r/>
    </w:p>
    <w:p>
      <w:pPr>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                  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pageBreakBefore w:val="0"/>
        <w:spacing w:line="380" w:lineRule="exact"/>
        <w:widowControl w:val="off"/>
        <w:rPr>
          <w:sz w:val="24"/>
        </w:rPr>
      </w:pPr>
      <w:r>
        <w:rPr>
          <w:sz w:val="24"/>
        </w:rPr>
        <w:t xml:space="preserve">本项目是否专门面向中小企业预留采购份额见第一章《投标邀请》。</w:t>
      </w:r>
      <w:r/>
    </w:p>
    <w:p>
      <w:pPr>
        <w:numPr>
          <w:ilvl w:val="2"/>
          <w:numId w:val="8"/>
        </w:numPr>
        <w:pageBreakBefore w:val="0"/>
        <w:spacing w:line="380" w:lineRule="exact"/>
        <w:widowControl w:val="off"/>
        <w:rPr>
          <w:sz w:val="24"/>
        </w:rPr>
      </w:pPr>
      <w:r>
        <w:rPr>
          <w:sz w:val="24"/>
        </w:rPr>
        <w:t xml:space="preserve">采购标的对应的中小企业划分标准所属行业见《投标人须知资料表》。</w:t>
      </w:r>
      <w:r/>
    </w:p>
    <w:p>
      <w:pPr>
        <w:numPr>
          <w:ilvl w:val="2"/>
          <w:numId w:val="8"/>
        </w:numPr>
        <w:pageBreakBefore w:val="0"/>
        <w:spacing w:line="380" w:lineRule="exact"/>
        <w:widowControl w:val="off"/>
        <w:rPr>
          <w:sz w:val="24"/>
        </w:rPr>
      </w:pPr>
      <w:r>
        <w:rPr>
          <w:sz w:val="24"/>
        </w:rPr>
        <w:t xml:space="preserve">小微企业价格评审优惠的政策调整：见第四章《评标方法和评标标准》。</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政府采购节能产品、环境标志产品</w:t>
      </w:r>
      <w:r/>
    </w:p>
    <w:p>
      <w:pPr>
        <w:numPr>
          <w:ilvl w:val="2"/>
          <w:numId w:val="8"/>
        </w:numPr>
        <w:pageBreakBefore w:val="0"/>
        <w:spacing w:line="380" w:lineRule="exact"/>
        <w:widowControl w:val="off"/>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pageBreakBefore w:val="0"/>
        <w:spacing w:line="380" w:lineRule="exact"/>
        <w:widowControl w:val="off"/>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pageBreakBefore w:val="0"/>
        <w:spacing w:line="380" w:lineRule="exact"/>
        <w:widowControl w:val="off"/>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pageBreakBefore w:val="0"/>
        <w:spacing w:line="380" w:lineRule="exact"/>
        <w:widowControl w:val="off"/>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pageBreakBefore w:val="0"/>
        <w:spacing w:line="380" w:lineRule="exact"/>
        <w:widowControl w:val="off"/>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支持乡村产业振兴管理</w:t>
      </w:r>
      <w:r/>
    </w:p>
    <w:p>
      <w:pPr>
        <w:numPr>
          <w:ilvl w:val="2"/>
          <w:numId w:val="8"/>
        </w:numPr>
        <w:pageBreakBefore w:val="0"/>
        <w:spacing w:line="380" w:lineRule="exact"/>
        <w:widowControl w:val="off"/>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正版软件</w:t>
      </w:r>
      <w:r/>
    </w:p>
    <w:p>
      <w:pPr>
        <w:numPr>
          <w:ilvl w:val="2"/>
          <w:numId w:val="8"/>
        </w:numPr>
        <w:pageBreakBefore w:val="0"/>
        <w:spacing w:line="380" w:lineRule="exact"/>
        <w:widowControl w:val="off"/>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pageBreakBefore w:val="0"/>
        <w:spacing w:line="380" w:lineRule="exact"/>
        <w:widowControl w:val="off"/>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pageBreakBefore w:val="0"/>
        <w:spacing w:line="380" w:lineRule="exact"/>
        <w:widowControl w:val="off"/>
        <w:tabs>
          <w:tab w:val="left" w:pos="1080" w:leader="none"/>
          <w:tab w:val="left" w:pos="2014" w:leader="none"/>
        </w:tabs>
        <w:rPr>
          <w:rFonts w:hint="eastAsia"/>
          <w:sz w:val="24"/>
        </w:rPr>
      </w:pPr>
      <w:r>
        <w:rPr>
          <w:rFonts w:hint="eastAsia"/>
          <w:sz w:val="24"/>
        </w:rPr>
        <w:t xml:space="preserve">政府采购创新产品政策</w:t>
      </w:r>
      <w:r/>
    </w:p>
    <w:p>
      <w:pPr>
        <w:numPr>
          <w:ilvl w:val="2"/>
          <w:numId w:val="8"/>
        </w:numPr>
        <w:pageBreakBefore w:val="0"/>
        <w:spacing w:line="380" w:lineRule="exact"/>
        <w:widowControl w:val="off"/>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pageBreakBefore w:val="0"/>
        <w:spacing w:line="380" w:lineRule="exact"/>
        <w:widowControl w:val="off"/>
        <w:rPr>
          <w:sz w:val="24"/>
        </w:rPr>
      </w:pPr>
      <w:r>
        <w:rPr>
          <w:rFonts w:hint="eastAsia"/>
          <w:sz w:val="24"/>
        </w:rPr>
        <w:t xml:space="preserve"> 5.8     绿色采购政策</w:t>
      </w:r>
      <w:r/>
    </w:p>
    <w:p>
      <w:pPr>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p>
    <w:p>
      <w:pPr>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p>
    <w:p>
      <w:pPr>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p>
    <w:p>
      <w:pPr>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p>
    <w:p>
      <w:pPr>
        <w:ind w:left="1197" w:firstLine="0"/>
        <w:pageBreakBefore w:val="0"/>
        <w:spacing w:line="380" w:lineRule="exact"/>
        <w:widowControl w:val="off"/>
        <w:rPr>
          <w:rFonts w:ascii="宋体" w:hAnsi="宋体"/>
          <w:sz w:val="24"/>
        </w:rPr>
      </w:pPr>
      <w:r>
        <w:rPr>
          <w:rFonts w:hint="eastAsia" w:ascii="宋体" w:hAnsi="宋体" w:eastAsia="宋体" w:cs="Times New Roman"/>
          <w:sz w:val="24"/>
          <w:lang w:val="en-US" w:eastAsia="zh-CN"/>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投标费用</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pageBreakBefore w:val="0"/>
        <w:spacing w:line="380" w:lineRule="exact"/>
        <w:widowControl w:val="off"/>
        <w:tabs>
          <w:tab w:val="left" w:pos="1080" w:leader="none"/>
        </w:tabs>
        <w:rPr>
          <w:sz w:val="28"/>
        </w:rPr>
      </w:pPr>
      <w:r/>
      <w:bookmarkStart w:id="162" w:name="_1.8_计量单位"/>
      <w:r/>
      <w:bookmarkEnd w:id="162"/>
      <w:r/>
      <w:r/>
    </w:p>
    <w:p>
      <w:pPr>
        <w:pStyle w:val="885"/>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8"/>
        </w:numPr>
        <w:ind w:left="357" w:hanging="357"/>
        <w:pageBreakBefore w:val="0"/>
        <w:spacing w:line="380" w:lineRule="exact"/>
        <w:widowControl w:val="off"/>
        <w:tabs>
          <w:tab w:val="left" w:pos="360" w:leader="none"/>
        </w:tabs>
        <w:rPr>
          <w:sz w:val="24"/>
        </w:rPr>
        <w:outlineLvl w:val="1"/>
      </w:pPr>
      <w:r/>
      <w:bookmarkStart w:id="163" w:name="_Toc151190150"/>
      <w:r/>
      <w:bookmarkStart w:id="164" w:name="_Toc151193837"/>
      <w:r/>
      <w:bookmarkStart w:id="165" w:name="_Toc142311025"/>
      <w:r/>
      <w:bookmarkStart w:id="166" w:name="_Toc151193765"/>
      <w:r/>
      <w:bookmarkStart w:id="167" w:name="_Toc149720816"/>
      <w:r/>
      <w:bookmarkStart w:id="168" w:name="_Toc164229218"/>
      <w:r/>
      <w:bookmarkStart w:id="169" w:name="_Toc127151724"/>
      <w:r/>
      <w:bookmarkStart w:id="170" w:name="_Toc150774623"/>
      <w:r/>
      <w:bookmarkStart w:id="171" w:name="_Toc226309767"/>
      <w:r/>
      <w:bookmarkStart w:id="172" w:name="_Toc150480761"/>
      <w:r/>
      <w:bookmarkStart w:id="173" w:name="_Toc520356147"/>
      <w:r/>
      <w:bookmarkStart w:id="174" w:name="_Toc195842888"/>
      <w:r/>
      <w:bookmarkStart w:id="175" w:name="_Toc164229364"/>
      <w:r/>
      <w:bookmarkStart w:id="176" w:name="_Toc264969213"/>
      <w:r/>
      <w:bookmarkStart w:id="177" w:name="_Toc305158791"/>
      <w:r/>
      <w:bookmarkStart w:id="178" w:name="_Toc226965713"/>
      <w:r/>
      <w:bookmarkStart w:id="179" w:name="_Toc127151523"/>
      <w:r/>
      <w:bookmarkStart w:id="180" w:name="_Toc164351617"/>
      <w:r/>
      <w:bookmarkStart w:id="181" w:name="_Toc226965796"/>
      <w:r/>
      <w:bookmarkStart w:id="182" w:name="_Toc151193693"/>
      <w:r/>
      <w:bookmarkStart w:id="183" w:name="_Toc151193621"/>
      <w:r/>
      <w:bookmarkStart w:id="184" w:name="_Toc164608792"/>
      <w:r/>
      <w:bookmarkStart w:id="185" w:name="_Toc150509274"/>
      <w:r/>
      <w:bookmarkStart w:id="186" w:name="_Toc151193911"/>
      <w:r/>
      <w:bookmarkStart w:id="187" w:name="_Toc226337219"/>
      <w:r/>
      <w:bookmarkStart w:id="188" w:name="_Toc305158865"/>
      <w:r/>
      <w:bookmarkStart w:id="189" w:name="_Toc265228361"/>
      <w:r/>
      <w:bookmarkStart w:id="190" w:name="_Toc150774728"/>
      <w:r/>
      <w:bookmarkStart w:id="191" w:name="_Toc127161437"/>
      <w:r/>
      <w:bookmarkStart w:id="192" w:name="_Toc164608637"/>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招标文件包括以下部分：</w:t>
      </w:r>
      <w:r/>
    </w:p>
    <w:p>
      <w:pPr>
        <w:numPr>
          <w:ilvl w:val="0"/>
          <w:numId w:val="10"/>
        </w:numPr>
        <w:ind w:left="1440" w:firstLine="5"/>
        <w:pageBreakBefore w:val="0"/>
        <w:spacing w:line="380" w:lineRule="exact"/>
        <w:widowControl w:val="off"/>
        <w:tabs>
          <w:tab w:val="left" w:pos="1980" w:leader="none"/>
          <w:tab w:val="left" w:pos="2520" w:leader="none"/>
        </w:tabs>
        <w:rPr>
          <w:sz w:val="24"/>
        </w:rPr>
      </w:pPr>
      <w:r>
        <w:rPr>
          <w:sz w:val="24"/>
        </w:rPr>
        <w:t xml:space="preserve">投标邀请</w:t>
      </w:r>
      <w:r/>
    </w:p>
    <w:p>
      <w:pPr>
        <w:numPr>
          <w:ilvl w:val="0"/>
          <w:numId w:val="10"/>
        </w:numPr>
        <w:ind w:left="1440" w:firstLine="5"/>
        <w:pageBreakBefore w:val="0"/>
        <w:spacing w:line="380" w:lineRule="exact"/>
        <w:widowControl w:val="off"/>
        <w:tabs>
          <w:tab w:val="left" w:pos="1980" w:leader="none"/>
          <w:tab w:val="left" w:pos="2520" w:leader="none"/>
        </w:tabs>
        <w:rPr>
          <w:sz w:val="24"/>
        </w:rPr>
      </w:pPr>
      <w:r>
        <w:rPr>
          <w:sz w:val="24"/>
        </w:rPr>
        <w:t xml:space="preserve">投标人须知</w:t>
      </w:r>
      <w:r/>
    </w:p>
    <w:p>
      <w:pPr>
        <w:numPr>
          <w:ilvl w:val="0"/>
          <w:numId w:val="10"/>
        </w:numPr>
        <w:ind w:left="1440" w:firstLine="5"/>
        <w:pageBreakBefore w:val="0"/>
        <w:spacing w:line="380" w:lineRule="exact"/>
        <w:widowControl w:val="off"/>
        <w:tabs>
          <w:tab w:val="left" w:pos="1980" w:leader="none"/>
          <w:tab w:val="left" w:pos="2520" w:leader="none"/>
        </w:tabs>
        <w:rPr>
          <w:sz w:val="24"/>
        </w:rPr>
      </w:pPr>
      <w:r>
        <w:rPr>
          <w:sz w:val="24"/>
        </w:rPr>
        <w:t xml:space="preserve">资格审查</w:t>
      </w:r>
      <w:r/>
    </w:p>
    <w:p>
      <w:pPr>
        <w:numPr>
          <w:ilvl w:val="0"/>
          <w:numId w:val="10"/>
        </w:numPr>
        <w:ind w:left="1440" w:firstLine="5"/>
        <w:pageBreakBefore w:val="0"/>
        <w:spacing w:line="380" w:lineRule="exact"/>
        <w:widowControl w:val="off"/>
        <w:tabs>
          <w:tab w:val="left" w:pos="1980" w:leader="none"/>
          <w:tab w:val="left" w:pos="2520" w:leader="none"/>
        </w:tabs>
        <w:rPr>
          <w:sz w:val="24"/>
        </w:rPr>
      </w:pPr>
      <w:r>
        <w:rPr>
          <w:sz w:val="24"/>
        </w:rPr>
        <w:t xml:space="preserve">评标程序、评标方法和评标标准</w:t>
      </w:r>
      <w:r/>
    </w:p>
    <w:p>
      <w:pPr>
        <w:numPr>
          <w:ilvl w:val="0"/>
          <w:numId w:val="10"/>
        </w:numPr>
        <w:ind w:left="1440" w:firstLine="5"/>
        <w:pageBreakBefore w:val="0"/>
        <w:spacing w:line="380" w:lineRule="exact"/>
        <w:widowControl w:val="off"/>
        <w:tabs>
          <w:tab w:val="left" w:pos="1980" w:leader="none"/>
          <w:tab w:val="left" w:pos="2520" w:leader="none"/>
        </w:tabs>
        <w:rPr>
          <w:sz w:val="24"/>
        </w:rPr>
      </w:pPr>
      <w:r>
        <w:rPr>
          <w:sz w:val="24"/>
        </w:rPr>
        <w:t xml:space="preserve">采购需求</w:t>
      </w:r>
      <w:r/>
    </w:p>
    <w:p>
      <w:pPr>
        <w:numPr>
          <w:ilvl w:val="0"/>
          <w:numId w:val="10"/>
        </w:numPr>
        <w:ind w:left="1440" w:firstLine="5"/>
        <w:pageBreakBefore w:val="0"/>
        <w:spacing w:line="380" w:lineRule="exact"/>
        <w:widowControl w:val="off"/>
        <w:tabs>
          <w:tab w:val="left" w:pos="1980" w:leader="none"/>
          <w:tab w:val="left" w:pos="2520" w:leader="none"/>
        </w:tabs>
        <w:rPr>
          <w:sz w:val="24"/>
        </w:rPr>
      </w:pPr>
      <w:r>
        <w:rPr>
          <w:sz w:val="24"/>
        </w:rPr>
        <w:t xml:space="preserve">拟签订的合同文本</w:t>
      </w:r>
      <w:r/>
    </w:p>
    <w:p>
      <w:pPr>
        <w:numPr>
          <w:ilvl w:val="0"/>
          <w:numId w:val="10"/>
        </w:numPr>
        <w:ind w:left="1440" w:firstLine="5"/>
        <w:pageBreakBefore w:val="0"/>
        <w:spacing w:line="380" w:lineRule="exact"/>
        <w:widowControl w:val="off"/>
        <w:tabs>
          <w:tab w:val="left" w:pos="1980" w:leader="none"/>
          <w:tab w:val="left" w:pos="2520" w:leader="none"/>
        </w:tabs>
        <w:rPr>
          <w:rFonts w:hint="eastAsia"/>
          <w:sz w:val="24"/>
        </w:rPr>
      </w:pPr>
      <w:r>
        <w:rPr>
          <w:sz w:val="24"/>
        </w:rPr>
        <w:t xml:space="preserve">投标文件格式</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pageBreakBefore w:val="0"/>
        <w:spacing w:line="380" w:lineRule="exact"/>
        <w:widowControl w:val="off"/>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pageBreakBefore w:val="0"/>
        <w:spacing w:line="380" w:lineRule="exact"/>
        <w:widowControl w:val="off"/>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pageBreakBefore w:val="0"/>
        <w:spacing w:line="380" w:lineRule="exact"/>
        <w:widowControl w:val="off"/>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pageBreakBefore w:val="0"/>
        <w:spacing w:line="380" w:lineRule="exact"/>
        <w:widowControl w:val="off"/>
        <w:tabs>
          <w:tab w:val="left" w:pos="1080" w:leader="none"/>
          <w:tab w:val="left" w:pos="1561" w:leader="none"/>
        </w:tabs>
        <w:rPr>
          <w:sz w:val="28"/>
        </w:rPr>
      </w:pPr>
      <w:r/>
      <w:bookmarkStart w:id="193" w:name="_Toc516367020"/>
      <w:r/>
      <w:bookmarkStart w:id="194" w:name="_Toc520356150"/>
      <w:r/>
      <w:bookmarkStart w:id="195" w:name="_Toc127151526"/>
      <w:r/>
      <w:bookmarkStart w:id="196" w:name="_Toc264969216"/>
      <w:r/>
      <w:bookmarkStart w:id="197" w:name="_Toc150480764"/>
      <w:r/>
      <w:bookmarkStart w:id="198" w:name="_Toc151193696"/>
      <w:r/>
      <w:bookmarkStart w:id="199" w:name="_Toc195842891"/>
      <w:r/>
      <w:bookmarkStart w:id="200" w:name="_Toc151193840"/>
      <w:r/>
      <w:bookmarkStart w:id="201" w:name="_Toc226309770"/>
      <w:r/>
      <w:bookmarkStart w:id="202" w:name="_Toc150509277"/>
      <w:r/>
      <w:bookmarkStart w:id="203" w:name="_Toc150774626"/>
      <w:r/>
      <w:bookmarkStart w:id="204" w:name="_Toc265228364"/>
      <w:r/>
      <w:bookmarkStart w:id="205" w:name="_Toc150774731"/>
      <w:r/>
      <w:bookmarkStart w:id="206" w:name="_Toc305158794"/>
      <w:r/>
      <w:bookmarkStart w:id="207" w:name="_Toc142311028"/>
      <w:r/>
      <w:bookmarkStart w:id="208" w:name="_Toc226965799"/>
      <w:r/>
      <w:bookmarkStart w:id="209" w:name="_Toc151190153"/>
      <w:r/>
      <w:bookmarkStart w:id="210" w:name="_Toc226965716"/>
      <w:r/>
      <w:bookmarkStart w:id="211" w:name="_Toc151193768"/>
      <w:r/>
      <w:bookmarkStart w:id="212" w:name="_Toc305158868"/>
      <w:r/>
      <w:bookmarkStart w:id="213" w:name="_Toc151193624"/>
      <w:r/>
      <w:bookmarkStart w:id="214" w:name="_Toc151193914"/>
      <w:r/>
      <w:bookmarkStart w:id="215" w:name="_Toc226337222"/>
      <w:r/>
      <w:r/>
    </w:p>
    <w:p>
      <w:pPr>
        <w:pStyle w:val="885"/>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193"/>
      <w:r>
        <w:rPr>
          <w:rFonts w:ascii="Times New Roman" w:hAnsi="Times New Roman" w:eastAsia="宋体"/>
          <w:sz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8"/>
        </w:numPr>
        <w:ind w:left="357" w:hanging="357"/>
        <w:pageBreakBefore w:val="0"/>
        <w:spacing w:line="380" w:lineRule="exact"/>
        <w:widowControl w:val="off"/>
        <w:tabs>
          <w:tab w:val="left" w:pos="360" w:leader="none"/>
        </w:tabs>
        <w:rPr>
          <w:sz w:val="24"/>
        </w:rPr>
        <w:outlineLvl w:val="1"/>
      </w:pPr>
      <w:r/>
      <w:bookmarkStart w:id="216" w:name="_Toc127161441"/>
      <w:r/>
      <w:bookmarkStart w:id="217" w:name="_Toc226965800"/>
      <w:r/>
      <w:bookmarkStart w:id="218" w:name="_Toc151193915"/>
      <w:r/>
      <w:bookmarkStart w:id="219" w:name="_Toc164229368"/>
      <w:r/>
      <w:bookmarkStart w:id="220" w:name="_Toc150509278"/>
      <w:r/>
      <w:bookmarkStart w:id="221" w:name="_Toc150774627"/>
      <w:r/>
      <w:bookmarkStart w:id="222" w:name="_Toc150480765"/>
      <w:r/>
      <w:bookmarkStart w:id="223" w:name="_Toc226965717"/>
      <w:r/>
      <w:bookmarkStart w:id="224" w:name="_Toc151193625"/>
      <w:r/>
      <w:bookmarkStart w:id="225" w:name="_Toc264969217"/>
      <w:r/>
      <w:bookmarkStart w:id="226" w:name="_Toc142311029"/>
      <w:r/>
      <w:bookmarkStart w:id="227" w:name="_Toc164608641"/>
      <w:r/>
      <w:bookmarkStart w:id="228" w:name="_Toc226309771"/>
      <w:r/>
      <w:bookmarkStart w:id="229" w:name="_Toc149720820"/>
      <w:r/>
      <w:bookmarkStart w:id="230" w:name="_Toc150774732"/>
      <w:r/>
      <w:bookmarkStart w:id="231" w:name="_Toc127151728"/>
      <w:r/>
      <w:bookmarkStart w:id="232" w:name="_Toc151193697"/>
      <w:r/>
      <w:bookmarkStart w:id="233" w:name="_Toc195842892"/>
      <w:r/>
      <w:bookmarkStart w:id="234" w:name="_Toc305158869"/>
      <w:r/>
      <w:bookmarkStart w:id="235" w:name="_Toc164229222"/>
      <w:r/>
      <w:bookmarkStart w:id="236" w:name="_Toc164351621"/>
      <w:r/>
      <w:bookmarkStart w:id="237" w:name="_Toc520356151"/>
      <w:r/>
      <w:bookmarkStart w:id="238" w:name="_Toc265228365"/>
      <w:r/>
      <w:bookmarkStart w:id="239" w:name="_Toc151193841"/>
      <w:r/>
      <w:bookmarkStart w:id="240" w:name="_Toc305158795"/>
      <w:r/>
      <w:bookmarkStart w:id="241" w:name="_Toc151190154"/>
      <w:r/>
      <w:bookmarkStart w:id="242" w:name="_Toc151193769"/>
      <w:r/>
      <w:bookmarkStart w:id="243" w:name="_Toc127151527"/>
      <w:r/>
      <w:bookmarkStart w:id="244" w:name="_Toc516367021"/>
      <w:r/>
      <w:bookmarkStart w:id="245" w:name="_Toc226337223"/>
      <w:r/>
      <w:bookmarkStart w:id="246" w:name="_Toc164608796"/>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pageBreakBefore w:val="0"/>
        <w:spacing w:line="380" w:lineRule="exact"/>
        <w:widowControl w:val="off"/>
        <w:tabs>
          <w:tab w:val="left" w:pos="360" w:leader="none"/>
        </w:tabs>
        <w:rPr>
          <w:sz w:val="24"/>
        </w:rPr>
        <w:outlineLvl w:val="1"/>
      </w:pPr>
      <w:r/>
      <w:bookmarkStart w:id="247" w:name="_Ref467306676"/>
      <w:r/>
      <w:bookmarkStart w:id="248" w:name="_Ref467306195"/>
      <w:r/>
      <w:bookmarkStart w:id="249" w:name="_Toc516367022"/>
      <w:r/>
      <w:bookmarkStart w:id="250" w:name="_Toc151193916"/>
      <w:r/>
      <w:bookmarkStart w:id="251" w:name="_Toc127151729"/>
      <w:r/>
      <w:bookmarkStart w:id="252" w:name="_Toc127151528"/>
      <w:r/>
      <w:bookmarkStart w:id="253" w:name="_Toc150509279"/>
      <w:r/>
      <w:bookmarkStart w:id="254" w:name="_Toc164351622"/>
      <w:r/>
      <w:bookmarkStart w:id="255" w:name="_Toc149720821"/>
      <w:r/>
      <w:bookmarkStart w:id="256" w:name="_Toc226965718"/>
      <w:r/>
      <w:bookmarkStart w:id="257" w:name="_Toc151193842"/>
      <w:r/>
      <w:bookmarkStart w:id="258" w:name="_Toc226309772"/>
      <w:r/>
      <w:bookmarkStart w:id="259" w:name="_Toc264969218"/>
      <w:r/>
      <w:bookmarkStart w:id="260" w:name="_Toc226337224"/>
      <w:r/>
      <w:bookmarkStart w:id="261" w:name="_Toc164608797"/>
      <w:r/>
      <w:bookmarkStart w:id="262" w:name="_Toc142311030"/>
      <w:r/>
      <w:bookmarkStart w:id="263" w:name="_Toc195842893"/>
      <w:r/>
      <w:bookmarkStart w:id="264" w:name="_Toc127161442"/>
      <w:r/>
      <w:bookmarkStart w:id="265" w:name="_Toc150480766"/>
      <w:r/>
      <w:bookmarkStart w:id="266" w:name="_Toc164229223"/>
      <w:r/>
      <w:bookmarkStart w:id="267" w:name="_Toc265228366"/>
      <w:r/>
      <w:bookmarkStart w:id="268" w:name="_Toc150774628"/>
      <w:r/>
      <w:bookmarkStart w:id="269" w:name="_Toc164608642"/>
      <w:r/>
      <w:bookmarkStart w:id="270" w:name="_Toc520356152"/>
      <w:r/>
      <w:bookmarkStart w:id="271" w:name="_Toc226965801"/>
      <w:r/>
      <w:bookmarkStart w:id="272" w:name="_Toc305158796"/>
      <w:r/>
      <w:bookmarkStart w:id="273" w:name="_Toc151193626"/>
      <w:r/>
      <w:bookmarkStart w:id="274" w:name="_Toc164229369"/>
      <w:r/>
      <w:bookmarkStart w:id="275" w:name="_Toc151193698"/>
      <w:r/>
      <w:bookmarkStart w:id="276" w:name="_Toc151193770"/>
      <w:r/>
      <w:bookmarkStart w:id="277" w:name="_Toc305158870"/>
      <w:r/>
      <w:bookmarkStart w:id="278" w:name="_Toc151190155"/>
      <w:r/>
      <w:bookmarkStart w:id="279" w:name="_Toc150774733"/>
      <w:r>
        <w:rPr>
          <w:sz w:val="24"/>
        </w:rPr>
        <w:t xml:space="preserve">投标文件</w:t>
      </w:r>
      <w:bookmarkEnd w:id="247"/>
      <w:r/>
      <w:bookmarkEnd w:id="248"/>
      <w:r/>
      <w:bookmarkEnd w:id="249"/>
      <w:r>
        <w:rPr>
          <w:sz w:val="24"/>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8"/>
        </w:numPr>
        <w:ind w:left="1077" w:hanging="720"/>
        <w:pageBreakBefore w:val="0"/>
        <w:spacing w:line="380" w:lineRule="exact"/>
        <w:widowControl w:val="off"/>
        <w:tabs>
          <w:tab w:val="left" w:pos="1080" w:leader="none"/>
          <w:tab w:val="left" w:pos="2014" w:leader="none"/>
        </w:tabs>
        <w:rPr>
          <w:sz w:val="24"/>
        </w:rPr>
      </w:pPr>
      <w:r/>
      <w:bookmarkStart w:id="280" w:name="_Ref467052588"/>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投标人认为应附的其他材料。</w:t>
      </w:r>
      <w:bookmarkEnd w:id="280"/>
      <w:r/>
      <w:r/>
    </w:p>
    <w:p>
      <w:pPr>
        <w:numPr>
          <w:ilvl w:val="0"/>
          <w:numId w:val="8"/>
        </w:numPr>
        <w:ind w:left="357" w:hanging="357"/>
        <w:pageBreakBefore w:val="0"/>
        <w:spacing w:line="380" w:lineRule="exact"/>
        <w:widowControl w:val="off"/>
        <w:tabs>
          <w:tab w:val="left" w:pos="360" w:leader="none"/>
        </w:tabs>
        <w:rPr>
          <w:sz w:val="24"/>
        </w:rPr>
        <w:outlineLvl w:val="1"/>
      </w:pPr>
      <w:r/>
      <w:bookmarkStart w:id="281" w:name="_Toc127161444"/>
      <w:r/>
      <w:bookmarkStart w:id="282" w:name="_Toc164608644"/>
      <w:r/>
      <w:bookmarkStart w:id="283" w:name="_Toc164351624"/>
      <w:r/>
      <w:bookmarkStart w:id="284" w:name="_Toc195842895"/>
      <w:r/>
      <w:bookmarkStart w:id="285" w:name="_Toc151193700"/>
      <w:r/>
      <w:bookmarkStart w:id="286" w:name="_Toc151190157"/>
      <w:r/>
      <w:bookmarkStart w:id="287" w:name="_Toc127151530"/>
      <w:r/>
      <w:bookmarkStart w:id="288" w:name="_Toc149720823"/>
      <w:r/>
      <w:bookmarkStart w:id="289" w:name="_Toc164229371"/>
      <w:r/>
      <w:bookmarkStart w:id="290" w:name="_Toc151193844"/>
      <w:r/>
      <w:bookmarkStart w:id="291" w:name="_Toc151193918"/>
      <w:r/>
      <w:bookmarkStart w:id="292" w:name="_Toc127151731"/>
      <w:r/>
      <w:bookmarkStart w:id="293" w:name="_Toc151193772"/>
      <w:r/>
      <w:bookmarkStart w:id="294" w:name="_Toc150774630"/>
      <w:r/>
      <w:bookmarkStart w:id="295" w:name="_Toc142311032"/>
      <w:r/>
      <w:bookmarkStart w:id="296" w:name="_Toc151193628"/>
      <w:r/>
      <w:bookmarkStart w:id="297" w:name="_Toc164229225"/>
      <w:r/>
      <w:bookmarkStart w:id="298" w:name="_Toc164608799"/>
      <w:r/>
      <w:bookmarkStart w:id="299" w:name="_Toc150509281"/>
      <w:r/>
      <w:bookmarkStart w:id="300" w:name="_Toc520356155"/>
      <w:r/>
      <w:bookmarkStart w:id="301" w:name="_Toc150480768"/>
      <w:r/>
      <w:bookmarkStart w:id="302" w:name="_Toc150774735"/>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所有投标均以人民币报价。</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pageBreakBefore w:val="0"/>
        <w:spacing w:line="380" w:lineRule="exact"/>
        <w:widowControl w:val="off"/>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pageBreakBefore w:val="0"/>
        <w:spacing w:line="380" w:lineRule="exact"/>
        <w:widowControl w:val="off"/>
        <w:rPr>
          <w:sz w:val="24"/>
        </w:rPr>
      </w:pPr>
      <w:r>
        <w:rPr>
          <w:sz w:val="24"/>
        </w:rPr>
        <w:t xml:space="preserve">按照招标文件要求完成本项目的全部相关服务费用。 </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pageBreakBefore w:val="0"/>
        <w:spacing w:line="380" w:lineRule="exact"/>
        <w:widowControl w:val="off"/>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8"/>
        </w:numPr>
        <w:ind w:left="357" w:hanging="357"/>
        <w:pageBreakBefore w:val="0"/>
        <w:spacing w:line="380" w:lineRule="exact"/>
        <w:widowControl w:val="off"/>
        <w:tabs>
          <w:tab w:val="left" w:pos="360" w:leader="none"/>
        </w:tabs>
        <w:rPr>
          <w:rFonts w:hint="eastAsia"/>
          <w:sz w:val="24"/>
        </w:rPr>
        <w:outlineLvl w:val="1"/>
      </w:pPr>
      <w:r/>
      <w:bookmarkStart w:id="303" w:name="_Toc150774736"/>
      <w:r/>
      <w:bookmarkStart w:id="304" w:name="_Toc164229372"/>
      <w:r/>
      <w:bookmarkStart w:id="305" w:name="_Toc151193845"/>
      <w:r/>
      <w:bookmarkStart w:id="306" w:name="_Toc151193701"/>
      <w:r/>
      <w:bookmarkStart w:id="307" w:name="_Toc164608645"/>
      <w:r/>
      <w:bookmarkStart w:id="308" w:name="_Toc305158799"/>
      <w:r/>
      <w:bookmarkStart w:id="309" w:name="_Toc195842896"/>
      <w:r/>
      <w:bookmarkStart w:id="310" w:name="_Toc127161445"/>
      <w:r/>
      <w:bookmarkStart w:id="311" w:name="_Toc150774631"/>
      <w:r/>
      <w:bookmarkStart w:id="312" w:name="_Toc164608800"/>
      <w:r/>
      <w:bookmarkStart w:id="313" w:name="_Toc151190158"/>
      <w:r/>
      <w:bookmarkStart w:id="314" w:name="_Toc226337227"/>
      <w:r/>
      <w:bookmarkStart w:id="315" w:name="_Toc127151531"/>
      <w:r/>
      <w:bookmarkStart w:id="316" w:name="_Toc265228369"/>
      <w:r/>
      <w:bookmarkStart w:id="317" w:name="_Toc164351625"/>
      <w:r/>
      <w:bookmarkStart w:id="318" w:name="_Toc151193629"/>
      <w:r/>
      <w:bookmarkStart w:id="319" w:name="_Toc305158873"/>
      <w:r/>
      <w:bookmarkStart w:id="320" w:name="_Ref467306513"/>
      <w:r/>
      <w:bookmarkStart w:id="321" w:name="_Toc226965721"/>
      <w:r/>
      <w:bookmarkStart w:id="322" w:name="_Toc150509282"/>
      <w:r/>
      <w:bookmarkStart w:id="323" w:name="_Toc226965804"/>
      <w:r/>
      <w:bookmarkStart w:id="324" w:name="_Toc127151732"/>
      <w:r/>
      <w:bookmarkStart w:id="325" w:name="_Toc151193919"/>
      <w:r/>
      <w:bookmarkStart w:id="326" w:name="_Toc151193773"/>
      <w:r/>
      <w:bookmarkStart w:id="327" w:name="_Toc150480769"/>
      <w:r/>
      <w:bookmarkStart w:id="328" w:name="_Toc142311033"/>
      <w:r/>
      <w:bookmarkStart w:id="329" w:name="_Toc164229226"/>
      <w:r/>
      <w:bookmarkStart w:id="330" w:name="_Toc520356156"/>
      <w:r/>
      <w:bookmarkStart w:id="331" w:name="_Toc226309775"/>
      <w:r/>
      <w:bookmarkStart w:id="332" w:name="_Toc149720824"/>
      <w:r/>
      <w:bookmarkStart w:id="333" w:name="_Toc264969221"/>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pageBreakBefore w:val="0"/>
        <w:spacing w:line="380" w:lineRule="exact"/>
        <w:widowControl w:val="off"/>
        <w:tabs>
          <w:tab w:val="left" w:pos="360" w:leader="none"/>
        </w:tabs>
        <w:rPr>
          <w:sz w:val="24"/>
        </w:rPr>
        <w:outlineLvl w:val="1"/>
      </w:pPr>
      <w:r/>
      <w:bookmarkStart w:id="334" w:name="_Toc305158874"/>
      <w:r/>
      <w:bookmarkStart w:id="335" w:name="_Toc151193774"/>
      <w:r/>
      <w:bookmarkStart w:id="336" w:name="_Toc164351626"/>
      <w:r/>
      <w:bookmarkStart w:id="337" w:name="_Toc265228370"/>
      <w:r/>
      <w:bookmarkStart w:id="338" w:name="_Toc127151532"/>
      <w:r/>
      <w:bookmarkStart w:id="339" w:name="_Toc164608801"/>
      <w:r/>
      <w:bookmarkStart w:id="340" w:name="_Toc264969222"/>
      <w:r/>
      <w:bookmarkStart w:id="341" w:name="_Toc164608646"/>
      <w:r/>
      <w:bookmarkStart w:id="342" w:name="_Toc150774737"/>
      <w:r/>
      <w:bookmarkStart w:id="343" w:name="_Toc151193846"/>
      <w:r/>
      <w:bookmarkStart w:id="344" w:name="_Toc151193920"/>
      <w:r/>
      <w:bookmarkStart w:id="345" w:name="_Toc195842897"/>
      <w:r/>
      <w:bookmarkStart w:id="346" w:name="_Toc127151733"/>
      <w:r/>
      <w:bookmarkStart w:id="347" w:name="_Toc226309776"/>
      <w:r/>
      <w:bookmarkStart w:id="348" w:name="_Toc305158800"/>
      <w:r/>
      <w:bookmarkStart w:id="349" w:name="_Toc150509283"/>
      <w:r/>
      <w:bookmarkStart w:id="350" w:name="_Toc149720825"/>
      <w:r/>
      <w:bookmarkStart w:id="351" w:name="_Toc164229227"/>
      <w:r/>
      <w:bookmarkStart w:id="352" w:name="_Toc226337228"/>
      <w:r/>
      <w:bookmarkStart w:id="353" w:name="_Toc151190159"/>
      <w:r/>
      <w:bookmarkStart w:id="354" w:name="_Toc226965805"/>
      <w:r/>
      <w:bookmarkStart w:id="355" w:name="_Toc150774632"/>
      <w:r/>
      <w:bookmarkStart w:id="356" w:name="_Toc164229373"/>
      <w:r/>
      <w:bookmarkStart w:id="357" w:name="_Toc151193630"/>
      <w:r/>
      <w:bookmarkStart w:id="358" w:name="_Toc150480770"/>
      <w:r/>
      <w:bookmarkStart w:id="359" w:name="_Toc127161446"/>
      <w:r/>
      <w:bookmarkStart w:id="360" w:name="_Toc520356157"/>
      <w:r/>
      <w:bookmarkStart w:id="361" w:name="_Toc151193702"/>
      <w:r/>
      <w:bookmarkStart w:id="362" w:name="_Toc142311034"/>
      <w:r/>
      <w:bookmarkStart w:id="363" w:name="_Toc226965722"/>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pageBreakBefore w:val="0"/>
        <w:spacing w:line="380" w:lineRule="exact"/>
        <w:widowControl w:val="off"/>
        <w:tabs>
          <w:tab w:val="left" w:pos="360" w:leader="none"/>
        </w:tabs>
        <w:rPr>
          <w:sz w:val="24"/>
        </w:rPr>
        <w:outlineLvl w:val="1"/>
      </w:pPr>
      <w:r/>
      <w:bookmarkStart w:id="364" w:name="_Toc149720826"/>
      <w:r/>
      <w:bookmarkStart w:id="365" w:name="_Toc150774633"/>
      <w:r/>
      <w:bookmarkStart w:id="366" w:name="_Toc164608802"/>
      <w:r/>
      <w:bookmarkStart w:id="367" w:name="_Toc264969223"/>
      <w:r/>
      <w:bookmarkStart w:id="368" w:name="_Toc164351627"/>
      <w:r/>
      <w:bookmarkStart w:id="369" w:name="_Toc520356158"/>
      <w:r/>
      <w:bookmarkStart w:id="370" w:name="_Toc151193703"/>
      <w:r/>
      <w:bookmarkStart w:id="371" w:name="_Toc226965806"/>
      <w:r/>
      <w:bookmarkStart w:id="372" w:name="_Toc305158875"/>
      <w:r/>
      <w:bookmarkStart w:id="373" w:name="_Toc305158801"/>
      <w:r/>
      <w:bookmarkStart w:id="374" w:name="_Toc164229374"/>
      <w:r/>
      <w:bookmarkStart w:id="375" w:name="_Toc142311035"/>
      <w:r/>
      <w:bookmarkStart w:id="376" w:name="_Toc164229228"/>
      <w:r/>
      <w:bookmarkStart w:id="377" w:name="_Toc151190160"/>
      <w:r/>
      <w:bookmarkStart w:id="378" w:name="_Toc127151533"/>
      <w:r/>
      <w:bookmarkStart w:id="379" w:name="_Toc151193775"/>
      <w:r/>
      <w:bookmarkStart w:id="380" w:name="_Toc150480771"/>
      <w:r/>
      <w:bookmarkStart w:id="381" w:name="_Toc226309777"/>
      <w:r/>
      <w:bookmarkStart w:id="382" w:name="_Toc265228371"/>
      <w:r/>
      <w:bookmarkStart w:id="383" w:name="_Toc151193847"/>
      <w:r/>
      <w:bookmarkStart w:id="384" w:name="_Toc195842898"/>
      <w:r/>
      <w:bookmarkStart w:id="385" w:name="_Toc151193631"/>
      <w:r/>
      <w:bookmarkStart w:id="386" w:name="_Toc226337229"/>
      <w:r/>
      <w:bookmarkStart w:id="387" w:name="_Toc150509284"/>
      <w:r/>
      <w:bookmarkStart w:id="388" w:name="_Toc226965723"/>
      <w:r/>
      <w:bookmarkStart w:id="389" w:name="_Toc151193921"/>
      <w:r/>
      <w:bookmarkStart w:id="390" w:name="_Toc127151734"/>
      <w:r/>
      <w:bookmarkStart w:id="391" w:name="_Toc164608647"/>
      <w:r/>
      <w:bookmarkStart w:id="392" w:name="_Toc127161447"/>
      <w:r/>
      <w:bookmarkStart w:id="393" w:name="_Toc150774738"/>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p>
    <w:p>
      <w:pPr>
        <w:numPr>
          <w:ilvl w:val="1"/>
          <w:numId w:val="8"/>
        </w:numPr>
        <w:ind w:left="1077" w:hanging="720"/>
        <w:pageBreakBefore w:val="0"/>
        <w:spacing w:line="380" w:lineRule="exact"/>
        <w:widowControl w:val="off"/>
        <w:tabs>
          <w:tab w:val="left" w:pos="1080" w:leader="none"/>
          <w:tab w:val="left" w:pos="2014" w:leader="none"/>
        </w:tabs>
        <w:rPr>
          <w:sz w:val="24"/>
        </w:rPr>
      </w:pPr>
      <w:r/>
      <w:bookmarkStart w:id="394" w:name="_Toc305158802"/>
      <w:r/>
      <w:bookmarkStart w:id="395" w:name="_Toc142311036"/>
      <w:r/>
      <w:bookmarkStart w:id="396" w:name="_Toc195842899"/>
      <w:r/>
      <w:bookmarkStart w:id="397" w:name="_Toc305158876"/>
      <w:r/>
      <w:bookmarkStart w:id="398" w:name="_Toc226309778"/>
      <w:r/>
      <w:bookmarkStart w:id="399" w:name="_Toc226965807"/>
      <w:r/>
      <w:bookmarkStart w:id="400" w:name="_Toc520356159"/>
      <w:r/>
      <w:bookmarkStart w:id="401" w:name="_Toc265228372"/>
      <w:r/>
      <w:bookmarkStart w:id="402" w:name="_Toc151193848"/>
      <w:r/>
      <w:bookmarkStart w:id="403" w:name="_Toc150480772"/>
      <w:r/>
      <w:bookmarkStart w:id="404" w:name="_Toc264969224"/>
      <w:r/>
      <w:bookmarkStart w:id="405" w:name="_Toc150774739"/>
      <w:r/>
      <w:bookmarkStart w:id="406" w:name="_Toc151193776"/>
      <w:r/>
      <w:bookmarkStart w:id="407" w:name="_Toc150774634"/>
      <w:r/>
      <w:bookmarkStart w:id="408" w:name="_Toc151190161"/>
      <w:r/>
      <w:bookmarkStart w:id="409" w:name="_Toc151193632"/>
      <w:r/>
      <w:bookmarkStart w:id="410" w:name="_Toc151193704"/>
      <w:r/>
      <w:bookmarkStart w:id="411" w:name="_Toc127151534"/>
      <w:r/>
      <w:bookmarkStart w:id="412" w:name="_Toc150509285"/>
      <w:r/>
      <w:bookmarkStart w:id="413" w:name="_Toc226965724"/>
      <w:r/>
      <w:bookmarkStart w:id="414" w:name="_Toc226337230"/>
      <w:r/>
      <w:bookmarkStart w:id="415" w:name="_Toc15119392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pageBreakBefore w:val="0"/>
        <w:spacing w:line="380" w:lineRule="exact"/>
        <w:widowControl w:val="off"/>
        <w:tabs>
          <w:tab w:val="left" w:pos="900" w:leader="none"/>
          <w:tab w:val="left" w:pos="1080" w:leader="none"/>
        </w:tabs>
      </w:pPr>
      <w:r/>
      <w:r/>
    </w:p>
    <w:p>
      <w:pPr>
        <w:pStyle w:val="885"/>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numPr>
          <w:ilvl w:val="0"/>
          <w:numId w:val="8"/>
        </w:numPr>
        <w:ind w:left="357" w:hanging="357"/>
        <w:pageBreakBefore w:val="0"/>
        <w:spacing w:line="380" w:lineRule="exact"/>
        <w:widowControl w:val="off"/>
        <w:tabs>
          <w:tab w:val="left" w:pos="360" w:leader="none"/>
        </w:tabs>
        <w:rPr>
          <w:sz w:val="24"/>
        </w:rPr>
        <w:outlineLvl w:val="1"/>
      </w:pPr>
      <w:r/>
      <w:bookmarkStart w:id="416" w:name="_Toc151190162"/>
      <w:r/>
      <w:bookmarkStart w:id="417" w:name="_Toc149720828"/>
      <w:r/>
      <w:bookmarkStart w:id="418" w:name="_Toc164229230"/>
      <w:r/>
      <w:bookmarkStart w:id="419" w:name="_Toc150774740"/>
      <w:r/>
      <w:bookmarkStart w:id="420" w:name="_Toc164608804"/>
      <w:r/>
      <w:bookmarkStart w:id="421" w:name="_Toc151193777"/>
      <w:r/>
      <w:bookmarkStart w:id="422" w:name="_Toc127151535"/>
      <w:r/>
      <w:bookmarkStart w:id="423" w:name="_Toc164229376"/>
      <w:r/>
      <w:bookmarkStart w:id="424" w:name="_Toc305158803"/>
      <w:r/>
      <w:bookmarkStart w:id="425" w:name="_Toc150480773"/>
      <w:r/>
      <w:bookmarkStart w:id="426" w:name="_Toc520356160"/>
      <w:r/>
      <w:bookmarkStart w:id="427" w:name="_Toc142311037"/>
      <w:r/>
      <w:bookmarkStart w:id="428" w:name="_Toc150509286"/>
      <w:r/>
      <w:bookmarkStart w:id="429" w:name="_Toc226337231"/>
      <w:r/>
      <w:bookmarkStart w:id="430" w:name="_Toc164608649"/>
      <w:r/>
      <w:bookmarkStart w:id="431" w:name="_Toc305158877"/>
      <w:r/>
      <w:bookmarkStart w:id="432" w:name="_Toc226965725"/>
      <w:r/>
      <w:bookmarkStart w:id="433" w:name="_Toc164351629"/>
      <w:r/>
      <w:bookmarkStart w:id="434" w:name="_Toc226309779"/>
      <w:r/>
      <w:bookmarkStart w:id="435" w:name="_Toc150774635"/>
      <w:r/>
      <w:bookmarkStart w:id="436" w:name="_Toc151193633"/>
      <w:r/>
      <w:bookmarkStart w:id="437" w:name="_Toc151193705"/>
      <w:r/>
      <w:bookmarkStart w:id="438" w:name="_Toc127161449"/>
      <w:r/>
      <w:bookmarkStart w:id="439" w:name="_Toc151193849"/>
      <w:r/>
      <w:bookmarkStart w:id="440" w:name="_Toc265228373"/>
      <w:r/>
      <w:bookmarkStart w:id="441" w:name="_Toc151193923"/>
      <w:r/>
      <w:bookmarkStart w:id="442" w:name="_Toc195842900"/>
      <w:r/>
      <w:bookmarkStart w:id="443" w:name="_Toc127151736"/>
      <w:r/>
      <w:bookmarkStart w:id="444" w:name="_Toc226965808"/>
      <w:r/>
      <w:bookmarkStart w:id="445" w:name="_Toc264969225"/>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p>
    <w:p>
      <w:pPr>
        <w:numPr>
          <w:ilvl w:val="0"/>
          <w:numId w:val="8"/>
        </w:numPr>
        <w:ind w:left="357" w:hanging="357"/>
        <w:pageBreakBefore w:val="0"/>
        <w:spacing w:line="380" w:lineRule="exact"/>
        <w:widowControl w:val="off"/>
        <w:tabs>
          <w:tab w:val="left" w:pos="360" w:leader="none"/>
        </w:tabs>
        <w:rPr>
          <w:sz w:val="24"/>
        </w:rPr>
        <w:outlineLvl w:val="1"/>
      </w:pPr>
      <w:r/>
      <w:bookmarkStart w:id="446" w:name="_Toc150774636"/>
      <w:r/>
      <w:bookmarkStart w:id="447" w:name="_Toc151190163"/>
      <w:r/>
      <w:bookmarkStart w:id="448" w:name="_Toc127151737"/>
      <w:r/>
      <w:bookmarkStart w:id="449" w:name="_Toc164351630"/>
      <w:r/>
      <w:bookmarkStart w:id="450" w:name="_Toc164229231"/>
      <w:r/>
      <w:bookmarkStart w:id="451" w:name="_Toc151193634"/>
      <w:r/>
      <w:bookmarkStart w:id="452" w:name="_Toc151193706"/>
      <w:r/>
      <w:bookmarkStart w:id="453" w:name="_Toc264969226"/>
      <w:r/>
      <w:bookmarkStart w:id="454" w:name="_Toc226965726"/>
      <w:r/>
      <w:bookmarkStart w:id="455" w:name="_Toc164229377"/>
      <w:r/>
      <w:bookmarkStart w:id="456" w:name="_Toc142311038"/>
      <w:r/>
      <w:bookmarkStart w:id="457" w:name="_Toc265228374"/>
      <w:r/>
      <w:bookmarkStart w:id="458" w:name="_Toc150509287"/>
      <w:r/>
      <w:bookmarkStart w:id="459" w:name="_Toc127151536"/>
      <w:r/>
      <w:bookmarkStart w:id="460" w:name="_Toc226337232"/>
      <w:r/>
      <w:bookmarkStart w:id="461" w:name="_Toc305158878"/>
      <w:r/>
      <w:bookmarkStart w:id="462" w:name="_Toc150774741"/>
      <w:r/>
      <w:bookmarkStart w:id="463" w:name="_Toc520356161"/>
      <w:r/>
      <w:bookmarkStart w:id="464" w:name="_Toc195842901"/>
      <w:r/>
      <w:bookmarkStart w:id="465" w:name="_Toc151193924"/>
      <w:r/>
      <w:bookmarkStart w:id="466" w:name="_Toc127161450"/>
      <w:r/>
      <w:bookmarkStart w:id="467" w:name="_Toc151193778"/>
      <w:r/>
      <w:bookmarkStart w:id="468" w:name="_Toc226965809"/>
      <w:r/>
      <w:bookmarkStart w:id="469" w:name="_Toc150480774"/>
      <w:r/>
      <w:bookmarkStart w:id="470" w:name="_Toc151193850"/>
      <w:r/>
      <w:bookmarkStart w:id="471" w:name="_Toc164608805"/>
      <w:r/>
      <w:bookmarkStart w:id="472" w:name="_Toc164608650"/>
      <w:r/>
      <w:bookmarkStart w:id="473" w:name="_Toc149720829"/>
      <w:r/>
      <w:bookmarkStart w:id="474" w:name="_Toc305158804"/>
      <w:r/>
      <w:bookmarkStart w:id="475" w:name="_Toc226309780"/>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p>
    <w:p>
      <w:pPr>
        <w:numPr>
          <w:ilvl w:val="0"/>
          <w:numId w:val="8"/>
        </w:numPr>
        <w:ind w:left="357" w:hanging="357"/>
        <w:pageBreakBefore w:val="0"/>
        <w:spacing w:line="380" w:lineRule="exact"/>
        <w:widowControl w:val="off"/>
        <w:tabs>
          <w:tab w:val="left" w:pos="360" w:leader="none"/>
        </w:tabs>
        <w:rPr>
          <w:sz w:val="24"/>
        </w:rPr>
        <w:outlineLvl w:val="1"/>
      </w:pPr>
      <w:r/>
      <w:bookmarkStart w:id="476" w:name="_Toc164351631"/>
      <w:r/>
      <w:bookmarkStart w:id="477" w:name="_Toc151193635"/>
      <w:r/>
      <w:bookmarkStart w:id="478" w:name="_Toc151190164"/>
      <w:r/>
      <w:bookmarkStart w:id="479" w:name="_Toc305158879"/>
      <w:r/>
      <w:bookmarkStart w:id="480" w:name="_Toc127161451"/>
      <w:r/>
      <w:bookmarkStart w:id="481" w:name="_Toc149720830"/>
      <w:r/>
      <w:bookmarkStart w:id="482" w:name="_Toc305158805"/>
      <w:r/>
      <w:bookmarkStart w:id="483" w:name="_Toc151193851"/>
      <w:r/>
      <w:bookmarkStart w:id="484" w:name="_Toc164229378"/>
      <w:r/>
      <w:bookmarkStart w:id="485" w:name="_Toc264969227"/>
      <w:r/>
      <w:bookmarkStart w:id="486" w:name="_Toc226337233"/>
      <w:r/>
      <w:bookmarkStart w:id="487" w:name="_Toc150774637"/>
      <w:r/>
      <w:bookmarkStart w:id="488" w:name="_Toc195842902"/>
      <w:r/>
      <w:bookmarkStart w:id="489" w:name="_Toc226965810"/>
      <w:r/>
      <w:bookmarkStart w:id="490" w:name="_Toc226309781"/>
      <w:r/>
      <w:bookmarkStart w:id="491" w:name="_Toc151193779"/>
      <w:r/>
      <w:bookmarkStart w:id="492" w:name="_Toc127151738"/>
      <w:r/>
      <w:bookmarkStart w:id="493" w:name="_Toc151193707"/>
      <w:r/>
      <w:bookmarkStart w:id="494" w:name="_Toc164608651"/>
      <w:r/>
      <w:bookmarkStart w:id="495" w:name="_Toc164608806"/>
      <w:r/>
      <w:bookmarkStart w:id="496" w:name="_Toc265228375"/>
      <w:r/>
      <w:bookmarkStart w:id="497" w:name="_Toc151193925"/>
      <w:r/>
      <w:bookmarkStart w:id="498" w:name="_Toc164229232"/>
      <w:r/>
      <w:bookmarkStart w:id="499" w:name="_Toc226965727"/>
      <w:r/>
      <w:bookmarkStart w:id="500" w:name="_Toc127151537"/>
      <w:r/>
      <w:bookmarkStart w:id="501" w:name="_Toc150480775"/>
      <w:r/>
      <w:bookmarkStart w:id="502" w:name="_Toc150509288"/>
      <w:r/>
      <w:bookmarkStart w:id="503" w:name="_Toc142311039"/>
      <w:r/>
      <w:bookmarkStart w:id="504" w:name="_Toc520356162"/>
      <w:r/>
      <w:bookmarkStart w:id="505" w:name="_Toc150774742"/>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ageBreakBefore w:val="0"/>
        <w:spacing w:line="380" w:lineRule="exact"/>
        <w:widowControl w:val="off"/>
        <w:rPr>
          <w:sz w:val="24"/>
        </w:rPr>
      </w:pPr>
      <w:r>
        <w:rPr>
          <w:sz w:val="24"/>
        </w:rPr>
      </w:r>
      <w:r/>
    </w:p>
    <w:p>
      <w:pPr>
        <w:pStyle w:val="885"/>
        <w:pageBreakBefore w:val="0"/>
        <w:spacing w:before="0" w:line="380" w:lineRule="exact"/>
        <w:widowControl w:val="off"/>
        <w:rPr>
          <w:rFonts w:ascii="Times New Roman" w:hAnsi="Times New Roman" w:eastAsia="宋体"/>
          <w:sz w:val="28"/>
        </w:rPr>
      </w:pPr>
      <w:r/>
      <w:bookmarkStart w:id="506" w:name="_Toc127151538"/>
      <w:r/>
      <w:bookmarkStart w:id="507" w:name="_Toc150480776"/>
      <w:r/>
      <w:bookmarkStart w:id="508" w:name="_Toc150774638"/>
      <w:r/>
      <w:bookmarkStart w:id="509" w:name="_Toc195842903"/>
      <w:r/>
      <w:bookmarkStart w:id="510" w:name="_Toc150509289"/>
      <w:r/>
      <w:bookmarkStart w:id="511" w:name="_Toc226337234"/>
      <w:r/>
      <w:bookmarkStart w:id="512" w:name="_Toc150774743"/>
      <w:r/>
      <w:bookmarkStart w:id="513" w:name="_Toc226965811"/>
      <w:r/>
      <w:bookmarkStart w:id="514" w:name="_Toc305158880"/>
      <w:r/>
      <w:bookmarkStart w:id="515" w:name="_Toc305158806"/>
      <w:r/>
      <w:bookmarkStart w:id="516" w:name="_Toc264969228"/>
      <w:r/>
      <w:bookmarkStart w:id="517" w:name="_Toc226965728"/>
      <w:r/>
      <w:bookmarkStart w:id="518" w:name="_Toc151190165"/>
      <w:r/>
      <w:bookmarkStart w:id="519" w:name="_Toc151193636"/>
      <w:r/>
      <w:bookmarkStart w:id="520" w:name="_Toc142311040"/>
      <w:r/>
      <w:bookmarkStart w:id="521" w:name="_Toc151193708"/>
      <w:r/>
      <w:bookmarkStart w:id="522" w:name="_Toc520356163"/>
      <w:r/>
      <w:bookmarkStart w:id="523" w:name="_Toc226309782"/>
      <w:r/>
      <w:bookmarkStart w:id="524" w:name="_Toc151193852"/>
      <w:r/>
      <w:bookmarkStart w:id="525" w:name="_Toc265228376"/>
      <w:r/>
      <w:bookmarkStart w:id="526" w:name="_Toc151193780"/>
      <w:r/>
      <w:bookmarkStart w:id="527" w:name="_Toc151193926"/>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numPr>
          <w:ilvl w:val="0"/>
          <w:numId w:val="8"/>
        </w:numPr>
        <w:ind w:left="357" w:hanging="357"/>
        <w:pageBreakBefore w:val="0"/>
        <w:spacing w:line="380" w:lineRule="exact"/>
        <w:widowControl w:val="off"/>
        <w:tabs>
          <w:tab w:val="left" w:pos="360" w:leader="none"/>
        </w:tabs>
        <w:rPr>
          <w:sz w:val="24"/>
        </w:rPr>
        <w:outlineLvl w:val="1"/>
      </w:pPr>
      <w:r/>
      <w:bookmarkStart w:id="528" w:name="_Toc264969229"/>
      <w:r/>
      <w:bookmarkStart w:id="529" w:name="_Toc520356164"/>
      <w:r/>
      <w:bookmarkStart w:id="530" w:name="_Toc226309783"/>
      <w:r/>
      <w:bookmarkStart w:id="531" w:name="_Toc195842904"/>
      <w:r/>
      <w:bookmarkStart w:id="532" w:name="_Toc164351633"/>
      <w:r/>
      <w:bookmarkStart w:id="533" w:name="_Toc151193927"/>
      <w:r/>
      <w:bookmarkStart w:id="534" w:name="_Toc127161453"/>
      <w:r/>
      <w:bookmarkStart w:id="535" w:name="_Toc164608653"/>
      <w:r/>
      <w:bookmarkStart w:id="536" w:name="_Toc151193637"/>
      <w:r/>
      <w:bookmarkStart w:id="537" w:name="_Toc151193709"/>
      <w:r/>
      <w:bookmarkStart w:id="538" w:name="_Toc151193853"/>
      <w:r/>
      <w:bookmarkStart w:id="539" w:name="_Toc164229234"/>
      <w:r/>
      <w:bookmarkStart w:id="540" w:name="_Toc151190166"/>
      <w:r/>
      <w:bookmarkStart w:id="541" w:name="_Toc150774744"/>
      <w:r/>
      <w:bookmarkStart w:id="542" w:name="_Toc226965729"/>
      <w:r/>
      <w:bookmarkStart w:id="543" w:name="_Toc127151740"/>
      <w:r/>
      <w:bookmarkStart w:id="544" w:name="_Toc265228377"/>
      <w:r/>
      <w:bookmarkStart w:id="545" w:name="_Toc150480777"/>
      <w:r/>
      <w:bookmarkStart w:id="546" w:name="_Toc164229380"/>
      <w:r/>
      <w:bookmarkStart w:id="547" w:name="_Toc164608808"/>
      <w:r/>
      <w:bookmarkStart w:id="548" w:name="_Toc151193781"/>
      <w:r/>
      <w:bookmarkStart w:id="549" w:name="_Toc226337235"/>
      <w:r/>
      <w:bookmarkStart w:id="550" w:name="_Toc226965812"/>
      <w:r/>
      <w:bookmarkStart w:id="551" w:name="_Toc150774639"/>
      <w:r/>
      <w:bookmarkStart w:id="552" w:name="_Toc127151539"/>
      <w:r/>
      <w:bookmarkStart w:id="553" w:name="_Toc305158807"/>
      <w:r/>
      <w:bookmarkStart w:id="554" w:name="_Toc305158881"/>
      <w:r/>
      <w:bookmarkStart w:id="555" w:name="_Toc149720832"/>
      <w:r/>
      <w:bookmarkStart w:id="556" w:name="_Toc150509290"/>
      <w:r/>
      <w:bookmarkStart w:id="557" w:name="_Toc142311041"/>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pageBreakBefore w:val="0"/>
        <w:spacing w:line="380" w:lineRule="exact"/>
        <w:widowControl w:val="off"/>
        <w:tabs>
          <w:tab w:val="left" w:pos="1080" w:leader="none"/>
          <w:tab w:val="left" w:pos="2014" w:leader="none"/>
        </w:tabs>
        <w:rPr>
          <w:rFonts w:hint="eastAsia"/>
          <w:sz w:val="24"/>
        </w:rPr>
      </w:pPr>
      <w:r>
        <w:rPr>
          <w:sz w:val="24"/>
        </w:rPr>
        <w:t xml:space="preserve">投标人不足3家的，不予开标。</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pageBreakBefore w:val="0"/>
        <w:spacing w:line="380" w:lineRule="exact"/>
        <w:widowControl w:val="off"/>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资格审查</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见第三章《资格审查》。</w:t>
      </w:r>
      <w:bookmarkEnd w:id="558"/>
      <w:r/>
      <w:r/>
    </w:p>
    <w:p>
      <w:pPr>
        <w:numPr>
          <w:ilvl w:val="0"/>
          <w:numId w:val="8"/>
        </w:numPr>
        <w:ind w:left="357" w:hanging="357"/>
        <w:pageBreakBefore w:val="0"/>
        <w:spacing w:line="380" w:lineRule="exact"/>
        <w:widowControl w:val="off"/>
        <w:tabs>
          <w:tab w:val="left" w:pos="360" w:leader="none"/>
        </w:tabs>
        <w:rPr>
          <w:sz w:val="24"/>
        </w:rPr>
        <w:outlineLvl w:val="1"/>
      </w:pPr>
      <w:r/>
      <w:bookmarkStart w:id="559" w:name="_Toc305158882"/>
      <w:r/>
      <w:bookmarkStart w:id="560" w:name="_Toc150480778"/>
      <w:r/>
      <w:bookmarkStart w:id="561" w:name="_Toc164608809"/>
      <w:r/>
      <w:bookmarkStart w:id="562" w:name="_Toc226337236"/>
      <w:r/>
      <w:bookmarkStart w:id="563" w:name="_Toc305158808"/>
      <w:r/>
      <w:bookmarkStart w:id="564" w:name="_Toc127161454"/>
      <w:r/>
      <w:bookmarkStart w:id="565" w:name="_Toc226309784"/>
      <w:r/>
      <w:bookmarkStart w:id="566" w:name="_Toc164608654"/>
      <w:r/>
      <w:bookmarkStart w:id="567" w:name="_Toc151193928"/>
      <w:r/>
      <w:bookmarkStart w:id="568" w:name="_Toc151193710"/>
      <w:r/>
      <w:bookmarkStart w:id="569" w:name="_Toc151193638"/>
      <w:r/>
      <w:bookmarkStart w:id="570" w:name="_Toc265228378"/>
      <w:r/>
      <w:bookmarkStart w:id="571" w:name="_Toc164351634"/>
      <w:r/>
      <w:bookmarkStart w:id="572" w:name="_Toc151190167"/>
      <w:r/>
      <w:bookmarkStart w:id="573" w:name="_Toc226965730"/>
      <w:r/>
      <w:bookmarkStart w:id="574" w:name="_Toc142311042"/>
      <w:r/>
      <w:bookmarkStart w:id="575" w:name="_Toc151193854"/>
      <w:r/>
      <w:bookmarkStart w:id="576" w:name="_Toc150774745"/>
      <w:r/>
      <w:bookmarkStart w:id="577" w:name="_Toc226965813"/>
      <w:r/>
      <w:bookmarkStart w:id="578" w:name="_Toc264969230"/>
      <w:r/>
      <w:bookmarkStart w:id="579" w:name="_Toc164229381"/>
      <w:r/>
      <w:bookmarkStart w:id="580" w:name="_Toc149720833"/>
      <w:r/>
      <w:bookmarkStart w:id="581" w:name="_Toc150774640"/>
      <w:r/>
      <w:bookmarkStart w:id="582" w:name="_Toc150509291"/>
      <w:r/>
      <w:bookmarkStart w:id="583" w:name="_Toc127151540"/>
      <w:r/>
      <w:bookmarkStart w:id="584" w:name="_Toc127151741"/>
      <w:r/>
      <w:bookmarkStart w:id="585" w:name="_Toc151193782"/>
      <w:r/>
      <w:bookmarkStart w:id="586" w:name="_Toc164229235"/>
      <w:r/>
      <w:bookmarkStart w:id="587" w:name="_Toc195842905"/>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评标程序、评标方法和评标标准</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见第四章《评标程序、评标方法和评标标准》。</w:t>
      </w:r>
      <w:r/>
    </w:p>
    <w:p>
      <w:pPr>
        <w:ind w:left="1080"/>
        <w:pageBreakBefore w:val="0"/>
        <w:spacing w:line="380" w:lineRule="exact"/>
        <w:widowControl w:val="off"/>
        <w:tabs>
          <w:tab w:val="left" w:pos="360" w:leader="none"/>
          <w:tab w:val="left" w:pos="1080" w:leader="none"/>
        </w:tabs>
        <w:rPr>
          <w:sz w:val="24"/>
        </w:rPr>
      </w:pPr>
      <w:r>
        <w:rPr>
          <w:sz w:val="24"/>
        </w:rPr>
      </w:r>
      <w:r/>
    </w:p>
    <w:p>
      <w:pPr>
        <w:pStyle w:val="885"/>
        <w:pageBreakBefore w:val="0"/>
        <w:spacing w:before="0" w:line="380" w:lineRule="exact"/>
        <w:widowControl w:val="off"/>
        <w:rPr>
          <w:rFonts w:ascii="Times New Roman" w:hAnsi="Times New Roman" w:eastAsia="宋体"/>
          <w:sz w:val="28"/>
        </w:rPr>
      </w:pPr>
      <w:r/>
      <w:bookmarkStart w:id="590" w:name="_Toc226965735"/>
      <w:r/>
      <w:bookmarkStart w:id="591" w:name="_Toc150774750"/>
      <w:r/>
      <w:bookmarkStart w:id="592" w:name="_Toc264969235"/>
      <w:r/>
      <w:bookmarkStart w:id="593" w:name="_Toc150480783"/>
      <w:r/>
      <w:bookmarkStart w:id="594" w:name="_Toc305158887"/>
      <w:r/>
      <w:bookmarkStart w:id="595" w:name="_Toc151193933"/>
      <w:r/>
      <w:bookmarkStart w:id="596" w:name="_Toc151193787"/>
      <w:r/>
      <w:bookmarkStart w:id="597" w:name="_Toc150509296"/>
      <w:r/>
      <w:bookmarkStart w:id="598" w:name="_Toc151193643"/>
      <w:r/>
      <w:bookmarkStart w:id="599" w:name="_Toc151193715"/>
      <w:r/>
      <w:bookmarkStart w:id="600" w:name="_Toc150774645"/>
      <w:r/>
      <w:bookmarkStart w:id="601" w:name="_Toc151193859"/>
      <w:r/>
      <w:bookmarkStart w:id="602" w:name="_Toc265228383"/>
      <w:r/>
      <w:bookmarkStart w:id="603" w:name="_Toc151190172"/>
      <w:r/>
      <w:bookmarkStart w:id="604" w:name="_Toc226337241"/>
      <w:r/>
      <w:bookmarkStart w:id="605" w:name="_Toc195842910"/>
      <w:r/>
      <w:bookmarkStart w:id="606" w:name="_Toc226309789"/>
      <w:r/>
      <w:bookmarkStart w:id="607" w:name="_Toc305158813"/>
      <w:r/>
      <w:bookmarkStart w:id="608" w:name="_Toc127151545"/>
      <w:r/>
      <w:bookmarkStart w:id="609" w:name="_Toc142311047"/>
      <w:r/>
      <w:bookmarkStart w:id="610" w:name="_Toc226965818"/>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64608661"/>
      <w:r/>
      <w:bookmarkStart w:id="612" w:name="_Toc226309791"/>
      <w:r/>
      <w:bookmarkStart w:id="613" w:name="_Toc164229388"/>
      <w:r/>
      <w:bookmarkStart w:id="614" w:name="_Toc142311049"/>
      <w:r/>
      <w:bookmarkStart w:id="615" w:name="_Toc264969237"/>
      <w:r/>
      <w:bookmarkStart w:id="616" w:name="_Toc305158889"/>
      <w:r/>
      <w:bookmarkStart w:id="617" w:name="_Toc195842912"/>
      <w:r/>
      <w:bookmarkStart w:id="618" w:name="_Toc151190174"/>
      <w:r/>
      <w:bookmarkStart w:id="619" w:name="_Toc127161461"/>
      <w:r/>
      <w:bookmarkStart w:id="620" w:name="_Toc226965737"/>
      <w:r/>
      <w:bookmarkStart w:id="621" w:name="_Toc265228385"/>
      <w:r/>
      <w:bookmarkStart w:id="622" w:name="_Toc150774752"/>
      <w:r/>
      <w:bookmarkStart w:id="623" w:name="_Toc150480785"/>
      <w:r/>
      <w:bookmarkStart w:id="624" w:name="_Toc151193717"/>
      <w:r/>
      <w:bookmarkStart w:id="625" w:name="_Toc164351641"/>
      <w:r/>
      <w:bookmarkStart w:id="626" w:name="_Toc164608816"/>
      <w:r/>
      <w:bookmarkStart w:id="627" w:name="_Toc127151748"/>
      <w:r/>
      <w:bookmarkStart w:id="628" w:name="_Toc150774647"/>
      <w:r/>
      <w:bookmarkStart w:id="629" w:name="_Toc151193861"/>
      <w:r/>
      <w:bookmarkStart w:id="630" w:name="_Toc127151547"/>
      <w:r/>
      <w:bookmarkStart w:id="631" w:name="_Toc151193789"/>
      <w:r/>
      <w:bookmarkStart w:id="632" w:name="_Toc164229242"/>
      <w:r/>
      <w:bookmarkStart w:id="633" w:name="_Toc151193935"/>
      <w:r/>
      <w:bookmarkStart w:id="634" w:name="_Toc305158815"/>
      <w:r/>
      <w:bookmarkStart w:id="635" w:name="_Toc150509298"/>
      <w:r/>
      <w:bookmarkStart w:id="636" w:name="_Toc151193645"/>
      <w:r/>
      <w:bookmarkStart w:id="637" w:name="_Toc149720840"/>
      <w:r/>
      <w:bookmarkStart w:id="638" w:name="_Toc226337243"/>
      <w:r/>
      <w:bookmarkStart w:id="639" w:name="_Toc226965820"/>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采购人将在评标报告确定的中标候选人名单中按顺序确定中标人，中标候选人并列的，</w:t>
      </w:r>
      <w:r>
        <w:rPr>
          <w:sz w:val="24"/>
          <w:highlight w:val="none"/>
        </w:rPr>
        <w:t xml:space="preserve">由</w:t>
      </w:r>
      <w:r>
        <w:rPr>
          <w:rFonts w:hint="eastAsia"/>
          <w:sz w:val="24"/>
          <w:highlight w:val="none"/>
          <w:lang w:val="en-US" w:eastAsia="zh-CN"/>
        </w:rPr>
        <w:t xml:space="preserve">评标小组现场抽取</w:t>
      </w:r>
      <w:r>
        <w:rPr>
          <w:sz w:val="24"/>
          <w:highlight w:val="none"/>
        </w:rPr>
        <w:t xml:space="preserve">确定</w:t>
      </w:r>
      <w:r>
        <w:rPr>
          <w:rFonts w:hint="eastAsia"/>
          <w:sz w:val="24"/>
          <w:highlight w:val="none"/>
        </w:rPr>
        <w:t xml:space="preserve">。</w:t>
      </w:r>
      <w:r/>
    </w:p>
    <w:p>
      <w:pPr>
        <w:numPr>
          <w:ilvl w:val="0"/>
          <w:numId w:val="8"/>
        </w:numPr>
        <w:ind w:left="357" w:hanging="357"/>
        <w:pageBreakBefore w:val="0"/>
        <w:spacing w:line="380" w:lineRule="exact"/>
        <w:widowControl w:val="off"/>
        <w:tabs>
          <w:tab w:val="left" w:pos="360" w:leader="none"/>
        </w:tabs>
        <w:rPr>
          <w:sz w:val="24"/>
        </w:rPr>
        <w:outlineLvl w:val="1"/>
      </w:pPr>
      <w:r/>
      <w:bookmarkStart w:id="640" w:name="_Toc305158817"/>
      <w:r/>
      <w:bookmarkStart w:id="641" w:name="_Toc305158891"/>
      <w:r/>
      <w:bookmarkStart w:id="642" w:name="_Toc164608818"/>
      <w:r/>
      <w:bookmarkStart w:id="643" w:name="_Toc164229390"/>
      <w:r/>
      <w:bookmarkStart w:id="644" w:name="_Toc264969239"/>
      <w:r/>
      <w:bookmarkStart w:id="645" w:name="_Toc127161463"/>
      <w:r/>
      <w:bookmarkStart w:id="646" w:name="_Toc127151549"/>
      <w:r/>
      <w:bookmarkStart w:id="647" w:name="_Toc265228387"/>
      <w:r/>
      <w:bookmarkStart w:id="648" w:name="_Toc226965822"/>
      <w:r/>
      <w:bookmarkStart w:id="649" w:name="_Toc149720842"/>
      <w:r/>
      <w:bookmarkStart w:id="650" w:name="_Toc142311051"/>
      <w:r/>
      <w:bookmarkStart w:id="651" w:name="_Toc151193863"/>
      <w:r/>
      <w:bookmarkStart w:id="652" w:name="_Toc150509300"/>
      <w:r/>
      <w:bookmarkStart w:id="653" w:name="_Toc150480787"/>
      <w:r/>
      <w:bookmarkStart w:id="654" w:name="_Toc164229244"/>
      <w:r/>
      <w:bookmarkStart w:id="655" w:name="_Toc164608663"/>
      <w:r/>
      <w:bookmarkStart w:id="656" w:name="_Toc151193937"/>
      <w:r/>
      <w:bookmarkStart w:id="657" w:name="_Toc226337245"/>
      <w:r/>
      <w:bookmarkStart w:id="658" w:name="_Toc226309793"/>
      <w:r/>
      <w:bookmarkStart w:id="659" w:name="_Toc164351643"/>
      <w:r/>
      <w:bookmarkStart w:id="660" w:name="_Toc150774754"/>
      <w:r/>
      <w:bookmarkStart w:id="661" w:name="_Toc151190176"/>
      <w:r/>
      <w:bookmarkStart w:id="662" w:name="_Toc151193647"/>
      <w:r/>
      <w:bookmarkStart w:id="663" w:name="_Toc195842914"/>
      <w:r/>
      <w:bookmarkStart w:id="664" w:name="_Toc226965739"/>
      <w:r/>
      <w:bookmarkStart w:id="665" w:name="_Toc150774649"/>
      <w:r/>
      <w:bookmarkStart w:id="666" w:name="_Toc151193791"/>
      <w:r/>
      <w:bookmarkStart w:id="667" w:name="_Toc151193719"/>
      <w:r/>
      <w:bookmarkStart w:id="668" w:name="_Toc127151750"/>
      <w:r/>
      <w:bookmarkStart w:id="669" w:name="_Ref467307090"/>
      <w:r/>
      <w:bookmarkStart w:id="670" w:name="_Toc520356176"/>
      <w:r/>
      <w:bookmarkStart w:id="671" w:name="_Ref467306425"/>
      <w:r>
        <w:rPr>
          <w:sz w:val="24"/>
        </w:rPr>
        <w:t xml:space="preserve">中标公告与中标通知书</w:t>
      </w:r>
      <w:bookmarkEnd w:id="640"/>
      <w:r/>
      <w:bookmarkEnd w:id="641"/>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废标</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在招标采购中，出现下列情形之一的，应予废标：</w:t>
      </w:r>
      <w:r/>
    </w:p>
    <w:p>
      <w:pPr>
        <w:numPr>
          <w:ilvl w:val="2"/>
          <w:numId w:val="8"/>
        </w:numPr>
        <w:pageBreakBefore w:val="0"/>
        <w:spacing w:line="380" w:lineRule="exact"/>
        <w:widowControl w:val="off"/>
        <w:rPr>
          <w:sz w:val="24"/>
        </w:rPr>
      </w:pPr>
      <w:r>
        <w:rPr>
          <w:sz w:val="24"/>
        </w:rPr>
        <w:t xml:space="preserve">符合专业条件的供应商或者对招标文件作实质响应的供应商不足三家的；</w:t>
      </w:r>
      <w:r/>
    </w:p>
    <w:p>
      <w:pPr>
        <w:numPr>
          <w:ilvl w:val="2"/>
          <w:numId w:val="8"/>
        </w:numPr>
        <w:pageBreakBefore w:val="0"/>
        <w:spacing w:line="380" w:lineRule="exact"/>
        <w:widowControl w:val="off"/>
        <w:rPr>
          <w:sz w:val="24"/>
        </w:rPr>
      </w:pPr>
      <w:r>
        <w:rPr>
          <w:sz w:val="24"/>
        </w:rPr>
        <w:t xml:space="preserve">出现影响采购公正的违法、违规行为的；</w:t>
      </w:r>
      <w:r/>
    </w:p>
    <w:p>
      <w:pPr>
        <w:numPr>
          <w:ilvl w:val="2"/>
          <w:numId w:val="8"/>
        </w:numPr>
        <w:pageBreakBefore w:val="0"/>
        <w:spacing w:line="380" w:lineRule="exact"/>
        <w:widowControl w:val="off"/>
        <w:rPr>
          <w:sz w:val="24"/>
        </w:rPr>
      </w:pPr>
      <w:r>
        <w:rPr>
          <w:sz w:val="24"/>
        </w:rPr>
        <w:t xml:space="preserve">投标人的报价均超过了采购预算，采购人不能支付的；</w:t>
      </w:r>
      <w:r/>
    </w:p>
    <w:p>
      <w:pPr>
        <w:numPr>
          <w:ilvl w:val="2"/>
          <w:numId w:val="8"/>
        </w:numPr>
        <w:pageBreakBefore w:val="0"/>
        <w:spacing w:line="380" w:lineRule="exact"/>
        <w:widowControl w:val="off"/>
        <w:rPr>
          <w:rFonts w:hint="eastAsia"/>
          <w:sz w:val="24"/>
        </w:rPr>
      </w:pPr>
      <w:r>
        <w:rPr>
          <w:sz w:val="24"/>
        </w:rPr>
        <w:t xml:space="preserve">因重大变故，采购任务取消的。</w:t>
      </w:r>
      <w:r/>
    </w:p>
    <w:p>
      <w:pPr>
        <w:numPr>
          <w:ilvl w:val="2"/>
          <w:numId w:val="8"/>
        </w:numPr>
        <w:pageBreakBefore w:val="0"/>
        <w:spacing w:line="380" w:lineRule="exact"/>
        <w:widowControl w:val="off"/>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废标后，采购人将废标理由通知所有投标人。</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0"/>
          <w:numId w:val="8"/>
        </w:numPr>
        <w:ind w:left="357" w:hanging="357"/>
        <w:pageBreakBefore w:val="0"/>
        <w:spacing w:line="380" w:lineRule="exact"/>
        <w:widowControl w:val="off"/>
        <w:tabs>
          <w:tab w:val="left" w:pos="360" w:leader="none"/>
        </w:tabs>
        <w:rPr>
          <w:sz w:val="24"/>
        </w:rPr>
        <w:outlineLvl w:val="1"/>
      </w:pPr>
      <w:r/>
      <w:bookmarkStart w:id="672" w:name="_Toc149720843"/>
      <w:r/>
      <w:bookmarkStart w:id="673" w:name="_Toc151193648"/>
      <w:r/>
      <w:bookmarkStart w:id="674" w:name="_Ref467307204"/>
      <w:r/>
      <w:bookmarkStart w:id="675" w:name="_Ref467306377"/>
      <w:r/>
      <w:bookmarkStart w:id="676" w:name="_Toc127151751"/>
      <w:r/>
      <w:bookmarkStart w:id="677" w:name="_Toc150774755"/>
      <w:r/>
      <w:bookmarkStart w:id="678" w:name="_Toc127151550"/>
      <w:r/>
      <w:bookmarkStart w:id="679" w:name="_Toc150774650"/>
      <w:r/>
      <w:bookmarkStart w:id="680" w:name="_Toc195842915"/>
      <w:r/>
      <w:bookmarkStart w:id="681" w:name="_Toc226337246"/>
      <w:r/>
      <w:bookmarkStart w:id="682" w:name="_Toc305158892"/>
      <w:r/>
      <w:bookmarkStart w:id="683" w:name="_Toc151193792"/>
      <w:r/>
      <w:bookmarkStart w:id="684" w:name="_Toc150509301"/>
      <w:r/>
      <w:bookmarkStart w:id="685" w:name="_Toc150480788"/>
      <w:r/>
      <w:bookmarkStart w:id="686" w:name="_Toc142311052"/>
      <w:r/>
      <w:bookmarkStart w:id="687" w:name="_Toc164608664"/>
      <w:r/>
      <w:bookmarkStart w:id="688" w:name="_Toc265228388"/>
      <w:r/>
      <w:bookmarkStart w:id="689" w:name="_Toc151193864"/>
      <w:r/>
      <w:bookmarkStart w:id="690" w:name="_Ref467307062"/>
      <w:r/>
      <w:bookmarkStart w:id="691" w:name="_Toc520356175"/>
      <w:r/>
      <w:bookmarkStart w:id="692" w:name="_Toc151190177"/>
      <w:r/>
      <w:bookmarkStart w:id="693" w:name="_Toc226309794"/>
      <w:r/>
      <w:bookmarkStart w:id="694" w:name="_Toc164229245"/>
      <w:r/>
      <w:bookmarkStart w:id="695" w:name="_Toc226965823"/>
      <w:r/>
      <w:bookmarkStart w:id="696" w:name="_Toc164608819"/>
      <w:r/>
      <w:bookmarkStart w:id="697" w:name="_Toc151193720"/>
      <w:r/>
      <w:bookmarkStart w:id="698" w:name="_Toc151193938"/>
      <w:r/>
      <w:bookmarkStart w:id="699" w:name="_Ref467306978"/>
      <w:r/>
      <w:bookmarkStart w:id="700" w:name="_Toc127161464"/>
      <w:r/>
      <w:bookmarkStart w:id="701" w:name="_Toc264969240"/>
      <w:r/>
      <w:bookmarkStart w:id="702" w:name="_Toc226965740"/>
      <w:r/>
      <w:bookmarkStart w:id="703" w:name="_Toc164351644"/>
      <w:r/>
      <w:bookmarkStart w:id="704" w:name="_Toc164229391"/>
      <w:r/>
      <w:bookmarkStart w:id="705" w:name="_Toc305158818"/>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政府采购合同不能转包。</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69"/>
      <w:r/>
      <w:bookmarkEnd w:id="670"/>
      <w:r/>
      <w:bookmarkEnd w:id="671"/>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询问与质疑</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询问</w:t>
      </w:r>
      <w:r/>
    </w:p>
    <w:p>
      <w:pPr>
        <w:numPr>
          <w:ilvl w:val="2"/>
          <w:numId w:val="8"/>
        </w:numPr>
        <w:pageBreakBefore w:val="0"/>
        <w:spacing w:line="380" w:lineRule="exact"/>
        <w:widowControl w:val="off"/>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pageBreakBefore w:val="0"/>
        <w:spacing w:line="380" w:lineRule="exact"/>
        <w:widowControl w:val="off"/>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质疑</w:t>
      </w:r>
      <w:r/>
    </w:p>
    <w:p>
      <w:pPr>
        <w:numPr>
          <w:ilvl w:val="2"/>
          <w:numId w:val="8"/>
        </w:numPr>
        <w:pageBreakBefore w:val="0"/>
        <w:spacing w:line="380" w:lineRule="exact"/>
        <w:widowControl w:val="off"/>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pageBreakBefore w:val="0"/>
        <w:spacing w:line="380" w:lineRule="exact"/>
        <w:widowControl w:val="off"/>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pageBreakBefore w:val="0"/>
        <w:spacing w:line="380" w:lineRule="exact"/>
        <w:widowControl w:val="off"/>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60"/>
        </w:rPr>
        <w:t xml:space="preserve">http://gk</w:t>
      </w:r>
      <w:bookmarkStart w:id="706" w:name="_Hlt100654014"/>
      <w:r>
        <w:rPr>
          <w:rStyle w:val="960"/>
        </w:rPr>
        <w:t xml:space="preserve">s</w:t>
      </w:r>
      <w:bookmarkEnd w:id="706"/>
      <w:r>
        <w:rPr>
          <w:rStyle w:val="960"/>
        </w:rPr>
        <w:t xml:space="preserve">.m</w:t>
      </w:r>
      <w:bookmarkStart w:id="707" w:name="_Hlt100653994"/>
      <w:r/>
      <w:bookmarkStart w:id="708" w:name="_Hlt100653993"/>
      <w:r>
        <w:rPr>
          <w:rStyle w:val="960"/>
        </w:rPr>
        <w:t xml:space="preserve">o</w:t>
      </w:r>
      <w:bookmarkEnd w:id="707"/>
      <w:r/>
      <w:bookmarkEnd w:id="708"/>
      <w:r>
        <w:rPr>
          <w:rStyle w:val="960"/>
        </w:rPr>
        <w:t xml:space="preserve">f.gov.cn/ztztz/zhengfucaigouguanli/201802/t20180201_2804589.htm</w:t>
      </w:r>
      <w:r>
        <w:fldChar w:fldCharType="end"/>
      </w:r>
      <w:r>
        <w:rPr>
          <w:rFonts w:hint="eastAsia"/>
        </w:rPr>
        <w:t xml:space="preserve">）</w:t>
      </w:r>
      <w:r/>
    </w:p>
    <w:p>
      <w:pPr>
        <w:numPr>
          <w:ilvl w:val="2"/>
          <w:numId w:val="8"/>
        </w:numPr>
        <w:pageBreakBefore w:val="0"/>
        <w:spacing w:line="380" w:lineRule="exact"/>
        <w:widowControl w:val="off"/>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pageBreakBefore w:val="0"/>
        <w:spacing w:line="380" w:lineRule="exact"/>
        <w:widowControl w:val="off"/>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pageBreakBefore w:val="0"/>
        <w:spacing w:line="380" w:lineRule="exact"/>
        <w:widowControl w:val="off"/>
        <w:tabs>
          <w:tab w:val="left" w:pos="360" w:leader="none"/>
        </w:tabs>
        <w:rPr>
          <w:sz w:val="24"/>
        </w:rPr>
        <w:outlineLvl w:val="1"/>
      </w:pPr>
      <w:r>
        <w:rPr>
          <w:sz w:val="24"/>
        </w:rPr>
        <w:t xml:space="preserve">代理费</w:t>
      </w:r>
      <w:r/>
    </w:p>
    <w:p>
      <w:pPr>
        <w:numPr>
          <w:ilvl w:val="1"/>
          <w:numId w:val="8"/>
        </w:numPr>
        <w:ind w:left="1077" w:hanging="720"/>
        <w:pageBreakBefore w:val="0"/>
        <w:spacing w:line="380" w:lineRule="exact"/>
        <w:widowControl w:val="off"/>
        <w:tabs>
          <w:tab w:val="left" w:pos="1080" w:leader="none"/>
          <w:tab w:val="left" w:pos="2014" w:leader="none"/>
        </w:tabs>
        <w:rPr>
          <w:sz w:val="24"/>
        </w:rPr>
      </w:pPr>
      <w:r>
        <w:rPr>
          <w:sz w:val="24"/>
        </w:rPr>
        <w:t xml:space="preserve">收费对象、收费标准及缴纳时间见《投标人须知资料表》。</w:t>
      </w:r>
      <w:r/>
    </w:p>
    <w:p>
      <w:pPr>
        <w:ind w:left="360"/>
        <w:spacing w:line="360" w:lineRule="auto"/>
        <w:tabs>
          <w:tab w:val="left" w:pos="360" w:leader="none"/>
          <w:tab w:val="left" w:pos="1080" w:leader="none"/>
        </w:tabs>
        <w:rPr>
          <w:sz w:val="24"/>
        </w:rPr>
      </w:pPr>
      <w:r>
        <w:rPr>
          <w:sz w:val="24"/>
        </w:rPr>
      </w:r>
      <w:r/>
    </w:p>
    <w:p>
      <w:pPr>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305158822"/>
      <w:r/>
      <w:bookmarkStart w:id="710" w:name="_Toc353873934"/>
      <w:r/>
      <w:bookmarkStart w:id="711" w:name="_Toc305158896"/>
      <w:r/>
      <w:bookmarkStart w:id="712" w:name="_Toc142311056"/>
      <w:r/>
      <w:bookmarkStart w:id="713" w:name="_Toc150774759"/>
      <w:r/>
      <w:bookmarkStart w:id="714" w:name="_Toc127151554"/>
      <w:r/>
      <w:bookmarkStart w:id="715" w:name="_Toc264969244"/>
      <w:r/>
      <w:bookmarkStart w:id="716" w:name="_Toc226337250"/>
      <w:r/>
      <w:bookmarkStart w:id="717" w:name="_Toc353825544"/>
      <w:r/>
      <w:bookmarkStart w:id="718" w:name="_Toc353873664"/>
      <w:r/>
      <w:bookmarkStart w:id="719" w:name="_Toc226965827"/>
      <w:r/>
      <w:bookmarkStart w:id="720" w:name="_Toc150480792"/>
      <w:r/>
      <w:bookmarkStart w:id="721" w:name="_Toc265228392"/>
      <w:r/>
      <w:bookmarkStart w:id="722" w:name="_Toc99301421"/>
      <w:r/>
      <w:r/>
    </w:p>
    <w:p>
      <w:pPr>
        <w:jc w:val="center"/>
        <w:spacing w:line="240" w:lineRule="auto"/>
        <w:rPr>
          <w:b/>
          <w:sz w:val="36"/>
          <w:szCs w:val="36"/>
        </w:rPr>
        <w:outlineLvl w:val="0"/>
      </w:pPr>
      <w:r>
        <w:rPr>
          <w:b/>
          <w:sz w:val="36"/>
          <w:szCs w:val="36"/>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b/>
          <w:sz w:val="36"/>
          <w:szCs w:val="36"/>
        </w:rPr>
        <w:t xml:space="preserve">资格审查</w:t>
      </w:r>
      <w:bookmarkEnd w:id="722"/>
      <w:r/>
      <w:bookmarkStart w:id="723" w:name="_Toc487900382"/>
      <w:r/>
      <w:r/>
    </w:p>
    <w:p>
      <w:pPr>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
    </w:p>
    <w:p>
      <w:pPr>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p>
    <w:p>
      <w:pPr>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p>
    <w:p>
      <w:pPr>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p>
    <w:tbl>
      <w:tblPr>
        <w:tblStyle w:val="70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jc w:val="center"/>
          <w:trHeight w:val="468"/>
          <w:tblHeader/>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p>
        </w:tc>
        <w:tc>
          <w:tcPr>
            <w:tcW w:w="1231"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p>
        </w:tc>
        <w:tc>
          <w:tcPr>
            <w:tcW w:w="2470"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p>
        </w:tc>
        <w:tc>
          <w:tcPr>
            <w:tcW w:w="936"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p>
        </w:tc>
      </w:tr>
      <w:tr>
        <w:trPr>
          <w:jc w:val="center"/>
          <w:trHeight w:val="1380"/>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p>
        </w:tc>
        <w:tc>
          <w:tcPr>
            <w:tcW w:w="1231"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p>
        </w:tc>
        <w:tc>
          <w:tcPr>
            <w:tcW w:w="2470"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p>
        </w:tc>
        <w:tc>
          <w:tcPr>
            <w:tcW w:w="93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855"/>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p>
        </w:tc>
        <w:tc>
          <w:tcPr>
            <w:tcW w:w="1231"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p>
        </w:tc>
        <w:tc>
          <w:tcPr>
            <w:tcW w:w="2470"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p>
        </w:tc>
        <w:tc>
          <w:tcPr>
            <w:tcW w:w="93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p>
        </w:tc>
      </w:tr>
      <w:tr>
        <w:trPr>
          <w:jc w:val="center"/>
          <w:trHeight w:val="468"/>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p>
        </w:tc>
        <w:tc>
          <w:tcPr>
            <w:tcW w:w="1231"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p>
        </w:tc>
        <w:tc>
          <w:tcPr>
            <w:tcW w:w="2470"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p>
          <w:p>
            <w:pPr>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p>
          <w:p>
            <w:pPr>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p>
          <w:p>
            <w:pPr>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p>
        </w:tc>
        <w:tc>
          <w:tcPr>
            <w:tcW w:w="93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p>
        </w:tc>
      </w:tr>
      <w:tr>
        <w:trPr>
          <w:jc w:val="center"/>
          <w:trHeight w:val="820"/>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p>
        </w:tc>
        <w:tc>
          <w:tcPr>
            <w:tcW w:w="1231"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p>
        </w:tc>
        <w:tc>
          <w:tcPr>
            <w:tcW w:w="2470"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p>
        </w:tc>
        <w:tc>
          <w:tcPr>
            <w:tcW w:w="93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820"/>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rFonts w:eastAsia="宋体"/>
                <w:sz w:val="24"/>
                <w:szCs w:val="24"/>
                <w:lang w:val="en-US" w:eastAsia="zh-CN" w:bidi="ar-SA"/>
              </w:rPr>
            </w:pPr>
            <w:r>
              <w:rPr>
                <w:rFonts w:hint="eastAsia"/>
                <w:sz w:val="24"/>
                <w:szCs w:val="24"/>
                <w:lang w:val="en-US" w:eastAsia="zh-CN"/>
              </w:rPr>
              <w:t xml:space="preserve">2-1</w:t>
            </w:r>
            <w:r/>
          </w:p>
        </w:tc>
        <w:tc>
          <w:tcPr>
            <w:tcW w:w="1231" w:type="dxa"/>
            <w:vAlign w:val="center"/>
            <w:textDirection w:val="lrTb"/>
            <w:noWrap w:val="false"/>
          </w:tcPr>
          <w:p>
            <w:pPr>
              <w:tabs>
                <w:tab w:val="left" w:pos="1080" w:leader="none"/>
              </w:tabs>
              <w:rPr>
                <w:rFonts w:eastAsia="宋体"/>
                <w:sz w:val="24"/>
                <w:szCs w:val="24"/>
                <w:lang w:val="en-US" w:eastAsia="zh-CN" w:bidi="ar-SA"/>
              </w:rPr>
            </w:pPr>
            <w:r>
              <w:rPr>
                <w:sz w:val="24"/>
              </w:rPr>
              <w:t xml:space="preserve">中小企业声明函</w:t>
            </w:r>
            <w:r>
              <w:rPr>
                <w:rFonts w:hint="eastAsia"/>
                <w:sz w:val="24"/>
                <w:lang w:eastAsia="zh-CN"/>
              </w:rPr>
              <w:t xml:space="preserve">（</w:t>
            </w:r>
            <w:r>
              <w:rPr>
                <w:rFonts w:hint="eastAsia"/>
                <w:sz w:val="24"/>
                <w:lang w:val="en-US" w:eastAsia="zh-CN"/>
              </w:rPr>
              <w:t xml:space="preserve">如需要</w:t>
            </w:r>
            <w:r>
              <w:rPr>
                <w:rFonts w:hint="eastAsia"/>
                <w:sz w:val="24"/>
                <w:lang w:eastAsia="zh-CN"/>
              </w:rPr>
              <w:t xml:space="preserve">）</w:t>
            </w:r>
            <w:r/>
          </w:p>
        </w:tc>
        <w:tc>
          <w:tcPr>
            <w:tcW w:w="2470" w:type="dxa"/>
            <w:vAlign w:val="center"/>
            <w:textDirection w:val="lrTb"/>
            <w:noWrap w:val="false"/>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szCs w:val="24"/>
                <w:lang w:val="en-US" w:eastAsia="zh-CN" w:bidi="ar-SA"/>
              </w:rPr>
            </w:pPr>
            <w:r>
              <w:rPr>
                <w:rFonts w:hint="eastAsia"/>
                <w:sz w:val="24"/>
              </w:rPr>
              <w:t xml:space="preserve">注2：</w:t>
            </w:r>
            <w:r>
              <w:rPr>
                <w:sz w:val="24"/>
              </w:rPr>
              <w:t xml:space="preserve">残疾人福利性单位须按招标文件要求提供《残疾人福利性单位声明函》。</w:t>
            </w:r>
            <w:r/>
          </w:p>
        </w:tc>
        <w:tc>
          <w:tcPr>
            <w:tcW w:w="936" w:type="dxa"/>
            <w:vAlign w:val="center"/>
            <w:textDirection w:val="lrTb"/>
            <w:noWrap w:val="false"/>
          </w:tcPr>
          <w:p>
            <w:pPr>
              <w:tabs>
                <w:tab w:val="left" w:pos="1080" w:leader="none"/>
              </w:tabs>
              <w:rPr>
                <w:sz w:val="24"/>
                <w:szCs w:val="24"/>
                <w:lang w:val="en-US" w:eastAsia="zh-CN" w:bidi="ar-SA"/>
              </w:rPr>
            </w:pPr>
            <w:r>
              <w:rPr>
                <w:sz w:val="24"/>
              </w:rPr>
              <w:t xml:space="preserve">格式见《投标文件格式》</w:t>
            </w:r>
            <w:r/>
          </w:p>
        </w:tc>
      </w:tr>
      <w:tr>
        <w:trPr>
          <w:jc w:val="center"/>
          <w:trHeight w:val="845"/>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p>
        </w:tc>
        <w:tc>
          <w:tcPr>
            <w:tcW w:w="1231"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rFonts w:hint="eastAsia"/>
                <w:sz w:val="24"/>
                <w:szCs w:val="24"/>
                <w:lang w:eastAsia="zh-CN"/>
              </w:rPr>
              <w:t xml:space="preserve">其他</w:t>
            </w:r>
            <w:r>
              <w:rPr>
                <w:sz w:val="24"/>
                <w:szCs w:val="24"/>
              </w:rPr>
              <w:t xml:space="preserve">落实政府采购政策的资格要求</w:t>
            </w:r>
            <w:r/>
          </w:p>
        </w:tc>
        <w:tc>
          <w:tcPr>
            <w:tcW w:w="2470"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p>
        </w:tc>
        <w:tc>
          <w:tcPr>
            <w:tcW w:w="93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p>
        </w:tc>
      </w:tr>
      <w:tr>
        <w:trPr>
          <w:jc w:val="center"/>
          <w:trHeight w:val="533"/>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p>
        </w:tc>
        <w:tc>
          <w:tcPr>
            <w:tcW w:w="1231"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p>
        </w:tc>
        <w:tc>
          <w:tcPr>
            <w:tcW w:w="2470"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p>
        </w:tc>
        <w:tc>
          <w:tcPr>
            <w:tcW w:w="93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460"/>
        </w:trPr>
        <w:tc>
          <w:tcPr>
            <w:tcW w:w="361"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p>
        </w:tc>
        <w:tc>
          <w:tcPr>
            <w:tcW w:w="1231"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p>
        </w:tc>
        <w:tc>
          <w:tcPr>
            <w:tcW w:w="2470"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p>
        </w:tc>
        <w:tc>
          <w:tcPr>
            <w:tcW w:w="93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r/>
          </w:p>
        </w:tc>
      </w:tr>
    </w:tbl>
    <w:p>
      <w:pPr>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Start w:id="726" w:name="_Toc127151779"/>
      <w:r/>
      <w:bookmarkStart w:id="727" w:name="_Toc353873940"/>
      <w:r/>
      <w:bookmarkStart w:id="728" w:name="_Toc226965858"/>
      <w:r/>
      <w:bookmarkStart w:id="729" w:name="_Toc353825550"/>
      <w:r/>
      <w:bookmarkStart w:id="730" w:name="_Toc127161490"/>
      <w:r/>
      <w:bookmarkStart w:id="731" w:name="_Toc99301423"/>
      <w:r/>
      <w:r/>
    </w:p>
    <w:p>
      <w:pPr>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
    </w:p>
    <w:p>
      <w:pPr>
        <w:ind w:left="0"/>
        <w:jc w:val="center"/>
        <w:keepLines w:val="0"/>
        <w:keepNext w:val="0"/>
        <w:pageBreakBefore w:val="0"/>
        <w:spacing w:line="400" w:lineRule="exact"/>
        <w:widowControl w:val="off"/>
        <w:tabs>
          <w:tab w:val="left" w:pos="360" w:leader="none"/>
          <w:tab w:val="left" w:pos="900" w:leader="none"/>
        </w:tabs>
        <w:rPr>
          <w:rFonts w:hint="eastAsia"/>
          <w:b/>
          <w:sz w:val="24"/>
          <w:szCs w:val="24"/>
        </w:rPr>
        <w:outlineLvl w:val="1"/>
      </w:pPr>
      <w:r>
        <w:rPr>
          <w:b/>
          <w:sz w:val="24"/>
          <w:szCs w:val="24"/>
        </w:rPr>
        <w:t xml:space="preserve">一、评标</w:t>
      </w:r>
      <w:r>
        <w:rPr>
          <w:rFonts w:hint="eastAsia"/>
          <w:b/>
          <w:sz w:val="24"/>
          <w:szCs w:val="24"/>
        </w:rPr>
        <w:t xml:space="preserve">程序</w:t>
      </w:r>
      <w:bookmarkStart w:id="733" w:name="_Toc164351635"/>
      <w:r/>
      <w:bookmarkStart w:id="734" w:name="_Toc195842906"/>
      <w:r/>
      <w:bookmarkStart w:id="735" w:name="_Toc164229382"/>
      <w:r/>
      <w:bookmarkStart w:id="736" w:name="_Toc164229236"/>
      <w:r/>
      <w:bookmarkStart w:id="737" w:name="_Toc150774746"/>
      <w:r/>
      <w:bookmarkStart w:id="738" w:name="_Toc151190168"/>
      <w:r/>
      <w:bookmarkStart w:id="739" w:name="_Toc150509292"/>
      <w:r/>
      <w:bookmarkStart w:id="740" w:name="_Toc127151541"/>
      <w:r/>
      <w:bookmarkStart w:id="741" w:name="_Toc151193783"/>
      <w:r/>
      <w:bookmarkStart w:id="742" w:name="_Toc127151742"/>
      <w:r/>
      <w:bookmarkStart w:id="743" w:name="_Toc164608655"/>
      <w:r/>
      <w:bookmarkStart w:id="744" w:name="_Toc226337237"/>
      <w:r/>
      <w:bookmarkStart w:id="745" w:name="_Toc151193711"/>
      <w:r/>
      <w:bookmarkStart w:id="746" w:name="_Toc127161455"/>
      <w:r/>
      <w:bookmarkStart w:id="747" w:name="_Toc226965814"/>
      <w:r/>
      <w:bookmarkStart w:id="748" w:name="_Toc150774641"/>
      <w:r/>
      <w:bookmarkStart w:id="749" w:name="_Toc305158809"/>
      <w:r/>
      <w:bookmarkStart w:id="750" w:name="_Toc151193855"/>
      <w:r/>
      <w:bookmarkStart w:id="751" w:name="_Toc226965731"/>
      <w:r/>
      <w:bookmarkStart w:id="752" w:name="_Toc142311043"/>
      <w:r/>
      <w:bookmarkStart w:id="753" w:name="_Toc150480779"/>
      <w:r/>
      <w:bookmarkStart w:id="754" w:name="_Toc151193929"/>
      <w:r/>
      <w:bookmarkStart w:id="755" w:name="_Toc305158883"/>
      <w:r/>
      <w:bookmarkStart w:id="756" w:name="_Toc226309785"/>
      <w:r/>
      <w:bookmarkStart w:id="757" w:name="_Toc164608810"/>
      <w:r/>
      <w:bookmarkStart w:id="758" w:name="_Toc149720834"/>
      <w:r/>
      <w:bookmarkStart w:id="759" w:name="_Toc151193639"/>
      <w:r/>
      <w:bookmarkStart w:id="760" w:name="_Toc264969231"/>
      <w:r/>
      <w:bookmarkStart w:id="761" w:name="_Toc265228379"/>
      <w:r/>
      <w:bookmarkStart w:id="762" w:name="_Toc353825551"/>
      <w:r/>
      <w:bookmarkStart w:id="763" w:name="_Toc353873941"/>
      <w:r/>
      <w:bookmarkStart w:id="764" w:name="_Toc150774760"/>
      <w:r/>
      <w:bookmarkStart w:id="765" w:name="_Toc353873665"/>
      <w:r/>
      <w:bookmarkStart w:id="766" w:name="_Toc353825545"/>
      <w:r/>
      <w:bookmarkStart w:id="767" w:name="_Toc142311057"/>
      <w:r/>
      <w:bookmarkStart w:id="768" w:name="_Toc305158897"/>
      <w:r/>
      <w:bookmarkStart w:id="769" w:name="_Toc305158823"/>
      <w:r/>
      <w:bookmarkStart w:id="770" w:name="_Toc265228393"/>
      <w:r/>
      <w:bookmarkStart w:id="771" w:name="_Toc353873935"/>
      <w:r/>
      <w:bookmarkStart w:id="772" w:name="_Toc150480793"/>
      <w:r/>
      <w:bookmarkStart w:id="773" w:name="_Toc195842920"/>
      <w:r/>
      <w:bookmarkStart w:id="774" w:name="_Toc127151555"/>
      <w:r/>
      <w:bookmarkStart w:id="775" w:name="_Toc226965828"/>
      <w:r/>
      <w:bookmarkStart w:id="776" w:name="_Toc264969245"/>
      <w:r/>
      <w:bookmarkStart w:id="777" w:name="_Toc226337251"/>
      <w:r/>
      <w:r/>
    </w:p>
    <w:p>
      <w:pPr>
        <w:ind w:left="0" w:firstLine="240"/>
        <w:jc w:val="both"/>
        <w:keepLines w:val="0"/>
        <w:keepNext w:val="0"/>
        <w:pageBreakBefore w:val="0"/>
        <w:spacing w:line="400" w:lineRule="exact"/>
        <w:widowControl w:val="off"/>
        <w:tabs>
          <w:tab w:val="left" w:pos="360" w:leader="none"/>
          <w:tab w:val="left" w:pos="900" w:leader="none"/>
        </w:tabs>
        <w:rPr>
          <w:sz w:val="24"/>
          <w:szCs w:val="24"/>
        </w:rPr>
        <w:outlineLvl w:val="1"/>
      </w:pPr>
      <w:r>
        <w:rPr>
          <w:sz w:val="24"/>
          <w:szCs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
    </w:p>
    <w:p>
      <w:pPr>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评标委员会对资格审查合格的投标人的投标文件进行符合性审查，以确定其是否满足招标文件的实质性要求。</w:t>
      </w:r>
      <w:bookmarkStart w:id="778" w:name="_Toc520356167"/>
      <w:r/>
      <w:r/>
    </w:p>
    <w:p>
      <w:pPr>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投标人《商务技术文件》有任何一项不符合</w:t>
      </w:r>
      <w:r>
        <w:rPr>
          <w:sz w:val="24"/>
          <w:szCs w:val="24"/>
        </w:rPr>
        <w:t xml:space="preserve">《符合性审查</w:t>
      </w:r>
      <w:r>
        <w:rPr>
          <w:rFonts w:hint="eastAsia"/>
          <w:sz w:val="24"/>
          <w:szCs w:val="24"/>
        </w:rPr>
        <w:t xml:space="preserve">要求</w:t>
      </w:r>
      <w:r>
        <w:rPr>
          <w:sz w:val="24"/>
          <w:szCs w:val="24"/>
        </w:rPr>
        <w:t xml:space="preserve">》</w:t>
      </w:r>
      <w:bookmarkEnd w:id="778"/>
      <w:r>
        <w:rPr>
          <w:rFonts w:hint="eastAsia"/>
          <w:sz w:val="24"/>
          <w:szCs w:val="24"/>
        </w:rPr>
        <w:t xml:space="preserve">要求的，</w:t>
      </w:r>
      <w:r>
        <w:rPr>
          <w:rFonts w:hint="eastAsia"/>
          <w:b/>
          <w:sz w:val="24"/>
          <w:szCs w:val="24"/>
        </w:rPr>
        <w:t xml:space="preserve">投标无效</w:t>
      </w:r>
      <w:r>
        <w:rPr>
          <w:rFonts w:hint="eastAsia"/>
          <w:sz w:val="24"/>
          <w:szCs w:val="24"/>
        </w:rPr>
        <w:t xml:space="preserve">。</w:t>
      </w:r>
      <w:r/>
    </w:p>
    <w:p>
      <w:pPr>
        <w:ind w:left="357" w:hanging="357"/>
        <w:jc w:val="center"/>
        <w:keepLines w:val="0"/>
        <w:keepNext w:val="0"/>
        <w:pageBreakBefore w:val="0"/>
        <w:spacing w:line="400" w:lineRule="exact"/>
        <w:widowControl w:val="off"/>
        <w:tabs>
          <w:tab w:val="left" w:pos="900" w:leader="none"/>
          <w:tab w:val="left" w:pos="1080" w:leader="none"/>
          <w:tab w:val="left" w:pos="1589" w:leader="none"/>
        </w:tabs>
        <w:rPr>
          <w:b/>
          <w:color w:val="000000"/>
          <w:sz w:val="24"/>
          <w:szCs w:val="24"/>
        </w:rPr>
      </w:pPr>
      <w:r>
        <w:rPr>
          <w:b/>
          <w:sz w:val="24"/>
          <w:szCs w:val="24"/>
        </w:rPr>
        <w:t xml:space="preserve">符合性审查</w:t>
      </w:r>
      <w:r>
        <w:rPr>
          <w:rFonts w:hint="eastAsia"/>
          <w:b/>
          <w:sz w:val="24"/>
          <w:szCs w:val="24"/>
        </w:rPr>
        <w:t xml:space="preserve">要求</w:t>
      </w:r>
      <w:r/>
    </w:p>
    <w:tbl>
      <w:tblPr>
        <w:tblStyle w:val="708"/>
        <w:tblW w:w="51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88"/>
        <w:gridCol w:w="7103"/>
      </w:tblGrid>
      <w:tr>
        <w:trPr>
          <w:cantSplit/>
          <w:jc w:val="center"/>
          <w:trHeight w:val="434"/>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p>
        </w:tc>
        <w:tc>
          <w:tcPr>
            <w:tcW w:w="710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投标函、法定代表人资格证明书和政府采购供应商信用承诺书</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按招标文件要求提供投标函、法定代表人资格证明书和政府采购供应商信用承诺书；</w:t>
            </w:r>
            <w:r/>
          </w:p>
        </w:tc>
      </w:tr>
      <w:tr>
        <w:trPr>
          <w:cantSplit/>
          <w:jc w:val="center"/>
          <w:trHeight w:val="55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未将一个采购包中的内容拆开投标；</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投标报价未超过招标文件中规定的项目/采购包预算金额或者项目/采购包最高限价；</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w:t>
            </w:r>
            <w:r>
              <w:rPr>
                <w:rFonts w:hint="eastAsia" w:ascii="宋体" w:hAnsi="宋体" w:eastAsia="宋体" w:cs="宋体"/>
                <w:sz w:val="24"/>
              </w:rPr>
              <w:t xml:space="preserve">出现可选择性或可调整的报价（招标文件另有规定的除外）</w:t>
            </w:r>
            <w:r>
              <w:rPr>
                <w:rFonts w:hint="eastAsia" w:ascii="宋体" w:hAnsi="宋体" w:eastAsia="宋体" w:cs="宋体"/>
                <w:color w:val="000000"/>
                <w:sz w:val="24"/>
              </w:rPr>
              <w:t xml:space="preserve">；</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p>
        </w:tc>
        <w:tc>
          <w:tcPr>
            <w:tcW w:w="7105"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标记为“实质性格式”的文件均按招标文件要求提供；</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分包承担主体具备《投标人须知资料表》载明的资质条件且提供了资质证书电子件（如有）；</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9</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w:t>
            </w:r>
            <w:r/>
          </w:p>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按招标文件规定签订并提供分包意向协议原件的电子件的；</w:t>
            </w:r>
            <w:r>
              <w:rPr>
                <w:rFonts w:hint="eastAsia" w:ascii="宋体" w:hAnsi="宋体" w:eastAsia="宋体" w:cs="宋体"/>
                <w:sz w:val="24"/>
              </w:rPr>
              <w:t xml:space="preserve">（如有）</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报价合理，或</w:t>
            </w:r>
            <w:r>
              <w:rPr>
                <w:rFonts w:hint="eastAsia" w:ascii="宋体" w:hAnsi="宋体" w:eastAsia="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 xml:space="preserve">；</w:t>
            </w:r>
            <w:r/>
          </w:p>
          <w:p>
            <w:pPr>
              <w:keepLines w:val="0"/>
              <w:keepNext w:val="0"/>
              <w:pageBreakBefore w:val="0"/>
              <w:spacing w:line="360" w:lineRule="exact"/>
              <w:widowControl w:val="off"/>
              <w:rPr>
                <w:rFonts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江苏省财政厅《江苏省财政厅转发财政部关于推动解决政府采购异常低价问题的通知》（财库〔2026〕2 号）规定:</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（一）政府采购评审中出现下列情形之一的，评审委员会应当启动异常低价投标(响应)审查程序:</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1.投标(响应)报价低于全部通过符合性审查供应商投标(响应)</w:t>
            </w:r>
            <w:r>
              <w:rPr>
                <w:rFonts w:hint="eastAsia" w:ascii="宋体" w:hAnsi="宋体" w:eastAsia="宋体" w:cs="宋体"/>
                <w:b/>
                <w:bCs/>
                <w:color w:val="0000ff"/>
                <w:sz w:val="24"/>
                <w:szCs w:val="24"/>
                <w:u w:val="single"/>
                <w:lang w:val="en-US" w:eastAsia="zh-CN"/>
              </w:rPr>
              <w:t xml:space="preserve">报价平均值50%</w:t>
            </w:r>
            <w:r>
              <w:rPr>
                <w:rFonts w:hint="eastAsia" w:ascii="宋体" w:hAnsi="宋体" w:eastAsia="宋体" w:cs="宋体"/>
                <w:color w:val="0000ff"/>
                <w:sz w:val="24"/>
                <w:szCs w:val="24"/>
                <w:u w:val="single"/>
                <w:lang w:val="en-US" w:eastAsia="zh-CN"/>
              </w:rPr>
              <w:t xml:space="preserve">的，即投标(响应)报价&lt;全部通过符合性审查供应商投标(响应)报价平均值×50%；</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2.投标(响应)报价低于通过符合性审查的</w:t>
            </w:r>
            <w:r>
              <w:rPr>
                <w:rFonts w:hint="eastAsia" w:ascii="宋体" w:hAnsi="宋体" w:eastAsia="宋体" w:cs="宋体"/>
                <w:b/>
                <w:bCs/>
                <w:color w:val="0000ff"/>
                <w:sz w:val="24"/>
                <w:szCs w:val="24"/>
                <w:u w:val="single"/>
                <w:lang w:val="en-US" w:eastAsia="zh-CN"/>
              </w:rPr>
              <w:t xml:space="preserve">次低报价供应商投标(响应)报价50%</w:t>
            </w:r>
            <w:r>
              <w:rPr>
                <w:rFonts w:hint="eastAsia" w:ascii="宋体" w:hAnsi="宋体" w:eastAsia="宋体" w:cs="宋体"/>
                <w:color w:val="0000ff"/>
                <w:sz w:val="24"/>
                <w:szCs w:val="24"/>
                <w:u w:val="single"/>
                <w:lang w:val="en-US" w:eastAsia="zh-CN"/>
              </w:rPr>
              <w:t xml:space="preserve">的，即投标(响应)报价〈通过符合性审查的次低报价供应商投标(响应)报价×50%；</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3.投标(响应)报价低于采购项目</w:t>
            </w:r>
            <w:r>
              <w:rPr>
                <w:rFonts w:hint="eastAsia" w:ascii="宋体" w:hAnsi="宋体" w:eastAsia="宋体" w:cs="宋体"/>
                <w:b/>
                <w:bCs/>
                <w:color w:val="0000ff"/>
                <w:sz w:val="24"/>
                <w:szCs w:val="24"/>
                <w:u w:val="single"/>
                <w:lang w:val="en-US" w:eastAsia="zh-CN"/>
              </w:rPr>
              <w:t xml:space="preserve">最高限价45%</w:t>
            </w:r>
            <w:r>
              <w:rPr>
                <w:rFonts w:hint="eastAsia" w:ascii="宋体" w:hAnsi="宋体" w:eastAsia="宋体" w:cs="宋体"/>
                <w:color w:val="0000ff"/>
                <w:sz w:val="24"/>
                <w:szCs w:val="24"/>
                <w:u w:val="single"/>
                <w:lang w:val="en-US" w:eastAsia="zh-CN"/>
              </w:rPr>
              <w:t xml:space="preserve">的，即投标(响应)报价&lt;采购项目最高限价×45%；</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4.评审委员会基于专业判断，</w:t>
            </w:r>
            <w:r>
              <w:rPr>
                <w:rFonts w:hint="eastAsia" w:ascii="宋体" w:hAnsi="宋体" w:eastAsia="宋体" w:cs="宋体"/>
                <w:b/>
                <w:bCs/>
                <w:color w:val="0000ff"/>
                <w:sz w:val="24"/>
                <w:szCs w:val="24"/>
                <w:u w:val="single"/>
                <w:lang w:val="en-US" w:eastAsia="zh-CN"/>
              </w:rPr>
              <w:t xml:space="preserve">认为供应商报价过低</w:t>
            </w:r>
            <w:r>
              <w:rPr>
                <w:rFonts w:hint="eastAsia" w:ascii="宋体" w:hAnsi="宋体" w:eastAsia="宋体" w:cs="宋体"/>
                <w:color w:val="0000ff"/>
                <w:sz w:val="24"/>
                <w:szCs w:val="24"/>
                <w:u w:val="single"/>
                <w:lang w:val="en-US" w:eastAsia="zh-CN"/>
              </w:rPr>
              <w:t xml:space="preserve">，有可能影响产品质量或者不能诚信履约的其他情形。</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w:t>
            </w:r>
            <w:r>
              <w:rPr>
                <w:rFonts w:hint="eastAsia" w:ascii="宋体" w:hAnsi="宋体" w:eastAsia="宋体" w:cs="宋体"/>
                <w:b w:val="0"/>
                <w:bCs w:val="0"/>
                <w:color w:val="0000ff"/>
                <w:sz w:val="24"/>
                <w:szCs w:val="24"/>
                <w:u w:val="single"/>
                <w:lang w:val="en-US" w:eastAsia="zh-CN"/>
              </w:rPr>
              <w:t xml:space="preserve">合理时间</w:t>
            </w:r>
            <w:r>
              <w:rPr>
                <w:rFonts w:hint="eastAsia" w:ascii="宋体" w:hAnsi="宋体" w:eastAsia="宋体" w:cs="宋体"/>
                <w:b/>
                <w:bCs/>
                <w:color w:val="0000ff"/>
                <w:sz w:val="24"/>
                <w:szCs w:val="24"/>
                <w:u w:val="single"/>
                <w:lang w:val="en-US" w:eastAsia="zh-CN"/>
              </w:rPr>
              <w:t xml:space="preserve">30分钟</w:t>
            </w:r>
            <w:r>
              <w:rPr>
                <w:rFonts w:hint="eastAsia" w:ascii="宋体" w:hAnsi="宋体" w:eastAsia="宋体" w:cs="宋体"/>
                <w:color w:val="0000ff"/>
                <w:sz w:val="24"/>
                <w:szCs w:val="24"/>
                <w:u w:val="single"/>
                <w:lang w:val="en-US" w:eastAsia="zh-CN"/>
              </w:rPr>
              <w:t xml:space="preserve">。其中，属于第3项情形，供应商已随投标(响应)文件一并提交相关书面说明及必要的证明材料的，在评审现场可不再重复提交。</w:t>
            </w:r>
            <w:r/>
          </w:p>
          <w:p>
            <w:pPr>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ff"/>
                <w:sz w:val="24"/>
                <w:szCs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p>
        </w:tc>
      </w:tr>
      <w:tr>
        <w:trPr>
          <w:cantSplit/>
          <w:jc w:val="center"/>
          <w:trHeight w:val="2911"/>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4</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rPr>
              <w:t xml:space="preserve">（包含使用同一MAC地址的计算机制作电子</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的情形）</w:t>
            </w:r>
            <w:r>
              <w:rPr>
                <w:rFonts w:hint="eastAsia" w:ascii="宋体" w:hAnsi="宋体" w:eastAsia="宋体" w:cs="宋体"/>
                <w:color w:val="000000"/>
                <w:sz w:val="24"/>
              </w:rPr>
              <w:t xml:space="preserve">；（二）不同投标人委托同一单位或者个人办理投标事宜</w:t>
            </w:r>
            <w:r>
              <w:rPr>
                <w:rFonts w:hint="eastAsia" w:ascii="宋体" w:hAnsi="宋体" w:eastAsia="宋体" w:cs="宋体"/>
                <w:sz w:val="24"/>
              </w:rPr>
              <w:t xml:space="preserve">（包含使用同一MAC地址的计算机提交或者解密电子</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的情形）</w:t>
            </w:r>
            <w:r>
              <w:rPr>
                <w:rFonts w:hint="eastAsia" w:ascii="宋体" w:hAnsi="宋体" w:eastAsia="宋体" w:cs="宋体"/>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p>
        </w:tc>
      </w:tr>
      <w:tr>
        <w:trPr>
          <w:cantSplit/>
          <w:jc w:val="center"/>
          <w:trHeight w:val="685"/>
        </w:trPr>
        <w:tc>
          <w:tcPr>
            <w:tcW w:w="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6</w:t>
            </w:r>
            <w:r/>
          </w:p>
        </w:tc>
        <w:tc>
          <w:tcPr>
            <w:tcW w:w="21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p>
        </w:tc>
        <w:tc>
          <w:tcPr>
            <w:tcW w:w="71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和招标文件规定的其他无效情形。</w:t>
            </w:r>
            <w:r/>
          </w:p>
        </w:tc>
      </w:tr>
    </w:tbl>
    <w:p>
      <w:pPr>
        <w:numPr>
          <w:ilvl w:val="0"/>
          <w:numId w:val="11"/>
        </w:numPr>
        <w:spacing w:line="360" w:lineRule="auto"/>
        <w:tabs>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投标文件有关事项的澄清或者说明</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rFonts w:ascii="Times New Roman" w:hAnsi="Times New Roman" w:eastAsia="宋体" w:cs="Times New Roman"/>
          <w:b/>
          <w:bCs/>
          <w:u w:val="single"/>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投标文件报价出现前后不一致的，按照下列规定修正：</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p>
    <w:p>
      <w:p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rFonts w:hint="eastAsia" w:ascii="宋体" w:hAnsi="宋体" w:eastAsia="宋体" w:cs="宋体"/>
          <w:b/>
          <w:bCs/>
          <w:sz w:val="24"/>
        </w:rPr>
      </w:pPr>
      <w:r>
        <w:rPr>
          <w:rFonts w:hint="eastAsia" w:ascii="宋体" w:hAnsi="宋体" w:eastAsia="宋体" w:cs="宋体"/>
          <w:b/>
          <w:bCs/>
          <w:sz w:val="24"/>
        </w:rPr>
        <w:t xml:space="preserve">落实政府采购政策的价格调整：只有符合第二章《投标人须知</w:t>
      </w:r>
      <w:r>
        <w:rPr>
          <w:rFonts w:hint="eastAsia" w:ascii="宋体" w:hAnsi="宋体" w:eastAsia="宋体" w:cs="宋体"/>
          <w:b/>
          <w:bCs/>
          <w:sz w:val="24"/>
          <w:lang w:eastAsia="zh-CN"/>
        </w:rPr>
        <w:t xml:space="preserve">》第</w:t>
      </w:r>
      <w:r>
        <w:rPr>
          <w:rFonts w:hint="eastAsia" w:ascii="宋体" w:hAnsi="宋体" w:eastAsia="宋体" w:cs="宋体"/>
          <w:b/>
          <w:bCs/>
          <w:sz w:val="24"/>
        </w:rPr>
        <w:t xml:space="preserve">5.2条规定情形的，可以享受中小企业扶持政策，用扣除后的价格参加评审；否则，评标时价格不予扣除。</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w:t>
      </w:r>
      <w:r>
        <w:rPr>
          <w:rFonts w:hint="eastAsia"/>
          <w:sz w:val="24"/>
          <w:highlight w:val="none"/>
          <w:lang w:val="en-US" w:eastAsia="zh-CN"/>
        </w:rPr>
        <w:t xml:space="preserve">按比例</w:t>
      </w:r>
      <w:r>
        <w:rPr>
          <w:sz w:val="24"/>
        </w:rPr>
        <w:t xml:space="preserve">扣除</w:t>
      </w:r>
      <w:r>
        <w:rPr>
          <w:rFonts w:hint="eastAsia"/>
          <w:b/>
          <w:bCs/>
          <w:sz w:val="24"/>
          <w:lang w:eastAsia="zh-CN"/>
        </w:rPr>
        <w:t xml:space="preserve">（</w:t>
      </w:r>
      <w:r>
        <w:rPr>
          <w:rFonts w:hint="eastAsia"/>
          <w:b/>
          <w:bCs/>
          <w:sz w:val="24"/>
          <w:lang w:val="en-US" w:eastAsia="zh-CN"/>
        </w:rPr>
        <w:t xml:space="preserve">扣除比例详见前附表</w:t>
      </w:r>
      <w:r>
        <w:rPr>
          <w:rFonts w:hint="eastAsia"/>
          <w:b/>
          <w:bCs/>
          <w:sz w:val="24"/>
          <w:lang w:eastAsia="zh-CN"/>
        </w:rPr>
        <w:t xml:space="preserve">）</w:t>
      </w:r>
      <w:r>
        <w:rPr>
          <w:sz w:val="24"/>
        </w:rPr>
        <w:t xml:space="preserve">，用扣除后的价格参加评审。</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rFonts w:eastAsia="宋体"/>
          <w:sz w:val="24"/>
          <w:lang w:val="en-US" w:eastAsia="zh-CN"/>
        </w:rPr>
      </w:pPr>
      <w:r>
        <w:rPr>
          <w:sz w:val="24"/>
        </w:rPr>
        <w:t xml:space="preserve">若投标人同时属于小型或微型企业、监狱企业、残疾人福利性单位中的两种及以上，将不重复享受小微企业价格扣减的优惠政策。</w:t>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投标文件的比较和评价</w:t>
      </w:r>
      <w:bookmarkEnd w:id="762"/>
      <w:r/>
      <w:bookmarkEnd w:id="763"/>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评标方法和评标标准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本项目采用的评标方法为：</w:t>
      </w:r>
      <w:r/>
    </w:p>
    <w:p>
      <w:pPr>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p>
    <w:p>
      <w:pPr>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确定</w:t>
      </w:r>
      <w:bookmarkStart w:id="779" w:name="_Toc149720839"/>
      <w:r/>
      <w:bookmarkStart w:id="780" w:name="_Toc164229241"/>
      <w:r/>
      <w:bookmarkStart w:id="781" w:name="_Toc151193860"/>
      <w:r/>
      <w:bookmarkStart w:id="782" w:name="_Toc226337242"/>
      <w:r/>
      <w:bookmarkStart w:id="783" w:name="_Toc151193788"/>
      <w:r/>
      <w:bookmarkStart w:id="784" w:name="_Toc305158814"/>
      <w:r/>
      <w:bookmarkStart w:id="785" w:name="_Toc150509297"/>
      <w:r/>
      <w:bookmarkStart w:id="786" w:name="_Toc164351640"/>
      <w:r/>
      <w:bookmarkStart w:id="787" w:name="_Toc127151747"/>
      <w:r/>
      <w:bookmarkStart w:id="788" w:name="_Toc151193716"/>
      <w:r/>
      <w:bookmarkStart w:id="789" w:name="_Toc151193934"/>
      <w:r/>
      <w:bookmarkStart w:id="790" w:name="_Toc520356170"/>
      <w:r/>
      <w:bookmarkStart w:id="791" w:name="_Toc226965819"/>
      <w:r/>
      <w:bookmarkStart w:id="792" w:name="_Toc150480784"/>
      <w:r/>
      <w:bookmarkStart w:id="793" w:name="_Toc127151546"/>
      <w:r/>
      <w:bookmarkStart w:id="794" w:name="_Toc264969236"/>
      <w:r/>
      <w:bookmarkStart w:id="795" w:name="_Ref467307010"/>
      <w:r/>
      <w:bookmarkStart w:id="796" w:name="_Toc226965736"/>
      <w:r/>
      <w:bookmarkStart w:id="797" w:name="_Toc195842911"/>
      <w:r/>
      <w:bookmarkStart w:id="798" w:name="_Toc164229387"/>
      <w:r/>
      <w:bookmarkStart w:id="799" w:name="_Toc142311048"/>
      <w:r/>
      <w:bookmarkStart w:id="800" w:name="_Toc151193644"/>
      <w:r/>
      <w:bookmarkStart w:id="801" w:name="_Toc164608815"/>
      <w:r/>
      <w:bookmarkStart w:id="802" w:name="_Toc226309790"/>
      <w:r/>
      <w:bookmarkStart w:id="803" w:name="_Toc265228384"/>
      <w:r/>
      <w:bookmarkStart w:id="804" w:name="_Toc164608660"/>
      <w:r/>
      <w:bookmarkStart w:id="805" w:name="_Toc150774646"/>
      <w:r/>
      <w:bookmarkStart w:id="806" w:name="_Toc151190173"/>
      <w:r/>
      <w:bookmarkStart w:id="807" w:name="_Toc127161460"/>
      <w:r/>
      <w:bookmarkStart w:id="808" w:name="_Toc305158888"/>
      <w:r/>
      <w:bookmarkStart w:id="809" w:name="_Toc150774751"/>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3"/>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p>
    <w:p>
      <w:pPr>
        <w:pStyle w:val="923"/>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p>
    <w:p>
      <w:pPr>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jc w:val="center"/>
        <w:spacing w:line="360" w:lineRule="auto"/>
        <w:tabs>
          <w:tab w:val="left" w:pos="360" w:leader="none"/>
          <w:tab w:val="left" w:pos="900" w:leader="none"/>
        </w:tabs>
        <w:rPr>
          <w:color w:val="0000ff"/>
          <w:sz w:val="24"/>
        </w:rPr>
        <w:outlineLvl w:val="1"/>
      </w:pPr>
      <w:r>
        <w:rPr>
          <w:b/>
          <w:color w:val="0000ff"/>
          <w:sz w:val="24"/>
        </w:rPr>
        <w:t xml:space="preserve">二、评标标准</w:t>
      </w:r>
      <w:r/>
    </w:p>
    <w:tbl>
      <w:tblPr>
        <w:tblStyle w:val="708"/>
        <w:tblW w:w="10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092"/>
        <w:gridCol w:w="690"/>
        <w:gridCol w:w="7106"/>
        <w:gridCol w:w="1408"/>
      </w:tblGrid>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bookmarkStart w:id="810" w:name="_Toc99301424"/>
            <w:r>
              <w:rPr>
                <w:rFonts w:hint="eastAsia" w:ascii="宋体" w:hAnsi="宋体" w:eastAsia="宋体" w:cs="宋体"/>
                <w:b/>
                <w:bCs/>
                <w:sz w:val="24"/>
                <w:szCs w:val="24"/>
              </w:rPr>
              <w:t xml:space="preserve">序号</w:t>
            </w:r>
            <w:r/>
          </w:p>
        </w:tc>
        <w:tc>
          <w:tcPr>
            <w:tcW w:w="1092"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p>
        </w:tc>
        <w:tc>
          <w:tcPr>
            <w:tcW w:w="690"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W w:w="7106" w:type="dxa"/>
            <w:vAlign w:val="center"/>
            <w:textDirection w:val="lrTb"/>
            <w:noWrap w:val="false"/>
          </w:tcPr>
          <w:p>
            <w:pPr>
              <w:ind w:right="0" w:firstLine="42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1408"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说明</w:t>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1092"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价格分</w:t>
            </w:r>
            <w:r/>
          </w:p>
        </w:tc>
        <w:tc>
          <w:tcPr>
            <w:tcW w:w="690" w:type="dxa"/>
            <w:vAlign w:val="center"/>
            <w:textDirection w:val="lrTb"/>
            <w:noWrap w:val="false"/>
          </w:tcPr>
          <w:p>
            <w:pPr>
              <w:ind w:right="0"/>
              <w:jc w:val="center"/>
              <w:keepLines w:val="0"/>
              <w:keepNext w:val="0"/>
              <w:pageBreakBefore w:val="0"/>
              <w:spacing w:line="300" w:lineRule="exact"/>
              <w:widowControl w:val="off"/>
              <w:rPr>
                <w:rFonts w:hint="default" w:ascii="宋体" w:hAnsi="宋体" w:eastAsia="宋体" w:cs="宋体"/>
                <w:b/>
                <w:bCs/>
                <w:sz w:val="24"/>
                <w:szCs w:val="24"/>
                <w:lang w:val="en-US"/>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0</w:t>
            </w:r>
            <w:r/>
          </w:p>
        </w:tc>
        <w:tc>
          <w:tcPr>
            <w:tcW w:w="7106" w:type="dxa"/>
            <w:vAlign w:val="center"/>
            <w:textDirection w:val="lrTb"/>
            <w:noWrap w:val="false"/>
          </w:tcPr>
          <w:p>
            <w:pPr>
              <w:ind w:right="0" w:firstLine="420"/>
              <w:jc w:val="both"/>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tcW w:w="1092"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价格分</w:t>
            </w:r>
            <w:r/>
          </w:p>
        </w:tc>
        <w:tc>
          <w:tcPr>
            <w:tcW w:w="690"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0</w:t>
            </w:r>
            <w:r/>
          </w:p>
        </w:tc>
        <w:tc>
          <w:tcPr>
            <w:tcW w:w="710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满足招标文件要求且投标价格最低的投标报价为评标基准价，其价格分为满分。其他投标人的价格分统一按照下列公式计算：</w:t>
            </w:r>
            <w:r/>
          </w:p>
          <w:p>
            <w:pPr>
              <w:ind w:right="0"/>
              <w:jc w:val="both"/>
              <w:keepLines w:val="0"/>
              <w:keepNext w:val="0"/>
              <w:pageBreakBefore w:val="0"/>
              <w:spacing w:line="3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投标报价得分＝（评标基准价/投标报价）×分值。</w:t>
            </w:r>
            <w:r/>
          </w:p>
          <w:p>
            <w:pPr>
              <w:pStyle w:val="709"/>
              <w:rPr>
                <w:rFonts w:hint="eastAsia" w:eastAsia="宋体"/>
                <w:lang w:val="en-US" w:eastAsia="zh-CN"/>
              </w:rPr>
            </w:pPr>
            <w:r>
              <w:rPr>
                <w:rFonts w:hint="eastAsia"/>
                <w:lang w:val="en-US" w:eastAsia="zh-CN"/>
              </w:rPr>
              <w:t xml:space="preserve">注：</w:t>
            </w:r>
            <w:r>
              <w:rPr>
                <w:rFonts w:hint="eastAsia" w:ascii="宋体" w:hAnsi="宋体" w:eastAsia="宋体" w:cs="宋体"/>
                <w:bCs/>
                <w:sz w:val="24"/>
                <w:szCs w:val="24"/>
              </w:rPr>
              <w:t xml:space="preserve">此处投标报价指经过报价修正，及因落实政府采购政策进行价格调整后的报价，详见第四章《评标方法和评标标准》</w:t>
            </w:r>
            <w:r>
              <w:rPr>
                <w:rFonts w:hint="eastAsia" w:cs="宋体"/>
                <w:bCs/>
                <w:sz w:val="24"/>
                <w:szCs w:val="24"/>
                <w:lang w:val="en-US" w:eastAsia="zh-CN"/>
              </w:rPr>
              <w:t xml:space="preserve">1</w:t>
            </w:r>
            <w:r>
              <w:rPr>
                <w:rFonts w:hint="eastAsia" w:ascii="宋体" w:hAnsi="宋体" w:eastAsia="宋体" w:cs="宋体"/>
                <w:bCs/>
                <w:sz w:val="24"/>
                <w:szCs w:val="24"/>
              </w:rPr>
              <w:t xml:space="preserve">.4及</w:t>
            </w:r>
            <w:r>
              <w:rPr>
                <w:rFonts w:hint="eastAsia" w:cs="宋体"/>
                <w:bCs/>
                <w:sz w:val="24"/>
                <w:szCs w:val="24"/>
                <w:lang w:val="en-US" w:eastAsia="zh-CN"/>
              </w:rPr>
              <w:t xml:space="preserve">1</w:t>
            </w:r>
            <w:r>
              <w:rPr>
                <w:rFonts w:hint="eastAsia" w:ascii="宋体" w:hAnsi="宋体" w:eastAsia="宋体" w:cs="宋体"/>
                <w:bCs/>
                <w:sz w:val="24"/>
                <w:szCs w:val="24"/>
              </w:rPr>
              <w:t xml:space="preserve">.5。</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2</w:t>
            </w:r>
            <w:r/>
          </w:p>
        </w:tc>
        <w:tc>
          <w:tcPr>
            <w:tcW w:w="1092" w:type="dxa"/>
            <w:vAlign w:val="center"/>
            <w:textDirection w:val="lrTb"/>
            <w:noWrap w:val="false"/>
          </w:tcPr>
          <w:p>
            <w:pPr>
              <w:ind w:right="0"/>
              <w:jc w:val="center"/>
              <w:keepLines w:val="0"/>
              <w:keepNext w:val="0"/>
              <w:pageBreakBefore w:val="0"/>
              <w:spacing w:line="300" w:lineRule="exact"/>
              <w:widowControl w:val="off"/>
              <w:tabs>
                <w:tab w:val="left" w:pos="577" w:leader="none"/>
              </w:tabs>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主观分</w:t>
            </w:r>
            <w:r/>
          </w:p>
        </w:tc>
        <w:tc>
          <w:tcPr>
            <w:tcW w:w="690" w:type="dxa"/>
            <w:vAlign w:val="center"/>
            <w:textDirection w:val="lrTb"/>
            <w:noWrap w:val="false"/>
          </w:tcPr>
          <w:p>
            <w:pPr>
              <w:ind w:right="0"/>
              <w:jc w:val="center"/>
              <w:keepLines w:val="0"/>
              <w:keepNext w:val="0"/>
              <w:pageBreakBefore w:val="0"/>
              <w:spacing w:line="300" w:lineRule="exact"/>
              <w:widowControl w:val="off"/>
              <w:rPr>
                <w:rFonts w:hint="default" w:ascii="宋体" w:hAnsi="宋体" w:eastAsia="宋体" w:cs="宋体"/>
                <w:b/>
                <w:bCs/>
                <w:spacing w:val="-3"/>
                <w:sz w:val="24"/>
                <w:szCs w:val="24"/>
                <w:lang w:val="en-US" w:eastAsia="zh-CN"/>
              </w:rPr>
            </w:pPr>
            <w:r>
              <w:rPr>
                <w:rFonts w:hint="eastAsia" w:ascii="宋体" w:hAnsi="宋体" w:cs="宋体"/>
                <w:b/>
                <w:bCs/>
                <w:spacing w:val="-3"/>
                <w:sz w:val="24"/>
                <w:szCs w:val="24"/>
                <w:lang w:val="en-US" w:eastAsia="zh-CN"/>
              </w:rPr>
              <w:t xml:space="preserve">25</w:t>
            </w:r>
            <w:r/>
          </w:p>
        </w:tc>
        <w:tc>
          <w:tcPr>
            <w:tcW w:w="710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pacing w:val="-3"/>
                <w:sz w:val="24"/>
                <w:szCs w:val="24"/>
                <w:lang w:val="en-US" w:eastAsia="zh-CN"/>
              </w:rPr>
              <w:outlineLvl w:val="9"/>
              <w:suppressLineNumbers w:val="0"/>
            </w:pPr>
            <w:r>
              <w:rPr>
                <w:rFonts w:hint="eastAsia" w:ascii="宋体" w:hAnsi="宋体" w:eastAsia="宋体" w:cs="宋体"/>
                <w:b/>
                <w:bCs/>
                <w:color w:val="000000"/>
                <w:sz w:val="24"/>
                <w:szCs w:val="24"/>
                <w:highlight w:val="none"/>
                <w:lang w:val="en-US" w:eastAsia="zh-CN"/>
              </w:rPr>
              <w:t xml:space="preserve">项目的理解及需求分析</w:t>
            </w:r>
            <w:r/>
          </w:p>
        </w:tc>
        <w:tc>
          <w:tcPr>
            <w:tcW w:w="690"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pacing w:val="-3"/>
                <w:sz w:val="24"/>
                <w:szCs w:val="24"/>
                <w:lang w:val="en-US" w:eastAsia="zh-CN"/>
              </w:rPr>
              <w:outlineLvl w:val="9"/>
              <w:suppressLineNumbers w:val="0"/>
            </w:pPr>
            <w:r>
              <w:rPr>
                <w:rFonts w:hint="eastAsia" w:ascii="宋体" w:hAnsi="宋体" w:eastAsia="宋体" w:cs="宋体"/>
                <w:sz w:val="24"/>
                <w:szCs w:val="24"/>
                <w:lang w:val="en-US" w:eastAsia="zh-CN"/>
              </w:rPr>
              <w:t xml:space="preserve">5</w:t>
            </w:r>
            <w:r/>
          </w:p>
        </w:tc>
        <w:tc>
          <w:tcPr>
            <w:tcW w:w="7106" w:type="dxa"/>
            <w:vAlign w:val="center"/>
            <w:textDirection w:val="lrTb"/>
            <w:noWrap w:val="false"/>
          </w:tcPr>
          <w:p>
            <w:pPr>
              <w:numPr>
                <w:ilvl w:val="0"/>
                <w:numId w:val="2"/>
              </w:numPr>
              <w:ind w:left="420" w:right="0" w:hanging="42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评分内容：</w:t>
            </w:r>
            <w:r/>
          </w:p>
          <w:p>
            <w:pPr>
              <w:numPr>
                <w:ilvl w:val="0"/>
                <w:numId w:val="0"/>
              </w:numPr>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考察响应人对项目的理解及需求分析，应包含以下内容：</w:t>
            </w:r>
            <w:r/>
          </w:p>
          <w:p>
            <w:pPr>
              <w:numPr>
                <w:ilvl w:val="0"/>
                <w:numId w:val="13"/>
              </w:numPr>
              <w:ind w:left="0" w:firstLine="0"/>
              <w:jc w:val="both"/>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本项目通信改造的理解及需求分析；</w:t>
            </w:r>
            <w:r/>
          </w:p>
          <w:p>
            <w:pPr>
              <w:numPr>
                <w:ilvl w:val="0"/>
                <w:numId w:val="13"/>
              </w:numPr>
              <w:ind w:left="0" w:firstLine="0"/>
              <w:jc w:val="both"/>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本项目智能化改造的理解及需求分析</w:t>
            </w:r>
            <w:r/>
          </w:p>
          <w:p>
            <w:pPr>
              <w:numPr>
                <w:ilvl w:val="0"/>
                <w:numId w:val="2"/>
              </w:numPr>
              <w:ind w:left="420" w:right="0" w:hanging="42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评审依据：</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 以上内容，满足上述任意一项内容的得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0%，最高得60%；其他不得分。</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2.在上述基础上，专家根据各响应人的具体响应内容按照量化的评审因素指标进一步评审。</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方案可行性强，阐述详实具体，评审加40%；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方案可行性较强，阐述比较详实具体，评审加20%；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方案可行性一般，阐述不够充分，评审加10%；</w:t>
            </w:r>
            <w:r/>
          </w:p>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highlight w:val="none"/>
                <w:lang w:val="en-US" w:eastAsia="zh-CN"/>
              </w:rPr>
              <w:t xml:space="preserve">方案可行性差或阐述不充分的，不加分。</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pacing w:val="-3"/>
                <w:sz w:val="24"/>
                <w:szCs w:val="24"/>
                <w:lang w:val="en-US" w:eastAsia="zh-CN"/>
              </w:rPr>
              <w:outlineLvl w:val="9"/>
              <w:suppressLineNumbers w:val="0"/>
            </w:pPr>
            <w:r>
              <w:rPr>
                <w:rFonts w:hint="eastAsia" w:ascii="宋体" w:hAnsi="宋体" w:eastAsia="宋体" w:cs="宋体"/>
                <w:b/>
                <w:bCs/>
                <w:color w:val="000000"/>
                <w:sz w:val="24"/>
                <w:szCs w:val="24"/>
                <w:highlight w:val="none"/>
                <w:lang w:val="en-US" w:eastAsia="zh-CN"/>
              </w:rPr>
              <w:t xml:space="preserve">本项目需求的详细点位方案</w:t>
            </w:r>
            <w:r/>
          </w:p>
        </w:tc>
        <w:tc>
          <w:tcPr>
            <w:tcW w:w="690"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pacing w:val="-3"/>
                <w:sz w:val="24"/>
                <w:szCs w:val="24"/>
                <w:lang w:val="en-US" w:eastAsia="zh-CN"/>
              </w:rPr>
              <w:outlineLvl w:val="9"/>
              <w:suppressLineNumbers w:val="0"/>
            </w:pPr>
            <w:r>
              <w:rPr>
                <w:rFonts w:hint="eastAsia" w:ascii="宋体" w:hAnsi="宋体" w:eastAsia="宋体" w:cs="宋体"/>
                <w:sz w:val="24"/>
                <w:szCs w:val="24"/>
                <w:lang w:val="en-US" w:eastAsia="zh-CN"/>
              </w:rPr>
              <w:t xml:space="preserve">5</w:t>
            </w:r>
            <w:r/>
          </w:p>
        </w:tc>
        <w:tc>
          <w:tcPr>
            <w:tcW w:w="7106" w:type="dxa"/>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1）评分内容：</w:t>
            </w:r>
            <w:r/>
          </w:p>
          <w:p>
            <w:pPr>
              <w:numPr>
                <w:ilvl w:val="0"/>
                <w:numId w:val="0"/>
              </w:numPr>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考察响应人对本项目需求的详细点位布置方案分析，应包含以下内容：</w:t>
            </w:r>
            <w:r/>
          </w:p>
          <w:p>
            <w:pPr>
              <w:numPr>
                <w:ilvl w:val="0"/>
                <w:numId w:val="0"/>
              </w:numPr>
              <w:ind w:left="0" w:firstLine="0"/>
              <w:jc w:val="both"/>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1.本项目通信改造详细点位布置方案；</w:t>
            </w:r>
            <w:r/>
          </w:p>
          <w:p>
            <w:pPr>
              <w:ind w:left="0" w:firstLine="0"/>
              <w:jc w:val="both"/>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2.本项目智能化改造详细点位布置方案</w:t>
            </w:r>
            <w:r/>
          </w:p>
          <w:p>
            <w:pPr>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2）评审依据：</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 以上内容，满足上述任意一项内容的得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0%，最高得60%；其他不得分。</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2.在上述基础上，专家根据各响应人的具体响应内容按照量化的评审因素指标进一步评审。</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方案可行性强，阐述详实具体，评审加40%；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方案可行性较强，阐述比较详实具体，评审加20%；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方案可行性一般，阐述不够充分，评审加10%；</w:t>
            </w:r>
            <w:r/>
          </w:p>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sz w:val="24"/>
                <w:szCs w:val="24"/>
                <w:lang w:eastAsia="zh-CN"/>
              </w:rPr>
              <w:outlineLvl w:val="9"/>
              <w:suppressLineNumbers w:val="0"/>
            </w:pPr>
            <w:r>
              <w:rPr>
                <w:rFonts w:hint="eastAsia" w:ascii="宋体" w:hAnsi="宋体" w:eastAsia="宋体" w:cs="宋体"/>
                <w:color w:val="000000"/>
                <w:sz w:val="24"/>
                <w:szCs w:val="24"/>
                <w:highlight w:val="none"/>
                <w:lang w:val="en-US" w:eastAsia="zh-CN"/>
              </w:rPr>
              <w:t xml:space="preserve">方案可行性差或阐述不充分的，不加分。</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default" w:ascii="宋体" w:hAnsi="宋体" w:eastAsia="宋体" w:cs="宋体"/>
                <w:spacing w:val="-3"/>
                <w:sz w:val="24"/>
                <w:szCs w:val="24"/>
                <w:lang w:val="en-US" w:eastAsia="zh-CN"/>
              </w:rPr>
            </w:pPr>
            <w:r>
              <w:rPr>
                <w:rFonts w:hint="eastAsia" w:ascii="宋体" w:hAnsi="宋体" w:eastAsia="宋体" w:cs="宋体"/>
                <w:sz w:val="24"/>
                <w:szCs w:val="24"/>
                <w:lang w:val="en-US" w:eastAsia="zh-CN"/>
              </w:rPr>
              <w:t xml:space="preserve">2.3</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z w:val="24"/>
                <w:szCs w:val="24"/>
                <w:lang w:bidi="ar"/>
              </w:rPr>
              <w:outlineLvl w:val="9"/>
              <w:suppressLineNumbers w:val="0"/>
            </w:pPr>
            <w:r>
              <w:rPr>
                <w:rFonts w:hint="eastAsia" w:ascii="宋体" w:hAnsi="宋体" w:eastAsia="宋体" w:cs="宋体"/>
                <w:b/>
                <w:bCs/>
                <w:color w:val="000000"/>
                <w:sz w:val="24"/>
                <w:szCs w:val="24"/>
                <w:highlight w:val="none"/>
                <w:lang w:eastAsia="zh-CN"/>
              </w:rPr>
              <w:t xml:space="preserve">项目组织管理方案</w:t>
            </w:r>
            <w:r/>
          </w:p>
        </w:tc>
        <w:tc>
          <w:tcPr>
            <w:tcW w:w="690"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sz w:val="24"/>
                <w:szCs w:val="24"/>
                <w:lang w:val="en-US" w:eastAsia="zh-CN"/>
              </w:rPr>
              <w:outlineLvl w:val="9"/>
              <w:suppressLineNumbers w:val="0"/>
            </w:pPr>
            <w:r>
              <w:rPr>
                <w:rFonts w:hint="eastAsia" w:ascii="宋体" w:hAnsi="宋体" w:eastAsia="宋体" w:cs="宋体"/>
                <w:sz w:val="24"/>
                <w:szCs w:val="24"/>
                <w:lang w:val="en-US" w:eastAsia="zh-CN"/>
              </w:rPr>
              <w:t xml:space="preserve">5</w:t>
            </w:r>
            <w:r/>
          </w:p>
        </w:tc>
        <w:tc>
          <w:tcPr>
            <w:tcW w:w="7106" w:type="dxa"/>
            <w:vAlign w:val="center"/>
            <w:textDirection w:val="lrTb"/>
            <w:noWrap w:val="false"/>
          </w:tcPr>
          <w:p>
            <w:pPr>
              <w:numPr>
                <w:ilvl w:val="0"/>
                <w:numId w:val="14"/>
              </w:numPr>
              <w:ind w:left="420" w:right="0" w:hanging="42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评分内容：</w:t>
            </w:r>
            <w:r/>
          </w:p>
          <w:p>
            <w:pPr>
              <w:numPr>
                <w:ilvl w:val="0"/>
                <w:numId w:val="0"/>
              </w:numPr>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考察响应人提供的服务方案，应包含以下内容：</w:t>
            </w:r>
            <w:r/>
          </w:p>
          <w:p>
            <w:pPr>
              <w:numPr>
                <w:ilvl w:val="0"/>
                <w:numId w:val="3"/>
              </w:numPr>
              <w:ind w:left="420" w:right="0" w:hanging="42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项目组织构架；</w:t>
            </w:r>
            <w:r/>
          </w:p>
          <w:p>
            <w:pPr>
              <w:numPr>
                <w:ilvl w:val="0"/>
                <w:numId w:val="3"/>
              </w:numPr>
              <w:ind w:left="420" w:right="0" w:hanging="42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项目组织实施目标与进度计划；</w:t>
            </w:r>
            <w:r/>
          </w:p>
          <w:p>
            <w:pPr>
              <w:numPr>
                <w:ilvl w:val="0"/>
                <w:numId w:val="3"/>
              </w:numPr>
              <w:ind w:left="420" w:right="0" w:hanging="42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项目的人员组织；</w:t>
            </w:r>
            <w:r/>
          </w:p>
          <w:p>
            <w:pPr>
              <w:numPr>
                <w:ilvl w:val="0"/>
                <w:numId w:val="14"/>
              </w:numPr>
              <w:ind w:left="420" w:right="0" w:hanging="42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评审依据：</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 以上内容，满足上述任意一项内容的得20%，最高得60%；其他不得分。</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2.在上述基础上，专家根据各响应人的具体响应内容按照量化的评审因素指标进一步评审。</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方案可行性强，阐述详实具体，评审加40%；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方案可行性较强，阐述比较详实具体，评审加20%；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方案可行性一般，阐述不够充分，评审加10%；</w:t>
            </w:r>
            <w:r/>
          </w:p>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highlight w:val="none"/>
                <w:lang w:val="en-US" w:eastAsia="zh-CN"/>
              </w:rPr>
              <w:t xml:space="preserve">方案可行性差或阐述不充分的，不加分。</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default" w:ascii="宋体" w:hAnsi="宋体" w:cs="宋体"/>
                <w:spacing w:val="-3"/>
                <w:sz w:val="24"/>
                <w:szCs w:val="24"/>
                <w:lang w:val="en-US" w:eastAsia="zh-CN"/>
              </w:rPr>
            </w:pPr>
            <w:r>
              <w:rPr>
                <w:rFonts w:hint="eastAsia" w:ascii="宋体" w:hAnsi="宋体" w:eastAsia="宋体" w:cs="宋体"/>
                <w:sz w:val="24"/>
                <w:szCs w:val="24"/>
                <w:lang w:val="en-US" w:eastAsia="zh-CN"/>
              </w:rPr>
              <w:t xml:space="preserve">2.4</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z w:val="24"/>
                <w:szCs w:val="24"/>
                <w:lang w:bidi="ar"/>
              </w:rPr>
              <w:outlineLvl w:val="9"/>
              <w:suppressLineNumbers w:val="0"/>
            </w:pPr>
            <w:r>
              <w:rPr>
                <w:rFonts w:hint="eastAsia" w:ascii="宋体" w:hAnsi="宋体" w:eastAsia="宋体" w:cs="宋体"/>
                <w:b/>
                <w:bCs/>
                <w:color w:val="000000"/>
                <w:sz w:val="24"/>
                <w:szCs w:val="24"/>
                <w:highlight w:val="none"/>
                <w:lang w:eastAsia="zh-CN"/>
              </w:rPr>
              <w:t xml:space="preserve">安全保证措施、质量保证措施方案</w:t>
            </w:r>
            <w:r/>
          </w:p>
        </w:tc>
        <w:tc>
          <w:tcPr>
            <w:tcW w:w="690" w:type="dxa"/>
            <w:vAlign w:val="center"/>
            <w:textDirection w:val="lrTb"/>
            <w:noWrap w:val="false"/>
          </w:tcPr>
          <w:p>
            <w:pPr>
              <w:jc w:val="center"/>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7106" w:type="dxa"/>
            <w:vAlign w:val="center"/>
            <w:textDirection w:val="lrTb"/>
            <w:noWrap w:val="false"/>
          </w:tcPr>
          <w:p>
            <w:pPr>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）评分内容：</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投标人提供的安全保证措施、质量保证措施方案，包含但不限于以下内容：</w:t>
            </w:r>
            <w:r/>
          </w:p>
          <w:p>
            <w:pPr>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项目安全管理保障措施；</w:t>
            </w:r>
            <w:r/>
          </w:p>
          <w:p>
            <w:pPr>
              <w:spacing w:line="264"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2.项目质量管理保障措施</w:t>
            </w:r>
            <w:r>
              <w:rPr>
                <w:rFonts w:hint="eastAsia" w:ascii="宋体" w:hAnsi="宋体" w:eastAsia="宋体" w:cs="宋体"/>
                <w:sz w:val="24"/>
                <w:szCs w:val="24"/>
                <w:lang w:eastAsia="zh-CN"/>
              </w:rPr>
              <w:t xml:space="preserve">；</w:t>
            </w:r>
            <w:r/>
          </w:p>
          <w:p>
            <w:pPr>
              <w:spacing w:line="264"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3.安全风险管理措施与应急预案；</w:t>
            </w:r>
            <w:r/>
          </w:p>
          <w:p>
            <w:pPr>
              <w:spacing w:line="264"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评审依据：</w:t>
            </w:r>
            <w:r/>
          </w:p>
          <w:p>
            <w:pPr>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1.以上内容，满足上述任意一项内容的得20%，最高得60%；其他不得分。</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2.在此基础上，专家根据各投标人的具体响应内容按照量化的评审因素指标进一步评审。</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方案可行性强，阐述详实具体，评审加40%；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方案可行性较强，阐述比较详实具体，评审加20%；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方案可行性一般，阐述不够充分，评审加10%；</w:t>
            </w:r>
            <w:r/>
          </w:p>
          <w:p>
            <w:pPr>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方案可行性差或阐述不充分的，不加分。</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default" w:ascii="宋体" w:hAnsi="宋体" w:cs="宋体"/>
                <w:spacing w:val="-3"/>
                <w:sz w:val="24"/>
                <w:szCs w:val="24"/>
                <w:lang w:val="en-US" w:eastAsia="zh-CN"/>
              </w:rPr>
            </w:pPr>
            <w:r>
              <w:rPr>
                <w:rFonts w:hint="eastAsia" w:ascii="宋体" w:hAnsi="宋体" w:eastAsia="宋体" w:cs="宋体"/>
                <w:spacing w:val="-3"/>
                <w:sz w:val="24"/>
                <w:szCs w:val="24"/>
                <w:lang w:val="en-US" w:eastAsia="zh-CN"/>
              </w:rPr>
              <w:t xml:space="preserve">2.5</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z w:val="24"/>
                <w:szCs w:val="24"/>
                <w:lang w:bidi="ar"/>
              </w:rPr>
              <w:outlineLvl w:val="9"/>
              <w:suppressLineNumbers w:val="0"/>
            </w:pPr>
            <w:r>
              <w:rPr>
                <w:rFonts w:hint="eastAsia" w:ascii="宋体" w:hAnsi="宋体" w:eastAsia="宋体" w:cs="宋体"/>
                <w:b/>
                <w:bCs/>
                <w:color w:val="000000"/>
                <w:sz w:val="24"/>
                <w:szCs w:val="24"/>
                <w:highlight w:val="none"/>
                <w:lang w:eastAsia="zh-CN"/>
              </w:rPr>
              <w:t xml:space="preserve">售后服务方案及</w:t>
            </w:r>
            <w:r>
              <w:rPr>
                <w:rFonts w:hint="eastAsia" w:ascii="宋体" w:hAnsi="宋体" w:eastAsia="宋体" w:cs="宋体"/>
                <w:b/>
                <w:bCs/>
                <w:color w:val="000000"/>
                <w:sz w:val="24"/>
                <w:szCs w:val="24"/>
                <w:highlight w:val="none"/>
                <w:lang w:val="en-US" w:eastAsia="zh-CN"/>
              </w:rPr>
              <w:t xml:space="preserve">培训计划</w:t>
            </w:r>
            <w:r/>
          </w:p>
        </w:tc>
        <w:tc>
          <w:tcPr>
            <w:tcW w:w="690" w:type="dxa"/>
            <w:vAlign w:val="center"/>
            <w:textDirection w:val="lrTb"/>
            <w:noWrap w:val="false"/>
          </w:tcPr>
          <w:p>
            <w:pPr>
              <w:jc w:val="center"/>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7106" w:type="dxa"/>
            <w:vAlign w:val="center"/>
            <w:textDirection w:val="lrTb"/>
            <w:noWrap w:val="false"/>
          </w:tcPr>
          <w:p>
            <w:pPr>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评分内容：</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考察投标人提供的安全保证措施、质量保证措施方案，应包含以下内容：</w:t>
            </w:r>
            <w:r/>
          </w:p>
          <w:p>
            <w:pPr>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1.售后时间安排，包括售后服务响应时间、到场时间及解决时间；</w:t>
            </w:r>
            <w:r/>
          </w:p>
          <w:p>
            <w:pPr>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2.售后服务保障方案；</w:t>
            </w:r>
            <w:r/>
          </w:p>
          <w:p>
            <w:pPr>
              <w:spacing w:line="264"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3.培训服务方案；</w:t>
            </w:r>
            <w:r/>
          </w:p>
          <w:p>
            <w:pPr>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评审依据：</w:t>
            </w:r>
            <w:r/>
          </w:p>
          <w:p>
            <w:pPr>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以上内容，满足上述任意一项内容的得20%，最高得60%；其他不得分。</w:t>
            </w:r>
            <w:r/>
          </w:p>
          <w:p>
            <w:pPr>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在上述基础上，专家根据各投标人的具体响应内容按照量化的评审因素指标进一步评审。</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方案可行性强，阐述详实具体，评审加40%；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方案可行性较强，阐述比较详实具体，评审加20%；</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方案可行性一般，阐述不够充分，评审加10%；</w:t>
            </w:r>
            <w:r/>
          </w:p>
          <w:p>
            <w:pPr>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方案可行性差或阐述不充分的，不加分。</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1092"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客观分</w:t>
            </w:r>
            <w:r/>
          </w:p>
        </w:tc>
        <w:tc>
          <w:tcPr>
            <w:tcW w:w="690" w:type="dxa"/>
            <w:vAlign w:val="center"/>
            <w:textDirection w:val="lrTb"/>
            <w:noWrap w:val="false"/>
          </w:tcPr>
          <w:p>
            <w:pPr>
              <w:ind w:right="0"/>
              <w:jc w:val="center"/>
              <w:keepLines w:val="0"/>
              <w:keepNext w:val="0"/>
              <w:pageBreakBefore w:val="0"/>
              <w:spacing w:line="300" w:lineRule="exact"/>
              <w:widowControl w:val="off"/>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45</w:t>
            </w:r>
            <w:r/>
          </w:p>
        </w:tc>
        <w:tc>
          <w:tcPr>
            <w:tcW w:w="7106"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408" w:type="dxa"/>
            <w:vAlign w:val="center"/>
            <w:textDirection w:val="lrTb"/>
            <w:noWrap w:val="false"/>
          </w:tcPr>
          <w:p>
            <w:pPr>
              <w:ind w:right="0" w:firstLine="643"/>
              <w:jc w:val="center"/>
              <w:keepLines w:val="0"/>
              <w:keepNext w:val="0"/>
              <w:pageBreakBefore w:val="0"/>
              <w:spacing w:line="3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0"/>
        </w:trPr>
        <w:tc>
          <w:tcPr>
            <w:tcW w:w="61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Cs/>
                <w:sz w:val="24"/>
                <w:szCs w:val="24"/>
                <w:lang w:val="en-US" w:eastAsia="zh-CN"/>
              </w:rPr>
              <w:outlineLvl w:val="9"/>
              <w:suppressLineNumbers w:val="0"/>
            </w:pPr>
            <w:r>
              <w:rPr>
                <w:rFonts w:hint="eastAsia" w:ascii="宋体" w:hAnsi="宋体" w:cs="宋体"/>
                <w:b/>
                <w:bCs w:val="0"/>
                <w:sz w:val="24"/>
                <w:szCs w:val="24"/>
                <w:lang w:val="en-US" w:eastAsia="zh-CN"/>
              </w:rPr>
              <w:t xml:space="preserve">企业实力</w:t>
            </w:r>
            <w:r/>
          </w:p>
        </w:tc>
        <w:tc>
          <w:tcPr>
            <w:tcW w:w="690"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Cs/>
                <w:sz w:val="24"/>
                <w:szCs w:val="24"/>
                <w:lang w:val="en-US" w:eastAsia="zh-CN"/>
              </w:rPr>
              <w:outlineLvl w:val="9"/>
              <w:suppressLineNumbers w:val="0"/>
            </w:pPr>
            <w:r>
              <w:rPr>
                <w:rFonts w:hint="eastAsia" w:ascii="宋体" w:hAnsi="宋体" w:cs="宋体"/>
                <w:sz w:val="24"/>
                <w:szCs w:val="24"/>
                <w:lang w:val="en-US" w:eastAsia="zh-CN"/>
              </w:rPr>
              <w:t xml:space="preserve">20</w:t>
            </w:r>
            <w:r/>
          </w:p>
        </w:tc>
        <w:tc>
          <w:tcPr>
            <w:tcW w:w="7106" w:type="dxa"/>
            <w:vAlign w:val="center"/>
            <w:textDirection w:val="lrTb"/>
            <w:noWrap w:val="false"/>
          </w:tcPr>
          <w:p>
            <w:pPr>
              <w:numPr>
                <w:ilvl w:val="0"/>
                <w:numId w:val="15"/>
              </w:numPr>
              <w:ind w:right="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投标人具有信息安全服务资质证书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安全应急</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一级得5分，二级得3分，三级得1分</w:t>
            </w:r>
            <w:r>
              <w:rPr>
                <w:rFonts w:hint="eastAsia" w:ascii="宋体" w:hAnsi="宋体" w:eastAsia="宋体" w:cs="宋体"/>
                <w:color w:val="000000"/>
                <w:sz w:val="24"/>
                <w:szCs w:val="24"/>
                <w:highlight w:val="none"/>
                <w:lang w:val="zh-CN"/>
              </w:rPr>
              <w:t xml:space="preserve">。</w:t>
            </w:r>
            <w:r/>
          </w:p>
          <w:p>
            <w:pPr>
              <w:numPr>
                <w:ilvl w:val="0"/>
                <w:numId w:val="15"/>
              </w:numPr>
              <w:ind w:right="0"/>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zh-CN" w:eastAsia="zh-CN" w:bidi="ar-SA"/>
              </w:rPr>
              <w:t xml:space="preserve">信息安全服务资质</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安全集成</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一级得5分，二级得3分，三级得1分</w:t>
            </w:r>
            <w:r>
              <w:rPr>
                <w:rFonts w:hint="eastAsia" w:ascii="宋体" w:hAnsi="宋体" w:eastAsia="宋体" w:cs="宋体"/>
                <w:color w:val="000000"/>
                <w:sz w:val="24"/>
                <w:szCs w:val="24"/>
                <w:highlight w:val="none"/>
                <w:lang w:val="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3）信息安全服务资质认证证书（安全运维）</w:t>
            </w:r>
            <w:r>
              <w:rPr>
                <w:rFonts w:hint="eastAsia" w:ascii="宋体" w:hAnsi="宋体" w:cs="宋体"/>
                <w:color w:val="000000"/>
                <w:sz w:val="24"/>
                <w:szCs w:val="24"/>
                <w:highlight w:val="none"/>
                <w:lang w:val="en-US" w:eastAsia="zh-CN"/>
              </w:rPr>
              <w:t xml:space="preserve">得5分，二级得3分，三级得1分</w:t>
            </w:r>
            <w:r>
              <w:rPr>
                <w:rFonts w:hint="eastAsia" w:ascii="宋体" w:hAnsi="宋体" w:eastAsia="宋体" w:cs="宋体"/>
                <w:sz w:val="24"/>
                <w:szCs w:val="24"/>
                <w:highlight w:val="none"/>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4）信息化工程与技术服务能力，卓越级E级得5分，一级得3分，二级得1分</w:t>
            </w:r>
            <w:r>
              <w:rPr>
                <w:rFonts w:hint="eastAsia" w:ascii="宋体" w:hAnsi="宋体" w:eastAsia="宋体" w:cs="宋体"/>
                <w:sz w:val="24"/>
                <w:szCs w:val="24"/>
                <w:highlight w:val="none"/>
              </w:rPr>
              <w:t xml:space="preserve">。</w:t>
            </w:r>
            <w:r/>
          </w:p>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Cs/>
                <w:sz w:val="24"/>
                <w:szCs w:val="24"/>
              </w:rPr>
              <w:outlineLvl w:val="9"/>
              <w:suppressLineNumbers w:val="0"/>
            </w:pPr>
            <w:r>
              <w:rPr>
                <w:rFonts w:hint="eastAsia" w:ascii="宋体" w:hAnsi="宋体" w:eastAsia="宋体" w:cs="宋体"/>
                <w:b/>
                <w:bCs/>
                <w:color w:val="ff0000"/>
                <w:sz w:val="24"/>
                <w:szCs w:val="24"/>
                <w:highlight w:val="none"/>
              </w:rPr>
              <w:t xml:space="preserve">注：提供证</w:t>
            </w:r>
            <w:r>
              <w:rPr>
                <w:rFonts w:hint="eastAsia" w:ascii="宋体" w:hAnsi="宋体" w:cs="宋体"/>
                <w:b/>
                <w:bCs/>
                <w:color w:val="ff0000"/>
                <w:sz w:val="24"/>
                <w:szCs w:val="24"/>
                <w:highlight w:val="none"/>
                <w:lang w:val="en-US" w:eastAsia="zh-CN"/>
              </w:rPr>
              <w:t xml:space="preserve">书</w:t>
            </w:r>
            <w:r>
              <w:rPr>
                <w:rFonts w:hint="eastAsia" w:ascii="宋体" w:hAnsi="宋体" w:eastAsia="宋体" w:cs="宋体"/>
                <w:b/>
                <w:bCs/>
                <w:color w:val="ff0000"/>
                <w:sz w:val="24"/>
                <w:szCs w:val="24"/>
                <w:highlight w:val="none"/>
              </w:rPr>
              <w:t xml:space="preserve">，未按要求提供或提供不清晰导致专家无法判断的不得分。</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0"/>
        </w:trPr>
        <w:tc>
          <w:tcPr>
            <w:tcW w:w="61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spacing w:val="-2"/>
                <w:position w:val="7"/>
                <w:sz w:val="24"/>
                <w:szCs w:val="24"/>
              </w:rPr>
              <w:outlineLvl w:val="9"/>
              <w:suppressLineNumbers w:val="0"/>
            </w:pPr>
            <w:r>
              <w:rPr>
                <w:rFonts w:hint="eastAsia" w:ascii="宋体" w:hAnsi="宋体" w:eastAsia="宋体" w:cs="宋体"/>
                <w:b/>
                <w:bCs/>
                <w:color w:val="000000"/>
                <w:sz w:val="24"/>
                <w:szCs w:val="24"/>
                <w:highlight w:val="none"/>
                <w:lang w:eastAsia="zh-CN"/>
              </w:rPr>
              <w:t xml:space="preserve">项目人员</w:t>
            </w:r>
            <w:r/>
          </w:p>
        </w:tc>
        <w:tc>
          <w:tcPr>
            <w:tcW w:w="690"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sz w:val="24"/>
                <w:szCs w:val="24"/>
                <w:lang w:val="en-US" w:eastAsia="zh-CN"/>
              </w:rPr>
              <w:outlineLvl w:val="9"/>
              <w:suppressLineNumbers w:val="0"/>
            </w:pPr>
            <w:r>
              <w:rPr>
                <w:rFonts w:hint="eastAsia" w:ascii="宋体" w:hAnsi="宋体" w:cs="宋体"/>
                <w:sz w:val="24"/>
                <w:szCs w:val="24"/>
                <w:lang w:val="en-US" w:eastAsia="zh-CN"/>
              </w:rPr>
              <w:t xml:space="preserve">20</w:t>
            </w:r>
            <w:r/>
          </w:p>
        </w:tc>
        <w:tc>
          <w:tcPr>
            <w:tcW w:w="7106" w:type="dxa"/>
            <w:vAlign w:val="center"/>
            <w:textDirection w:val="lrTb"/>
            <w:noWrap w:val="false"/>
          </w:tcPr>
          <w:p>
            <w:pPr>
              <w:numPr>
                <w:ilvl w:val="0"/>
                <w:numId w:val="7"/>
              </w:numPr>
              <w:ind w:left="680" w:right="0" w:hanging="680"/>
              <w:keepLines w:val="0"/>
              <w:keepNext w:val="0"/>
              <w:pageBreakBefore w:val="0"/>
              <w:spacing w:before="0" w:beforeAutospacing="0" w:after="0" w:afterAutospacing="0" w:line="3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投标人拟派驻本项目的项目负责人</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具有信息系统项目管理师证书得2分</w:t>
            </w:r>
            <w:r>
              <w:rPr>
                <w:rFonts w:hint="eastAsia" w:ascii="宋体" w:hAnsi="宋体" w:cs="宋体"/>
                <w:sz w:val="24"/>
                <w:szCs w:val="24"/>
                <w:lang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具有信息系统管理工程师证书得2分</w:t>
            </w:r>
            <w:r>
              <w:rPr>
                <w:rFonts w:hint="eastAsia" w:ascii="宋体" w:hAnsi="宋体" w:cs="宋体"/>
                <w:sz w:val="24"/>
                <w:szCs w:val="24"/>
                <w:lang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1.3</w:t>
            </w:r>
            <w:r>
              <w:rPr>
                <w:rFonts w:hint="eastAsia" w:ascii="宋体" w:hAnsi="宋体" w:eastAsia="宋体" w:cs="宋体"/>
                <w:sz w:val="24"/>
                <w:szCs w:val="24"/>
              </w:rPr>
              <w:t xml:space="preserve">具有ITSS IT服务</w:t>
            </w:r>
            <w:r>
              <w:rPr>
                <w:rFonts w:hint="eastAsia" w:ascii="宋体" w:hAnsi="宋体" w:cs="宋体"/>
                <w:sz w:val="24"/>
                <w:szCs w:val="24"/>
                <w:lang w:val="en-US" w:eastAsia="zh-CN"/>
              </w:rPr>
              <w:t xml:space="preserve">工程师</w:t>
            </w:r>
            <w:r>
              <w:rPr>
                <w:rFonts w:hint="eastAsia" w:ascii="宋体" w:hAnsi="宋体" w:eastAsia="宋体" w:cs="宋体"/>
                <w:sz w:val="24"/>
                <w:szCs w:val="24"/>
              </w:rPr>
              <w:t xml:space="preserve">证书得2分</w:t>
            </w:r>
            <w:r>
              <w:rPr>
                <w:rFonts w:hint="eastAsia" w:ascii="宋体" w:hAnsi="宋体" w:cs="宋体"/>
                <w:sz w:val="24"/>
                <w:szCs w:val="24"/>
                <w:lang w:eastAsia="zh-CN"/>
              </w:rPr>
              <w:t xml:space="preserve">；</w:t>
            </w:r>
            <w:r/>
          </w:p>
          <w:p>
            <w:pPr>
              <w:pStyle w:val="730"/>
              <w:ind w:left="0" w:firstLine="0"/>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1.4具有</w:t>
            </w:r>
            <w:r>
              <w:rPr>
                <w:rFonts w:hint="eastAsia" w:ascii="宋体" w:hAnsi="宋体" w:eastAsia="宋体" w:cs="宋体"/>
                <w:sz w:val="24"/>
                <w:szCs w:val="24"/>
                <w:lang w:val="en-US" w:eastAsia="zh-CN" w:bidi="ar-SA"/>
              </w:rPr>
              <w:t xml:space="preserve">注册信息安全</w:t>
            </w:r>
            <w:r>
              <w:rPr>
                <w:rFonts w:hint="eastAsia" w:ascii="宋体" w:hAnsi="宋体" w:cs="宋体"/>
                <w:sz w:val="24"/>
                <w:szCs w:val="24"/>
                <w:lang w:val="en-US" w:eastAsia="zh-CN" w:bidi="ar-SA"/>
              </w:rPr>
              <w:t xml:space="preserve">专业人员得2分；</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项目负责人</w:t>
            </w: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numPr>
                <w:ilvl w:val="0"/>
                <w:numId w:val="7"/>
              </w:numPr>
              <w:ind w:left="680" w:right="0" w:hanging="68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投标人拟派驻本项目的技术负责人</w:t>
            </w:r>
            <w:r>
              <w:rPr>
                <w:rFonts w:hint="eastAsia" w:ascii="宋体" w:hAnsi="宋体" w:cs="宋体"/>
                <w:sz w:val="24"/>
                <w:szCs w:val="24"/>
                <w:lang w:val="en-US"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2.1</w:t>
            </w:r>
            <w:r>
              <w:rPr>
                <w:rFonts w:hint="eastAsia" w:ascii="宋体" w:hAnsi="宋体" w:eastAsia="宋体" w:cs="宋体"/>
                <w:sz w:val="24"/>
                <w:szCs w:val="24"/>
                <w:lang w:val="en-US" w:eastAsia="zh-CN"/>
              </w:rPr>
              <w:t xml:space="preserve">具有</w:t>
            </w:r>
            <w:r>
              <w:rPr>
                <w:rFonts w:hint="eastAsia" w:ascii="宋体" w:hAnsi="宋体" w:cs="宋体"/>
                <w:sz w:val="24"/>
                <w:szCs w:val="24"/>
                <w:lang w:val="en-US" w:eastAsia="zh-CN"/>
              </w:rPr>
              <w:t xml:space="preserve">系统规划与管理师</w:t>
            </w:r>
            <w:r>
              <w:rPr>
                <w:rFonts w:hint="eastAsia" w:ascii="宋体" w:hAnsi="宋体" w:eastAsia="宋体" w:cs="宋体"/>
                <w:sz w:val="24"/>
                <w:szCs w:val="24"/>
                <w:lang w:val="en-US" w:eastAsia="zh-CN"/>
              </w:rPr>
              <w:t xml:space="preserve">证书得2分</w:t>
            </w:r>
            <w:r>
              <w:rPr>
                <w:rFonts w:hint="eastAsia" w:ascii="宋体" w:hAnsi="宋体" w:cs="宋体"/>
                <w:sz w:val="24"/>
                <w:szCs w:val="24"/>
                <w:lang w:val="en-US"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2.2</w:t>
            </w:r>
            <w:r>
              <w:rPr>
                <w:rFonts w:hint="eastAsia" w:ascii="宋体" w:hAnsi="宋体" w:eastAsia="宋体" w:cs="宋体"/>
                <w:sz w:val="24"/>
                <w:szCs w:val="24"/>
                <w:lang w:val="en-US" w:eastAsia="zh-CN"/>
              </w:rPr>
              <w:t xml:space="preserve">具有</w:t>
            </w:r>
            <w:r>
              <w:rPr>
                <w:rFonts w:hint="eastAsia" w:ascii="宋体" w:hAnsi="宋体" w:cs="宋体"/>
                <w:sz w:val="24"/>
                <w:szCs w:val="24"/>
                <w:lang w:val="en-US" w:eastAsia="zh-CN"/>
              </w:rPr>
              <w:t xml:space="preserve">系统架构设计师</w:t>
            </w:r>
            <w:r>
              <w:rPr>
                <w:rFonts w:hint="eastAsia" w:ascii="宋体" w:hAnsi="宋体" w:eastAsia="宋体" w:cs="宋体"/>
                <w:sz w:val="24"/>
                <w:szCs w:val="24"/>
                <w:lang w:val="en-US" w:eastAsia="zh-CN"/>
              </w:rPr>
              <w:t xml:space="preserve">证书得2分</w:t>
            </w:r>
            <w:r>
              <w:rPr>
                <w:rFonts w:hint="eastAsia" w:ascii="宋体" w:hAnsi="宋体" w:cs="宋体"/>
                <w:sz w:val="24"/>
                <w:szCs w:val="24"/>
                <w:lang w:val="en-US"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具有信息安全保障人员证书</w:t>
            </w:r>
            <w:r>
              <w:rPr>
                <w:rFonts w:hint="eastAsia" w:ascii="宋体" w:hAnsi="宋体" w:cs="宋体"/>
                <w:sz w:val="24"/>
                <w:szCs w:val="24"/>
                <w:lang w:val="en-US" w:eastAsia="zh-CN"/>
              </w:rPr>
              <w:t xml:space="preserve">（安全运维）</w:t>
            </w:r>
            <w:r>
              <w:rPr>
                <w:rFonts w:hint="eastAsia" w:ascii="宋体" w:hAnsi="宋体" w:eastAsia="宋体" w:cs="宋体"/>
                <w:sz w:val="24"/>
                <w:szCs w:val="24"/>
                <w:lang w:val="en-US" w:eastAsia="zh-CN"/>
              </w:rPr>
              <w:t xml:space="preserve">得2分</w:t>
            </w:r>
            <w:r>
              <w:rPr>
                <w:rFonts w:hint="eastAsia" w:ascii="宋体" w:hAnsi="宋体" w:cs="宋体"/>
                <w:sz w:val="24"/>
                <w:szCs w:val="24"/>
                <w:lang w:val="en-US"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技术负责人最高</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numPr>
                <w:ilvl w:val="0"/>
                <w:numId w:val="16"/>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投标人拟派驻本项目的安全负责人</w:t>
            </w:r>
            <w:r>
              <w:rPr>
                <w:rFonts w:hint="eastAsia" w:ascii="宋体" w:hAnsi="宋体" w:cs="宋体"/>
                <w:sz w:val="24"/>
                <w:szCs w:val="24"/>
                <w:lang w:val="en-US"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3.1</w:t>
            </w:r>
            <w:r>
              <w:rPr>
                <w:rFonts w:hint="eastAsia" w:ascii="宋体" w:hAnsi="宋体" w:eastAsia="宋体" w:cs="宋体"/>
                <w:sz w:val="24"/>
                <w:szCs w:val="24"/>
                <w:lang w:val="en-US" w:eastAsia="zh-CN"/>
              </w:rPr>
              <w:t xml:space="preserve">具有</w:t>
            </w:r>
            <w:r>
              <w:rPr>
                <w:rFonts w:hint="eastAsia" w:ascii="宋体" w:hAnsi="宋体" w:cs="宋体"/>
                <w:sz w:val="24"/>
                <w:szCs w:val="24"/>
                <w:lang w:val="en-US" w:eastAsia="zh-CN"/>
              </w:rPr>
              <w:t xml:space="preserve">系统架构设计师</w:t>
            </w:r>
            <w:r>
              <w:rPr>
                <w:rFonts w:hint="eastAsia" w:ascii="宋体" w:hAnsi="宋体" w:eastAsia="宋体" w:cs="宋体"/>
                <w:sz w:val="24"/>
                <w:szCs w:val="24"/>
                <w:lang w:val="en-US" w:eastAsia="zh-CN"/>
              </w:rPr>
              <w:t xml:space="preserve">证书得2分</w:t>
            </w:r>
            <w:r>
              <w:rPr>
                <w:rFonts w:hint="eastAsia" w:ascii="宋体" w:hAnsi="宋体" w:cs="宋体"/>
                <w:sz w:val="24"/>
                <w:szCs w:val="24"/>
                <w:lang w:val="en-US"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3.2</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信息系统</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管理师证书得2分</w:t>
            </w:r>
            <w:r>
              <w:rPr>
                <w:rFonts w:hint="eastAsia" w:ascii="宋体" w:hAnsi="宋体" w:cs="宋体"/>
                <w:sz w:val="24"/>
                <w:szCs w:val="24"/>
                <w:lang w:eastAsia="zh-CN"/>
              </w:rPr>
              <w:t xml:space="preserve">；</w:t>
            </w:r>
            <w:r/>
          </w:p>
          <w:p>
            <w:pPr>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3.3</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lang w:val="en-US" w:eastAsia="zh-CN" w:bidi="ar-SA"/>
              </w:rPr>
              <w:t xml:space="preserve">注册信息安全</w:t>
            </w:r>
            <w:r>
              <w:rPr>
                <w:rFonts w:hint="eastAsia" w:ascii="宋体" w:hAnsi="宋体" w:cs="宋体"/>
                <w:sz w:val="24"/>
                <w:szCs w:val="24"/>
                <w:lang w:val="en-US" w:eastAsia="zh-CN" w:bidi="ar-SA"/>
              </w:rPr>
              <w:t xml:space="preserve">专业人员得2分；</w:t>
            </w:r>
            <w:r/>
          </w:p>
          <w:p>
            <w:pPr>
              <w:numPr>
                <w:ilvl w:val="0"/>
                <w:numId w:val="0"/>
              </w:numPr>
              <w:ind w:right="0"/>
              <w:keepLines w:val="0"/>
              <w:keepNext w:val="0"/>
              <w:pageBreakBefore w:val="0"/>
              <w:spacing w:before="0" w:beforeAutospacing="0" w:after="0" w:afterAutospacing="0" w:line="360" w:lineRule="exact"/>
              <w:widowControl w:val="off"/>
              <w:rPr>
                <w:rFonts w:hint="default"/>
                <w:lang w:val="en-US" w:eastAsia="zh-CN"/>
              </w:rPr>
              <w:suppressLineNumbers w:val="0"/>
            </w:pPr>
            <w:r>
              <w:rPr>
                <w:rFonts w:hint="eastAsia" w:ascii="宋体" w:hAnsi="宋体" w:eastAsia="宋体" w:cs="宋体"/>
                <w:sz w:val="24"/>
                <w:szCs w:val="24"/>
                <w:lang w:val="en-US" w:eastAsia="zh-CN"/>
              </w:rPr>
              <w:t xml:space="preserve">安全负责人最高得6分。</w:t>
            </w:r>
            <w:r/>
          </w:p>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bCs/>
                <w:color w:val="ff0000"/>
                <w:sz w:val="24"/>
                <w:szCs w:val="24"/>
                <w:lang w:val="en-US" w:eastAsia="zh-CN"/>
              </w:rPr>
              <w:outlineLvl w:val="9"/>
              <w:suppressLineNumbers w:val="0"/>
            </w:pPr>
            <w:r>
              <w:rPr>
                <w:rFonts w:hint="eastAsia" w:ascii="宋体" w:hAnsi="宋体" w:eastAsia="宋体" w:cs="宋体"/>
                <w:b/>
                <w:bCs/>
                <w:color w:val="ff0000"/>
                <w:sz w:val="24"/>
                <w:szCs w:val="24"/>
                <w:lang w:val="en-US" w:eastAsia="zh-CN"/>
              </w:rPr>
              <w:t xml:space="preserve">注：1.提供证书材料； </w:t>
            </w:r>
            <w:r/>
          </w:p>
          <w:p>
            <w:pPr>
              <w:numPr>
                <w:ilvl w:val="0"/>
                <w:numId w:val="0"/>
              </w:numPr>
              <w:ind w:left="0" w:right="0" w:firstLine="562"/>
              <w:keepLines w:val="0"/>
              <w:keepNext w:val="0"/>
              <w:pageBreakBefore w:val="0"/>
              <w:spacing w:before="0" w:beforeAutospacing="0" w:after="0" w:afterAutospacing="0" w:line="360" w:lineRule="exact"/>
              <w:widowControl w:val="off"/>
              <w:rPr>
                <w:rFonts w:hint="eastAsia" w:ascii="宋体" w:hAnsi="宋体" w:eastAsia="宋体" w:cs="宋体"/>
                <w:b/>
                <w:bCs/>
                <w:color w:val="ff0000"/>
                <w:sz w:val="24"/>
                <w:szCs w:val="24"/>
                <w:lang w:val="en-US" w:eastAsia="zh-CN"/>
              </w:rPr>
              <w:outlineLvl w:val="9"/>
              <w:suppressLineNumbers w:val="0"/>
            </w:pPr>
            <w:r>
              <w:rPr>
                <w:rFonts w:hint="eastAsia" w:ascii="宋体" w:hAnsi="宋体" w:cs="宋体"/>
                <w:b/>
                <w:bCs/>
                <w:color w:val="ff0000"/>
                <w:sz w:val="24"/>
                <w:szCs w:val="24"/>
                <w:lang w:val="en-US" w:eastAsia="zh-CN"/>
              </w:rPr>
              <w:t xml:space="preserve">2.</w:t>
            </w:r>
            <w:r>
              <w:rPr>
                <w:rFonts w:hint="eastAsia" w:ascii="宋体" w:hAnsi="宋体" w:eastAsia="宋体" w:cs="宋体"/>
                <w:b/>
                <w:bCs/>
                <w:color w:val="ff0000"/>
                <w:sz w:val="24"/>
                <w:szCs w:val="24"/>
                <w:lang w:val="en-US" w:eastAsia="zh-CN"/>
              </w:rPr>
              <w:t xml:space="preserve">提供投标人为其缴纳的近半年（响应文件提交截止时间往前推）任意一个月的社保缴纳证明材料；</w:t>
            </w:r>
            <w:r/>
          </w:p>
          <w:p>
            <w:pPr>
              <w:numPr>
                <w:ilvl w:val="0"/>
                <w:numId w:val="0"/>
              </w:numPr>
              <w:ind w:left="0" w:right="0" w:firstLine="562"/>
              <w:keepLines w:val="0"/>
              <w:keepNext w:val="0"/>
              <w:pageBreakBefore w:val="0"/>
              <w:spacing w:before="0" w:beforeAutospacing="0" w:after="0" w:afterAutospacing="0" w:line="360" w:lineRule="exact"/>
              <w:widowControl w:val="off"/>
              <w:rPr>
                <w:rFonts w:hint="eastAsia" w:ascii="宋体" w:hAnsi="宋体" w:eastAsia="宋体" w:cs="宋体"/>
                <w:b/>
                <w:bCs/>
                <w:color w:val="ff0000"/>
                <w:sz w:val="24"/>
                <w:szCs w:val="24"/>
                <w:lang w:val="en-US" w:eastAsia="zh-CN"/>
              </w:rPr>
              <w:outlineLvl w:val="9"/>
              <w:suppressLineNumbers w:val="0"/>
            </w:pPr>
            <w:r>
              <w:rPr>
                <w:rFonts w:hint="eastAsia" w:ascii="宋体" w:hAnsi="宋体" w:cs="宋体"/>
                <w:b/>
                <w:bCs/>
                <w:color w:val="ff0000"/>
                <w:sz w:val="24"/>
                <w:szCs w:val="24"/>
                <w:lang w:val="en-US" w:eastAsia="zh-CN"/>
              </w:rPr>
              <w:t xml:space="preserve">3.</w:t>
            </w:r>
            <w:r>
              <w:rPr>
                <w:rFonts w:hint="eastAsia" w:ascii="宋体" w:hAnsi="宋体" w:eastAsia="宋体" w:cs="宋体"/>
                <w:b/>
                <w:bCs/>
                <w:color w:val="ff0000"/>
                <w:sz w:val="24"/>
                <w:szCs w:val="24"/>
                <w:lang w:val="en-US" w:eastAsia="zh-CN"/>
              </w:rPr>
              <w:t xml:space="preserve">未按要求提供或提供不清晰导致专家无法判断的不得分；</w:t>
            </w:r>
            <w:r/>
          </w:p>
          <w:p>
            <w:pPr>
              <w:numPr>
                <w:ilvl w:val="0"/>
                <w:numId w:val="0"/>
              </w:num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sz w:val="24"/>
                <w:szCs w:val="24"/>
              </w:rPr>
              <w:outlineLvl w:val="9"/>
              <w:suppressLineNumbers w:val="0"/>
            </w:pPr>
            <w:r>
              <w:rPr>
                <w:rFonts w:hint="eastAsia" w:ascii="宋体" w:hAnsi="宋体" w:eastAsia="宋体" w:cs="宋体"/>
                <w:b/>
                <w:bCs/>
                <w:color w:val="ff0000"/>
                <w:sz w:val="24"/>
                <w:szCs w:val="24"/>
                <w:lang w:val="en-US" w:eastAsia="zh-CN"/>
              </w:rPr>
              <w:t xml:space="preserve"> </w:t>
            </w:r>
            <w:r>
              <w:rPr>
                <w:rFonts w:hint="eastAsia" w:ascii="宋体" w:hAnsi="宋体" w:cs="宋体"/>
                <w:b/>
                <w:bCs/>
                <w:color w:val="ff0000"/>
                <w:sz w:val="24"/>
                <w:szCs w:val="24"/>
                <w:lang w:val="en-US" w:eastAsia="zh-CN"/>
              </w:rPr>
              <w:t xml:space="preserve">   </w:t>
            </w:r>
            <w:r>
              <w:rPr>
                <w:rFonts w:hint="eastAsia" w:ascii="宋体" w:hAnsi="宋体" w:eastAsia="宋体" w:cs="宋体"/>
                <w:b/>
                <w:bCs/>
                <w:color w:val="ff0000"/>
                <w:sz w:val="24"/>
                <w:szCs w:val="24"/>
                <w:lang w:val="en-US" w:eastAsia="zh-CN"/>
              </w:rPr>
              <w:t xml:space="preserve">4.项目负责人</w:t>
            </w:r>
            <w:r>
              <w:rPr>
                <w:rFonts w:hint="eastAsia" w:ascii="宋体" w:hAnsi="宋体" w:cs="宋体"/>
                <w:b/>
                <w:bCs/>
                <w:color w:val="ff0000"/>
                <w:sz w:val="24"/>
                <w:szCs w:val="24"/>
                <w:lang w:val="en-US" w:eastAsia="zh-CN"/>
              </w:rPr>
              <w:t xml:space="preserve">、</w:t>
            </w:r>
            <w:r>
              <w:rPr>
                <w:rFonts w:hint="eastAsia" w:ascii="宋体" w:hAnsi="宋体" w:eastAsia="宋体" w:cs="宋体"/>
                <w:b/>
                <w:bCs/>
                <w:color w:val="ff0000"/>
                <w:sz w:val="24"/>
                <w:szCs w:val="24"/>
                <w:lang w:val="en-US" w:eastAsia="zh-CN"/>
              </w:rPr>
              <w:t xml:space="preserve">技术负责人</w:t>
            </w:r>
            <w:r>
              <w:rPr>
                <w:rFonts w:hint="eastAsia" w:ascii="宋体" w:hAnsi="宋体" w:cs="宋体"/>
                <w:b/>
                <w:bCs/>
                <w:color w:val="ff0000"/>
                <w:sz w:val="24"/>
                <w:szCs w:val="24"/>
                <w:lang w:val="en-US" w:eastAsia="zh-CN"/>
              </w:rPr>
              <w:t xml:space="preserve">及安全负责人</w:t>
            </w:r>
            <w:r>
              <w:rPr>
                <w:rFonts w:hint="eastAsia" w:ascii="宋体" w:hAnsi="宋体" w:eastAsia="宋体" w:cs="宋体"/>
                <w:b/>
                <w:bCs/>
                <w:color w:val="ff0000"/>
                <w:sz w:val="24"/>
                <w:szCs w:val="24"/>
                <w:lang w:val="en-US" w:eastAsia="zh-CN"/>
              </w:rPr>
              <w:t xml:space="preserve">不得为同一人。</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tc>
      </w:tr>
      <w:tr>
        <w:trPr>
          <w:jc w:val="center"/>
          <w:trHeight w:val="0"/>
        </w:trPr>
        <w:tc>
          <w:tcPr>
            <w:tcW w:w="613" w:type="dxa"/>
            <w:vAlign w:val="center"/>
            <w:textDirection w:val="lrTb"/>
            <w:noWrap w:val="false"/>
          </w:tcPr>
          <w:p>
            <w:pPr>
              <w:ind w:right="0"/>
              <w:jc w:val="both"/>
              <w:keepLines w:val="0"/>
              <w:keepNext w:val="0"/>
              <w:pageBreakBefore w:val="0"/>
              <w:spacing w:line="300" w:lineRule="exact"/>
              <w:widowControl w:val="off"/>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3.3</w:t>
            </w:r>
            <w:r/>
          </w:p>
        </w:tc>
        <w:tc>
          <w:tcPr>
            <w:tcW w:w="1092"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color w:val="000000"/>
                <w:sz w:val="24"/>
                <w:szCs w:val="24"/>
                <w:highlight w:val="none"/>
                <w:lang w:val="en-US" w:eastAsia="zh-CN"/>
              </w:rPr>
              <w:outlineLvl w:val="9"/>
              <w:suppressLineNumbers w:val="0"/>
            </w:pPr>
            <w:r>
              <w:rPr>
                <w:rFonts w:hint="eastAsia" w:ascii="宋体" w:hAnsi="宋体" w:cs="宋体"/>
                <w:b/>
                <w:bCs/>
                <w:color w:val="000000"/>
                <w:sz w:val="24"/>
                <w:szCs w:val="24"/>
                <w:highlight w:val="none"/>
                <w:lang w:val="en-US" w:eastAsia="zh-CN"/>
              </w:rPr>
              <w:t xml:space="preserve">业绩</w:t>
            </w:r>
            <w:r/>
          </w:p>
        </w:tc>
        <w:tc>
          <w:tcPr>
            <w:tcW w:w="690" w:type="dxa"/>
            <w:vAlign w:val="center"/>
            <w:textDirection w:val="lrTb"/>
            <w:noWrap w:val="false"/>
          </w:tcPr>
          <w:p>
            <w:pPr>
              <w:ind w:left="0" w:right="0" w:firstLine="0"/>
              <w:jc w:val="center"/>
              <w:keepLines w:val="0"/>
              <w:keepNext w:val="0"/>
              <w:pageBreakBefore w:val="0"/>
              <w:spacing w:before="0" w:beforeAutospacing="0" w:after="0" w:afterAutospacing="0" w:line="264" w:lineRule="auto"/>
              <w:widowControl w:val="off"/>
              <w:rPr>
                <w:rFonts w:hint="eastAsia" w:ascii="宋体" w:hAnsi="宋体" w:cs="宋体"/>
                <w:sz w:val="24"/>
                <w:szCs w:val="24"/>
                <w:highlight w:val="none"/>
                <w:lang w:val="en-US" w:eastAsia="zh-CN"/>
              </w:rPr>
              <w:outlineLvl w:val="9"/>
              <w:suppressLineNumbers w:val="0"/>
            </w:pPr>
            <w:r>
              <w:rPr>
                <w:rFonts w:hint="eastAsia" w:ascii="宋体" w:hAnsi="宋体" w:cs="宋体"/>
                <w:sz w:val="24"/>
                <w:szCs w:val="24"/>
                <w:highlight w:val="none"/>
                <w:lang w:val="en-US" w:eastAsia="zh-CN"/>
              </w:rPr>
              <w:t xml:space="preserve">5</w:t>
            </w:r>
            <w:r/>
          </w:p>
        </w:tc>
        <w:tc>
          <w:tcPr>
            <w:tcW w:w="7106" w:type="dxa"/>
            <w:vAlign w:val="center"/>
            <w:textDirection w:val="lrTb"/>
            <w:noWrap w:val="false"/>
          </w:tcPr>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rPr>
              <w:outlineLvl w:val="9"/>
              <w:suppressLineNumbers w:val="0"/>
            </w:pPr>
            <w:r>
              <w:rPr>
                <w:rFonts w:hint="eastAsia" w:ascii="宋体" w:hAnsi="宋体" w:eastAsia="宋体" w:cs="宋体"/>
                <w:b w:val="0"/>
                <w:bCs w:val="0"/>
                <w:color w:val="000000"/>
                <w:sz w:val="24"/>
                <w:szCs w:val="24"/>
                <w:highlight w:val="none"/>
              </w:rPr>
              <w:t xml:space="preserve">供应商近五年（响应截止日期往前推算）承担过</w:t>
            </w:r>
            <w:r>
              <w:rPr>
                <w:rFonts w:hint="eastAsia" w:ascii="宋体" w:hAnsi="宋体" w:cs="宋体"/>
                <w:b w:val="0"/>
                <w:bCs w:val="0"/>
                <w:color w:val="000000"/>
                <w:sz w:val="24"/>
                <w:szCs w:val="24"/>
                <w:highlight w:val="none"/>
                <w:lang w:val="en-US" w:eastAsia="zh-CN"/>
              </w:rPr>
              <w:t xml:space="preserve">老旧小区升级改造类项目</w:t>
            </w:r>
            <w:r>
              <w:rPr>
                <w:rFonts w:hint="eastAsia" w:ascii="宋体" w:hAnsi="宋体" w:eastAsia="宋体" w:cs="宋体"/>
                <w:b w:val="0"/>
                <w:bCs w:val="0"/>
                <w:color w:val="000000"/>
                <w:sz w:val="24"/>
                <w:szCs w:val="24"/>
                <w:highlight w:val="none"/>
              </w:rPr>
              <w:t xml:space="preserve">的，有一个得1分，最高得</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p>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bCs/>
                <w:color w:val="ff0000"/>
                <w:sz w:val="24"/>
                <w:szCs w:val="24"/>
                <w:highlight w:val="none"/>
                <w:lang w:val="en-US" w:eastAsia="zh-CN"/>
              </w:rPr>
              <w:outlineLvl w:val="9"/>
              <w:suppressLineNumbers w:val="0"/>
            </w:pPr>
            <w:r>
              <w:rPr>
                <w:rFonts w:hint="eastAsia" w:ascii="宋体" w:hAnsi="宋体" w:eastAsia="宋体" w:cs="宋体"/>
                <w:b w:val="0"/>
                <w:bCs w:val="0"/>
                <w:color w:val="000000"/>
                <w:sz w:val="24"/>
                <w:szCs w:val="24"/>
                <w:highlight w:val="none"/>
              </w:rPr>
              <w:t xml:space="preserve">注：须提供合同证明材料（主要内容需清晰可见），未提供不得分。</w:t>
            </w:r>
            <w:r/>
          </w:p>
        </w:tc>
        <w:tc>
          <w:tcPr>
            <w:tcW w:w="1408"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tc>
      </w:tr>
    </w:tbl>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lang w:val="en-US" w:eastAsia="zh-CN"/>
        </w:rPr>
        <w:outlineLvl w:val="9"/>
        <w:suppressLineNumbers w:val="0"/>
      </w:pPr>
      <w:r>
        <w:rPr>
          <w:rFonts w:hint="eastAsia" w:ascii="宋体" w:hAnsi="宋体" w:eastAsia="宋体" w:cs="宋体"/>
          <w:b w:val="0"/>
          <w:bCs w:val="0"/>
          <w:color w:val="000000"/>
          <w:sz w:val="24"/>
          <w:szCs w:val="24"/>
          <w:highlight w:val="none"/>
          <w:lang w:val="en-US" w:eastAsia="zh-CN"/>
        </w:rPr>
        <w:t xml:space="preserve">注：1）投标人按评分细则所有得分项目均视为对本次招标的承诺，中标后均作为合同的组成部分。</w:t>
      </w:r>
      <w:r/>
    </w:p>
    <w:p>
      <w:pPr>
        <w:ind w:firstLine="482"/>
        <w:jc w:val="both"/>
        <w:keepLines w:val="0"/>
        <w:keepNext w:val="0"/>
        <w:pageBreakBefore w:val="0"/>
        <w:spacing w:line="400" w:lineRule="exact"/>
        <w:widowControl w:val="off"/>
        <w:rPr>
          <w:b/>
          <w:sz w:val="24"/>
          <w:szCs w:val="24"/>
        </w:rPr>
        <w:outlineLvl w:val="0"/>
      </w:pPr>
      <w:r>
        <w:rPr>
          <w:b/>
          <w:sz w:val="24"/>
          <w:szCs w:val="24"/>
        </w:rPr>
      </w:r>
      <w:r/>
    </w:p>
    <w:p>
      <w:pPr>
        <w:pStyle w:val="709"/>
        <w:sectPr>
          <w:footnotePr/>
          <w:endnotePr/>
          <w:type w:val="nextPage"/>
          <w:pgSz w:w="11907" w:h="16840" w:orient="portrait"/>
          <w:pgMar w:top="1440" w:right="1080" w:bottom="1440" w:left="1080" w:header="851" w:footer="851" w:gutter="0"/>
          <w:cols w:num="1" w:sep="0" w:space="1701" w:equalWidth="1"/>
          <w:docGrid w:linePitch="360"/>
        </w:sectPr>
      </w:pPr>
      <w:r/>
      <w:r/>
    </w:p>
    <w:p>
      <w:pPr>
        <w:jc w:val="center"/>
        <w:spacing w:line="360" w:lineRule="auto"/>
        <w:rPr>
          <w:rFonts w:hint="eastAsia" w:eastAsia="宋体"/>
          <w:sz w:val="24"/>
          <w:lang w:eastAsia="zh-CN"/>
        </w:rPr>
        <w:outlineLvl w:val="0"/>
      </w:pPr>
      <w:r>
        <w:rPr>
          <w:b/>
          <w:sz w:val="36"/>
          <w:szCs w:val="36"/>
        </w:rPr>
        <w:t xml:space="preserve">第五章   采购需求</w:t>
      </w:r>
      <w:bookmarkEnd w:id="810"/>
      <w:r/>
      <w:r/>
    </w:p>
    <w:p>
      <w:pPr>
        <w:ind w:firstLine="482"/>
        <w:spacing w:line="440" w:lineRule="atLeast"/>
        <w:rPr>
          <w:rFonts w:hint="eastAsia" w:ascii="宋体" w:hAnsi="宋体" w:cs="宋体"/>
          <w:b/>
          <w:sz w:val="24"/>
          <w:szCs w:val="24"/>
          <w14:ligatures w14:val="none"/>
        </w:rPr>
      </w:pPr>
      <w:r/>
      <w:bookmarkStart w:id="811" w:name="_Toc99301425"/>
      <w:r>
        <w:rPr>
          <w:rFonts w:hint="eastAsia" w:ascii="宋体" w:hAnsi="宋体" w:cs="宋体"/>
          <w:b/>
          <w:sz w:val="24"/>
          <w:szCs w:val="24"/>
          <w14:ligatures w14:val="none"/>
        </w:rPr>
        <w:t xml:space="preserve">一、采购标的</w:t>
      </w:r>
      <w:r/>
    </w:p>
    <w:p>
      <w:pPr>
        <w:ind w:firstLine="480"/>
        <w:spacing w:line="440" w:lineRule="atLeast"/>
        <w:rPr>
          <w:rFonts w:hint="eastAsia" w:ascii="宋体" w:hAnsi="宋体" w:cs="宋体"/>
          <w:sz w:val="24"/>
          <w:szCs w:val="24"/>
          <w14:ligatures w14:val="none"/>
        </w:rPr>
      </w:pPr>
      <w:r>
        <w:rPr>
          <w:rFonts w:hint="eastAsia" w:ascii="宋体" w:hAnsi="宋体" w:cs="宋体"/>
          <w:sz w:val="24"/>
          <w:szCs w:val="24"/>
          <w14:ligatures w14:val="none"/>
        </w:rPr>
        <w:t xml:space="preserve">1．项目名称：金坛区金城镇2026年度城镇老旧小区改造项目智能化、通讯改造 </w:t>
      </w:r>
      <w:r/>
    </w:p>
    <w:p>
      <w:pPr>
        <w:ind w:firstLine="480"/>
        <w:spacing w:line="440" w:lineRule="atLeast"/>
        <w:rPr>
          <w:rFonts w:hint="eastAsia" w:ascii="宋体" w:hAnsi="宋体" w:cs="宋体"/>
          <w:color w:val="000000" w:themeColor="text1"/>
          <w:sz w:val="24"/>
          <w:szCs w:val="24"/>
          <w14:ligatures w14:val="none"/>
        </w:rPr>
      </w:pPr>
      <w:r>
        <w:rPr>
          <w:rFonts w:hint="eastAsia" w:ascii="宋体" w:hAnsi="宋体" w:cs="宋体"/>
          <w:color w:val="000000" w:themeColor="text1"/>
          <w:sz w:val="24"/>
          <w:szCs w:val="24"/>
          <w14:ligatures w14:val="none"/>
        </w:rPr>
        <w:t xml:space="preserve">2．预算金额：</w:t>
      </w:r>
      <w:r>
        <w:rPr>
          <w:rFonts w:hint="eastAsia" w:ascii="宋体" w:hAnsi="宋体" w:cs="宋体"/>
          <w:color w:val="000000" w:themeColor="text1"/>
          <w:sz w:val="24"/>
          <w:szCs w:val="24"/>
          <w:lang w:val="en-US" w:eastAsia="zh-CN"/>
          <w14:ligatures w14:val="none"/>
        </w:rPr>
        <w:t xml:space="preserve">320万元</w:t>
      </w:r>
      <w:r>
        <w:rPr>
          <w:rFonts w:hint="eastAsia" w:ascii="宋体" w:hAnsi="宋体" w:cs="宋体"/>
          <w:color w:val="000000" w:themeColor="text1"/>
          <w:sz w:val="24"/>
          <w:szCs w:val="24"/>
          <w14:ligatures w14:val="none"/>
        </w:rPr>
        <w:t xml:space="preserve"> </w:t>
      </w:r>
      <w:r>
        <w:rPr>
          <w:color w:val="000000" w:themeColor="text1"/>
        </w:rPr>
      </w:r>
      <w:r/>
    </w:p>
    <w:p>
      <w:pPr>
        <w:ind w:firstLine="480"/>
        <w:spacing w:line="440" w:lineRule="atLeast"/>
        <w:rPr>
          <w:rFonts w:hint="eastAsia" w:ascii="宋体" w:hAnsi="宋体" w:eastAsia="宋体" w:cs="宋体"/>
          <w:color w:val="000000" w:themeColor="text1"/>
          <w:sz w:val="24"/>
          <w:szCs w:val="24"/>
          <w:highlight w:val="yellow"/>
          <w14:ligatures w14:val="none"/>
        </w:rPr>
      </w:pPr>
      <w:r>
        <w:rPr>
          <w:rFonts w:hint="eastAsia" w:ascii="宋体" w:hAnsi="宋体" w:cs="宋体"/>
          <w:color w:val="000000" w:themeColor="text1"/>
          <w:sz w:val="24"/>
          <w:szCs w:val="24"/>
          <w14:ligatures w14:val="none"/>
        </w:rPr>
        <w:t xml:space="preserve">3．最高限价：</w:t>
      </w:r>
      <w:r>
        <w:rPr>
          <w:rFonts w:hint="eastAsia" w:ascii="宋体" w:hAnsi="宋体" w:cs="宋体"/>
          <w:color w:val="000000" w:themeColor="text1"/>
          <w:sz w:val="24"/>
          <w:szCs w:val="24"/>
          <w:lang w:eastAsia="zh-CN"/>
          <w14:ligatures w14:val="none"/>
        </w:rPr>
        <w:t xml:space="preserve">2101646.06</w:t>
      </w:r>
      <w:r>
        <w:rPr>
          <w:rFonts w:hint="eastAsia" w:ascii="宋体" w:hAnsi="宋体" w:cs="宋体"/>
          <w:color w:val="000000" w:themeColor="text1"/>
          <w:sz w:val="24"/>
          <w:szCs w:val="24"/>
          <w:lang w:val="en-US" w:eastAsia="zh-CN"/>
          <w14:ligatures w14:val="none"/>
        </w:rPr>
        <w:t xml:space="preserve">元</w:t>
      </w:r>
      <w:r>
        <w:rPr>
          <w:color w:val="000000" w:themeColor="text1"/>
        </w:rPr>
      </w:r>
      <w:r/>
    </w:p>
    <w:p>
      <w:pPr>
        <w:ind w:firstLine="480"/>
        <w:spacing w:line="440" w:lineRule="atLeast"/>
        <w:rPr>
          <w:rFonts w:hint="eastAsia" w:ascii="宋体" w:hAnsi="宋体" w:cs="宋体"/>
          <w:color w:val="000000" w:themeColor="text1"/>
          <w:sz w:val="24"/>
          <w:szCs w:val="24"/>
          <w:highlight w:val="none"/>
          <w14:ligatures w14:val="none"/>
        </w:rPr>
      </w:pPr>
      <w:r>
        <w:rPr>
          <w:rFonts w:hint="eastAsia" w:ascii="宋体" w:hAnsi="宋体" w:cs="宋体"/>
          <w:color w:val="000000" w:themeColor="text1"/>
          <w:sz w:val="24"/>
          <w:szCs w:val="24"/>
          <w14:ligatures w14:val="none"/>
        </w:rPr>
        <w:t xml:space="preserve">4．采购项目概况（简介）：根据常州市金坛区金城镇2026年度</w:t>
      </w:r>
      <w:bookmarkStart w:id="812" w:name="_Hlk240981312"/>
      <w:r>
        <w:rPr>
          <w:rFonts w:hint="eastAsia" w:ascii="宋体" w:hAnsi="宋体" w:cs="宋体"/>
          <w:color w:val="000000" w:themeColor="text1"/>
          <w:sz w:val="24"/>
          <w:szCs w:val="24"/>
          <w14:ligatures w14:val="none"/>
        </w:rPr>
        <w:t xml:space="preserve">八达新村、四中教工楼、江南路45栋、江南路22、24、26栋、西门大街85栋、西门大街88栋、西门大街56、61、63栋、西门大街18栋、矢巷、横街、龙山路42、43栋</w:t>
      </w:r>
      <w:bookmarkEnd w:id="812"/>
      <w:r>
        <w:rPr>
          <w:rFonts w:hint="eastAsia" w:ascii="宋体" w:hAnsi="宋体" w:cs="宋体"/>
          <w:color w:val="000000" w:themeColor="text1"/>
          <w:sz w:val="24"/>
          <w:szCs w:val="24"/>
          <w14:ligatures w14:val="none"/>
        </w:rPr>
        <w:t xml:space="preserve">改造需求，需对通信及智能化设备进行更新改造，增加通信线路、监控设备</w:t>
      </w:r>
      <w:r>
        <w:rPr>
          <w:rFonts w:hint="eastAsia" w:ascii="宋体" w:hAnsi="宋体" w:cs="宋体"/>
          <w:color w:val="000000" w:themeColor="text1"/>
          <w:sz w:val="24"/>
          <w:szCs w:val="24"/>
          <w:highlight w:val="none"/>
          <w14:ligatures w14:val="none"/>
        </w:rPr>
        <w:t xml:space="preserve">、存储设备及传输专线等，以达到小区环境及安全系数提升的目的。</w:t>
      </w:r>
      <w:r>
        <w:rPr>
          <w:color w:val="000000" w:themeColor="text1"/>
        </w:rPr>
      </w:r>
      <w:r/>
    </w:p>
    <w:p>
      <w:pPr>
        <w:ind w:firstLine="480"/>
        <w:spacing w:line="440" w:lineRule="atLeast"/>
        <w:rPr>
          <w:rFonts w:hint="eastAsia" w:ascii="宋体" w:hAnsi="宋体" w:cs="宋体"/>
          <w:color w:val="000000" w:themeColor="text1"/>
          <w:sz w:val="24"/>
          <w:szCs w:val="24"/>
          <w:highlight w:val="none"/>
          <w14:ligatures w14:val="none"/>
        </w:rPr>
      </w:pPr>
      <w:r>
        <w:rPr>
          <w:rFonts w:hint="eastAsia" w:ascii="宋体" w:hAnsi="宋体" w:cs="宋体"/>
          <w:color w:val="000000" w:themeColor="text1"/>
          <w:sz w:val="24"/>
          <w:szCs w:val="24"/>
          <w:highlight w:val="none"/>
          <w14:ligatures w14:val="none"/>
        </w:rPr>
        <w:t xml:space="preserve">5．合同</w:t>
      </w:r>
      <w:r>
        <w:rPr>
          <w:rFonts w:hint="eastAsia" w:ascii="宋体" w:hAnsi="宋体" w:cs="宋体"/>
          <w:color w:val="000000" w:themeColor="text1"/>
          <w:sz w:val="24"/>
          <w:szCs w:val="24"/>
          <w:highlight w:val="none"/>
          <w14:ligatures w14:val="none"/>
        </w:rPr>
        <w:t xml:space="preserve">履行期限：接到采购人入场通知后</w:t>
      </w:r>
      <w:r>
        <w:rPr>
          <w:rFonts w:hint="eastAsia" w:ascii="宋体" w:hAnsi="宋体" w:cs="宋体"/>
          <w:color w:val="000000" w:themeColor="text1"/>
          <w:sz w:val="24"/>
          <w:szCs w:val="24"/>
          <w:highlight w:val="none"/>
          <w:lang w:val="en-US" w:eastAsia="zh-CN"/>
          <w14:ligatures w14:val="none"/>
        </w:rPr>
        <w:t xml:space="preserve">100</w:t>
      </w:r>
      <w:r>
        <w:rPr>
          <w:rFonts w:hint="eastAsia" w:ascii="宋体" w:hAnsi="宋体" w:cs="宋体"/>
          <w:color w:val="000000" w:themeColor="text1"/>
          <w:sz w:val="24"/>
          <w:szCs w:val="24"/>
          <w:highlight w:val="none"/>
          <w14:ligatures w14:val="none"/>
        </w:rPr>
        <w:t xml:space="preserve">天内完</w:t>
      </w:r>
      <w:r>
        <w:rPr>
          <w:rFonts w:hint="eastAsia" w:ascii="宋体" w:hAnsi="宋体" w:cs="宋体"/>
          <w:color w:val="000000" w:themeColor="text1"/>
          <w:sz w:val="24"/>
          <w:szCs w:val="24"/>
          <w:highlight w:val="none"/>
          <w14:ligatures w14:val="none"/>
        </w:rPr>
        <w:t xml:space="preserve">成本项目的安装调试，验收合格并正常使用。质保期</w:t>
      </w:r>
      <w:r>
        <w:rPr>
          <w:rFonts w:hint="eastAsia" w:ascii="宋体" w:hAnsi="宋体" w:cs="宋体"/>
          <w:color w:val="000000" w:themeColor="text1"/>
          <w:sz w:val="24"/>
          <w:szCs w:val="24"/>
          <w:highlight w:val="none"/>
          <w14:ligatures w14:val="none"/>
        </w:rPr>
        <w:t xml:space="preserve">2</w:t>
      </w:r>
      <w:r>
        <w:rPr>
          <w:rFonts w:hint="eastAsia" w:ascii="宋体" w:hAnsi="宋体" w:cs="宋体"/>
          <w:color w:val="000000" w:themeColor="text1"/>
          <w:sz w:val="24"/>
          <w:szCs w:val="24"/>
          <w:highlight w:val="none"/>
          <w14:ligatures w14:val="none"/>
        </w:rPr>
        <w:t xml:space="preserve">年。 </w:t>
      </w:r>
      <w:r>
        <w:rPr>
          <w:color w:val="000000" w:themeColor="text1"/>
        </w:rPr>
      </w:r>
      <w:r/>
    </w:p>
    <w:p>
      <w:pPr>
        <w:ind w:firstLine="480"/>
        <w:spacing w:line="440" w:lineRule="atLeast"/>
        <w:rPr>
          <w:rFonts w:hint="eastAsia" w:ascii="宋体" w:hAnsi="宋体" w:cs="宋体"/>
          <w:sz w:val="24"/>
          <w:szCs w:val="24"/>
          <w:highlight w:val="none"/>
          <w14:ligatures w14:val="none"/>
        </w:rPr>
      </w:pPr>
      <w:r>
        <w:rPr>
          <w:rFonts w:hint="eastAsia" w:ascii="宋体" w:hAnsi="宋体" w:cs="宋体"/>
          <w:color w:val="000000" w:themeColor="text1"/>
          <w:sz w:val="24"/>
          <w:szCs w:val="24"/>
          <w:highlight w:val="none"/>
          <w14:ligatures w14:val="none"/>
        </w:rPr>
        <w:t xml:space="preserve">6．是/否接受联合体投标：</w:t>
      </w:r>
      <w:r>
        <w:rPr>
          <w:rFonts w:hint="eastAsia" w:ascii="宋体" w:hAnsi="宋体" w:cs="宋体"/>
          <w:sz w:val="24"/>
          <w:szCs w:val="24"/>
          <w:highlight w:val="none"/>
          <w14:ligatures w14:val="none"/>
        </w:rPr>
        <w:t xml:space="preserve">否</w:t>
      </w:r>
      <w:r/>
    </w:p>
    <w:p>
      <w:pPr>
        <w:ind w:firstLine="480"/>
        <w:spacing w:line="440" w:lineRule="atLeast"/>
        <w:rPr>
          <w:rFonts w:hint="eastAsia" w:ascii="宋体" w:hAnsi="宋体" w:cs="宋体"/>
          <w:sz w:val="24"/>
          <w:szCs w:val="24"/>
          <w:highlight w:val="none"/>
          <w14:ligatures w14:val="none"/>
        </w:rPr>
      </w:pPr>
      <w:r>
        <w:rPr>
          <w:rFonts w:hint="eastAsia" w:ascii="宋体" w:hAnsi="宋体" w:cs="宋体"/>
          <w:sz w:val="24"/>
          <w:szCs w:val="24"/>
          <w:highlight w:val="none"/>
          <w14:ligatures w14:val="none"/>
        </w:rPr>
        <w:t xml:space="preserve">7．是/否接受分支机构参与响应：否</w:t>
      </w:r>
      <w:r/>
    </w:p>
    <w:p>
      <w:pPr>
        <w:ind w:firstLine="480"/>
        <w:spacing w:line="440" w:lineRule="atLeast"/>
        <w:rPr>
          <w:rFonts w:hint="eastAsia" w:ascii="宋体" w:hAnsi="宋体" w:cs="宋体"/>
          <w:sz w:val="24"/>
          <w:szCs w:val="24"/>
          <w:highlight w:val="none"/>
          <w14:ligatures w14:val="none"/>
        </w:rPr>
      </w:pPr>
      <w:r>
        <w:rPr>
          <w:rFonts w:hint="eastAsia" w:ascii="宋体" w:hAnsi="宋体" w:cs="宋体"/>
          <w:sz w:val="24"/>
          <w:szCs w:val="24"/>
          <w:highlight w:val="none"/>
          <w14:ligatures w14:val="none"/>
        </w:rPr>
        <w:t xml:space="preserve">8．是/否属于政府购买服务：是</w:t>
      </w:r>
      <w:r/>
    </w:p>
    <w:p>
      <w:pPr>
        <w:ind w:firstLine="480"/>
        <w:spacing w:line="440" w:lineRule="atLeast"/>
        <w:rPr>
          <w:rFonts w:hint="eastAsia" w:ascii="宋体" w:hAnsi="宋体" w:cs="宋体"/>
          <w:sz w:val="24"/>
          <w:szCs w:val="24"/>
          <w:highlight w:val="none"/>
          <w14:ligatures w14:val="none"/>
        </w:rPr>
      </w:pPr>
      <w:r>
        <w:rPr>
          <w:rFonts w:hint="eastAsia" w:ascii="宋体" w:hAnsi="宋体" w:cs="宋体"/>
          <w:sz w:val="24"/>
          <w:szCs w:val="24"/>
          <w:highlight w:val="none"/>
          <w14:ligatures w14:val="none"/>
        </w:rPr>
        <w:t xml:space="preserve">9．是/否接受进口产品投标：否</w:t>
      </w:r>
      <w:r/>
    </w:p>
    <w:p>
      <w:pPr>
        <w:ind w:firstLine="480"/>
        <w:spacing w:line="440" w:lineRule="atLeast"/>
        <w:rPr>
          <w:rFonts w:hint="eastAsia" w:ascii="宋体" w:hAnsi="宋体" w:cs="宋体"/>
          <w:sz w:val="24"/>
          <w:szCs w:val="24"/>
          <w:highlight w:val="none"/>
          <w14:ligatures w14:val="none"/>
        </w:rPr>
      </w:pPr>
      <w:r>
        <w:rPr>
          <w:rFonts w:hint="eastAsia" w:ascii="宋体" w:hAnsi="宋体" w:cs="宋体"/>
          <w:sz w:val="24"/>
          <w:szCs w:val="24"/>
          <w:highlight w:val="none"/>
          <w14:ligatures w14:val="none"/>
        </w:rPr>
        <w:t xml:space="preserve">10．是/否专门面向中小企业预留采购份额：否</w:t>
      </w:r>
      <w:r/>
    </w:p>
    <w:p>
      <w:pPr>
        <w:ind w:firstLine="480"/>
        <w:spacing w:line="440" w:lineRule="atLeast"/>
        <w:rPr>
          <w:rFonts w:hint="eastAsia" w:ascii="宋体" w:hAnsi="宋体" w:cs="宋体"/>
          <w:sz w:val="24"/>
          <w:szCs w:val="24"/>
          <w:highlight w:val="none"/>
          <w14:ligatures w14:val="none"/>
        </w:rPr>
      </w:pPr>
      <w:r>
        <w:rPr>
          <w:rFonts w:hint="eastAsia" w:ascii="宋体" w:hAnsi="宋体" w:cs="宋体"/>
          <w:sz w:val="24"/>
          <w:szCs w:val="24"/>
          <w:highlight w:val="none"/>
          <w14:ligatures w14:val="none"/>
        </w:rPr>
        <w:t xml:space="preserve">11．本项目的特定资格要求：无</w:t>
      </w:r>
      <w:r/>
    </w:p>
    <w:p>
      <w:pPr>
        <w:ind w:firstLine="480"/>
        <w:spacing w:line="440" w:lineRule="atLeast"/>
        <w:rPr>
          <w:rFonts w:hint="eastAsia" w:ascii="宋体" w:hAnsi="宋体" w:cs="宋体"/>
          <w:sz w:val="24"/>
          <w:szCs w:val="24"/>
          <w:highlight w:val="none"/>
          <w14:ligatures w14:val="none"/>
        </w:rPr>
      </w:pPr>
      <w:r>
        <w:rPr>
          <w:rFonts w:hint="eastAsia" w:ascii="宋体" w:hAnsi="宋体" w:cs="宋体"/>
          <w:sz w:val="24"/>
          <w:szCs w:val="24"/>
          <w:highlight w:val="none"/>
          <w14:ligatures w14:val="none"/>
        </w:rPr>
        <w:t xml:space="preserve">12．项目类别：服务类</w:t>
      </w:r>
      <w:r/>
    </w:p>
    <w:p>
      <w:pPr>
        <w:ind w:firstLine="482"/>
        <w:spacing w:line="440" w:lineRule="atLeast"/>
        <w:rPr>
          <w:rFonts w:hint="eastAsia" w:ascii="宋体" w:hAnsi="宋体" w:cs="宋体"/>
          <w:b/>
          <w:sz w:val="24"/>
          <w:szCs w:val="24"/>
          <w:highlight w:val="none"/>
          <w14:ligatures w14:val="none"/>
        </w:rPr>
      </w:pPr>
      <w:r>
        <w:rPr>
          <w:rFonts w:hint="eastAsia" w:ascii="宋体" w:hAnsi="宋体" w:cs="宋体"/>
          <w:b/>
          <w:sz w:val="24"/>
          <w:szCs w:val="24"/>
          <w:highlight w:val="none"/>
          <w14:ligatures w14:val="none"/>
        </w:rPr>
        <w:t xml:space="preserve">二、商务要求</w:t>
      </w:r>
      <w:r/>
    </w:p>
    <w:p>
      <w:pPr>
        <w:ind w:firstLine="480"/>
        <w:spacing w:line="440" w:lineRule="atLeast"/>
        <w:rPr>
          <w:rFonts w:hint="eastAsia" w:ascii="宋体" w:hAnsi="宋体" w:cs="宋体"/>
          <w:b/>
          <w:bCs/>
          <w:sz w:val="24"/>
          <w:szCs w:val="24"/>
          <w:highlight w:val="none"/>
          <w14:ligatures w14:val="none"/>
        </w:rPr>
      </w:pPr>
      <w:r>
        <w:rPr>
          <w:rFonts w:hint="eastAsia" w:ascii="宋体" w:hAnsi="宋体" w:cs="宋体"/>
          <w:b/>
          <w:bCs/>
          <w:sz w:val="24"/>
          <w:szCs w:val="24"/>
          <w:highlight w:val="none"/>
          <w14:ligatures w14:val="none"/>
        </w:rPr>
        <w:t xml:space="preserve">1．交付（实施）的时间（期限）和地点（范围）：</w:t>
      </w:r>
      <w:r/>
    </w:p>
    <w:p>
      <w:pPr>
        <w:ind w:firstLine="480"/>
        <w:spacing w:line="440" w:lineRule="atLeast"/>
        <w:rPr>
          <w:rFonts w:hint="eastAsia" w:ascii="宋体" w:hAnsi="宋体" w:cs="宋体"/>
          <w:color w:val="000000" w:themeColor="text1"/>
          <w:sz w:val="24"/>
          <w:szCs w:val="24"/>
          <w:highlight w:val="none"/>
          <w14:ligatures w14:val="none"/>
        </w:rPr>
      </w:pPr>
      <w:r>
        <w:rPr>
          <w:rFonts w:hint="eastAsia" w:ascii="宋体" w:hAnsi="宋体" w:cs="宋体"/>
          <w:sz w:val="24"/>
          <w:szCs w:val="24"/>
          <w:highlight w:val="none"/>
          <w14:ligatures w14:val="none"/>
        </w:rPr>
        <w:t xml:space="preserve">交付（实施）的时</w:t>
      </w:r>
      <w:r>
        <w:rPr>
          <w:rFonts w:hint="eastAsia" w:ascii="宋体" w:hAnsi="宋体" w:cs="宋体"/>
          <w:color w:val="000000" w:themeColor="text1"/>
          <w:sz w:val="24"/>
          <w:szCs w:val="24"/>
          <w:highlight w:val="none"/>
          <w14:ligatures w14:val="none"/>
        </w:rPr>
        <w:t xml:space="preserve">间（期限）：接到采购人入场通知后</w:t>
      </w:r>
      <w:r>
        <w:rPr>
          <w:rFonts w:hint="eastAsia" w:ascii="宋体" w:hAnsi="宋体" w:cs="宋体"/>
          <w:color w:val="000000" w:themeColor="text1"/>
          <w:sz w:val="24"/>
          <w:szCs w:val="24"/>
          <w:highlight w:val="none"/>
          <w:lang w:val="en-US" w:eastAsia="zh-CN"/>
          <w14:ligatures w14:val="none"/>
        </w:rPr>
        <w:t xml:space="preserve">100</w:t>
      </w:r>
      <w:r>
        <w:rPr>
          <w:rFonts w:hint="eastAsia" w:ascii="宋体" w:hAnsi="宋体" w:cs="宋体"/>
          <w:color w:val="000000" w:themeColor="text1"/>
          <w:sz w:val="24"/>
          <w:szCs w:val="24"/>
          <w:highlight w:val="none"/>
          <w14:ligatures w14:val="none"/>
        </w:rPr>
        <w:t xml:space="preserve">天内完成本项目的安装调试，验收合格并正常使用。质保期</w:t>
      </w:r>
      <w:r>
        <w:rPr>
          <w:rFonts w:hint="eastAsia" w:ascii="宋体" w:hAnsi="宋体" w:cs="宋体"/>
          <w:color w:val="000000" w:themeColor="text1"/>
          <w:sz w:val="24"/>
          <w:szCs w:val="24"/>
          <w:highlight w:val="none"/>
          <w14:ligatures w14:val="none"/>
        </w:rPr>
        <w:t xml:space="preserve">2</w:t>
      </w:r>
      <w:r>
        <w:rPr>
          <w:rFonts w:hint="eastAsia" w:ascii="宋体" w:hAnsi="宋体" w:cs="宋体"/>
          <w:color w:val="000000" w:themeColor="text1"/>
          <w:sz w:val="24"/>
          <w:szCs w:val="24"/>
          <w:highlight w:val="none"/>
          <w14:ligatures w14:val="none"/>
        </w:rPr>
        <w:t xml:space="preserve">年。</w:t>
      </w:r>
      <w:r>
        <w:rPr>
          <w:color w:val="000000" w:themeColor="text1"/>
        </w:rPr>
      </w:r>
      <w:r/>
    </w:p>
    <w:p>
      <w:pPr>
        <w:ind w:firstLine="480"/>
        <w:spacing w:line="440" w:lineRule="atLeast"/>
        <w:rPr>
          <w:rFonts w:hint="eastAsia" w:ascii="宋体" w:hAnsi="宋体" w:cs="宋体"/>
          <w:color w:val="000000" w:themeColor="text1"/>
          <w:sz w:val="24"/>
          <w:szCs w:val="24"/>
          <w14:ligatures w14:val="none"/>
        </w:rPr>
      </w:pPr>
      <w:r>
        <w:rPr>
          <w:rFonts w:hint="eastAsia" w:ascii="宋体" w:hAnsi="宋体" w:cs="宋体"/>
          <w:color w:val="000000" w:themeColor="text1"/>
          <w:sz w:val="24"/>
          <w:szCs w:val="24"/>
          <w14:ligatures w14:val="none"/>
        </w:rPr>
        <w:t xml:space="preserve">地点（范围）：涉及小区有八达新村、四中教工楼、江南路45栋、江南路22、24、26栋、西门</w:t>
      </w:r>
      <w:r>
        <w:rPr>
          <w:rFonts w:hint="eastAsia" w:ascii="宋体" w:hAnsi="宋体" w:cs="宋体"/>
          <w:color w:val="000000" w:themeColor="text1"/>
          <w:sz w:val="24"/>
          <w:szCs w:val="24"/>
          <w14:ligatures w14:val="none"/>
        </w:rPr>
        <w:t xml:space="preserve">大街85栋、西门大街88栋、西门大街56、61、63栋、西门大街18栋、矢巷、横街、龙山路42、43栋。</w:t>
      </w:r>
      <w:r>
        <w:rPr>
          <w:color w:val="000000" w:themeColor="text1"/>
        </w:rPr>
      </w:r>
      <w:r/>
    </w:p>
    <w:p>
      <w:pPr>
        <w:ind w:firstLine="480"/>
        <w:spacing w:line="440" w:lineRule="atLeast"/>
        <w:rPr>
          <w:rFonts w:hint="eastAsia" w:ascii="宋体" w:hAnsi="宋体" w:cs="宋体"/>
          <w:b/>
          <w:bCs/>
          <w:color w:val="auto"/>
          <w:sz w:val="24"/>
          <w:szCs w:val="24"/>
          <w14:ligatures w14:val="none"/>
        </w:rPr>
      </w:pPr>
      <w:r>
        <w:rPr>
          <w:rFonts w:hint="eastAsia" w:ascii="宋体" w:hAnsi="宋体" w:cs="宋体"/>
          <w:b/>
          <w:bCs/>
          <w:color w:val="auto"/>
          <w:sz w:val="24"/>
          <w:szCs w:val="24"/>
          <w14:ligatures w14:val="none"/>
        </w:rPr>
        <w:t xml:space="preserve">2.付款条件（进度和方式）</w:t>
      </w:r>
      <w:r/>
    </w:p>
    <w:p>
      <w:pPr>
        <w:contextualSpacing/>
        <w:ind w:firstLine="480"/>
        <w:spacing w:line="360" w:lineRule="auto"/>
        <w:rPr>
          <w:rFonts w:hint="eastAsia" w:ascii="宋体" w:hAnsi="宋体" w:cs="宋体"/>
          <w:color w:val="auto"/>
          <w:sz w:val="24"/>
          <w:szCs w:val="24"/>
          <w14:ligatures w14:val="none"/>
        </w:rPr>
      </w:pPr>
      <w:r>
        <w:rPr>
          <w:rFonts w:hint="eastAsia" w:ascii="宋体" w:hAnsi="宋体" w:cs="宋体"/>
          <w:color w:val="auto"/>
          <w:sz w:val="24"/>
          <w:szCs w:val="24"/>
          <w14:ligatures w14:val="none"/>
        </w:rPr>
        <w:t xml:space="preserve">①合同签订后10个工作日内采购人按合同价的10%支付项目预付款；</w:t>
      </w:r>
      <w:r/>
    </w:p>
    <w:p>
      <w:pPr>
        <w:contextualSpacing/>
        <w:ind w:firstLine="480"/>
        <w:spacing w:line="360" w:lineRule="auto"/>
        <w:rPr>
          <w:rFonts w:hint="eastAsia" w:ascii="宋体" w:hAnsi="宋体" w:cs="宋体"/>
          <w:color w:val="auto"/>
          <w:sz w:val="24"/>
          <w:szCs w:val="24"/>
          <w14:ligatures w14:val="none"/>
        </w:rPr>
      </w:pPr>
      <w:r>
        <w:rPr>
          <w:rFonts w:hint="eastAsia" w:ascii="宋体" w:hAnsi="宋体" w:cs="宋体"/>
          <w:color w:val="auto"/>
          <w:sz w:val="24"/>
          <w:szCs w:val="24"/>
          <w14:ligatures w14:val="none"/>
        </w:rPr>
        <w:t xml:space="preserve">②项目完成验收合格后30日内支付至合同金额的80%，</w:t>
      </w:r>
      <w:r/>
    </w:p>
    <w:p>
      <w:pPr>
        <w:contextualSpacing/>
        <w:ind w:firstLine="480"/>
        <w:spacing w:line="360" w:lineRule="auto"/>
        <w:rPr>
          <w:rFonts w:hint="eastAsia" w:ascii="宋体" w:hAnsi="宋体" w:cs="宋体"/>
          <w:color w:val="auto"/>
          <w:sz w:val="24"/>
          <w:szCs w:val="24"/>
          <w14:ligatures w14:val="none"/>
        </w:rPr>
      </w:pPr>
      <w:r>
        <w:rPr>
          <w:rFonts w:hint="eastAsia" w:ascii="宋体" w:hAnsi="宋体" w:cs="宋体"/>
          <w:color w:val="auto"/>
          <w:sz w:val="24"/>
          <w:szCs w:val="24"/>
          <w14:ligatures w14:val="none"/>
        </w:rPr>
        <w:t xml:space="preserve">③项目完成验收合格经审计单位审定后 30 日内，采购人支付至审定价的97%。</w:t>
      </w:r>
      <w:r/>
    </w:p>
    <w:p>
      <w:pPr>
        <w:contextualSpacing/>
        <w:ind w:firstLine="480"/>
        <w:spacing w:line="360" w:lineRule="auto"/>
        <w:rPr>
          <w:rFonts w:hint="eastAsia" w:ascii="宋体" w:hAnsi="宋体" w:cs="宋体"/>
          <w:color w:val="auto"/>
          <w:sz w:val="24"/>
          <w:szCs w:val="24"/>
          <w14:ligatures w14:val="none"/>
        </w:rPr>
      </w:pPr>
      <w:r>
        <w:rPr>
          <w:rFonts w:hint="eastAsia" w:ascii="宋体" w:hAnsi="宋体" w:cs="宋体"/>
          <w:color w:val="auto"/>
          <w:sz w:val="24"/>
          <w:szCs w:val="24"/>
          <w14:ligatures w14:val="none"/>
        </w:rPr>
        <w:t xml:space="preserve">④质保期满后,支付至审定价的 100%。</w:t>
      </w:r>
      <w:r/>
    </w:p>
    <w:p>
      <w:pPr>
        <w:contextualSpacing/>
        <w:ind w:firstLine="480"/>
        <w:spacing w:line="360" w:lineRule="auto"/>
        <w:rPr>
          <w:rFonts w:hint="eastAsia" w:ascii="宋体" w:hAnsi="宋体" w:cs="宋体"/>
          <w:color w:val="000000"/>
          <w:sz w:val="24"/>
          <w:szCs w:val="24"/>
          <w14:ligatures w14:val="none"/>
        </w:rPr>
      </w:pPr>
      <w:r>
        <w:rPr>
          <w:rFonts w:hint="eastAsia" w:ascii="宋体" w:hAnsi="宋体" w:cs="宋体"/>
          <w:color w:val="000000"/>
          <w:sz w:val="24"/>
          <w:szCs w:val="24"/>
          <w14:ligatures w14:val="none"/>
        </w:rPr>
        <w:t xml:space="preserve">⑤</w:t>
      </w:r>
      <w:r>
        <w:rPr>
          <w:rFonts w:hint="eastAsia" w:ascii="宋体" w:hAnsi="宋体" w:cs="宋体"/>
          <w:sz w:val="24"/>
          <w:szCs w:val="24"/>
          <w14:ligatures w14:val="none"/>
        </w:rPr>
        <w:t xml:space="preserve">如涉及甲方要求的变更，增加的内容在清单中有适用的，则按投标时的报价结算；若增加的内容在清单中只有相类似的，可参照类似内容的响应报价进行结算；若增加的内容在清单中无适用或相类似的，结算原则为：由乙方申报单价，经甲方签证后进行结算。</w:t>
      </w:r>
      <w:r/>
    </w:p>
    <w:p>
      <w:pPr>
        <w:contextualSpacing/>
        <w:ind w:firstLine="480"/>
        <w:spacing w:line="360" w:lineRule="auto"/>
        <w:rPr>
          <w:rFonts w:hint="eastAsia" w:ascii="宋体" w:hAnsi="宋体" w:cs="宋体"/>
          <w:color w:val="000000"/>
          <w:sz w:val="24"/>
          <w:szCs w:val="24"/>
          <w14:ligatures w14:val="none"/>
        </w:rPr>
      </w:pPr>
      <w:r>
        <w:rPr>
          <w:rFonts w:hint="eastAsia" w:ascii="宋体" w:hAnsi="宋体" w:cs="宋体"/>
          <w:color w:val="000000"/>
          <w:sz w:val="24"/>
          <w:szCs w:val="24"/>
          <w14:ligatures w14:val="none"/>
        </w:rPr>
        <w:t xml:space="preserve">注：乙方在收款时提供等额合规且符合甲方要求的增值税发票。</w:t>
      </w:r>
      <w:r/>
    </w:p>
    <w:p>
      <w:pPr>
        <w:contextualSpacing/>
        <w:ind w:firstLine="480"/>
        <w:spacing w:line="360" w:lineRule="auto"/>
        <w:rPr>
          <w:rFonts w:hint="eastAsia" w:ascii="宋体" w:hAnsi="宋体" w:cs="宋体"/>
          <w:color w:val="000000"/>
          <w:sz w:val="24"/>
          <w:szCs w:val="24"/>
          <w14:ligatures w14:val="none"/>
        </w:rPr>
      </w:pPr>
      <w:r>
        <w:rPr>
          <w:rFonts w:hint="eastAsia" w:ascii="宋体" w:hAnsi="宋体" w:cs="宋体"/>
          <w:color w:val="000000"/>
          <w:sz w:val="24"/>
          <w:szCs w:val="24"/>
          <w14:ligatures w14:val="none"/>
        </w:rPr>
        <w:t xml:space="preserve">当采购数量与实际使用数量不一致时，供应商应根据实际使用量供货，最终结算金额按实际使用量乘以成交单价进行计算。</w:t>
      </w:r>
      <w:r/>
    </w:p>
    <w:p>
      <w:pPr>
        <w:contextualSpacing/>
        <w:ind w:firstLine="480"/>
        <w:spacing w:line="360" w:lineRule="auto"/>
        <w:rPr>
          <w:rFonts w:hint="eastAsia" w:ascii="宋体" w:hAnsi="宋体" w:cs="宋体"/>
          <w:color w:val="000000"/>
          <w:sz w:val="24"/>
          <w:szCs w:val="24"/>
          <w14:ligatures w14:val="none"/>
        </w:rPr>
      </w:pPr>
      <w:r>
        <w:rPr>
          <w:rFonts w:hint="eastAsia" w:ascii="宋体" w:hAnsi="宋体" w:cs="宋体"/>
          <w:sz w:val="24"/>
          <w:szCs w:val="24"/>
          <w:lang w:val="zh-CN"/>
          <w14:ligatures w14:val="none"/>
        </w:rPr>
        <w:t xml:space="preserve">本合同约定的结算以审计机关的审计结果为准。结算经审计机关审定后，核减率在8%以内（含8%）的由建设方支付全部审计费；如12%≥核减费费率＞8%时，该</w:t>
      </w:r>
      <w:r>
        <w:rPr>
          <w:rFonts w:hint="eastAsia" w:ascii="宋体" w:hAnsi="宋体" w:cs="宋体"/>
          <w:sz w:val="24"/>
          <w:szCs w:val="24"/>
          <w14:ligatures w14:val="none"/>
        </w:rPr>
        <w:t xml:space="preserve">项目</w:t>
      </w:r>
      <w:r>
        <w:rPr>
          <w:rFonts w:hint="eastAsia" w:ascii="宋体" w:hAnsi="宋体" w:cs="宋体"/>
          <w:sz w:val="24"/>
          <w:szCs w:val="24"/>
          <w:lang w:val="zh-CN"/>
          <w14:ligatures w14:val="none"/>
        </w:rPr>
        <w:t xml:space="preserve">所有审计费用乙方必须承担一半；核减费费率＞12%时，该</w:t>
      </w:r>
      <w:r>
        <w:rPr>
          <w:rFonts w:hint="eastAsia" w:ascii="宋体" w:hAnsi="宋体" w:cs="宋体"/>
          <w:sz w:val="24"/>
          <w:szCs w:val="24"/>
          <w14:ligatures w14:val="none"/>
        </w:rPr>
        <w:t xml:space="preserve">项目</w:t>
      </w:r>
      <w:r>
        <w:rPr>
          <w:rFonts w:hint="eastAsia" w:ascii="宋体" w:hAnsi="宋体" w:cs="宋体"/>
          <w:sz w:val="24"/>
          <w:szCs w:val="24"/>
          <w:lang w:val="zh-CN"/>
          <w14:ligatures w14:val="none"/>
        </w:rPr>
        <w:t xml:space="preserve">所有审计费均由乙方承担。前述分段不为累进制。</w:t>
      </w:r>
      <w:r/>
    </w:p>
    <w:p>
      <w:pPr>
        <w:ind w:firstLine="482"/>
        <w:spacing w:line="440" w:lineRule="atLeast"/>
        <w:rPr>
          <w:rFonts w:hint="eastAsia" w:ascii="宋体" w:hAnsi="宋体" w:cs="宋体"/>
          <w:b/>
          <w:sz w:val="24"/>
          <w:szCs w:val="24"/>
          <w14:ligatures w14:val="none"/>
        </w:rPr>
      </w:pPr>
      <w:r>
        <w:rPr>
          <w:rFonts w:hint="eastAsia" w:ascii="宋体" w:hAnsi="宋体" w:cs="宋体"/>
          <w:b/>
          <w:sz w:val="24"/>
          <w:szCs w:val="24"/>
          <w14:ligatures w14:val="none"/>
        </w:rPr>
        <w:t xml:space="preserve">三、技术要求</w:t>
      </w:r>
      <w:r/>
    </w:p>
    <w:p>
      <w:pPr>
        <w:contextualSpacing/>
        <w:ind w:firstLine="480"/>
        <w:spacing w:line="360" w:lineRule="auto"/>
        <w:rPr>
          <w:rFonts w:hint="eastAsia" w:ascii="宋体" w:hAnsi="宋体" w:cs="宋体"/>
          <w:color w:val="000000"/>
          <w:sz w:val="24"/>
          <w:szCs w:val="24"/>
          <w14:ligatures w14:val="none"/>
        </w:rPr>
      </w:pPr>
      <w:r>
        <w:rPr>
          <w:rFonts w:hint="eastAsia" w:ascii="宋体" w:hAnsi="宋体" w:cs="宋体"/>
          <w:b/>
          <w:bCs/>
          <w:sz w:val="24"/>
          <w:szCs w:val="24"/>
          <w14:ligatures w14:val="none"/>
        </w:rPr>
        <w:t xml:space="preserve">★</w:t>
      </w:r>
      <w:r>
        <w:rPr>
          <w:rFonts w:hint="eastAsia" w:ascii="宋体" w:hAnsi="宋体" w:cs="宋体"/>
          <w:color w:val="000000"/>
          <w:sz w:val="24"/>
          <w:szCs w:val="24"/>
          <w14:ligatures w14:val="none"/>
        </w:rPr>
        <w:t xml:space="preserve">1.基本要求</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1559"/>
        <w:gridCol w:w="6429"/>
      </w:tblGrid>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tcW w:w="1559" w:type="dxa"/>
            <w:vAlign w:val="center"/>
            <w:vMerge w:val="restart"/>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400万高清红外枪式摄像机</w:t>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镜头前盖玻璃呈倾斜状,与镜头平面呈4°夹角（提供第三方权威检测机构有效检测报告复印件加盖原厂公章）</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tcW w:w="1559" w:type="dxa"/>
            <w:vAlign w:val="center"/>
            <w:vMerge w:val="continue"/>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可同时采用DC12V电源与POE供电,当一路电源停止供电后,可正常工作（提供第三方权威检测机构有效检测报告复印件加盖原厂公章）</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tcW w:w="1559" w:type="dxa"/>
            <w:vAlign w:val="center"/>
            <w:vMerge w:val="restart"/>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48盘位云存储</w:t>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提供第三方权威检测机构有效检测报告复印件加盖原厂公章）</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tcW w:w="1559" w:type="dxa"/>
            <w:vAlign w:val="center"/>
            <w:vMerge w:val="continue"/>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同一套存量云存储系统架构支持持续异构节点扩容，同一套集群中支持15种异构存储节点。其中，异构存储节点同时支持6种不同盘位，包括12/24/36/48/72/84盘位；同时支持11</w:t>
            </w:r>
            <w:r>
              <w:rPr>
                <w:rFonts w:hint="eastAsia" w:ascii="宋体" w:hAnsi="宋体" w:cs="Times New Roman"/>
                <w:sz w:val="21"/>
                <w:szCs w:val="21"/>
                <w14:ligatures w14:val="standardContextual"/>
              </w:rPr>
              <w:t xml:space="preserve">种不同硬盘容量混插或者不同硬盘大小节点，不同硬盘容量大小包括1T/2T/4T/6T/8T/12T/14T/16T/18T/20T/24T；同时支持CMR盘和SMR盘；同时支持3种异构CPU扩容节点，包括X86 CPU（包含海光CPU）、鲲鹏ARM CPU、龙芯CPU节点；同时支持5种操作系统扩容节点，包括欧拉系统节点、麒麟系统节点、统信系统节点、CentOS系统节点和自研系统节点。同一套集群内的异构节点最高容量比最低容量差20倍时，也支持容量负载均衡。（提供第三方权威检测机构有效检测报告复印件加盖原厂公章）</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5</w:t>
            </w:r>
            <w:r/>
          </w:p>
        </w:tc>
        <w:tc>
          <w:tcPr>
            <w:tcW w:w="1559" w:type="dxa"/>
            <w:vAlign w:val="center"/>
            <w:vMerge w:val="continue"/>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云存储系统支持标准SNMP协议，支持获取超600种云存储集群信息。支持6大类信息获取接口，包括系统类接口、网络接口、CPU接口、存储介质接口、内存接口、以及云存储集群服务检测接口。其中网络接口类信息监控支持超20种大类信息</w:t>
            </w:r>
            <w:r>
              <w:rPr>
                <w:rFonts w:hint="eastAsia" w:ascii="宋体" w:hAnsi="宋体" w:cs="Times New Roman"/>
                <w:sz w:val="21"/>
                <w:szCs w:val="21"/>
                <w14:ligatures w14:val="standardContextual"/>
              </w:rPr>
              <w:t xml:space="preserve">，包括服务器网络带宽、物理MAC地址、接收字节数等；存储介质类支持获取50种大类信息，包括硬盘容量、使用率、硬盘类型等；支持获取30种CPU运行信息，例如CPU负载、空闲CPU百分比、CPU实际消耗使用时间等；扩展支持26种云存储集群大类信息，包括集群带宽、读写速度、总文件数、总bucket数、总用户数、集群规模节点数、CPU和操作系统种类等。云存储服务器支持BMC远程访问，支持控制服务器开机、关机、重启，支持控制开启和关闭服务器硬盘的休眠节能功能等。（提供第三方权威检测机构有效检测报告复印件加盖原厂公章）</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6</w:t>
            </w:r>
            <w:r/>
          </w:p>
        </w:tc>
        <w:tc>
          <w:tcPr>
            <w:tcW w:w="1559" w:type="dxa"/>
            <w:vAlign w:val="center"/>
            <w:vMerge w:val="restart"/>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社会面接入</w:t>
            </w:r>
            <w:r/>
          </w:p>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网关</w:t>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具备双向IP地址映射功能，产品应能够限制内网用户可以访问的外部网络地址范围以及外网用户能够访问的内部网络地址范围</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7</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能够限制内网用户可以访问的外部网络端口范围以及外网用户能够访问的内部网络端口范围</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8</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能够限制接入的外网或者内网用户允许通过的最大流量</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9</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具备端口隔离，能够将内网用户与外网用户隔离，两端用户均无法直接访问对端的网络资源</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10</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需符合JCTJ 005-2016（6.2.1/6.2.2）中的安全要求。</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0"/>
                <w:szCs w:val="21"/>
                <w14:ligatures w14:val="standardContextual"/>
              </w:rPr>
            </w:pPr>
            <w:r>
              <w:rPr>
                <w:rFonts w:hint="eastAsia" w:ascii="宋体" w:hAnsi="宋体" w:cs="Times New Roman"/>
                <w:color w:val="000000"/>
                <w:sz w:val="20"/>
                <w:szCs w:val="21"/>
                <w14:ligatures w14:val="standardContextual"/>
              </w:rPr>
              <w:t xml:space="preserve">11</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0"/>
                <w:szCs w:val="21"/>
                <w14:ligatures w14:val="standardContextual"/>
              </w:rPr>
            </w:pPr>
            <w:r>
              <w:rPr>
                <w:rFonts w:hint="eastAsia" w:ascii="宋体" w:hAnsi="宋体" w:cs="Times New Roman"/>
                <w:color w:val="000000"/>
                <w:sz w:val="20"/>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0"/>
                <w:szCs w:val="21"/>
                <w14:ligatures w14:val="standardContextual"/>
              </w:rPr>
            </w:pPr>
            <w:r>
              <w:rPr>
                <w:rFonts w:hint="eastAsia" w:ascii="宋体" w:hAnsi="宋体" w:cs="Times New Roman"/>
                <w:color w:val="000000"/>
                <w:sz w:val="20"/>
                <w:szCs w:val="21"/>
                <w14:ligatures w14:val="standardContextual"/>
              </w:rPr>
              <w:t xml:space="preserve">加</w:t>
            </w:r>
            <w:r>
              <w:rPr>
                <w:rFonts w:hint="eastAsia" w:ascii="宋体" w:hAnsi="宋体" w:cs="宋体"/>
                <w:b/>
                <w:bCs/>
                <w:sz w:val="24"/>
                <w:szCs w:val="24"/>
                <w14:ligatures w14:val="none"/>
              </w:rPr>
              <w:t xml:space="preserve">★</w:t>
            </w:r>
            <w:r>
              <w:rPr>
                <w:rFonts w:hint="eastAsia" w:ascii="宋体" w:hAnsi="宋体" w:cs="Times New Roman"/>
                <w:color w:val="000000"/>
                <w:sz w:val="20"/>
                <w:szCs w:val="21"/>
                <w14:ligatures w14:val="standardContextual"/>
              </w:rPr>
              <w:t xml:space="preserve">项提供公安部检测报告（加盖制造商公章的扫描件）</w:t>
            </w:r>
            <w:r/>
          </w:p>
        </w:tc>
      </w:tr>
      <w:tr>
        <w:trPr/>
        <w:tc>
          <w:tcPr>
            <w:gridSpan w:val="3"/>
            <w:tcW w:w="8522" w:type="dxa"/>
            <w:vAlign w:val="center"/>
            <w:textDirection w:val="lrTb"/>
            <w:noWrap w:val="false"/>
          </w:tcPr>
          <w:p>
            <w:pPr>
              <w:numPr>
                <w:ilvl w:val="0"/>
                <w:numId w:val="0"/>
              </w:numPr>
              <w:jc w:val="left"/>
              <w:spacing w:after="0" w:line="240" w:lineRule="auto"/>
              <w:rPr>
                <w:rFonts w:hint="eastAsia" w:ascii="宋体" w:hAnsi="宋体" w:cs="宋体"/>
                <w:b/>
                <w:bCs/>
                <w:color w:val="ff0000"/>
                <w:sz w:val="21"/>
                <w:szCs w:val="21"/>
                <w:highlight w:val="yellow"/>
                <w:lang w:val="en-US" w:eastAsia="zh-CN"/>
                <w14:ligatures w14:val="none"/>
              </w:rPr>
            </w:pPr>
            <w:r>
              <w:rPr>
                <w:rFonts w:hint="eastAsia" w:ascii="宋体" w:hAnsi="宋体" w:cs="Times New Roman"/>
                <w:color w:val="000000"/>
                <w:sz w:val="21"/>
                <w:szCs w:val="21"/>
                <w:highlight w:val="none"/>
                <w:lang w:val="en-US" w:eastAsia="zh-CN"/>
                <w14:ligatures w14:val="standardContextual"/>
              </w:rPr>
              <w:t xml:space="preserve">注：</w:t>
            </w:r>
            <w:r>
              <w:rPr>
                <w:rFonts w:hint="eastAsia" w:ascii="宋体" w:hAnsi="宋体" w:cs="宋体"/>
                <w:b/>
                <w:bCs/>
                <w:sz w:val="21"/>
                <w:szCs w:val="21"/>
                <w:u w:val="none"/>
                <w:lang w:val="en-US" w:eastAsia="zh-CN"/>
                <w14:ligatures w14:val="none"/>
              </w:rPr>
              <w:t xml:space="preserve">（1）带★号的要求为不可偏离要求，若存在负偏离，将导致投标无效。</w:t>
            </w:r>
            <w:r/>
          </w:p>
          <w:p>
            <w:pPr>
              <w:numPr>
                <w:ilvl w:val="0"/>
                <w:numId w:val="0"/>
              </w:numPr>
              <w:jc w:val="left"/>
              <w:spacing w:after="0" w:line="240" w:lineRule="auto"/>
              <w:rPr>
                <w:rFonts w:hint="eastAsia" w:ascii="宋体" w:hAnsi="宋体" w:cs="Times New Roman"/>
                <w:color w:val="000000"/>
                <w:sz w:val="21"/>
                <w:szCs w:val="21"/>
                <w:highlight w:val="yellow"/>
                <w:lang w:val="en-US" w:eastAsia="zh-CN"/>
                <w14:ligatures w14:val="standardContextual"/>
              </w:rPr>
            </w:pPr>
            <w:r>
              <w:rPr>
                <w:rFonts w:hint="eastAsia" w:ascii="宋体" w:hAnsi="宋体" w:cs="宋体"/>
                <w:b/>
                <w:bCs/>
                <w:color w:val="ff0000"/>
                <w:sz w:val="21"/>
                <w:szCs w:val="21"/>
                <w:highlight w:val="yellow"/>
                <w:lang w:val="en-US" w:eastAsia="zh-CN"/>
                <w14:ligatures w14:val="none"/>
              </w:rPr>
              <w:t xml:space="preserve">（2）针对上述带★项要求的相关证明材料，投标人在投标阶段无需提交，但必须在投标文件中提供承诺函</w:t>
            </w:r>
            <w:r>
              <w:rPr>
                <w:rFonts w:hint="eastAsia" w:ascii="宋体" w:hAnsi="宋体" w:cs="Times New Roman"/>
                <w:color w:val="000000"/>
                <w:sz w:val="21"/>
                <w:szCs w:val="21"/>
                <w:highlight w:val="yellow"/>
                <w:lang w:val="en-US" w:eastAsia="zh-CN"/>
                <w14:ligatures w14:val="standardContextual"/>
              </w:rPr>
              <w:t xml:space="preserve">（</w:t>
            </w:r>
            <w:r>
              <w:rPr>
                <w:rFonts w:hint="eastAsia" w:ascii="宋体" w:hAnsi="宋体" w:cs="宋体"/>
                <w:b/>
                <w:bCs/>
                <w:color w:val="ff0000"/>
                <w:sz w:val="21"/>
                <w:szCs w:val="21"/>
                <w:highlight w:val="yellow"/>
                <w14:ligatures w14:val="none"/>
              </w:rPr>
              <w:t xml:space="preserve">承诺</w:t>
            </w:r>
            <w:r>
              <w:rPr>
                <w:rFonts w:hint="eastAsia" w:ascii="宋体" w:hAnsi="宋体" w:cs="宋体"/>
                <w:b/>
                <w:bCs/>
                <w:color w:val="ff0000"/>
                <w:sz w:val="21"/>
                <w:szCs w:val="21"/>
                <w:highlight w:val="yellow"/>
                <w:lang w:val="en-US" w:eastAsia="zh-CN"/>
                <w14:ligatures w14:val="none"/>
              </w:rPr>
              <w:t xml:space="preserve">函</w:t>
            </w:r>
            <w:r>
              <w:rPr>
                <w:rFonts w:hint="eastAsia" w:ascii="宋体" w:hAnsi="宋体" w:cs="宋体"/>
                <w:b/>
                <w:bCs/>
                <w:color w:val="ff0000"/>
                <w:sz w:val="21"/>
                <w:szCs w:val="21"/>
                <w:highlight w:val="yellow"/>
                <w14:ligatures w14:val="none"/>
              </w:rPr>
              <w:t xml:space="preserve">格式详见响应文件格式</w:t>
            </w:r>
            <w:r>
              <w:rPr>
                <w:rFonts w:hint="eastAsia" w:ascii="宋体" w:hAnsi="宋体" w:cs="Times New Roman"/>
                <w:color w:val="000000"/>
                <w:sz w:val="21"/>
                <w:szCs w:val="21"/>
                <w:highlight w:val="yellow"/>
                <w:lang w:val="en-US" w:eastAsia="zh-CN"/>
                <w14:ligatures w14:val="standardContextual"/>
              </w:rPr>
              <w:t xml:space="preserve">）。</w:t>
            </w:r>
            <w:r/>
          </w:p>
          <w:p>
            <w:pPr>
              <w:pStyle w:val="709"/>
              <w:numPr>
                <w:ilvl w:val="0"/>
                <w:numId w:val="0"/>
              </w:numPr>
              <w:spacing w:after="0" w:line="240" w:lineRule="auto"/>
              <w:rPr>
                <w:rFonts w:hint="eastAsia"/>
                <w:sz w:val="21"/>
                <w:szCs w:val="21"/>
                <w:lang w:val="en-US" w:eastAsia="zh-CN"/>
              </w:rPr>
            </w:pPr>
            <w:r>
              <w:rPr>
                <w:rFonts w:hint="eastAsia"/>
                <w:sz w:val="21"/>
                <w:szCs w:val="21"/>
                <w:lang w:val="en-US" w:eastAsia="zh-CN"/>
              </w:rPr>
              <w:t xml:space="preserve">（3）中标后、合同签订前，采购人有权要求中标人提交上述检测报告并开展审核。若中标人出现以下任一情形，采购人有权取消其中标资格，并依法追究其相关责任：</w:t>
            </w:r>
            <w:r/>
          </w:p>
          <w:p>
            <w:pPr>
              <w:pStyle w:val="709"/>
              <w:numPr>
                <w:ilvl w:val="0"/>
                <w:numId w:val="0"/>
              </w:numPr>
              <w:spacing w:after="0" w:line="240" w:lineRule="auto"/>
              <w:rPr>
                <w:rFonts w:hint="eastAsia"/>
                <w:sz w:val="21"/>
                <w:szCs w:val="21"/>
                <w:lang w:val="en-US" w:eastAsia="zh-CN"/>
              </w:rPr>
            </w:pPr>
            <w:r>
              <w:rPr>
                <w:rFonts w:hint="eastAsia"/>
                <w:sz w:val="21"/>
                <w:szCs w:val="21"/>
                <w:lang w:val="en-US" w:eastAsia="zh-CN"/>
              </w:rPr>
              <w:t xml:space="preserve">a.未在合同签订前提交检测报告；</w:t>
            </w:r>
            <w:r/>
          </w:p>
          <w:p>
            <w:pPr>
              <w:pStyle w:val="709"/>
              <w:numPr>
                <w:ilvl w:val="0"/>
                <w:numId w:val="0"/>
              </w:numPr>
              <w:spacing w:after="0" w:line="240" w:lineRule="auto"/>
              <w:rPr>
                <w:rFonts w:hint="eastAsia"/>
                <w:sz w:val="21"/>
                <w:szCs w:val="21"/>
                <w:lang w:val="en-US" w:eastAsia="zh-CN"/>
              </w:rPr>
            </w:pPr>
            <w:r>
              <w:rPr>
                <w:rFonts w:hint="eastAsia"/>
                <w:sz w:val="21"/>
                <w:szCs w:val="21"/>
                <w:lang w:val="en-US" w:eastAsia="zh-CN"/>
              </w:rPr>
              <w:t xml:space="preserve">b.提交的检测报告内容不全，或不符合采购需求要求；</w:t>
            </w:r>
            <w:r/>
          </w:p>
          <w:p>
            <w:pPr>
              <w:pStyle w:val="709"/>
              <w:numPr>
                <w:ilvl w:val="0"/>
                <w:numId w:val="0"/>
              </w:numPr>
              <w:spacing w:after="0" w:line="240" w:lineRule="auto"/>
              <w:rPr>
                <w:rFonts w:hint="eastAsia"/>
                <w:lang w:val="en-US" w:eastAsia="zh-CN"/>
              </w:rPr>
            </w:pPr>
            <w:r>
              <w:rPr>
                <w:rFonts w:hint="eastAsia"/>
                <w:sz w:val="21"/>
                <w:szCs w:val="21"/>
                <w:lang w:val="en-US" w:eastAsia="zh-CN"/>
              </w:rPr>
              <w:t xml:space="preserve">c.检测报告存在伪造、变造、冒用等弄虚作假行为。</w:t>
            </w:r>
            <w:r/>
          </w:p>
        </w:tc>
      </w:tr>
    </w:tbl>
    <w:p>
      <w:pPr>
        <w:ind w:firstLine="482"/>
        <w:spacing w:line="440" w:lineRule="atLeast"/>
        <w:rPr>
          <w:rFonts w:hint="eastAsia" w:ascii="宋体" w:hAnsi="宋体" w:cs="宋体"/>
          <w:b/>
          <w:bCs/>
          <w:sz w:val="24"/>
          <w:szCs w:val="24"/>
          <w14:ligatures w14:val="none"/>
        </w:rPr>
      </w:pPr>
      <w:r>
        <w:rPr>
          <w:rFonts w:hint="eastAsia" w:ascii="宋体" w:hAnsi="宋体" w:cs="宋体"/>
          <w:b/>
          <w:bCs/>
          <w:sz w:val="24"/>
          <w:szCs w:val="24"/>
          <w14:ligatures w14:val="none"/>
        </w:rPr>
        <w:t xml:space="preserve">★2.</w:t>
      </w:r>
      <w:r>
        <w:rPr>
          <w:rFonts w:hint="eastAsia" w:ascii="宋体" w:hAnsi="宋体" w:cs="宋体"/>
          <w:sz w:val="24"/>
          <w:szCs w:val="24"/>
          <w14:ligatures w14:val="none"/>
        </w:rPr>
        <w:t xml:space="preserve">投标人需承诺金坛区金城镇2026年度城镇老旧小区改造项目通讯改造建设过程中确保现有网络用户平稳迁移并承担迁移过程中产生的所有费用。</w:t>
      </w:r>
      <w:r>
        <w:rPr>
          <w:rFonts w:hint="eastAsia" w:ascii="宋体" w:hAnsi="宋体" w:cs="宋体"/>
          <w:b/>
          <w:bCs/>
          <w:color w:val="ff0000"/>
          <w:sz w:val="24"/>
          <w:szCs w:val="24"/>
          <w:highlight w:val="yellow"/>
          <w14:ligatures w14:val="none"/>
        </w:rPr>
        <w:t xml:space="preserve">须提供承诺书（承诺书格式详见响应文件格式）否则做无效标处理</w:t>
      </w:r>
      <w:r>
        <w:rPr>
          <w:rFonts w:hint="eastAsia" w:ascii="宋体" w:hAnsi="宋体" w:cs="宋体"/>
          <w:b/>
          <w:bCs/>
          <w:sz w:val="24"/>
          <w:szCs w:val="24"/>
          <w:highlight w:val="yellow"/>
          <w14:ligatures w14:val="none"/>
        </w:rPr>
        <w:t xml:space="preserve">。</w:t>
      </w:r>
      <w:r/>
    </w:p>
    <w:p>
      <w:pPr>
        <w:keepLines/>
        <w:keepNext/>
        <w:spacing w:line="340" w:lineRule="exact"/>
        <w:rPr>
          <w:rFonts w:hint="eastAsia" w:ascii="宋体" w:hAnsi="宋体" w:cs="宋体"/>
          <w:b/>
          <w:bCs/>
          <w:sz w:val="24"/>
          <w:szCs w:val="24"/>
          <w14:ligatures w14:val="none"/>
        </w:rPr>
        <w:outlineLvl w:val="2"/>
      </w:pPr>
      <w:r>
        <w:rPr>
          <w:rFonts w:hint="eastAsia" w:ascii="宋体" w:hAnsi="宋体" w:cs="宋体"/>
          <w:b/>
          <w:bCs/>
          <w:sz w:val="24"/>
          <w:szCs w:val="24"/>
          <w14:ligatures w14:val="none"/>
        </w:rPr>
      </w:r>
      <w:r/>
    </w:p>
    <w:p>
      <w:pPr>
        <w:numPr>
          <w:ilvl w:val="0"/>
          <w:numId w:val="17"/>
        </w:numPr>
        <w:ind w:firstLine="482"/>
        <w:jc w:val="both"/>
        <w:spacing w:line="440" w:lineRule="atLeast"/>
        <w:widowControl w:val="off"/>
        <w:rPr>
          <w:rFonts w:hint="eastAsia" w:ascii="宋体" w:hAnsi="宋体" w:eastAsia="宋体" w:cs="宋体"/>
          <w:b/>
          <w:color w:val="000000"/>
          <w:sz w:val="24"/>
          <w:szCs w:val="24"/>
          <w:lang w:val="en-US" w:eastAsia="zh-CN" w:bidi="ar-SA"/>
          <w14:ligatures w14:val="standardContextual"/>
        </w:rPr>
      </w:pPr>
      <w:r>
        <w:rPr>
          <w:rFonts w:hint="eastAsia" w:ascii="宋体" w:hAnsi="宋体" w:eastAsia="宋体" w:cs="宋体"/>
          <w:b/>
          <w:color w:val="000000"/>
          <w:sz w:val="24"/>
          <w:szCs w:val="24"/>
          <w:lang w:val="en-US" w:eastAsia="zh-CN" w:bidi="ar-SA"/>
          <w14:ligatures w14:val="standardContextual"/>
        </w:rPr>
        <w:t xml:space="preserve">清单</w:t>
      </w:r>
      <w:r/>
    </w:p>
    <w:tbl>
      <w:tblPr>
        <w:tblStyle w:val="708"/>
        <w:tblW w:w="98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3"/>
        <w:gridCol w:w="1085"/>
        <w:gridCol w:w="4165"/>
        <w:gridCol w:w="433"/>
        <w:gridCol w:w="1006"/>
        <w:gridCol w:w="1104"/>
        <w:gridCol w:w="1211"/>
        <w:gridCol w:w="433"/>
      </w:tblGrid>
      <w:tr>
        <w:trPr>
          <w:trHeight w:val="438"/>
        </w:trPr>
        <w:tc>
          <w:tcPr>
            <w:gridSpan w:val="8"/>
            <w:shd w:val="clear" w:color="auto" w:fill="auto"/>
            <w:tcBorders>
              <w:top w:val="none" w:color="000000" w:sz="4" w:space="0"/>
              <w:left w:val="none" w:color="000000" w:sz="4" w:space="0"/>
              <w:bottom w:val="none" w:color="000000" w:sz="4" w:space="0"/>
              <w:right w:val="none" w:color="000000" w:sz="4" w:space="0"/>
            </w:tcBorders>
            <w:tcW w:w="9870" w:type="dxa"/>
            <w:vAlign w:val="center"/>
            <w:textDirection w:val="lrTb"/>
            <w:noWrap w:val="false"/>
          </w:tcPr>
          <w:p>
            <w:pPr>
              <w:jc w:val="center"/>
              <w:keepLines w:val="0"/>
              <w:keepNext w:val="0"/>
              <w:widowControl/>
              <w:rPr>
                <w:rFonts w:ascii="微软雅黑" w:hAnsi="微软雅黑" w:eastAsia="微软雅黑" w:cs="微软雅黑"/>
                <w:i w:val="0"/>
                <w:iCs w:val="0"/>
                <w:color w:val="000000" w:themeColor="text1"/>
                <w:sz w:val="24"/>
                <w:szCs w:val="24"/>
                <w:u w:val="none"/>
              </w:rPr>
              <w:suppressLineNumbers w:val="0"/>
            </w:pPr>
            <w:r>
              <w:rPr>
                <w:rFonts w:hint="eastAsia" w:ascii="微软雅黑" w:hAnsi="微软雅黑" w:eastAsia="微软雅黑" w:cs="微软雅黑"/>
                <w:i w:val="0"/>
                <w:iCs w:val="0"/>
                <w:color w:val="000000" w:themeColor="text1"/>
                <w:sz w:val="24"/>
                <w:szCs w:val="24"/>
                <w:u w:val="none"/>
                <w:lang w:val="en-US" w:eastAsia="zh-CN" w:bidi="ar"/>
              </w:rPr>
              <w:t xml:space="preserve">金坛区金城镇2026年度城镇老旧小区改造项目通讯、智能化改造控制价明细</w:t>
            </w:r>
            <w:r>
              <w:rPr>
                <w:color w:val="000000" w:themeColor="text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restart"/>
            <w:textDirection w:val="lrTb"/>
            <w:noWrap w:val="false"/>
          </w:tcPr>
          <w:p>
            <w:pPr>
              <w:jc w:val="center"/>
              <w:keepLines w:val="0"/>
              <w:keepNext w:val="0"/>
              <w:widowControl/>
              <w:rPr>
                <w:rFonts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项目特征描述及工作内容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工程数量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金额(元)</w:t>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continue"/>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continue"/>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vMerge w:val="continue"/>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一）八达新村（32户）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106689.50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架空吊线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钢绞线架设墙壁吊线(7/2.2条千米)</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5.08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335.28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19.70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7.92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156.02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893.61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1,441.58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1760.00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12,548.80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561.00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30.88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114.10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6,681.60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1601.54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3,203.08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5,584.53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（24芯以下）含光缆接头盒、配套材料（室外接续）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2409.00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4,248.00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2,765.20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128.64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1,883.52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18,246.80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21.22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424.40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83.19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196.79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2,836.14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2,882.00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1,023.10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427.70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303.10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629.20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3,348.00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监控至320平台传输,2个点位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8"/>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二）四中教工楼（120户）（含智能化管道PE60/50管2孔计290米，监控井6套等）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325245.08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24芯 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1599.40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22471.57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6600.00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47058.00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1346.40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185.28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2738.40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20044.80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22338.12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492.00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13062.60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6636.48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128.64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257.28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182.56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7063.20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9438.00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318.30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201.80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37223.71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500*500砖砌监控井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990.07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5940.42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17.815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9263.09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74.40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1732.78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1334.80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50989.36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46.319</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24635.22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634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4726.90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175.00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2882.00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1416.60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1527.50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1082.50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2988.70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监控立杆拆除</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含杆件、弱电箱拆除、原有线路回抽、搬运、清理等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监控立杆恢复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6米监控立杆恢复，含吊车、基础、地笼等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监控至320平台传输,3-4个点位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4320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4320.00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三）江南路45幢、43幢（46户，含店面房等8户）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68724.74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光缆敷设吊线式96芯光缆GYTA96B1.3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415.9</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16.22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6745.90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897.60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2090.00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14901.70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6681.60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1601.54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4804.62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3723.02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（96芯以下）含光缆接头盒、配套材料等（室外接续）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4882.48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4882.48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4991.40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2765.20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2707.56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2044.90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352"/>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1890.76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248.00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393.50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244.40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173.20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471.90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1116.00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监控至320平台传输,2个点位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四）江南路24、22、26（94户，含散户、商铺等）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159223.45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7.92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880.70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905.29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283.90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72芯 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950.40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144芯 GYTA144B1.3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27.69</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1218.36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5170.00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36862.10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2816.22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30.88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114.10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15033.60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1601.54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8007.70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11169.06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（144芯以下）含光缆接头盒、配套材料等（室外接续）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5381.42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5381.42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10726.20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6083.44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128.64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5532.84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7157.15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21.22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742.70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151.35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4379.26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3667.20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1579.62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4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p>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2836.14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393.50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488.80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346.40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943.80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1116.00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监控至320平台传输,3-4个点位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4320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4320.00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五）西门大街88幢（34户，含商铺4户）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68262.04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243.63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691.37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1870.00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13333.10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336.60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228.20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5011.20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5584.53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1659.12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128.64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1824.66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2516.80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21.22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212.20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60.54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4379.26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0.775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402.97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1069.60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538.24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4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p>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236.10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122.20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86.60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235.95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8"/>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六）西门大街56幢（33户，含商铺等14户）、西门大街63、61幢（98户、含商铺38户）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206554.54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架空吊线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钢绞线架设墙壁吊线(7/2.2条千米)</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5.08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335.28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2018.21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170.9</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7.92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1353.53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409.94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1815.00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12940.95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392.70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30.88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5011.20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1601.54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3203.08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3723.02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3663.90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2212.16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1530.36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2438.15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7.92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191.66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336.23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282.43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光缆敷设吊线式96芯光缆GYTA96B1.3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16.22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752.61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5390.00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38430.70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3366.00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12芯 GYTA12B1.3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79.32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48芯 GYTA48B1.3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17.31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103.86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72芯 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129.60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96芯 GYTA96B1.3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24.80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148.80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46.32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228.20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15868.80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1601.54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6406.16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13030.57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（48芯以下）含光缆接头盒配套材料等（室外接续）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3498.06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3498.06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（96芯以下）含光缆接头盒、配套材料等（室外接续）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4882.48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4882.48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10938.60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6083.44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128.64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257.28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182.56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4708.80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6685.25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42.44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155.99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558.96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305.60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638.23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634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1890.76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2882.00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183.30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129.90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629.20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2976.00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1950.00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七）西门大街18幢（54户，含商铺14户）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81766.45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光缆敷设吊线式144芯光缆GYTA144B1.3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1830.55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144芯 GYTA144B1.3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90.90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27.69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2517.02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1631.69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2970.00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21176.10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561.00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15.44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114.10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10022.40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9307.55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（144芯以下）含光缆接头盒、配套材料等（室外接续）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5381.42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5381.42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6690.60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2765.20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2354.40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3617.90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652"/>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236.10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629.20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八）西门大街85幢（45户，含商铺等）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75348.87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光缆敷设吊线式96芯光缆GYTA96B1.3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16.22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944.00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96芯 GYTA96B1.3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24.80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1190.40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560.98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2475.00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17646.75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673.20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46.32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114.10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5846.40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7446.04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（96芯以下）含光缆接头盒、配套材料等（室外接续）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4882.48</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4882.48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4938.30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2212.16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10846.27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128.64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257.28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182.56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2030.67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3067.35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0.175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90.99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916.80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93.16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0.455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242.00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314.80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152.75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108.25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471.90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九）横街东路散居楼（194户，含商铺、散户等）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466331.09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12芯 GYTA12B1.3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1066.30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14096.49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24芯 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1599.40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22471.57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10670.00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76077.10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683.00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7663.26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339.68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1939.70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30902.40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1601.54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11210.78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27922.65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11788.20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12166.88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光缆交接箱,GXF5-67C-1152,安装落地式光缆交接箱(1152芯）</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15751.27</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15751.27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128.64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257.28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182.56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371.74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119.49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329.00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9682.47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970.00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15258.10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318.30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201.80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2189.63</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30654.82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500*500砖砌监控井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990.07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11880.84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20.435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10625.38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222.60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5184.35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1293.60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49415.52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56.731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30172.95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50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8646.00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2518.40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672.10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476.30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2988.70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4550.00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5400.00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监控至320平台传输,2个点位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7200.00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监控至320平台传输,3-4个点位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4320.00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4320.00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十）龙山路42、43(24户)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67956.30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72芯 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12528.00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14.71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6178.20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 GYTA24B1.3</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8.99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416.24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1320.00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9411.60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11.22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336.60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46.32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57.05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114.10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69.60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5011.20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1861.51</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5584.53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3908.84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3186.00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553.04</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1659.12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29.43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1412.64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1887.60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519.96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124.79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9.60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23.29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223.58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0.624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531.86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331.88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2854"/>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945.38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1890.76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124.00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1441.00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2882.00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7.87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472.20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6.11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244.40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173.20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15.73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786.50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372.00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十一）后端机房设备</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475544.00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50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48盘位云存储</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（关键部件采购要求：需要通过财政部会同有关部门发布的政府采购需求标准规定的国家有关部门指定的测评机构开展的安全可靠测评的软硬件，如CPU芯片、操作系统、数据库等。)</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视频设备接入模块：支持国标、Onvif，大华协议、海康协议等接入各类型的前端设备.；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卡口设备接入模块：支持人脸、车辆卡口设备接入以及结构化数据接入；</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视频图片存储模块：支持视频和图片的基础存储业务，包括录像计划，图片计划配置管理，包括视频流按通道和类型进行分类，并进行相应的索引创建等；</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流媒体转发模块：支持流媒体动态负载均衡，弹性扩容，具备快速故障接管能力支持RTSP,HLS,FLV等流媒体协议；</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w:t>
            </w:r>
            <w:r/>
          </w:p>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同一套存量云存储系统架构支持持续异构节点扩容，同一套集群中支持15种异构存储节点。其中，异构存储节点同时支持6种不同盘位，</w:t>
            </w:r>
            <w:r>
              <w:rPr>
                <w:rFonts w:hint="eastAsia" w:ascii="黑体" w:hAnsi="宋体" w:eastAsia="黑体" w:cs="黑体"/>
                <w:i w:val="0"/>
                <w:iCs w:val="0"/>
                <w:color w:val="000000"/>
                <w:sz w:val="20"/>
                <w:szCs w:val="20"/>
                <w:u w:val="none"/>
                <w:lang w:val="en-US" w:eastAsia="zh-CN" w:bidi="ar"/>
              </w:rPr>
              <w:t xml:space="preserve">包括12/24/36/48/72/84盘位；同时支持11种不同硬盘容量混插或者不同硬盘大小节点，不同硬盘容量大小包括1T/2T/4T/6T/8T/12T/14T/16T/18T/20T/24T；同时支持CMR盘和SMR盘；同时支持3种异构CPU扩容节点，包括X86 CPU（包含海光CPU）、鲲鹏ARM CPU、龙芯CPU节点；同时支持5种操作系统扩容节点，包括欧拉系统节点、麒麟系统节点、统信系统节点、CentOS系统节点和自研系统节点。同一套集群内的异构节点最高容量比最低容量差20倍时，也支持容量负载均衡。</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云存储系统支持标准SNMP协议，支持获取超600种云存储集群信息。支持6大类信息获取接口，包括系统类接口、网络接口、CPU接口、存储介质接口、内存接口、以及云存储集群</w:t>
            </w:r>
            <w:r>
              <w:rPr>
                <w:rFonts w:hint="eastAsia" w:ascii="黑体" w:hAnsi="宋体" w:eastAsia="黑体" w:cs="黑体"/>
                <w:i w:val="0"/>
                <w:iCs w:val="0"/>
                <w:color w:val="000000"/>
                <w:sz w:val="20"/>
                <w:szCs w:val="20"/>
                <w:u w:val="none"/>
                <w:lang w:val="en-US" w:eastAsia="zh-CN" w:bidi="ar"/>
              </w:rPr>
              <w:t xml:space="preserve">服务检测接口。其中网络接口类信息监控支持超20种大类信息，包括服务器网络带宽、物理MAC地址、接收字节数等；存储介质类支持获取50种大类信息，包括硬盘容量、使用率、硬盘类型等；支持获取30种CPU运行信息，例如CPU负载、空闲CPU百分比、CPU实际消耗使用时间等；扩展支持26种云存储集群大类信息，包括集群带宽、读写速度、总文件数、总bucket数、总用户数、集群规模节点数、CPU和操作系统种类等。云存储服务器支持BMC远程访问，支持控制服务器开机、关机、重启，支持控制开启和关闭服务器硬盘的休眠节能功能等。</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主处理器：高性能六核处理器；</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操作系统：国产欧拉系统；</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控制器：单控制器；</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高速缓存：16GB DDR4 主频2666MHz；</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电源冗余：1+1冗余电源；</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网络接口：8个千兆数据电口；</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eSATA接口：1个；</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RS-232接口：1个；</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USB接口：2个USB 3.0接口，2个USB 2.0接口；</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硬盘个数：标配内置 1块 512G 企业级固态硬盘最大支持48个2.5"或3.5"的SATA硬盘或者SAS硬盘；</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供电方式：1200W；100V~240V交流，50/60Hz，支持热插拔；</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功耗：不大于800W（含硬盘）；</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工作温度：0℃～+45℃；</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工作湿度：10%～80%RH（无凝结）；</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149392.00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149392.00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8000G；7200RPM；</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4299.00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206352.00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24口千兆汇聚交换机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24口2.5G光+4口万兆光三层全网管 核心汇聚 企业级分线交换器</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14800.00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14800.00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674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社会面接入网关</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支持不少于1个10/100Base-TX上行电口和4个10/100Base-TX用户端口，百兆吞吐量支持不大于12路 720/1080p(4M)高清并发调用</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★具备双向IP地址映射功能，产品应能够限制内网用户可以访问的外部网络地址范围以及外网用户能够访问的内部网络地址范围</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★能够限制内网用户可以访问的外部网络端口范围以及外网用户能够访问的内部网络端口范围</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★能够限制接入的外网或者内网用户允许通过的最大流量</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★具备端口隔离，能够将内网用户与外网用户隔离，两端用户均无法直接访问对端的网络资源</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支持静态路由功能；具备网络扫描防护功能</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具备包过滤功能，安全策略包含基于源IP地址、目的IP地址、源端口、目的端口、协议的访问控制</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★需符合JCTJ 005-2016（6.2.1/6.2.2）中的安全要求。</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支持包括Onvif、GB/T28181、第三方SDK等协议设备的接入；支持GA/T 1400.1-2017协议传输，支持结构化数据透传；支持专线、VPN、宽带固定地址；防内网攻击、外网攻击；</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产品支持对登录用户的周期性身份确认工作温度：-20～70℃；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机房辅材</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含托盘，网络跳线等系统配套辅材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left"/>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2101646.06</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8"/>
            <w:shd w:val="clear" w:color="auto" w:fill="auto"/>
            <w:tcBorders>
              <w:top w:val="none" w:color="000000" w:sz="4" w:space="0"/>
              <w:left w:val="none" w:color="000000" w:sz="4" w:space="0"/>
              <w:bottom w:val="none" w:color="000000" w:sz="4" w:space="0"/>
              <w:right w:val="none" w:color="000000" w:sz="4" w:space="0"/>
            </w:tcBorders>
            <w:tcW w:w="987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1"/>
                <w:szCs w:val="21"/>
                <w:u w:val="none"/>
              </w:rPr>
              <w:suppressLineNumbers w:val="0"/>
            </w:pPr>
            <w:r>
              <w:rPr>
                <w:rStyle w:val="1154"/>
                <w:lang w:val="en-US" w:eastAsia="zh-CN" w:bidi="ar"/>
              </w:rPr>
              <w:t xml:space="preserve">说明</w:t>
            </w:r>
            <w:r>
              <w:rPr>
                <w:rStyle w:val="1155"/>
                <w:lang w:val="en-US" w:eastAsia="zh-CN" w:bidi="ar"/>
              </w:rPr>
              <w:t xml:space="preserve">:</w:t>
            </w:r>
            <w:r/>
          </w:p>
        </w:tc>
      </w:tr>
      <w:tr>
        <w:trPr>
          <w:trHeight w:val="524"/>
        </w:trPr>
        <w:tc>
          <w:tcPr>
            <w:gridSpan w:val="8"/>
            <w:shd w:val="clear" w:color="auto" w:fill="auto"/>
            <w:tcBorders>
              <w:top w:val="none" w:color="000000" w:sz="4" w:space="0"/>
              <w:left w:val="none" w:color="000000" w:sz="4" w:space="0"/>
              <w:bottom w:val="none" w:color="000000" w:sz="4" w:space="0"/>
              <w:right w:val="none" w:color="000000" w:sz="4" w:space="0"/>
            </w:tcBorders>
            <w:tcW w:w="9870" w:type="dxa"/>
            <w:vAlign w:val="center"/>
            <w:textDirection w:val="lrTb"/>
            <w:noWrap w:val="false"/>
          </w:tcPr>
          <w:p>
            <w:pPr>
              <w:numPr>
                <w:ilvl w:val="0"/>
                <w:numId w:val="18"/>
              </w:num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以上价款包括按招标文件规定的招标范围内采购清单所列项目的全部费用总和，包含但不限于深化设计、人工、辅材、设备硬件、线缆、运输、安装、调试、质保运维、保险、利润、税金、政策性文件规定、合同包含的所有风险、责任等各项应有费用、检测费用，直至通过甲方、监理单位及其他相关单位的验收，全程技术支持（包括但不限于技术资料、图纸的提供等）、人员培训至交付使用等全过程服务费用。</w:t>
            </w:r>
            <w:r/>
          </w:p>
        </w:tc>
      </w:tr>
      <w:tr>
        <w:trPr>
          <w:trHeight w:val="693"/>
        </w:trPr>
        <w:tc>
          <w:tcPr>
            <w:gridSpan w:val="8"/>
            <w:shd w:val="clear" w:color="auto" w:fill="auto"/>
            <w:tcBorders>
              <w:top w:val="none" w:color="000000" w:sz="4" w:space="0"/>
              <w:left w:val="none" w:color="000000" w:sz="4" w:space="0"/>
              <w:bottom w:val="none" w:color="000000" w:sz="4" w:space="0"/>
              <w:right w:val="none" w:color="000000" w:sz="4" w:space="0"/>
            </w:tcBorders>
            <w:tcW w:w="98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1155"/>
                <w:lang w:val="en-US" w:eastAsia="zh-CN" w:bidi="ar"/>
              </w:rPr>
              <w:t xml:space="preserve">2</w:t>
            </w:r>
            <w:r>
              <w:rPr>
                <w:rStyle w:val="1154"/>
                <w:lang w:val="en-US" w:eastAsia="zh-CN" w:bidi="ar"/>
              </w:rPr>
              <w:t xml:space="preserve">、清单中项目材质、颜色、款式、做法需符合甲方要求，安装位置根据甲方要求设置，投标报价不因任何因素调整。</w:t>
            </w:r>
            <w:r/>
          </w:p>
        </w:tc>
      </w:tr>
    </w:tbl>
    <w:p>
      <w:pPr>
        <w:pStyle w:val="709"/>
        <w:numPr>
          <w:ilvl w:val="0"/>
          <w:numId w:val="0"/>
        </w:numPr>
        <w:rPr>
          <w:rFonts w:hint="eastAsia"/>
          <w:lang w:val="en-US" w:eastAsia="zh-CN"/>
        </w:rPr>
      </w:pPr>
      <w:r>
        <w:rPr>
          <w:rFonts w:hint="eastAsia"/>
          <w:lang w:val="en-US" w:eastAsia="zh-CN"/>
        </w:rPr>
      </w:r>
      <w:r/>
    </w:p>
    <w:p>
      <w:pPr>
        <w:spacing w:line="420" w:lineRule="atLeast"/>
        <w:rPr>
          <w:rFonts w:hint="eastAsia" w:ascii="宋体" w:hAnsi="宋体" w:cs="宋体"/>
          <w:sz w:val="24"/>
          <w:szCs w:val="24"/>
          <w14:ligatures w14:val="none"/>
        </w:rPr>
      </w:pPr>
      <w:r>
        <w:rPr>
          <w:rFonts w:hint="eastAsia" w:ascii="宋体" w:hAnsi="宋体" w:cs="宋体"/>
          <w:sz w:val="24"/>
          <w:szCs w:val="24"/>
          <w14:ligatures w14:val="none"/>
        </w:rPr>
        <w:t xml:space="preserve">注：投标产品技术指标，打“</w:t>
      </w:r>
      <w:r>
        <w:rPr>
          <w:rFonts w:hint="eastAsia" w:ascii="宋体" w:hAnsi="宋体" w:cs="宋体"/>
          <w:b/>
          <w:bCs/>
          <w:sz w:val="24"/>
          <w:szCs w:val="24"/>
          <w14:ligatures w14:val="none"/>
        </w:rPr>
        <w:t xml:space="preserve">★</w:t>
      </w:r>
      <w:r>
        <w:rPr>
          <w:rFonts w:hint="eastAsia" w:ascii="宋体" w:hAnsi="宋体" w:cs="宋体"/>
          <w:sz w:val="24"/>
          <w:szCs w:val="24"/>
          <w14:ligatures w14:val="none"/>
        </w:rPr>
        <w:t xml:space="preserve">”的项有：</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1559"/>
        <w:gridCol w:w="6429"/>
      </w:tblGrid>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tcW w:w="1559" w:type="dxa"/>
            <w:vAlign w:val="center"/>
            <w:vMerge w:val="restart"/>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400万高清红外枪式摄像机</w:t>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镜头前盖玻璃呈倾斜状,与镜头平面呈4°夹角</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tcW w:w="1559" w:type="dxa"/>
            <w:vAlign w:val="center"/>
            <w:vMerge w:val="continue"/>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可同时采用DC12V电源与POE供电,当一路电源停止供电后,可正常工作</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tcW w:w="1559" w:type="dxa"/>
            <w:vAlign w:val="center"/>
            <w:vMerge w:val="restart"/>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48盘位云存储</w:t>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tcW w:w="1559" w:type="dxa"/>
            <w:vAlign w:val="center"/>
            <w:vMerge w:val="continue"/>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同一套存量云存储系统架构支持持续异构节点扩容，同一套集群中支持15种异构存储节点。其中，异构存储节点同时支持6种不同盘位，</w:t>
            </w:r>
            <w:r>
              <w:rPr>
                <w:rFonts w:hint="eastAsia" w:ascii="宋体" w:hAnsi="宋体" w:cs="Times New Roman"/>
                <w:sz w:val="21"/>
                <w:szCs w:val="21"/>
                <w14:ligatures w14:val="standardContextual"/>
              </w:rPr>
              <w:t xml:space="preserve">包括12/24/36/48/72/84盘位；同时支持11种不同硬盘容量混插或者不同硬盘大小节点，不同硬盘容量大小包括1T/2T/4T/6T/8T/12T/14T/16T/18T/20T/24T；同时支持CMR盘和SMR盘；同时支持3种异构CPU扩容节点，包括X86 CPU（包含海光CPU）、鲲鹏ARM CPU、龙芯CPU节点；同时支持5种操作系统扩容节点，包括欧拉系统节点、麒麟系统节点、统信系统节点、CentOS系统节点和自研系统节点。同一套集群内的异构节点最高容量比最低容量差20倍时，也支持容量负载均衡。</w:t>
            </w:r>
            <w:r/>
          </w:p>
        </w:tc>
      </w:tr>
      <w:tr>
        <w:trPr/>
        <w:tc>
          <w:tcPr>
            <w:tcW w:w="534" w:type="dxa"/>
            <w:vAlign w:val="center"/>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t xml:space="preserve">5</w:t>
            </w:r>
            <w:r/>
          </w:p>
        </w:tc>
        <w:tc>
          <w:tcPr>
            <w:tcW w:w="1559" w:type="dxa"/>
            <w:vAlign w:val="center"/>
            <w:vMerge w:val="continue"/>
            <w:textDirection w:val="lrTb"/>
            <w:noWrap w:val="false"/>
          </w:tcPr>
          <w:p>
            <w:pPr>
              <w:jc w:val="center"/>
              <w:spacing w:after="0" w:line="240" w:lineRule="auto"/>
              <w:rPr>
                <w:rFonts w:hint="eastAsia" w:ascii="宋体" w:hAnsi="宋体" w:cs="Times New Roman"/>
                <w:sz w:val="21"/>
                <w:szCs w:val="21"/>
                <w14:ligatures w14:val="standardContextual"/>
              </w:rPr>
            </w:pPr>
            <w:r>
              <w:rPr>
                <w:rFonts w:hint="eastAsia" w:ascii="宋体" w:hAnsi="宋体" w:cs="Times New Roman"/>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sz w:val="21"/>
                <w:szCs w:val="21"/>
                <w14:ligatures w14:val="standardContextual"/>
              </w:rPr>
              <w:t xml:space="preserve">云存储系统支持标准SNMP协议，支持获取超600种云存储集群信息。支持6大类信息获取接口，包括系统类接口、网络接口、CPU接口、存储介质接口、内存接口、以及云存储集群</w:t>
            </w:r>
            <w:r>
              <w:rPr>
                <w:rFonts w:hint="eastAsia" w:ascii="宋体" w:hAnsi="宋体" w:cs="Times New Roman"/>
                <w:sz w:val="21"/>
                <w:szCs w:val="21"/>
                <w14:ligatures w14:val="standardContextual"/>
              </w:rPr>
              <w:t xml:space="preserve">服务检测接口。其中网络接口类信息监控支持超20种大类信息，包括服务器网络带宽、物理MAC地址、接收字节数等；存储介质类支持获取50种大类信息，包括硬盘容量、使用率、硬盘类型等；支持获取30种CPU运行信息，例如CPU负载、空闲CPU百分比、CPU实际消耗使用时间等；扩展支持26种云存储集群大类信息，包括集群带宽、读写速度、总文件数、总bucket数、总用户数、集群规模节点数、CPU和操作系统种类等。云存储服务器支持BMC远程访问，支持控制服务器开机、关机、重启，支持控制开启和关闭服务器硬盘的休眠节能功能等。</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6</w:t>
            </w:r>
            <w:r/>
          </w:p>
        </w:tc>
        <w:tc>
          <w:tcPr>
            <w:tcW w:w="1559" w:type="dxa"/>
            <w:vAlign w:val="center"/>
            <w:vMerge w:val="restart"/>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社会面接入</w:t>
            </w:r>
            <w:r/>
          </w:p>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网关</w:t>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具备双向IP地址映射功能，产品应能够限制内网用户可以访问的外部网络地址范围以及外网用户能够访问的内部网络地址范围</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7</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能够限制内网用户可以访问的外部网络端口范围以及外网用户能够访问的内部网络端口范围</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8</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能够限制接入的外网或者内网用户允许通过的最大流量</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9</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具备端口隔离，能够将内网用户与外网用户隔离，两端用户均无法直接访问对端的网络资源</w:t>
            </w:r>
            <w:r/>
          </w:p>
        </w:tc>
      </w:tr>
      <w:tr>
        <w:trPr/>
        <w:tc>
          <w:tcPr>
            <w:tcW w:w="534" w:type="dxa"/>
            <w:vAlign w:val="center"/>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t xml:space="preserve">10</w:t>
            </w:r>
            <w:r/>
          </w:p>
        </w:tc>
        <w:tc>
          <w:tcPr>
            <w:tcW w:w="1559" w:type="dxa"/>
            <w:vAlign w:val="center"/>
            <w:vMerge w:val="continue"/>
            <w:textDirection w:val="lrTb"/>
            <w:noWrap w:val="false"/>
          </w:tcPr>
          <w:p>
            <w:pPr>
              <w:jc w:val="center"/>
              <w:spacing w:after="0" w:line="240" w:lineRule="auto"/>
              <w:rPr>
                <w:rFonts w:hint="eastAsia" w:ascii="宋体" w:hAnsi="宋体" w:cs="Times New Roman"/>
                <w:color w:val="000000"/>
                <w:sz w:val="21"/>
                <w:szCs w:val="21"/>
                <w14:ligatures w14:val="standardContextual"/>
              </w:rPr>
            </w:pPr>
            <w:r>
              <w:rPr>
                <w:rFonts w:hint="eastAsia" w:ascii="宋体" w:hAnsi="宋体" w:cs="Times New Roman"/>
                <w:color w:val="000000"/>
                <w:sz w:val="21"/>
                <w:szCs w:val="21"/>
                <w14:ligatures w14:val="standardContextual"/>
              </w:rPr>
            </w:r>
            <w:r/>
          </w:p>
        </w:tc>
        <w:tc>
          <w:tcPr>
            <w:tcW w:w="6429" w:type="dxa"/>
            <w:vAlign w:val="center"/>
            <w:textDirection w:val="lrTb"/>
            <w:noWrap w:val="false"/>
          </w:tcPr>
          <w:p>
            <w:pPr>
              <w:spacing w:after="0" w:line="240" w:lineRule="auto"/>
              <w:rPr>
                <w:rFonts w:hint="eastAsia" w:ascii="宋体" w:hAnsi="宋体" w:cs="Times New Roman"/>
                <w:color w:val="000000"/>
                <w:sz w:val="21"/>
                <w:szCs w:val="21"/>
                <w14:ligatures w14:val="standardContextual"/>
              </w:rPr>
            </w:pPr>
            <w:r>
              <w:rPr>
                <w:rFonts w:hint="eastAsia" w:ascii="宋体" w:hAnsi="宋体" w:cs="宋体"/>
                <w:b/>
                <w:bCs/>
                <w:sz w:val="24"/>
                <w:szCs w:val="24"/>
                <w14:ligatures w14:val="none"/>
              </w:rPr>
              <w:t xml:space="preserve">★</w:t>
            </w:r>
            <w:r>
              <w:rPr>
                <w:rFonts w:hint="eastAsia" w:ascii="宋体" w:hAnsi="宋体" w:cs="Times New Roman"/>
                <w:color w:val="000000"/>
                <w:sz w:val="21"/>
                <w:szCs w:val="21"/>
                <w14:ligatures w14:val="standardContextual"/>
              </w:rPr>
              <w:t xml:space="preserve">需符合JCTJ 005-2016（6.2.1/6.2.2）中的安全要求。</w:t>
            </w:r>
            <w:r/>
          </w:p>
        </w:tc>
      </w:tr>
    </w:tbl>
    <w:p>
      <w:pPr>
        <w:spacing w:line="420" w:lineRule="atLeast"/>
        <w:rPr>
          <w:rFonts w:hint="eastAsia" w:ascii="宋体" w:hAnsi="宋体" w:cs="宋体"/>
          <w:sz w:val="24"/>
          <w:szCs w:val="24"/>
          <w14:ligatures w14:val="none"/>
        </w:rPr>
      </w:pPr>
      <w:r>
        <w:rPr>
          <w:rFonts w:hint="eastAsia" w:ascii="宋体" w:hAnsi="宋体" w:cs="宋体"/>
          <w:sz w:val="24"/>
          <w:szCs w:val="24"/>
          <w14:ligatures w14:val="none"/>
        </w:rPr>
      </w:r>
      <w:r/>
    </w:p>
    <w:p>
      <w:pPr>
        <w:jc w:val="left"/>
        <w:widowControl/>
        <w:rPr>
          <w:rFonts w:hint="eastAsia" w:ascii="宋体" w:hAnsi="宋体" w:cs="宋体"/>
          <w:b/>
          <w:bCs/>
          <w:sz w:val="24"/>
          <w:szCs w:val="24"/>
          <w:u w:val="single"/>
          <w14:ligatures w14:val="none"/>
        </w:rPr>
      </w:pPr>
      <w:r>
        <w:rPr>
          <w:rFonts w:hint="eastAsia" w:ascii="宋体" w:hAnsi="宋体" w:cs="宋体"/>
          <w:b/>
          <w:bCs/>
          <w:sz w:val="24"/>
          <w:szCs w:val="24"/>
          <w:u w:val="single"/>
          <w14:ligatures w14:val="none"/>
        </w:rPr>
        <w:br w:type="page" w:clear="all"/>
      </w:r>
      <w:r/>
    </w:p>
    <w:p>
      <w:pPr>
        <w:ind w:firstLine="480"/>
        <w:spacing w:line="440" w:lineRule="atLeast"/>
        <w:rPr>
          <w:rFonts w:hint="eastAsia" w:ascii="宋体" w:hAnsi="宋体" w:cs="宋体"/>
          <w:b/>
          <w:color w:val="000000"/>
          <w:sz w:val="24"/>
          <w:szCs w:val="24"/>
          <w14:ligatures w14:val="none"/>
        </w:rPr>
      </w:pPr>
      <w:r>
        <w:rPr>
          <w:rFonts w:hint="eastAsia" w:ascii="宋体" w:hAnsi="宋体" w:cs="宋体"/>
          <w:b/>
          <w:color w:val="000000"/>
          <w:sz w:val="24"/>
          <w:szCs w:val="24"/>
          <w14:ligatures w14:val="none"/>
        </w:rPr>
        <w:t xml:space="preserve">五、采购标的对应的中小企业划分标准所属行业一览表</w:t>
      </w:r>
      <w:r/>
    </w:p>
    <w:tbl>
      <w:tblPr>
        <w:tblStyle w:val="70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4501"/>
        <w:gridCol w:w="4203"/>
      </w:tblGrid>
      <w:tr>
        <w:trPr>
          <w:cantSplit/>
          <w:jc w:val="center"/>
          <w:trHeight w:val="567"/>
        </w:trPr>
        <w:tc>
          <w:tcPr>
            <w:tcW w:w="632" w:type="pct"/>
            <w:vAlign w:val="center"/>
            <w:textDirection w:val="lrTb"/>
            <w:noWrap w:val="false"/>
          </w:tcPr>
          <w:p>
            <w:pPr>
              <w:jc w:val="center"/>
              <w:spacing w:line="440" w:lineRule="atLeast"/>
              <w:rPr>
                <w:rFonts w:hint="eastAsia" w:ascii="宋体" w:hAnsi="宋体" w:cs="宋体"/>
                <w:color w:val="000000"/>
                <w:sz w:val="24"/>
                <w:szCs w:val="24"/>
                <w14:ligatures w14:val="none"/>
              </w:rPr>
            </w:pPr>
            <w:r>
              <w:rPr>
                <w:rFonts w:hint="eastAsia" w:ascii="宋体" w:hAnsi="宋体" w:cs="宋体"/>
                <w:color w:val="000000"/>
                <w:sz w:val="24"/>
                <w:szCs w:val="24"/>
                <w14:ligatures w14:val="none"/>
              </w:rPr>
              <w:t xml:space="preserve">序号</w:t>
            </w:r>
            <w:r/>
          </w:p>
        </w:tc>
        <w:tc>
          <w:tcPr>
            <w:tcW w:w="2259" w:type="pct"/>
            <w:vAlign w:val="center"/>
            <w:textDirection w:val="lrTb"/>
            <w:noWrap w:val="false"/>
          </w:tcPr>
          <w:p>
            <w:pPr>
              <w:jc w:val="center"/>
              <w:spacing w:line="440" w:lineRule="atLeast"/>
              <w:rPr>
                <w:rFonts w:hint="eastAsia" w:ascii="宋体" w:hAnsi="宋体" w:cs="宋体"/>
                <w:color w:val="000000"/>
                <w:sz w:val="24"/>
                <w:szCs w:val="24"/>
                <w14:ligatures w14:val="none"/>
              </w:rPr>
            </w:pPr>
            <w:r>
              <w:rPr>
                <w:rFonts w:hint="eastAsia" w:ascii="宋体" w:hAnsi="宋体" w:cs="宋体"/>
                <w:color w:val="000000"/>
                <w:sz w:val="24"/>
                <w:szCs w:val="24"/>
                <w14:ligatures w14:val="none"/>
              </w:rPr>
              <w:t xml:space="preserve">采购标的</w:t>
            </w:r>
            <w:r/>
          </w:p>
        </w:tc>
        <w:tc>
          <w:tcPr>
            <w:tcW w:w="2109" w:type="pct"/>
            <w:vAlign w:val="center"/>
            <w:textDirection w:val="lrTb"/>
            <w:noWrap w:val="false"/>
          </w:tcPr>
          <w:p>
            <w:pPr>
              <w:jc w:val="center"/>
              <w:spacing w:line="440" w:lineRule="atLeast"/>
              <w:rPr>
                <w:rFonts w:hint="eastAsia" w:ascii="宋体" w:hAnsi="宋体" w:cs="宋体"/>
                <w:color w:val="000000"/>
                <w:sz w:val="24"/>
                <w:szCs w:val="24"/>
                <w14:ligatures w14:val="none"/>
              </w:rPr>
            </w:pPr>
            <w:r>
              <w:rPr>
                <w:rFonts w:hint="eastAsia" w:ascii="宋体" w:hAnsi="宋体" w:cs="宋体"/>
                <w:color w:val="000000"/>
                <w:sz w:val="24"/>
                <w:szCs w:val="24"/>
                <w14:ligatures w14:val="none"/>
              </w:rPr>
              <w:t xml:space="preserve">对应中小企业划分标准所属行业</w:t>
            </w:r>
            <w:r/>
          </w:p>
        </w:tc>
      </w:tr>
      <w:tr>
        <w:trPr>
          <w:cantSplit/>
          <w:jc w:val="center"/>
          <w:trHeight w:val="567"/>
        </w:trPr>
        <w:tc>
          <w:tcPr>
            <w:tcW w:w="632" w:type="pct"/>
            <w:vAlign w:val="center"/>
            <w:textDirection w:val="lrTb"/>
            <w:noWrap w:val="false"/>
          </w:tcPr>
          <w:p>
            <w:pPr>
              <w:jc w:val="center"/>
              <w:spacing w:line="440" w:lineRule="atLeast"/>
              <w:rPr>
                <w:rFonts w:hint="eastAsia" w:ascii="宋体" w:hAnsi="宋体" w:cs="宋体"/>
                <w:color w:val="000000"/>
                <w:sz w:val="24"/>
                <w:szCs w:val="24"/>
                <w14:ligatures w14:val="none"/>
              </w:rPr>
            </w:pPr>
            <w:r>
              <w:rPr>
                <w:rFonts w:hint="eastAsia" w:ascii="宋体" w:hAnsi="宋体" w:cs="宋体"/>
                <w:color w:val="000000"/>
                <w:sz w:val="24"/>
                <w:szCs w:val="24"/>
                <w14:ligatures w14:val="none"/>
              </w:rPr>
              <w:t xml:space="preserve">1</w:t>
            </w:r>
            <w:r/>
          </w:p>
        </w:tc>
        <w:tc>
          <w:tcPr>
            <w:tcW w:w="2259" w:type="pct"/>
            <w:vAlign w:val="center"/>
            <w:textDirection w:val="lrTb"/>
            <w:noWrap w:val="false"/>
          </w:tcPr>
          <w:p>
            <w:pPr>
              <w:jc w:val="center"/>
              <w:spacing w:line="440" w:lineRule="atLeast"/>
              <w:rPr>
                <w:rFonts w:hint="eastAsia" w:ascii="宋体" w:hAnsi="宋体" w:cs="宋体"/>
                <w:color w:val="000000"/>
                <w:sz w:val="24"/>
                <w:szCs w:val="24"/>
                <w14:ligatures w14:val="none"/>
              </w:rPr>
            </w:pPr>
            <w:r>
              <w:rPr>
                <w:rFonts w:hint="eastAsia" w:ascii="Times New Roman" w:hAnsi="Times New Roman" w:cs="Times New Roman"/>
                <w:sz w:val="24"/>
                <w:szCs w:val="24"/>
                <w14:ligatures w14:val="none"/>
              </w:rPr>
              <w:t xml:space="preserve">金坛区金城镇2026年度城镇老旧小区改造项目智能化、通讯改造</w:t>
            </w:r>
            <w:r/>
          </w:p>
        </w:tc>
        <w:tc>
          <w:tcPr>
            <w:tcW w:w="2109" w:type="pct"/>
            <w:vAlign w:val="center"/>
            <w:textDirection w:val="lrTb"/>
            <w:noWrap w:val="false"/>
          </w:tcPr>
          <w:p>
            <w:pPr>
              <w:jc w:val="center"/>
              <w:spacing w:line="440" w:lineRule="atLeast"/>
              <w:rPr>
                <w:rFonts w:hint="eastAsia" w:ascii="宋体" w:hAnsi="宋体" w:cs="宋体"/>
                <w:color w:val="000000"/>
                <w:sz w:val="24"/>
                <w:szCs w:val="24"/>
                <w14:ligatures w14:val="none"/>
              </w:rPr>
            </w:pPr>
            <w:r>
              <w:rPr>
                <w:rFonts w:hint="eastAsia" w:ascii="宋体" w:hAnsi="宋体" w:cs="宋体"/>
                <w:color w:val="000000"/>
                <w:sz w:val="24"/>
                <w:szCs w:val="24"/>
                <w:highlight w:val="yellow"/>
                <w14:ligatures w14:val="none"/>
              </w:rPr>
              <w:t xml:space="preserve">信息传输行业</w:t>
            </w:r>
            <w:r/>
          </w:p>
        </w:tc>
      </w:tr>
    </w:tbl>
    <w:p>
      <w:pPr>
        <w:ind w:firstLine="241"/>
        <w:rPr>
          <w:rFonts w:hint="default" w:ascii="Calibri" w:hAnsi="Calibri"/>
          <w:szCs w:val="22"/>
          <w14:ligatures w14:val="standardContextual"/>
        </w:rPr>
      </w:pPr>
      <w:r>
        <w:rPr>
          <w:rFonts w:hint="default" w:ascii="Calibri" w:hAnsi="Calibri"/>
          <w:szCs w:val="22"/>
          <w14:ligatures w14:val="standardContextual"/>
        </w:rPr>
      </w:r>
      <w:r/>
    </w:p>
    <w:p>
      <w:pPr>
        <w:ind w:firstLine="482"/>
        <w:rPr>
          <w:rFonts w:hint="eastAsia" w:ascii="宋体" w:hAnsi="宋体" w:cs="宋体"/>
          <w:b/>
          <w:sz w:val="24"/>
          <w:szCs w:val="24"/>
          <w14:ligatures w14:val="none"/>
        </w:rPr>
      </w:pPr>
      <w:r>
        <w:rPr>
          <w:rFonts w:hint="eastAsia" w:ascii="宋体" w:hAnsi="宋体" w:cs="宋体"/>
          <w:b/>
          <w:sz w:val="24"/>
          <w:szCs w:val="24"/>
          <w14:ligatures w14:val="none"/>
        </w:rPr>
        <w:t xml:space="preserve">六、其他要求</w:t>
      </w:r>
      <w:r/>
    </w:p>
    <w:p>
      <w:pPr>
        <w:ind w:firstLine="480"/>
        <w:spacing w:line="440" w:lineRule="atLeast"/>
        <w:rPr>
          <w:rFonts w:hint="eastAsia" w:ascii="宋体" w:hAnsi="宋体" w:cs="宋体"/>
          <w:sz w:val="24"/>
          <w:szCs w:val="24"/>
          <w14:ligatures w14:val="none"/>
        </w:rPr>
      </w:pPr>
      <w:r>
        <w:rPr>
          <w:rFonts w:hint="eastAsia" w:ascii="宋体" w:hAnsi="宋体" w:cs="宋体"/>
          <w:sz w:val="24"/>
          <w:szCs w:val="24"/>
          <w14:ligatures w14:val="none"/>
        </w:rPr>
        <w:t xml:space="preserve"> 1.本清单所列数量是根据图纸或现行情况暂定的，仅作为投标的共同基础，不能作为最终结算与支付的依据。结算与支付应以监理工程师审核并报采购人认可的、按图纸和规范要求实际完成的数量为依据。</w:t>
      </w:r>
      <w:r/>
    </w:p>
    <w:p>
      <w:pPr>
        <w:ind w:firstLine="480"/>
        <w:spacing w:line="440" w:lineRule="atLeast"/>
        <w:rPr>
          <w:rFonts w:hint="eastAsia" w:ascii="宋体" w:hAnsi="宋体" w:cs="宋体"/>
          <w:sz w:val="24"/>
          <w:szCs w:val="24"/>
          <w14:ligatures w14:val="none"/>
        </w:rPr>
      </w:pPr>
      <w:r/>
      <w:bookmarkStart w:id="813" w:name="bookmark24"/>
      <w:r/>
      <w:bookmarkEnd w:id="813"/>
      <w:r/>
      <w:bookmarkStart w:id="814" w:name="bookmark19"/>
      <w:r/>
      <w:bookmarkEnd w:id="814"/>
      <w:r>
        <w:rPr>
          <w:rFonts w:hint="eastAsia" w:ascii="宋体" w:hAnsi="宋体" w:cs="宋体"/>
          <w:sz w:val="24"/>
          <w:szCs w:val="24"/>
          <w14:ligatures w14:val="none"/>
        </w:rPr>
        <w:t xml:space="preserve">2.供应商须自行考虑整个范围内，各种材料设备的运输条件、运输距离、各种可能存在的干扰因素，合理安排各种材料设备的运输方法、运输设备，并在投标报价中充分考虑相应场内、场外运输费用，材料的场内、场外运输费用，结算时均不另行计算。</w:t>
      </w:r>
      <w:r/>
    </w:p>
    <w:p>
      <w:pPr>
        <w:ind w:firstLine="480"/>
        <w:spacing w:line="440" w:lineRule="atLeast"/>
        <w:rPr>
          <w:rFonts w:hint="eastAsia" w:ascii="宋体" w:hAnsi="宋体" w:cs="宋体"/>
          <w:sz w:val="24"/>
          <w:szCs w:val="24"/>
          <w14:ligatures w14:val="none"/>
        </w:rPr>
      </w:pPr>
      <w:r/>
      <w:bookmarkStart w:id="815" w:name="bookmark31"/>
      <w:r/>
      <w:bookmarkEnd w:id="815"/>
      <w:r/>
      <w:bookmarkStart w:id="816" w:name="bookmark27"/>
      <w:r/>
      <w:bookmarkEnd w:id="816"/>
      <w:r/>
      <w:bookmarkStart w:id="817" w:name="bookmark25"/>
      <w:r/>
      <w:bookmarkEnd w:id="817"/>
      <w:r>
        <w:rPr>
          <w:rFonts w:hint="eastAsia" w:ascii="宋体" w:hAnsi="宋体" w:cs="宋体"/>
          <w:sz w:val="24"/>
          <w:szCs w:val="24"/>
          <w14:ligatures w14:val="none"/>
        </w:rPr>
        <w:t xml:space="preserve">3.本工程所需水、接电或自行发电等费用由供应商负责，相关费用在投标报价中考虑，安装过程中不另计量。</w:t>
      </w:r>
      <w:r/>
    </w:p>
    <w:p>
      <w:pPr>
        <w:ind w:firstLine="480"/>
        <w:spacing w:line="440" w:lineRule="atLeast"/>
        <w:rPr>
          <w:rFonts w:hint="eastAsia" w:ascii="宋体" w:hAnsi="宋体" w:cs="宋体"/>
          <w:sz w:val="24"/>
          <w:szCs w:val="24"/>
          <w14:ligatures w14:val="none"/>
        </w:rPr>
      </w:pPr>
      <w:r>
        <w:rPr>
          <w:rFonts w:hint="eastAsia" w:ascii="宋体" w:hAnsi="宋体" w:cs="宋体"/>
          <w:sz w:val="24"/>
          <w:szCs w:val="24"/>
          <w14:ligatures w14:val="none"/>
        </w:rPr>
        <w:t xml:space="preserve">4.小区用户割接费和拆除旧光缆杆线及设备费用投标时供应商自行考虑相关费用，清单不再单独列项，结算时均不另行计算。</w:t>
      </w:r>
      <w:r/>
    </w:p>
    <w:p>
      <w:pPr>
        <w:ind w:firstLine="480"/>
        <w:spacing w:line="440" w:lineRule="atLeast"/>
        <w:rPr>
          <w:rFonts w:hint="eastAsia" w:ascii="宋体" w:hAnsi="宋体" w:cs="宋体"/>
          <w:sz w:val="24"/>
          <w:szCs w:val="24"/>
          <w14:ligatures w14:val="none"/>
        </w:rPr>
      </w:pPr>
      <w:r>
        <w:rPr>
          <w:rFonts w:hint="eastAsia" w:ascii="宋体" w:hAnsi="宋体" w:cs="宋体"/>
          <w:sz w:val="24"/>
          <w:szCs w:val="24"/>
          <w14:ligatures w14:val="none"/>
        </w:rPr>
        <w:t xml:space="preserve">5.对于超出招标文件服务范围和服务要求以外增加的费用，依据实际核定增加现场通信铺设长度和监控安装情况，由采购人按实际需要和支出另行结算，不超合同总价的10%。</w:t>
      </w:r>
      <w:r/>
    </w:p>
    <w:p>
      <w:pPr>
        <w:jc w:val="left"/>
        <w:widowControl/>
        <w:rPr>
          <w:rFonts w:hint="default" w:ascii="Calibri" w:hAnsi="Calibri"/>
          <w:szCs w:val="22"/>
          <w14:ligatures w14:val="standardContextual"/>
        </w:rPr>
      </w:pPr>
      <w:r>
        <w:rPr>
          <w:rFonts w:hint="default" w:ascii="Calibri" w:hAnsi="Calibri"/>
          <w:szCs w:val="22"/>
          <w14:ligatures w14:val="standardContextual"/>
        </w:rPr>
        <w:br w:type="page" w:clear="all"/>
      </w:r>
      <w:r/>
    </w:p>
    <w:p>
      <w:pPr>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jc w:val="center"/>
        <w:spacing w:line="360" w:lineRule="auto"/>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jc w:val="center"/>
        <w:spacing w:line="360" w:lineRule="auto"/>
        <w:rPr>
          <w:b/>
          <w:sz w:val="36"/>
          <w:szCs w:val="36"/>
        </w:rPr>
        <w:outlineLvl w:val="0"/>
      </w:pPr>
      <w:r>
        <w:rPr>
          <w:b/>
          <w:sz w:val="36"/>
          <w:szCs w:val="36"/>
        </w:rPr>
        <w:t xml:space="preserve">第六章   拟签订的合同文本</w:t>
      </w:r>
      <w:bookmarkEnd w:id="811"/>
      <w:r/>
      <w:r/>
    </w:p>
    <w:p>
      <w:pPr>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jc w:val="center"/>
        <w:spacing w:line="360" w:lineRule="auto"/>
        <w:rPr>
          <w:rFonts w:hint="eastAsia"/>
          <w:b/>
          <w:sz w:val="36"/>
          <w:szCs w:val="36"/>
        </w:rPr>
        <w:outlineLvl w:val="0"/>
      </w:pPr>
      <w:r>
        <w:rPr>
          <w:rFonts w:hint="eastAsia" w:ascii="宋体" w:hAnsi="宋体" w:cs="宋体"/>
          <w:b/>
          <w:sz w:val="36"/>
          <w:szCs w:val="36"/>
          <w:lang w:eastAsia="zh-CN"/>
        </w:rPr>
        <w:t xml:space="preserve">金坛区金城镇2026年度城镇老旧小区改造项目通讯、智能化改造</w:t>
      </w:r>
      <w:r>
        <w:rPr>
          <w:rFonts w:hint="eastAsia" w:ascii="宋体" w:hAnsi="宋体" w:cs="宋体"/>
          <w:b/>
          <w:sz w:val="36"/>
          <w:szCs w:val="36"/>
        </w:rPr>
        <w:t xml:space="preserve">合同</w:t>
      </w:r>
      <w:r/>
    </w:p>
    <w:p>
      <w:pPr>
        <w:jc w:val="both"/>
        <w:spacing w:line="360" w:lineRule="auto"/>
        <w:rPr>
          <w:rFonts w:hint="eastAsia"/>
          <w:b/>
          <w:sz w:val="36"/>
          <w:szCs w:val="36"/>
        </w:rPr>
        <w:outlineLvl w:val="0"/>
      </w:pPr>
      <w:r>
        <w:rPr>
          <w:rFonts w:hint="eastAsia"/>
          <w:b/>
          <w:sz w:val="36"/>
          <w:szCs w:val="36"/>
        </w:rPr>
      </w:r>
      <w:r/>
    </w:p>
    <w:p>
      <w:pPr>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p>
    <w:p>
      <w:pPr>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p>
    <w:p>
      <w:pPr>
        <w:spacing w:line="360" w:lineRule="auto"/>
        <w:tabs>
          <w:tab w:val="left" w:pos="900" w:leader="none"/>
          <w:tab w:val="left" w:pos="1080" w:leader="none"/>
        </w:tabs>
        <w:rPr>
          <w:sz w:val="18"/>
          <w:szCs w:val="18"/>
        </w:rPr>
      </w:pPr>
      <w:r>
        <w:rPr>
          <w:sz w:val="18"/>
          <w:szCs w:val="18"/>
        </w:rPr>
      </w:r>
      <w:r/>
    </w:p>
    <w:p>
      <w:pPr>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ind w:firstLine="1620"/>
        <w:jc w:val="center"/>
        <w:spacing w:line="360" w:lineRule="auto"/>
        <w:rPr>
          <w:rFonts w:hint="eastAsia" w:ascii="宋体" w:hAnsi="宋体" w:eastAsia="宋体" w:cs="宋体"/>
          <w:b/>
          <w:sz w:val="28"/>
          <w:szCs w:val="28"/>
        </w:rPr>
      </w:pPr>
      <w:r/>
      <w:bookmarkStart w:id="818" w:name="_Toc99301426"/>
      <w:r>
        <w:rPr>
          <w:rFonts w:hint="eastAsia" w:ascii="宋体" w:hAnsi="宋体" w:eastAsia="宋体" w:cs="宋体"/>
          <w:sz w:val="28"/>
          <w:szCs w:val="28"/>
        </w:rPr>
        <w:t xml:space="preserve">政府采购合同协议书</w:t>
      </w:r>
      <w:r/>
    </w:p>
    <w:p>
      <w:pPr>
        <w:ind w:firstLine="0"/>
        <w:spacing w:line="360" w:lineRule="auto"/>
        <w:rPr>
          <w:rFonts w:hint="eastAsia" w:ascii="宋体" w:hAnsi="宋体" w:eastAsia="宋体" w:cs="宋体"/>
          <w:sz w:val="28"/>
          <w:szCs w:val="28"/>
        </w:rPr>
      </w:pPr>
      <w:r>
        <w:rPr>
          <w:rFonts w:hint="eastAsia" w:ascii="宋体" w:hAnsi="宋体" w:eastAsia="宋体" w:cs="宋体"/>
          <w:b/>
          <w:sz w:val="28"/>
          <w:szCs w:val="28"/>
        </w:rPr>
        <w:t xml:space="preserve">采购人（以下简称甲方）：</w:t>
      </w:r>
      <w:r>
        <w:rPr>
          <w:rFonts w:hint="eastAsia" w:ascii="宋体" w:hAnsi="宋体" w:eastAsia="宋体" w:cs="宋体"/>
          <w:b/>
          <w:sz w:val="28"/>
          <w:szCs w:val="28"/>
          <w:u w:val="single"/>
        </w:rPr>
        <w:t xml:space="preserve"> </w:t>
      </w:r>
      <w:r>
        <w:rPr>
          <w:rFonts w:hint="eastAsia" w:ascii="宋体" w:hAnsi="宋体" w:eastAsia="宋体" w:cs="宋体"/>
          <w:sz w:val="28"/>
          <w:szCs w:val="28"/>
          <w:u w:val="single"/>
        </w:rPr>
        <w:t xml:space="preserve">常州市金坛区金城镇人民政府</w:t>
      </w:r>
      <w:r/>
    </w:p>
    <w:p>
      <w:pPr>
        <w:ind w:firstLine="0"/>
        <w:spacing w:line="360" w:lineRule="auto"/>
        <w:rPr>
          <w:rFonts w:hint="eastAsia" w:ascii="宋体" w:hAnsi="宋体" w:eastAsia="宋体" w:cs="宋体"/>
          <w:sz w:val="28"/>
          <w:szCs w:val="28"/>
        </w:rPr>
      </w:pPr>
      <w:r>
        <w:rPr>
          <w:rFonts w:hint="eastAsia" w:ascii="宋体" w:hAnsi="宋体" w:eastAsia="宋体" w:cs="宋体"/>
          <w:b/>
          <w:sz w:val="28"/>
          <w:szCs w:val="28"/>
        </w:rPr>
        <w:t xml:space="preserve">成交供应商（以下简称乙方）：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25"/>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依据《中华人民共和国民法典》、《中华人民共和国政府采购法》等有关的法律法规，以及本采购项目采购文件、乙方的《投标文件》及《中标（成交）通知书》，甲乙双方同意签订本合同。具体情况及要求如下：</w:t>
      </w:r>
      <w:r/>
    </w:p>
    <w:p>
      <w:pPr>
        <w:ind w:firstLine="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一、项目信息</w:t>
      </w:r>
      <w:r/>
    </w:p>
    <w:p>
      <w:pPr>
        <w:ind w:firstLine="42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1.项目名称：</w:t>
      </w:r>
      <w:r/>
    </w:p>
    <w:p>
      <w:pPr>
        <w:ind w:firstLine="42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2.项目编号：</w:t>
      </w:r>
      <w:r/>
    </w:p>
    <w:p>
      <w:pPr>
        <w:ind w:firstLine="42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rPr>
        <w:t xml:space="preserve">3.项目内容：</w:t>
      </w:r>
      <w:r/>
    </w:p>
    <w:p>
      <w:pPr>
        <w:ind w:firstLine="42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4.政府采购组织形式：</w:t>
      </w:r>
      <w:r>
        <w:rPr>
          <w:rFonts w:hint="eastAsia" w:ascii="宋体" w:hAnsi="宋体" w:cs="宋体"/>
          <w:sz w:val="28"/>
          <w:szCs w:val="28"/>
          <w:highlight w:val="none"/>
          <w:lang w:val="en-US" w:eastAsia="zh-CN"/>
        </w:rPr>
        <w:t xml:space="preserve">分散</w:t>
      </w:r>
      <w:r>
        <w:rPr>
          <w:rFonts w:hint="eastAsia" w:ascii="宋体" w:hAnsi="宋体" w:eastAsia="宋体" w:cs="宋体"/>
          <w:sz w:val="28"/>
          <w:szCs w:val="28"/>
          <w:highlight w:val="none"/>
        </w:rPr>
        <w:t xml:space="preserve">采购</w:t>
      </w:r>
      <w:r/>
    </w:p>
    <w:p>
      <w:pPr>
        <w:ind w:firstLine="42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5.政府采购方式：公开招标</w:t>
      </w:r>
      <w:r/>
    </w:p>
    <w:p>
      <w:pPr>
        <w:ind w:firstLine="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二、合同金额</w:t>
      </w:r>
      <w:r/>
    </w:p>
    <w:p>
      <w:pPr>
        <w:ind w:firstLine="420"/>
        <w:jc w:val="left"/>
        <w:spacing w:line="360" w:lineRule="auto"/>
        <w:rPr>
          <w:rFonts w:hint="eastAsia" w:ascii="宋体" w:hAnsi="宋体" w:eastAsia="宋体" w:cs="宋体"/>
          <w:color w:val="0000ff"/>
          <w:sz w:val="28"/>
          <w:szCs w:val="28"/>
          <w:highlight w:val="none"/>
        </w:rPr>
      </w:pPr>
      <w:r>
        <w:rPr>
          <w:rFonts w:hint="eastAsia" w:ascii="宋体" w:hAnsi="宋体" w:eastAsia="宋体" w:cs="宋体"/>
          <w:sz w:val="28"/>
          <w:szCs w:val="28"/>
          <w:highlight w:val="none"/>
        </w:rPr>
        <w:t xml:space="preserve">1.本合同金额为（大写）： _____________（______元）人民币；</w:t>
      </w:r>
      <w:r>
        <w:rPr>
          <w:rFonts w:hint="eastAsia" w:ascii="宋体" w:hAnsi="宋体" w:cs="宋体"/>
          <w:sz w:val="28"/>
          <w:szCs w:val="28"/>
          <w:highlight w:val="none"/>
          <w:lang w:val="en-US" w:eastAsia="zh-CN"/>
        </w:rPr>
        <w:t xml:space="preserve">合同价款</w:t>
      </w:r>
      <w:r>
        <w:rPr>
          <w:rFonts w:hint="eastAsia" w:ascii="宋体" w:hAnsi="宋体" w:eastAsia="宋体" w:cs="宋体"/>
          <w:sz w:val="28"/>
          <w:szCs w:val="28"/>
          <w:highlight w:val="none"/>
        </w:rPr>
        <w:t xml:space="preserve">包括按招标文件规定的招标范围内采购清单所列项目的全部费用总和，包含但不限于</w:t>
      </w:r>
      <w:r>
        <w:rPr>
          <w:rFonts w:hint="eastAsia" w:ascii="宋体" w:hAnsi="宋体" w:cs="宋体"/>
          <w:sz w:val="28"/>
          <w:szCs w:val="28"/>
          <w:highlight w:val="none"/>
          <w:lang w:val="en-US" w:eastAsia="zh-CN"/>
        </w:rPr>
        <w:t xml:space="preserve">深化设计</w:t>
      </w:r>
      <w:r>
        <w:rPr>
          <w:rFonts w:hint="eastAsia" w:ascii="宋体" w:hAnsi="宋体" w:eastAsia="宋体" w:cs="宋体"/>
          <w:sz w:val="28"/>
          <w:szCs w:val="28"/>
          <w:highlight w:val="none"/>
        </w:rPr>
        <w:t xml:space="preserve">、人工、辅材、设备硬件、线缆、运输、安装、调试、质保运维、保险、利润、税金、政策性文件规定、合同包含的所有风险、责任等各项应有费用、检测费用，直至通过甲方、监理单位及其他相关单位的验收，全程技术支持（包括但不限于技术资料、图纸的提供等）、人员培训至交付使用等全过程服务费用。</w:t>
      </w:r>
      <w:r/>
    </w:p>
    <w:p>
      <w:pPr>
        <w:ind w:firstLine="42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付款方式：</w:t>
      </w:r>
      <w:r/>
    </w:p>
    <w:p>
      <w:pPr>
        <w:ind w:firstLine="42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①合同签订后10个工作日内甲方按合同价的10%支付项目预付款；</w:t>
      </w:r>
      <w:r/>
    </w:p>
    <w:p>
      <w:pPr>
        <w:ind w:firstLine="420"/>
        <w:jc w:val="left"/>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②项目完成验收合格后30日内支付至合同金额的80%</w:t>
      </w:r>
      <w:r>
        <w:rPr>
          <w:rFonts w:hint="eastAsia" w:ascii="宋体" w:hAnsi="宋体" w:cs="宋体"/>
          <w:sz w:val="28"/>
          <w:szCs w:val="28"/>
          <w:highlight w:val="none"/>
          <w:lang w:eastAsia="zh-CN"/>
        </w:rPr>
        <w:t xml:space="preserve">；</w:t>
      </w:r>
      <w:r/>
    </w:p>
    <w:p>
      <w:pPr>
        <w:ind w:firstLine="420"/>
        <w:jc w:val="left"/>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③项目完成验收合格经审计单位审定后 30 日内，</w:t>
      </w:r>
      <w:r>
        <w:rPr>
          <w:rFonts w:hint="eastAsia" w:ascii="宋体" w:hAnsi="宋体" w:cs="宋体"/>
          <w:sz w:val="28"/>
          <w:szCs w:val="28"/>
          <w:highlight w:val="none"/>
          <w:lang w:val="en-US" w:eastAsia="zh-CN"/>
        </w:rPr>
        <w:t xml:space="preserve">甲方</w:t>
      </w:r>
      <w:r>
        <w:rPr>
          <w:rFonts w:hint="eastAsia" w:ascii="宋体" w:hAnsi="宋体" w:eastAsia="宋体" w:cs="宋体"/>
          <w:sz w:val="28"/>
          <w:szCs w:val="28"/>
          <w:highlight w:val="none"/>
        </w:rPr>
        <w:t xml:space="preserve">支付至审定价的97%</w:t>
      </w:r>
      <w:r>
        <w:rPr>
          <w:rFonts w:hint="eastAsia" w:ascii="宋体" w:hAnsi="宋体" w:cs="宋体"/>
          <w:sz w:val="28"/>
          <w:szCs w:val="28"/>
          <w:highlight w:val="none"/>
          <w:lang w:eastAsia="zh-CN"/>
        </w:rPr>
        <w:t xml:space="preserve">；</w:t>
      </w:r>
      <w:r/>
    </w:p>
    <w:p>
      <w:pPr>
        <w:ind w:firstLine="42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④质保期（</w:t>
      </w: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rPr>
        <w:t xml:space="preserve">年）满后,支付至审定价的 100%（无息）。</w:t>
      </w:r>
      <w:r/>
    </w:p>
    <w:p>
      <w:pPr>
        <w:ind w:firstLine="42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每次采购人付款前，中标人需向采购人出具付款申请及正式的、符合法律规定的增值税发票。</w:t>
      </w:r>
      <w:r/>
    </w:p>
    <w:p>
      <w:pPr>
        <w:numPr>
          <w:ilvl w:val="0"/>
          <w:numId w:val="0"/>
        </w:numPr>
        <w:contextualSpacing/>
        <w:ind w:firstLine="480"/>
        <w:jc w:val="both"/>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⑤</w:t>
      </w:r>
      <w:r>
        <w:rPr>
          <w:rFonts w:hint="eastAsia" w:ascii="宋体" w:hAnsi="宋体" w:eastAsia="宋体" w:cs="宋体"/>
          <w:sz w:val="28"/>
          <w:szCs w:val="28"/>
          <w:highlight w:val="none"/>
        </w:rPr>
        <w:t xml:space="preserve">如涉及甲方要求的变更，增加的内容在清单中有适用的，则按</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rPr>
        <w:t xml:space="preserve">时的报价结算；若增加的内容在清单中只有相类似的，可参照类似内容的响应报价进行结算；若增加的内容在清单中无适用或相类似的，结算原则为：由乙方申报单价，经甲方签证后进行结算。</w:t>
      </w:r>
      <w:r/>
    </w:p>
    <w:p>
      <w:pPr>
        <w:numPr>
          <w:ilvl w:val="0"/>
          <w:numId w:val="0"/>
        </w:numPr>
        <w:contextualSpacing/>
        <w:ind w:firstLine="480"/>
        <w:jc w:val="both"/>
        <w:keepLines w:val="0"/>
        <w:keepNext w:val="0"/>
        <w:pageBreakBefore w:val="0"/>
        <w:spacing w:line="360" w:lineRule="auto"/>
        <w:widowControl w:val="off"/>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注：乙方在收款时提供等额合规且符合甲方要求的增值税发票。</w:t>
      </w:r>
      <w:r/>
    </w:p>
    <w:p>
      <w:pPr>
        <w:numPr>
          <w:ilvl w:val="0"/>
          <w:numId w:val="0"/>
        </w:numPr>
        <w:contextualSpacing/>
        <w:ind w:firstLine="480"/>
        <w:jc w:val="both"/>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当采购数量与实际使用数量不一致时，供应商应根据实际使用量供货，最终结算金额按实际使用量乘以成交单价进行计算。</w:t>
      </w:r>
      <w:r/>
    </w:p>
    <w:p>
      <w:pPr>
        <w:ind w:firstLine="42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sz w:val="28"/>
          <w:szCs w:val="28"/>
          <w:highlight w:val="none"/>
          <w:lang w:val="zh-CN"/>
        </w:rPr>
        <w:t xml:space="preserve">本合同约定的结算以审计机关的审计结果为准。结算经审计机关审定后，核减率在8%以内（含8%）的由建设方支付全部审计费；如12%≥核减费费率＞8%时，该</w:t>
      </w:r>
      <w:r>
        <w:rPr>
          <w:rFonts w:hint="eastAsia" w:ascii="宋体" w:hAnsi="宋体" w:eastAsia="宋体" w:cs="宋体"/>
          <w:sz w:val="28"/>
          <w:szCs w:val="28"/>
          <w:highlight w:val="none"/>
        </w:rPr>
        <w:t xml:space="preserve">项目</w:t>
      </w:r>
      <w:r>
        <w:rPr>
          <w:rFonts w:hint="eastAsia" w:ascii="宋体" w:hAnsi="宋体" w:eastAsia="宋体" w:cs="宋体"/>
          <w:sz w:val="28"/>
          <w:szCs w:val="28"/>
          <w:highlight w:val="none"/>
          <w:lang w:val="zh-CN"/>
        </w:rPr>
        <w:t xml:space="preserve">所有审计费用乙方必须承担一半；核减费费率＞12%时，该</w:t>
      </w:r>
      <w:r>
        <w:rPr>
          <w:rFonts w:hint="eastAsia" w:ascii="宋体" w:hAnsi="宋体" w:eastAsia="宋体" w:cs="宋体"/>
          <w:sz w:val="28"/>
          <w:szCs w:val="28"/>
          <w:highlight w:val="none"/>
        </w:rPr>
        <w:t xml:space="preserve">项目</w:t>
      </w:r>
      <w:r>
        <w:rPr>
          <w:rFonts w:hint="eastAsia" w:ascii="宋体" w:hAnsi="宋体" w:eastAsia="宋体" w:cs="宋体"/>
          <w:sz w:val="28"/>
          <w:szCs w:val="28"/>
          <w:highlight w:val="none"/>
          <w:lang w:val="zh-CN"/>
        </w:rPr>
        <w:t xml:space="preserve">所有审计费均由乙方承担。前述分段不为累进制</w:t>
      </w:r>
      <w:r>
        <w:rPr>
          <w:rFonts w:hint="eastAsia" w:ascii="宋体" w:hAnsi="宋体" w:eastAsia="宋体" w:cs="宋体"/>
          <w:bCs/>
          <w:color w:val="000000"/>
          <w:sz w:val="28"/>
          <w:szCs w:val="28"/>
          <w:highlight w:val="none"/>
        </w:rPr>
        <w:t xml:space="preserve">。</w:t>
      </w:r>
      <w:r/>
    </w:p>
    <w:p>
      <w:pPr>
        <w:ind w:firstLine="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三、合同履行</w:t>
      </w:r>
      <w:r/>
    </w:p>
    <w:p>
      <w:pPr>
        <w:ind w:firstLine="42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bCs/>
          <w:sz w:val="28"/>
          <w:szCs w:val="28"/>
          <w:highlight w:val="none"/>
        </w:rPr>
        <w:t xml:space="preserve">接到采购人入场通知后</w:t>
      </w:r>
      <w:r>
        <w:rPr>
          <w:rFonts w:hint="eastAsia" w:ascii="宋体" w:hAnsi="宋体" w:cs="宋体"/>
          <w:bCs/>
          <w:sz w:val="28"/>
          <w:szCs w:val="28"/>
          <w:highlight w:val="none"/>
          <w:lang w:val="en-US" w:eastAsia="zh-CN"/>
        </w:rPr>
        <w:t xml:space="preserve">100</w:t>
      </w:r>
      <w:r>
        <w:rPr>
          <w:rFonts w:hint="eastAsia" w:ascii="宋体" w:hAnsi="宋体" w:eastAsia="宋体" w:cs="宋体"/>
          <w:bCs/>
          <w:sz w:val="28"/>
          <w:szCs w:val="28"/>
          <w:highlight w:val="none"/>
        </w:rPr>
        <w:t xml:space="preserve">天内将货物交付采购人，完成安装调试，验收合格并正常使用。</w:t>
      </w:r>
      <w:r/>
    </w:p>
    <w:p>
      <w:pPr>
        <w:ind w:firstLine="42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2.履约地点：八达新村、四中教工楼、江南路45栋、江南路22、24、26栋、西门大街85栋、西门大街88栋、西门大街56、61、63栋、西门大街18栋、矢巷、横街、龙山路42、43栋</w:t>
      </w:r>
      <w:r/>
    </w:p>
    <w:p>
      <w:pPr>
        <w:ind w:firstLine="420"/>
        <w:jc w:val="left"/>
        <w:spacing w:line="360" w:lineRule="auto"/>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t xml:space="preserve">3.履约担保：</w:t>
      </w:r>
      <w:r>
        <w:rPr>
          <w:rFonts w:hint="eastAsia" w:ascii="宋体" w:hAnsi="宋体" w:eastAsia="宋体" w:cs="宋体"/>
          <w:sz w:val="28"/>
          <w:szCs w:val="28"/>
          <w:highlight w:val="none"/>
        </w:rPr>
        <w:t xml:space="preserve">是否收取履约保证金：</w:t>
      </w:r>
      <w:r>
        <w:rPr>
          <w:rFonts w:ascii="Wingdings" w:hAnsi="Wingdings" w:eastAsia="Wingdings" w:cs="Wingdings"/>
          <w:sz w:val="28"/>
          <w:szCs w:val="28"/>
          <w:highlight w:val="none"/>
        </w:rPr>
        <w:t xml:space="preserve">þ</w:t>
      </w:r>
      <w:r>
        <w:rPr>
          <w:rFonts w:hint="eastAsia" w:ascii="宋体" w:hAnsi="宋体" w:eastAsia="宋体" w:cs="宋体"/>
          <w:sz w:val="28"/>
          <w:szCs w:val="28"/>
          <w:highlight w:val="none"/>
        </w:rPr>
        <w:t xml:space="preserve">是</w:t>
      </w:r>
      <w:r/>
    </w:p>
    <w:p>
      <w:pPr>
        <w:ind w:firstLine="420"/>
        <w:jc w:val="left"/>
        <w:spacing w:line="360" w:lineRule="auto"/>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 xml:space="preserve">收取履约保证金形式：供应商可以自主选择以支票、汇票、本票、保函等非现金形式缴纳或提交。按照苏财购[2023]150号文，鼓励优先采用电子保函形式。</w:t>
      </w:r>
      <w:r/>
    </w:p>
    <w:p>
      <w:pPr>
        <w:ind w:firstLine="420"/>
        <w:jc w:val="left"/>
        <w:spacing w:line="360" w:lineRule="auto"/>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 xml:space="preserve">收取履约保证金金额：</w:t>
      </w:r>
      <w:r>
        <w:rPr>
          <w:rFonts w:hint="eastAsia" w:ascii="宋体" w:hAnsi="宋体" w:eastAsia="宋体" w:cs="宋体"/>
          <w:bCs/>
          <w:sz w:val="28"/>
          <w:szCs w:val="28"/>
          <w:highlight w:val="none"/>
          <w:u w:val="single"/>
        </w:rPr>
        <w:t xml:space="preserve">                            </w:t>
      </w:r>
      <w:r/>
    </w:p>
    <w:p>
      <w:pPr>
        <w:ind w:firstLine="420"/>
        <w:jc w:val="left"/>
        <w:spacing w:line="360" w:lineRule="auto"/>
        <w:rPr>
          <w:rFonts w:hint="eastAsia" w:ascii="宋体" w:hAnsi="宋体" w:eastAsia="宋体" w:cs="宋体"/>
          <w:bCs/>
          <w:sz w:val="28"/>
          <w:szCs w:val="28"/>
          <w:highlight w:val="none"/>
          <w:u w:val="single"/>
        </w:rPr>
      </w:pPr>
      <w:r>
        <w:rPr>
          <w:rFonts w:hint="eastAsia" w:ascii="宋体" w:hAnsi="宋体" w:eastAsia="宋体" w:cs="宋体"/>
          <w:bCs/>
          <w:sz w:val="28"/>
          <w:szCs w:val="28"/>
          <w:highlight w:val="none"/>
        </w:rPr>
        <w:t xml:space="preserve">履约担保期限：</w:t>
      </w:r>
      <w:r>
        <w:rPr>
          <w:rFonts w:hint="eastAsia" w:ascii="宋体" w:hAnsi="宋体" w:eastAsia="宋体" w:cs="宋体"/>
          <w:bCs/>
          <w:sz w:val="28"/>
          <w:szCs w:val="28"/>
          <w:highlight w:val="none"/>
          <w:u w:val="single"/>
        </w:rPr>
        <w:t xml:space="preserve">                                  </w:t>
      </w:r>
      <w:r/>
    </w:p>
    <w:p>
      <w:pPr>
        <w:ind w:firstLine="42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履约保证金退还时间：甲方应在项目完成验收合格后退还剩余的履约保证金（无息）。</w:t>
      </w:r>
      <w:r/>
    </w:p>
    <w:p>
      <w:pPr>
        <w:ind w:firstLine="42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履约保证金退还条件：项目完成验收合格且经过甲乙双方确</w:t>
      </w:r>
      <w:r>
        <w:rPr>
          <w:rFonts w:hint="eastAsia" w:ascii="宋体" w:hAnsi="宋体" w:eastAsia="宋体" w:cs="宋体"/>
          <w:color w:val="000000"/>
          <w:sz w:val="28"/>
          <w:szCs w:val="28"/>
        </w:rPr>
        <w:t xml:space="preserve">认，扣除乙方应承担的款项后（若有）。</w:t>
      </w:r>
      <w:r/>
    </w:p>
    <w:p>
      <w:pPr>
        <w:ind w:firstLine="420"/>
        <w:jc w:val="left"/>
        <w:spacing w:line="360" w:lineRule="auto"/>
        <w:rPr>
          <w:rFonts w:hint="eastAsia" w:ascii="宋体" w:hAnsi="宋体" w:eastAsia="宋体" w:cs="宋体"/>
          <w:bCs/>
          <w:sz w:val="28"/>
          <w:szCs w:val="28"/>
          <w:u w:val="single"/>
        </w:rPr>
      </w:pPr>
      <w:r>
        <w:rPr>
          <w:rFonts w:hint="eastAsia" w:ascii="宋体" w:hAnsi="宋体" w:eastAsia="宋体" w:cs="宋体"/>
          <w:color w:val="000000"/>
          <w:sz w:val="28"/>
          <w:szCs w:val="28"/>
        </w:rPr>
        <w:t xml:space="preserve">履约保证金不予退还的情形：若乙方未能履约或合同期内乙方给甲方造成的损失超出履约保证金的额度，甲方有权不予退还。</w:t>
      </w:r>
      <w:r/>
    </w:p>
    <w:p>
      <w:pPr>
        <w:ind w:firstLine="0"/>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四、技术资料</w:t>
      </w:r>
      <w:r/>
    </w:p>
    <w:p>
      <w:pPr>
        <w:ind w:firstLine="420"/>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1.乙方应按招标文件规定的时间向甲方提供使用货物(包含与货物相关的服务)的有关技术资料。</w:t>
      </w:r>
      <w:r/>
    </w:p>
    <w:p>
      <w:pPr>
        <w:ind w:firstLine="420"/>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0"/>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五、知识产权</w:t>
      </w:r>
      <w:r/>
    </w:p>
    <w:p>
      <w:pPr>
        <w:ind w:firstLine="420"/>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0"/>
        <w:jc w:val="left"/>
        <w:spacing w:line="360" w:lineRule="auto"/>
        <w:rPr>
          <w:rFonts w:hint="eastAsia" w:ascii="宋体" w:hAnsi="宋体" w:eastAsia="宋体" w:cs="宋体"/>
          <w:b/>
          <w:bCs/>
          <w:color w:val="000000"/>
          <w:sz w:val="28"/>
          <w:szCs w:val="28"/>
          <w:lang w:val="zh-CN"/>
        </w:rPr>
      </w:pPr>
      <w:r>
        <w:rPr>
          <w:rFonts w:hint="eastAsia" w:ascii="宋体" w:hAnsi="宋体" w:eastAsia="宋体" w:cs="宋体"/>
          <w:bCs/>
          <w:color w:val="000000"/>
          <w:sz w:val="28"/>
          <w:szCs w:val="28"/>
        </w:rPr>
        <w:t xml:space="preserve">六、</w:t>
      </w:r>
      <w:r>
        <w:rPr>
          <w:rFonts w:hint="eastAsia" w:ascii="宋体" w:hAnsi="宋体" w:eastAsia="宋体" w:cs="宋体"/>
          <w:b/>
          <w:bCs/>
          <w:color w:val="000000"/>
          <w:sz w:val="28"/>
          <w:szCs w:val="28"/>
          <w:lang w:val="zh-CN"/>
        </w:rPr>
        <w:t xml:space="preserve">质量保证</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zh-CN"/>
        </w:rPr>
        <w:t xml:space="preserve">.乙方所提供的服务的技术条款应与采购文件规定的技术条款及所附的“技术条款偏离表”相一致；若技术性能无特殊说明，则按国家有关部门最新颁布的标准及规范为准。</w:t>
      </w:r>
      <w:r/>
    </w:p>
    <w:p>
      <w:pPr>
        <w:ind w:firstLine="422"/>
        <w:jc w:val="left"/>
        <w:spacing w:line="360" w:lineRule="auto"/>
        <w:rPr>
          <w:rFonts w:hint="eastAsia" w:ascii="宋体" w:hAnsi="宋体" w:eastAsia="宋体" w:cs="宋体"/>
          <w:sz w:val="28"/>
          <w:szCs w:val="28"/>
          <w:highlight w:val="yellow"/>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zh-CN"/>
        </w:rPr>
        <w:t xml:space="preserve">.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sz w:val="28"/>
          <w:szCs w:val="28"/>
        </w:rPr>
        <w:t xml:space="preserve">在使用过程中，一但发现乙方所提供的货物不符合以上约定，乙方无条件接受甲方退货，并按第十条承担违约责任。</w:t>
      </w:r>
      <w:r/>
    </w:p>
    <w:p>
      <w:pPr>
        <w:ind w:firstLine="0"/>
        <w:jc w:val="left"/>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七、包装要求</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360" w:lineRule="auto"/>
        <w:rPr>
          <w:rFonts w:hint="eastAsia" w:ascii="宋体" w:hAnsi="宋体" w:eastAsia="宋体" w:cs="宋体"/>
          <w:b/>
          <w:bCs/>
          <w:color w:val="000000"/>
          <w:sz w:val="28"/>
          <w:szCs w:val="28"/>
          <w:lang w:val="zh-CN"/>
        </w:rPr>
      </w:pPr>
      <w:r>
        <w:rPr>
          <w:rFonts w:hint="eastAsia" w:ascii="宋体" w:hAnsi="宋体" w:eastAsia="宋体" w:cs="宋体"/>
          <w:color w:val="000000"/>
          <w:sz w:val="28"/>
          <w:szCs w:val="28"/>
        </w:rPr>
        <w:t xml:space="preserve">2.每一包装单元内应附详细的装箱单和质量合格凭证。</w:t>
      </w:r>
      <w:r/>
    </w:p>
    <w:p>
      <w:pPr>
        <w:ind w:firstLine="0"/>
        <w:jc w:val="left"/>
        <w:spacing w:line="360" w:lineRule="auto"/>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rPr>
        <w:t xml:space="preserve">八、</w:t>
      </w:r>
      <w:r>
        <w:rPr>
          <w:rFonts w:hint="eastAsia" w:ascii="宋体" w:hAnsi="宋体" w:eastAsia="宋体" w:cs="宋体"/>
          <w:b/>
          <w:bCs/>
          <w:color w:val="000000"/>
          <w:sz w:val="28"/>
          <w:szCs w:val="28"/>
          <w:lang w:val="zh-CN"/>
        </w:rPr>
        <w:t xml:space="preserve">交付和验收</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w:t>
      </w:r>
      <w:r>
        <w:rPr>
          <w:rFonts w:hint="eastAsia" w:ascii="宋体" w:hAnsi="宋体" w:eastAsia="宋体" w:cs="宋体"/>
          <w:sz w:val="28"/>
          <w:szCs w:val="28"/>
        </w:rPr>
        <w:t xml:space="preserve">乙方应当在合同签定后在</w:t>
      </w:r>
      <w:r>
        <w:rPr>
          <w:rFonts w:hint="eastAsia" w:ascii="宋体" w:hAnsi="宋体" w:cs="宋体"/>
          <w:color w:val="000000"/>
          <w:sz w:val="28"/>
          <w:szCs w:val="28"/>
          <w:highlight w:val="yellow"/>
          <w:u w:val="single"/>
          <w:lang w:val="en-US" w:eastAsia="zh-CN"/>
        </w:rPr>
        <w:t xml:space="preserve">100</w:t>
      </w:r>
      <w:r>
        <w:rPr>
          <w:rFonts w:hint="eastAsia" w:ascii="宋体" w:hAnsi="宋体" w:eastAsia="宋体" w:cs="宋体"/>
          <w:color w:val="000000"/>
          <w:sz w:val="28"/>
          <w:szCs w:val="28"/>
          <w:highlight w:val="yellow"/>
          <w:u w:val="single"/>
          <w:lang w:val="en-US" w:eastAsia="zh-CN"/>
        </w:rPr>
        <w:t xml:space="preserve">日历天内</w:t>
      </w:r>
      <w:r>
        <w:rPr>
          <w:rFonts w:hint="eastAsia" w:ascii="宋体" w:hAnsi="宋体" w:eastAsia="宋体" w:cs="宋体"/>
          <w:sz w:val="28"/>
          <w:szCs w:val="28"/>
        </w:rPr>
        <w:t xml:space="preserve">全部安装调试完毕交付甲方，甲方应在5个工作日内进行质量验收。验收合格的，由甲方签署验收单并加盖公章。招标文件有约定的，从其约定；</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3.货物的到货验收包括：型号、规格、数量、外观质量及货物包装是否完好。 </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5.货物和系统调试验收的标准：按行业通行标准、厂方出厂标准和乙方投标（响应）文件的承诺（详见合同附件载明的标准，并不低于国家相关标准）。</w:t>
      </w:r>
      <w:r/>
    </w:p>
    <w:p>
      <w:pPr>
        <w:ind w:firstLine="0"/>
        <w:jc w:val="left"/>
        <w:spacing w:line="360" w:lineRule="auto"/>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rPr>
        <w:t xml:space="preserve">九、</w:t>
      </w:r>
      <w:r>
        <w:rPr>
          <w:rFonts w:hint="eastAsia" w:ascii="宋体" w:hAnsi="宋体" w:eastAsia="宋体" w:cs="宋体"/>
          <w:b/>
          <w:bCs/>
          <w:color w:val="000000"/>
          <w:sz w:val="28"/>
          <w:szCs w:val="28"/>
          <w:lang w:val="zh-CN"/>
        </w:rPr>
        <w:t xml:space="preserve">伴随服务／售后服务 </w:t>
      </w:r>
      <w:r/>
    </w:p>
    <w:p>
      <w:pPr>
        <w:ind w:firstLine="42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本合同货物的免费质保年限：免费质保</w:t>
      </w:r>
      <w:r>
        <w:rPr>
          <w:rFonts w:hint="eastAsia" w:ascii="宋体" w:hAnsi="宋体" w:eastAsia="宋体" w:cs="宋体"/>
          <w:color w:val="000000"/>
          <w:sz w:val="28"/>
          <w:szCs w:val="28"/>
          <w:u w:val="single"/>
        </w:rPr>
        <w:t xml:space="preserve"> </w:t>
      </w:r>
      <w:r>
        <w:rPr>
          <w:rFonts w:hint="eastAsia" w:ascii="宋体" w:hAnsi="宋体" w:cs="宋体"/>
          <w:color w:val="000000"/>
          <w:sz w:val="28"/>
          <w:szCs w:val="28"/>
          <w:highlight w:val="yellow"/>
          <w:u w:val="single"/>
          <w:lang w:val="en-US" w:eastAsia="zh-CN"/>
        </w:rPr>
        <w:t xml:space="preserve">贰</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lang w:val="zh-CN"/>
        </w:rPr>
        <w:t xml:space="preserve">年，</w:t>
      </w:r>
      <w:r>
        <w:rPr>
          <w:rFonts w:hint="eastAsia" w:ascii="宋体" w:hAnsi="宋体" w:eastAsia="宋体" w:cs="宋体"/>
          <w:color w:val="000000"/>
          <w:sz w:val="28"/>
          <w:szCs w:val="28"/>
          <w:highlight w:val="yellow"/>
          <w:lang w:val="zh-CN"/>
        </w:rPr>
        <w:t xml:space="preserve">软件终身免费升级</w:t>
      </w:r>
      <w:r>
        <w:rPr>
          <w:rFonts w:hint="eastAsia" w:ascii="宋体" w:hAnsi="宋体" w:eastAsia="宋体" w:cs="宋体"/>
          <w:color w:val="000000"/>
          <w:sz w:val="28"/>
          <w:szCs w:val="28"/>
          <w:lang w:val="zh-CN"/>
        </w:rPr>
        <w:t xml:space="preserve">。</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乙方应按照国家有关法律法规规章和“三包”规定，以及合同所附的“服务承诺”提供服务。 </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除前款规定外，乙方还应提供下列服务： </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（1）货物的现场安装、调试和/或启动监督； </w:t>
      </w:r>
      <w:r/>
    </w:p>
    <w:p>
      <w:pPr>
        <w:ind w:firstLine="420"/>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（2）就货物的安装、启动、运行及维护等对甲方人员进行免费培训。</w:t>
      </w:r>
      <w:r/>
    </w:p>
    <w:p>
      <w:pPr>
        <w:ind w:firstLine="420"/>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（3）乙方接到甲方故障报告后，应在按规定的服务水平和响应速度到达现场进行处理。乙方应严格遵守服务合约的目标在最短时间内恢复系统正常运行。</w:t>
      </w:r>
      <w:r/>
    </w:p>
    <w:p>
      <w:pPr>
        <w:ind w:firstLine="420"/>
        <w:spacing w:line="360" w:lineRule="auto"/>
        <w:rPr>
          <w:rFonts w:hint="eastAsia" w:ascii="宋体" w:hAnsi="宋体" w:eastAsia="宋体" w:cs="宋体"/>
          <w:color w:val="000000"/>
          <w:sz w:val="28"/>
          <w:szCs w:val="28"/>
          <w:lang w:val="zh-CN"/>
        </w:rPr>
      </w:pPr>
      <w:r>
        <w:rPr>
          <w:rFonts w:hint="eastAsia" w:ascii="宋体" w:hAnsi="宋体" w:eastAsia="宋体" w:cs="宋体"/>
          <w:sz w:val="28"/>
          <w:szCs w:val="28"/>
        </w:rPr>
        <w:t xml:space="preserve">（4）除合同另有规定之外，伴随服务的费用均已含在合同价款中，甲方不再另行进行支付；</w:t>
      </w:r>
      <w:r/>
    </w:p>
    <w:p>
      <w:pPr>
        <w:ind w:firstLine="420"/>
        <w:jc w:val="left"/>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zh-CN"/>
        </w:rPr>
        <w:t xml:space="preserve">）若招标（采购）文件中不包含有关伴随服务或售后服务的承诺，双方作如下约定： </w:t>
      </w:r>
      <w:r/>
    </w:p>
    <w:p>
      <w:pPr>
        <w:ind w:firstLine="630"/>
        <w:spacing w:line="360" w:lineRule="auto"/>
        <w:rPr>
          <w:rFonts w:hint="eastAsia" w:ascii="宋体" w:hAnsi="宋体" w:eastAsia="宋体" w:cs="宋体"/>
          <w:sz w:val="28"/>
          <w:szCs w:val="28"/>
        </w:rPr>
      </w:pPr>
      <w:r>
        <w:rPr>
          <w:rFonts w:hint="eastAsia" w:ascii="宋体" w:hAnsi="宋体" w:eastAsia="宋体" w:cs="宋体"/>
          <w:sz w:val="28"/>
          <w:szCs w:val="28"/>
        </w:rPr>
        <w:t xml:space="preserve">①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指定；</w:t>
      </w:r>
      <w:r/>
    </w:p>
    <w:p>
      <w:pPr>
        <w:ind w:firstLine="525"/>
        <w:spacing w:line="360" w:lineRule="auto"/>
        <w:rPr>
          <w:rFonts w:hint="eastAsia" w:ascii="宋体" w:hAnsi="宋体" w:eastAsia="宋体" w:cs="宋体"/>
          <w:sz w:val="28"/>
          <w:szCs w:val="28"/>
        </w:rPr>
      </w:pPr>
      <w:r>
        <w:rPr>
          <w:rFonts w:hint="eastAsia" w:ascii="宋体" w:hAnsi="宋体" w:eastAsia="宋体" w:cs="宋体"/>
          <w:sz w:val="28"/>
          <w:szCs w:val="28"/>
        </w:rPr>
        <w:t xml:space="preserve">②所购货物按乙方投标承诺提供免费维护和质量保证，保修费用计入总价；</w:t>
      </w:r>
      <w:r/>
    </w:p>
    <w:p>
      <w:pPr>
        <w:ind w:firstLine="525"/>
        <w:spacing w:line="360" w:lineRule="auto"/>
        <w:rPr>
          <w:rFonts w:hint="eastAsia" w:ascii="宋体" w:hAnsi="宋体" w:eastAsia="宋体" w:cs="宋体"/>
          <w:sz w:val="28"/>
          <w:szCs w:val="28"/>
        </w:rPr>
      </w:pPr>
      <w:r>
        <w:rPr>
          <w:rFonts w:hint="eastAsia" w:ascii="宋体" w:hAnsi="宋体" w:eastAsia="宋体" w:cs="宋体"/>
          <w:sz w:val="28"/>
          <w:szCs w:val="28"/>
        </w:rPr>
        <w:t xml:space="preserve">③保修期内，乙方负责对其提供的货物整机进行维修和系统维护，不再收取任何费用，但不可抗力（如火灾、雷击等）造成的故障除外；</w:t>
      </w:r>
      <w:r/>
    </w:p>
    <w:p>
      <w:pPr>
        <w:ind w:firstLine="525"/>
        <w:spacing w:line="360" w:lineRule="auto"/>
        <w:rPr>
          <w:rFonts w:hint="eastAsia" w:ascii="宋体" w:hAnsi="宋体" w:eastAsia="宋体" w:cs="宋体"/>
          <w:sz w:val="28"/>
          <w:szCs w:val="28"/>
        </w:rPr>
      </w:pPr>
      <w:r>
        <w:rPr>
          <w:rFonts w:hint="eastAsia" w:ascii="宋体" w:hAnsi="宋体" w:eastAsia="宋体" w:cs="宋体"/>
          <w:sz w:val="28"/>
          <w:szCs w:val="28"/>
        </w:rPr>
        <w:t xml:space="preserve">④货物故障报修的响应时间按乙方投标承诺执行；</w:t>
      </w:r>
      <w:r/>
    </w:p>
    <w:p>
      <w:pPr>
        <w:ind w:firstLine="525"/>
        <w:spacing w:line="360" w:lineRule="auto"/>
        <w:rPr>
          <w:rFonts w:hint="eastAsia" w:ascii="宋体" w:hAnsi="宋体" w:eastAsia="宋体" w:cs="宋体"/>
          <w:sz w:val="28"/>
          <w:szCs w:val="28"/>
        </w:rPr>
      </w:pPr>
      <w:r>
        <w:rPr>
          <w:rFonts w:hint="eastAsia" w:ascii="宋体" w:hAnsi="宋体" w:eastAsia="宋体" w:cs="宋体"/>
          <w:sz w:val="28"/>
          <w:szCs w:val="28"/>
        </w:rPr>
        <w:t xml:space="preserve">⑤若货物故障在检修8 工作小时后仍无法排除，乙方应在48 小时内免费提供不低于故障货物规格型号档次的备用货物供甲方使用，直至故障货物修复；</w:t>
      </w:r>
      <w:r/>
    </w:p>
    <w:p>
      <w:pPr>
        <w:ind w:firstLine="525"/>
        <w:spacing w:line="360" w:lineRule="auto"/>
        <w:rPr>
          <w:rFonts w:hint="eastAsia" w:ascii="宋体" w:hAnsi="宋体" w:eastAsia="宋体" w:cs="宋体"/>
          <w:sz w:val="28"/>
          <w:szCs w:val="28"/>
          <w:highlight w:val="none"/>
        </w:rPr>
      </w:pPr>
      <w:r>
        <w:rPr>
          <w:rFonts w:hint="eastAsia" w:ascii="宋体" w:hAnsi="宋体" w:eastAsia="宋体" w:cs="宋体"/>
          <w:sz w:val="28"/>
          <w:szCs w:val="28"/>
        </w:rPr>
        <w:t xml:space="preserve">⑥所有货物保修服务方式均为乙方主动上门保修，即由乙方派员到货物使用</w:t>
      </w:r>
      <w:r>
        <w:rPr>
          <w:rFonts w:hint="eastAsia" w:ascii="宋体" w:hAnsi="宋体" w:eastAsia="宋体" w:cs="宋体"/>
          <w:sz w:val="28"/>
          <w:szCs w:val="28"/>
          <w:highlight w:val="none"/>
        </w:rPr>
        <w:t xml:space="preserve">现场维修，由此产生的一切费用均由乙方承担；</w:t>
      </w:r>
      <w:r/>
    </w:p>
    <w:p>
      <w:pPr>
        <w:ind w:firstLine="420"/>
        <w:jc w:val="left"/>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sz w:val="28"/>
          <w:szCs w:val="28"/>
          <w:highlight w:val="none"/>
        </w:rPr>
        <w:t xml:space="preserve">⑦保修期后的货物维护由双方协商再定。</w:t>
      </w:r>
      <w:r/>
    </w:p>
    <w:p>
      <w:pPr>
        <w:ind w:firstLine="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十、违约责任</w:t>
      </w:r>
      <w:r/>
    </w:p>
    <w:p>
      <w:pPr>
        <w:ind w:firstLine="31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（1）合同一方不履行合同义务或者履行合同义务不符合约定的，应当承担继续履行、采取补救措施或者赔偿损失等违约责任。如果乙方未能履行合同规定的任何义务，甲方有权取得补偿。</w:t>
      </w:r>
      <w:r/>
    </w:p>
    <w:p>
      <w:pPr>
        <w:ind w:firstLine="52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①甲方违反合同规定，无正当理由拒收货物的，甲方向乙方偿付拒收合同款总值的百分之五违约金；</w:t>
      </w:r>
      <w:r/>
    </w:p>
    <w:p>
      <w:pPr>
        <w:ind w:firstLine="52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②乙方逾期交货的，应与甲方协商，甲方仍需求的，乙方应立即发货并应按照逾期交货部分货款的每天万分之四支付逾期交货违约金，同时承担甲方因此遭致的损失费用；</w:t>
      </w:r>
      <w:r/>
    </w:p>
    <w:p>
      <w:pPr>
        <w:ind w:firstLine="52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乙方不能交货（逾期超过五天视为不能交货）、交货不合格或不符合合同约定的，甲方有权解除合同，乙方返还甲方已支付货款，并向甲方偿付合同款总值的百分之五违约金，违约金不足以补偿损失的甲方有权要求乙方补足；因交货不合格或不符合合同约定的，乙方应在收到甲方发出解除合同通知之日起五日内，自行承担退货所引发的一切费用。甲方不承担因解除合同导致乙方产生的一切损失。</w:t>
      </w:r>
      <w:r/>
    </w:p>
    <w:p>
      <w:pPr>
        <w:ind w:firstLine="359"/>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乙方所提供的货物或其任何一部分侵犯第三方的知识产权，或者所有权不完整（指乙方完全能处分所提供的货物，该货物不存在任何抵押、查封等产权瑕疵），乙方应向甲方支付已付货款部分百分之五违约金；导致甲方、</w:t>
      </w:r>
      <w:r>
        <w:rPr>
          <w:rFonts w:hint="eastAsia" w:ascii="宋体" w:hAnsi="宋体" w:eastAsia="宋体" w:cs="宋体"/>
          <w:bCs/>
          <w:sz w:val="28"/>
          <w:szCs w:val="28"/>
          <w:highlight w:val="none"/>
        </w:rPr>
        <w:t xml:space="preserve">采购代理机构</w:t>
      </w:r>
      <w:r>
        <w:rPr>
          <w:rFonts w:hint="eastAsia" w:ascii="宋体" w:hAnsi="宋体" w:eastAsia="宋体" w:cs="宋体"/>
          <w:sz w:val="28"/>
          <w:szCs w:val="28"/>
          <w:highlight w:val="none"/>
        </w:rPr>
        <w:t xml:space="preserve">为此参与诉讼或仲裁，乙方另应支付甲方、</w:t>
      </w:r>
      <w:r>
        <w:rPr>
          <w:rFonts w:hint="eastAsia" w:ascii="宋体" w:hAnsi="宋体" w:eastAsia="宋体" w:cs="宋体"/>
          <w:bCs/>
          <w:sz w:val="28"/>
          <w:szCs w:val="28"/>
          <w:highlight w:val="none"/>
        </w:rPr>
        <w:t xml:space="preserve">采购代理机构</w:t>
      </w:r>
      <w:r>
        <w:rPr>
          <w:rFonts w:hint="eastAsia" w:ascii="宋体" w:hAnsi="宋体" w:eastAsia="宋体" w:cs="宋体"/>
          <w:sz w:val="28"/>
          <w:szCs w:val="28"/>
          <w:highlight w:val="none"/>
        </w:rPr>
        <w:t xml:space="preserve">为此引发的律师费、诉讼费、调查费、差旅费等一切费用。</w:t>
      </w:r>
      <w:r/>
    </w:p>
    <w:p>
      <w:pPr>
        <w:ind w:firstLine="0"/>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十一、争议的解决</w:t>
      </w:r>
      <w:r/>
    </w:p>
    <w:p>
      <w:pPr>
        <w:ind w:firstLine="315"/>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（1）因货物的质量问题发生争议的，应当邀请国家认可的质量检测机构对货物质量进行鉴定。货物符合标准的，鉴定费由甲方承担；货物不符合质量标准的，鉴定费由乙方承担；</w:t>
      </w:r>
      <w:r/>
    </w:p>
    <w:p>
      <w:pPr>
        <w:ind w:firstLine="315"/>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（2）因履行本合同引起的或与本合同有关的争议，甲、乙双方应首先通过友好协商解决，如果协商不能解决争议，向甲方所在地有管辖权的人民法院提起诉讼。</w:t>
      </w:r>
      <w:r/>
    </w:p>
    <w:p>
      <w:pPr>
        <w:ind w:firstLine="0"/>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十二、组成合同的文件</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本协议书与下列文件一起构成合同文件，如下述文件之间有任何抵触、矛盾或歧义，应按以下顺序解释：</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（1）政府采购合同协议书及其变更、补充协议</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（2）政府采购合同专用条款</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（3）政府采购合同通用条款</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（4）中标（成交）通知书</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（5）投标（响应）文件</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（6）采购文件</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（7）有关技术文件，图纸</w:t>
      </w:r>
      <w:r/>
    </w:p>
    <w:p>
      <w:pPr>
        <w:ind w:firstLine="42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（8）</w:t>
      </w:r>
      <w:r>
        <w:rPr>
          <w:rFonts w:hint="eastAsia" w:ascii="宋体" w:hAnsi="宋体" w:eastAsia="宋体" w:cs="宋体"/>
          <w:color w:val="000000"/>
          <w:sz w:val="28"/>
          <w:szCs w:val="28"/>
          <w:highlight w:val="none"/>
          <w:lang w:val="en-US" w:eastAsia="zh-CN" w:bidi="ar-SA"/>
        </w:rPr>
        <w:t xml:space="preserve">国家法律、行政法规和规章制度规定或合同约定的作为合同组成部分的其他文件</w:t>
      </w:r>
      <w:r/>
    </w:p>
    <w:p>
      <w:pPr>
        <w:ind w:firstLine="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十三、附加条款</w:t>
      </w:r>
      <w:r/>
    </w:p>
    <w:p>
      <w:pPr>
        <w:ind w:firstLine="525"/>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（1）本项目不得分包、转包，如有分包、转包，一旦查实甲方有权终止合同.</w:t>
      </w:r>
      <w:r/>
    </w:p>
    <w:p>
      <w:pPr>
        <w:ind w:firstLine="525"/>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（2）该项目建设过程中，乙方在项目建设过程中必须服从常州市公安局金坛分局的统一协调。</w:t>
      </w:r>
      <w:r>
        <w:rPr>
          <w:rFonts w:hint="eastAsia" w:ascii="宋体" w:hAnsi="宋体" w:cs="宋体"/>
          <w:sz w:val="28"/>
          <w:szCs w:val="28"/>
          <w:highlight w:val="none"/>
          <w:lang w:val="en-US" w:eastAsia="zh-CN" w:bidi="ar-SA"/>
        </w:rPr>
        <w:t xml:space="preserve">项目验收过程中，乙方必须配合甲方完成监控系统向</w:t>
      </w:r>
      <w:r>
        <w:rPr>
          <w:rFonts w:hint="eastAsia" w:ascii="宋体" w:hAnsi="宋体" w:eastAsia="宋体" w:cs="宋体"/>
          <w:sz w:val="28"/>
          <w:szCs w:val="28"/>
          <w:highlight w:val="none"/>
          <w:lang w:val="en-US" w:eastAsia="zh-CN" w:bidi="ar-SA"/>
        </w:rPr>
        <w:t xml:space="preserve">常州市公安局金坛分局</w:t>
      </w:r>
      <w:r>
        <w:rPr>
          <w:rFonts w:hint="eastAsia" w:ascii="宋体" w:hAnsi="宋体" w:cs="宋体"/>
          <w:sz w:val="28"/>
          <w:szCs w:val="28"/>
          <w:highlight w:val="none"/>
          <w:lang w:val="en-US" w:eastAsia="zh-CN" w:bidi="ar-SA"/>
        </w:rPr>
        <w:t xml:space="preserve">的移交，以及三网系统通过常州市通信行业协会金坛区通信基础设施共建共享办公室验收的相关工作。</w:t>
      </w:r>
      <w:r>
        <w:rPr>
          <w:rFonts w:hint="eastAsia" w:ascii="宋体" w:hAnsi="宋体" w:eastAsia="宋体" w:cs="宋体"/>
          <w:sz w:val="28"/>
          <w:szCs w:val="28"/>
          <w:highlight w:val="none"/>
          <w:lang w:val="en-US" w:eastAsia="zh-CN" w:bidi="ar-SA"/>
        </w:rPr>
        <w:t xml:space="preserve">对项目实施过程中出现的不配合导致项目推进困难的，甲方有权终止合作，重新选择合作单位，并保留追究赔偿责任的权力。</w:t>
      </w:r>
      <w:r/>
    </w:p>
    <w:p>
      <w:pPr>
        <w:ind w:firstLine="525"/>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（3）乙方应充分考虑项目建设期产品更新换代甚至停产的风险，项目建设期内如遇产品此类风险，应无条件升级或更换符合甲方要求的产品，甲方不另行支付费用。</w:t>
      </w:r>
      <w:r/>
    </w:p>
    <w:p>
      <w:pPr>
        <w:ind w:firstLine="525"/>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（4）乙方安装队伍必须满足项目质量、进度和文明安装等方面的要求，设备供应、安装期间，机械、人身安全由乙方负责。在项目建设维护过程中发生的安全事故及纠纷均由乙方负责解决，并承担相应责任</w:t>
      </w:r>
      <w:r>
        <w:rPr>
          <w:rFonts w:hint="eastAsia" w:ascii="宋体" w:hAnsi="宋体" w:cs="宋体"/>
          <w:sz w:val="28"/>
          <w:szCs w:val="28"/>
          <w:highlight w:val="none"/>
          <w:lang w:val="en-US" w:eastAsia="zh-CN" w:bidi="ar-SA"/>
        </w:rPr>
        <w:t xml:space="preserve">。</w:t>
      </w:r>
      <w:r>
        <w:rPr>
          <w:rFonts w:hint="eastAsia" w:ascii="宋体" w:hAnsi="宋体" w:eastAsia="宋体" w:cs="宋体"/>
          <w:sz w:val="28"/>
          <w:szCs w:val="28"/>
          <w:highlight w:val="none"/>
          <w:lang w:val="en-US" w:eastAsia="zh-CN" w:bidi="ar-SA"/>
        </w:rPr>
        <w:t xml:space="preserve">。</w:t>
      </w:r>
      <w:r/>
    </w:p>
    <w:p>
      <w:pPr>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十四、合同生效及其它</w:t>
      </w:r>
      <w:r/>
    </w:p>
    <w:p>
      <w:pPr>
        <w:ind w:firstLine="315"/>
        <w:spacing w:line="360" w:lineRule="auto"/>
        <w:rPr>
          <w:rFonts w:hint="eastAsia" w:ascii="宋体" w:hAnsi="宋体" w:eastAsia="宋体" w:cs="宋体"/>
          <w:b/>
          <w:sz w:val="28"/>
          <w:szCs w:val="28"/>
        </w:rPr>
      </w:pPr>
      <w:r>
        <w:rPr>
          <w:rFonts w:hint="eastAsia" w:ascii="宋体" w:hAnsi="宋体" w:eastAsia="宋体" w:cs="宋体"/>
          <w:sz w:val="28"/>
          <w:szCs w:val="28"/>
        </w:rPr>
        <w:t xml:space="preserve">（1）合同经甲乙双方法定代表人（或托代理人）签字（或盖章）并加盖CA电子公章（或合同章）后生效；</w:t>
      </w:r>
      <w:r/>
    </w:p>
    <w:p>
      <w:pPr>
        <w:ind w:firstLine="315"/>
        <w:spacing w:line="360" w:lineRule="auto"/>
        <w:rPr>
          <w:rFonts w:hint="eastAsia" w:ascii="宋体" w:hAnsi="宋体" w:eastAsia="宋体" w:cs="宋体"/>
          <w:sz w:val="28"/>
          <w:szCs w:val="28"/>
        </w:rPr>
      </w:pPr>
      <w:r>
        <w:rPr>
          <w:rFonts w:hint="eastAsia" w:ascii="宋体" w:hAnsi="宋体" w:eastAsia="宋体" w:cs="宋体"/>
          <w:sz w:val="28"/>
          <w:szCs w:val="28"/>
        </w:rPr>
        <w:t xml:space="preserve">（2）除《中华人民共和国政府采购法》 第50 条第二款规定的情形外，本合同一经签订，甲乙双方不得擅自变更、中止本合同；</w:t>
      </w:r>
      <w:r/>
    </w:p>
    <w:p>
      <w:pPr>
        <w:ind w:firstLine="315"/>
        <w:spacing w:line="360" w:lineRule="auto"/>
        <w:rPr>
          <w:rFonts w:hint="eastAsia" w:ascii="宋体" w:hAnsi="宋体" w:eastAsia="宋体" w:cs="宋体"/>
          <w:sz w:val="28"/>
          <w:szCs w:val="28"/>
        </w:rPr>
      </w:pPr>
      <w:r>
        <w:rPr>
          <w:rFonts w:hint="eastAsia" w:ascii="宋体" w:hAnsi="宋体" w:eastAsia="宋体" w:cs="宋体"/>
          <w:sz w:val="28"/>
          <w:szCs w:val="28"/>
        </w:rPr>
        <w:t xml:space="preserve">（3）除发生不可抗力情况或因法律、政策原因导致甲方不能履行合同外，甲乙双方不得放弃或拒绝履行合同。乙方放弃或拒绝履行合同，</w:t>
      </w:r>
      <w:r>
        <w:rPr>
          <w:rFonts w:hint="eastAsia" w:ascii="宋体" w:hAnsi="宋体" w:eastAsia="宋体" w:cs="宋体"/>
          <w:spacing w:val="6"/>
          <w:sz w:val="28"/>
          <w:szCs w:val="28"/>
        </w:rPr>
        <w:t xml:space="preserve">采购代理机构按相关的法律、法规处罚；</w:t>
      </w:r>
      <w:r/>
    </w:p>
    <w:p>
      <w:pPr>
        <w:ind w:firstLine="315"/>
        <w:spacing w:line="360" w:lineRule="auto"/>
        <w:rPr>
          <w:rFonts w:hint="eastAsia" w:ascii="宋体" w:hAnsi="宋体" w:eastAsia="宋体" w:cs="宋体"/>
          <w:sz w:val="28"/>
          <w:szCs w:val="28"/>
        </w:rPr>
      </w:pPr>
      <w:r>
        <w:rPr>
          <w:rFonts w:hint="eastAsia" w:ascii="宋体" w:hAnsi="宋体" w:eastAsia="宋体" w:cs="宋体"/>
          <w:sz w:val="28"/>
          <w:szCs w:val="28"/>
        </w:rPr>
        <w:t xml:space="preserve">（4）合同在执行过程中出现的未尽事宜，双方在不违背本合同和招标文件的原则下协商解决，协商结果以书面形式盖章记录在案，作为本合同的附件，与本合同具有同等效力；</w:t>
      </w:r>
      <w:r/>
    </w:p>
    <w:p>
      <w:pPr>
        <w:ind w:firstLine="315"/>
        <w:spacing w:line="360" w:lineRule="auto"/>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color w:val="000000"/>
          <w:sz w:val="28"/>
          <w:szCs w:val="28"/>
        </w:rPr>
        <w:t xml:space="preserve">合同正本一式陆份，</w:t>
      </w:r>
      <w:r>
        <w:rPr>
          <w:rFonts w:hint="eastAsia" w:ascii="宋体" w:hAnsi="宋体" w:eastAsia="宋体" w:cs="宋体"/>
          <w:sz w:val="28"/>
          <w:szCs w:val="28"/>
        </w:rPr>
        <w:t xml:space="preserve">具有同等法律效力，甲乙双方各执贰份，</w:t>
      </w:r>
      <w:r>
        <w:rPr>
          <w:rFonts w:hint="eastAsia" w:ascii="宋体" w:hAnsi="宋体" w:eastAsia="宋体" w:cs="宋体"/>
          <w:bCs/>
          <w:sz w:val="28"/>
          <w:szCs w:val="28"/>
        </w:rPr>
        <w:t xml:space="preserve">采购代理机构贰</w:t>
      </w:r>
      <w:r>
        <w:rPr>
          <w:rFonts w:hint="eastAsia" w:ascii="宋体" w:hAnsi="宋体" w:eastAsia="宋体" w:cs="宋体"/>
          <w:sz w:val="28"/>
          <w:szCs w:val="28"/>
        </w:rPr>
        <w:t xml:space="preserve">份；</w:t>
      </w:r>
      <w:r/>
    </w:p>
    <w:tbl>
      <w:tblPr>
        <w:tblStyle w:val="708"/>
        <w:tblpPr w:horzAnchor="page" w:tblpX="1017" w:vertAnchor="text" w:tblpY="524" w:leftFromText="180" w:topFromText="0" w:rightFromText="180" w:bottomFromText="0"/>
        <w:tblW w:w="4922"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26"/>
        <w:gridCol w:w="2796"/>
        <w:gridCol w:w="2675"/>
        <w:gridCol w:w="1811"/>
      </w:tblGrid>
      <w:tr>
        <w:trPr>
          <w:trHeight w:val="490"/>
        </w:trPr>
        <w:tc>
          <w:tcPr>
            <w:gridSpan w:val="2"/>
            <w:tcW w:w="526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甲方（采购人、受采购人委托签订合同的单位或采购文件约定的合同甲方）</w:t>
            </w:r>
            <w:r/>
          </w:p>
        </w:tc>
        <w:tc>
          <w:tcPr>
            <w:gridSpan w:val="2"/>
            <w:tcW w:w="443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乙方（供应商）</w:t>
            </w:r>
            <w:r/>
          </w:p>
        </w:tc>
      </w:tr>
      <w:tr>
        <w:trPr>
          <w:trHeight w:val="917"/>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单位名称（公章或合同章）</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单位名称（公章或合同章）</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1171"/>
        </w:trPr>
        <w:tc>
          <w:tcPr>
            <w:tcW w:w="249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W w:w="276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83"/>
        </w:trPr>
        <w:tc>
          <w:tcPr>
            <w:tcW w:w="249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76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拥有者性别</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住  所</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住  所</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通信地址</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通信地址</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开户名称</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开户银行</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银行账号</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W w:w="249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日期</w:t>
            </w:r>
            <w:r/>
          </w:p>
        </w:tc>
        <w:tc>
          <w:tcPr>
            <w:tcW w:w="276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4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日期</w:t>
            </w:r>
            <w:r/>
          </w:p>
        </w:tc>
        <w:tc>
          <w:tcPr>
            <w:tcW w:w="179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bl>
    <w:p>
      <w:pPr>
        <w:ind w:firstLine="315"/>
        <w:spacing w:line="360" w:lineRule="auto"/>
        <w:rPr>
          <w:rFonts w:hint="eastAsia" w:ascii="宋体" w:hAnsi="宋体" w:eastAsia="宋体" w:cs="宋体"/>
          <w:sz w:val="28"/>
          <w:szCs w:val="28"/>
        </w:rPr>
      </w:pPr>
      <w:r>
        <w:rPr>
          <w:rFonts w:hint="eastAsia" w:ascii="宋体" w:hAnsi="宋体" w:eastAsia="宋体" w:cs="宋体"/>
          <w:sz w:val="28"/>
          <w:szCs w:val="28"/>
        </w:rPr>
        <w:t xml:space="preserve">（6）本合同应按照中华人民共和国的现行法律进行解释。</w:t>
      </w:r>
      <w:r/>
    </w:p>
    <w:p>
      <w:pPr>
        <w:jc w:val="both"/>
        <w:spacing w:line="360" w:lineRule="auto"/>
        <w:rPr>
          <w:rFonts w:hint="eastAsia" w:ascii="宋体" w:hAnsi="宋体" w:eastAsia="宋体" w:cs="宋体"/>
          <w:b w:val="0"/>
          <w:sz w:val="24"/>
          <w:szCs w:val="24"/>
          <w:lang w:val="en-US" w:eastAsia="zh-CN" w:bidi="zh-CN"/>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val="0"/>
          <w:sz w:val="24"/>
          <w:szCs w:val="24"/>
          <w:lang w:val="en-US" w:eastAsia="zh-CN" w:bidi="zh-CN"/>
        </w:rPr>
      </w:r>
      <w:r/>
    </w:p>
    <w:p>
      <w:pPr>
        <w:jc w:val="center"/>
        <w:spacing w:line="360" w:lineRule="auto"/>
        <w:rPr>
          <w:b/>
          <w:sz w:val="24"/>
        </w:rPr>
        <w:outlineLvl w:val="0"/>
      </w:pPr>
      <w:r>
        <w:rPr>
          <w:b/>
          <w:sz w:val="36"/>
          <w:szCs w:val="36"/>
        </w:rPr>
        <w:t xml:space="preserve">第七章   投标文件格式</w:t>
      </w:r>
      <w:bookmarkEnd w:id="818"/>
      <w:r/>
      <w:r/>
    </w:p>
    <w:p>
      <w:pPr>
        <w:ind w:left="142"/>
        <w:spacing w:line="360" w:lineRule="auto"/>
        <w:tabs>
          <w:tab w:val="left" w:pos="900" w:leader="none"/>
          <w:tab w:val="left" w:pos="1980" w:leader="none"/>
        </w:tabs>
        <w:rPr>
          <w:sz w:val="24"/>
        </w:rPr>
      </w:pPr>
      <w:r>
        <w:rPr>
          <w:rFonts w:hint="eastAsia"/>
          <w:b/>
          <w:sz w:val="24"/>
          <w:lang w:eastAsia="zh-CN"/>
        </w:rPr>
        <w:t xml:space="preserve">乙方</w:t>
      </w:r>
      <w:r>
        <w:rPr>
          <w:b/>
          <w:sz w:val="24"/>
        </w:rPr>
        <w:t xml:space="preserve">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p>
    <w:p>
      <w:pPr>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p>
    <w:p>
      <w:pPr>
        <w:jc w:val="center"/>
        <w:spacing w:before="120" w:line="360" w:lineRule="auto"/>
        <w:widowControl/>
      </w:pPr>
      <w:r>
        <w:rPr>
          <w:rFonts w:hint="eastAsia" w:ascii="宋体" w:hAnsi="宋体" w:cs="宋体"/>
          <w:b/>
          <w:sz w:val="28"/>
          <w:szCs w:val="28"/>
        </w:rPr>
        <w:t xml:space="preserve">投标人资格声明函</w:t>
      </w:r>
      <w:r/>
    </w:p>
    <w:p>
      <w:pPr>
        <w:pStyle w:val="905"/>
        <w:ind w:left="0" w:firstLine="480"/>
        <w:jc w:val="both"/>
        <w:spacing w:line="460" w:lineRule="exact"/>
      </w:pPr>
      <w:r>
        <w:rPr>
          <w:rFonts w:hint="eastAsia"/>
        </w:rPr>
        <w:t xml:space="preserve">致：</w:t>
      </w:r>
      <w:r>
        <w:rPr>
          <w:rFonts w:hint="eastAsia"/>
          <w:u w:val="single"/>
        </w:rPr>
        <w:t xml:space="preserve">（采购人名称）</w:t>
      </w:r>
      <w:r/>
    </w:p>
    <w:p>
      <w:pPr>
        <w:pStyle w:val="905"/>
        <w:ind w:left="0" w:firstLine="480"/>
        <w:jc w:val="both"/>
        <w:spacing w:line="460" w:lineRule="exact"/>
      </w:pPr>
      <w:r>
        <w:rPr>
          <w:rFonts w:hint="eastAsia"/>
        </w:rPr>
        <w:t xml:space="preserve">按照《中华人民共和国政府采购法》第二十二条和招标文件的规定，我单位郑重声明如下：</w:t>
      </w:r>
      <w:r/>
    </w:p>
    <w:p>
      <w:pPr>
        <w:pStyle w:val="905"/>
        <w:ind w:left="0" w:firstLine="480"/>
        <w:jc w:val="both"/>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05"/>
        <w:ind w:left="0" w:firstLine="480"/>
        <w:jc w:val="both"/>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905"/>
        <w:ind w:left="0" w:firstLine="480"/>
        <w:jc w:val="both"/>
        <w:spacing w:line="460" w:lineRule="exact"/>
      </w:pPr>
      <w:r>
        <w:rPr>
          <w:rFonts w:hint="eastAsia"/>
        </w:rPr>
        <w:t xml:space="preserve">三、我单位依法进行纳税和社会保险申报并实际履行了义务。</w:t>
      </w:r>
      <w:r/>
    </w:p>
    <w:p>
      <w:pPr>
        <w:pStyle w:val="905"/>
        <w:ind w:left="0" w:firstLine="480"/>
        <w:jc w:val="both"/>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05"/>
        <w:ind w:left="0" w:firstLine="480"/>
        <w:jc w:val="both"/>
        <w:spacing w:line="460" w:lineRule="exact"/>
      </w:pPr>
      <w:r>
        <w:rPr>
          <w:rFonts w:hint="eastAsia"/>
        </w:rPr>
        <w:t xml:space="preserve">主要设备有：</w:t>
      </w:r>
      <w:r>
        <w:rPr>
          <w:u w:val="single"/>
        </w:rPr>
        <w:t xml:space="preserve">            </w:t>
      </w:r>
      <w:r/>
    </w:p>
    <w:p>
      <w:pPr>
        <w:pStyle w:val="905"/>
        <w:ind w:left="0" w:firstLine="480"/>
        <w:jc w:val="both"/>
        <w:spacing w:line="460" w:lineRule="exact"/>
      </w:pPr>
      <w:r>
        <w:rPr>
          <w:rFonts w:hint="eastAsia"/>
        </w:rPr>
        <w:t xml:space="preserve">主要专业技术能力有</w:t>
      </w:r>
      <w:r>
        <w:rPr>
          <w:rFonts w:hint="eastAsia"/>
          <w:u w:val="single"/>
        </w:rPr>
        <w:t xml:space="preserve">                 </w:t>
      </w:r>
      <w:r/>
    </w:p>
    <w:p>
      <w:pPr>
        <w:pStyle w:val="905"/>
        <w:ind w:left="0" w:firstLine="480"/>
        <w:jc w:val="both"/>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05"/>
        <w:ind w:left="0" w:firstLine="480"/>
        <w:jc w:val="both"/>
        <w:spacing w:line="460" w:lineRule="exact"/>
      </w:pPr>
      <w:r>
        <w:rPr>
          <w:rFonts w:hint="eastAsia"/>
        </w:rPr>
        <w:t xml:space="preserve">六、我单位具备法律、行政法规规定的其他条件。</w:t>
      </w:r>
      <w:r/>
    </w:p>
    <w:p>
      <w:pPr>
        <w:pStyle w:val="905"/>
        <w:ind w:left="0" w:firstLine="480"/>
        <w:jc w:val="both"/>
        <w:spacing w:line="460" w:lineRule="exact"/>
      </w:pPr>
      <w:r>
        <w:rPr>
          <w:rFonts w:hint="eastAsia"/>
        </w:rPr>
        <w:t xml:space="preserve">七、与我单位存在“单位负责人为同一人或者存在直接控股、管理关系”的其他单位信息如下（如无此情形的，填写“无”）：</w:t>
      </w:r>
      <w:r/>
    </w:p>
    <w:p>
      <w:pPr>
        <w:pStyle w:val="905"/>
        <w:ind w:left="0" w:firstLine="480"/>
        <w:jc w:val="both"/>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05"/>
        <w:ind w:left="0" w:firstLine="480"/>
        <w:jc w:val="both"/>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05"/>
        <w:ind w:left="0" w:firstLine="480"/>
        <w:jc w:val="both"/>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05"/>
        <w:ind w:left="0" w:firstLine="480"/>
        <w:jc w:val="both"/>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05"/>
        <w:ind w:left="0" w:firstLine="480"/>
        <w:jc w:val="both"/>
        <w:spacing w:line="460" w:lineRule="exact"/>
      </w:pPr>
      <w:r>
        <w:rPr>
          <w:rFonts w:hint="eastAsia"/>
        </w:rPr>
        <w:t xml:space="preserve">九、</w:t>
      </w:r>
      <w:r>
        <w:t xml:space="preserve">我单位无以下不良信用记录情形：</w:t>
      </w:r>
      <w:r/>
    </w:p>
    <w:p>
      <w:pPr>
        <w:pStyle w:val="905"/>
        <w:ind w:left="0" w:firstLine="480"/>
        <w:jc w:val="both"/>
        <w:spacing w:line="460" w:lineRule="exact"/>
      </w:pPr>
      <w:r>
        <w:t xml:space="preserve">1</w:t>
      </w:r>
      <w:r>
        <w:rPr>
          <w:rFonts w:hint="eastAsia"/>
        </w:rPr>
        <w:t xml:space="preserve">、在“信用中国”网站被列入失信被执行人和重大税收违法案件当事人名单；</w:t>
      </w:r>
      <w:r/>
    </w:p>
    <w:p>
      <w:pPr>
        <w:pStyle w:val="905"/>
        <w:ind w:left="0" w:firstLine="480"/>
        <w:jc w:val="both"/>
        <w:spacing w:line="460" w:lineRule="exact"/>
      </w:pPr>
      <w:r>
        <w:t xml:space="preserve">2</w:t>
      </w:r>
      <w:r>
        <w:rPr>
          <w:rFonts w:hint="eastAsia"/>
        </w:rPr>
        <w:t xml:space="preserve">、在“中国政府采购网”网站被列入政府采购严重违法失信行为记录名单；</w:t>
      </w:r>
      <w:r/>
    </w:p>
    <w:p>
      <w:pPr>
        <w:pStyle w:val="905"/>
        <w:ind w:left="0" w:firstLine="480"/>
        <w:jc w:val="both"/>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905"/>
        <w:ind w:left="0" w:firstLine="480"/>
        <w:jc w:val="both"/>
        <w:spacing w:line="460" w:lineRule="exact"/>
      </w:pPr>
      <w:r/>
      <w:r/>
    </w:p>
    <w:p>
      <w:pPr>
        <w:pStyle w:val="905"/>
        <w:ind w:left="0" w:firstLine="480"/>
        <w:jc w:val="both"/>
        <w:spacing w:line="460" w:lineRule="exact"/>
      </w:pPr>
      <w:r>
        <w:rPr>
          <w:rFonts w:hint="eastAsia"/>
        </w:rPr>
        <w:t xml:space="preserve">我单位保证上述声明的事项都是真实的，如有虚假，我单位愿意承担相应的法律责任，并承担因此所造成的一切损失。</w:t>
      </w:r>
      <w:r/>
    </w:p>
    <w:p>
      <w:pPr>
        <w:pStyle w:val="905"/>
        <w:ind w:firstLine="480"/>
        <w:spacing w:line="460" w:lineRule="exact"/>
      </w:pPr>
      <w:r/>
      <w:r/>
    </w:p>
    <w:p>
      <w:pPr>
        <w:pStyle w:val="905"/>
        <w:ind w:firstLine="480"/>
        <w:spacing w:line="460" w:lineRule="exact"/>
      </w:pPr>
      <w:r/>
      <w:r/>
    </w:p>
    <w:p>
      <w:pPr>
        <w:pStyle w:val="905"/>
        <w:ind w:firstLine="480"/>
        <w:spacing w:line="460" w:lineRule="exact"/>
      </w:pPr>
      <w:r>
        <w:rPr>
          <w:rFonts w:hint="eastAsia"/>
        </w:rPr>
        <w:t xml:space="preserve">                                            投标人：（加盖公章）</w:t>
      </w:r>
      <w:r/>
    </w:p>
    <w:p>
      <w:pPr>
        <w:pStyle w:val="905"/>
        <w:ind w:firstLine="480"/>
        <w:spacing w:line="460" w:lineRule="exact"/>
      </w:pPr>
      <w:r>
        <w:rPr>
          <w:rFonts w:hint="eastAsia"/>
        </w:rPr>
        <w:t xml:space="preserve">                                           </w:t>
      </w:r>
      <w:r>
        <w:rPr>
          <w:rFonts w:hint="eastAsia"/>
          <w:lang w:val="en-US" w:eastAsia="zh-CN"/>
        </w:rPr>
        <w:t xml:space="preserve"> </w:t>
      </w:r>
      <w:r>
        <w:rPr>
          <w:rFonts w:hint="eastAsia"/>
        </w:rPr>
        <w:t xml:space="preserve">法定代表人（或单位负责人）签字或盖章：</w:t>
      </w:r>
      <w:r/>
    </w:p>
    <w:p>
      <w:pPr>
        <w:pStyle w:val="905"/>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p>
    <w:p>
      <w:pPr>
        <w:spacing w:line="360" w:lineRule="auto"/>
        <w:rPr>
          <w:rFonts w:hint="eastAsia" w:ascii="宋体" w:hAnsi="Times New Roman" w:eastAsia="宋体" w:cs="Times New Roman"/>
          <w:b w:val="0"/>
          <w:bCs/>
          <w:sz w:val="24"/>
          <w:szCs w:val="20"/>
          <w:u w:val="none"/>
          <w:lang w:val="en-US" w:eastAsia="zh-CN" w:bidi="ar-SA"/>
        </w:rPr>
      </w:pPr>
      <w:r>
        <w:rPr>
          <w:rFonts w:hint="eastAsia" w:ascii="宋体" w:hAnsi="Times New Roman" w:eastAsia="宋体" w:cs="Times New Roman"/>
          <w:b w:val="0"/>
          <w:bCs/>
          <w:sz w:val="24"/>
          <w:szCs w:val="20"/>
          <w:u w:val="none"/>
          <w:lang w:val="en-US" w:eastAsia="zh-CN" w:bidi="ar-SA"/>
        </w:rPr>
      </w:r>
      <w:r/>
    </w:p>
    <w:p>
      <w:pPr>
        <w:spacing w:line="240" w:lineRule="auto"/>
        <w:rPr>
          <w:rFonts w:ascii="宋体" w:hAnsi="Times New Roman" w:eastAsia="宋体" w:cs="Times New Roman"/>
          <w:b/>
          <w:bCs w:val="0"/>
          <w:sz w:val="24"/>
          <w:szCs w:val="20"/>
          <w:u w:val="none"/>
          <w:vertAlign w:val="baseline"/>
          <w:lang w:val="en-US" w:eastAsia="zh-CN" w:bidi="ar-SA"/>
        </w:rPr>
      </w:pPr>
      <w:r>
        <w:rPr>
          <w:rFonts w:hint="eastAsia" w:ascii="宋体" w:hAnsi="Times New Roman" w:eastAsia="宋体" w:cs="Times New Roman"/>
          <w:b/>
          <w:bCs w:val="0"/>
          <w:sz w:val="24"/>
          <w:szCs w:val="20"/>
          <w:u w:val="none"/>
          <w:lang w:val="en-US" w:eastAsia="zh-CN" w:bidi="ar-SA"/>
        </w:rPr>
        <w:t xml:space="preserve">营业执照（扫描件或图片）（可另起一页放置）</w:t>
      </w:r>
      <w:r/>
    </w:p>
    <w:tbl>
      <w:tblPr>
        <w:tblStyle w:val="95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jc w:val="center"/>
          <w:trHeight w:val="4495"/>
        </w:trPr>
        <w:tc>
          <w:tcPr>
            <w:tcW w:w="5000" w:type="dxa"/>
            <w:vAlign w:val="top"/>
            <w:textDirection w:val="lrTb"/>
            <w:noWrap w:val="false"/>
          </w:tcPr>
          <w:p>
            <w:pPr>
              <w:jc w:val="left"/>
              <w:keepLines/>
              <w:keepNext/>
              <w:spacing w:before="360" w:after="120"/>
              <w:widowControl w:val="off"/>
              <w:rPr>
                <w:rFonts w:ascii="宋体" w:hAnsi="Times New Roman" w:eastAsia="宋体" w:cs="Times New Roman"/>
                <w:b/>
                <w:sz w:val="24"/>
                <w:szCs w:val="20"/>
                <w:u w:val="single"/>
                <w:vertAlign w:val="baseline"/>
                <w:lang w:val="en-US" w:eastAsia="zh-CN" w:bidi="ar-SA"/>
              </w:rPr>
              <w:outlineLvl w:val="2"/>
            </w:pPr>
            <w:r>
              <w:rPr>
                <w:rFonts w:ascii="宋体" w:hAnsi="Times New Roman" w:eastAsia="宋体" w:cs="Times New Roman"/>
                <w:b/>
                <w:sz w:val="24"/>
                <w:szCs w:val="20"/>
                <w:u w:val="single"/>
                <w:vertAlign w:val="baseline"/>
                <w:lang w:val="en-US" w:eastAsia="zh-CN" w:bidi="ar-SA"/>
              </w:rPr>
            </w:r>
            <w:r/>
          </w:p>
        </w:tc>
      </w:tr>
    </w:tbl>
    <w:p>
      <w:pPr>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spacing w:line="360" w:lineRule="auto"/>
        <w:tabs>
          <w:tab w:val="left" w:pos="8280" w:leader="none"/>
        </w:tabs>
        <w:rPr>
          <w:color w:val="000000"/>
          <w:sz w:val="24"/>
          <w:szCs w:val="20"/>
        </w:rPr>
      </w:pPr>
      <w:r>
        <w:rPr>
          <w:color w:val="000000"/>
          <w:sz w:val="24"/>
          <w:szCs w:val="20"/>
        </w:rPr>
        <w:t xml:space="preserve">2 落实政府采购政策需满足的资格要求（如有）</w:t>
      </w:r>
      <w:r/>
    </w:p>
    <w:p>
      <w:pPr>
        <w:spacing w:line="360" w:lineRule="auto"/>
        <w:tabs>
          <w:tab w:val="left" w:pos="8280" w:leader="none"/>
        </w:tabs>
        <w:rPr>
          <w:color w:val="000000"/>
          <w:sz w:val="24"/>
          <w:szCs w:val="20"/>
        </w:rPr>
      </w:pPr>
      <w:r>
        <w:rPr>
          <w:color w:val="000000"/>
          <w:sz w:val="24"/>
          <w:szCs w:val="20"/>
        </w:rPr>
        <w:t xml:space="preserve">2-1中小企业声明函</w:t>
      </w:r>
      <w:r/>
    </w:p>
    <w:p>
      <w:pPr>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p>
    <w:p>
      <w:pPr>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资格证明文件部分</w:t>
      </w:r>
      <w:r>
        <w:rPr>
          <w:rFonts w:ascii="Times New Roman" w:hAnsi="Times New Roman" w:eastAsia="宋体" w:cs="Times New Roman"/>
          <w:sz w:val="24"/>
        </w:rPr>
        <w:t xml:space="preserve">无需提供《中小企业声明函》。</w:t>
      </w:r>
      <w:r/>
    </w:p>
    <w:p>
      <w:pPr>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sz w:val="24"/>
        </w:rPr>
        <w:t xml:space="preserve">。</w:t>
      </w:r>
      <w:r/>
    </w:p>
    <w:p>
      <w:pPr>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（4）其他</w:t>
      </w:r>
      <w:r/>
    </w:p>
    <w:p>
      <w:pPr>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1）中小企业参加政府采购活动，应当出具此格式文件。《中小企业声明函》由参加政府采购活动的投标人出具。联合体投标的，《中小企业声明函》由牵头人出具。</w:t>
      </w:r>
      <w:r/>
    </w:p>
    <w:p>
      <w:pPr>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p>
    <w:p>
      <w:pPr>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p>
    <w:tbl>
      <w:tblPr>
        <w:tblStyle w:val="708"/>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jc w:val="center"/>
          <w:trHeight w:val="570"/>
          <w:tblHeader/>
        </w:trPr>
        <w:tc>
          <w:tcPr>
            <w:shd w:val="clear" w:color="auto" w:fill="d7d7d7"/>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p>
        </w:tc>
        <w:tc>
          <w:tcPr>
            <w:shd w:val="clear" w:color="auto" w:fill="d7d7d7"/>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p>
        </w:tc>
        <w:tc>
          <w:tcPr>
            <w:shd w:val="clear" w:color="auto" w:fill="d7d7d7"/>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p>
        </w:tc>
        <w:tc>
          <w:tcPr>
            <w:shd w:val="clear" w:color="auto" w:fill="d7d7d7"/>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p>
        </w:tc>
        <w:tc>
          <w:tcPr>
            <w:shd w:val="clear" w:color="auto" w:fill="d7d7d7"/>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p>
        </w:tc>
        <w:tc>
          <w:tcPr>
            <w:shd w:val="clear" w:color="auto" w:fill="d7d7d7"/>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p>
        </w:tc>
      </w:tr>
      <w:tr>
        <w:trPr>
          <w:cantSplit/>
          <w:jc w:val="center"/>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p>
        </w:tc>
      </w:tr>
      <w:tr>
        <w:trPr>
          <w:cantSplit/>
          <w:jc w:val="center"/>
        </w:trPr>
        <w:tc>
          <w:tcPr>
            <w:shd w:val="clear" w:color="auto" w:fill="auto"/>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p>
        </w:tc>
        <w:tc>
          <w:tcPr>
            <w:shd w:val="clear" w:color="auto" w:fill="auto"/>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shd w:val="clear" w:color="auto" w:fill="auto"/>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shd w:val="clear" w:color="auto" w:fill="auto"/>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shd w:val="clear" w:color="auto" w:fill="auto"/>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shd w:val="clear" w:color="auto" w:fill="auto"/>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shd w:val="clear" w:color="auto" w:fill="auto"/>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shd w:val="clear" w:color="auto" w:fill="auto"/>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shd w:val="clear" w:color="auto" w:fill="auto"/>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p>
        </w:tc>
        <w:tc>
          <w:tcPr>
            <w:shd w:val="clear" w:color="auto" w:fill="auto"/>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p>
        </w:tc>
        <w:tc>
          <w:tcPr>
            <w:shd w:val="clear" w:color="auto" w:fill="auto"/>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p>
        </w:tc>
      </w:tr>
      <w:tr>
        <w:trPr>
          <w:cantSplit/>
          <w:jc w:val="center"/>
          <w:trHeight w:val="610"/>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bl>
    <w:p>
      <w:pPr>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p>
    <w:p>
      <w:pPr>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中小企业声明函（服务）格式</w:t>
      </w:r>
      <w:r/>
    </w:p>
    <w:p>
      <w:pPr>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（项目名称）</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i/>
          <w:iCs/>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i/>
          <w:iCs/>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（中型企业、小型企业、微型企业）</w:t>
      </w:r>
      <w:r>
        <w:rPr>
          <w:rFonts w:ascii="Times New Roman" w:hAnsi="Times New Roman" w:eastAsia="宋体" w:cs="Times New Roman"/>
          <w:spacing w:val="6"/>
          <w:sz w:val="24"/>
        </w:rPr>
        <w:t xml:space="preserve">；</w:t>
      </w:r>
      <w:r/>
    </w:p>
    <w:p>
      <w:pPr>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p>
    <w:p>
      <w:pPr>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p>
    <w:p>
      <w:pPr>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p>
    <w:p>
      <w:pPr>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p>
    <w:p>
      <w:pPr>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p>
    <w:p>
      <w:pPr>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bl>
      <w:tblPr>
        <w:tblStyle w:val="708"/>
        <w:tblW w:w="10020" w:type="dxa"/>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20"/>
      </w:tblGrid>
      <w:tr>
        <w:trPr>
          <w:trHeight w:val="347"/>
        </w:trPr>
        <w:tc>
          <w:tcPr>
            <w:tcW w:w="10020" w:type="dxa"/>
            <w:vAlign w:val="top"/>
            <w:textDirection w:val="lrTb"/>
            <w:noWrap w:val="false"/>
          </w:tcPr>
          <w:p>
            <w:pPr>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vertAlign w:val="superscript"/>
              </w:rPr>
              <w:t xml:space="preserve">1</w:t>
            </w:r>
            <w:r>
              <w:rPr>
                <w:rFonts w:ascii="Times New Roman" w:hAnsi="Times New Roman" w:eastAsia="宋体" w:cs="Times New Roman"/>
                <w:color w:val="000000"/>
                <w:sz w:val="24"/>
                <w:szCs w:val="24"/>
              </w:rPr>
              <w:t xml:space="preserve">从业人员、营业收入、资产总额填报上一年度数据，无上一年度数据的新成立企业可不填报。</w:t>
            </w:r>
            <w:r/>
          </w:p>
        </w:tc>
      </w:tr>
    </w:tbl>
    <w:p>
      <w:pPr>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p>
    <w:p>
      <w:pPr>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p>
    <w:p>
      <w:pPr>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hint="eastAsia" w:ascii="Times New Roman" w:hAnsi="Times New Roman" w:eastAsia="宋体" w:cs="Times New Roman"/>
          <w:spacing w:val="6"/>
          <w:sz w:val="24"/>
          <w:lang w:eastAsia="zh-CN"/>
        </w:rPr>
        <w:t xml:space="preserve">〔2017〕141号</w:t>
      </w:r>
      <w:r>
        <w:rPr>
          <w:rFonts w:ascii="Times New Roman" w:hAnsi="Times New Roman" w:eastAsia="宋体" w:cs="Times New Roman"/>
          <w:spacing w:val="6"/>
          <w:sz w:val="24"/>
        </w:rPr>
        <w:t xml:space="preserve">）的规定，本单位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p>
    <w:p>
      <w:pPr>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p>
    <w:p>
      <w:pPr>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单位的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p>
    <w:p>
      <w:pPr>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p>
    <w:p>
      <w:pPr>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p>
    <w:p>
      <w:pPr>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p>
    <w:p>
      <w:pPr>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p>
    <w:p>
      <w:pPr>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color w:val="0000ff"/>
          <w:sz w:val="24"/>
          <w:szCs w:val="20"/>
          <w:lang w:eastAsia="zh-CN"/>
        </w:rPr>
        <w:t xml:space="preserve">（</w:t>
      </w:r>
      <w:r>
        <w:rPr>
          <w:rFonts w:hint="eastAsia"/>
          <w:color w:val="0000ff"/>
          <w:sz w:val="24"/>
          <w:szCs w:val="20"/>
          <w:lang w:val="en-US" w:eastAsia="zh-CN"/>
        </w:rPr>
        <w:t xml:space="preserve">详见公告</w:t>
      </w:r>
      <w:r>
        <w:rPr>
          <w:rFonts w:hint="eastAsia"/>
          <w:color w:val="0000ff"/>
          <w:sz w:val="24"/>
          <w:szCs w:val="20"/>
          <w:lang w:eastAsia="zh-CN"/>
        </w:rPr>
        <w:t xml:space="preserve">）</w:t>
      </w:r>
      <w:r/>
    </w:p>
    <w:p>
      <w:pPr>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jc w:val="center"/>
        <w:widowControl/>
        <w:rPr>
          <w:rFonts w:hint="eastAsia" w:ascii="宋体" w:hAnsi="宋体"/>
          <w:b/>
          <w:sz w:val="32"/>
          <w:szCs w:val="32"/>
        </w:rPr>
      </w:pPr>
      <w:r>
        <w:rPr>
          <w:rFonts w:ascii="宋体" w:hAnsi="宋体"/>
          <w:b/>
          <w:sz w:val="32"/>
          <w:szCs w:val="32"/>
        </w:rPr>
        <w:t xml:space="preserve">二、商务技术文件格式</w:t>
      </w:r>
      <w:bookmarkStart w:id="819" w:name="_Toc480942349"/>
      <w:r/>
      <w:bookmarkStart w:id="820" w:name="_Toc226965829"/>
      <w:r/>
      <w:bookmarkStart w:id="821" w:name="_Toc150480794"/>
      <w:r/>
      <w:bookmarkStart w:id="822" w:name="_Toc226337252"/>
      <w:r/>
      <w:bookmarkStart w:id="823" w:name="_Toc226965746"/>
      <w:r/>
      <w:bookmarkStart w:id="824" w:name="_Ref467988698"/>
      <w:r/>
      <w:bookmarkStart w:id="825" w:name="_Toc520356217"/>
      <w:r/>
      <w:bookmarkStart w:id="826" w:name="_Toc142311058"/>
      <w:r/>
      <w:bookmarkStart w:id="827" w:name="_Toc195842921"/>
      <w:r/>
      <w:bookmarkStart w:id="828" w:name="_Toc127151556"/>
      <w:r/>
      <w:bookmarkStart w:id="829" w:name="_Toc150774761"/>
      <w:r/>
      <w:bookmarkStart w:id="830" w:name="_Toc226309800"/>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w:t>
      </w:r>
      <w:r>
        <w:rPr>
          <w:rFonts w:hint="eastAsia"/>
          <w:color w:val="000000"/>
          <w:sz w:val="24"/>
          <w:szCs w:val="20"/>
          <w:lang w:eastAsia="zh-CN"/>
        </w:rPr>
        <w:t xml:space="preserve">文件</w:t>
      </w:r>
      <w:r>
        <w:rPr>
          <w:color w:val="000000"/>
          <w:sz w:val="24"/>
          <w:szCs w:val="20"/>
        </w:rPr>
        <w:t xml:space="preserve">截止之日起</w:t>
      </w:r>
      <w:r>
        <w:rPr>
          <w:rFonts w:hint="eastAsia"/>
          <w:sz w:val="24"/>
          <w:u w:val="single"/>
          <w:lang w:val="en-US" w:eastAsia="zh-CN"/>
        </w:rPr>
        <w:t xml:space="preserve">120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831" w:name="_Hlt520355938"/>
      <w:r/>
      <w:bookmarkEnd w:id="831"/>
      <w:r/>
      <w:bookmarkStart w:id="832" w:name="_Hlt520356243"/>
      <w:r/>
      <w:bookmarkEnd w:id="832"/>
      <w:r>
        <w:rPr>
          <w:color w:val="000000"/>
          <w:sz w:val="24"/>
        </w:rPr>
        <w:br w:type="page" w:clear="all"/>
      </w:r>
      <w:r/>
    </w:p>
    <w:p>
      <w:pPr>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u w:val="single"/>
          <w:lang w:val="en-US" w:eastAsia="zh-CN"/>
        </w:rPr>
        <w:t xml:space="preserve">     </w:t>
      </w: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91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pStyle w:val="1151"/>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p>
    <w:p>
      <w:pPr>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（投标人名称）</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none"/>
          <w:lang w:eastAsia="zh-CN"/>
        </w:rPr>
        <w:t xml:space="preserve">，</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p>
    <w:p>
      <w:pPr>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p>
    <w:p>
      <w:pPr>
        <w:spacing w:line="480" w:lineRule="auto"/>
        <w:rPr>
          <w:rFonts w:hint="eastAsia" w:ascii="宋体" w:hAnsi="宋体" w:eastAsia="宋体" w:cs="Times New Roman"/>
          <w:sz w:val="24"/>
        </w:rPr>
      </w:pPr>
      <w:r>
        <w:rPr>
          <w:rFonts w:hint="eastAsia" w:ascii="宋体" w:hAnsi="宋体" w:eastAsia="宋体" w:cs="Times New Roman"/>
          <w:sz w:val="24"/>
        </w:rPr>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p>
    <w:p>
      <w:pPr>
        <w:spacing w:line="400" w:lineRule="exact"/>
        <w:rPr>
          <w:rFonts w:ascii="宋体" w:hAnsi="宋体" w:eastAsia="宋体" w:cs="宋体"/>
          <w:sz w:val="24"/>
        </w:rPr>
      </w:pPr>
      <w:r>
        <w:rPr>
          <w:rFonts w:ascii="宋体" w:hAnsi="宋体" w:eastAsia="宋体" w:cs="宋体"/>
          <w:sz w:val="24"/>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p>
    <w:p>
      <w:pPr>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Style w:val="708"/>
        <w:tblW w:w="9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jc w:val="center"/>
          <w:trHeight w:val="2779"/>
        </w:trPr>
        <w:tc>
          <w:tcPr>
            <w:tcW w:w="4853" w:type="dxa"/>
            <w:vAlign w:val="top"/>
            <w:textDirection w:val="lrTb"/>
            <w:noWrap w:val="false"/>
          </w:tcPr>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c>
          <w:tcPr>
            <w:tcW w:w="4850" w:type="dxa"/>
            <w:vAlign w:val="top"/>
            <w:textDirection w:val="lrTb"/>
            <w:noWrap w:val="false"/>
          </w:tcPr>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1.法定代表人参加投标时，不需要提供本授权委托书，需投标人本人身份证。</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七、承诺本单位在信用中国网站中无重大违法违规、较重或严重失信记录。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33"/>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33" w:name="_Hlt520274065"/>
      <w:r/>
      <w:bookmarkEnd w:id="833"/>
      <w:r/>
      <w:bookmarkStart w:id="834" w:name="_Hlt520274407"/>
      <w:r/>
      <w:bookmarkEnd w:id="834"/>
      <w:r/>
      <w:bookmarkStart w:id="835" w:name="_Hlt520271212"/>
      <w:r/>
      <w:bookmarkEnd w:id="835"/>
      <w:r/>
      <w:bookmarkStart w:id="836" w:name="_Hlt520343392"/>
      <w:r/>
      <w:bookmarkEnd w:id="836"/>
      <w:r/>
      <w:bookmarkStart w:id="837" w:name="_Hlt520274393"/>
      <w:r/>
      <w:bookmarkEnd w:id="837"/>
      <w:r/>
      <w:bookmarkStart w:id="838" w:name="_Hlt520350918"/>
      <w:r/>
      <w:bookmarkEnd w:id="838"/>
      <w:r/>
      <w:bookmarkStart w:id="839" w:name="_Hlt520343000"/>
      <w:r/>
      <w:bookmarkEnd w:id="839"/>
      <w:r/>
      <w:bookmarkStart w:id="840" w:name="_Hlt520274121"/>
      <w:r/>
      <w:bookmarkEnd w:id="840"/>
      <w:r/>
      <w:bookmarkStart w:id="841" w:name="_Hlt520355504"/>
      <w:r/>
      <w:bookmarkEnd w:id="841"/>
      <w:r/>
      <w:bookmarkStart w:id="842" w:name="_Hlt520273711"/>
      <w:r/>
      <w:bookmarkEnd w:id="842"/>
      <w:r/>
      <w:bookmarkStart w:id="843" w:name="_Toc226965747"/>
      <w:r/>
      <w:bookmarkStart w:id="844" w:name="_Toc305158825"/>
      <w:r/>
      <w:bookmarkStart w:id="845" w:name="_Toc520356218"/>
      <w:r/>
      <w:bookmarkStart w:id="846" w:name="_Toc150774762"/>
      <w:r/>
      <w:bookmarkStart w:id="847" w:name="_Toc226309801"/>
      <w:r/>
      <w:bookmarkStart w:id="848" w:name="_Ref467988705"/>
      <w:r/>
      <w:bookmarkStart w:id="849" w:name="_Toc226965830"/>
      <w:r/>
      <w:bookmarkStart w:id="850" w:name="_Toc305158899"/>
      <w:r/>
      <w:bookmarkStart w:id="851" w:name="_Toc142311059"/>
      <w:r/>
      <w:bookmarkStart w:id="852" w:name="_Toc480942350"/>
      <w:r/>
      <w:bookmarkStart w:id="853" w:name="_Toc150480795"/>
      <w:r/>
      <w:bookmarkStart w:id="854" w:name="_Toc226337253"/>
      <w:r/>
      <w:bookmarkStart w:id="855" w:name="_Toc195842922"/>
      <w:r/>
      <w:bookmarkStart w:id="856" w:name="_Toc127151557"/>
      <w:r/>
      <w:bookmarkStart w:id="857" w:name="_Toc265228395"/>
      <w:r/>
      <w:bookmarkStart w:id="858" w:name="_Toc264969247"/>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color w:val="000000"/>
          <w:sz w:val="24"/>
          <w:szCs w:val="20"/>
        </w:rPr>
        <w:t xml:space="preserve">（实质性格式）</w:t>
      </w:r>
      <w:r/>
    </w:p>
    <w:p>
      <w:pPr>
        <w:jc w:val="center"/>
        <w:spacing w:line="360" w:lineRule="exact"/>
        <w:rPr>
          <w:b/>
          <w:color w:val="000000"/>
          <w:sz w:val="36"/>
          <w:szCs w:val="36"/>
        </w:rPr>
      </w:pPr>
      <w:r/>
      <w:bookmarkStart w:id="859" w:name="_Toc265228396"/>
      <w:r/>
      <w:bookmarkStart w:id="860" w:name="_Toc164608672"/>
      <w:r/>
      <w:bookmarkStart w:id="861" w:name="_Toc226965831"/>
      <w:r/>
      <w:bookmarkStart w:id="862" w:name="_Toc195842923"/>
      <w:r/>
      <w:bookmarkStart w:id="863" w:name="_Toc164608827"/>
      <w:r/>
      <w:bookmarkStart w:id="864" w:name="_Toc264969248"/>
      <w:r/>
      <w:bookmarkStart w:id="865" w:name="_Toc305158900"/>
      <w:r/>
      <w:bookmarkStart w:id="866" w:name="_Toc305158826"/>
      <w:r/>
      <w:bookmarkStart w:id="867" w:name="_Toc226337254"/>
      <w:r/>
      <w:bookmarkStart w:id="868" w:name="_Toc226965748"/>
      <w:r/>
      <w:bookmarkStart w:id="869" w:name="_Toc226309802"/>
      <w:r>
        <w:rPr>
          <w:rFonts w:hint="eastAsia"/>
          <w:b/>
          <w:color w:val="000000"/>
          <w:sz w:val="36"/>
          <w:szCs w:val="36"/>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
    </w:p>
    <w:p>
      <w:pPr>
        <w:jc w:val="left"/>
        <w:spacing w:line="360" w:lineRule="auto"/>
        <w:tabs>
          <w:tab w:val="left" w:pos="1800" w:leader="none"/>
          <w:tab w:val="left" w:pos="5580" w:leader="none"/>
        </w:tabs>
        <w:rPr>
          <w:i/>
          <w:color w:val="ff0000"/>
          <w:sz w:val="24"/>
        </w:rPr>
      </w:pPr>
      <w:r>
        <w:rPr>
          <w:i/>
          <w:color w:val="ff0000"/>
          <w:sz w:val="24"/>
        </w:rPr>
      </w:r>
      <w:r/>
    </w:p>
    <w:tbl>
      <w:tblPr>
        <w:tblStyle w:val="708"/>
        <w:tblW w:w="50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3114"/>
        <w:gridCol w:w="2646"/>
        <w:gridCol w:w="3208"/>
      </w:tblGrid>
      <w:tr>
        <w:trPr>
          <w:jc w:val="center"/>
          <w:trHeight w:val="1185"/>
        </w:trPr>
        <w:tc>
          <w:tcPr>
            <w:tcW w:w="416" w:type="dxa"/>
            <w:vAlign w:val="center"/>
            <w:textDirection w:val="lrTb"/>
            <w:noWrap w:val="false"/>
          </w:tcPr>
          <w:p>
            <w:pPr>
              <w:jc w:val="center"/>
              <w:tabs>
                <w:tab w:val="left" w:pos="5580" w:leader="none"/>
              </w:tabs>
              <w:rPr>
                <w:b/>
                <w:sz w:val="24"/>
              </w:rPr>
            </w:pPr>
            <w:r>
              <w:rPr>
                <w:b/>
                <w:sz w:val="24"/>
              </w:rPr>
              <w:t xml:space="preserve">序号</w:t>
            </w:r>
            <w:r/>
          </w:p>
        </w:tc>
        <w:tc>
          <w:tcPr>
            <w:tcW w:w="1591" w:type="dxa"/>
            <w:vAlign w:val="center"/>
            <w:textDirection w:val="lrTb"/>
            <w:noWrap w:val="false"/>
          </w:tcPr>
          <w:p>
            <w:pPr>
              <w:jc w:val="center"/>
              <w:tabs>
                <w:tab w:val="left" w:pos="5580" w:leader="none"/>
              </w:tabs>
              <w:rPr>
                <w:rFonts w:hint="eastAsia" w:eastAsia="宋体"/>
                <w:b/>
                <w:sz w:val="24"/>
                <w:lang w:eastAsia="zh-CN"/>
              </w:rPr>
            </w:pPr>
            <w:r>
              <w:rPr>
                <w:rFonts w:hint="eastAsia"/>
                <w:b/>
                <w:sz w:val="24"/>
                <w:lang w:val="en-US" w:eastAsia="zh-CN"/>
              </w:rPr>
              <w:t xml:space="preserve">项目名称</w:t>
            </w:r>
            <w:r/>
          </w:p>
        </w:tc>
        <w:tc>
          <w:tcPr>
            <w:tcW w:w="1352" w:type="dxa"/>
            <w:vAlign w:val="center"/>
            <w:textDirection w:val="lrTb"/>
            <w:noWrap w:val="false"/>
          </w:tcPr>
          <w:p>
            <w:pPr>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w:t>
            </w:r>
            <w:r/>
          </w:p>
        </w:tc>
        <w:tc>
          <w:tcPr>
            <w:tcW w:w="1639" w:type="dxa"/>
            <w:vAlign w:val="center"/>
            <w:textDirection w:val="lrTb"/>
            <w:noWrap w:val="false"/>
          </w:tcPr>
          <w:p>
            <w:pPr>
              <w:jc w:val="center"/>
              <w:tabs>
                <w:tab w:val="left" w:pos="5580" w:leader="none"/>
              </w:tabs>
              <w:rPr>
                <w:rFonts w:eastAsia="宋体"/>
                <w:b/>
                <w:sz w:val="24"/>
                <w:lang w:val="en-US" w:eastAsia="zh-CN"/>
              </w:rPr>
            </w:pPr>
            <w:r>
              <w:rPr>
                <w:rFonts w:hint="eastAsia"/>
                <w:b/>
                <w:sz w:val="24"/>
                <w:lang w:val="en-US" w:eastAsia="zh-CN"/>
              </w:rPr>
              <w:t xml:space="preserve">项目负责人</w:t>
            </w:r>
            <w:r/>
          </w:p>
        </w:tc>
      </w:tr>
      <w:tr>
        <w:trPr>
          <w:jc w:val="center"/>
          <w:trHeight w:val="1336"/>
        </w:trPr>
        <w:tc>
          <w:tcPr>
            <w:tcW w:w="416" w:type="dxa"/>
            <w:vAlign w:val="center"/>
            <w:textDirection w:val="lrTb"/>
            <w:noWrap w:val="false"/>
          </w:tcPr>
          <w:p>
            <w:pPr>
              <w:jc w:val="center"/>
              <w:tabs>
                <w:tab w:val="left" w:pos="5580" w:leader="none"/>
              </w:tabs>
              <w:rPr>
                <w:sz w:val="24"/>
              </w:rPr>
            </w:pPr>
            <w:r>
              <w:rPr>
                <w:sz w:val="24"/>
              </w:rPr>
            </w:r>
            <w:r/>
          </w:p>
        </w:tc>
        <w:tc>
          <w:tcPr>
            <w:tcW w:w="1591" w:type="dxa"/>
            <w:vAlign w:val="center"/>
            <w:textDirection w:val="lrTb"/>
            <w:noWrap w:val="false"/>
          </w:tcPr>
          <w:p>
            <w:pPr>
              <w:jc w:val="center"/>
              <w:tabs>
                <w:tab w:val="left" w:pos="5580" w:leader="none"/>
              </w:tabs>
              <w:rPr>
                <w:sz w:val="24"/>
              </w:rPr>
            </w:pPr>
            <w:r>
              <w:rPr>
                <w:sz w:val="24"/>
              </w:rPr>
            </w:r>
            <w:r/>
          </w:p>
        </w:tc>
        <w:tc>
          <w:tcPr>
            <w:tcW w:w="1352" w:type="dxa"/>
            <w:vAlign w:val="center"/>
            <w:textDirection w:val="lrTb"/>
            <w:noWrap w:val="false"/>
          </w:tcPr>
          <w:p>
            <w:pPr>
              <w:jc w:val="center"/>
              <w:tabs>
                <w:tab w:val="left" w:pos="5580" w:leader="none"/>
              </w:tabs>
              <w:rPr>
                <w:sz w:val="24"/>
              </w:rPr>
            </w:pPr>
            <w:r>
              <w:rPr>
                <w:sz w:val="24"/>
              </w:rPr>
            </w:r>
            <w:r/>
          </w:p>
        </w:tc>
        <w:tc>
          <w:tcPr>
            <w:tcW w:w="1639" w:type="dxa"/>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rPr>
          <w:rFonts w:hint="eastAsia"/>
          <w:color w:val="000000"/>
          <w:sz w:val="24"/>
          <w:lang w:val="zh-CN"/>
        </w:rPr>
        <w:t xml:space="preserve">注：1.投标单位在提交投标文件时，应按照投标工具（苏采云客户端）的提示流程编制提交开标一览表，开标一览表格式以投标工具中的为准。</w:t>
      </w: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ascii="Times New Roman" w:hAnsi="Times New Roman" w:eastAsia="宋体" w:cs="Times New Roman"/>
          <w:color w:val="000000"/>
          <w:sz w:val="24"/>
          <w:szCs w:val="20"/>
        </w:rPr>
        <w:outlineLvl w:val="2"/>
      </w:pPr>
      <w:r/>
      <w:bookmarkStart w:id="870" w:name="_Toc142311060"/>
      <w:r/>
      <w:bookmarkStart w:id="871" w:name="_Toc195842924"/>
      <w:r/>
      <w:bookmarkStart w:id="872" w:name="_Toc226337255"/>
      <w:r/>
      <w:bookmarkStart w:id="873" w:name="_Toc150774763"/>
      <w:r/>
      <w:bookmarkStart w:id="874" w:name="_Toc226965749"/>
      <w:r/>
      <w:bookmarkStart w:id="875" w:name="_Toc305158827"/>
      <w:r/>
      <w:bookmarkStart w:id="876" w:name="_Toc150480796"/>
      <w:r/>
      <w:bookmarkStart w:id="877" w:name="_Toc127151558"/>
      <w:r/>
      <w:bookmarkStart w:id="878" w:name="_Toc226309803"/>
      <w:r/>
      <w:bookmarkStart w:id="879" w:name="_Toc264969249"/>
      <w:r/>
      <w:bookmarkStart w:id="880" w:name="_Toc305158901"/>
      <w:r/>
      <w:bookmarkStart w:id="881" w:name="_Toc226965832"/>
      <w:r/>
      <w:bookmarkStart w:id="882" w:name="_Toc265228397"/>
      <w:r>
        <w:rPr>
          <w:color w:val="000000"/>
          <w:sz w:val="24"/>
          <w:szCs w:val="20"/>
        </w:rPr>
        <w:br w:type="page" w:clear="all"/>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Start w:id="883" w:name="_Toc195842927"/>
      <w:r/>
      <w:bookmarkStart w:id="884" w:name="_Toc226337258"/>
      <w:r/>
      <w:bookmarkStart w:id="885" w:name="_Toc150774765"/>
      <w:r/>
      <w:bookmarkStart w:id="886" w:name="_Toc265228400"/>
      <w:r/>
      <w:bookmarkStart w:id="887" w:name="_Toc305158904"/>
      <w:r/>
      <w:bookmarkStart w:id="888" w:name="_Toc127151562"/>
      <w:r/>
      <w:bookmarkStart w:id="889" w:name="_Toc142311062"/>
      <w:r/>
      <w:bookmarkStart w:id="890" w:name="_Toc305158830"/>
      <w:r/>
      <w:bookmarkStart w:id="891" w:name="_Toc226965752"/>
      <w:r/>
      <w:bookmarkStart w:id="892" w:name="_Toc226965835"/>
      <w:r/>
      <w:bookmarkStart w:id="893" w:name="_Toc150480798"/>
      <w:r/>
      <w:bookmarkStart w:id="894" w:name="_Toc264969252"/>
      <w:r/>
      <w:bookmarkStart w:id="895" w:name="_Toc226309806"/>
      <w:r/>
      <w:bookmarkStart w:id="896" w:name="_Toc226965834"/>
      <w:r/>
      <w:bookmarkStart w:id="897" w:name="_Toc150774764"/>
      <w:r/>
      <w:bookmarkStart w:id="898" w:name="_Toc305158903"/>
      <w:r/>
      <w:bookmarkStart w:id="899" w:name="_Toc142311061"/>
      <w:r/>
      <w:bookmarkStart w:id="900" w:name="_Toc226337257"/>
      <w:r/>
      <w:bookmarkStart w:id="901" w:name="_Toc265228399"/>
      <w:r/>
      <w:bookmarkStart w:id="902" w:name="_Toc150480797"/>
      <w:r/>
      <w:bookmarkStart w:id="903" w:name="_Toc127151561"/>
      <w:r/>
      <w:bookmarkStart w:id="904" w:name="_Toc226965751"/>
      <w:r/>
      <w:bookmarkStart w:id="905" w:name="_Toc264969251"/>
      <w:r/>
      <w:bookmarkStart w:id="906" w:name="_Toc226309805"/>
      <w:r/>
      <w:bookmarkStart w:id="907" w:name="_Toc195842926"/>
      <w:r/>
      <w:bookmarkStart w:id="908" w:name="_Toc305158829"/>
      <w:r>
        <w:rPr>
          <w:rFonts w:hint="eastAsia"/>
          <w:color w:val="000000"/>
          <w:sz w:val="24"/>
          <w:szCs w:val="20"/>
          <w:lang w:val="en-US" w:eastAsia="zh-CN"/>
        </w:rPr>
        <w:t xml:space="preserve">5 </w:t>
      </w:r>
      <w:r>
        <w:rPr>
          <w:rFonts w:ascii="Times New Roman" w:hAnsi="Times New Roman" w:eastAsia="宋体" w:cs="Times New Roman"/>
          <w:color w:val="000000"/>
          <w:sz w:val="24"/>
          <w:szCs w:val="20"/>
        </w:rPr>
        <w:t xml:space="preserve">投标</w:t>
      </w:r>
      <w:r>
        <w:rPr>
          <w:rFonts w:hint="eastAsia" w:ascii="Times New Roman" w:hAnsi="Times New Roman" w:eastAsia="宋体" w:cs="Times New Roman"/>
          <w:color w:val="000000"/>
          <w:sz w:val="24"/>
          <w:szCs w:val="20"/>
          <w:lang w:val="en-US" w:eastAsia="zh-CN"/>
        </w:rPr>
        <w:t xml:space="preserve">清单</w:t>
      </w:r>
      <w:r>
        <w:rPr>
          <w:rFonts w:ascii="Times New Roman" w:hAnsi="Times New Roman" w:eastAsia="宋体" w:cs="Times New Roman"/>
          <w:color w:val="000000"/>
          <w:sz w:val="24"/>
          <w:szCs w:val="20"/>
        </w:rPr>
        <w:t xml:space="preserve">报价表（实质性格式）</w:t>
      </w:r>
      <w:r/>
    </w:p>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r>
      <w:r/>
    </w:p>
    <w:p>
      <w:pPr>
        <w:jc w:val="center"/>
        <w:spacing w:line="360" w:lineRule="exact"/>
        <w:rPr>
          <w:rFonts w:ascii="Times New Roman" w:hAnsi="Times New Roman" w:eastAsia="宋体" w:cs="Times New Roman"/>
          <w:color w:val="000000"/>
          <w:sz w:val="36"/>
          <w:szCs w:val="36"/>
          <w:highlight w:val="none"/>
        </w:rPr>
      </w:pPr>
      <w:r>
        <w:rPr>
          <w:rFonts w:hint="eastAsia"/>
          <w:b/>
          <w:color w:val="000000"/>
          <w:sz w:val="36"/>
          <w:szCs w:val="36"/>
          <w:highlight w:val="none"/>
        </w:rPr>
        <w:t xml:space="preserve">投标分项报价表</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val="zh-CN"/>
        </w:rPr>
        <w:t xml:space="preserve"> </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报价单位：人民币元</w:t>
      </w:r>
      <w:r/>
    </w:p>
    <w:tbl>
      <w:tblPr>
        <w:tblStyle w:val="708"/>
        <w:tblW w:w="9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1097"/>
        <w:gridCol w:w="4216"/>
        <w:gridCol w:w="449"/>
        <w:gridCol w:w="1016"/>
        <w:gridCol w:w="946"/>
        <w:gridCol w:w="1104"/>
        <w:gridCol w:w="436"/>
      </w:tblGrid>
      <w:tr>
        <w:trPr>
          <w:trHeight w:val="438"/>
        </w:trPr>
        <w:tc>
          <w:tcPr>
            <w:gridSpan w:val="8"/>
            <w:shd w:val="clear" w:color="auto" w:fill="auto"/>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jc w:val="center"/>
              <w:keepLines w:val="0"/>
              <w:keepNext w:val="0"/>
              <w:widowControl/>
              <w:rPr>
                <w:rFonts w:ascii="微软雅黑" w:hAnsi="微软雅黑" w:eastAsia="微软雅黑" w:cs="微软雅黑"/>
                <w:i w:val="0"/>
                <w:iCs w:val="0"/>
                <w:color w:val="000000" w:themeColor="text1"/>
                <w:sz w:val="24"/>
                <w:szCs w:val="24"/>
                <w:highlight w:val="none"/>
                <w:u w:val="none"/>
              </w:rPr>
              <w:suppressLineNumbers w:val="0"/>
            </w:pPr>
            <w:r>
              <w:rPr>
                <w:rFonts w:hint="eastAsia" w:ascii="微软雅黑" w:hAnsi="微软雅黑" w:eastAsia="微软雅黑" w:cs="微软雅黑"/>
                <w:i w:val="0"/>
                <w:iCs w:val="0"/>
                <w:color w:val="000000" w:themeColor="text1"/>
                <w:sz w:val="24"/>
                <w:szCs w:val="24"/>
                <w:highlight w:val="none"/>
                <w:u w:val="none"/>
                <w:lang w:val="en-US" w:eastAsia="zh-CN" w:bidi="ar"/>
              </w:rPr>
              <w:t xml:space="preserve">金坛区金城镇2026年度城镇老旧小区改造项目通讯、智能化改造清单明细</w:t>
            </w:r>
            <w:r>
              <w:rPr>
                <w:color w:val="000000" w:themeColor="text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项目特征描述及工作内容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工程数量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金额(元)</w:t>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一）八达新村（32户）</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架空吊线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钢绞线架设墙壁吊线(7/2.2条千米)</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19.70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1760.00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（24芯以下）含光缆接头盒、配套材料（室外接续）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监控至320平台传输,2个点位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8"/>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二）四中教工楼（120户）（含智能化管道PE60/50管2孔计290米，监控井6套等）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24芯 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1599.40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6600.00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492.00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500*500砖砌监控井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17.815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74.40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1334.80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46.319</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监控立杆拆除</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含杆件、弱电箱拆除、原有线路回抽、搬运、清理等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监控立杆恢复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6米监控立杆恢复，含吊车、基础、地笼等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监控至320平台传输,3-4个点位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三）江南路45幢、43幢（46户，含店面房等8户）</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光缆敷设吊线式96芯光缆GYTA96B1.3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415.9</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2090.00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（96芯以下）含光缆接头盒、配套材料等（室外接续）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352"/>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监控至320平台传输,2个点位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四）江南路24、22、26（94户，含散户、商铺等）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72芯 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144芯 GYTA144B1.3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5170.00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（144芯以下）含光缆接头盒、配套材料等（室外接续）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4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p>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监控至320平台传输,3-4个点位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五）西门大街88幢（34户，含商铺4户）</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1870.00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0.775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p>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8"/>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六）西门大街56幢（33户，含商铺等14户）、西门大街63、61幢（98户、含商铺38户）</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架空吊线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钢绞线架设墙壁吊线(7/2.2条千米)</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170.9</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1815.00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光缆敷设吊线式12芯光缆 GYTA12B1.3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光缆敷设吊线式96芯光缆GYTA96B1.3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5390.00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12芯 GYTA12B1.3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48芯 GYTA48B1.3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72芯 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96芯 GYTA96B1.3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（48芯以下）含光缆接头盒配套材料等（室外接续）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（96芯以下）含光缆接头盒、配套材料等（室外接续）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634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七）西门大街18幢（54户，含商铺14户）</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光缆敷设吊线式144芯光缆GYTA144B1.3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144芯 GYTA144B1.3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90.90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2970.00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（144芯以下）含光缆接头盒、配套材料等（室外接续）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652"/>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八）西门大街85幢（45户，含商铺等）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光缆敷设吊线式96芯光缆GYTA96B1.3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96芯 GYTA96B1.3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2475.00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（96芯以下）含光缆接头盒、配套材料等（室外接续）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光缆交接箱,GXF5-67C-576,安装落地式光缆交接箱(576芯、满配）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69.00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0.175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0.455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九）横街东路散居楼（194户，含商铺、散户等）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12芯 GYTA12B1.3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1066.30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24芯 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1599.40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10670.00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683.00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（12芯以下）含配套材料（分纤箱内直熔）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444.00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光缆交接箱,GXF5-67C-1152,安装落地式光缆交接箱(1152芯）</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角钢接地极 ∠5*50*50*1500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户外接地母线敷设 40*4</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接地装置调试，6根接地极为一组</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防火堵洞 (隔板〕、孔洞封堵</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进局光(电)缆防水封堵</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329.00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970.00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机械破除混凝土路面并运输至建设单位指定位置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破除路面混凝土及土方外运，运输至建设单位指定位置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600*1000砖砌距形手孔井(井深800)，C250级钢纤维混凝土井框盖（热镀锌角钢包边）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500*500砖砌监控井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浇筑交接箱基座</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20.435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222.60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1293.60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56.731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50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人脸结构化枪式摄像机拆除及恢复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原有公安400万结构化枪式摄像机、箱体、补光灯、传输报备拆除；监控、摄像机、3.5米杆件恢复；含电源、传输接入，摄像机、箱体安装，地笼及立杆浇筑等；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治安枪/球摄像机拆除及恢复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原有公安400万高清红外枪/球式摄像机、箱体、传输报备拆除；监控、摄像机、3.5米杆件恢复；含电源、传输接入，摄像机、箱体安装，地笼及立杆浇筑等；</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监控至320平台传输,2个点位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监控至320平台传输,3-4个点位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十）龙山路42、43(24户)</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敷设管道光缆 72芯 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光缆敷设吊线式72芯光缆GYTA72B1.3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光缆敷设吊线式24芯光缆 GYTA24B1.3</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墙壁式敷设蝶形光缆,GJRH-1B6（白色、圆形、室内、带钢丝）</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1320.00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钉固式墙壁光缆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穿放引上光缆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安装引上钢管(φ50以下) 墙上/杆上</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光缆成端接头（束状）光缆成端接头</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（24芯以下）含配套材料（分纤箱内直熔）</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光缆接续 （72芯以下）含光缆接头盒、配套材料等（室外接续）</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头</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光纤测试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光缆中继段测试</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光分纤箱、光分路箱(墙壁式）;400*350*110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打穿楼墙洞（混泥土楼层）</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敷设硬质PVCφ25管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管道混凝土基础，C15非泵送商品砼</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PE管DN32埋地敷设，含挖土、敷设、填实土方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9.60 </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管道包封C20混凝土包封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0.624</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2854"/>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400万高清红外枪式摄像机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传感器类型：1/3英寸CMOS；</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像素：400万；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最大分辨率：2560×1440；</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最低照度：0.01lux（彩色模式）；0.001lux（黑白模式）；0lux（补光灯开启）；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最大补光距离：50m（红外）；30m（暖光）；</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镜头前盖玻璃呈倾斜状,与镜头平面呈4°夹角</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可同时采用DC12V电源与POE供电,当一路电源停止供电后,可正常工作</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镜头类型：定焦；</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周界防范：绊线入侵；区域入侵；</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AI编码：H.264：支持；H.265：支持*包含智能编码技术；</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宽动态：支持；</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内置麦克风：支持，内置1个麦克风；</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报警事件：网络断开；IP冲突；非法访问；动态检测；视频遮挡；音频异常侦测；绊线入侵；区域入侵；智能动检（人）；智能动检（机动车）；安全异常；</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接入标准：ONVIF（Profile S &amp; Profile T）；CGI；GB/T28181；</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供电方式：DC12V（±30%）；PoE （802.3af）；</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1、铝合金材质；2、多维度调节；3、支持内部出线；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支持DC12V2A输出</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围墙加高支架</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室外不锈钢弱电箱</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500*600*200监控弱电箱，含空开、拖线板等；安装方式：落地或挂壁安装；</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贰级防雷，浪涌保护器；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接电配套</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RVV2*2.0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超五类非屏蔽网线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PVCφ25硬管</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PE管DN50埋地敷设，含挖土、敷设、填实土方</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500*500*600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光网络单元GPONONU</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满足设备传输所需码流、带宽、端口等条件下，端口需有1-2个冗余</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传输费</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监控至320平台传输,1个点位</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3"/>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十一）后端机房设备</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150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48盘位云存储</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（关键部件采购要求：需要通过财政部会同有关部门发布的政府采购需求标准规定的国家有关部门指定的测评机构开展的安全可靠测评的软硬件，如CPU芯片、操作系统、数据库等。)</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视频设备接入模块：支持国标、Onvif，大华协议、海康协议等接入各类型的前端设备.；</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卡口设备接入模块：支持人脸、车辆卡口设备接入以及结构化数据接入；</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视频图片存储模块：支持视频和图片的基础存储业务，包括录像计划，图片计划配置管理，包括视频流按通道和类型进行分类，并进行相应的索引创建等；</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流媒体转发模块：支持流媒体动态负载均衡，弹性扩容，具备快速故障接管能力支持RTSP,HLS,FLV等流媒体协议；</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w:t>
            </w:r>
            <w:r/>
          </w:p>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同一套存量云存储系统架构支持持续异构节点扩容，同一套集群中支持15种异构存储节点。其中，异构存储节点同时支持6种不同盘位，</w:t>
            </w:r>
            <w:r>
              <w:rPr>
                <w:rFonts w:hint="eastAsia" w:ascii="黑体" w:hAnsi="宋体" w:eastAsia="黑体" w:cs="黑体"/>
                <w:i w:val="0"/>
                <w:iCs w:val="0"/>
                <w:color w:val="000000"/>
                <w:sz w:val="20"/>
                <w:szCs w:val="20"/>
                <w:u w:val="none"/>
                <w:lang w:val="en-US" w:eastAsia="zh-CN" w:bidi="ar"/>
              </w:rPr>
              <w:t xml:space="preserve">包括12/24/36/48/72/84盘位；同时支持11种不同硬盘容量混插或者不同硬盘大小节点，不同硬盘容量大小包括1T/2T/4T/6T/8T/12T/14T/16T/18T/20T/24T；同时支持CMR盘和SMR盘；同时支持3种异构CPU扩容节点，包括X86 CPU（包含海光CPU）、鲲鹏ARM CPU、龙芯CPU节点；同时支持5种操作系统扩容节点，包括欧拉系统节点、麒麟系统节点、统信系统节点、CentOS系统节点和自研系统节点。同一套集群内的异构节点最高容量比最低容量差20倍时，也支持容量负载均衡。</w:t>
            </w:r>
            <w:r>
              <w:rPr>
                <w:rFonts w:hint="eastAsia" w:ascii="黑体" w:hAnsi="宋体" w:eastAsia="黑体" w:cs="黑体"/>
                <w:i w:val="0"/>
                <w:iCs w:val="0"/>
                <w:color w:val="000000"/>
                <w:sz w:val="20"/>
                <w:szCs w:val="20"/>
                <w:u w:val="none"/>
                <w:lang w:val="en-US" w:eastAsia="zh-CN" w:bidi="ar"/>
              </w:rPr>
              <w:br/>
            </w:r>
            <w:r>
              <w:rPr>
                <w:rFonts w:hint="eastAsia" w:ascii="宋体" w:hAnsi="宋体" w:cs="宋体"/>
                <w:b/>
                <w:bCs/>
                <w:sz w:val="24"/>
                <w:szCs w:val="24"/>
                <w14:ligatures w14:val="none"/>
              </w:rPr>
              <w:t xml:space="preserve">★</w:t>
            </w:r>
            <w:r>
              <w:rPr>
                <w:rFonts w:hint="eastAsia" w:ascii="黑体" w:hAnsi="宋体" w:eastAsia="黑体" w:cs="黑体"/>
                <w:i w:val="0"/>
                <w:iCs w:val="0"/>
                <w:color w:val="000000"/>
                <w:sz w:val="20"/>
                <w:szCs w:val="20"/>
                <w:u w:val="none"/>
                <w:lang w:val="en-US" w:eastAsia="zh-CN" w:bidi="ar"/>
              </w:rPr>
              <w:t xml:space="preserve">云存储系统支持标准SNMP协议，支持获取超600种云存储集群信息。支持6大类信息获取接口，包括系统类接口、网络接口、CPU接口、存储介质接口、内存接口、以及云存储集群</w:t>
            </w:r>
            <w:r>
              <w:rPr>
                <w:rFonts w:hint="eastAsia" w:ascii="黑体" w:hAnsi="宋体" w:eastAsia="黑体" w:cs="黑体"/>
                <w:i w:val="0"/>
                <w:iCs w:val="0"/>
                <w:color w:val="000000"/>
                <w:sz w:val="20"/>
                <w:szCs w:val="20"/>
                <w:u w:val="none"/>
                <w:lang w:val="en-US" w:eastAsia="zh-CN" w:bidi="ar"/>
              </w:rPr>
              <w:t xml:space="preserve">服务检测接口。其中网络接口类信息监控支持超20种大类信息，包括服务器网络带宽、物理MAC地址、接收字节数等；存储介质类支持获取50种大类信息，包括硬盘容量、使用率、硬盘类型等；支持获取30种CPU运行信息，例如CPU负载、空闲CPU百分比、CPU实际消耗使用时间等；扩展支持26种云存储集群大类信息，包括集群带宽、读写速度、总文件数、总bucket数、总用户数、集群规模节点数、CPU和操作系统种类等。云存储服务器支持BMC远程访问，支持控制服务器开机、关机、重启，支持控制开启和关闭服务器硬盘的休眠节能功能等。</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主处理器：高性能六核处理器；</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操作系统：国产欧拉系统；</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控制器：单控制器；</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高速缓存：16GB DDR4 主频2666MHz；</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电源冗余：1+1冗余电源；</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网络接口：8个千兆数据电口；</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eSATA接口：1个；</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RS-232接口：1个；</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USB接口：2个USB 3.0接口，2个USB 2.0接口；</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硬盘个数：标配内置 1块 512G 企业级固态硬盘最大支持48个2.5"或3.5"的SATA硬盘或者SAS硬盘；</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供电方式：1200W；100V~240V交流，50/60Hz，支持热插拔；</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功耗：不大于800W（含硬盘）；</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工作温度：0℃～+45℃；</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工作湿度：10%～80%RH（无凝结）；</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8000G；7200RPM；</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24口千兆汇聚交换机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24口2.5G光+4口万兆光三层全网管 核心汇聚 企业级分线交换器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674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社会面接入网关</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支持不少于1个10/100Base-TX上行电口和4个10/100Base-TX用户端口，百兆吞吐量支持不大于12路 720/1080p(4M)高清并发调用</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★具备双向IP地址映射功能，产品应能够限制内网用户可以访问的外部网络地址范围以及外网用户能够访问的内部网络地址范围</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★能够限制内网用户可以访问的外部网络端口范围以及外网用户能够访问的内部网络端口范围</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★能够限制接入的外网或者内网用户允许通过的最大流量</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★具备端口隔离，能够将内网用户与外网用户隔离，两端用户均无法直接访问对端的网络资源</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支持静态路由功能；具备网络扫描防护功能</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具备包过滤功能，安全策略包含基于源IP地址、目的IP地址、源端口、目的端口、协议的访问控制</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★需符合JCTJ 005-2016（6.2.1/6.2.2）中的安全要求。</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支持包括Onvif、GB/T28181、第三方SDK等协议设备的接入；支持GA/T 1400.1-2017协议传输，支持结构化数据透传；支持专线、VPN、宽带固定地址；防内网攻击、外网攻击；</w:t>
            </w:r>
            <w:r>
              <w:rPr>
                <w:rFonts w:hint="eastAsia" w:ascii="黑体" w:hAnsi="宋体" w:eastAsia="黑体" w:cs="黑体"/>
                <w:i w:val="0"/>
                <w:iCs w:val="0"/>
                <w:color w:val="000000"/>
                <w:sz w:val="20"/>
                <w:szCs w:val="20"/>
                <w:u w:val="none"/>
                <w:lang w:val="en-US" w:eastAsia="zh-CN" w:bidi="ar"/>
              </w:rPr>
              <w:br/>
            </w:r>
            <w:r>
              <w:rPr>
                <w:rFonts w:hint="eastAsia" w:ascii="黑体" w:hAnsi="宋体" w:eastAsia="黑体" w:cs="黑体"/>
                <w:i w:val="0"/>
                <w:iCs w:val="0"/>
                <w:color w:val="000000"/>
                <w:sz w:val="20"/>
                <w:szCs w:val="20"/>
                <w:u w:val="none"/>
                <w:lang w:val="en-US" w:eastAsia="zh-CN" w:bidi="ar"/>
              </w:rPr>
              <w:t xml:space="preserve">产品支持对登录用户的周期性身份确认工作温度：-20～70℃；</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机房辅材</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含托盘，网络跳线等系统配套辅材</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left"/>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457"/>
        </w:trPr>
        <w:tc>
          <w:tcPr>
            <w:gridSpan w:val="8"/>
            <w:shd w:val="clear" w:color="auto" w:fill="auto"/>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1"/>
                <w:szCs w:val="21"/>
                <w:u w:val="none"/>
              </w:rPr>
              <w:suppressLineNumbers w:val="0"/>
            </w:pPr>
            <w:r>
              <w:rPr>
                <w:rStyle w:val="1154"/>
                <w:lang w:val="en-US" w:eastAsia="zh-CN" w:bidi="ar"/>
              </w:rPr>
              <w:t xml:space="preserve">说明</w:t>
            </w:r>
            <w:r>
              <w:rPr>
                <w:rStyle w:val="1155"/>
                <w:lang w:val="en-US" w:eastAsia="zh-CN" w:bidi="ar"/>
              </w:rPr>
              <w:t xml:space="preserve">:</w:t>
            </w:r>
            <w:r/>
          </w:p>
        </w:tc>
      </w:tr>
      <w:tr>
        <w:trPr>
          <w:trHeight w:val="524"/>
        </w:trPr>
        <w:tc>
          <w:tcPr>
            <w:gridSpan w:val="8"/>
            <w:shd w:val="clear" w:color="auto" w:fill="auto"/>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1、以上价款包括按招标文件规定的招标范围内采购清单所列项目的全部费用总和，包含但不限于深化设计、人工、辅材、设备硬件、线缆、运输、安装、调试、质保运维、保险、利润、税金、政策性文件规定、合同包含的所有风险、责任等各项应有费用、检测费用，直至通过甲方、监理单位及其他相关单位的验收，全程技术支持（包括但不限于技术资料、图纸的提供等）、人员培训至交付使用等全过程服务费用。</w:t>
            </w:r>
            <w:r/>
          </w:p>
        </w:tc>
      </w:tr>
      <w:tr>
        <w:trPr>
          <w:trHeight w:val="693"/>
        </w:trPr>
        <w:tc>
          <w:tcPr>
            <w:gridSpan w:val="8"/>
            <w:shd w:val="clear" w:color="auto" w:fill="auto"/>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1155"/>
                <w:lang w:val="en-US" w:eastAsia="zh-CN" w:bidi="ar"/>
              </w:rPr>
              <w:t xml:space="preserve">2</w:t>
            </w:r>
            <w:r>
              <w:rPr>
                <w:rStyle w:val="1154"/>
                <w:lang w:val="en-US" w:eastAsia="zh-CN" w:bidi="ar"/>
              </w:rPr>
              <w:t xml:space="preserve">、清单中项目材质、颜色、款式、做法需符合甲方要求，安装位置根据甲方要求设置，投标报价不因任何因素调整。</w:t>
            </w:r>
            <w:r/>
          </w:p>
        </w:tc>
      </w:tr>
    </w:tbl>
    <w:p>
      <w:pPr>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p>
    <w:p>
      <w:pPr>
        <w:spacing w:line="360" w:lineRule="auto"/>
        <w:rPr>
          <w:rFonts w:ascii="Times New Roman" w:hAnsi="Times New Roman" w:eastAsia="宋体" w:cs="Times New Roman"/>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sz w:val="24"/>
          <w:szCs w:val="20"/>
        </w:rPr>
        <w:t xml:space="preserve">日期：_____年______月______日 </w:t>
      </w:r>
      <w:r/>
    </w:p>
    <w:p>
      <w:pPr>
        <w:spacing w:line="360" w:lineRule="auto"/>
        <w:rPr>
          <w:color w:val="000000"/>
          <w:sz w:val="24"/>
          <w:szCs w:val="20"/>
        </w:rPr>
        <w:outlineLvl w:val="2"/>
      </w:pPr>
      <w:r>
        <w:rPr>
          <w:rFonts w:ascii="Times New Roman" w:hAnsi="Times New Roman" w:eastAsia="宋体" w:cs="Times New Roman"/>
          <w:color w:val="000000"/>
          <w:sz w:val="24"/>
          <w:szCs w:val="20"/>
        </w:rPr>
        <w:t xml:space="preserve"> </w:t>
      </w:r>
      <w:r>
        <w:rPr>
          <w:rFonts w:hint="eastAsia"/>
          <w:color w:val="000000"/>
          <w:sz w:val="24"/>
          <w:szCs w:val="20"/>
          <w:lang w:val="en-US" w:eastAsia="zh-CN"/>
        </w:rPr>
        <w:t xml:space="preserve">6</w:t>
      </w:r>
      <w:r>
        <w:rPr>
          <w:color w:val="000000"/>
          <w:sz w:val="24"/>
          <w:szCs w:val="20"/>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color w:val="000000"/>
          <w:sz w:val="24"/>
          <w:szCs w:val="20"/>
        </w:rPr>
        <w:t xml:space="preserve">（实质性格式）</w:t>
      </w:r>
      <w:r/>
    </w:p>
    <w:p>
      <w:pPr>
        <w:jc w:val="center"/>
        <w:spacing w:line="360" w:lineRule="auto"/>
        <w:tabs>
          <w:tab w:val="left" w:pos="2775" w:leader="none"/>
          <w:tab w:val="center" w:pos="4153" w:leader="none"/>
        </w:tabs>
        <w:rPr>
          <w:color w:val="000000"/>
          <w:sz w:val="24"/>
          <w:szCs w:val="20"/>
        </w:rPr>
      </w:pPr>
      <w:r>
        <w:rPr>
          <w:rFonts w:hint="eastAsia"/>
          <w:b/>
          <w:color w:val="000000"/>
          <w:sz w:val="36"/>
          <w:szCs w:val="36"/>
        </w:rPr>
        <w:t xml:space="preserve">合同条款偏离表</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160"/>
        <w:gridCol w:w="2070"/>
        <w:gridCol w:w="1815"/>
        <w:gridCol w:w="1732"/>
        <w:gridCol w:w="1048"/>
      </w:tblGrid>
      <w:tr>
        <w:trPr>
          <w:jc w:val="center"/>
          <w:trHeight w:val="1148"/>
        </w:trPr>
        <w:tc>
          <w:tcPr>
            <w:gridSpan w:val="6"/>
            <w:tcW w:w="9656" w:type="dxa"/>
            <w:vAlign w:val="center"/>
            <w:textDirection w:val="lrTb"/>
            <w:noWrap w:val="false"/>
          </w:tcPr>
          <w:p>
            <w:pPr>
              <w:jc w:val="left"/>
              <w:keepLines w:val="0"/>
              <w:keepNext w:val="0"/>
              <w:pageBreakBefore w:val="0"/>
              <w:spacing w:line="400" w:lineRule="exact"/>
              <w:widowControl w:val="off"/>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keepLines w:val="0"/>
              <w:keepNext w:val="0"/>
              <w:pageBreakBefore w:val="0"/>
              <w:spacing w:line="400" w:lineRule="exact"/>
              <w:widowControl w:val="off"/>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keepLines w:val="0"/>
              <w:keepNext w:val="0"/>
              <w:pageBreakBefore w:val="0"/>
              <w:spacing w:line="400" w:lineRule="exact"/>
              <w:widowControl w:val="off"/>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1" w:type="dxa"/>
            <w:vAlign w:val="center"/>
            <w:textDirection w:val="lrTb"/>
            <w:noWrap w:val="false"/>
          </w:tcPr>
          <w:p>
            <w:pPr>
              <w:jc w:val="center"/>
              <w:rPr>
                <w:b/>
                <w:bCs/>
                <w:color w:val="000000"/>
                <w:sz w:val="24"/>
              </w:rPr>
            </w:pPr>
            <w:r>
              <w:rPr>
                <w:b/>
                <w:bCs/>
                <w:color w:val="000000"/>
                <w:sz w:val="24"/>
              </w:rPr>
              <w:t xml:space="preserve">序号</w:t>
            </w:r>
            <w:r/>
          </w:p>
        </w:tc>
        <w:tc>
          <w:tcPr>
            <w:tcW w:w="2160" w:type="dxa"/>
            <w:vAlign w:val="center"/>
            <w:textDirection w:val="lrTb"/>
            <w:noWrap w:val="false"/>
          </w:tcPr>
          <w:p>
            <w:pPr>
              <w:jc w:val="center"/>
              <w:rPr>
                <w:b/>
                <w:bCs/>
                <w:color w:val="000000"/>
                <w:sz w:val="24"/>
              </w:rPr>
            </w:pPr>
            <w:r>
              <w:rPr>
                <w:b/>
                <w:bCs/>
                <w:color w:val="000000"/>
                <w:sz w:val="24"/>
                <w:szCs w:val="21"/>
              </w:rPr>
              <w:t xml:space="preserve">招标文件</w:t>
            </w:r>
            <w:r>
              <w:rPr>
                <w:b/>
                <w:bCs/>
                <w:color w:val="000000"/>
                <w:sz w:val="24"/>
              </w:rPr>
              <w:t xml:space="preserve">条目号</w:t>
            </w:r>
            <w:r/>
          </w:p>
          <w:p>
            <w:pPr>
              <w:jc w:val="center"/>
              <w:rPr>
                <w:b/>
                <w:bCs/>
                <w:color w:val="000000"/>
                <w:sz w:val="24"/>
              </w:rPr>
            </w:pPr>
            <w:r>
              <w:rPr>
                <w:b/>
                <w:bCs/>
                <w:color w:val="000000"/>
                <w:sz w:val="24"/>
              </w:rPr>
              <w:t xml:space="preserve">（页码）</w:t>
            </w:r>
            <w:r/>
          </w:p>
        </w:tc>
        <w:tc>
          <w:tcPr>
            <w:tcW w:w="2070" w:type="dxa"/>
            <w:vAlign w:val="center"/>
            <w:textDirection w:val="lrTb"/>
            <w:noWrap w:val="false"/>
          </w:tcPr>
          <w:p>
            <w:pPr>
              <w:jc w:val="center"/>
              <w:rPr>
                <w:b/>
                <w:bCs/>
                <w:color w:val="000000"/>
                <w:sz w:val="24"/>
              </w:rPr>
            </w:pPr>
            <w:r>
              <w:rPr>
                <w:b/>
                <w:bCs/>
                <w:color w:val="000000"/>
                <w:sz w:val="24"/>
                <w:szCs w:val="21"/>
              </w:rPr>
              <w:t xml:space="preserve">招标文件</w:t>
            </w:r>
            <w:r>
              <w:rPr>
                <w:b/>
                <w:bCs/>
                <w:color w:val="000000"/>
                <w:sz w:val="24"/>
              </w:rPr>
              <w:t xml:space="preserve">要求</w:t>
            </w:r>
            <w:r/>
          </w:p>
        </w:tc>
        <w:tc>
          <w:tcPr>
            <w:tcW w:w="1815" w:type="dxa"/>
            <w:vAlign w:val="center"/>
            <w:textDirection w:val="lrTb"/>
            <w:noWrap w:val="false"/>
          </w:tcPr>
          <w:p>
            <w:pPr>
              <w:jc w:val="center"/>
              <w:rPr>
                <w:b/>
                <w:bCs/>
                <w:color w:val="000000"/>
                <w:sz w:val="24"/>
              </w:rPr>
            </w:pPr>
            <w:r>
              <w:rPr>
                <w:b/>
                <w:bCs/>
                <w:color w:val="000000"/>
                <w:sz w:val="24"/>
              </w:rPr>
              <w:t xml:space="preserve">投标文件内容</w:t>
            </w:r>
            <w:r/>
          </w:p>
        </w:tc>
        <w:tc>
          <w:tcPr>
            <w:tcW w:w="1732" w:type="dxa"/>
            <w:vAlign w:val="center"/>
            <w:textDirection w:val="lrTb"/>
            <w:noWrap w:val="false"/>
          </w:tcPr>
          <w:p>
            <w:pPr>
              <w:jc w:val="center"/>
              <w:rPr>
                <w:b/>
                <w:bCs/>
                <w:color w:val="000000"/>
                <w:sz w:val="24"/>
              </w:rPr>
            </w:pPr>
            <w:r>
              <w:rPr>
                <w:b/>
                <w:bCs/>
                <w:color w:val="000000"/>
                <w:sz w:val="24"/>
              </w:rPr>
              <w:t xml:space="preserve">偏离情况</w:t>
            </w:r>
            <w:r/>
          </w:p>
        </w:tc>
        <w:tc>
          <w:tcPr>
            <w:tcW w:w="1048" w:type="dxa"/>
            <w:vAlign w:val="center"/>
            <w:textDirection w:val="lrTb"/>
            <w:noWrap w:val="false"/>
          </w:tcPr>
          <w:p>
            <w:pPr>
              <w:jc w:val="center"/>
              <w:rPr>
                <w:b/>
                <w:bCs/>
                <w:color w:val="000000"/>
                <w:sz w:val="24"/>
              </w:rPr>
            </w:pPr>
            <w:r>
              <w:rPr>
                <w:b/>
                <w:bCs/>
                <w:color w:val="000000"/>
                <w:sz w:val="24"/>
              </w:rPr>
              <w:t xml:space="preserve">说明</w:t>
            </w:r>
            <w:r/>
          </w:p>
        </w:tc>
      </w:tr>
      <w:tr>
        <w:trPr>
          <w:jc w:val="center"/>
          <w:trHeight w:val="930"/>
        </w:trPr>
        <w:tc>
          <w:tcPr>
            <w:tcW w:w="831" w:type="dxa"/>
            <w:vAlign w:val="center"/>
            <w:textDirection w:val="lrTb"/>
            <w:noWrap w:val="false"/>
          </w:tcPr>
          <w:p>
            <w:pPr>
              <w:jc w:val="center"/>
              <w:rPr>
                <w:color w:val="000000"/>
                <w:sz w:val="24"/>
              </w:rPr>
            </w:pPr>
            <w:r>
              <w:rPr>
                <w:color w:val="000000"/>
                <w:sz w:val="24"/>
              </w:rPr>
            </w:r>
            <w:r/>
          </w:p>
        </w:tc>
        <w:tc>
          <w:tcPr>
            <w:tcW w:w="2160" w:type="dxa"/>
            <w:vAlign w:val="center"/>
            <w:textDirection w:val="lrTb"/>
            <w:noWrap w:val="false"/>
          </w:tcPr>
          <w:p>
            <w:pPr>
              <w:jc w:val="center"/>
              <w:rPr>
                <w:color w:val="000000"/>
                <w:sz w:val="24"/>
              </w:rPr>
            </w:pPr>
            <w:r>
              <w:rPr>
                <w:color w:val="000000"/>
                <w:sz w:val="24"/>
              </w:rPr>
            </w:r>
            <w:r/>
          </w:p>
        </w:tc>
        <w:tc>
          <w:tcPr>
            <w:tcW w:w="2070" w:type="dxa"/>
            <w:vAlign w:val="center"/>
            <w:textDirection w:val="lrTb"/>
            <w:noWrap w:val="false"/>
          </w:tcPr>
          <w:p>
            <w:pPr>
              <w:jc w:val="center"/>
              <w:rPr>
                <w:color w:val="000000"/>
                <w:sz w:val="24"/>
              </w:rPr>
            </w:pPr>
            <w:r>
              <w:rPr>
                <w:color w:val="000000"/>
                <w:sz w:val="24"/>
              </w:rPr>
            </w:r>
            <w:r/>
          </w:p>
        </w:tc>
        <w:tc>
          <w:tcPr>
            <w:tcW w:w="1815" w:type="dxa"/>
            <w:vAlign w:val="center"/>
            <w:textDirection w:val="lrTb"/>
            <w:noWrap w:val="false"/>
          </w:tcPr>
          <w:p>
            <w:pPr>
              <w:jc w:val="center"/>
              <w:rPr>
                <w:color w:val="000000"/>
                <w:sz w:val="24"/>
              </w:rPr>
            </w:pPr>
            <w:r>
              <w:rPr>
                <w:color w:val="000000"/>
                <w:sz w:val="24"/>
              </w:rPr>
            </w:r>
            <w:r/>
          </w:p>
        </w:tc>
        <w:tc>
          <w:tcPr>
            <w:tcW w:w="1732" w:type="dxa"/>
            <w:vAlign w:val="center"/>
            <w:textDirection w:val="lrTb"/>
            <w:noWrap w:val="false"/>
          </w:tcPr>
          <w:p>
            <w:pPr>
              <w:jc w:val="center"/>
              <w:rPr>
                <w:color w:val="000000"/>
                <w:sz w:val="24"/>
              </w:rPr>
            </w:pPr>
            <w:r>
              <w:rPr>
                <w:color w:val="000000"/>
                <w:sz w:val="24"/>
              </w:rPr>
            </w:r>
            <w:r/>
          </w:p>
        </w:tc>
        <w:tc>
          <w:tcPr>
            <w:tcW w:w="1048" w:type="dxa"/>
            <w:vAlign w:val="center"/>
            <w:textDirection w:val="lrTb"/>
            <w:noWrap w:val="false"/>
          </w:tcPr>
          <w:p>
            <w:pPr>
              <w:jc w:val="center"/>
              <w:rPr>
                <w:color w:val="000000"/>
                <w:sz w:val="24"/>
              </w:rPr>
            </w:pPr>
            <w:r>
              <w:rPr>
                <w:color w:val="000000"/>
                <w:sz w:val="24"/>
              </w:rPr>
            </w:r>
            <w:r/>
          </w:p>
        </w:tc>
      </w:tr>
      <w:tr>
        <w:trPr>
          <w:jc w:val="center"/>
          <w:trHeight w:val="930"/>
        </w:trPr>
        <w:tc>
          <w:tcPr>
            <w:tcW w:w="831" w:type="dxa"/>
            <w:vAlign w:val="center"/>
            <w:textDirection w:val="lrTb"/>
            <w:noWrap w:val="false"/>
          </w:tcPr>
          <w:p>
            <w:pPr>
              <w:jc w:val="center"/>
              <w:rPr>
                <w:color w:val="000000"/>
                <w:sz w:val="24"/>
              </w:rPr>
            </w:pPr>
            <w:r>
              <w:rPr>
                <w:color w:val="000000"/>
                <w:sz w:val="24"/>
              </w:rPr>
            </w:r>
            <w:r/>
          </w:p>
        </w:tc>
        <w:tc>
          <w:tcPr>
            <w:tcW w:w="2160" w:type="dxa"/>
            <w:vAlign w:val="center"/>
            <w:textDirection w:val="lrTb"/>
            <w:noWrap w:val="false"/>
          </w:tcPr>
          <w:p>
            <w:pPr>
              <w:jc w:val="center"/>
              <w:rPr>
                <w:color w:val="000000"/>
                <w:sz w:val="24"/>
              </w:rPr>
            </w:pPr>
            <w:r>
              <w:rPr>
                <w:color w:val="000000"/>
                <w:sz w:val="24"/>
              </w:rPr>
            </w:r>
            <w:r/>
          </w:p>
        </w:tc>
        <w:tc>
          <w:tcPr>
            <w:tcW w:w="2070" w:type="dxa"/>
            <w:vAlign w:val="center"/>
            <w:textDirection w:val="lrTb"/>
            <w:noWrap w:val="false"/>
          </w:tcPr>
          <w:p>
            <w:pPr>
              <w:jc w:val="center"/>
              <w:rPr>
                <w:color w:val="000000"/>
                <w:sz w:val="24"/>
              </w:rPr>
            </w:pPr>
            <w:r>
              <w:rPr>
                <w:color w:val="000000"/>
                <w:sz w:val="24"/>
              </w:rPr>
            </w:r>
            <w:r/>
          </w:p>
        </w:tc>
        <w:tc>
          <w:tcPr>
            <w:tcW w:w="1815" w:type="dxa"/>
            <w:vAlign w:val="center"/>
            <w:textDirection w:val="lrTb"/>
            <w:noWrap w:val="false"/>
          </w:tcPr>
          <w:p>
            <w:pPr>
              <w:jc w:val="center"/>
              <w:rPr>
                <w:color w:val="000000"/>
                <w:sz w:val="24"/>
              </w:rPr>
            </w:pPr>
            <w:r>
              <w:rPr>
                <w:color w:val="000000"/>
                <w:sz w:val="24"/>
              </w:rPr>
            </w:r>
            <w:r/>
          </w:p>
        </w:tc>
        <w:tc>
          <w:tcPr>
            <w:tcW w:w="1732" w:type="dxa"/>
            <w:vAlign w:val="center"/>
            <w:textDirection w:val="lrTb"/>
            <w:noWrap w:val="false"/>
          </w:tcPr>
          <w:p>
            <w:pPr>
              <w:jc w:val="center"/>
              <w:rPr>
                <w:color w:val="000000"/>
                <w:sz w:val="24"/>
              </w:rPr>
            </w:pPr>
            <w:r>
              <w:rPr>
                <w:color w:val="000000"/>
                <w:sz w:val="24"/>
              </w:rPr>
            </w:r>
            <w:r/>
          </w:p>
        </w:tc>
        <w:tc>
          <w:tcPr>
            <w:tcW w:w="1048" w:type="dxa"/>
            <w:vAlign w:val="center"/>
            <w:textDirection w:val="lrTb"/>
            <w:noWrap w:val="false"/>
          </w:tcPr>
          <w:p>
            <w:pPr>
              <w:jc w:val="center"/>
              <w:rPr>
                <w:color w:val="000000"/>
                <w:sz w:val="24"/>
              </w:rPr>
            </w:pPr>
            <w:r>
              <w:rPr>
                <w:color w:val="000000"/>
                <w:sz w:val="24"/>
              </w:rPr>
            </w:r>
            <w:r/>
          </w:p>
        </w:tc>
      </w:tr>
      <w:tr>
        <w:trPr>
          <w:jc w:val="center"/>
          <w:trHeight w:val="930"/>
        </w:trPr>
        <w:tc>
          <w:tcPr>
            <w:tcW w:w="831" w:type="dxa"/>
            <w:vAlign w:val="center"/>
            <w:textDirection w:val="lrTb"/>
            <w:noWrap w:val="false"/>
          </w:tcPr>
          <w:p>
            <w:pPr>
              <w:jc w:val="center"/>
              <w:rPr>
                <w:color w:val="000000"/>
                <w:sz w:val="24"/>
              </w:rPr>
            </w:pPr>
            <w:r>
              <w:rPr>
                <w:color w:val="000000"/>
                <w:sz w:val="24"/>
              </w:rPr>
            </w:r>
            <w:r/>
          </w:p>
        </w:tc>
        <w:tc>
          <w:tcPr>
            <w:tcW w:w="2160" w:type="dxa"/>
            <w:vAlign w:val="center"/>
            <w:textDirection w:val="lrTb"/>
            <w:noWrap w:val="false"/>
          </w:tcPr>
          <w:p>
            <w:pPr>
              <w:jc w:val="center"/>
              <w:rPr>
                <w:color w:val="000000"/>
                <w:sz w:val="24"/>
              </w:rPr>
            </w:pPr>
            <w:r>
              <w:rPr>
                <w:color w:val="000000"/>
                <w:sz w:val="24"/>
              </w:rPr>
            </w:r>
            <w:r/>
          </w:p>
        </w:tc>
        <w:tc>
          <w:tcPr>
            <w:tcW w:w="2070" w:type="dxa"/>
            <w:vAlign w:val="center"/>
            <w:textDirection w:val="lrTb"/>
            <w:noWrap w:val="false"/>
          </w:tcPr>
          <w:p>
            <w:pPr>
              <w:jc w:val="center"/>
              <w:rPr>
                <w:color w:val="000000"/>
                <w:sz w:val="24"/>
              </w:rPr>
            </w:pPr>
            <w:r>
              <w:rPr>
                <w:color w:val="000000"/>
                <w:sz w:val="24"/>
              </w:rPr>
            </w:r>
            <w:r/>
          </w:p>
        </w:tc>
        <w:tc>
          <w:tcPr>
            <w:tcW w:w="1815" w:type="dxa"/>
            <w:vAlign w:val="center"/>
            <w:textDirection w:val="lrTb"/>
            <w:noWrap w:val="false"/>
          </w:tcPr>
          <w:p>
            <w:pPr>
              <w:jc w:val="center"/>
              <w:rPr>
                <w:color w:val="000000"/>
                <w:sz w:val="24"/>
              </w:rPr>
            </w:pPr>
            <w:r>
              <w:rPr>
                <w:color w:val="000000"/>
                <w:sz w:val="24"/>
              </w:rPr>
            </w:r>
            <w:r/>
          </w:p>
        </w:tc>
        <w:tc>
          <w:tcPr>
            <w:tcW w:w="1732" w:type="dxa"/>
            <w:vAlign w:val="center"/>
            <w:textDirection w:val="lrTb"/>
            <w:noWrap w:val="false"/>
          </w:tcPr>
          <w:p>
            <w:pPr>
              <w:jc w:val="center"/>
              <w:rPr>
                <w:color w:val="000000"/>
                <w:sz w:val="24"/>
              </w:rPr>
            </w:pPr>
            <w:r>
              <w:rPr>
                <w:color w:val="000000"/>
                <w:sz w:val="24"/>
              </w:rPr>
            </w:r>
            <w:r/>
          </w:p>
        </w:tc>
        <w:tc>
          <w:tcPr>
            <w:tcW w:w="1048" w:type="dxa"/>
            <w:vAlign w:val="center"/>
            <w:textDirection w:val="lrTb"/>
            <w:noWrap w:val="false"/>
          </w:tcPr>
          <w:p>
            <w:pPr>
              <w:jc w:val="center"/>
              <w:rPr>
                <w:color w:val="000000"/>
                <w:sz w:val="24"/>
              </w:rPr>
            </w:pPr>
            <w:r>
              <w:rPr>
                <w:color w:val="000000"/>
                <w:sz w:val="24"/>
              </w:rPr>
            </w:r>
            <w:r/>
          </w:p>
        </w:tc>
      </w:tr>
      <w:tr>
        <w:trPr>
          <w:jc w:val="center"/>
          <w:trHeight w:val="930"/>
        </w:trPr>
        <w:tc>
          <w:tcPr>
            <w:tcW w:w="831" w:type="dxa"/>
            <w:vAlign w:val="center"/>
            <w:textDirection w:val="lrTb"/>
            <w:noWrap w:val="false"/>
          </w:tcPr>
          <w:p>
            <w:pPr>
              <w:jc w:val="center"/>
              <w:rPr>
                <w:color w:val="000000"/>
                <w:sz w:val="24"/>
              </w:rPr>
            </w:pPr>
            <w:r>
              <w:rPr>
                <w:color w:val="000000"/>
                <w:sz w:val="24"/>
              </w:rPr>
              <w:t xml:space="preserve">……</w:t>
            </w:r>
            <w:r/>
          </w:p>
        </w:tc>
        <w:tc>
          <w:tcPr>
            <w:tcW w:w="2160" w:type="dxa"/>
            <w:vAlign w:val="center"/>
            <w:textDirection w:val="lrTb"/>
            <w:noWrap w:val="false"/>
          </w:tcPr>
          <w:p>
            <w:pPr>
              <w:jc w:val="center"/>
              <w:rPr>
                <w:color w:val="000000"/>
                <w:sz w:val="24"/>
              </w:rPr>
            </w:pPr>
            <w:r>
              <w:rPr>
                <w:color w:val="000000"/>
                <w:sz w:val="24"/>
              </w:rPr>
            </w:r>
            <w:r/>
          </w:p>
        </w:tc>
        <w:tc>
          <w:tcPr>
            <w:tcW w:w="2070" w:type="dxa"/>
            <w:vAlign w:val="center"/>
            <w:textDirection w:val="lrTb"/>
            <w:noWrap w:val="false"/>
          </w:tcPr>
          <w:p>
            <w:pPr>
              <w:jc w:val="center"/>
              <w:rPr>
                <w:color w:val="000000"/>
                <w:sz w:val="24"/>
              </w:rPr>
            </w:pPr>
            <w:r>
              <w:rPr>
                <w:color w:val="000000"/>
                <w:sz w:val="24"/>
              </w:rPr>
            </w:r>
            <w:r/>
          </w:p>
        </w:tc>
        <w:tc>
          <w:tcPr>
            <w:tcW w:w="1815" w:type="dxa"/>
            <w:vAlign w:val="center"/>
            <w:textDirection w:val="lrTb"/>
            <w:noWrap w:val="false"/>
          </w:tcPr>
          <w:p>
            <w:pPr>
              <w:jc w:val="center"/>
              <w:rPr>
                <w:color w:val="000000"/>
                <w:sz w:val="24"/>
              </w:rPr>
            </w:pPr>
            <w:r>
              <w:rPr>
                <w:color w:val="000000"/>
                <w:sz w:val="24"/>
              </w:rPr>
            </w:r>
            <w:r/>
          </w:p>
        </w:tc>
        <w:tc>
          <w:tcPr>
            <w:tcW w:w="1732" w:type="dxa"/>
            <w:vAlign w:val="center"/>
            <w:textDirection w:val="lrTb"/>
            <w:noWrap w:val="false"/>
          </w:tcPr>
          <w:p>
            <w:pPr>
              <w:jc w:val="center"/>
              <w:rPr>
                <w:color w:val="000000"/>
                <w:sz w:val="24"/>
              </w:rPr>
            </w:pPr>
            <w:r>
              <w:rPr>
                <w:color w:val="000000"/>
                <w:sz w:val="24"/>
              </w:rPr>
            </w:r>
            <w:r/>
          </w:p>
        </w:tc>
        <w:tc>
          <w:tcPr>
            <w:tcW w:w="104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注：1.对合同条款中的所有要求，除本表所列明的所有偏离外，均视作供应商已对之理解和响应。</w:t>
      </w:r>
      <w:r/>
    </w:p>
    <w:p>
      <w:pPr>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2.“偏离情况”列应据实填写“正偏离”或“负偏离”。</w:t>
      </w:r>
      <w:r/>
    </w:p>
    <w:p>
      <w:pPr>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color w:val="000000"/>
          <w:sz w:val="24"/>
          <w:szCs w:val="20"/>
        </w:rPr>
        <w:t xml:space="preserve">采购需求偏离表（实质性格式）</w:t>
      </w:r>
      <w:r/>
    </w:p>
    <w:p>
      <w:pPr>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40"/>
        <w:gridCol w:w="1905"/>
        <w:gridCol w:w="1800"/>
        <w:gridCol w:w="1929"/>
        <w:gridCol w:w="1191"/>
      </w:tblGrid>
      <w:tr>
        <w:trPr>
          <w:jc w:val="center"/>
          <w:trHeight w:val="1238"/>
        </w:trPr>
        <w:tc>
          <w:tcPr>
            <w:gridSpan w:val="6"/>
            <w:tcW w:w="9799" w:type="dxa"/>
            <w:vAlign w:val="center"/>
            <w:textDirection w:val="lrTb"/>
            <w:noWrap w:val="false"/>
          </w:tcPr>
          <w:p>
            <w:pPr>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项目采购需求</w:t>
            </w:r>
            <w:r>
              <w:rPr>
                <w:rFonts w:ascii="Times New Roman" w:hAnsi="Times New Roman" w:eastAsia="宋体" w:cs="Times New Roman"/>
                <w:b/>
                <w:color w:val="000000"/>
                <w:sz w:val="24"/>
              </w:rPr>
              <w:t xml:space="preserve">的偏离情况（请进行勾选）：</w:t>
            </w:r>
            <w:r/>
          </w:p>
          <w:p>
            <w:pPr>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p>
          <w:p>
            <w:pPr>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序号</w:t>
            </w:r>
            <w:r/>
          </w:p>
        </w:tc>
        <w:tc>
          <w:tcPr>
            <w:tcW w:w="2140" w:type="dxa"/>
            <w:vAlign w:val="center"/>
            <w:textDirection w:val="lrTb"/>
            <w:noWrap w:val="false"/>
          </w:tcPr>
          <w:p>
            <w:pPr>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条目号（页码）</w:t>
            </w:r>
            <w:r/>
          </w:p>
        </w:tc>
        <w:tc>
          <w:tcPr>
            <w:tcW w:w="1905" w:type="dxa"/>
            <w:vAlign w:val="center"/>
            <w:textDirection w:val="lrTb"/>
            <w:noWrap w:val="false"/>
          </w:tcPr>
          <w:p>
            <w:pPr>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要求</w:t>
            </w:r>
            <w:r/>
          </w:p>
        </w:tc>
        <w:tc>
          <w:tcPr>
            <w:tcW w:w="1800" w:type="dxa"/>
            <w:vAlign w:val="center"/>
            <w:textDirection w:val="lrTb"/>
            <w:noWrap w:val="false"/>
          </w:tcPr>
          <w:p>
            <w:pPr>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投标文件内容</w:t>
            </w:r>
            <w:r/>
          </w:p>
        </w:tc>
        <w:tc>
          <w:tcPr>
            <w:tcW w:w="1929" w:type="dxa"/>
            <w:vAlign w:val="center"/>
            <w:textDirection w:val="lrTb"/>
            <w:noWrap w:val="false"/>
          </w:tcPr>
          <w:p>
            <w:pPr>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偏离情况</w:t>
            </w:r>
            <w:r/>
          </w:p>
        </w:tc>
        <w:tc>
          <w:tcPr>
            <w:tcW w:w="1191" w:type="dxa"/>
            <w:vAlign w:val="center"/>
            <w:textDirection w:val="lrTb"/>
            <w:noWrap w:val="false"/>
          </w:tcPr>
          <w:p>
            <w:pPr>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说明</w:t>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p>
        </w:tc>
        <w:tc>
          <w:tcPr>
            <w:tcW w:w="214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 对采购需求中的所有要求，除本表所列明的所有偏离外，均视作供应商已对之理解和响应。</w:t>
      </w:r>
      <w:r/>
    </w:p>
    <w:p>
      <w:pPr>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 “偏离情况”列应据实填写“正偏离”或“负偏离”。</w:t>
      </w:r>
      <w:r/>
    </w:p>
    <w:p>
      <w:pPr>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p>
    <w:p>
      <w:pPr>
        <w:spacing w:line="360" w:lineRule="auto"/>
        <w:rPr>
          <w:rFonts w:hint="eastAsia" w:ascii="宋体" w:hAnsi="宋体" w:eastAsia="宋体" w:cs="宋体"/>
          <w:b w:val="0"/>
          <w:bCs/>
          <w:szCs w:val="21"/>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b w:val="0"/>
          <w:bCs/>
          <w:szCs w:val="21"/>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jc w:val="center"/>
        <w:keepLines w:val="0"/>
        <w:keepNext w:val="0"/>
        <w:pageBreakBefore w:val="0"/>
        <w:spacing w:line="720" w:lineRule="exact"/>
        <w:widowControl w:val="off"/>
        <w:rPr>
          <w:rFonts w:hint="eastAsia" w:ascii="宋体" w:hAnsi="宋体" w:eastAsia="宋体" w:cs="宋体"/>
          <w:b/>
          <w:bCs/>
          <w:sz w:val="28"/>
          <w:szCs w:val="28"/>
          <w:highlight w:val="white"/>
          <w:lang w:val="en-US" w:eastAsia="zh-CN" w:bidi="ar-SA"/>
        </w:rPr>
      </w:pPr>
      <w:r>
        <w:rPr>
          <w:rFonts w:hint="eastAsia" w:ascii="宋体" w:hAnsi="宋体" w:eastAsia="宋体" w:cs="宋体"/>
          <w:b/>
          <w:bCs/>
          <w:sz w:val="28"/>
          <w:szCs w:val="28"/>
          <w:highlight w:val="white"/>
          <w:lang w:val="en-US" w:eastAsia="zh-CN" w:bidi="ar-SA"/>
        </w:rPr>
        <w:t xml:space="preserve">承诺函</w:t>
      </w:r>
      <w:r/>
    </w:p>
    <w:p>
      <w:pPr>
        <w:keepLines w:val="0"/>
        <w:keepNext w:val="0"/>
        <w:pageBreakBefore w:val="0"/>
        <w:spacing w:line="720" w:lineRule="exact"/>
        <w:widowControl w:val="off"/>
        <w:rPr>
          <w:rFonts w:hint="eastAsia" w:ascii="宋体" w:hAnsi="宋体" w:eastAsia="宋体" w:cs="宋体"/>
          <w:b/>
          <w:bCs/>
          <w:sz w:val="24"/>
          <w:szCs w:val="24"/>
          <w:highlight w:val="none"/>
          <w:lang w:val="en-US" w:eastAsia="zh-CN" w:bidi="ar-SA"/>
        </w:rPr>
      </w:pPr>
      <w:r/>
      <w:bookmarkStart w:id="911" w:name="_GoBack"/>
      <w:r>
        <w:rPr>
          <w:rFonts w:hint="eastAsia" w:ascii="宋体" w:hAnsi="宋体" w:eastAsia="宋体" w:cs="宋体"/>
          <w:b/>
          <w:bCs/>
          <w:sz w:val="24"/>
          <w:szCs w:val="24"/>
          <w:highlight w:val="none"/>
          <w:lang w:val="en-US" w:eastAsia="zh-CN" w:bidi="ar-SA"/>
        </w:rPr>
        <w:t xml:space="preserve">常州市金坛区金城镇人民政府：</w:t>
      </w:r>
      <w:r/>
    </w:p>
    <w:p>
      <w:pPr>
        <w:numPr>
          <w:ilvl w:val="0"/>
          <w:numId w:val="19"/>
        </w:numPr>
        <w:ind w:firstLine="482"/>
        <w:keepLines w:val="0"/>
        <w:keepNext w:val="0"/>
        <w:pageBreakBefore w:val="0"/>
        <w:spacing w:line="72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我单位承诺我司提供的本项目产品均满足清单中★号参数要求。</w:t>
      </w:r>
      <w:r/>
    </w:p>
    <w:p>
      <w:pPr>
        <w:numPr>
          <w:ilvl w:val="0"/>
          <w:numId w:val="19"/>
        </w:numPr>
        <w:ind w:firstLine="482"/>
        <w:keepLines w:val="0"/>
        <w:keepNext w:val="0"/>
        <w:pageBreakBefore w:val="0"/>
        <w:spacing w:line="720" w:lineRule="exact"/>
        <w:widowControl w:val="off"/>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若</w:t>
      </w:r>
      <w:r>
        <w:rPr>
          <w:rFonts w:hint="eastAsia" w:ascii="宋体" w:hAnsi="宋体" w:eastAsia="宋体" w:cs="宋体"/>
          <w:b/>
          <w:bCs/>
          <w:sz w:val="24"/>
          <w:szCs w:val="24"/>
          <w:highlight w:val="none"/>
          <w:lang w:val="en-US" w:eastAsia="zh-CN" w:bidi="ar-SA"/>
        </w:rPr>
        <w:t xml:space="preserve">我单位</w:t>
      </w:r>
      <w:r>
        <w:rPr>
          <w:rFonts w:hint="default" w:ascii="宋体" w:hAnsi="宋体" w:eastAsia="宋体" w:cs="宋体"/>
          <w:b/>
          <w:bCs/>
          <w:sz w:val="24"/>
          <w:szCs w:val="24"/>
          <w:highlight w:val="none"/>
          <w:lang w:val="en-US" w:eastAsia="zh-CN" w:bidi="ar-SA"/>
        </w:rPr>
        <w:t xml:space="preserve">中标，将在合同签订前 ，按采购人要求提交所投产品对应的完整、真实、有效的检测报告供采购人审核；检测报告内容应涵盖采购需求中明确要求的技术参数或性能指标（如有）；如未能按时提供、提供不全、所提供内容与投标文件不符或存在弄虚作假行为，本公司自愿接受采购人取消中标资格，并承担由此产生的一切法律责任。</w:t>
      </w:r>
      <w:bookmarkEnd w:id="911"/>
      <w:r/>
      <w:r/>
    </w:p>
    <w:p>
      <w:pPr>
        <w:keepLines w:val="0"/>
        <w:keepNext w:val="0"/>
        <w:pageBreakBefore w:val="0"/>
        <w:spacing w:line="7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keepLines w:val="0"/>
        <w:keepNext w:val="0"/>
        <w:pageBreakBefore w:val="0"/>
        <w:spacing w:line="7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jc w:val="right"/>
        <w:keepLines w:val="0"/>
        <w:keepNext w:val="0"/>
        <w:pageBreakBefore w:val="0"/>
        <w:spacing w:line="72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投标人：</w:t>
      </w:r>
      <w:r>
        <w:rPr>
          <w:rFonts w:hint="eastAsia" w:ascii="宋体" w:hAnsi="宋体" w:eastAsia="宋体" w:cs="宋体"/>
          <w:sz w:val="24"/>
          <w:szCs w:val="24"/>
          <w:highlight w:val="white"/>
          <w:u w:val="single"/>
        </w:rPr>
        <w:t xml:space="preserve">                        （盖单位公章）</w:t>
      </w:r>
      <w:r/>
    </w:p>
    <w:p>
      <w:pPr>
        <w:ind w:firstLine="2880"/>
        <w:keepLines w:val="0"/>
        <w:keepNext w:val="0"/>
        <w:pageBreakBefore w:val="0"/>
        <w:spacing w:line="720" w:lineRule="exact"/>
        <w:widowControl w:val="off"/>
        <w:rPr>
          <w:rFonts w:hint="eastAsia" w:ascii="宋体" w:hAnsi="宋体" w:eastAsia="宋体" w:cs="宋体"/>
          <w:sz w:val="24"/>
          <w:szCs w:val="24"/>
          <w:u w:val="single"/>
        </w:rPr>
      </w:pPr>
      <w:r>
        <w:rPr>
          <w:rFonts w:hint="eastAsia" w:ascii="宋体" w:hAnsi="宋体" w:eastAsia="宋体" w:cs="宋体"/>
          <w:sz w:val="24"/>
          <w:szCs w:val="24"/>
          <w:highlight w:val="white"/>
        </w:rPr>
        <w:t xml:space="preserve">日期：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年</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日</w:t>
      </w:r>
      <w:r/>
    </w:p>
    <w:p>
      <w:pPr>
        <w:numPr>
          <w:ilvl w:val="0"/>
          <w:numId w:val="0"/>
        </w:numPr>
        <w:keepLines w:val="0"/>
        <w:keepNext w:val="0"/>
        <w:pageBreakBefore w:val="0"/>
        <w:spacing w:line="520" w:lineRule="exact"/>
        <w:widowControl w:val="off"/>
        <w:rPr>
          <w:rFonts w:hint="eastAsia" w:ascii="宋体" w:hAnsi="宋体" w:eastAsia="宋体" w:cs="宋体"/>
          <w:b/>
          <w:bCs/>
          <w:sz w:val="24"/>
          <w:szCs w:val="24"/>
          <w:highlight w:val="white"/>
          <w:lang w:val="en-US" w:eastAsia="zh-CN" w:bidi="ar-SA"/>
        </w:rPr>
      </w:pPr>
      <w:r>
        <w:rPr>
          <w:rFonts w:hint="eastAsia" w:ascii="宋体" w:hAnsi="宋体" w:eastAsia="宋体" w:cs="宋体"/>
          <w:b/>
          <w:bCs/>
          <w:sz w:val="24"/>
          <w:szCs w:val="24"/>
          <w:highlight w:val="white"/>
          <w:lang w:val="en-US" w:eastAsia="zh-CN" w:bidi="ar-SA"/>
        </w:rPr>
      </w:r>
      <w:r/>
    </w:p>
    <w:p>
      <w:pPr>
        <w:numPr>
          <w:ilvl w:val="0"/>
          <w:numId w:val="0"/>
        </w:numPr>
        <w:keepLines w:val="0"/>
        <w:keepNext w:val="0"/>
        <w:pageBreakBefore w:val="0"/>
        <w:spacing w:line="520" w:lineRule="exact"/>
        <w:widowControl w:val="off"/>
        <w:rPr>
          <w:rFonts w:hint="default" w:ascii="宋体" w:hAnsi="宋体" w:eastAsia="宋体" w:cs="宋体"/>
          <w:b/>
          <w:bCs/>
          <w:sz w:val="24"/>
          <w:szCs w:val="24"/>
          <w:highlight w:val="white"/>
          <w:lang w:val="en-US" w:eastAsia="zh-CN" w:bidi="ar-SA"/>
        </w:rPr>
      </w:pPr>
      <w:r>
        <w:rPr>
          <w:rFonts w:hint="default" w:ascii="宋体" w:hAnsi="宋体" w:eastAsia="宋体" w:cs="宋体"/>
          <w:b/>
          <w:bCs/>
          <w:sz w:val="24"/>
          <w:szCs w:val="24"/>
          <w:highlight w:val="white"/>
          <w:lang w:val="en-US" w:eastAsia="zh-CN" w:bidi="ar-SA"/>
        </w:rPr>
      </w:r>
      <w:r/>
    </w:p>
    <w:p>
      <w:pPr>
        <w:rPr>
          <w:rFonts w:hint="eastAsia" w:ascii="宋体" w:hAnsi="宋体" w:eastAsia="宋体" w:cs="宋体"/>
          <w:b/>
          <w:bCs/>
          <w:sz w:val="28"/>
          <w:szCs w:val="28"/>
          <w:highlight w:val="white"/>
          <w:lang w:val="en-US" w:eastAsia="zh-CN" w:bidi="ar-SA"/>
        </w:rPr>
      </w:pPr>
      <w:r>
        <w:rPr>
          <w:rFonts w:hint="eastAsia" w:ascii="宋体" w:hAnsi="宋体" w:eastAsia="宋体" w:cs="宋体"/>
          <w:b/>
          <w:bCs/>
          <w:color w:val="ff0000"/>
          <w:sz w:val="24"/>
          <w:szCs w:val="24"/>
          <w:lang w:val="en-US"/>
        </w:rPr>
        <w:t xml:space="preserve">注：除可填报项目外，任何实质性修改将被视为非实质性响应投标，从而导致该投标被拒绝，作无效投标文件处理。</w:t>
      </w:r>
      <w:r/>
    </w:p>
    <w:p>
      <w:r/>
      <w:r/>
    </w:p>
    <w:p>
      <w:r/>
      <w:r/>
    </w:p>
    <w:p>
      <w:r/>
      <w:r/>
    </w:p>
    <w:p>
      <w:r/>
      <w:r/>
    </w:p>
    <w:p>
      <w:r/>
      <w:r/>
    </w:p>
    <w:p>
      <w:r/>
      <w:r/>
    </w:p>
    <w:p>
      <w:r/>
      <w:r/>
    </w:p>
    <w:p>
      <w:r/>
      <w:r/>
    </w:p>
    <w:p>
      <w:r/>
      <w:r/>
    </w:p>
    <w:p>
      <w:r/>
      <w:r/>
    </w:p>
    <w:p>
      <w:r/>
      <w:r/>
    </w:p>
    <w:p>
      <w:r/>
      <w:r/>
    </w:p>
    <w:p>
      <w:r/>
      <w:r/>
    </w:p>
    <w:p>
      <w:r/>
      <w:r/>
    </w:p>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left="0" w:firstLine="562"/>
        <w:jc w:val="center"/>
        <w:keepLines w:val="0"/>
        <w:keepNext w:val="0"/>
        <w:pageBreakBefore w:val="0"/>
        <w:spacing w:line="360" w:lineRule="auto"/>
        <w:widowControl w:val="off"/>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left="0" w:firstLine="562"/>
        <w:jc w:val="center"/>
        <w:keepLines w:val="0"/>
        <w:keepNext w:val="0"/>
        <w:pageBreakBefore w:val="0"/>
        <w:spacing w:line="360" w:lineRule="auto"/>
        <w:widowControl w:val="off"/>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left="0" w:firstLine="562"/>
        <w:jc w:val="center"/>
        <w:keepLines w:val="0"/>
        <w:keepNext w:val="0"/>
        <w:pageBreakBefore w:val="0"/>
        <w:spacing w:line="360" w:lineRule="auto"/>
        <w:widowControl w:val="off"/>
        <w:rPr>
          <w:rFonts w:hint="eastAsia" w:ascii="宋体" w:hAnsi="宋体" w:cs="宋体"/>
          <w:b w:val="0"/>
          <w:bCs w:val="0"/>
          <w:color w:val="auto"/>
          <w:sz w:val="24"/>
          <w:szCs w:val="24"/>
          <w:highlight w:val="none"/>
          <w:u w:val="single"/>
          <w:lang w:val="en-US" w:eastAsia="zh-CN" w:bidi="ar-SA"/>
        </w:rPr>
      </w:pPr>
      <w:r>
        <w:rPr>
          <w:rFonts w:hint="eastAsia" w:ascii="宋体" w:hAnsi="宋体" w:cs="宋体"/>
          <w:b/>
          <w:bCs/>
          <w:sz w:val="24"/>
          <w:szCs w:val="24"/>
          <w:lang w:val="en-US" w:eastAsia="zh-CN" w:bidi="ar-SA"/>
        </w:rPr>
        <w:t xml:space="preserve">承诺书</w:t>
      </w:r>
      <w:r/>
    </w:p>
    <w:p>
      <w:pPr>
        <w:ind w:left="0" w:firstLine="562"/>
        <w:keepLines w:val="0"/>
        <w:keepNext w:val="0"/>
        <w:pageBreakBefore w:val="0"/>
        <w:spacing w:line="360" w:lineRule="auto"/>
        <w:widowControl w:val="off"/>
        <w:rPr>
          <w:rFonts w:hint="eastAsia" w:ascii="宋体" w:hAnsi="宋体" w:cs="宋体"/>
          <w:b w:val="0"/>
          <w:bCs w:val="0"/>
          <w:color w:val="auto"/>
          <w:sz w:val="24"/>
          <w:szCs w:val="24"/>
          <w:highlight w:val="none"/>
          <w:u w:val="single"/>
          <w:lang w:val="en-US" w:eastAsia="zh-CN" w:bidi="ar-SA"/>
        </w:rPr>
      </w:pPr>
      <w:r>
        <w:rPr>
          <w:rFonts w:hint="eastAsia" w:ascii="宋体" w:hAnsi="宋体" w:cs="宋体"/>
          <w:b w:val="0"/>
          <w:bCs w:val="0"/>
          <w:color w:val="auto"/>
          <w:sz w:val="24"/>
          <w:szCs w:val="24"/>
          <w:highlight w:val="none"/>
          <w:u w:val="single"/>
          <w:lang w:val="en-US" w:eastAsia="zh-CN" w:bidi="ar-SA"/>
        </w:rPr>
      </w:r>
      <w:r/>
    </w:p>
    <w:p>
      <w:pPr>
        <w:ind w:left="0" w:firstLine="562"/>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（响应人名称）：</w:t>
      </w:r>
      <w:r/>
    </w:p>
    <w:p>
      <w:pPr>
        <w:ind w:left="0" w:firstLine="56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1153"/>
        <w:numPr>
          <w:ilvl w:val="0"/>
          <w:numId w:val="0"/>
        </w:numPr>
        <w:ind w:firstLine="480"/>
        <w:keepLines w:val="0"/>
        <w:keepNext w:val="0"/>
        <w:pageBreakBefore w:val="0"/>
        <w:spacing w:line="440" w:lineRule="atLeast"/>
        <w:widowControl w:val="off"/>
        <w:rPr>
          <w:rFonts w:hint="default" w:ascii="宋体" w:hAnsi="宋体" w:cs="宋体"/>
          <w:b/>
          <w:bCs/>
          <w:sz w:val="24"/>
          <w:szCs w:val="24"/>
          <w:lang w:val="en-US" w:eastAsia="zh-CN" w:bidi="ar-SA"/>
        </w:rPr>
      </w:pPr>
      <w:r>
        <w:rPr>
          <w:rFonts w:hint="eastAsia" w:ascii="宋体" w:hAnsi="宋体" w:cs="宋体"/>
          <w:b w:val="0"/>
          <w:bCs w:val="0"/>
          <w:color w:val="auto"/>
          <w:sz w:val="24"/>
          <w:szCs w:val="24"/>
          <w:highlight w:val="none"/>
          <w:lang w:val="en-US" w:eastAsia="zh-CN"/>
        </w:rPr>
        <w:t xml:space="preserve">我单位承诺</w:t>
      </w:r>
      <w:r>
        <w:rPr>
          <w:rFonts w:hint="eastAsia" w:ascii="宋体" w:hAnsi="宋体" w:cs="宋体"/>
          <w:sz w:val="24"/>
          <w:szCs w:val="24"/>
          <w14:ligatures w14:val="none"/>
        </w:rPr>
        <w:t xml:space="preserve">金坛区金城镇2026年度城镇老旧小区改造项目智能化、通讯改造</w:t>
      </w:r>
      <w:r>
        <w:rPr>
          <w:rFonts w:hint="eastAsia" w:ascii="宋体" w:hAnsi="宋体" w:cs="宋体"/>
          <w:b w:val="0"/>
          <w:bCs w:val="0"/>
          <w:color w:val="auto"/>
          <w:sz w:val="24"/>
          <w:szCs w:val="24"/>
          <w:highlight w:val="none"/>
          <w:lang w:val="en-US" w:eastAsia="zh-CN"/>
        </w:rPr>
        <w:t xml:space="preserve">建设过程中确保现有网络用户平稳迁移并承担迁移过程中产生的所有费用。</w:t>
      </w:r>
      <w:r/>
    </w:p>
    <w:p>
      <w:pPr>
        <w:ind w:left="0" w:firstLine="56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firstLine="0"/>
        <w:jc w:val="right"/>
        <w:pageBreakBefore w:val="0"/>
        <w:spacing w:beforeAutospacing="0" w:afterAutospacing="0" w:line="31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0" w:firstLine="0"/>
        <w:jc w:val="right"/>
        <w:pageBreakBefore w:val="0"/>
        <w:spacing w:beforeAutospacing="0" w:afterAutospacing="0" w:line="31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响应人名称（电子签章）：</w:t>
      </w:r>
      <w:r/>
    </w:p>
    <w:p>
      <w:pPr>
        <w:ind w:firstLine="1687"/>
        <w:jc w:val="right"/>
        <w:pageBreakBefore w:val="0"/>
        <w:spacing w:beforeAutospacing="0" w:afterAutospacing="0" w:line="31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0" w:firstLine="0"/>
        <w:jc w:val="right"/>
        <w:pageBreakBefore w:val="0"/>
        <w:spacing w:beforeAutospacing="0" w:afterAutospacing="0" w:line="312"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日      期：</w:t>
      </w:r>
      <w:r/>
    </w:p>
    <w:p>
      <w:pPr>
        <w:ind w:left="0" w:firstLine="56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bCs/>
          <w:sz w:val="28"/>
          <w:szCs w:val="28"/>
          <w:highlight w:val="white"/>
          <w:lang w:val="en-US" w:eastAsia="zh-CN" w:bidi="ar-SA"/>
        </w:rPr>
      </w:pPr>
      <w:r>
        <w:rPr>
          <w:rFonts w:hint="eastAsia" w:ascii="宋体" w:hAnsi="宋体" w:eastAsia="宋体" w:cs="宋体"/>
          <w:b/>
          <w:bCs/>
          <w:color w:val="ff0000"/>
          <w:sz w:val="24"/>
          <w:szCs w:val="24"/>
          <w:lang w:val="en-US"/>
        </w:rPr>
        <w:t xml:space="preserve">注：除可填报项目外，任何实质性修改将被视为非实质性响应投标，从而导致该投标被拒绝，作无效投标文件处理。</w:t>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rPr>
          <w:rFonts w:hint="eastAsia"/>
          <w:color w:val="000000"/>
          <w:sz w:val="24"/>
          <w:szCs w:val="20"/>
          <w:lang w:val="en-US" w:eastAsia="zh-CN"/>
        </w:rPr>
      </w:pPr>
      <w:r>
        <w:rPr>
          <w:rFonts w:hint="eastAsia"/>
          <w:color w:val="000000"/>
          <w:sz w:val="24"/>
          <w:szCs w:val="20"/>
          <w:lang w:val="en-US" w:eastAsia="zh-CN"/>
        </w:rPr>
      </w:r>
      <w:r/>
    </w:p>
    <w:p>
      <w:pPr>
        <w:ind w:left="0" w:firstLine="480"/>
        <w:pageBreakBefore w:val="0"/>
        <w:spacing w:line="360" w:lineRule="auto"/>
        <w:widowControl w:val="off"/>
        <w:rPr>
          <w:rFonts w:hint="eastAsia" w:ascii="Times New Roman" w:hAnsi="Times New Roman" w:eastAsia="宋体" w:cs="Times New Roman"/>
          <w:color w:val="000000"/>
          <w:sz w:val="24"/>
          <w:szCs w:val="20"/>
          <w:lang w:val="en-US" w:eastAsia="zh-CN" w:bidi="ar-SA"/>
        </w:rPr>
      </w:pPr>
      <w:r>
        <w:rPr>
          <w:rFonts w:hint="eastAsia" w:cs="Times New Roman"/>
          <w:color w:val="000000"/>
          <w:sz w:val="24"/>
          <w:szCs w:val="20"/>
          <w:lang w:val="en-US" w:eastAsia="zh-CN" w:bidi="ar-SA"/>
        </w:rPr>
        <w:t xml:space="preserve">8参加本项目人员一览表</w:t>
      </w:r>
      <w:r/>
    </w:p>
    <w:p>
      <w:pPr>
        <w:jc w:val="center"/>
        <w:rPr>
          <w:rFonts w:hint="eastAsia"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08"/>
        <w:tblW w:w="10019"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1514"/>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514"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514"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1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1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1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514"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909" w:name="_Toc288738397"/>
      <w:r/>
      <w:bookmarkStart w:id="910" w:name="_Toc288738839"/>
      <w:r/>
      <w:r/>
    </w:p>
    <w:p>
      <w:pPr>
        <w:rPr>
          <w:color w:val="000000"/>
          <w:sz w:val="24"/>
          <w:szCs w:val="20"/>
        </w:rPr>
      </w:pPr>
      <w:r>
        <w:rPr>
          <w:rFonts w:hint="eastAsia" w:ascii="Times New Roman" w:eastAsia="宋体"/>
          <w:color w:val="000000"/>
          <w:sz w:val="24"/>
          <w:szCs w:val="20"/>
          <w:lang w:val="en-US" w:eastAsia="zh-CN"/>
        </w:rPr>
        <w:t xml:space="preserve">9</w:t>
      </w:r>
      <w:r>
        <w:rPr>
          <w:rFonts w:hint="eastAsia"/>
          <w:color w:val="000000"/>
          <w:sz w:val="24"/>
          <w:szCs w:val="20"/>
        </w:rPr>
        <w:t xml:space="preserve">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9"/>
      <w:r/>
      <w:bookmarkEnd w:id="910"/>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0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eastAsia="宋体"/>
          <w:color w:val="000000"/>
          <w:sz w:val="24"/>
          <w:szCs w:val="20"/>
          <w:lang w:val="en-US" w:eastAsia="zh-CN"/>
        </w:rPr>
      </w:r>
      <w:r/>
    </w:p>
    <w:p>
      <w:pPr>
        <w:spacing w:line="360" w:lineRule="auto"/>
        <w:rPr>
          <w:color w:val="000000"/>
          <w:sz w:val="24"/>
          <w:szCs w:val="20"/>
        </w:rPr>
        <w:outlineLvl w:val="2"/>
      </w:pPr>
      <w:r>
        <w:rPr>
          <w:rFonts w:hint="eastAsia" w:ascii="Times New Roman" w:eastAsia="宋体"/>
          <w:color w:val="000000"/>
          <w:sz w:val="24"/>
          <w:szCs w:val="20"/>
          <w:lang w:val="en-US" w:eastAsia="zh-CN"/>
        </w:rPr>
        <w:t xml:space="preserve">10 </w:t>
      </w:r>
      <w:r>
        <w:rPr>
          <w:color w:val="000000"/>
          <w:sz w:val="24"/>
          <w:szCs w:val="20"/>
        </w:rPr>
        <w:t xml:space="preserve">招标文件要求提供或投标人认为应附的其他材料</w:t>
      </w:r>
      <w:r/>
    </w:p>
    <w:p>
      <w:pPr>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2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98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2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2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33"/>
      <w:isLgl w:val="false"/>
      <w:suff w:val="nothing"/>
      <w:lvlText w:val="%1.%2.%3.%4.%5.%6　"/>
      <w:lvlJc w:val="left"/>
      <w:pPr>
        <w:ind w:left="-25" w:firstLine="0"/>
      </w:pPr>
      <w:rPr>
        <w:rFonts w:ascii="Times New Roman" w:hAnsi="Times New Roman" w:eastAsia="宋体"/>
        <w:b/>
        <w:i w:val="0"/>
        <w:sz w:val="28"/>
      </w:rPr>
    </w:lvl>
    <w:lvl w:ilvl="6">
      <w:start w:val="1"/>
      <w:numFmt w:val="lowerLetter"/>
      <w:pStyle w:val="104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0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lowerLetter"/>
      <w:pStyle w:val="106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94"/>
      <w:isLgl w:val="false"/>
      <w:suff w:val="tab"/>
      <w:lvlText w:val="%1"/>
      <w:lvlJc w:val="left"/>
      <w:pPr>
        <w:ind w:left="680" w:hanging="680"/>
      </w:pPr>
      <w:rPr>
        <w:rFonts w:hint="eastAsia" w:ascii="宋体" w:hAnsi="宋体" w:eastAsia="宋体"/>
      </w:rPr>
    </w:lvl>
    <w:lvl w:ilvl="1">
      <w:start w:val="1"/>
      <w:numFmt w:val="decimal"/>
      <w:pStyle w:val="1095"/>
      <w:isLgl w:val="false"/>
      <w:suff w:val="tab"/>
      <w:lvlText w:val="%1.%2"/>
      <w:lvlJc w:val="left"/>
      <w:pPr>
        <w:ind w:left="851" w:hanging="851"/>
      </w:pPr>
      <w:rPr>
        <w:rFonts w:hint="eastAsia" w:ascii="宋体" w:hAnsi="宋体" w:eastAsia="宋体"/>
        <w:color w:val="000000"/>
      </w:rPr>
    </w:lvl>
    <w:lvl w:ilvl="2">
      <w:start w:val="1"/>
      <w:numFmt w:val="decimal"/>
      <w:pStyle w:val="109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pStyle w:val="99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9"/>
  </w:num>
  <w:num w:numId="2">
    <w:abstractNumId w:val="6"/>
  </w:num>
  <w:num w:numId="3">
    <w:abstractNumId w:val="15"/>
  </w:num>
  <w:num w:numId="4">
    <w:abstractNumId w:val="4"/>
  </w:num>
  <w:num w:numId="5">
    <w:abstractNumId w:val="3"/>
  </w:num>
  <w:num w:numId="6">
    <w:abstractNumId w:val="11"/>
  </w:num>
  <w:num w:numId="7">
    <w:abstractNumId w:val="13"/>
  </w:num>
  <w:num w:numId="8">
    <w:abstractNumId w:val="17"/>
  </w:num>
  <w:num w:numId="9">
    <w:abstractNumId w:val="10"/>
  </w:num>
  <w:num w:numId="10">
    <w:abstractNumId w:val="1"/>
  </w:num>
  <w:num w:numId="11">
    <w:abstractNumId w:val="14"/>
  </w:num>
  <w:num w:numId="12">
    <w:abstractNumId w:val="16"/>
  </w:num>
  <w:num w:numId="13">
    <w:abstractNumId w:val="5"/>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2"/>
  </w:num>
  <w:num w:numId="17">
    <w:abstractNumId w:val="2"/>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1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36"/>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7"/>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8"/>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39"/>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0"/>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1"/>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3"/>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4"/>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customStyle="1">
    <w:name w:val="正文文本1"/>
    <w:next w:val="697"/>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ody Text Indent"/>
    <w:next w:val="713"/>
    <w:uiPriority w:val="99"/>
    <w:qFormat/>
    <w:pPr>
      <w:ind w:left="960"/>
      <w:jc w:val="both"/>
      <w:spacing w:line="700" w:lineRule="exact"/>
      <w:widowControl w:val="off"/>
    </w:pPr>
    <w:rPr>
      <w:rFonts w:hint="default" w:ascii="Times New Roman" w:hAnsi="Times New Roman" w:eastAsia="宋体" w:cs="Times New Roman"/>
      <w:sz w:val="44"/>
      <w:szCs w:val="24"/>
      <w:lang w:val="en-US" w:eastAsia="zh-CN" w:bidi="ar-SA"/>
    </w:rPr>
  </w:style>
  <w:style w:type="paragraph" w:styleId="713">
    <w:name w:val="envelope return"/>
    <w:uiPriority w:val="0"/>
    <w:qFormat/>
    <w:pPr>
      <w:jc w:val="both"/>
      <w:widowControl w:val="off"/>
    </w:pPr>
    <w:rPr>
      <w:rFonts w:hint="default" w:ascii="Arial" w:hAnsi="Arial" w:eastAsia="宋体" w:cs="Arial"/>
      <w:sz w:val="21"/>
      <w:szCs w:val="24"/>
      <w:lang w:val="en-US" w:eastAsia="zh-CN" w:bidi="ar-SA"/>
    </w:rPr>
  </w:style>
  <w:style w:type="paragraph" w:styleId="714">
    <w:name w:val="toc 5"/>
    <w:basedOn w:val="697"/>
    <w:next w:val="697"/>
    <w:uiPriority w:val="39"/>
    <w:unhideWhenUsed/>
    <w:qFormat/>
    <w:pPr>
      <w:ind w:left="1134" w:right="0" w:firstLine="0"/>
      <w:spacing w:after="57"/>
    </w:pPr>
  </w:style>
  <w:style w:type="paragraph" w:styleId="715">
    <w:name w:val="toc 3"/>
    <w:basedOn w:val="697"/>
    <w:next w:val="697"/>
    <w:uiPriority w:val="39"/>
    <w:unhideWhenUsed/>
    <w:qFormat/>
    <w:pPr>
      <w:ind w:left="567" w:right="0" w:firstLine="0"/>
      <w:spacing w:after="57"/>
    </w:pPr>
  </w:style>
  <w:style w:type="paragraph" w:styleId="716">
    <w:name w:val="toc 8"/>
    <w:basedOn w:val="697"/>
    <w:next w:val="697"/>
    <w:uiPriority w:val="39"/>
    <w:unhideWhenUsed/>
    <w:qFormat/>
    <w:pPr>
      <w:ind w:left="1984" w:right="0" w:firstLine="0"/>
      <w:spacing w:after="57"/>
    </w:pPr>
  </w:style>
  <w:style w:type="paragraph" w:styleId="717">
    <w:name w:val="endnote text"/>
    <w:basedOn w:val="697"/>
    <w:link w:val="882"/>
    <w:uiPriority w:val="99"/>
    <w:semiHidden/>
    <w:unhideWhenUsed/>
    <w:qFormat/>
    <w:pPr>
      <w:spacing w:after="0" w:line="240" w:lineRule="auto"/>
    </w:pPr>
    <w:rPr>
      <w:sz w:val="20"/>
    </w:rPr>
  </w:style>
  <w:style w:type="paragraph" w:styleId="718">
    <w:name w:val="Footer"/>
    <w:basedOn w:val="697"/>
    <w:link w:val="755"/>
    <w:uiPriority w:val="99"/>
    <w:unhideWhenUsed/>
    <w:qFormat/>
    <w:pPr>
      <w:spacing w:after="0" w:line="240" w:lineRule="auto"/>
      <w:tabs>
        <w:tab w:val="center" w:pos="7143" w:leader="none"/>
        <w:tab w:val="right" w:pos="14287" w:leader="none"/>
      </w:tabs>
    </w:pPr>
  </w:style>
  <w:style w:type="paragraph" w:styleId="719">
    <w:name w:val="Header"/>
    <w:basedOn w:val="697"/>
    <w:link w:val="753"/>
    <w:uiPriority w:val="99"/>
    <w:unhideWhenUsed/>
    <w:qFormat/>
    <w:pPr>
      <w:spacing w:after="0" w:line="240" w:lineRule="auto"/>
      <w:tabs>
        <w:tab w:val="center" w:pos="7143" w:leader="none"/>
        <w:tab w:val="right" w:pos="14287" w:leader="none"/>
      </w:tabs>
    </w:pPr>
  </w:style>
  <w:style w:type="paragraph" w:styleId="720">
    <w:name w:val="toc 1"/>
    <w:basedOn w:val="697"/>
    <w:next w:val="697"/>
    <w:uiPriority w:val="39"/>
    <w:unhideWhenUsed/>
    <w:qFormat/>
    <w:pPr>
      <w:ind w:left="0" w:right="0" w:firstLine="0"/>
      <w:spacing w:after="57"/>
    </w:pPr>
  </w:style>
  <w:style w:type="paragraph" w:styleId="721">
    <w:name w:val="toc 4"/>
    <w:basedOn w:val="697"/>
    <w:next w:val="697"/>
    <w:uiPriority w:val="39"/>
    <w:unhideWhenUsed/>
    <w:qFormat/>
    <w:pPr>
      <w:ind w:left="850" w:right="0" w:firstLine="0"/>
      <w:spacing w:after="57"/>
    </w:pPr>
  </w:style>
  <w:style w:type="paragraph" w:styleId="722">
    <w:name w:val="Subtitle"/>
    <w:basedOn w:val="697"/>
    <w:next w:val="697"/>
    <w:link w:val="748"/>
    <w:uiPriority w:val="11"/>
    <w:qFormat/>
    <w:pPr>
      <w:spacing w:before="200" w:after="200"/>
    </w:pPr>
    <w:rPr>
      <w:sz w:val="24"/>
      <w:szCs w:val="24"/>
    </w:rPr>
  </w:style>
  <w:style w:type="paragraph" w:styleId="723">
    <w:name w:val="footnote text"/>
    <w:basedOn w:val="697"/>
    <w:link w:val="881"/>
    <w:uiPriority w:val="99"/>
    <w:semiHidden/>
    <w:unhideWhenUsed/>
    <w:qFormat/>
    <w:pPr>
      <w:spacing w:after="40" w:line="240" w:lineRule="auto"/>
    </w:pPr>
    <w:rPr>
      <w:sz w:val="18"/>
    </w:rPr>
  </w:style>
  <w:style w:type="paragraph" w:styleId="724">
    <w:name w:val="toc 6"/>
    <w:basedOn w:val="697"/>
    <w:next w:val="697"/>
    <w:uiPriority w:val="39"/>
    <w:unhideWhenUsed/>
    <w:qFormat/>
    <w:pPr>
      <w:ind w:left="1417" w:right="0" w:firstLine="0"/>
      <w:spacing w:after="57"/>
    </w:pPr>
  </w:style>
  <w:style w:type="paragraph" w:styleId="725">
    <w:name w:val="table of figures"/>
    <w:basedOn w:val="697"/>
    <w:next w:val="697"/>
    <w:uiPriority w:val="99"/>
    <w:unhideWhenUsed/>
    <w:qFormat/>
    <w:pPr>
      <w:spacing w:after="0" w:afterAutospacing="0"/>
    </w:pPr>
  </w:style>
  <w:style w:type="paragraph" w:styleId="726">
    <w:name w:val="toc 2"/>
    <w:basedOn w:val="697"/>
    <w:next w:val="697"/>
    <w:uiPriority w:val="39"/>
    <w:unhideWhenUsed/>
    <w:qFormat/>
    <w:pPr>
      <w:ind w:left="283" w:right="0" w:firstLine="0"/>
      <w:spacing w:after="57"/>
    </w:pPr>
  </w:style>
  <w:style w:type="paragraph" w:styleId="727">
    <w:name w:val="toc 9"/>
    <w:basedOn w:val="697"/>
    <w:next w:val="697"/>
    <w:uiPriority w:val="39"/>
    <w:unhideWhenUsed/>
    <w:qFormat/>
    <w:pPr>
      <w:ind w:left="2268" w:right="0" w:firstLine="0"/>
      <w:spacing w:after="57"/>
    </w:pPr>
  </w:style>
  <w:style w:type="paragraph" w:styleId="728">
    <w:name w:val="Normal (Web)"/>
    <w:basedOn w:val="697"/>
    <w:uiPriority w:val="99"/>
    <w:semiHidden/>
    <w:unhideWhenUsed/>
    <w:qFormat/>
    <w:pPr>
      <w:ind w:left="0" w:right="0"/>
      <w:jc w:val="left"/>
      <w:spacing w:before="0" w:beforeAutospacing="1" w:after="0" w:afterAutospacing="1"/>
    </w:pPr>
    <w:rPr>
      <w:sz w:val="24"/>
      <w:lang w:val="en-US" w:eastAsia="zh-CN" w:bidi="ar"/>
    </w:rPr>
  </w:style>
  <w:style w:type="paragraph" w:styleId="729">
    <w:name w:val="Title"/>
    <w:basedOn w:val="697"/>
    <w:next w:val="697"/>
    <w:link w:val="747"/>
    <w:uiPriority w:val="10"/>
    <w:qFormat/>
    <w:pPr>
      <w:contextualSpacing/>
      <w:spacing w:before="300" w:after="200"/>
    </w:pPr>
    <w:rPr>
      <w:sz w:val="48"/>
      <w:szCs w:val="48"/>
    </w:rPr>
  </w:style>
  <w:style w:type="paragraph" w:styleId="730">
    <w:name w:val="Body Text First Indent 2"/>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707"/>
    <w:uiPriority w:val="22"/>
    <w:qFormat/>
    <w:rPr>
      <w:b/>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character" w:styleId="736" w:customStyle="1">
    <w:name w:val="Heading 1 Char"/>
    <w:link w:val="698"/>
    <w:uiPriority w:val="9"/>
    <w:qFormat/>
    <w:rPr>
      <w:rFonts w:ascii="Arial" w:hAnsi="Arial" w:eastAsia="Arial" w:cs="Arial"/>
      <w:sz w:val="40"/>
      <w:szCs w:val="40"/>
    </w:rPr>
  </w:style>
  <w:style w:type="character" w:styleId="737" w:customStyle="1">
    <w:name w:val="Heading 2 Char"/>
    <w:link w:val="699"/>
    <w:uiPriority w:val="9"/>
    <w:qFormat/>
    <w:rPr>
      <w:rFonts w:ascii="Arial" w:hAnsi="Arial" w:eastAsia="Arial" w:cs="Arial"/>
      <w:sz w:val="34"/>
    </w:rPr>
  </w:style>
  <w:style w:type="character" w:styleId="738" w:customStyle="1">
    <w:name w:val="Heading 3 Char"/>
    <w:link w:val="700"/>
    <w:uiPriority w:val="9"/>
    <w:qFormat/>
    <w:rPr>
      <w:rFonts w:ascii="Arial" w:hAnsi="Arial" w:eastAsia="Arial" w:cs="Arial"/>
      <w:sz w:val="30"/>
      <w:szCs w:val="30"/>
    </w:rPr>
  </w:style>
  <w:style w:type="character" w:styleId="739" w:customStyle="1">
    <w:name w:val="Heading 4 Char"/>
    <w:link w:val="701"/>
    <w:uiPriority w:val="9"/>
    <w:qFormat/>
    <w:rPr>
      <w:rFonts w:ascii="Arial" w:hAnsi="Arial" w:eastAsia="Arial" w:cs="Arial"/>
      <w:b/>
      <w:bCs/>
      <w:sz w:val="26"/>
      <w:szCs w:val="26"/>
    </w:rPr>
  </w:style>
  <w:style w:type="character" w:styleId="740" w:customStyle="1">
    <w:name w:val="Heading 5 Char"/>
    <w:link w:val="702"/>
    <w:uiPriority w:val="9"/>
    <w:qFormat/>
    <w:rPr>
      <w:rFonts w:ascii="Arial" w:hAnsi="Arial" w:eastAsia="Arial" w:cs="Arial"/>
      <w:b/>
      <w:bCs/>
      <w:sz w:val="24"/>
      <w:szCs w:val="24"/>
    </w:rPr>
  </w:style>
  <w:style w:type="character" w:styleId="741" w:customStyle="1">
    <w:name w:val="Heading 6 Char"/>
    <w:link w:val="703"/>
    <w:uiPriority w:val="9"/>
    <w:qFormat/>
    <w:rPr>
      <w:rFonts w:ascii="Arial" w:hAnsi="Arial" w:eastAsia="Arial" w:cs="Arial"/>
      <w:b/>
      <w:bCs/>
      <w:sz w:val="22"/>
      <w:szCs w:val="22"/>
    </w:rPr>
  </w:style>
  <w:style w:type="character" w:styleId="742" w:customStyle="1">
    <w:name w:val="Heading 7 Char"/>
    <w:link w:val="704"/>
    <w:uiPriority w:val="9"/>
    <w:qFormat/>
    <w:rPr>
      <w:rFonts w:ascii="Arial" w:hAnsi="Arial" w:eastAsia="Arial" w:cs="Arial"/>
      <w:b/>
      <w:bCs/>
      <w:i/>
      <w:iCs/>
      <w:sz w:val="22"/>
      <w:szCs w:val="22"/>
    </w:rPr>
  </w:style>
  <w:style w:type="character" w:styleId="743" w:customStyle="1">
    <w:name w:val="Heading 8 Char"/>
    <w:link w:val="705"/>
    <w:uiPriority w:val="9"/>
    <w:qFormat/>
    <w:rPr>
      <w:rFonts w:ascii="Arial" w:hAnsi="Arial" w:eastAsia="Arial" w:cs="Arial"/>
      <w:i/>
      <w:iCs/>
      <w:sz w:val="22"/>
      <w:szCs w:val="22"/>
    </w:rPr>
  </w:style>
  <w:style w:type="character" w:styleId="744" w:customStyle="1">
    <w:name w:val="Heading 9 Char"/>
    <w:link w:val="706"/>
    <w:uiPriority w:val="9"/>
    <w:qFormat/>
    <w:rPr>
      <w:rFonts w:ascii="Arial" w:hAnsi="Arial" w:eastAsia="Arial" w:cs="Arial"/>
      <w:i/>
      <w:iCs/>
      <w:sz w:val="21"/>
      <w:szCs w:val="21"/>
    </w:rPr>
  </w:style>
  <w:style w:type="paragraph" w:styleId="745">
    <w:name w:val="List Paragraph"/>
    <w:basedOn w:val="697"/>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29"/>
    <w:uiPriority w:val="10"/>
    <w:qFormat/>
    <w:rPr>
      <w:sz w:val="48"/>
      <w:szCs w:val="48"/>
    </w:rPr>
  </w:style>
  <w:style w:type="character" w:styleId="748" w:customStyle="1">
    <w:name w:val="Subtitle Char"/>
    <w:link w:val="722"/>
    <w:uiPriority w:val="11"/>
    <w:qFormat/>
    <w:rPr>
      <w:sz w:val="24"/>
      <w:szCs w:val="24"/>
    </w:rPr>
  </w:style>
  <w:style w:type="paragraph" w:styleId="749">
    <w:name w:val="Quote"/>
    <w:basedOn w:val="697"/>
    <w:next w:val="697"/>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7"/>
    <w:next w:val="697"/>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19"/>
    <w:uiPriority w:val="99"/>
    <w:qFormat/>
  </w:style>
  <w:style w:type="character" w:styleId="754" w:customStyle="1">
    <w:name w:val="Footer Char"/>
    <w:link w:val="718"/>
    <w:uiPriority w:val="99"/>
    <w:qFormat/>
  </w:style>
  <w:style w:type="character" w:styleId="755" w:customStyle="1">
    <w:name w:val="Caption Char"/>
    <w:link w:val="718"/>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3"/>
    <w:uiPriority w:val="99"/>
    <w:qFormat/>
    <w:rPr>
      <w:sz w:val="18"/>
    </w:rPr>
  </w:style>
  <w:style w:type="character" w:styleId="882" w:customStyle="1">
    <w:name w:val="Endnote Text Char"/>
    <w:link w:val="717"/>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7"/>
    <w:next w:val="697"/>
    <w:link w:val="895"/>
    <w:uiPriority w:val="0"/>
    <w:qFormat/>
    <w:pPr>
      <w:jc w:val="center"/>
      <w:keepLines/>
      <w:keepNext/>
      <w:spacing w:before="240" w:after="120" w:line="300" w:lineRule="auto"/>
      <w:outlineLvl w:val="0"/>
    </w:pPr>
    <w:rPr>
      <w:rFonts w:ascii="宋体"/>
      <w:b/>
      <w:sz w:val="32"/>
      <w:szCs w:val="20"/>
    </w:rPr>
  </w:style>
  <w:style w:type="paragraph" w:styleId="885" w:customStyle="1">
    <w:name w:val="标题 211"/>
    <w:basedOn w:val="697"/>
    <w:next w:val="697"/>
    <w:link w:val="896"/>
    <w:uiPriority w:val="0"/>
    <w:qFormat/>
    <w:pPr>
      <w:jc w:val="center"/>
      <w:keepLines/>
      <w:keepNext/>
      <w:spacing w:before="120" w:line="300" w:lineRule="auto"/>
      <w:outlineLvl w:val="1"/>
    </w:pPr>
    <w:rPr>
      <w:rFonts w:ascii="Arial" w:hAnsi="Arial" w:eastAsia="黑体"/>
      <w:b/>
      <w:sz w:val="30"/>
      <w:szCs w:val="20"/>
    </w:rPr>
  </w:style>
  <w:style w:type="paragraph" w:styleId="886" w:customStyle="1">
    <w:name w:val="标题 311"/>
    <w:basedOn w:val="697"/>
    <w:next w:val="697"/>
    <w:link w:val="897"/>
    <w:uiPriority w:val="0"/>
    <w:qFormat/>
    <w:pPr>
      <w:jc w:val="left"/>
      <w:keepLines/>
      <w:keepNext/>
      <w:spacing w:before="360" w:after="120"/>
      <w:outlineLvl w:val="2"/>
    </w:pPr>
    <w:rPr>
      <w:rFonts w:ascii="宋体"/>
      <w:b/>
      <w:sz w:val="24"/>
      <w:szCs w:val="20"/>
      <w:u w:val="single"/>
    </w:rPr>
  </w:style>
  <w:style w:type="paragraph" w:styleId="887" w:customStyle="1">
    <w:name w:val="标题 41"/>
    <w:basedOn w:val="697"/>
    <w:next w:val="697"/>
    <w:link w:val="898"/>
    <w:uiPriority w:val="0"/>
    <w:qFormat/>
    <w:pPr>
      <w:keepLines/>
      <w:keepNext/>
      <w:spacing w:before="280" w:after="290" w:line="376" w:lineRule="atLeast"/>
      <w:outlineLvl w:val="3"/>
    </w:pPr>
    <w:rPr>
      <w:rFonts w:ascii="Arial" w:hAnsi="Arial" w:eastAsia="黑体"/>
      <w:b/>
      <w:sz w:val="28"/>
      <w:szCs w:val="20"/>
    </w:rPr>
  </w:style>
  <w:style w:type="paragraph" w:styleId="888" w:customStyle="1">
    <w:name w:val="标题 51"/>
    <w:basedOn w:val="697"/>
    <w:next w:val="697"/>
    <w:link w:val="899"/>
    <w:uiPriority w:val="0"/>
    <w:qFormat/>
    <w:pPr>
      <w:keepLines/>
      <w:keepNext/>
      <w:spacing w:before="280" w:after="290" w:line="376" w:lineRule="atLeast"/>
      <w:outlineLvl w:val="4"/>
    </w:pPr>
    <w:rPr>
      <w:b/>
      <w:sz w:val="28"/>
      <w:szCs w:val="20"/>
    </w:rPr>
  </w:style>
  <w:style w:type="paragraph" w:styleId="889" w:customStyle="1">
    <w:name w:val="标题 61"/>
    <w:basedOn w:val="697"/>
    <w:next w:val="697"/>
    <w:link w:val="900"/>
    <w:uiPriority w:val="0"/>
    <w:qFormat/>
    <w:pPr>
      <w:keepLines/>
      <w:keepNext/>
      <w:spacing w:before="240" w:after="64" w:line="320" w:lineRule="atLeast"/>
      <w:outlineLvl w:val="5"/>
    </w:pPr>
    <w:rPr>
      <w:rFonts w:ascii="Arial" w:hAnsi="Arial" w:eastAsia="黑体"/>
      <w:b/>
      <w:sz w:val="24"/>
      <w:szCs w:val="20"/>
    </w:rPr>
  </w:style>
  <w:style w:type="paragraph" w:styleId="890" w:customStyle="1">
    <w:name w:val="标题 71"/>
    <w:basedOn w:val="697"/>
    <w:next w:val="697"/>
    <w:link w:val="901"/>
    <w:uiPriority w:val="0"/>
    <w:qFormat/>
    <w:pPr>
      <w:keepLines/>
      <w:keepNext/>
      <w:spacing w:before="240" w:after="64" w:line="320" w:lineRule="atLeast"/>
      <w:outlineLvl w:val="6"/>
    </w:pPr>
    <w:rPr>
      <w:b/>
      <w:sz w:val="24"/>
      <w:szCs w:val="20"/>
    </w:rPr>
  </w:style>
  <w:style w:type="paragraph" w:styleId="891" w:customStyle="1">
    <w:name w:val="标题 81"/>
    <w:basedOn w:val="697"/>
    <w:next w:val="697"/>
    <w:link w:val="902"/>
    <w:uiPriority w:val="0"/>
    <w:qFormat/>
    <w:pPr>
      <w:keepLines/>
      <w:keepNext/>
      <w:spacing w:before="240" w:after="64" w:line="320" w:lineRule="atLeast"/>
      <w:outlineLvl w:val="7"/>
    </w:pPr>
    <w:rPr>
      <w:rFonts w:ascii="Arial" w:hAnsi="Arial" w:eastAsia="黑体"/>
      <w:sz w:val="24"/>
      <w:szCs w:val="20"/>
    </w:rPr>
  </w:style>
  <w:style w:type="paragraph" w:styleId="892" w:customStyle="1">
    <w:name w:val="标题 91"/>
    <w:basedOn w:val="697"/>
    <w:next w:val="697"/>
    <w:link w:val="903"/>
    <w:uiPriority w:val="0"/>
    <w:qFormat/>
    <w:pPr>
      <w:keepLines/>
      <w:keepNext/>
      <w:spacing w:before="240" w:after="64" w:line="320" w:lineRule="atLeast"/>
      <w:outlineLvl w:val="8"/>
    </w:pPr>
    <w:rPr>
      <w:rFonts w:ascii="Arial" w:hAnsi="Arial" w:eastAsia="黑体"/>
      <w:szCs w:val="20"/>
    </w:rPr>
  </w:style>
  <w:style w:type="character" w:styleId="893" w:customStyle="1">
    <w:name w:val="默认段落字体1"/>
    <w:link w:val="697"/>
    <w:uiPriority w:val="1"/>
    <w:unhideWhenUsed/>
    <w:qFormat/>
  </w:style>
  <w:style w:type="table" w:styleId="894" w:customStyle="1">
    <w:name w:val="普通表格1"/>
    <w:uiPriority w:val="99"/>
    <w:unhideWhenUsed/>
    <w:qFormat/>
    <w:tblPr/>
  </w:style>
  <w:style w:type="character" w:styleId="895" w:customStyle="1">
    <w:name w:val="标题 1 Char"/>
    <w:basedOn w:val="893"/>
    <w:link w:val="884"/>
    <w:uiPriority w:val="0"/>
    <w:qFormat/>
    <w:rPr>
      <w:rFonts w:ascii="宋体"/>
      <w:b/>
      <w:sz w:val="32"/>
    </w:rPr>
  </w:style>
  <w:style w:type="character" w:styleId="896" w:customStyle="1">
    <w:name w:val="标题 2 Char1"/>
    <w:link w:val="885"/>
    <w:uiPriority w:val="0"/>
    <w:qFormat/>
    <w:rPr>
      <w:rFonts w:ascii="Arial" w:hAnsi="Arial" w:eastAsia="黑体"/>
      <w:b/>
      <w:sz w:val="30"/>
      <w:lang w:val="en-US" w:eastAsia="zh-CN" w:bidi="ar-SA"/>
    </w:rPr>
  </w:style>
  <w:style w:type="character" w:styleId="897" w:customStyle="1">
    <w:name w:val="标题 3 Char1"/>
    <w:link w:val="886"/>
    <w:uiPriority w:val="0"/>
    <w:qFormat/>
    <w:rPr>
      <w:rFonts w:ascii="宋体" w:eastAsia="宋体"/>
      <w:b/>
      <w:sz w:val="24"/>
      <w:u w:val="single"/>
      <w:lang w:val="en-US" w:eastAsia="zh-CN" w:bidi="ar-SA"/>
    </w:rPr>
  </w:style>
  <w:style w:type="character" w:styleId="898" w:customStyle="1">
    <w:name w:val="标题 4 Char"/>
    <w:basedOn w:val="893"/>
    <w:link w:val="887"/>
    <w:uiPriority w:val="0"/>
    <w:qFormat/>
    <w:rPr>
      <w:rFonts w:ascii="Arial" w:hAnsi="Arial" w:eastAsia="黑体"/>
      <w:b/>
      <w:sz w:val="28"/>
    </w:rPr>
  </w:style>
  <w:style w:type="character" w:styleId="899" w:customStyle="1">
    <w:name w:val="标题 5 Char"/>
    <w:basedOn w:val="893"/>
    <w:link w:val="888"/>
    <w:uiPriority w:val="0"/>
    <w:qFormat/>
    <w:rPr>
      <w:b/>
      <w:sz w:val="28"/>
    </w:rPr>
  </w:style>
  <w:style w:type="character" w:styleId="900" w:customStyle="1">
    <w:name w:val="标题 6 Char"/>
    <w:basedOn w:val="893"/>
    <w:link w:val="889"/>
    <w:uiPriority w:val="0"/>
    <w:qFormat/>
    <w:rPr>
      <w:rFonts w:ascii="Arial" w:hAnsi="Arial" w:eastAsia="黑体"/>
      <w:b/>
      <w:sz w:val="24"/>
    </w:rPr>
  </w:style>
  <w:style w:type="character" w:styleId="901" w:customStyle="1">
    <w:name w:val="标题 7 Char"/>
    <w:basedOn w:val="893"/>
    <w:link w:val="890"/>
    <w:uiPriority w:val="0"/>
    <w:qFormat/>
    <w:rPr>
      <w:b/>
      <w:sz w:val="24"/>
    </w:rPr>
  </w:style>
  <w:style w:type="character" w:styleId="902" w:customStyle="1">
    <w:name w:val="标题 8 Char"/>
    <w:basedOn w:val="893"/>
    <w:link w:val="891"/>
    <w:uiPriority w:val="0"/>
    <w:qFormat/>
    <w:rPr>
      <w:rFonts w:ascii="Arial" w:hAnsi="Arial" w:eastAsia="黑体"/>
      <w:sz w:val="24"/>
    </w:rPr>
  </w:style>
  <w:style w:type="character" w:styleId="903" w:customStyle="1">
    <w:name w:val="标题 9 Char"/>
    <w:basedOn w:val="893"/>
    <w:link w:val="892"/>
    <w:uiPriority w:val="0"/>
    <w:qFormat/>
    <w:rPr>
      <w:rFonts w:ascii="Arial" w:hAnsi="Arial" w:eastAsia="黑体"/>
      <w:sz w:val="21"/>
    </w:rPr>
  </w:style>
  <w:style w:type="paragraph" w:styleId="904" w:customStyle="1">
    <w:name w:val="目录 71"/>
    <w:basedOn w:val="697"/>
    <w:next w:val="697"/>
    <w:uiPriority w:val="0"/>
    <w:qFormat/>
    <w:pPr>
      <w:ind w:left="2520"/>
    </w:pPr>
  </w:style>
  <w:style w:type="paragraph" w:styleId="905" w:customStyle="1">
    <w:name w:val="正文缩进111"/>
    <w:basedOn w:val="697"/>
    <w:link w:val="906"/>
    <w:uiPriority w:val="0"/>
    <w:qFormat/>
    <w:pPr>
      <w:ind w:firstLine="420"/>
      <w:jc w:val="left"/>
    </w:pPr>
    <w:rPr>
      <w:rFonts w:ascii="宋体"/>
      <w:sz w:val="24"/>
    </w:rPr>
  </w:style>
  <w:style w:type="character" w:styleId="906" w:customStyle="1">
    <w:name w:val="正文缩进 Char1"/>
    <w:link w:val="905"/>
    <w:uiPriority w:val="0"/>
    <w:qFormat/>
    <w:rPr>
      <w:rFonts w:ascii="宋体" w:eastAsia="宋体"/>
      <w:sz w:val="24"/>
      <w:szCs w:val="24"/>
      <w:lang w:val="en-US" w:eastAsia="zh-CN" w:bidi="ar-SA"/>
    </w:rPr>
  </w:style>
  <w:style w:type="paragraph" w:styleId="907" w:customStyle="1">
    <w:name w:val="题注1"/>
    <w:basedOn w:val="697"/>
    <w:next w:val="697"/>
    <w:uiPriority w:val="0"/>
    <w:qFormat/>
    <w:pPr>
      <w:spacing w:line="480" w:lineRule="auto"/>
    </w:pPr>
    <w:rPr>
      <w:rFonts w:ascii="华文中宋" w:hAnsi="华文中宋" w:eastAsia="华文中宋"/>
      <w:sz w:val="36"/>
      <w:szCs w:val="20"/>
    </w:rPr>
  </w:style>
  <w:style w:type="paragraph" w:styleId="908" w:customStyle="1">
    <w:name w:val="文档结构图1"/>
    <w:basedOn w:val="697"/>
    <w:link w:val="909"/>
    <w:uiPriority w:val="0"/>
    <w:qFormat/>
    <w:pPr>
      <w:shd w:val="clear" w:color="auto" w:fill="000080"/>
    </w:pPr>
  </w:style>
  <w:style w:type="character" w:styleId="909" w:customStyle="1">
    <w:name w:val="文档结构图 Char"/>
    <w:basedOn w:val="893"/>
    <w:link w:val="908"/>
    <w:uiPriority w:val="0"/>
    <w:qFormat/>
    <w:rPr>
      <w:sz w:val="21"/>
      <w:szCs w:val="24"/>
      <w:shd w:val="clear" w:color="auto" w:fill="000080"/>
    </w:rPr>
  </w:style>
  <w:style w:type="paragraph" w:styleId="910" w:customStyle="1">
    <w:name w:val="引文目录标题1"/>
    <w:next w:val="697"/>
    <w:uiPriority w:val="99"/>
    <w:qFormat/>
    <w:pPr>
      <w:jc w:val="both"/>
      <w:spacing w:before="120"/>
      <w:widowControl w:val="off"/>
    </w:pPr>
    <w:rPr>
      <w:rFonts w:hint="default" w:ascii="Cambria" w:hAnsi="Cambria" w:eastAsia="宋体" w:cs="Times New Roman"/>
      <w:sz w:val="24"/>
      <w:szCs w:val="24"/>
      <w:lang w:val="en-US" w:eastAsia="zh-CN" w:bidi="ar-SA"/>
    </w:rPr>
  </w:style>
  <w:style w:type="paragraph" w:styleId="911" w:customStyle="1">
    <w:name w:val="批注文字1"/>
    <w:basedOn w:val="697"/>
    <w:link w:val="912"/>
    <w:uiPriority w:val="99"/>
    <w:qFormat/>
    <w:pPr>
      <w:jc w:val="left"/>
    </w:pPr>
  </w:style>
  <w:style w:type="character" w:styleId="912" w:customStyle="1">
    <w:name w:val="批注文字 Char1"/>
    <w:link w:val="911"/>
    <w:uiPriority w:val="99"/>
    <w:qFormat/>
    <w:rPr>
      <w:sz w:val="21"/>
      <w:szCs w:val="24"/>
    </w:rPr>
  </w:style>
  <w:style w:type="paragraph" w:styleId="913" w:customStyle="1">
    <w:name w:val="正文文本 31"/>
    <w:basedOn w:val="697"/>
    <w:link w:val="914"/>
    <w:uiPriority w:val="0"/>
    <w:qFormat/>
    <w:pPr>
      <w:spacing w:after="120"/>
    </w:pPr>
    <w:rPr>
      <w:sz w:val="16"/>
      <w:szCs w:val="16"/>
    </w:rPr>
  </w:style>
  <w:style w:type="character" w:styleId="914" w:customStyle="1">
    <w:name w:val="正文文本 3 Char"/>
    <w:basedOn w:val="893"/>
    <w:link w:val="913"/>
    <w:uiPriority w:val="0"/>
    <w:qFormat/>
    <w:rPr>
      <w:sz w:val="16"/>
      <w:szCs w:val="16"/>
    </w:rPr>
  </w:style>
  <w:style w:type="paragraph" w:styleId="915" w:customStyle="1">
    <w:name w:val="正文文本2"/>
    <w:basedOn w:val="697"/>
    <w:next w:val="697"/>
    <w:link w:val="916"/>
    <w:uiPriority w:val="0"/>
    <w:qFormat/>
    <w:pPr>
      <w:spacing w:before="120" w:line="22" w:lineRule="atLeast"/>
      <w:tabs>
        <w:tab w:val="left" w:pos="567" w:leader="none"/>
      </w:tabs>
    </w:pPr>
    <w:rPr>
      <w:rFonts w:ascii="宋体" w:hAnsi="宋体"/>
      <w:sz w:val="24"/>
    </w:rPr>
  </w:style>
  <w:style w:type="character" w:styleId="916" w:customStyle="1">
    <w:name w:val="正文文本 Char"/>
    <w:basedOn w:val="893"/>
    <w:link w:val="915"/>
    <w:uiPriority w:val="0"/>
    <w:qFormat/>
    <w:rPr>
      <w:rFonts w:ascii="宋体" w:hAnsi="宋体"/>
      <w:sz w:val="24"/>
      <w:szCs w:val="24"/>
    </w:rPr>
  </w:style>
  <w:style w:type="paragraph" w:styleId="917" w:customStyle="1">
    <w:name w:val="正文文本缩进11"/>
    <w:basedOn w:val="697"/>
    <w:link w:val="918"/>
    <w:uiPriority w:val="0"/>
    <w:qFormat/>
    <w:pPr>
      <w:ind w:firstLine="570"/>
      <w:spacing w:line="360" w:lineRule="auto"/>
    </w:pPr>
    <w:rPr>
      <w:sz w:val="24"/>
    </w:rPr>
  </w:style>
  <w:style w:type="character" w:styleId="918" w:customStyle="1">
    <w:name w:val="正文文本缩进 Char2"/>
    <w:link w:val="917"/>
    <w:uiPriority w:val="0"/>
    <w:qFormat/>
    <w:rPr>
      <w:rFonts w:eastAsia="宋体"/>
      <w:sz w:val="24"/>
      <w:szCs w:val="24"/>
      <w:lang w:val="en-US" w:eastAsia="zh-CN" w:bidi="ar-SA"/>
    </w:rPr>
  </w:style>
  <w:style w:type="paragraph" w:styleId="919" w:customStyle="1">
    <w:name w:val="列表 21"/>
    <w:basedOn w:val="697"/>
    <w:uiPriority w:val="0"/>
    <w:qFormat/>
    <w:pPr>
      <w:ind w:left="100" w:hanging="200"/>
    </w:pPr>
  </w:style>
  <w:style w:type="paragraph" w:styleId="920" w:customStyle="1">
    <w:name w:val="文本块1"/>
    <w:basedOn w:val="697"/>
    <w:uiPriority w:val="0"/>
    <w:qFormat/>
    <w:pPr>
      <w:ind w:left="480" w:right="-341" w:firstLine="513"/>
      <w:widowControl/>
    </w:pPr>
    <w:rPr>
      <w:sz w:val="24"/>
      <w:szCs w:val="20"/>
    </w:rPr>
  </w:style>
  <w:style w:type="paragraph" w:styleId="921" w:customStyle="1">
    <w:name w:val="目录 51"/>
    <w:basedOn w:val="697"/>
    <w:next w:val="697"/>
    <w:uiPriority w:val="0"/>
    <w:qFormat/>
    <w:pPr>
      <w:ind w:left="1680"/>
    </w:pPr>
  </w:style>
  <w:style w:type="paragraph" w:styleId="922" w:customStyle="1">
    <w:name w:val="目录 31"/>
    <w:basedOn w:val="697"/>
    <w:next w:val="697"/>
    <w:uiPriority w:val="39"/>
    <w:qFormat/>
    <w:pPr>
      <w:ind w:left="840"/>
    </w:pPr>
  </w:style>
  <w:style w:type="paragraph" w:styleId="923" w:customStyle="1">
    <w:name w:val="纯文本11"/>
    <w:basedOn w:val="697"/>
    <w:link w:val="924"/>
    <w:uiPriority w:val="0"/>
    <w:qFormat/>
    <w:rPr>
      <w:rFonts w:hint="eastAsia" w:ascii="宋体" w:hAnsi="Courier New"/>
      <w:szCs w:val="20"/>
    </w:rPr>
  </w:style>
  <w:style w:type="character" w:styleId="924" w:customStyle="1">
    <w:name w:val="纯文本 Char"/>
    <w:basedOn w:val="893"/>
    <w:link w:val="923"/>
    <w:uiPriority w:val="0"/>
    <w:qFormat/>
    <w:rPr>
      <w:rFonts w:hint="eastAsia" w:ascii="宋体" w:hAnsi="Courier New" w:eastAsia="宋体" w:cs="宋体"/>
      <w:sz w:val="21"/>
    </w:rPr>
  </w:style>
  <w:style w:type="paragraph" w:styleId="925" w:customStyle="1">
    <w:name w:val="目录 81"/>
    <w:basedOn w:val="697"/>
    <w:next w:val="697"/>
    <w:uiPriority w:val="0"/>
    <w:qFormat/>
    <w:pPr>
      <w:ind w:left="2940"/>
    </w:pPr>
  </w:style>
  <w:style w:type="paragraph" w:styleId="926" w:customStyle="1">
    <w:name w:val="日期1"/>
    <w:basedOn w:val="697"/>
    <w:next w:val="697"/>
    <w:link w:val="927"/>
    <w:uiPriority w:val="0"/>
    <w:qFormat/>
    <w:pPr>
      <w:ind w:left="100"/>
    </w:pPr>
    <w:rPr>
      <w:rFonts w:ascii="仿宋_GB2312" w:hAnsi="宋体" w:eastAsia="仿宋_GB2312"/>
      <w:color w:val="000000"/>
      <w:sz w:val="24"/>
    </w:rPr>
  </w:style>
  <w:style w:type="character" w:styleId="927" w:customStyle="1">
    <w:name w:val="日期 Char"/>
    <w:basedOn w:val="893"/>
    <w:link w:val="926"/>
    <w:uiPriority w:val="0"/>
    <w:qFormat/>
    <w:rPr>
      <w:rFonts w:ascii="仿宋_GB2312" w:hAnsi="宋体" w:eastAsia="仿宋_GB2312"/>
      <w:color w:val="000000"/>
      <w:sz w:val="24"/>
      <w:szCs w:val="24"/>
    </w:rPr>
  </w:style>
  <w:style w:type="paragraph" w:styleId="928" w:customStyle="1">
    <w:name w:val="正文文本缩进 21"/>
    <w:basedOn w:val="697"/>
    <w:link w:val="929"/>
    <w:uiPriority w:val="0"/>
    <w:qFormat/>
    <w:pPr>
      <w:ind w:firstLine="480"/>
    </w:pPr>
    <w:rPr>
      <w:rFonts w:ascii="仿宋_GB2312" w:eastAsia="仿宋_GB2312"/>
      <w:sz w:val="24"/>
    </w:rPr>
  </w:style>
  <w:style w:type="character" w:styleId="929" w:customStyle="1">
    <w:name w:val="正文文本缩进 2 Char"/>
    <w:basedOn w:val="893"/>
    <w:link w:val="928"/>
    <w:uiPriority w:val="0"/>
    <w:qFormat/>
    <w:rPr>
      <w:rFonts w:ascii="仿宋_GB2312" w:eastAsia="仿宋_GB2312"/>
      <w:sz w:val="24"/>
      <w:szCs w:val="24"/>
    </w:rPr>
  </w:style>
  <w:style w:type="paragraph" w:styleId="930" w:customStyle="1">
    <w:name w:val="批注框文本1"/>
    <w:basedOn w:val="697"/>
    <w:link w:val="931"/>
    <w:uiPriority w:val="0"/>
    <w:qFormat/>
    <w:rPr>
      <w:sz w:val="18"/>
      <w:szCs w:val="18"/>
    </w:rPr>
  </w:style>
  <w:style w:type="character" w:styleId="931" w:customStyle="1">
    <w:name w:val="批注框文本 Char"/>
    <w:basedOn w:val="893"/>
    <w:link w:val="930"/>
    <w:uiPriority w:val="0"/>
    <w:qFormat/>
    <w:rPr>
      <w:sz w:val="18"/>
      <w:szCs w:val="18"/>
    </w:rPr>
  </w:style>
  <w:style w:type="paragraph" w:styleId="932" w:customStyle="1">
    <w:name w:val="页脚1"/>
    <w:basedOn w:val="697"/>
    <w:link w:val="933"/>
    <w:uiPriority w:val="99"/>
    <w:qFormat/>
    <w:pPr>
      <w:jc w:val="left"/>
      <w:tabs>
        <w:tab w:val="center" w:pos="4153" w:leader="none"/>
        <w:tab w:val="right" w:pos="8306" w:leader="none"/>
      </w:tabs>
    </w:pPr>
    <w:rPr>
      <w:rFonts w:ascii="宋体"/>
      <w:sz w:val="18"/>
      <w:szCs w:val="20"/>
    </w:rPr>
  </w:style>
  <w:style w:type="character" w:styleId="933" w:customStyle="1">
    <w:name w:val="页脚 Char1"/>
    <w:link w:val="932"/>
    <w:uiPriority w:val="99"/>
    <w:qFormat/>
    <w:rPr>
      <w:rFonts w:ascii="宋体" w:eastAsia="宋体"/>
      <w:sz w:val="18"/>
      <w:lang w:val="en-US" w:eastAsia="zh-CN" w:bidi="ar-SA"/>
    </w:rPr>
  </w:style>
  <w:style w:type="paragraph" w:styleId="934" w:customStyle="1">
    <w:name w:val="页眉1"/>
    <w:basedOn w:val="697"/>
    <w:link w:val="935"/>
    <w:uiPriority w:val="0"/>
    <w:qFormat/>
    <w:pPr>
      <w:jc w:val="center"/>
      <w:tabs>
        <w:tab w:val="center" w:pos="4153" w:leader="none"/>
        <w:tab w:val="right" w:pos="8306" w:leader="none"/>
      </w:tabs>
      <w:pBdr>
        <w:bottom w:val="single" w:color="000000" w:sz="6" w:space="1"/>
      </w:pBdr>
    </w:pPr>
    <w:rPr>
      <w:sz w:val="18"/>
      <w:szCs w:val="18"/>
    </w:rPr>
  </w:style>
  <w:style w:type="character" w:styleId="935" w:customStyle="1">
    <w:name w:val="页眉 Char1"/>
    <w:link w:val="934"/>
    <w:uiPriority w:val="0"/>
    <w:qFormat/>
    <w:rPr>
      <w:rFonts w:eastAsia="宋体"/>
      <w:sz w:val="18"/>
      <w:szCs w:val="18"/>
      <w:lang w:val="en-US" w:eastAsia="zh-CN" w:bidi="ar-SA"/>
    </w:rPr>
  </w:style>
  <w:style w:type="paragraph" w:styleId="936" w:customStyle="1">
    <w:name w:val="目录 11"/>
    <w:basedOn w:val="697"/>
    <w:next w:val="697"/>
    <w:uiPriority w:val="39"/>
    <w:qFormat/>
    <w:pPr>
      <w:spacing w:line="300" w:lineRule="auto"/>
      <w:tabs>
        <w:tab w:val="left" w:pos="1050" w:leader="none"/>
        <w:tab w:val="right" w:pos="8937" w:leader="dot"/>
      </w:tabs>
    </w:pPr>
    <w:rPr>
      <w:rFonts w:ascii="宋体" w:hAnsi="宋体"/>
      <w:b/>
      <w:sz w:val="24"/>
    </w:rPr>
  </w:style>
  <w:style w:type="paragraph" w:styleId="937" w:customStyle="1">
    <w:name w:val="目录 411"/>
    <w:basedOn w:val="697"/>
    <w:next w:val="697"/>
    <w:uiPriority w:val="0"/>
    <w:qFormat/>
    <w:pPr>
      <w:ind w:left="1260"/>
    </w:pPr>
  </w:style>
  <w:style w:type="paragraph" w:styleId="938" w:customStyle="1">
    <w:name w:val="目录 61"/>
    <w:basedOn w:val="697"/>
    <w:next w:val="697"/>
    <w:uiPriority w:val="0"/>
    <w:qFormat/>
    <w:pPr>
      <w:ind w:left="2100"/>
    </w:pPr>
  </w:style>
  <w:style w:type="paragraph" w:styleId="939" w:customStyle="1">
    <w:name w:val="正文文本缩进 31"/>
    <w:basedOn w:val="697"/>
    <w:link w:val="940"/>
    <w:uiPriority w:val="0"/>
    <w:qFormat/>
    <w:pPr>
      <w:ind w:left="720" w:firstLine="480"/>
      <w:jc w:val="left"/>
      <w:spacing w:before="120" w:line="22" w:lineRule="atLeast"/>
    </w:pPr>
    <w:rPr>
      <w:rFonts w:ascii="宋体"/>
      <w:sz w:val="24"/>
      <w:szCs w:val="20"/>
    </w:rPr>
  </w:style>
  <w:style w:type="character" w:styleId="940" w:customStyle="1">
    <w:name w:val="正文文本缩进 3 Char"/>
    <w:basedOn w:val="893"/>
    <w:link w:val="939"/>
    <w:uiPriority w:val="0"/>
    <w:qFormat/>
    <w:rPr>
      <w:rFonts w:ascii="宋体"/>
      <w:sz w:val="24"/>
    </w:rPr>
  </w:style>
  <w:style w:type="paragraph" w:styleId="941" w:customStyle="1">
    <w:name w:val="目录 21"/>
    <w:basedOn w:val="697"/>
    <w:next w:val="697"/>
    <w:uiPriority w:val="39"/>
    <w:qFormat/>
    <w:pPr>
      <w:ind w:left="420"/>
      <w:spacing w:line="312" w:lineRule="auto"/>
      <w:tabs>
        <w:tab w:val="right" w:pos="8937" w:leader="dot"/>
      </w:tabs>
    </w:pPr>
  </w:style>
  <w:style w:type="paragraph" w:styleId="942" w:customStyle="1">
    <w:name w:val="目录 91"/>
    <w:basedOn w:val="697"/>
    <w:next w:val="697"/>
    <w:uiPriority w:val="0"/>
    <w:qFormat/>
    <w:pPr>
      <w:ind w:left="3360"/>
    </w:pPr>
  </w:style>
  <w:style w:type="paragraph" w:styleId="943" w:customStyle="1">
    <w:name w:val="HTML 预设格式1"/>
    <w:basedOn w:val="697"/>
    <w:link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4" w:customStyle="1">
    <w:name w:val="HTML 预设格式 Char"/>
    <w:basedOn w:val="893"/>
    <w:link w:val="943"/>
    <w:uiPriority w:val="0"/>
    <w:qFormat/>
    <w:rPr>
      <w:rFonts w:ascii="宋体" w:hAnsi="宋体" w:cs="宋体"/>
      <w:sz w:val="24"/>
      <w:szCs w:val="24"/>
    </w:rPr>
  </w:style>
  <w:style w:type="paragraph" w:styleId="945" w:customStyle="1">
    <w:name w:val="普通(网站)11"/>
    <w:basedOn w:val="697"/>
    <w:uiPriority w:val="99"/>
    <w:unhideWhenUsed/>
    <w:qFormat/>
    <w:pPr>
      <w:jc w:val="left"/>
      <w:spacing w:before="100" w:beforeAutospacing="1" w:after="100" w:afterAutospacing="1"/>
      <w:widowControl/>
    </w:pPr>
    <w:rPr>
      <w:rFonts w:ascii="宋体" w:hAnsi="宋体" w:cs="宋体"/>
      <w:sz w:val="24"/>
    </w:rPr>
  </w:style>
  <w:style w:type="paragraph" w:styleId="946" w:customStyle="1">
    <w:name w:val="索引 11"/>
    <w:basedOn w:val="697"/>
    <w:next w:val="697"/>
    <w:uiPriority w:val="0"/>
    <w:qFormat/>
    <w:rPr>
      <w:szCs w:val="20"/>
    </w:rPr>
  </w:style>
  <w:style w:type="paragraph" w:styleId="947" w:customStyle="1">
    <w:name w:val="标题1"/>
    <w:basedOn w:val="697"/>
    <w:link w:val="948"/>
    <w:uiPriority w:val="0"/>
    <w:qFormat/>
    <w:pPr>
      <w:jc w:val="center"/>
      <w:outlineLvl w:val="0"/>
    </w:pPr>
    <w:rPr>
      <w:b/>
      <w:sz w:val="32"/>
      <w:szCs w:val="20"/>
    </w:rPr>
  </w:style>
  <w:style w:type="character" w:styleId="948" w:customStyle="1">
    <w:name w:val="标题 Char1"/>
    <w:link w:val="947"/>
    <w:uiPriority w:val="0"/>
    <w:qFormat/>
    <w:rPr>
      <w:b/>
      <w:sz w:val="32"/>
    </w:rPr>
  </w:style>
  <w:style w:type="paragraph" w:styleId="949" w:customStyle="1">
    <w:name w:val="批注主题1"/>
    <w:basedOn w:val="911"/>
    <w:next w:val="911"/>
    <w:link w:val="950"/>
    <w:uiPriority w:val="0"/>
    <w:qFormat/>
    <w:rPr>
      <w:b/>
      <w:bCs/>
    </w:rPr>
  </w:style>
  <w:style w:type="character" w:styleId="950" w:customStyle="1">
    <w:name w:val="批注主题 Char"/>
    <w:basedOn w:val="951"/>
    <w:link w:val="949"/>
    <w:uiPriority w:val="0"/>
    <w:qFormat/>
    <w:rPr>
      <w:rFonts w:ascii="Times New Roman" w:hAnsi="Times New Roman" w:eastAsia="宋体" w:cs="Times New Roman"/>
      <w:b/>
      <w:bCs/>
      <w:sz w:val="21"/>
      <w:szCs w:val="24"/>
      <w:lang w:val="en-US" w:eastAsia="zh-CN" w:bidi="ar-SA"/>
    </w:rPr>
  </w:style>
  <w:style w:type="character" w:styleId="951" w:customStyle="1">
    <w:name w:val="批注文字 字符"/>
    <w:link w:val="697"/>
    <w:uiPriority w:val="99"/>
    <w:qFormat/>
    <w:rPr>
      <w:rFonts w:ascii="Times New Roman" w:hAnsi="Times New Roman" w:eastAsia="宋体" w:cs="Times New Roman"/>
      <w:sz w:val="24"/>
      <w:lang w:val="en-US" w:eastAsia="zh-CN" w:bidi="ar-SA"/>
    </w:rPr>
  </w:style>
  <w:style w:type="paragraph" w:styleId="952" w:customStyle="1">
    <w:name w:val="正文首行缩进 211"/>
    <w:basedOn w:val="917"/>
    <w:link w:val="953"/>
    <w:uiPriority w:val="0"/>
    <w:qFormat/>
    <w:pPr>
      <w:ind w:left="420" w:firstLine="420"/>
      <w:spacing w:after="120" w:line="480" w:lineRule="exact"/>
    </w:pPr>
    <w:rPr>
      <w:szCs w:val="20"/>
    </w:rPr>
  </w:style>
  <w:style w:type="character" w:styleId="953" w:customStyle="1">
    <w:name w:val="正文首行缩进 2 Char"/>
    <w:basedOn w:val="918"/>
    <w:link w:val="952"/>
    <w:uiPriority w:val="0"/>
    <w:qFormat/>
    <w:rPr>
      <w:rFonts w:eastAsia="宋体"/>
      <w:sz w:val="24"/>
      <w:szCs w:val="24"/>
      <w:lang w:val="en-US" w:eastAsia="zh-CN" w:bidi="ar-SA"/>
    </w:rPr>
  </w:style>
  <w:style w:type="table" w:styleId="954" w:customStyle="1">
    <w:name w:val="网格型1"/>
    <w:basedOn w:val="894"/>
    <w:uiPriority w:val="39"/>
    <w:qFormat/>
    <w:tblPr/>
  </w:style>
  <w:style w:type="table" w:styleId="955" w:customStyle="1">
    <w:name w:val="中等深浅网格 1 - 强调文字颜色 21"/>
    <w:basedOn w:val="894"/>
    <w:uiPriority w:val="0"/>
    <w:qFormat/>
    <w:rPr>
      <w:sz w:val="21"/>
      <w:szCs w:val="24"/>
    </w:rPr>
    <w:tblPr/>
  </w:style>
  <w:style w:type="character" w:styleId="956" w:customStyle="1">
    <w:name w:val="要点1"/>
    <w:link w:val="697"/>
    <w:uiPriority w:val="0"/>
    <w:qFormat/>
    <w:rPr>
      <w:b/>
      <w:bCs/>
    </w:rPr>
  </w:style>
  <w:style w:type="character" w:styleId="957" w:customStyle="1">
    <w:name w:val="页码1"/>
    <w:basedOn w:val="893"/>
    <w:link w:val="697"/>
    <w:uiPriority w:val="0"/>
    <w:qFormat/>
  </w:style>
  <w:style w:type="character" w:styleId="958" w:customStyle="1">
    <w:name w:val="已访问的超链接1"/>
    <w:link w:val="697"/>
    <w:uiPriority w:val="0"/>
    <w:qFormat/>
    <w:rPr>
      <w:color w:val="800080"/>
      <w:u w:val="single"/>
    </w:rPr>
  </w:style>
  <w:style w:type="character" w:styleId="959" w:customStyle="1">
    <w:name w:val="强调1"/>
    <w:link w:val="697"/>
    <w:uiPriority w:val="0"/>
    <w:qFormat/>
    <w:rPr>
      <w:color w:val="cc0033"/>
    </w:rPr>
  </w:style>
  <w:style w:type="character" w:styleId="960" w:customStyle="1">
    <w:name w:val="超链接1"/>
    <w:link w:val="697"/>
    <w:uiPriority w:val="99"/>
    <w:qFormat/>
    <w:rPr>
      <w:color w:val="0000ff"/>
      <w:u w:val="single"/>
    </w:rPr>
  </w:style>
  <w:style w:type="character" w:styleId="961" w:customStyle="1">
    <w:name w:val="批注引用1"/>
    <w:link w:val="697"/>
    <w:uiPriority w:val="99"/>
    <w:qFormat/>
    <w:rPr>
      <w:sz w:val="21"/>
      <w:szCs w:val="21"/>
    </w:rPr>
  </w:style>
  <w:style w:type="character" w:styleId="962" w:customStyle="1">
    <w:name w:val="HTML 引文1"/>
    <w:link w:val="697"/>
    <w:uiPriority w:val="0"/>
    <w:qFormat/>
    <w:rPr>
      <w:i/>
      <w:iCs/>
    </w:rPr>
  </w:style>
  <w:style w:type="paragraph" w:styleId="963" w:customStyle="1">
    <w:name w:val="正文缩进1"/>
    <w:basedOn w:val="697"/>
    <w:link w:val="964"/>
    <w:uiPriority w:val="0"/>
    <w:qFormat/>
    <w:pPr>
      <w:ind w:firstLine="567"/>
      <w:spacing w:line="480" w:lineRule="exact"/>
      <w:widowControl/>
    </w:pPr>
    <w:rPr>
      <w:rFonts w:ascii="宋体"/>
      <w:color w:val="000000"/>
      <w:sz w:val="28"/>
      <w:szCs w:val="20"/>
    </w:rPr>
  </w:style>
  <w:style w:type="character" w:styleId="964" w:customStyle="1">
    <w:name w:val="正文缩进 Char Char"/>
    <w:link w:val="963"/>
    <w:uiPriority w:val="0"/>
    <w:qFormat/>
    <w:rPr>
      <w:rFonts w:ascii="宋体" w:eastAsia="宋体"/>
      <w:color w:val="000000"/>
      <w:sz w:val="28"/>
      <w:lang w:bidi="ar-SA"/>
    </w:rPr>
  </w:style>
  <w:style w:type="paragraph" w:styleId="965" w:customStyle="1">
    <w:name w:val="TOAHeading1"/>
    <w:basedOn w:val="697"/>
    <w:next w:val="697"/>
    <w:uiPriority w:val="0"/>
    <w:qFormat/>
    <w:pPr>
      <w:spacing w:before="120"/>
    </w:pPr>
    <w:rPr>
      <w:rFonts w:ascii="Cambria" w:hAnsi="Cambria"/>
      <w:sz w:val="24"/>
      <w:szCs w:val="24"/>
    </w:rPr>
  </w:style>
  <w:style w:type="paragraph" w:styleId="9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68" w:customStyle="1">
    <w:name w:val="c21"/>
    <w:link w:val="697"/>
    <w:uiPriority w:val="0"/>
    <w:qFormat/>
    <w:rPr>
      <w:rFonts w:ascii="ˎ̥" w:hAnsi="ˎ̥"/>
      <w:color w:val="000000"/>
      <w:sz w:val="20"/>
      <w:szCs w:val="20"/>
      <w:u w:val="none"/>
    </w:rPr>
  </w:style>
  <w:style w:type="character" w:styleId="969" w:customStyle="1">
    <w:name w:val="title4"/>
    <w:link w:val="697"/>
    <w:uiPriority w:val="0"/>
    <w:qFormat/>
    <w:rPr>
      <w:b/>
      <w:bCs/>
      <w:color w:val="1d87b3"/>
      <w:sz w:val="15"/>
      <w:szCs w:val="15"/>
    </w:rPr>
  </w:style>
  <w:style w:type="character" w:styleId="970" w:customStyle="1">
    <w:name w:val="标题 2 Char Char"/>
    <w:link w:val="697"/>
    <w:uiPriority w:val="0"/>
    <w:qFormat/>
    <w:rPr>
      <w:rFonts w:ascii="Arial" w:hAnsi="Arial" w:eastAsia="黑体"/>
      <w:b/>
      <w:bCs/>
      <w:sz w:val="32"/>
      <w:szCs w:val="32"/>
      <w:lang w:val="en-US" w:eastAsia="zh-CN" w:bidi="ar-SA"/>
    </w:rPr>
  </w:style>
  <w:style w:type="character" w:styleId="971" w:customStyle="1">
    <w:name w:val="black1"/>
    <w:link w:val="697"/>
    <w:uiPriority w:val="0"/>
    <w:qFormat/>
    <w:rPr>
      <w:color w:val="000000"/>
    </w:rPr>
  </w:style>
  <w:style w:type="character" w:styleId="972" w:customStyle="1">
    <w:name w:val="street-address"/>
    <w:basedOn w:val="893"/>
    <w:link w:val="697"/>
    <w:uiPriority w:val="0"/>
    <w:qFormat/>
  </w:style>
  <w:style w:type="character" w:styleId="973" w:customStyle="1">
    <w:name w:val="locality"/>
    <w:basedOn w:val="893"/>
    <w:link w:val="697"/>
    <w:uiPriority w:val="0"/>
    <w:qFormat/>
  </w:style>
  <w:style w:type="character" w:styleId="974" w:customStyle="1">
    <w:name w:val="正文文本缩进 Char1"/>
    <w:link w:val="975"/>
    <w:uiPriority w:val="0"/>
    <w:qFormat/>
    <w:rPr>
      <w:rFonts w:ascii="宋体" w:hAnsi="宋体" w:eastAsia="宋体"/>
      <w:sz w:val="24"/>
      <w:szCs w:val="24"/>
      <w:lang w:bidi="ar-SA"/>
    </w:rPr>
  </w:style>
  <w:style w:type="paragraph" w:styleId="975" w:customStyle="1">
    <w:name w:val="正文文本缩进1"/>
    <w:basedOn w:val="697"/>
    <w:link w:val="974"/>
    <w:uiPriority w:val="0"/>
    <w:qFormat/>
    <w:pPr>
      <w:ind w:firstLine="480"/>
      <w:spacing w:line="480" w:lineRule="exact"/>
    </w:pPr>
    <w:rPr>
      <w:rFonts w:ascii="宋体" w:hAnsi="宋体"/>
      <w:sz w:val="24"/>
    </w:rPr>
  </w:style>
  <w:style w:type="character" w:styleId="976" w:customStyle="1">
    <w:name w:val="Char Char11"/>
    <w:link w:val="697"/>
    <w:uiPriority w:val="0"/>
    <w:qFormat/>
    <w:rPr>
      <w:rFonts w:ascii="宋体" w:eastAsia="宋体"/>
      <w:b/>
      <w:sz w:val="24"/>
      <w:u w:val="single"/>
      <w:lang w:val="en-US" w:eastAsia="zh-CN" w:bidi="ar-SA"/>
    </w:rPr>
  </w:style>
  <w:style w:type="character" w:styleId="977" w:customStyle="1">
    <w:name w:val="txt"/>
    <w:basedOn w:val="893"/>
    <w:link w:val="697"/>
    <w:uiPriority w:val="0"/>
    <w:qFormat/>
  </w:style>
  <w:style w:type="character" w:styleId="978" w:customStyle="1">
    <w:name w:val="普通文字1 Char1"/>
    <w:link w:val="697"/>
    <w:uiPriority w:val="0"/>
    <w:qFormat/>
    <w:rPr>
      <w:rFonts w:ascii="宋体" w:hAnsi="Courier New" w:eastAsia="宋体"/>
      <w:sz w:val="21"/>
      <w:lang w:val="en-US" w:eastAsia="zh-CN" w:bidi="ar-SA"/>
    </w:rPr>
  </w:style>
  <w:style w:type="character" w:styleId="979" w:customStyle="1">
    <w:name w:val="chanpin1"/>
    <w:link w:val="697"/>
    <w:uiPriority w:val="0"/>
    <w:qFormat/>
    <w:rPr>
      <w:rFonts w:ascii="ˎ̥" w:hAnsi="ˎ̥"/>
      <w:color w:val="000000"/>
      <w:sz w:val="20"/>
      <w:szCs w:val="20"/>
      <w:u w:val="none"/>
    </w:rPr>
  </w:style>
  <w:style w:type="character" w:styleId="980" w:customStyle="1">
    <w:name w:val="列出段落 Char1"/>
    <w:link w:val="981"/>
    <w:uiPriority w:val="34"/>
    <w:qFormat/>
    <w:rPr>
      <w:rFonts w:ascii="Calibri" w:hAnsi="Calibri" w:eastAsia="宋体"/>
      <w:sz w:val="21"/>
      <w:szCs w:val="22"/>
      <w:lang w:val="en-US" w:eastAsia="zh-CN" w:bidi="ar-SA"/>
    </w:rPr>
  </w:style>
  <w:style w:type="paragraph" w:styleId="981" w:customStyle="1">
    <w:name w:val="列出段落"/>
    <w:basedOn w:val="697"/>
    <w:link w:val="980"/>
    <w:uiPriority w:val="34"/>
    <w:qFormat/>
    <w:pPr>
      <w:ind w:firstLine="420"/>
    </w:pPr>
    <w:rPr>
      <w:rFonts w:ascii="Calibri" w:hAnsi="Calibri"/>
      <w:szCs w:val="22"/>
    </w:rPr>
  </w:style>
  <w:style w:type="character" w:styleId="982" w:customStyle="1">
    <w:name w:val="标题 3 Char Char"/>
    <w:link w:val="697"/>
    <w:uiPriority w:val="0"/>
    <w:qFormat/>
    <w:rPr>
      <w:rFonts w:eastAsia="宋体"/>
      <w:b/>
      <w:bCs/>
      <w:sz w:val="32"/>
      <w:szCs w:val="32"/>
      <w:lang w:val="en-US" w:eastAsia="zh-CN" w:bidi="ar-SA"/>
    </w:rPr>
  </w:style>
  <w:style w:type="character" w:styleId="983" w:customStyle="1">
    <w:name w:val="段1 Char"/>
    <w:link w:val="697"/>
    <w:uiPriority w:val="0"/>
    <w:qFormat/>
    <w:rPr>
      <w:rFonts w:ascii="宋体" w:eastAsia="宋体"/>
      <w:sz w:val="24"/>
      <w:lang w:val="en-US" w:eastAsia="zh-CN" w:bidi="ar-SA"/>
    </w:rPr>
  </w:style>
  <w:style w:type="character" w:styleId="984" w:customStyle="1">
    <w:name w:val="chanpin拷贝"/>
    <w:basedOn w:val="893"/>
    <w:link w:val="697"/>
    <w:uiPriority w:val="0"/>
    <w:qFormat/>
  </w:style>
  <w:style w:type="character" w:styleId="985" w:customStyle="1">
    <w:name w:val="纯文本 Char1"/>
    <w:link w:val="697"/>
    <w:uiPriority w:val="0"/>
    <w:qFormat/>
    <w:rPr>
      <w:rFonts w:ascii="宋体" w:hAnsi="Courier New" w:eastAsia="宋体"/>
      <w:sz w:val="21"/>
      <w:lang w:val="en-US" w:eastAsia="zh-CN" w:bidi="ar-SA"/>
    </w:rPr>
  </w:style>
  <w:style w:type="character" w:styleId="986" w:customStyle="1">
    <w:name w:val="apple-style-span"/>
    <w:link w:val="697"/>
    <w:uiPriority w:val="0"/>
    <w:qFormat/>
    <w:rPr>
      <w:rFonts w:cs="Times New Roman"/>
    </w:rPr>
  </w:style>
  <w:style w:type="paragraph" w:styleId="987" w:customStyle="1">
    <w:name w:val="二级条标题"/>
    <w:basedOn w:val="988"/>
    <w:next w:val="69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88" w:customStyle="1">
    <w:name w:val="一级条标题"/>
    <w:basedOn w:val="989"/>
    <w:next w:val="697"/>
    <w:uiPriority w:val="0"/>
    <w:qFormat/>
    <w:pPr>
      <w:numPr>
        <w:ilvl w:val="1"/>
      </w:numPr>
      <w:ind w:left="0" w:hanging="840"/>
      <w:tabs>
        <w:tab w:val="left" w:pos="360" w:leader="none"/>
        <w:tab w:val="left" w:pos="840" w:leader="none"/>
      </w:tabs>
      <w:outlineLvl w:val="1"/>
    </w:pPr>
  </w:style>
  <w:style w:type="paragraph" w:styleId="989" w:customStyle="1">
    <w:name w:val="章标题"/>
    <w:next w:val="69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990" w:customStyle="1">
    <w:name w:val="font7"/>
    <w:basedOn w:val="697"/>
    <w:uiPriority w:val="0"/>
    <w:qFormat/>
    <w:pPr>
      <w:jc w:val="left"/>
      <w:spacing w:before="100" w:beforeAutospacing="1" w:after="100" w:afterAutospacing="1"/>
      <w:widowControl/>
    </w:pPr>
    <w:rPr>
      <w:rFonts w:eastAsia="Arial Unicode MS"/>
      <w:b/>
      <w:bCs/>
      <w:color w:val="000000"/>
      <w:sz w:val="20"/>
      <w:szCs w:val="20"/>
    </w:rPr>
  </w:style>
  <w:style w:type="paragraph" w:styleId="991" w:customStyle="1">
    <w:name w:val="字元 字元"/>
    <w:basedOn w:val="697"/>
    <w:uiPriority w:val="0"/>
    <w:qFormat/>
    <w:rPr>
      <w:rFonts w:ascii="Tahoma" w:hAnsi="Tahoma"/>
      <w:sz w:val="24"/>
      <w:szCs w:val="20"/>
    </w:rPr>
  </w:style>
  <w:style w:type="paragraph" w:styleId="992" w:customStyle="1">
    <w:name w:val="Char3 Char Char Char"/>
    <w:basedOn w:val="697"/>
    <w:uiPriority w:val="0"/>
    <w:qFormat/>
    <w:rPr>
      <w:rFonts w:ascii="Tahoma" w:hAnsi="Tahoma"/>
      <w:sz w:val="24"/>
      <w:szCs w:val="20"/>
    </w:rPr>
  </w:style>
  <w:style w:type="paragraph" w:styleId="993" w:customStyle="1">
    <w:name w:val="font6"/>
    <w:basedOn w:val="697"/>
    <w:uiPriority w:val="0"/>
    <w:qFormat/>
    <w:pPr>
      <w:jc w:val="left"/>
      <w:spacing w:before="100" w:beforeAutospacing="1" w:after="100" w:afterAutospacing="1"/>
      <w:widowControl/>
    </w:pPr>
    <w:rPr>
      <w:rFonts w:ascii="宋体" w:hAnsi="宋体" w:cs="宋体"/>
      <w:sz w:val="20"/>
      <w:szCs w:val="20"/>
    </w:rPr>
  </w:style>
  <w:style w:type="paragraph" w:styleId="994" w:customStyle="1">
    <w:name w:val="项目编号2"/>
    <w:basedOn w:val="995"/>
    <w:uiPriority w:val="0"/>
    <w:qFormat/>
    <w:pPr>
      <w:numPr>
        <w:numId w:val="2"/>
      </w:numPr>
    </w:pPr>
  </w:style>
  <w:style w:type="paragraph" w:styleId="995" w:customStyle="1">
    <w:name w:val="项目编号1"/>
    <w:basedOn w:val="697"/>
    <w:uiPriority w:val="0"/>
    <w:qFormat/>
    <w:pPr>
      <w:numPr>
        <w:ilvl w:val="0"/>
        <w:numId w:val="3"/>
      </w:numPr>
      <w:spacing w:before="100" w:beforeAutospacing="1" w:after="100" w:afterAutospacing="1" w:line="360" w:lineRule="auto"/>
    </w:pPr>
    <w:rPr>
      <w:sz w:val="24"/>
    </w:rPr>
  </w:style>
  <w:style w:type="paragraph" w:styleId="996" w:customStyle="1">
    <w:name w:val="图中文字"/>
    <w:basedOn w:val="697"/>
    <w:uiPriority w:val="0"/>
    <w:qFormat/>
    <w:pPr>
      <w:jc w:val="center"/>
      <w:spacing w:line="0" w:lineRule="atLeast"/>
    </w:pPr>
    <w:rPr>
      <w:sz w:val="24"/>
      <w:szCs w:val="20"/>
    </w:rPr>
  </w:style>
  <w:style w:type="paragraph" w:styleId="997" w:customStyle="1">
    <w:name w:val="xl46"/>
    <w:basedOn w:val="69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8" w:customStyle="1">
    <w:name w:val="xl2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9" w:customStyle="1">
    <w:name w:val="Char2"/>
    <w:basedOn w:val="697"/>
    <w:uiPriority w:val="0"/>
    <w:qFormat/>
    <w:rPr>
      <w:rFonts w:ascii="Tahoma" w:hAnsi="Tahoma"/>
      <w:sz w:val="24"/>
      <w:szCs w:val="20"/>
    </w:rPr>
  </w:style>
  <w:style w:type="paragraph" w:styleId="1000" w:customStyle="1">
    <w:name w:val="xl35"/>
    <w:basedOn w:val="69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1" w:customStyle="1">
    <w:name w:val="xl4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2" w:customStyle="1">
    <w:name w:val="xl52"/>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3" w:customStyle="1">
    <w:name w:val="xl4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4" w:customStyle="1">
    <w:name w:val="background1"/>
    <w:basedOn w:val="697"/>
    <w:uiPriority w:val="0"/>
    <w:qFormat/>
    <w:pPr>
      <w:jc w:val="left"/>
      <w:spacing w:before="100" w:beforeAutospacing="1" w:after="100" w:afterAutospacing="1"/>
      <w:widowControl/>
    </w:pPr>
    <w:rPr>
      <w:rFonts w:ascii="宋体" w:hAnsi="宋体" w:cs="宋体"/>
      <w:sz w:val="24"/>
    </w:rPr>
  </w:style>
  <w:style w:type="paragraph" w:styleId="1005" w:customStyle="1">
    <w:name w:val="Char Char Char Char Char Char Char"/>
    <w:basedOn w:val="697"/>
    <w:uiPriority w:val="0"/>
    <w:qFormat/>
    <w:pPr>
      <w:ind w:firstLine="200"/>
      <w:spacing w:line="360" w:lineRule="auto"/>
    </w:pPr>
    <w:rPr>
      <w:rFonts w:eastAsia="仿宋_GB2312"/>
      <w:sz w:val="24"/>
    </w:rPr>
  </w:style>
  <w:style w:type="paragraph" w:styleId="1006" w:customStyle="1">
    <w:name w:val="xl3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7" w:customStyle="1">
    <w:name w:val="xl36"/>
    <w:basedOn w:val="69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8" w:customStyle="1">
    <w:name w:val="正文 + 宋体"/>
    <w:basedOn w:val="697"/>
    <w:uiPriority w:val="0"/>
    <w:qFormat/>
    <w:pPr>
      <w:ind w:left="360" w:hanging="360"/>
      <w:jc w:val="left"/>
      <w:widowControl/>
    </w:pPr>
    <w:rPr>
      <w:rFonts w:ascii="宋体" w:hAnsi="宋体" w:cs="宋体"/>
      <w:b/>
      <w:bCs/>
      <w:color w:val="000000"/>
      <w:sz w:val="18"/>
      <w:szCs w:val="18"/>
    </w:rPr>
  </w:style>
  <w:style w:type="paragraph" w:styleId="1009" w:customStyle="1">
    <w:name w:val="正文列项_数字"/>
    <w:basedOn w:val="69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10" w:customStyle="1">
    <w:name w:val="xl3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1" w:customStyle="1">
    <w:name w:val="xl37"/>
    <w:basedOn w:val="69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2" w:customStyle="1">
    <w:name w:val="xl32"/>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3" w:customStyle="1">
    <w:name w:val="font8"/>
    <w:basedOn w:val="697"/>
    <w:uiPriority w:val="0"/>
    <w:qFormat/>
    <w:pPr>
      <w:jc w:val="left"/>
      <w:spacing w:before="100" w:beforeAutospacing="1" w:after="100" w:afterAutospacing="1"/>
      <w:widowControl/>
    </w:pPr>
    <w:rPr>
      <w:sz w:val="36"/>
      <w:szCs w:val="36"/>
    </w:rPr>
  </w:style>
  <w:style w:type="paragraph" w:styleId="1014" w:customStyle="1">
    <w:name w:val="Char"/>
    <w:basedOn w:val="697"/>
    <w:uiPriority w:val="0"/>
    <w:qFormat/>
    <w:pPr>
      <w:tabs>
        <w:tab w:val="left" w:pos="360" w:leader="none"/>
      </w:tabs>
    </w:pPr>
    <w:rPr>
      <w:sz w:val="24"/>
    </w:rPr>
  </w:style>
  <w:style w:type="paragraph" w:styleId="1015" w:customStyle="1">
    <w:name w:val="Char Char Char Char Char Char Char Char Char Char Char Char Char Char Char Char"/>
    <w:basedOn w:val="697"/>
    <w:uiPriority w:val="0"/>
    <w:qFormat/>
    <w:pPr>
      <w:jc w:val="center"/>
      <w:spacing w:after="160" w:line="240" w:lineRule="exact"/>
      <w:widowControl/>
    </w:pPr>
    <w:rPr>
      <w:rFonts w:ascii="宋体" w:hAnsi="宋体"/>
      <w:b/>
      <w:sz w:val="30"/>
      <w:szCs w:val="30"/>
      <w:lang w:eastAsia="en-US"/>
    </w:rPr>
  </w:style>
  <w:style w:type="paragraph" w:styleId="1016" w:customStyle="1">
    <w:name w:val="xl4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customStyle="1">
    <w:name w:val="Char Char1 Char Char Char Char Char Char"/>
    <w:basedOn w:val="697"/>
    <w:uiPriority w:val="0"/>
    <w:qFormat/>
    <w:pPr>
      <w:jc w:val="left"/>
      <w:spacing w:after="160" w:line="240" w:lineRule="exact"/>
      <w:widowControl/>
    </w:pPr>
    <w:rPr>
      <w:rFonts w:ascii="Verdana" w:hAnsi="Verdana" w:eastAsia="仿宋_GB2312"/>
      <w:sz w:val="24"/>
      <w:szCs w:val="20"/>
      <w:lang w:eastAsia="en-US"/>
    </w:rPr>
  </w:style>
  <w:style w:type="paragraph" w:styleId="1018" w:customStyle="1">
    <w:name w:val="Char Char1"/>
    <w:basedOn w:val="908"/>
    <w:uiPriority w:val="0"/>
    <w:qFormat/>
    <w:rPr>
      <w:rFonts w:ascii="Tahoma" w:hAnsi="Tahoma"/>
      <w:sz w:val="24"/>
    </w:rPr>
  </w:style>
  <w:style w:type="paragraph" w:styleId="1019" w:customStyle="1">
    <w:name w:val="xl2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20" w:customStyle="1">
    <w:name w:val="xl3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customStyle="1">
    <w:name w:val="xl4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customStyle="1">
    <w:name w:val="样式 宋体 五号 行距: 单倍行距"/>
    <w:basedOn w:val="697"/>
    <w:uiPriority w:val="0"/>
    <w:qFormat/>
    <w:pPr>
      <w:jc w:val="left"/>
    </w:pPr>
    <w:rPr>
      <w:rFonts w:ascii="宋体" w:hAnsi="宋体"/>
      <w:szCs w:val="20"/>
    </w:rPr>
  </w:style>
  <w:style w:type="paragraph" w:styleId="1023" w:customStyle="1">
    <w:name w:val="Char1 Char Char Char1"/>
    <w:basedOn w:val="697"/>
    <w:uiPriority w:val="0"/>
    <w:qFormat/>
    <w:rPr>
      <w:rFonts w:ascii="Tahoma" w:hAnsi="Tahoma" w:cs="仿宋_GB2312"/>
      <w:sz w:val="24"/>
      <w:szCs w:val="28"/>
    </w:rPr>
  </w:style>
  <w:style w:type="paragraph" w:styleId="1024" w:customStyle="1">
    <w:name w:val="四级条标题"/>
    <w:basedOn w:val="1025"/>
    <w:next w:val="697"/>
    <w:uiPriority w:val="0"/>
    <w:qFormat/>
    <w:pPr>
      <w:numPr>
        <w:ilvl w:val="4"/>
      </w:numPr>
      <w:ind w:left="0" w:hanging="840"/>
      <w:tabs>
        <w:tab w:val="left" w:pos="360" w:leader="none"/>
        <w:tab w:val="left" w:pos="840" w:leader="none"/>
      </w:tabs>
      <w:outlineLvl w:val="4"/>
    </w:pPr>
  </w:style>
  <w:style w:type="paragraph" w:styleId="1025" w:customStyle="1">
    <w:name w:val="三级条标题"/>
    <w:basedOn w:val="987"/>
    <w:next w:val="697"/>
    <w:uiPriority w:val="0"/>
    <w:qFormat/>
    <w:pPr>
      <w:numPr>
        <w:ilvl w:val="3"/>
        <w:numId w:val="1"/>
      </w:numPr>
      <w:ind w:left="0" w:hanging="840"/>
      <w:outlineLvl w:val="3"/>
    </w:pPr>
  </w:style>
  <w:style w:type="paragraph" w:styleId="102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27" w:customStyle="1">
    <w:name w:val="样式 标题 2 + 宋体 五号 行距: 单倍行距"/>
    <w:basedOn w:val="885"/>
    <w:uiPriority w:val="0"/>
    <w:qFormat/>
    <w:pPr>
      <w:numPr>
        <w:ilvl w:val="1"/>
        <w:numId w:val="4"/>
      </w:numPr>
      <w:jc w:val="left"/>
      <w:spacing w:before="260" w:after="260" w:line="240" w:lineRule="auto"/>
    </w:pPr>
    <w:rPr>
      <w:rFonts w:ascii="宋体" w:hAnsi="宋体" w:eastAsia="宋体"/>
      <w:bCs/>
      <w:sz w:val="21"/>
    </w:rPr>
  </w:style>
  <w:style w:type="paragraph" w:styleId="1028" w:customStyle="1">
    <w:name w:val="List Paragraph1"/>
    <w:basedOn w:val="697"/>
    <w:uiPriority w:val="0"/>
    <w:qFormat/>
    <w:pPr>
      <w:ind w:firstLine="420"/>
    </w:pPr>
    <w:rPr>
      <w:rFonts w:ascii="Calibri" w:hAnsi="Calibri"/>
      <w:szCs w:val="22"/>
    </w:rPr>
  </w:style>
  <w:style w:type="paragraph" w:styleId="1029" w:customStyle="1">
    <w:name w:val="项目符号1"/>
    <w:basedOn w:val="1030"/>
    <w:uiPriority w:val="0"/>
    <w:qFormat/>
    <w:pPr>
      <w:ind w:left="-25" w:firstLine="0"/>
    </w:pPr>
  </w:style>
  <w:style w:type="paragraph" w:styleId="1030" w:customStyle="1">
    <w:name w:val="正文文本样式"/>
    <w:basedOn w:val="697"/>
    <w:uiPriority w:val="0"/>
    <w:qFormat/>
    <w:pPr>
      <w:ind w:firstLine="482"/>
      <w:spacing w:line="360" w:lineRule="auto"/>
    </w:pPr>
    <w:rPr>
      <w:rFonts w:cs="宋体"/>
      <w:sz w:val="24"/>
      <w:szCs w:val="20"/>
    </w:rPr>
  </w:style>
  <w:style w:type="paragraph" w:styleId="1031" w:customStyle="1">
    <w:name w:val="xl2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2"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1033" w:customStyle="1">
    <w:name w:val="五级条标题"/>
    <w:basedOn w:val="1024"/>
    <w:next w:val="697"/>
    <w:uiPriority w:val="0"/>
    <w:qFormat/>
    <w:pPr>
      <w:numPr>
        <w:ilvl w:val="5"/>
      </w:numPr>
      <w:ind w:left="0" w:hanging="840"/>
      <w:outlineLvl w:val="5"/>
    </w:pPr>
  </w:style>
  <w:style w:type="paragraph" w:styleId="1034" w:customStyle="1">
    <w:name w:val="xl49"/>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5" w:customStyle="1">
    <w:name w:val="文档正文"/>
    <w:basedOn w:val="697"/>
    <w:uiPriority w:val="0"/>
    <w:qFormat/>
    <w:pPr>
      <w:spacing w:before="120" w:after="120" w:line="180" w:lineRule="auto"/>
    </w:pPr>
    <w:rPr>
      <w:rFonts w:ascii="Arial" w:hAnsi="Arial"/>
      <w:szCs w:val="20"/>
    </w:rPr>
  </w:style>
  <w:style w:type="paragraph" w:styleId="1036" w:customStyle="1">
    <w:name w:val="xl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7" w:customStyle="1">
    <w:name w:val="xl4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8" w:customStyle="1">
    <w:name w:val="Char Char Char1 Char"/>
    <w:basedOn w:val="697"/>
    <w:uiPriority w:val="0"/>
    <w:qFormat/>
    <w:rPr>
      <w:rFonts w:ascii="Tahoma" w:hAnsi="Tahoma"/>
      <w:sz w:val="24"/>
      <w:szCs w:val="20"/>
    </w:rPr>
  </w:style>
  <w:style w:type="paragraph" w:styleId="1039" w:customStyle="1">
    <w:name w:val="xl44"/>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40" w:customStyle="1">
    <w:name w:val="1名"/>
    <w:basedOn w:val="697"/>
    <w:uiPriority w:val="0"/>
    <w:qFormat/>
    <w:pPr>
      <w:numPr>
        <w:ilvl w:val="0"/>
        <w:numId w:val="5"/>
      </w:numPr>
      <w:spacing w:before="120"/>
    </w:pPr>
    <w:rPr>
      <w:rFonts w:ascii="宋体"/>
      <w:sz w:val="28"/>
      <w:szCs w:val="20"/>
    </w:rPr>
  </w:style>
  <w:style w:type="paragraph" w:styleId="1041" w:customStyle="1">
    <w:name w:val="font9"/>
    <w:basedOn w:val="69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42" w:customStyle="1">
    <w:name w:val="Char Char Char1 Char1"/>
    <w:basedOn w:val="697"/>
    <w:uiPriority w:val="0"/>
    <w:qFormat/>
    <w:rPr>
      <w:rFonts w:ascii="Tahoma" w:hAnsi="Tahoma"/>
      <w:sz w:val="24"/>
      <w:szCs w:val="20"/>
    </w:rPr>
  </w:style>
  <w:style w:type="paragraph" w:styleId="1043" w:customStyle="1">
    <w:name w:val="Char Char Char Char Char Char Char Char Char Char"/>
    <w:basedOn w:val="697"/>
    <w:uiPriority w:val="0"/>
    <w:qFormat/>
  </w:style>
  <w:style w:type="paragraph" w:styleId="1044" w:customStyle="1">
    <w:name w:val="Char Char1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045" w:customStyle="1">
    <w:name w:val="Char1"/>
    <w:basedOn w:val="697"/>
    <w:uiPriority w:val="0"/>
    <w:qFormat/>
    <w:pPr>
      <w:tabs>
        <w:tab w:val="left" w:pos="360" w:leader="none"/>
      </w:tabs>
    </w:pPr>
    <w:rPr>
      <w:sz w:val="24"/>
    </w:rPr>
  </w:style>
  <w:style w:type="paragraph" w:styleId="1046" w:customStyle="1">
    <w:name w:val="正文列项_字母"/>
    <w:basedOn w:val="69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47" w:customStyle="1">
    <w:name w:val="xl2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8" w:customStyle="1">
    <w:name w:val="xl47"/>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9" w:customStyle="1">
    <w:name w:val="默认段落字体 Para Char Char Char Char"/>
    <w:basedOn w:val="697"/>
    <w:uiPriority w:val="0"/>
    <w:qFormat/>
    <w:rPr>
      <w:rFonts w:ascii="Arial" w:hAnsi="Arial" w:cs="Arial"/>
      <w:szCs w:val="21"/>
    </w:rPr>
  </w:style>
  <w:style w:type="paragraph" w:styleId="1050" w:customStyle="1">
    <w:name w:val="xl4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51" w:customStyle="1">
    <w:name w:val="xl31"/>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customStyle="1">
    <w:name w:val="xl5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customStyle="1">
    <w:name w:val="Char Char Char"/>
    <w:basedOn w:val="697"/>
    <w:uiPriority w:val="0"/>
    <w:qFormat/>
    <w:rPr>
      <w:rFonts w:ascii="Tahoma" w:hAnsi="Tahoma"/>
      <w:sz w:val="24"/>
      <w:szCs w:val="20"/>
    </w:rPr>
  </w:style>
  <w:style w:type="paragraph" w:styleId="1054" w:customStyle="1">
    <w:name w:val="xl5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5" w:customStyle="1">
    <w:name w:val="缺省文本"/>
    <w:basedOn w:val="697"/>
    <w:uiPriority w:val="0"/>
    <w:qFormat/>
    <w:pPr>
      <w:jc w:val="left"/>
    </w:pPr>
    <w:rPr>
      <w:sz w:val="24"/>
    </w:rPr>
  </w:style>
  <w:style w:type="paragraph" w:styleId="1056" w:customStyle="1">
    <w:name w:val="Char Char Char1"/>
    <w:basedOn w:val="697"/>
    <w:uiPriority w:val="0"/>
    <w:qFormat/>
    <w:rPr>
      <w:rFonts w:ascii="Tahoma" w:hAnsi="Tahoma"/>
      <w:sz w:val="24"/>
      <w:szCs w:val="20"/>
    </w:rPr>
  </w:style>
  <w:style w:type="paragraph" w:styleId="1057" w:customStyle="1">
    <w:name w:val="Char Char Char Char Char Char Char1"/>
    <w:basedOn w:val="697"/>
    <w:uiPriority w:val="0"/>
    <w:qFormat/>
    <w:pPr>
      <w:ind w:firstLine="200"/>
      <w:spacing w:line="360" w:lineRule="auto"/>
    </w:pPr>
    <w:rPr>
      <w:rFonts w:eastAsia="仿宋_GB2312"/>
      <w:sz w:val="24"/>
    </w:rPr>
  </w:style>
  <w:style w:type="paragraph" w:styleId="1058" w:customStyle="1">
    <w:name w:val="xl51"/>
    <w:basedOn w:val="6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9" w:customStyle="1">
    <w:name w:val="样式2"/>
    <w:basedOn w:val="946"/>
    <w:uiPriority w:val="0"/>
    <w:qFormat/>
    <w:pPr>
      <w:jc w:val="center"/>
      <w:spacing w:line="360" w:lineRule="auto"/>
    </w:pPr>
    <w:rPr>
      <w:sz w:val="24"/>
    </w:rPr>
  </w:style>
  <w:style w:type="paragraph" w:styleId="1060" w:customStyle="1">
    <w:name w:val="xl24"/>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1" w:customStyle="1">
    <w:name w:val="xl2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2" w:customStyle="1">
    <w:name w:val="正文 + 楷体_GB2312"/>
    <w:basedOn w:val="697"/>
    <w:uiPriority w:val="0"/>
    <w:qFormat/>
    <w:pPr>
      <w:jc w:val="left"/>
      <w:widowControl/>
    </w:pPr>
    <w:rPr>
      <w:rFonts w:ascii="楷体_GB2312" w:eastAsia="楷体_GB2312" w:cs="Arial"/>
      <w:sz w:val="24"/>
    </w:rPr>
  </w:style>
  <w:style w:type="paragraph" w:styleId="1063" w:customStyle="1">
    <w:name w:val="xl3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4" w:customStyle="1">
    <w:name w:val="1 Char Char Char Char"/>
    <w:basedOn w:val="697"/>
    <w:uiPriority w:val="0"/>
    <w:qFormat/>
    <w:rPr>
      <w:rFonts w:ascii="Tahoma" w:hAnsi="Tahoma"/>
      <w:sz w:val="24"/>
      <w:szCs w:val="20"/>
    </w:rPr>
  </w:style>
  <w:style w:type="paragraph" w:styleId="1065" w:customStyle="1">
    <w:name w:val="列出段落1"/>
    <w:basedOn w:val="697"/>
    <w:uiPriority w:val="0"/>
    <w:qFormat/>
    <w:pPr>
      <w:ind w:firstLine="420"/>
    </w:pPr>
    <w:rPr>
      <w:rFonts w:ascii="Calibri" w:hAnsi="Calibri"/>
      <w:szCs w:val="22"/>
    </w:rPr>
  </w:style>
  <w:style w:type="paragraph" w:styleId="1066" w:customStyle="1">
    <w:name w:val="default"/>
    <w:basedOn w:val="697"/>
    <w:uiPriority w:val="0"/>
    <w:qFormat/>
    <w:pPr>
      <w:jc w:val="left"/>
      <w:spacing w:before="100" w:beforeAutospacing="1" w:after="100" w:afterAutospacing="1"/>
      <w:widowControl/>
    </w:pPr>
    <w:rPr>
      <w:rFonts w:ascii="宋体" w:hAnsi="宋体" w:cs="宋体"/>
      <w:sz w:val="24"/>
    </w:rPr>
  </w:style>
  <w:style w:type="paragraph" w:styleId="1067" w:customStyle="1">
    <w:name w:val="字元 字元1"/>
    <w:basedOn w:val="697"/>
    <w:uiPriority w:val="0"/>
    <w:qFormat/>
    <w:rPr>
      <w:rFonts w:ascii="Tahoma" w:hAnsi="Tahoma"/>
      <w:sz w:val="24"/>
      <w:szCs w:val="20"/>
    </w:rPr>
  </w:style>
  <w:style w:type="paragraph" w:styleId="1068" w:customStyle="1">
    <w:name w:val="_Style 160"/>
    <w:uiPriority w:val="0"/>
    <w:qFormat/>
    <w:rPr>
      <w:rFonts w:hint="default" w:ascii="Times New Roman" w:hAnsi="Times New Roman" w:eastAsia="宋体" w:cs="Times New Roman"/>
      <w:sz w:val="21"/>
      <w:szCs w:val="24"/>
      <w:lang w:val="en-US" w:eastAsia="zh-CN" w:bidi="ar-SA"/>
    </w:rPr>
  </w:style>
  <w:style w:type="paragraph" w:styleId="1069" w:customStyle="1">
    <w:name w:val="项目编号3"/>
    <w:basedOn w:val="1030"/>
    <w:uiPriority w:val="0"/>
    <w:qFormat/>
    <w:pPr>
      <w:numPr>
        <w:ilvl w:val="0"/>
        <w:numId w:val="6"/>
      </w:numPr>
    </w:pPr>
  </w:style>
  <w:style w:type="paragraph" w:styleId="1070" w:customStyle="1">
    <w:name w:val="Char21"/>
    <w:basedOn w:val="697"/>
    <w:uiPriority w:val="0"/>
    <w:qFormat/>
    <w:rPr>
      <w:rFonts w:ascii="Tahoma" w:hAnsi="Tahoma"/>
      <w:sz w:val="24"/>
      <w:szCs w:val="20"/>
    </w:rPr>
  </w:style>
  <w:style w:type="paragraph" w:styleId="1071" w:customStyle="1">
    <w:name w:val="表格文字"/>
    <w:basedOn w:val="917"/>
    <w:uiPriority w:val="0"/>
    <w:qFormat/>
    <w:pPr>
      <w:ind w:firstLine="0"/>
      <w:spacing w:before="20" w:after="20" w:line="240" w:lineRule="auto"/>
    </w:pPr>
    <w:rPr>
      <w:rFonts w:ascii="Century Gothic" w:hAnsi="Century Gothic"/>
      <w:sz w:val="20"/>
      <w:szCs w:val="20"/>
    </w:rPr>
  </w:style>
  <w:style w:type="paragraph" w:styleId="1072" w:customStyle="1">
    <w:name w:val="Char Char Char Char Char Char Char Char Char Char1"/>
    <w:basedOn w:val="697"/>
    <w:uiPriority w:val="0"/>
    <w:qFormat/>
    <w:rPr>
      <w:rFonts w:ascii="宋体" w:hAnsi="宋体" w:cs="Courier New"/>
      <w:sz w:val="32"/>
      <w:szCs w:val="32"/>
    </w:rPr>
  </w:style>
  <w:style w:type="paragraph" w:styleId="1073" w:customStyle="1">
    <w:name w:val="正文文本样式 加粗"/>
    <w:basedOn w:val="1030"/>
    <w:uiPriority w:val="0"/>
    <w:qFormat/>
    <w:rPr>
      <w:b/>
    </w:rPr>
  </w:style>
  <w:style w:type="paragraph" w:styleId="1074" w:customStyle="1">
    <w:name w:val="Char2 Char Char Char Char Char Char"/>
    <w:basedOn w:val="697"/>
    <w:uiPriority w:val="0"/>
    <w:qFormat/>
    <w:pPr>
      <w:jc w:val="center"/>
      <w:spacing w:line="400" w:lineRule="exact"/>
      <w:widowControl/>
    </w:pPr>
  </w:style>
  <w:style w:type="paragraph" w:styleId="1075" w:customStyle="1">
    <w:name w:val="Char Char4"/>
    <w:basedOn w:val="697"/>
    <w:uiPriority w:val="0"/>
    <w:qFormat/>
    <w:pPr>
      <w:jc w:val="center"/>
      <w:spacing w:line="400" w:lineRule="exact"/>
      <w:widowControl/>
    </w:pPr>
  </w:style>
  <w:style w:type="paragraph" w:styleId="1076" w:customStyle="1">
    <w:name w:val="Char3 Char Char Char1"/>
    <w:basedOn w:val="697"/>
    <w:uiPriority w:val="0"/>
    <w:qFormat/>
    <w:rPr>
      <w:rFonts w:ascii="Tahoma" w:hAnsi="Tahoma"/>
      <w:sz w:val="24"/>
      <w:szCs w:val="20"/>
    </w:rPr>
  </w:style>
  <w:style w:type="paragraph" w:styleId="107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22222222222222"/>
    <w:basedOn w:val="697"/>
    <w:uiPriority w:val="0"/>
    <w:qFormat/>
    <w:pPr>
      <w:ind w:firstLine="480"/>
      <w:jc w:val="left"/>
      <w:spacing w:line="360" w:lineRule="auto"/>
      <w:widowControl/>
    </w:pPr>
    <w:rPr>
      <w:color w:val="ff0000"/>
      <w:sz w:val="24"/>
      <w:szCs w:val="20"/>
    </w:rPr>
  </w:style>
  <w:style w:type="character" w:styleId="1079" w:customStyle="1">
    <w:name w:val="中等深浅网格 1 - 强调文字颜色 2 Char"/>
    <w:link w:val="1080"/>
    <w:uiPriority w:val="0"/>
    <w:qFormat/>
    <w:rPr>
      <w:sz w:val="21"/>
      <w:szCs w:val="24"/>
      <w:lang w:val="zh-CN" w:eastAsia="zh-CN" w:bidi="ar-SA"/>
    </w:rPr>
  </w:style>
  <w:style w:type="paragraph" w:styleId="1080" w:customStyle="1">
    <w:name w:val="1"/>
    <w:link w:val="1079"/>
    <w:uiPriority w:val="0"/>
    <w:qFormat/>
    <w:rPr>
      <w:rFonts w:hint="default" w:ascii="Times New Roman" w:hAnsi="Times New Roman" w:eastAsia="宋体" w:cs="Times New Roman"/>
      <w:sz w:val="21"/>
      <w:szCs w:val="24"/>
      <w:lang w:val="zh-CN" w:eastAsia="zh-CN" w:bidi="ar-SA"/>
    </w:rPr>
  </w:style>
  <w:style w:type="paragraph" w:styleId="1081" w:customStyle="1">
    <w:name w:val="图文"/>
    <w:basedOn w:val="697"/>
    <w:uiPriority w:val="0"/>
    <w:qFormat/>
    <w:pPr>
      <w:spacing w:after="50" w:line="360" w:lineRule="auto"/>
    </w:pPr>
    <w:rPr>
      <w:sz w:val="24"/>
    </w:rPr>
  </w:style>
  <w:style w:type="paragraph" w:styleId="1082" w:customStyle="1">
    <w:name w:val="xl23"/>
    <w:basedOn w:val="697"/>
    <w:uiPriority w:val="0"/>
    <w:qFormat/>
    <w:pPr>
      <w:spacing w:before="100" w:beforeAutospacing="1" w:after="100" w:afterAutospacing="1" w:line="360" w:lineRule="auto"/>
      <w:widowControl/>
    </w:pPr>
    <w:rPr>
      <w:sz w:val="24"/>
      <w:szCs w:val="20"/>
    </w:rPr>
  </w:style>
  <w:style w:type="paragraph" w:styleId="1083" w:customStyle="1">
    <w:name w:val="正文表格"/>
    <w:basedOn w:val="697"/>
    <w:link w:val="1084"/>
    <w:uiPriority w:val="0"/>
    <w:qFormat/>
    <w:pPr>
      <w:jc w:val="left"/>
    </w:pPr>
    <w:rPr>
      <w:rFonts w:ascii="宋体" w:hAnsi="宋体"/>
      <w:color w:val="000000"/>
      <w:szCs w:val="21"/>
    </w:rPr>
  </w:style>
  <w:style w:type="character" w:styleId="1084" w:customStyle="1">
    <w:name w:val="正文表格 Char"/>
    <w:link w:val="1083"/>
    <w:uiPriority w:val="0"/>
    <w:qFormat/>
    <w:rPr>
      <w:rFonts w:ascii="宋体" w:hAnsi="宋体"/>
      <w:color w:val="000000"/>
      <w:sz w:val="21"/>
      <w:szCs w:val="21"/>
    </w:rPr>
  </w:style>
  <w:style w:type="paragraph" w:styleId="1085" w:customStyle="1">
    <w:name w:val="正文重点"/>
    <w:basedOn w:val="697"/>
    <w:link w:val="1086"/>
    <w:uiPriority w:val="0"/>
    <w:qFormat/>
    <w:pPr>
      <w:ind w:firstLine="482"/>
      <w:jc w:val="left"/>
      <w:spacing w:line="360" w:lineRule="auto"/>
    </w:pPr>
    <w:rPr>
      <w:b/>
      <w:sz w:val="24"/>
      <w:szCs w:val="20"/>
    </w:rPr>
  </w:style>
  <w:style w:type="character" w:styleId="1086" w:customStyle="1">
    <w:name w:val="正文重点 Char"/>
    <w:link w:val="1085"/>
    <w:uiPriority w:val="0"/>
    <w:qFormat/>
    <w:rPr>
      <w:b/>
      <w:sz w:val="24"/>
    </w:rPr>
  </w:style>
  <w:style w:type="paragraph" w:styleId="1087" w:customStyle="1">
    <w:name w:val="标题1-附件"/>
    <w:basedOn w:val="884"/>
    <w:uiPriority w:val="0"/>
    <w:qFormat/>
    <w:pPr>
      <w:jc w:val="left"/>
    </w:pPr>
    <w:rPr>
      <w:sz w:val="24"/>
      <w:szCs w:val="24"/>
    </w:rPr>
  </w:style>
  <w:style w:type="paragraph" w:styleId="1088" w:customStyle="1">
    <w:name w:val="正文小标题"/>
    <w:basedOn w:val="697"/>
    <w:next w:val="905"/>
    <w:link w:val="1089"/>
    <w:uiPriority w:val="0"/>
    <w:qFormat/>
    <w:pPr>
      <w:ind w:firstLine="482"/>
      <w:jc w:val="left"/>
      <w:spacing w:before="312" w:after="312"/>
    </w:pPr>
    <w:rPr>
      <w:rFonts w:ascii="宋体" w:hAnsi="宋体"/>
      <w:b/>
      <w:i/>
      <w:color w:val="ff0000"/>
      <w:sz w:val="24"/>
      <w:szCs w:val="20"/>
    </w:rPr>
  </w:style>
  <w:style w:type="character" w:styleId="1089" w:customStyle="1">
    <w:name w:val="正文小标题 Char"/>
    <w:link w:val="1088"/>
    <w:uiPriority w:val="0"/>
    <w:qFormat/>
    <w:rPr>
      <w:rFonts w:ascii="宋体" w:hAnsi="宋体"/>
      <w:b/>
      <w:i/>
      <w:color w:val="ff0000"/>
      <w:sz w:val="24"/>
    </w:rPr>
  </w:style>
  <w:style w:type="paragraph" w:styleId="1090" w:customStyle="1">
    <w:name w:val="正文大标题"/>
    <w:basedOn w:val="1088"/>
    <w:next w:val="905"/>
    <w:link w:val="1091"/>
    <w:uiPriority w:val="0"/>
    <w:qFormat/>
    <w:pPr>
      <w:jc w:val="center"/>
    </w:pPr>
    <w:rPr>
      <w:i w:val="0"/>
      <w:color w:val="000000"/>
      <w:sz w:val="28"/>
      <w:szCs w:val="21"/>
    </w:rPr>
  </w:style>
  <w:style w:type="character" w:styleId="1091" w:customStyle="1">
    <w:name w:val="正文大标题 Char"/>
    <w:link w:val="1090"/>
    <w:uiPriority w:val="0"/>
    <w:qFormat/>
    <w:rPr>
      <w:rFonts w:ascii="宋体" w:hAnsi="宋体"/>
      <w:b/>
      <w:color w:val="000000"/>
      <w:sz w:val="28"/>
      <w:szCs w:val="21"/>
    </w:rPr>
  </w:style>
  <w:style w:type="paragraph" w:styleId="1092" w:customStyle="1">
    <w:name w:val="注释"/>
    <w:basedOn w:val="697"/>
    <w:link w:val="1093"/>
    <w:uiPriority w:val="0"/>
    <w:qFormat/>
    <w:pPr>
      <w:ind w:left="420" w:hanging="420"/>
      <w:jc w:val="left"/>
    </w:pPr>
    <w:rPr>
      <w:rFonts w:ascii="宋体" w:hAnsi="宋体"/>
      <w:szCs w:val="21"/>
    </w:rPr>
  </w:style>
  <w:style w:type="character" w:styleId="1093" w:customStyle="1">
    <w:name w:val="注释 Char"/>
    <w:link w:val="1092"/>
    <w:uiPriority w:val="0"/>
    <w:qFormat/>
    <w:rPr>
      <w:rFonts w:ascii="宋体" w:hAnsi="宋体"/>
      <w:sz w:val="21"/>
      <w:szCs w:val="21"/>
    </w:rPr>
  </w:style>
  <w:style w:type="paragraph" w:styleId="1094" w:customStyle="1">
    <w:name w:val="正文须知-1级"/>
    <w:basedOn w:val="697"/>
    <w:next w:val="697"/>
    <w:uiPriority w:val="0"/>
    <w:qFormat/>
    <w:pPr>
      <w:numPr>
        <w:ilvl w:val="0"/>
        <w:numId w:val="7"/>
      </w:numPr>
      <w:spacing w:line="300" w:lineRule="auto"/>
    </w:pPr>
    <w:rPr>
      <w:rFonts w:ascii="宋体" w:hAnsi="Calibri"/>
      <w:sz w:val="24"/>
      <w:szCs w:val="21"/>
    </w:rPr>
  </w:style>
  <w:style w:type="paragraph" w:styleId="1095" w:customStyle="1">
    <w:name w:val="正文须知-2级"/>
    <w:basedOn w:val="697"/>
    <w:uiPriority w:val="0"/>
    <w:qFormat/>
    <w:pPr>
      <w:numPr>
        <w:ilvl w:val="1"/>
        <w:numId w:val="7"/>
      </w:numPr>
      <w:spacing w:line="300" w:lineRule="auto"/>
    </w:pPr>
    <w:rPr>
      <w:rFonts w:ascii="宋体" w:hAnsi="Calibri"/>
      <w:sz w:val="24"/>
      <w:szCs w:val="21"/>
    </w:rPr>
  </w:style>
  <w:style w:type="paragraph" w:styleId="1096" w:customStyle="1">
    <w:name w:val="正文须知-3级"/>
    <w:basedOn w:val="697"/>
    <w:uiPriority w:val="0"/>
    <w:qFormat/>
    <w:pPr>
      <w:numPr>
        <w:ilvl w:val="2"/>
        <w:numId w:val="7"/>
      </w:numPr>
      <w:ind w:hanging="355"/>
      <w:spacing w:line="300" w:lineRule="auto"/>
    </w:pPr>
    <w:rPr>
      <w:rFonts w:ascii="宋体" w:hAnsi="Calibri"/>
      <w:sz w:val="24"/>
      <w:szCs w:val="21"/>
    </w:rPr>
  </w:style>
  <w:style w:type="character" w:styleId="1097" w:customStyle="1">
    <w:name w:val="纯文本 字符"/>
    <w:link w:val="697"/>
    <w:uiPriority w:val="99"/>
    <w:qFormat/>
    <w:rPr>
      <w:rFonts w:ascii="宋体" w:hAnsi="Courier New" w:eastAsia="宋体" w:cs="Times New Roman"/>
      <w:sz w:val="21"/>
      <w:szCs w:val="21"/>
      <w:lang w:val="en-US" w:eastAsia="zh-CN" w:bidi="ar-SA"/>
    </w:rPr>
  </w:style>
  <w:style w:type="paragraph" w:styleId="1098" w:customStyle="1">
    <w:name w:val="表格1"/>
    <w:basedOn w:val="697"/>
    <w:uiPriority w:val="0"/>
    <w:qFormat/>
    <w:pPr>
      <w:ind w:firstLine="480"/>
      <w:jc w:val="center"/>
    </w:pPr>
    <w:rPr>
      <w:sz w:val="24"/>
      <w:szCs w:val="20"/>
    </w:rPr>
  </w:style>
  <w:style w:type="character" w:styleId="1099" w:customStyle="1">
    <w:name w:val="纯文本 字符1"/>
    <w:link w:val="697"/>
    <w:uiPriority w:val="0"/>
    <w:qFormat/>
    <w:rPr>
      <w:rFonts w:ascii="宋体" w:hAnsi="Courier New"/>
    </w:rPr>
  </w:style>
  <w:style w:type="character" w:styleId="1100" w:customStyle="1">
    <w:name w:val="bjh-p"/>
    <w:link w:val="697"/>
    <w:uiPriority w:val="0"/>
    <w:qFormat/>
  </w:style>
  <w:style w:type="paragraph" w:styleId="1101" w:customStyle="1">
    <w:name w:val="无标题条"/>
    <w:next w:val="697"/>
    <w:uiPriority w:val="0"/>
    <w:qFormat/>
    <w:pPr>
      <w:jc w:val="both"/>
    </w:pPr>
    <w:rPr>
      <w:rFonts w:hint="default" w:ascii="Times New Roman" w:hAnsi="Times New Roman" w:eastAsia="宋体" w:cs="Times New Roman"/>
      <w:sz w:val="21"/>
      <w:lang w:val="en-US" w:eastAsia="zh-CN" w:bidi="ar-SA"/>
    </w:rPr>
  </w:style>
  <w:style w:type="character" w:styleId="1102" w:customStyle="1">
    <w:name w:val="正文格式 Char"/>
    <w:link w:val="1103"/>
    <w:uiPriority w:val="0"/>
    <w:qFormat/>
    <w:rPr>
      <w:rFonts w:ascii="宋体" w:hAnsi="宋体"/>
      <w:sz w:val="24"/>
      <w:szCs w:val="24"/>
      <w:lang w:val="en-GB"/>
    </w:rPr>
  </w:style>
  <w:style w:type="paragraph" w:styleId="1103" w:customStyle="1">
    <w:name w:val="正文格式"/>
    <w:basedOn w:val="697"/>
    <w:link w:val="1102"/>
    <w:uiPriority w:val="0"/>
    <w:qFormat/>
    <w:pPr>
      <w:ind w:firstLine="480"/>
      <w:spacing w:line="360" w:lineRule="auto"/>
    </w:pPr>
    <w:rPr>
      <w:rFonts w:ascii="宋体" w:hAnsi="宋体"/>
      <w:sz w:val="24"/>
      <w:lang w:val="en-GB"/>
    </w:rPr>
  </w:style>
  <w:style w:type="character" w:styleId="1104" w:customStyle="1">
    <w:name w:val="标题 3 Char"/>
    <w:link w:val="697"/>
    <w:uiPriority w:val="0"/>
    <w:qFormat/>
    <w:rPr>
      <w:rFonts w:ascii="宋体" w:eastAsia="宋体"/>
      <w:b/>
      <w:sz w:val="24"/>
      <w:u w:val="single"/>
      <w:lang w:val="en-US" w:eastAsia="zh-CN" w:bidi="ar-SA"/>
    </w:rPr>
  </w:style>
  <w:style w:type="character" w:styleId="1105" w:customStyle="1">
    <w:name w:val="正文缩进 Char"/>
    <w:link w:val="697"/>
    <w:uiPriority w:val="0"/>
    <w:qFormat/>
    <w:rPr>
      <w:rFonts w:ascii="宋体" w:eastAsia="宋体"/>
      <w:sz w:val="24"/>
      <w:szCs w:val="24"/>
      <w:lang w:val="en-US" w:eastAsia="zh-CN" w:bidi="ar-SA"/>
    </w:rPr>
  </w:style>
  <w:style w:type="character" w:styleId="1106" w:customStyle="1">
    <w:name w:val="Char Char111"/>
    <w:link w:val="697"/>
    <w:uiPriority w:val="0"/>
    <w:qFormat/>
    <w:rPr>
      <w:rFonts w:ascii="宋体" w:eastAsia="宋体"/>
      <w:b/>
      <w:sz w:val="24"/>
      <w:u w:val="single"/>
      <w:lang w:val="en-US" w:eastAsia="zh-CN" w:bidi="ar-SA"/>
    </w:rPr>
  </w:style>
  <w:style w:type="character" w:styleId="1107" w:customStyle="1">
    <w:name w:val="正文文本缩进 Char"/>
    <w:link w:val="697"/>
    <w:uiPriority w:val="0"/>
    <w:qFormat/>
    <w:rPr>
      <w:rFonts w:eastAsia="宋体"/>
      <w:sz w:val="24"/>
      <w:szCs w:val="24"/>
      <w:lang w:val="en-US" w:eastAsia="zh-CN" w:bidi="ar-SA"/>
    </w:rPr>
  </w:style>
  <w:style w:type="character" w:styleId="1108" w:customStyle="1">
    <w:name w:val="列出段落 Char"/>
    <w:link w:val="697"/>
    <w:uiPriority w:val="0"/>
    <w:qFormat/>
    <w:rPr>
      <w:rFonts w:ascii="Calibri" w:hAnsi="Calibri" w:eastAsia="宋体"/>
      <w:sz w:val="21"/>
      <w:szCs w:val="22"/>
      <w:lang w:val="en-US" w:eastAsia="zh-CN" w:bidi="ar-SA"/>
    </w:rPr>
  </w:style>
  <w:style w:type="character" w:styleId="1109" w:customStyle="1">
    <w:name w:val="页眉 Char"/>
    <w:link w:val="697"/>
    <w:uiPriority w:val="0"/>
    <w:qFormat/>
    <w:rPr>
      <w:rFonts w:eastAsia="宋体"/>
      <w:sz w:val="18"/>
      <w:szCs w:val="18"/>
      <w:lang w:val="en-US" w:eastAsia="zh-CN" w:bidi="ar-SA"/>
    </w:rPr>
  </w:style>
  <w:style w:type="character" w:styleId="1110" w:customStyle="1">
    <w:name w:val="标题 2 Char"/>
    <w:link w:val="697"/>
    <w:uiPriority w:val="0"/>
    <w:qFormat/>
    <w:rPr>
      <w:rFonts w:ascii="Arial" w:hAnsi="Arial" w:eastAsia="黑体"/>
      <w:b/>
      <w:sz w:val="30"/>
      <w:lang w:val="en-US" w:eastAsia="zh-CN" w:bidi="ar-SA"/>
    </w:rPr>
  </w:style>
  <w:style w:type="paragraph" w:styleId="1111" w:customStyle="1">
    <w:name w:val="字元 字元2"/>
    <w:basedOn w:val="697"/>
    <w:uiPriority w:val="0"/>
    <w:qFormat/>
    <w:rPr>
      <w:rFonts w:ascii="Tahoma" w:hAnsi="Tahoma"/>
      <w:sz w:val="24"/>
      <w:szCs w:val="20"/>
    </w:rPr>
  </w:style>
  <w:style w:type="paragraph" w:styleId="1112" w:customStyle="1">
    <w:name w:val="Char3 Char Char Char2"/>
    <w:basedOn w:val="697"/>
    <w:uiPriority w:val="0"/>
    <w:qFormat/>
    <w:rPr>
      <w:rFonts w:ascii="Tahoma" w:hAnsi="Tahoma"/>
      <w:sz w:val="24"/>
      <w:szCs w:val="20"/>
    </w:rPr>
  </w:style>
  <w:style w:type="paragraph" w:styleId="1113" w:customStyle="1">
    <w:name w:val="正文文本缩进2"/>
    <w:basedOn w:val="697"/>
    <w:uiPriority w:val="0"/>
    <w:qFormat/>
    <w:pPr>
      <w:ind w:firstLine="480"/>
      <w:spacing w:line="480" w:lineRule="exact"/>
    </w:pPr>
    <w:rPr>
      <w:rFonts w:ascii="宋体" w:hAnsi="宋体"/>
      <w:sz w:val="24"/>
      <w:lang w:val="zh-CN" w:eastAsia="zh-CN"/>
    </w:rPr>
  </w:style>
  <w:style w:type="paragraph" w:styleId="1114" w:customStyle="1">
    <w:name w:val="Char3"/>
    <w:basedOn w:val="697"/>
    <w:uiPriority w:val="0"/>
    <w:qFormat/>
    <w:pPr>
      <w:tabs>
        <w:tab w:val="left" w:pos="360" w:leader="none"/>
      </w:tabs>
    </w:pPr>
    <w:rPr>
      <w:sz w:val="24"/>
    </w:rPr>
  </w:style>
  <w:style w:type="paragraph" w:styleId="1115" w:customStyle="1">
    <w:name w:val="Char Char Char Char Char Char Char Char Char Char Char Char Char Char Char Char1"/>
    <w:basedOn w:val="697"/>
    <w:uiPriority w:val="0"/>
    <w:qFormat/>
    <w:pPr>
      <w:jc w:val="center"/>
      <w:spacing w:after="160" w:line="240" w:lineRule="exact"/>
      <w:widowControl/>
    </w:pPr>
    <w:rPr>
      <w:rFonts w:ascii="宋体" w:hAnsi="宋体"/>
      <w:b/>
      <w:sz w:val="30"/>
      <w:szCs w:val="30"/>
      <w:lang w:eastAsia="en-US"/>
    </w:rPr>
  </w:style>
  <w:style w:type="paragraph" w:styleId="1116" w:customStyle="1">
    <w:name w:val="Char Char1 Char Char Char Char Char Char1"/>
    <w:basedOn w:val="697"/>
    <w:uiPriority w:val="0"/>
    <w:qFormat/>
    <w:pPr>
      <w:jc w:val="left"/>
      <w:spacing w:after="160" w:line="240" w:lineRule="exact"/>
      <w:widowControl/>
    </w:pPr>
    <w:rPr>
      <w:rFonts w:ascii="Verdana" w:hAnsi="Verdana" w:eastAsia="仿宋_GB2312"/>
      <w:sz w:val="24"/>
      <w:szCs w:val="20"/>
      <w:lang w:eastAsia="en-US"/>
    </w:rPr>
  </w:style>
  <w:style w:type="paragraph" w:styleId="1117" w:customStyle="1">
    <w:name w:val="列出段落2"/>
    <w:basedOn w:val="697"/>
    <w:uiPriority w:val="0"/>
    <w:qFormat/>
    <w:pPr>
      <w:ind w:firstLine="420"/>
    </w:pPr>
    <w:rPr>
      <w:rFonts w:ascii="Calibri" w:hAnsi="Calibri"/>
      <w:szCs w:val="22"/>
    </w:rPr>
  </w:style>
  <w:style w:type="paragraph" w:styleId="1118" w:customStyle="1">
    <w:name w:val="Char Char Char1 Char2"/>
    <w:basedOn w:val="697"/>
    <w:uiPriority w:val="0"/>
    <w:qFormat/>
    <w:rPr>
      <w:rFonts w:ascii="Tahoma" w:hAnsi="Tahoma"/>
      <w:sz w:val="24"/>
      <w:szCs w:val="20"/>
    </w:rPr>
  </w:style>
  <w:style w:type="paragraph" w:styleId="1119" w:customStyle="1">
    <w:name w:val="Char Char Char2"/>
    <w:basedOn w:val="697"/>
    <w:uiPriority w:val="0"/>
    <w:qFormat/>
    <w:rPr>
      <w:rFonts w:ascii="Tahoma" w:hAnsi="Tahoma"/>
      <w:sz w:val="24"/>
      <w:szCs w:val="20"/>
    </w:rPr>
  </w:style>
  <w:style w:type="paragraph" w:styleId="1120" w:customStyle="1">
    <w:name w:val="Char Char Char Char Char Char Char2"/>
    <w:basedOn w:val="697"/>
    <w:uiPriority w:val="0"/>
    <w:qFormat/>
    <w:pPr>
      <w:ind w:firstLine="200"/>
      <w:spacing w:line="360" w:lineRule="auto"/>
    </w:pPr>
    <w:rPr>
      <w:rFonts w:eastAsia="仿宋_GB2312"/>
      <w:sz w:val="24"/>
    </w:rPr>
  </w:style>
  <w:style w:type="paragraph" w:styleId="1121" w:customStyle="1">
    <w:name w:val="正文缩进2"/>
    <w:basedOn w:val="697"/>
    <w:uiPriority w:val="0"/>
    <w:qFormat/>
    <w:pPr>
      <w:ind w:firstLine="567"/>
      <w:spacing w:line="480" w:lineRule="exact"/>
      <w:widowControl/>
    </w:pPr>
    <w:rPr>
      <w:rFonts w:ascii="宋体"/>
      <w:color w:val="000000"/>
      <w:sz w:val="28"/>
      <w:szCs w:val="20"/>
      <w:lang w:val="zh-CN" w:eastAsia="zh-CN"/>
    </w:rPr>
  </w:style>
  <w:style w:type="paragraph" w:styleId="1122" w:customStyle="1">
    <w:name w:val="Revision"/>
    <w:uiPriority w:val="0"/>
    <w:qFormat/>
    <w:rPr>
      <w:rFonts w:hint="default" w:ascii="Times New Roman" w:hAnsi="Times New Roman" w:eastAsia="宋体" w:cs="Times New Roman"/>
      <w:sz w:val="21"/>
      <w:szCs w:val="24"/>
      <w:lang w:val="en-US" w:eastAsia="zh-CN" w:bidi="ar-SA"/>
    </w:rPr>
  </w:style>
  <w:style w:type="paragraph" w:styleId="1123" w:customStyle="1">
    <w:name w:val="Char22"/>
    <w:basedOn w:val="697"/>
    <w:uiPriority w:val="0"/>
    <w:qFormat/>
    <w:rPr>
      <w:rFonts w:ascii="Tahoma" w:hAnsi="Tahoma"/>
      <w:sz w:val="24"/>
      <w:szCs w:val="20"/>
    </w:rPr>
  </w:style>
  <w:style w:type="paragraph" w:styleId="1124" w:customStyle="1">
    <w:name w:val="Char Char Char Char Char Char Char Char Char Char2"/>
    <w:basedOn w:val="697"/>
    <w:uiPriority w:val="0"/>
    <w:qFormat/>
    <w:rPr>
      <w:rFonts w:ascii="宋体" w:hAnsi="宋体" w:cs="Courier New"/>
      <w:sz w:val="32"/>
      <w:szCs w:val="32"/>
    </w:rPr>
  </w:style>
  <w:style w:type="paragraph" w:styleId="1125" w:customStyle="1">
    <w:name w:val="Char2 Char Char Char Char Char Char1"/>
    <w:basedOn w:val="697"/>
    <w:uiPriority w:val="0"/>
    <w:qFormat/>
    <w:pPr>
      <w:jc w:val="center"/>
      <w:spacing w:line="400" w:lineRule="exact"/>
      <w:widowControl/>
    </w:pPr>
  </w:style>
  <w:style w:type="character" w:styleId="1126" w:customStyle="1">
    <w:name w:val="页脚 Char"/>
    <w:link w:val="697"/>
    <w:uiPriority w:val="0"/>
    <w:qFormat/>
    <w:rPr>
      <w:rFonts w:ascii="宋体" w:eastAsia="宋体"/>
      <w:sz w:val="18"/>
      <w:lang w:val="en-US" w:eastAsia="zh-CN" w:bidi="ar-SA"/>
    </w:rPr>
  </w:style>
  <w:style w:type="paragraph" w:styleId="1127" w:customStyle="1">
    <w:name w:val="Char Char41"/>
    <w:basedOn w:val="697"/>
    <w:uiPriority w:val="0"/>
    <w:qFormat/>
    <w:pPr>
      <w:jc w:val="center"/>
      <w:spacing w:line="400" w:lineRule="exact"/>
      <w:widowControl/>
    </w:pPr>
  </w:style>
  <w:style w:type="character" w:styleId="1128" w:customStyle="1">
    <w:name w:val="批注文字 Char"/>
    <w:link w:val="697"/>
    <w:uiPriority w:val="99"/>
    <w:qFormat/>
    <w:rPr>
      <w:sz w:val="21"/>
      <w:szCs w:val="24"/>
    </w:rPr>
  </w:style>
  <w:style w:type="character" w:styleId="1129" w:customStyle="1">
    <w:name w:val="标题 Char"/>
    <w:link w:val="697"/>
    <w:uiPriority w:val="0"/>
    <w:qFormat/>
    <w:rPr>
      <w:b/>
      <w:sz w:val="32"/>
    </w:rPr>
  </w:style>
  <w:style w:type="paragraph" w:styleId="1130" w:customStyle="1">
    <w:name w:val="图例"/>
    <w:basedOn w:val="697"/>
    <w:uiPriority w:val="0"/>
    <w:qFormat/>
    <w:pPr>
      <w:jc w:val="center"/>
      <w:spacing w:before="120" w:after="120" w:line="360" w:lineRule="auto"/>
    </w:pPr>
    <w:rPr>
      <w:rFonts w:eastAsia="仿宋_GB2312"/>
      <w:b/>
      <w:sz w:val="24"/>
      <w:szCs w:val="20"/>
    </w:rPr>
  </w:style>
  <w:style w:type="table" w:styleId="1131" w:customStyle="1">
    <w:name w:val="Table Normal"/>
    <w:uiPriority w:val="2"/>
    <w:unhideWhenUsed/>
    <w:qFormat/>
    <w:pPr>
      <w:widowControl w:val="off"/>
    </w:pPr>
    <w:rPr>
      <w:rFonts w:ascii="Calibri" w:hAnsi="Calibri"/>
      <w:sz w:val="22"/>
      <w:szCs w:val="22"/>
      <w:lang w:val="en-US" w:eastAsia="en-US" w:bidi="ar-SA"/>
    </w:rPr>
    <w:tblPr/>
  </w:style>
  <w:style w:type="paragraph" w:styleId="1132" w:customStyle="1">
    <w:name w:val="Table Paragraph"/>
    <w:basedOn w:val="697"/>
    <w:uiPriority w:val="1"/>
    <w:qFormat/>
    <w:pPr>
      <w:jc w:val="left"/>
    </w:pPr>
    <w:rPr>
      <w:rFonts w:ascii="宋体" w:hAnsi="宋体" w:cs="宋体"/>
      <w:sz w:val="22"/>
      <w:szCs w:val="22"/>
      <w:lang w:eastAsia="en-US"/>
    </w:rPr>
  </w:style>
  <w:style w:type="paragraph" w:styleId="1133" w:customStyle="1">
    <w:name w:val="成文日期"/>
    <w:basedOn w:val="697"/>
    <w:link w:val="1134"/>
    <w:uiPriority w:val="0"/>
    <w:qFormat/>
    <w:pPr>
      <w:ind w:right="400" w:firstLine="200"/>
      <w:jc w:val="right"/>
      <w:spacing w:line="570" w:lineRule="exact"/>
    </w:pPr>
    <w:rPr>
      <w:rFonts w:ascii="仿宋_GB2312" w:eastAsia="仿宋_GB2312"/>
      <w:sz w:val="32"/>
      <w:szCs w:val="20"/>
    </w:rPr>
  </w:style>
  <w:style w:type="character" w:styleId="1134" w:customStyle="1">
    <w:name w:val="成文日期 Char"/>
    <w:link w:val="1133"/>
    <w:uiPriority w:val="0"/>
    <w:qFormat/>
    <w:rPr>
      <w:rFonts w:ascii="仿宋_GB2312" w:eastAsia="仿宋_GB2312"/>
      <w:sz w:val="32"/>
    </w:rPr>
  </w:style>
  <w:style w:type="paragraph" w:styleId="1135"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136" w:customStyle="1">
    <w:name w:val="font91"/>
    <w:basedOn w:val="893"/>
    <w:link w:val="697"/>
    <w:uiPriority w:val="0"/>
    <w:qFormat/>
    <w:rPr>
      <w:rFonts w:hint="eastAsia" w:ascii="宋体" w:hAnsi="宋体" w:eastAsia="宋体" w:cs="宋体"/>
      <w:color w:val="000000"/>
      <w:sz w:val="20"/>
      <w:szCs w:val="20"/>
      <w:u w:val="none"/>
    </w:rPr>
  </w:style>
  <w:style w:type="character" w:styleId="1137" w:customStyle="1">
    <w:name w:val="font61"/>
    <w:basedOn w:val="893"/>
    <w:link w:val="697"/>
    <w:uiPriority w:val="0"/>
    <w:qFormat/>
    <w:rPr>
      <w:rFonts w:hint="eastAsia" w:ascii="宋体" w:hAnsi="宋体" w:eastAsia="宋体" w:cs="宋体"/>
      <w:color w:val="000000"/>
      <w:sz w:val="20"/>
      <w:szCs w:val="20"/>
      <w:u w:val="none"/>
    </w:rPr>
  </w:style>
  <w:style w:type="paragraph" w:styleId="1138" w:customStyle="1">
    <w:name w:val="p15"/>
    <w:basedOn w:val="697"/>
    <w:uiPriority w:val="0"/>
    <w:qFormat/>
    <w:pPr>
      <w:ind w:firstLine="420"/>
      <w:widowControl/>
    </w:pPr>
    <w:rPr>
      <w:szCs w:val="21"/>
    </w:rPr>
  </w:style>
  <w:style w:type="character" w:styleId="1139" w:customStyle="1">
    <w:name w:val="font31"/>
    <w:link w:val="697"/>
    <w:uiPriority w:val="0"/>
    <w:qFormat/>
    <w:rPr>
      <w:rFonts w:hint="eastAsia" w:ascii="宋体" w:hAnsi="宋体" w:eastAsia="宋体" w:cs="宋体"/>
      <w:color w:val="000000"/>
      <w:sz w:val="18"/>
      <w:szCs w:val="18"/>
      <w:u w:val="none"/>
    </w:rPr>
  </w:style>
  <w:style w:type="character" w:styleId="1140" w:customStyle="1">
    <w:name w:val="font41"/>
    <w:basedOn w:val="893"/>
    <w:link w:val="697"/>
    <w:uiPriority w:val="0"/>
    <w:qFormat/>
    <w:rPr>
      <w:rFonts w:hint="eastAsia" w:ascii="宋体" w:hAnsi="宋体" w:eastAsia="宋体" w:cs="宋体"/>
      <w:color w:val="000000"/>
      <w:sz w:val="24"/>
      <w:szCs w:val="24"/>
      <w:u w:val="none"/>
    </w:rPr>
  </w:style>
  <w:style w:type="character" w:styleId="1141" w:customStyle="1">
    <w:name w:val="font51"/>
    <w:basedOn w:val="893"/>
    <w:link w:val="697"/>
    <w:uiPriority w:val="0"/>
    <w:qFormat/>
    <w:rPr>
      <w:rFonts w:hint="eastAsia" w:ascii="宋体" w:hAnsi="宋体" w:eastAsia="宋体" w:cs="宋体"/>
      <w:color w:val="000000"/>
      <w:sz w:val="24"/>
      <w:szCs w:val="24"/>
      <w:u w:val="none"/>
    </w:rPr>
  </w:style>
  <w:style w:type="character" w:styleId="1142" w:customStyle="1">
    <w:name w:val="NormalCharacter1"/>
    <w:link w:val="697"/>
    <w:uiPriority w:val="0"/>
    <w:semiHidden/>
    <w:qFormat/>
  </w:style>
  <w:style w:type="paragraph" w:styleId="1143" w:customStyle="1">
    <w:name w:val="正文首行缩进 21"/>
    <w:next w:val="697"/>
    <w:uiPriority w:val="99"/>
    <w:unhideWhenUsed/>
    <w:qFormat/>
    <w:pPr>
      <w:ind w:left="420" w:firstLine="420"/>
      <w:jc w:val="both"/>
      <w:spacing w:after="120"/>
      <w:widowControl w:val="off"/>
    </w:pPr>
    <w:rPr>
      <w:rFonts w:hint="default" w:ascii="Calibri" w:hAnsi="Calibri" w:eastAsia="宋体" w:cs="Times New Roman"/>
      <w:sz w:val="21"/>
      <w:szCs w:val="22"/>
      <w:lang w:val="en-US" w:eastAsia="zh-CN" w:bidi="ar-SA"/>
    </w:rPr>
  </w:style>
  <w:style w:type="character" w:styleId="1144" w:customStyle="1">
    <w:name w:val="font11"/>
    <w:basedOn w:val="893"/>
    <w:link w:val="697"/>
    <w:uiPriority w:val="0"/>
    <w:qFormat/>
    <w:rPr>
      <w:rFonts w:hint="eastAsia" w:ascii="宋体" w:hAnsi="宋体" w:eastAsia="宋体" w:cs="宋体"/>
      <w:color w:val="000000"/>
      <w:sz w:val="22"/>
      <w:szCs w:val="22"/>
      <w:u w:val="none"/>
    </w:rPr>
  </w:style>
  <w:style w:type="paragraph" w:styleId="1145" w:customStyle="1">
    <w:name w:val="普通(网站)1"/>
    <w:basedOn w:val="697"/>
    <w:uiPriority w:val="99"/>
    <w:unhideWhenUsed/>
    <w:qFormat/>
    <w:pPr>
      <w:jc w:val="left"/>
      <w:spacing w:before="100" w:beforeAutospacing="1" w:after="100" w:afterAutospacing="1"/>
      <w:widowControl/>
    </w:pPr>
    <w:rPr>
      <w:rFonts w:ascii="宋体" w:hAnsi="宋体" w:cs="宋体"/>
      <w:sz w:val="24"/>
    </w:rPr>
  </w:style>
  <w:style w:type="paragraph" w:styleId="1146" w:customStyle="1">
    <w:name w:val="标题 21"/>
    <w:basedOn w:val="697"/>
    <w:next w:val="1147"/>
    <w:uiPriority w:val="0"/>
    <w:qFormat/>
    <w:pPr>
      <w:jc w:val="center"/>
      <w:keepLines/>
      <w:keepNext/>
      <w:spacing w:before="120" w:line="300" w:lineRule="auto"/>
      <w:outlineLvl w:val="1"/>
    </w:pPr>
    <w:rPr>
      <w:rFonts w:ascii="Arial" w:hAnsi="Arial" w:eastAsia="黑体"/>
      <w:b/>
      <w:sz w:val="30"/>
      <w:szCs w:val="20"/>
    </w:rPr>
  </w:style>
  <w:style w:type="paragraph" w:styleId="1147" w:customStyle="1">
    <w:name w:val="正文缩进11"/>
    <w:basedOn w:val="697"/>
    <w:uiPriority w:val="99"/>
    <w:qFormat/>
    <w:pPr>
      <w:ind w:firstLine="420"/>
      <w:jc w:val="left"/>
    </w:pPr>
    <w:rPr>
      <w:rFonts w:ascii="宋体"/>
      <w:sz w:val="24"/>
    </w:rPr>
  </w:style>
  <w:style w:type="paragraph" w:styleId="1148" w:customStyle="1">
    <w:name w:val="列表段落1"/>
    <w:basedOn w:val="697"/>
    <w:uiPriority w:val="0"/>
    <w:qFormat/>
    <w:pPr>
      <w:ind w:firstLine="420"/>
    </w:pPr>
  </w:style>
  <w:style w:type="character" w:styleId="1149" w:customStyle="1">
    <w:name w:val="font21"/>
    <w:basedOn w:val="893"/>
    <w:link w:val="697"/>
    <w:uiPriority w:val="0"/>
    <w:qFormat/>
    <w:rPr>
      <w:rFonts w:hint="eastAsia" w:ascii="宋体" w:hAnsi="宋体" w:eastAsia="宋体" w:cs="宋体"/>
      <w:b/>
      <w:bCs/>
      <w:color w:val="000000"/>
      <w:sz w:val="24"/>
      <w:szCs w:val="24"/>
      <w:u w:val="none"/>
    </w:rPr>
  </w:style>
  <w:style w:type="paragraph" w:styleId="1150" w:customStyle="1">
    <w:name w:val="标题 31"/>
    <w:next w:val="1147"/>
    <w:uiPriority w:val="0"/>
    <w:qFormat/>
    <w:pPr>
      <w:jc w:val="left"/>
      <w:keepLines/>
      <w:keepNext/>
      <w:spacing w:before="360" w:after="120"/>
      <w:widowControl w:val="off"/>
      <w:outlineLvl w:val="2"/>
    </w:pPr>
    <w:rPr>
      <w:rFonts w:hint="default" w:ascii="宋体" w:hAnsi="Times New Roman" w:eastAsia="宋体" w:cs="Times New Roman"/>
      <w:b/>
      <w:sz w:val="24"/>
      <w:szCs w:val="20"/>
      <w:u w:val="single"/>
      <w:lang w:val="en-US" w:eastAsia="zh-CN" w:bidi="ar-SA"/>
    </w:rPr>
  </w:style>
  <w:style w:type="paragraph" w:styleId="1151" w:customStyle="1">
    <w:name w:val="纯文本1"/>
    <w:next w:val="1152"/>
    <w:uiPriority w:val="0"/>
    <w:qFormat/>
    <w:pPr>
      <w:jc w:val="both"/>
      <w:widowControl w:val="off"/>
    </w:pPr>
    <w:rPr>
      <w:rFonts w:hint="default" w:ascii="宋体" w:hAnsi="宋体" w:eastAsia="宋体" w:cs="Times New Roman"/>
      <w:sz w:val="26"/>
      <w:szCs w:val="24"/>
      <w:lang w:val="en-US" w:eastAsia="zh-CN" w:bidi="ar-SA"/>
    </w:rPr>
  </w:style>
  <w:style w:type="paragraph" w:styleId="1152" w:customStyle="1">
    <w:name w:val="目录 41"/>
    <w:next w:val="697"/>
    <w:uiPriority w:val="0"/>
    <w:qFormat/>
    <w:pPr>
      <w:ind w:left="1260"/>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character" w:styleId="1154" w:customStyle="1">
    <w:name w:val="font151"/>
    <w:basedOn w:val="707"/>
    <w:uiPriority w:val="0"/>
    <w:qFormat/>
    <w:rPr>
      <w:rFonts w:hint="eastAsia" w:ascii="微软雅黑" w:hAnsi="微软雅黑" w:eastAsia="微软雅黑" w:cs="微软雅黑"/>
      <w:color w:val="000000"/>
      <w:sz w:val="21"/>
      <w:szCs w:val="21"/>
      <w:u w:val="none"/>
    </w:rPr>
  </w:style>
  <w:style w:type="character" w:styleId="1155" w:customStyle="1">
    <w:name w:val="font181"/>
    <w:basedOn w:val="707"/>
    <w:uiPriority w:val="0"/>
    <w:qFormat/>
    <w:rPr>
      <w:rFonts w:hint="eastAsia" w:ascii="宋体" w:hAnsi="宋体" w:eastAsia="宋体" w:cs="宋体"/>
      <w:color w:val="000000"/>
      <w:sz w:val="21"/>
      <w:szCs w:val="21"/>
      <w:u w:val="none"/>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胡天</cp:lastModifiedBy>
  <cp:revision>12</cp:revision>
  <dcterms:created xsi:type="dcterms:W3CDTF">2022-05-30T08:08:00Z</dcterms:created>
  <dcterms:modified xsi:type="dcterms:W3CDTF">2026-10-27T07:47:41Z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eyJoZGlkIjoiZmZkYjMyZWQwZmI3NGI2OTYzMGE5MTdkOWZkZThlMDgiLCJ1c2VySWQiOiI0NDY5OTI5MzAifQ==</vt:lpwstr>
  </property>
  <property fmtid="{D5CDD505-2E9C-101B-9397-08002B2CF9AE}" pid="3" name="KSOProductBuildVer">
    <vt:lpwstr>2052-12.1.0.29161</vt:lpwstr>
  </property>
  <property fmtid="{D5CDD505-2E9C-101B-9397-08002B2CF9AE}" pid="4" name="ICV">
    <vt:lpwstr>8A1DE8E6DA8645D59DB8C6E58E587E75_13</vt:lpwstr>
  </property>
</Properties>
</file>