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auto"/>
          <w:sz w:val="48"/>
          <w:szCs w:val="48"/>
          <w:highlight w:val="none"/>
          <w:lang w:val="en-US" w:bidi="ar-SA"/>
        </w:rPr>
      </w:pPr>
      <w:r/>
      <w:bookmarkStart w:id="0" w:name="OLE_LINK12"/>
      <w:r/>
      <w:bookmarkStart w:id="1" w:name="OLE_LINK5"/>
      <w:r/>
      <w:r/>
    </w:p>
    <w:p>
      <w:pPr>
        <w:pStyle w:val="99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9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96"/>
        <w:jc w:val="center"/>
        <w:rPr>
          <w:rFonts w:cs="Times New Roman"/>
          <w:b/>
          <w:bCs/>
          <w:color w:val="auto"/>
          <w:sz w:val="48"/>
          <w:szCs w:val="48"/>
          <w:highlight w:val="none"/>
          <w:lang w:val="en-US" w:bidi="ar-SA"/>
        </w:rPr>
      </w:pPr>
      <w:r/>
      <w:bookmarkStart w:id="2" w:name="OLE_LINK6"/>
      <w:r/>
      <w:bookmarkStart w:id="3" w:name="OLE_LINK3"/>
      <w:r>
        <w:rPr>
          <w:rFonts w:hint="eastAsia" w:cs="Times New Roman"/>
          <w:b/>
          <w:bCs/>
          <w:color w:val="auto"/>
          <w:sz w:val="48"/>
          <w:szCs w:val="48"/>
          <w:highlight w:val="none"/>
          <w:lang w:val="en-US" w:bidi="ar-SA"/>
        </w:rPr>
        <w:t xml:space="preserve">南京中医药大学青春剧场整体改造项目</w:t>
      </w:r>
      <w:bookmarkEnd w:id="2"/>
      <w:r/>
      <w:bookmarkEnd w:id="3"/>
      <w:r/>
      <w:r/>
    </w:p>
    <w:p>
      <w:pPr>
        <w:pStyle w:val="99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9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7" o:title=""/>
              </v:shape>
            </w:pict>
          </mc:Fallback>
        </mc:AlternateContent>
      </w:r>
      <w:r>
        <w:rPr>
          <w:rFonts w:hAnsi="Times New Roman" w:cs="Times New Roman"/>
          <w:b/>
          <w:bCs/>
          <w:color w:val="auto"/>
          <w:sz w:val="48"/>
          <w:szCs w:val="48"/>
          <w:highlight w:val="none"/>
          <w:lang w:val="en-US" w:bidi="ar-SA"/>
        </w:rPr>
        <w:t xml:space="preserve"> </w:t>
      </w:r>
      <w:r>
        <w:rPr>
          <w:rFonts w:hint="eastAsia"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rPr>
          <w:rFonts w:hAnsi="Times New Roman" w:cs="Times New Roman"/>
          <w:b/>
          <w:bCs/>
          <w:color w:val="auto"/>
          <w:sz w:val="48"/>
          <w:szCs w:val="48"/>
          <w:highlight w:val="none"/>
          <w:lang w:val="en-US" w:bidi="ar-SA"/>
        </w:rPr>
        <w:t xml:space="preserve">                                                                                                                                                                                                                                                                </w: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项目编号：</w:t>
      </w:r>
      <w:r>
        <w:rPr>
          <w:rFonts w:cs="Times New Roman"/>
          <w:b/>
          <w:color w:val="auto"/>
          <w:sz w:val="36"/>
          <w:szCs w:val="36"/>
          <w:highlight w:val="none"/>
          <w:lang w:val="en-US" w:bidi="ar-SA"/>
        </w:rPr>
        <w:t xml:space="preserve">JSZC-320000-SNZX-G2026-0162</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采购人：南京中医药大学</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日期：二〇二六年十月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919"/>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919"/>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color w:val="auto"/>
              <w:sz w:val="28"/>
              <w:szCs w:val="28"/>
              <w:highlight w:val="none"/>
              <w:lang w:val="en-US"/>
            </w:rPr>
            <w:t xml:space="preserve">7</w:t>
          </w:r>
          <w:r>
            <w:rPr>
              <w:color w:val="auto"/>
              <w:sz w:val="28"/>
              <w:szCs w:val="28"/>
              <w:highlight w:val="none"/>
              <w:lang w:val="en-US"/>
            </w:rPr>
            <w:fldChar w:fldCharType="end"/>
          </w:r>
          <w:r/>
        </w:p>
        <w:p>
          <w:pPr>
            <w:pStyle w:val="919"/>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919"/>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val="en-US"/>
            </w:rPr>
            <w:t xml:space="preserve">采购需求</w:t>
          </w:r>
          <w:r>
            <w:rPr>
              <w:rFonts w:hint="eastAsia"/>
              <w:color w:val="auto"/>
              <w:sz w:val="28"/>
              <w:szCs w:val="28"/>
              <w:highlight w:val="none"/>
            </w:rPr>
            <w:tab/>
          </w:r>
          <w:r>
            <w:rPr>
              <w:color w:val="auto"/>
              <w:sz w:val="28"/>
              <w:szCs w:val="28"/>
              <w:highlight w:val="none"/>
            </w:rPr>
            <w:t xml:space="preserve">21</w:t>
          </w:r>
          <w:r>
            <w:rPr>
              <w:color w:val="auto"/>
              <w:sz w:val="28"/>
              <w:szCs w:val="28"/>
              <w:highlight w:val="none"/>
            </w:rPr>
            <w:fldChar w:fldCharType="end"/>
          </w:r>
          <w:r/>
        </w:p>
        <w:p>
          <w:pPr>
            <w:pStyle w:val="919"/>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30</w:t>
          </w:r>
          <w:r>
            <w:rPr>
              <w:color w:val="auto"/>
              <w:sz w:val="28"/>
              <w:szCs w:val="28"/>
              <w:highlight w:val="none"/>
            </w:rPr>
            <w:fldChar w:fldCharType="end"/>
          </w:r>
          <w:r/>
        </w:p>
        <w:p>
          <w:pPr>
            <w:pStyle w:val="919"/>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77</w:t>
          </w:r>
          <w:r>
            <w:rPr>
              <w:color w:val="auto"/>
              <w:sz w:val="28"/>
              <w:szCs w:val="28"/>
              <w:highlight w:val="none"/>
            </w:rPr>
            <w:fldChar w:fldCharType="end"/>
          </w:r>
          <w:r/>
        </w:p>
        <w:p>
          <w:pPr>
            <w:pStyle w:val="996"/>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4" w:name="_Toc10358"/>
      <w:r>
        <w:rPr>
          <w:rFonts w:hint="eastAsia" w:ascii="黑体" w:eastAsia="黑体"/>
          <w:b/>
          <w:color w:val="auto"/>
          <w:sz w:val="36"/>
          <w:highlight w:val="none"/>
        </w:rPr>
        <w:t xml:space="preserve">第一章</w:t>
      </w:r>
      <w:bookmarkEnd w:id="4"/>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南京中医药大学青春剧场整体改造项目</w:t>
      </w:r>
      <w:r>
        <w:rPr>
          <w:rFonts w:hint="eastAsia"/>
          <w:color w:val="auto"/>
          <w:sz w:val="24"/>
          <w:szCs w:val="24"/>
          <w:highlight w:val="none"/>
          <w:lang w:val="en-US" w:bidi="ar-SA"/>
        </w:rPr>
        <w:t xml:space="preserve">的潜在供应商应在江苏省政府采购网“苏采云”获取招标文件，并于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11</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16</w:t>
      </w:r>
      <w:r>
        <w:rPr>
          <w:rFonts w:hint="eastAsia"/>
          <w:color w:val="auto"/>
          <w:sz w:val="24"/>
          <w:szCs w:val="24"/>
          <w:highlight w:val="none"/>
          <w:u w:val="single"/>
          <w:lang w:val="en-US" w:bidi="ar-SA"/>
        </w:rPr>
        <w:t xml:space="preserve">日9点30分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color w:val="auto"/>
          <w:sz w:val="24"/>
          <w:szCs w:val="24"/>
          <w:highlight w:val="none"/>
          <w:lang w:val="en-US"/>
        </w:rPr>
      </w:pPr>
      <w:r>
        <w:rPr>
          <w:rFonts w:hint="eastAsia"/>
          <w:color w:val="auto"/>
          <w:sz w:val="24"/>
          <w:szCs w:val="24"/>
          <w:highlight w:val="none"/>
        </w:rPr>
        <w:t xml:space="preserve">项目编号：</w:t>
      </w:r>
      <w:r>
        <w:rPr>
          <w:color w:val="auto"/>
          <w:sz w:val="24"/>
          <w:szCs w:val="24"/>
          <w:highlight w:val="none"/>
        </w:rPr>
        <w:t xml:space="preserve">JSZC-320000-SNZX-G2026-0162</w:t>
      </w:r>
      <w:r/>
    </w:p>
    <w:p>
      <w:pPr>
        <w:ind w:firstLine="480"/>
        <w:spacing w:line="360" w:lineRule="auto"/>
        <w:rPr>
          <w:color w:val="auto"/>
          <w:sz w:val="24"/>
          <w:szCs w:val="24"/>
          <w:highlight w:val="none"/>
        </w:rPr>
      </w:pPr>
      <w:r>
        <w:rPr>
          <w:rFonts w:hint="eastAsia"/>
          <w:color w:val="auto"/>
          <w:sz w:val="24"/>
          <w:szCs w:val="24"/>
          <w:highlight w:val="none"/>
        </w:rPr>
        <w:t xml:space="preserve">项目名称：南京中医药大学青春剧场整体改造项目</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238万元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209.706039万元</w:t>
      </w:r>
      <w:r>
        <w:rPr>
          <w:rFonts w:hint="eastAsia"/>
          <w:color w:val="auto"/>
          <w:sz w:val="24"/>
          <w:szCs w:val="24"/>
          <w:highlight w:val="none"/>
        </w:rPr>
        <w:t xml:space="preserve">，投标总价</w:t>
      </w:r>
      <w:r>
        <w:rPr>
          <w:rFonts w:hint="eastAsia"/>
          <w:color w:val="auto"/>
          <w:sz w:val="24"/>
          <w:szCs w:val="24"/>
          <w:highlight w:val="none"/>
          <w:lang w:val="en-US"/>
        </w:rPr>
        <w:t xml:space="preserve">超过最高限价的为无效投标。</w:t>
      </w:r>
      <w:r/>
    </w:p>
    <w:p>
      <w:pPr>
        <w:contextualSpacing/>
        <w:ind w:firstLine="482"/>
        <w:spacing w:line="360" w:lineRule="auto"/>
        <w:rPr>
          <w:color w:val="auto"/>
          <w:sz w:val="24"/>
          <w:szCs w:val="24"/>
          <w:highlight w:val="none"/>
        </w:rPr>
      </w:pPr>
      <w:r>
        <w:rPr>
          <w:rFonts w:hint="eastAsia"/>
          <w:color w:val="auto"/>
          <w:sz w:val="24"/>
          <w:szCs w:val="24"/>
          <w:highlight w:val="none"/>
        </w:rPr>
        <w:t xml:space="preserve">采购需求：</w:t>
      </w:r>
      <w:bookmarkStart w:id="5" w:name="OLE_LINK13"/>
      <w:r/>
      <w:bookmarkStart w:id="6" w:name="OLE_LINK14"/>
      <w:r/>
      <w:bookmarkStart w:id="7" w:name="OLE_LINK19"/>
      <w:r/>
      <w:bookmarkStart w:id="8" w:name="OLE_LINK18"/>
      <w:r>
        <w:rPr>
          <w:rFonts w:hint="eastAsia"/>
          <w:color w:val="auto"/>
          <w:sz w:val="24"/>
          <w:szCs w:val="24"/>
          <w:highlight w:val="none"/>
        </w:rPr>
        <w:t xml:space="preserve">包含青春剧场及配套设施更新，室内装饰、强电工程、消防工程、防排烟工程、暖通工程、智能化工程及舞台系统等，具体内容详见施工图纸及工程量清单。</w:t>
      </w:r>
      <w:bookmarkEnd w:id="5"/>
      <w:r/>
      <w:bookmarkEnd w:id="6"/>
      <w:r/>
      <w:bookmarkEnd w:id="7"/>
      <w:r/>
      <w:bookmarkEnd w:id="8"/>
      <w:r/>
      <w:r/>
    </w:p>
    <w:p>
      <w:pPr>
        <w:pStyle w:val="902"/>
        <w:contextualSpacing/>
        <w:ind w:firstLine="482"/>
        <w:spacing w:line="360" w:lineRule="auto"/>
        <w:rPr>
          <w:color w:val="auto"/>
          <w:sz w:val="24"/>
          <w:szCs w:val="24"/>
          <w:highlight w:val="none"/>
          <w:lang w:val="en-US"/>
        </w:rPr>
      </w:pPr>
      <w:r>
        <w:rPr>
          <w:rFonts w:hint="eastAsia"/>
          <w:color w:val="auto"/>
          <w:sz w:val="24"/>
          <w:szCs w:val="24"/>
          <w:highlight w:val="none"/>
          <w:lang w:val="en-US"/>
        </w:rPr>
        <w:t xml:space="preserve">合同履行期限（工期）</w:t>
      </w:r>
      <w:r>
        <w:rPr>
          <w:rFonts w:hint="eastAsia"/>
          <w:color w:val="auto"/>
          <w:sz w:val="24"/>
          <w:szCs w:val="24"/>
          <w:highlight w:val="none"/>
        </w:rPr>
        <w:t xml:space="preserve">：</w:t>
      </w:r>
      <w:r>
        <w:rPr>
          <w:color w:val="auto"/>
          <w:sz w:val="24"/>
          <w:szCs w:val="24"/>
          <w:highlight w:val="none"/>
          <w:lang w:val="en-US"/>
        </w:rPr>
        <w:t xml:space="preserve">50</w:t>
      </w:r>
      <w:r>
        <w:rPr>
          <w:rFonts w:hint="eastAsia"/>
          <w:color w:val="auto"/>
          <w:sz w:val="24"/>
          <w:szCs w:val="24"/>
          <w:highlight w:val="none"/>
          <w:lang w:val="en-US"/>
        </w:rPr>
        <w:t xml:space="preserve">日历天</w:t>
      </w:r>
      <w:r>
        <w:rPr>
          <w:rFonts w:hint="eastAsia"/>
          <w:color w:val="auto"/>
          <w:sz w:val="24"/>
          <w:szCs w:val="24"/>
          <w:highlight w:val="none"/>
        </w:rPr>
        <w:t xml:space="preserve">，即本工程自发包人下达的书面开工令载明的开工之日起</w:t>
      </w:r>
      <w:r>
        <w:rPr>
          <w:color w:val="auto"/>
          <w:sz w:val="24"/>
          <w:szCs w:val="24"/>
          <w:highlight w:val="none"/>
        </w:rPr>
        <w:t xml:space="preserve">5</w:t>
      </w:r>
      <w:r>
        <w:rPr>
          <w:rFonts w:hint="eastAsia"/>
          <w:color w:val="auto"/>
          <w:sz w:val="24"/>
          <w:szCs w:val="24"/>
          <w:highlight w:val="none"/>
        </w:rPr>
        <w:t xml:space="preserve">0日历天竣工。</w:t>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9" w:name="二、申请人的资格要求："/>
      <w:r/>
      <w:bookmarkEnd w:id="9"/>
      <w:r>
        <w:rPr>
          <w:rFonts w:hint="eastAsia"/>
          <w:b/>
          <w:bCs/>
          <w:color w:val="auto"/>
          <w:sz w:val="24"/>
          <w:szCs w:val="24"/>
          <w:highlight w:val="none"/>
        </w:rPr>
        <w:t xml:space="preserve">二、申请人的资格要求：</w:t>
      </w:r>
      <w:r/>
    </w:p>
    <w:p>
      <w:pPr>
        <w:pStyle w:val="996"/>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9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具有独立承担民事责任的能力（提供法人或者其他组织的营业执照，自然人的身份证明）</w:t>
      </w:r>
      <w:r>
        <w:rPr>
          <w:color w:val="auto"/>
          <w:sz w:val="24"/>
          <w:szCs w:val="24"/>
          <w:highlight w:val="none"/>
        </w:rPr>
        <w:t xml:space="preserve">；</w:t>
      </w:r>
      <w:r/>
    </w:p>
    <w:p>
      <w:pPr>
        <w:pStyle w:val="99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sz w:val="24"/>
          <w:szCs w:val="24"/>
          <w:highlight w:val="none"/>
        </w:rPr>
        <w:t xml:space="preserve">2024年度</w:t>
      </w:r>
      <w:r>
        <w:rPr>
          <w:rFonts w:hint="eastAsia"/>
          <w:color w:val="auto"/>
          <w:sz w:val="24"/>
          <w:szCs w:val="24"/>
          <w:highlight w:val="none"/>
        </w:rPr>
        <w:t xml:space="preserve">或者2</w:t>
      </w:r>
      <w:r>
        <w:rPr>
          <w:color w:val="auto"/>
          <w:sz w:val="24"/>
          <w:szCs w:val="24"/>
          <w:highlight w:val="none"/>
        </w:rPr>
        <w:t xml:space="preserve">025</w:t>
      </w:r>
      <w:r>
        <w:rPr>
          <w:rFonts w:hint="eastAsia"/>
          <w:color w:val="auto"/>
          <w:sz w:val="24"/>
          <w:szCs w:val="24"/>
          <w:highlight w:val="none"/>
        </w:rPr>
        <w:t xml:space="preserve">年度</w:t>
      </w:r>
      <w:r>
        <w:rPr>
          <w:color w:val="auto"/>
          <w:sz w:val="24"/>
          <w:szCs w:val="24"/>
          <w:highlight w:val="none"/>
        </w:rPr>
        <w:t xml:space="preserve">经审计的财务报告复印件，否则视为未提供）；</w:t>
      </w:r>
      <w:r/>
    </w:p>
    <w:p>
      <w:pPr>
        <w:pStyle w:val="99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9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w:t>
      </w:r>
      <w:r>
        <w:rPr>
          <w:rFonts w:hint="eastAsia"/>
          <w:color w:val="auto"/>
          <w:sz w:val="24"/>
          <w:szCs w:val="24"/>
          <w:highlight w:val="none"/>
          <w:lang w:val="en-US"/>
        </w:rPr>
        <w:t xml:space="preserve">增值税或企业所得税的凭据，及</w:t>
      </w:r>
      <w:r>
        <w:rPr>
          <w:color w:val="auto"/>
          <w:sz w:val="24"/>
          <w:szCs w:val="24"/>
          <w:highlight w:val="none"/>
        </w:rPr>
        <w:t xml:space="preserve">社会保障资金的相关材料复印件加盖公章）；</w:t>
      </w:r>
      <w:r/>
    </w:p>
    <w:p>
      <w:pPr>
        <w:pStyle w:val="99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w:t>
      </w:r>
      <w:r>
        <w:rPr>
          <w:rFonts w:hint="eastAsia"/>
          <w:color w:val="auto"/>
          <w:sz w:val="24"/>
          <w:szCs w:val="24"/>
          <w:highlight w:val="none"/>
        </w:rPr>
        <w:t xml:space="preserve">提供参加本次采购活动前三年内在经营活动中没有重大违法记录的声明</w:t>
      </w:r>
      <w:r>
        <w:rPr>
          <w:color w:val="auto"/>
          <w:sz w:val="24"/>
          <w:szCs w:val="24"/>
          <w:highlight w:val="none"/>
        </w:rPr>
        <w:t xml:space="preserve">）；</w:t>
      </w:r>
      <w:r/>
    </w:p>
    <w:p>
      <w:pPr>
        <w:pStyle w:val="99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numPr>
          <w:ilvl w:val="0"/>
          <w:numId w:val="6"/>
        </w:numPr>
        <w:contextualSpacing/>
        <w:ind w:firstLine="480"/>
        <w:spacing w:line="360" w:lineRule="auto"/>
        <w:rPr>
          <w:color w:val="auto"/>
          <w:sz w:val="24"/>
          <w:szCs w:val="24"/>
          <w:highlight w:val="none"/>
        </w:rPr>
      </w:pPr>
      <w:r>
        <w:rPr>
          <w:rFonts w:hint="eastAsia"/>
          <w:color w:val="auto"/>
          <w:sz w:val="24"/>
          <w:szCs w:val="24"/>
          <w:highlight w:val="none"/>
        </w:rPr>
        <w:t xml:space="preserve">本项目的特定资格要求：</w:t>
      </w:r>
      <w:bookmarkStart w:id="10" w:name="三、获取招标文件"/>
      <w:r/>
      <w:bookmarkEnd w:id="10"/>
      <w:r/>
      <w:r/>
    </w:p>
    <w:p>
      <w:pPr>
        <w:contextualSpacing/>
        <w:ind w:firstLine="72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1）供应商具有</w:t>
      </w:r>
      <w:r>
        <w:rPr>
          <w:rFonts w:hint="eastAsia" w:asciiTheme="minorEastAsia" w:hAnsiTheme="minorEastAsia" w:eastAsiaTheme="minorEastAsia"/>
          <w:color w:val="auto"/>
          <w:sz w:val="24"/>
          <w:szCs w:val="24"/>
          <w:highlight w:val="none"/>
        </w:rPr>
        <w:t xml:space="preserve">施工总承包建筑工程三级(含)以上资质</w:t>
      </w:r>
      <w:r>
        <w:rPr>
          <w:rFonts w:asciiTheme="minorEastAsia" w:hAnsiTheme="minorEastAsia" w:eastAsiaTheme="minorEastAsia"/>
          <w:color w:val="auto"/>
          <w:sz w:val="24"/>
          <w:szCs w:val="24"/>
          <w:highlight w:val="none"/>
        </w:rPr>
        <w:t xml:space="preserve">，同时具备有效期内的安全生产许可证（提供证书复印件加盖公章）；</w:t>
      </w:r>
      <w:r/>
    </w:p>
    <w:p>
      <w:pPr>
        <w:contextualSpacing/>
        <w:ind w:firstLine="72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）项目负责人具有注册建造师证建筑工程二级(含)以上资质且具有安全生产考核合格证书（B类）（提供有效的证书复印件加盖公章）； </w:t>
      </w:r>
      <w:r/>
    </w:p>
    <w:p>
      <w:pPr>
        <w:contextualSpacing/>
        <w:ind w:firstLine="72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）供应商必须提供拟投入本工程项目负责人与供应商签订的有效劳动合同、社保机构出具的近半年（</w:t>
      </w:r>
      <w:r>
        <w:rPr>
          <w:rFonts w:hint="eastAsia" w:asciiTheme="minorEastAsia" w:hAnsiTheme="minorEastAsia" w:eastAsiaTheme="minorEastAsia"/>
          <w:color w:val="auto"/>
          <w:sz w:val="24"/>
          <w:szCs w:val="24"/>
          <w:highlight w:val="none"/>
          <w:lang w:val="en-US"/>
        </w:rPr>
        <w:t xml:space="preserve">2026</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lang w:val="en-US"/>
        </w:rPr>
        <w:t xml:space="preserve">4</w:t>
      </w:r>
      <w:r>
        <w:rPr>
          <w:rFonts w:hint="eastAsia" w:asciiTheme="minorEastAsia" w:hAnsiTheme="minorEastAsia" w:eastAsiaTheme="minorEastAsia"/>
          <w:color w:val="auto"/>
          <w:sz w:val="24"/>
          <w:szCs w:val="24"/>
          <w:highlight w:val="none"/>
        </w:rPr>
        <w:t xml:space="preserve">月至202</w:t>
      </w:r>
      <w:r>
        <w:rPr>
          <w:rFonts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lang w:val="en-US"/>
        </w:rPr>
        <w:t xml:space="preserve">9</w:t>
      </w:r>
      <w:r>
        <w:rPr>
          <w:rFonts w:hint="eastAsia" w:asciiTheme="minorEastAsia" w:hAnsiTheme="minorEastAsia" w:eastAsiaTheme="minorEastAsia"/>
          <w:color w:val="auto"/>
          <w:sz w:val="24"/>
          <w:szCs w:val="24"/>
          <w:highlight w:val="none"/>
        </w:rPr>
        <w:t xml:space="preserve">月）供应商为其缴纳的养老保险缴费证明（需明确缴费月份、个人姓名、缴费单位）材料并加盖社保中心章或社保中心参保缴费证明电子专用章（提供证明材料）。</w:t>
      </w:r>
      <w:r/>
    </w:p>
    <w:p>
      <w:pPr>
        <w:pStyle w:val="996"/>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11" w:name="四、提交投标文件截止时间、开标时间和地点"/>
      <w:r/>
      <w:bookmarkEnd w:id="11"/>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11</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16</w:t>
      </w:r>
      <w:r>
        <w:rPr>
          <w:rFonts w:hint="eastAsia"/>
          <w:color w:val="auto"/>
          <w:sz w:val="24"/>
          <w:szCs w:val="24"/>
          <w:highlight w:val="none"/>
          <w:u w:val="single"/>
          <w:lang w:val="en-US" w:bidi="ar-SA"/>
        </w:rPr>
        <w:t xml:space="preserve">日9点30分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12" w:name="七、对本次招标提出询问，请按以下方式联系。"/>
      <w:r/>
      <w:bookmarkEnd w:id="12"/>
      <w:r/>
      <w:bookmarkStart w:id="13" w:name="OLE_LINK4"/>
      <w:r>
        <w:rPr>
          <w:rFonts w:hint="eastAsia"/>
          <w:color w:val="auto"/>
          <w:sz w:val="24"/>
          <w:szCs w:val="24"/>
          <w:highlight w:val="none"/>
          <w:lang w:val="en-US"/>
        </w:rPr>
        <w:t xml:space="preserve">1、</w:t>
      </w:r>
      <w:r>
        <w:rPr>
          <w:color w:val="auto"/>
          <w:sz w:val="24"/>
          <w:szCs w:val="24"/>
          <w:highlight w:val="none"/>
          <w:lang w:val="en-US"/>
        </w:rPr>
        <w:t xml:space="preserve">其他要求：</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（1）供应商在参加政府采购活动前</w:t>
      </w:r>
      <w:r>
        <w:rPr>
          <w:color w:val="auto"/>
          <w:sz w:val="24"/>
          <w:szCs w:val="24"/>
          <w:highlight w:val="none"/>
          <w:lang w:val="en-US"/>
        </w:rPr>
        <w:t xml:space="preserve">3年内因违法经营被禁止在一定期限内参加政府采购活动，期限届满的，可以参加政府采购活动。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（2）单位负责人为同一人或者存在直接控股、管理关系的不同供应商，不得参加同一合同项下的政府采购活动。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（3）为采购项目提供整体设计、规范编制或者项目管理、监理、检测等服务的厂商，不得再参加该采购项目的其他采购活动。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（4）拒绝列入失信被执行人、重大税收违法失信主体、政府采购严重违法失信行为记录名单的厂商参与政府采购活动。（供应商信用记录查询渠道：“中国政府采购网”、“信用中国”网站等）。</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w:t>
      </w:r>
      <w:r>
        <w:rPr>
          <w:color w:val="auto"/>
          <w:sz w:val="24"/>
          <w:szCs w:val="24"/>
          <w:highlight w:val="none"/>
          <w:lang w:val="en-US"/>
        </w:rPr>
        <w:t xml:space="preserve">集中考察或答疑：</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采购人统一组织现场勘察，现场勘察集合地点：南京中医药大学仙林校区大学生活动中心一楼大厅，集合时间：2026年</w:t>
      </w:r>
      <w:r>
        <w:rPr>
          <w:rFonts w:hint="eastAsia"/>
          <w:color w:val="auto"/>
          <w:sz w:val="24"/>
          <w:szCs w:val="24"/>
          <w:highlight w:val="none"/>
          <w:lang w:val="en-US" w:eastAsia="zh-CN"/>
        </w:rPr>
        <w:t xml:space="preserve">11</w:t>
      </w:r>
      <w:r>
        <w:rPr>
          <w:rFonts w:hint="eastAsia"/>
          <w:color w:val="auto"/>
          <w:sz w:val="24"/>
          <w:szCs w:val="24"/>
          <w:highlight w:val="none"/>
          <w:lang w:val="en-US"/>
        </w:rPr>
        <w:t xml:space="preserve">月</w:t>
      </w:r>
      <w:r>
        <w:rPr>
          <w:rFonts w:hint="eastAsia"/>
          <w:color w:val="auto"/>
          <w:sz w:val="24"/>
          <w:szCs w:val="24"/>
          <w:highlight w:val="none"/>
          <w:lang w:val="en-US" w:eastAsia="zh-CN"/>
        </w:rPr>
        <w:t xml:space="preserve">3</w:t>
      </w:r>
      <w:r>
        <w:rPr>
          <w:rFonts w:hint="eastAsia"/>
          <w:color w:val="auto"/>
          <w:sz w:val="24"/>
          <w:szCs w:val="24"/>
          <w:highlight w:val="none"/>
          <w:lang w:val="en-US"/>
        </w:rPr>
        <w:t xml:space="preserve">日9：30，过时不候。</w:t>
      </w:r>
      <w:r/>
    </w:p>
    <w:p>
      <w:pPr>
        <w:ind w:firstLine="480"/>
        <w:spacing w:line="360" w:lineRule="auto"/>
        <w:rPr>
          <w:color w:val="auto"/>
          <w:sz w:val="24"/>
          <w:szCs w:val="24"/>
          <w:highlight w:val="none"/>
          <w:lang w:val="en-US"/>
        </w:rPr>
      </w:pPr>
      <w:r>
        <w:rPr>
          <w:color w:val="auto"/>
          <w:sz w:val="24"/>
          <w:szCs w:val="24"/>
          <w:highlight w:val="none"/>
          <w:lang w:val="en-US"/>
        </w:rPr>
        <w:t xml:space="preserve">本项目属于改造项目，其中涵盖建筑、消防、安防、网络、声光电学、机械结构、设备安装等环节，建议</w:t>
      </w:r>
      <w:r>
        <w:rPr>
          <w:rFonts w:hint="eastAsia"/>
          <w:color w:val="auto"/>
          <w:sz w:val="24"/>
          <w:szCs w:val="24"/>
          <w:highlight w:val="none"/>
          <w:lang w:val="en-US"/>
        </w:rPr>
        <w:t xml:space="preserve">供应商</w:t>
      </w:r>
      <w:r>
        <w:rPr>
          <w:color w:val="auto"/>
          <w:sz w:val="24"/>
          <w:szCs w:val="24"/>
          <w:highlight w:val="none"/>
          <w:lang w:val="en-US"/>
        </w:rPr>
        <w:t xml:space="preserve">开展现场实地勘察，核实剧场建筑现状、网络安防要求、充分考虑现场改造、布线，设备集成调试等相关工作量。因未充分勘察造成方案与现场不符、缺漏工程量，由实施方承担全部责任</w:t>
      </w:r>
      <w:r>
        <w:rPr>
          <w:rFonts w:hint="eastAsia"/>
          <w:color w:val="auto"/>
          <w:sz w:val="24"/>
          <w:szCs w:val="24"/>
          <w:highlight w:val="none"/>
          <w:lang w:val="en-US"/>
        </w:rPr>
        <w:t xml:space="preserve">（未现场勘察和未提出疑义的供应商将被视为已勘察，认同采购项目要求的内容，因未勘查现场或勘查工作不详细的供应商中标后，不得以不完全了解现场情况为理由而向采购人提出任何索赔或其他要求，对此采购人不承担任何责任并将不作任何答复）。</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勘察事项：进校需提前一天报备申请，请于进校前一天按访客入校申请使用指南</w:t>
      </w:r>
      <w:r>
        <w:rPr>
          <w:color w:val="auto"/>
          <w:sz w:val="24"/>
          <w:szCs w:val="24"/>
          <w:highlight w:val="none"/>
          <w:lang w:val="en-US"/>
        </w:rPr>
        <w:t xml:space="preserve">(附件</w:t>
      </w:r>
      <w:r>
        <w:rPr>
          <w:rFonts w:hint="eastAsia"/>
          <w:color w:val="auto"/>
          <w:sz w:val="24"/>
          <w:szCs w:val="24"/>
          <w:highlight w:val="none"/>
          <w:lang w:val="en-US"/>
        </w:rPr>
        <w:t xml:space="preserve">六</w:t>
      </w:r>
      <w:r>
        <w:rPr>
          <w:color w:val="auto"/>
          <w:sz w:val="24"/>
          <w:szCs w:val="24"/>
          <w:highlight w:val="none"/>
          <w:lang w:val="en-US"/>
        </w:rPr>
        <w:t xml:space="preserve">)扫码申请进校。现场勘察进校被访人：</w:t>
      </w:r>
      <w:r>
        <w:rPr>
          <w:rFonts w:hint="eastAsia"/>
          <w:color w:val="auto"/>
          <w:sz w:val="24"/>
          <w:szCs w:val="24"/>
          <w:highlight w:val="none"/>
          <w:lang w:val="en-US" w:eastAsia="zh-CN"/>
        </w:rPr>
        <w:t xml:space="preserve">陈晨新，电话：15252673642</w:t>
      </w:r>
      <w:r>
        <w:rPr>
          <w:color w:val="auto"/>
          <w:sz w:val="24"/>
          <w:szCs w:val="24"/>
          <w:highlight w:val="none"/>
          <w:lang w:val="en-US"/>
        </w:rPr>
        <w:t xml:space="preserve">；部门：后勤基建处。</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勘察联系人：黄煜；联系方式：18951775258。</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w:t>
      </w:r>
      <w:r>
        <w:rPr>
          <w:rFonts w:hint="eastAsia"/>
          <w:color w:val="auto"/>
          <w:sz w:val="24"/>
          <w:szCs w:val="24"/>
          <w:highlight w:val="none"/>
          <w:lang w:val="en-US"/>
        </w:rPr>
        <w:t xml:space="preserve">4</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902"/>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902"/>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902"/>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r/>
    </w:p>
    <w:p>
      <w:pPr>
        <w:pStyle w:val="902"/>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是否接受进口产品：不接受。</w:t>
      </w:r>
      <w:r/>
    </w:p>
    <w:p>
      <w:pPr>
        <w:pStyle w:val="902"/>
        <w:contextualSpacing/>
        <w:ind w:firstLine="480"/>
        <w:spacing w:line="360" w:lineRule="auto"/>
        <w:rPr>
          <w:color w:val="auto"/>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建筑业</w:t>
      </w:r>
      <w:r>
        <w:rPr>
          <w:color w:val="auto"/>
          <w:sz w:val="24"/>
          <w:szCs w:val="24"/>
          <w:highlight w:val="none"/>
          <w:lang w:val="en-US"/>
        </w:rPr>
        <w:t xml:space="preserve">。</w:t>
      </w:r>
      <w:bookmarkEnd w:id="13"/>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南京中医药大学</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南京市栖霞区仙林大道138号</w:t>
      </w:r>
      <w:r/>
    </w:p>
    <w:p>
      <w:pPr>
        <w:ind w:firstLine="480"/>
        <w:spacing w:line="360" w:lineRule="auto"/>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u w:val="single"/>
        </w:rPr>
        <w:t xml:space="preserve">梁老师</w:t>
      </w:r>
      <w:r/>
    </w:p>
    <w:p>
      <w:pPr>
        <w:ind w:firstLine="480"/>
        <w:spacing w:line="360" w:lineRule="auto"/>
        <w:rPr>
          <w:color w:val="auto"/>
          <w:sz w:val="24"/>
          <w:szCs w:val="24"/>
          <w:highlight w:val="none"/>
        </w:rPr>
      </w:pPr>
      <w:r>
        <w:rPr>
          <w:rFonts w:hint="eastAsia"/>
          <w:color w:val="auto"/>
          <w:sz w:val="24"/>
          <w:szCs w:val="24"/>
          <w:highlight w:val="none"/>
        </w:rPr>
        <w:t xml:space="preserve">联系方式：</w:t>
      </w:r>
      <w:r>
        <w:rPr>
          <w:color w:val="auto"/>
          <w:sz w:val="24"/>
          <w:szCs w:val="24"/>
          <w:highlight w:val="none"/>
          <w:u w:val="single"/>
        </w:rPr>
        <w:t xml:space="preserve">025-85811122</w:t>
      </w:r>
      <w:r>
        <w:rPr>
          <w:color w:val="auto"/>
          <w:sz w:val="24"/>
          <w:szCs w:val="24"/>
          <w:highlight w:val="none"/>
        </w:rPr>
        <w:t xml:space="preserve">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bookmarkStart w:id="14" w:name="OLE_LINK11"/>
      <w:r/>
      <w:bookmarkStart w:id="15" w:name="OLE_LINK7"/>
      <w:r>
        <w:rPr>
          <w:rFonts w:hint="eastAsia"/>
          <w:color w:val="auto"/>
          <w:sz w:val="24"/>
          <w:szCs w:val="24"/>
          <w:highlight w:val="none"/>
          <w:u w:val="single"/>
        </w:rPr>
        <w:t xml:space="preserve">南京市中山路99号12楼1212室</w:t>
      </w:r>
      <w:bookmarkEnd w:id="14"/>
      <w:r/>
      <w:bookmarkEnd w:id="15"/>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w:t>
      </w:r>
      <w:r/>
    </w:p>
    <w:p>
      <w:pPr>
        <w:ind w:firstLine="480"/>
        <w:spacing w:line="360" w:lineRule="auto"/>
        <w:rPr>
          <w:color w:val="auto"/>
          <w:sz w:val="24"/>
          <w:szCs w:val="24"/>
          <w:highlight w:val="none"/>
        </w:rPr>
      </w:pPr>
      <w:r>
        <w:rPr>
          <w:rFonts w:hint="eastAsia"/>
          <w:color w:val="auto"/>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color w:val="auto"/>
          <w:sz w:val="24"/>
          <w:szCs w:val="24"/>
          <w:highlight w:val="none"/>
          <w:u w:val="single"/>
        </w:rPr>
        <w:outlineLvl w:val="0"/>
      </w:pPr>
      <w:r/>
      <w:bookmarkStart w:id="16" w:name="_Toc15993"/>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color w:val="auto"/>
          <w:sz w:val="24"/>
          <w:szCs w:val="24"/>
          <w:highlight w:val="none"/>
          <w:u w:val="single"/>
        </w:rPr>
        <w:outlineLvl w:val="0"/>
      </w:pPr>
      <w:r>
        <w:rPr>
          <w:color w:val="auto"/>
          <w:sz w:val="24"/>
          <w:szCs w:val="24"/>
          <w:highlight w:val="none"/>
          <w:u w:val="single"/>
        </w:rPr>
      </w:r>
      <w:r/>
    </w:p>
    <w:p>
      <w:pPr>
        <w:ind w:left="2024" w:right="2064"/>
        <w:jc w:val="center"/>
        <w:spacing w:before="49"/>
        <w:rPr>
          <w:rFonts w:ascii="黑体" w:eastAsia="黑体"/>
          <w:b/>
          <w:bCs/>
          <w:color w:val="auto"/>
          <w:sz w:val="36"/>
          <w:highlight w:val="none"/>
        </w:rPr>
        <w:outlineLvl w:val="0"/>
      </w:pPr>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16"/>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902"/>
        <w:ind w:firstLine="420"/>
        <w:spacing w:line="360" w:lineRule="auto"/>
        <w:rPr>
          <w:color w:val="auto"/>
          <w:highlight w:val="none"/>
        </w:rPr>
      </w:pPr>
      <w:r/>
      <w:bookmarkStart w:id="17" w:name="1、适用法律"/>
      <w:r/>
      <w:bookmarkEnd w:id="17"/>
      <w:r>
        <w:rPr>
          <w:rFonts w:hint="eastAsia"/>
          <w:color w:val="auto"/>
          <w:highlight w:val="none"/>
        </w:rPr>
        <w:t xml:space="preserve">1、适用法律</w:t>
      </w:r>
      <w:r/>
    </w:p>
    <w:p>
      <w:pPr>
        <w:pStyle w:val="902"/>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8" w:name="2、定义"/>
      <w:r/>
      <w:bookmarkEnd w:id="18"/>
      <w:r>
        <w:rPr>
          <w:rFonts w:hint="eastAsia"/>
          <w:b/>
          <w:color w:val="auto"/>
          <w:sz w:val="21"/>
          <w:szCs w:val="21"/>
          <w:highlight w:val="none"/>
        </w:rPr>
        <w:t xml:space="preserve">2、定义</w:t>
      </w:r>
      <w:r/>
    </w:p>
    <w:p>
      <w:pPr>
        <w:pStyle w:val="996"/>
        <w:numPr>
          <w:ilvl w:val="1"/>
          <w:numId w:val="7"/>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ind w:firstLine="420"/>
        <w:spacing w:line="360" w:lineRule="auto"/>
        <w:tabs>
          <w:tab w:val="left" w:pos="1059" w:leader="none"/>
        </w:tabs>
        <w:rPr>
          <w:color w:val="auto"/>
          <w:sz w:val="21"/>
          <w:szCs w:val="21"/>
          <w:highlight w:val="none"/>
        </w:rPr>
      </w:pPr>
      <w:r>
        <w:rPr>
          <w:color w:val="auto"/>
          <w:sz w:val="21"/>
          <w:szCs w:val="21"/>
          <w:highlight w:val="none"/>
        </w:rPr>
        <w:t xml:space="preserve">2.2 “工程”指本采购文件中所述工程及相关服务。</w:t>
      </w:r>
      <w:r/>
    </w:p>
    <w:p>
      <w:pPr>
        <w:ind w:firstLine="420"/>
        <w:spacing w:line="360" w:lineRule="auto"/>
        <w:tabs>
          <w:tab w:val="left" w:pos="1059" w:leader="none"/>
        </w:tabs>
        <w:rPr>
          <w:b/>
          <w:color w:val="auto"/>
          <w:sz w:val="21"/>
          <w:szCs w:val="21"/>
          <w:highlight w:val="none"/>
        </w:rPr>
      </w:pPr>
      <w:r>
        <w:rPr>
          <w:color w:val="auto"/>
          <w:sz w:val="21"/>
          <w:szCs w:val="21"/>
          <w:highlight w:val="none"/>
        </w:rPr>
        <w:t xml:space="preserve">2.3 “用户或使用单位”是指使用服务的单位。</w:t>
      </w:r>
      <w:r/>
    </w:p>
    <w:p>
      <w:pPr>
        <w:pStyle w:val="99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96"/>
        <w:numPr>
          <w:ilvl w:val="1"/>
          <w:numId w:val="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货物、工程或者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96"/>
        <w:numPr>
          <w:ilvl w:val="1"/>
          <w:numId w:val="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96"/>
        <w:numPr>
          <w:ilvl w:val="1"/>
          <w:numId w:val="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96"/>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96"/>
        <w:numPr>
          <w:ilvl w:val="1"/>
          <w:numId w:val="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96"/>
        <w:numPr>
          <w:ilvl w:val="1"/>
          <w:numId w:val="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96"/>
        <w:numPr>
          <w:ilvl w:val="1"/>
          <w:numId w:val="8"/>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b/>
          <w:color w:val="auto"/>
          <w:sz w:val="21"/>
          <w:szCs w:val="21"/>
          <w:highlight w:val="none"/>
        </w:rPr>
      </w:pP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96"/>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pStyle w:val="996"/>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96"/>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9" w:name="5、招标文件的澄清、修改"/>
      <w:r/>
      <w:bookmarkEnd w:id="19"/>
      <w:r>
        <w:rPr>
          <w:rFonts w:hint="eastAsia"/>
          <w:b/>
          <w:color w:val="auto"/>
          <w:sz w:val="21"/>
          <w:szCs w:val="21"/>
          <w:highlight w:val="none"/>
        </w:rPr>
        <w:t xml:space="preserve">5、招标文件的澄清、修改</w:t>
      </w:r>
      <w:r/>
    </w:p>
    <w:p>
      <w:pPr>
        <w:pStyle w:val="996"/>
        <w:numPr>
          <w:ilvl w:val="1"/>
          <w:numId w:val="10"/>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96"/>
        <w:numPr>
          <w:ilvl w:val="1"/>
          <w:numId w:val="10"/>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96"/>
        <w:numPr>
          <w:ilvl w:val="1"/>
          <w:numId w:val="10"/>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20" w:name="三、投标"/>
      <w:r/>
      <w:bookmarkEnd w:id="20"/>
      <w:r/>
      <w:r/>
    </w:p>
    <w:p>
      <w:pPr>
        <w:pStyle w:val="99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9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9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9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9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9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9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96"/>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21" w:name="8、投标费用"/>
      <w:r/>
      <w:bookmarkEnd w:id="21"/>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本次招标项目代理服务费执行《招标代理服务收费管理暂行办法》（计价格〔2002〕1980 号）及《关于降低部分建设项目收费标准规范收费行为等有关问题的通知》（发改价格〔2011〕534 号）相关规定，按对应收费标准的 65% 计算；实际以【按前述收费标准得出的计算结果</w:t>
      </w:r>
      <w:r>
        <w:rPr>
          <w:bCs/>
          <w:color w:val="auto"/>
          <w:sz w:val="21"/>
          <w:szCs w:val="21"/>
          <w:highlight w:val="none"/>
          <w:lang w:val="en-US"/>
        </w:rPr>
        <w:t xml:space="preserve">*成交折扣率65%-采购人承担的该项目专家评审费】计取，若低于本项目的保底价人民币3000元，则按本项目的保底价人民币（3000元-采购人承担的该项目专家评审费）计取。招标代理服务费由中标(成交)供应商最终支付和承担。该项费用无需单列在报价中。</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96"/>
        <w:numPr>
          <w:ilvl w:val="1"/>
          <w:numId w:val="11"/>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96"/>
        <w:numPr>
          <w:ilvl w:val="1"/>
          <w:numId w:val="11"/>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96"/>
        <w:numPr>
          <w:ilvl w:val="1"/>
          <w:numId w:val="11"/>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9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902"/>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96"/>
        <w:numPr>
          <w:ilvl w:val="0"/>
          <w:numId w:val="12"/>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96"/>
        <w:numPr>
          <w:ilvl w:val="0"/>
          <w:numId w:val="12"/>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96"/>
        <w:numPr>
          <w:ilvl w:val="0"/>
          <w:numId w:val="12"/>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96"/>
        <w:numPr>
          <w:ilvl w:val="0"/>
          <w:numId w:val="12"/>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96"/>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9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96"/>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96"/>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96"/>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96"/>
        <w:numPr>
          <w:ilvl w:val="1"/>
          <w:numId w:val="13"/>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96"/>
        <w:numPr>
          <w:ilvl w:val="0"/>
          <w:numId w:val="14"/>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96"/>
        <w:numPr>
          <w:ilvl w:val="0"/>
          <w:numId w:val="14"/>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96"/>
        <w:numPr>
          <w:ilvl w:val="0"/>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96"/>
        <w:numPr>
          <w:ilvl w:val="0"/>
          <w:numId w:val="14"/>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96"/>
        <w:numPr>
          <w:ilvl w:val="0"/>
          <w:numId w:val="14"/>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9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9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本工程采用固定</w:t>
      </w:r>
      <w:r>
        <w:rPr>
          <w:rFonts w:hint="eastAsia"/>
          <w:color w:val="auto"/>
          <w:sz w:val="21"/>
          <w:szCs w:val="21"/>
          <w:highlight w:val="none"/>
          <w:lang w:val="en-US"/>
        </w:rPr>
        <w:t xml:space="preserve">综合</w:t>
      </w:r>
      <w:r>
        <w:rPr>
          <w:rFonts w:hint="eastAsia"/>
          <w:color w:val="auto"/>
          <w:sz w:val="21"/>
          <w:szCs w:val="21"/>
          <w:highlight w:val="none"/>
        </w:rPr>
        <w:t xml:space="preserve">单价合同，单价不可调，工程量根据工程施工实际情况，竣工并经审计后按实结算。 </w:t>
      </w:r>
      <w:r/>
    </w:p>
    <w:p>
      <w:p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2投标人投标报价不得低于其成本价。</w:t>
      </w:r>
      <w:r>
        <w:rPr>
          <w:rFonts w:hint="eastAsia"/>
          <w:color w:val="auto"/>
          <w:sz w:val="21"/>
          <w:szCs w:val="21"/>
          <w:highlight w:val="none"/>
        </w:rPr>
        <w:t xml:space="preserve">工程中标价即为合同价，投标报价应包括人工费、材料费、机械设备费、运输费、施工水电费、校内运输费、二次搬运费、垂直运输费、脚手架、检测费、保洁费、室内环境检测费、技术服务费（包括技术资料、图纸提供等）、保险费、规费及税金等一切费用。</w:t>
      </w:r>
      <w:r/>
    </w:p>
    <w:p>
      <w:pPr>
        <w:pStyle w:val="996"/>
        <w:ind w:firstLine="210"/>
        <w:spacing w:line="360" w:lineRule="auto"/>
        <w:tabs>
          <w:tab w:val="left" w:pos="1164" w:leader="none"/>
        </w:tabs>
        <w:rPr>
          <w:color w:val="auto"/>
          <w:sz w:val="21"/>
          <w:szCs w:val="21"/>
          <w:highlight w:val="none"/>
        </w:rPr>
      </w:pPr>
      <w:r>
        <w:rPr>
          <w:color w:val="auto"/>
          <w:sz w:val="21"/>
          <w:szCs w:val="21"/>
          <w:highlight w:val="none"/>
        </w:rPr>
        <w:t xml:space="preserve">12.3.投标人必须按照招标文件规定的报价编制要求、工程量清单格式及要求进行报价，除了工程量清单报价，招标人不再接受其他任何形式的报价及说明（如降价函、报价修正函等）。</w:t>
      </w:r>
      <w:r/>
    </w:p>
    <w:p>
      <w:pPr>
        <w:pStyle w:val="996"/>
        <w:ind w:left="0"/>
        <w:spacing w:line="360" w:lineRule="auto"/>
        <w:tabs>
          <w:tab w:val="left" w:pos="1164" w:leader="none"/>
        </w:tabs>
        <w:rPr>
          <w:color w:val="auto"/>
          <w:sz w:val="21"/>
          <w:szCs w:val="21"/>
          <w:highlight w:val="none"/>
        </w:rPr>
      </w:pPr>
      <w:r>
        <w:rPr>
          <w:color w:val="auto"/>
          <w:sz w:val="21"/>
          <w:szCs w:val="21"/>
          <w:highlight w:val="none"/>
        </w:rPr>
        <w:t xml:space="preserve">12.4.供应商应充分考虑所有可能影响到报价的价格及政策等风险因素，根据工程量清单报各项单价，一旦中标，单价不予调整，工程竣工验收后，</w:t>
      </w:r>
      <w:r>
        <w:rPr>
          <w:rFonts w:hint="eastAsia"/>
          <w:color w:val="auto"/>
          <w:sz w:val="21"/>
          <w:szCs w:val="21"/>
          <w:highlight w:val="none"/>
        </w:rPr>
        <w:t xml:space="preserve">采购人</w:t>
      </w:r>
      <w:r>
        <w:rPr>
          <w:color w:val="auto"/>
          <w:sz w:val="21"/>
          <w:szCs w:val="21"/>
          <w:highlight w:val="none"/>
        </w:rPr>
        <w:t xml:space="preserve">按照中标人的投标预算单价和实际完成工程量送审，并按审计后总价进行项目结算。</w:t>
      </w:r>
      <w:r/>
    </w:p>
    <w:p>
      <w:pPr>
        <w:pStyle w:val="99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w:t>
      </w:r>
      <w:r>
        <w:rPr>
          <w:color w:val="auto"/>
          <w:sz w:val="21"/>
          <w:szCs w:val="21"/>
          <w:highlight w:val="none"/>
        </w:rPr>
        <w:t xml:space="preserve">5</w:t>
      </w:r>
      <w:r>
        <w:rPr>
          <w:rFonts w:hint="eastAsia"/>
          <w:color w:val="auto"/>
          <w:sz w:val="21"/>
          <w:szCs w:val="21"/>
          <w:highlight w:val="none"/>
        </w:rPr>
        <w:t xml:space="preserve"> 供应商的任何错漏、优惠、竞争性报价不得作为减轻责任、减少服务、增加收费、降低质量的理由。</w:t>
      </w:r>
      <w:r/>
    </w:p>
    <w:p>
      <w:pPr>
        <w:pStyle w:val="99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w:t>
      </w:r>
      <w:r>
        <w:rPr>
          <w:color w:val="auto"/>
          <w:sz w:val="21"/>
          <w:szCs w:val="21"/>
          <w:highlight w:val="none"/>
        </w:rPr>
        <w:t xml:space="preserve">6</w:t>
      </w:r>
      <w:r>
        <w:rPr>
          <w:rFonts w:hint="eastAsia"/>
          <w:color w:val="auto"/>
          <w:sz w:val="21"/>
          <w:szCs w:val="21"/>
          <w:highlight w:val="none"/>
        </w:rPr>
        <w:t xml:space="preserve">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9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w:t>
      </w:r>
      <w:r>
        <w:rPr>
          <w:color w:val="auto"/>
          <w:sz w:val="21"/>
          <w:szCs w:val="21"/>
          <w:highlight w:val="none"/>
        </w:rPr>
        <w:t xml:space="preserve">7</w:t>
      </w:r>
      <w:r>
        <w:rPr>
          <w:rFonts w:hint="eastAsia"/>
          <w:color w:val="auto"/>
          <w:sz w:val="21"/>
          <w:szCs w:val="21"/>
          <w:highlight w:val="none"/>
        </w:rPr>
        <w:t xml:space="preserve">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902"/>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902"/>
        <w:ind w:firstLine="422"/>
        <w:spacing w:line="360" w:lineRule="auto"/>
        <w:rPr>
          <w:b/>
          <w:color w:val="auto"/>
          <w:highlight w:val="none"/>
        </w:rPr>
      </w:pPr>
      <w:r>
        <w:rPr>
          <w:rFonts w:hint="eastAsia"/>
          <w:b/>
          <w:color w:val="auto"/>
          <w:highlight w:val="none"/>
        </w:rPr>
        <w:t xml:space="preserve">14、投标有效期</w:t>
      </w:r>
      <w:r/>
    </w:p>
    <w:p>
      <w:pPr>
        <w:pStyle w:val="996"/>
        <w:numPr>
          <w:ilvl w:val="1"/>
          <w:numId w:val="15"/>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96"/>
        <w:numPr>
          <w:ilvl w:val="1"/>
          <w:numId w:val="15"/>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96"/>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投标人应充分考虑网络环境、网络带宽等因素可能对投标产生的影响，如因投标人自身原因造成的电子投标文件上传不成功的，按照本招标文件第二章第20.2.2.4 条规定做无效投标处理。</w:t>
      </w:r>
      <w:r/>
    </w:p>
    <w:p>
      <w:pPr>
        <w:pStyle w:val="99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96"/>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22" w:name="四、开标、评标与确定中标供应商"/>
      <w:r/>
      <w:bookmarkEnd w:id="22"/>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9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9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9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96"/>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9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99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9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9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9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9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96"/>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96"/>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96"/>
        <w:ind w:left="0"/>
        <w:spacing w:line="360" w:lineRule="auto"/>
        <w:tabs>
          <w:tab w:val="left" w:pos="1163" w:leader="none"/>
        </w:tabs>
        <w:rPr>
          <w:color w:val="auto"/>
          <w:sz w:val="21"/>
          <w:szCs w:val="21"/>
          <w:highlight w:val="none"/>
        </w:rPr>
      </w:pPr>
      <w:r/>
      <w:bookmarkStart w:id="23" w:name="20.2.1.1采购人代表将依法对投标人的资格进行审查。"/>
      <w:r/>
      <w:bookmarkEnd w:id="23"/>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9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9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96"/>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96"/>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96"/>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96"/>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w:t>
      </w:r>
      <w:r>
        <w:rPr>
          <w:b/>
          <w:bCs/>
          <w:color w:val="auto"/>
          <w:sz w:val="21"/>
          <w:szCs w:val="21"/>
          <w:highlight w:val="none"/>
        </w:rPr>
        <w:t xml:space="preserve">按照无效投标处理</w:t>
      </w:r>
      <w:r>
        <w:rPr>
          <w:rFonts w:hint="eastAsia"/>
          <w:b/>
          <w:bCs/>
          <w:color w:val="auto"/>
          <w:sz w:val="21"/>
          <w:szCs w:val="21"/>
          <w:highlight w:val="none"/>
        </w:rPr>
        <w:t xml:space="preserve">：</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w:t>
      </w:r>
      <w:r>
        <w:rPr>
          <w:rFonts w:hint="eastAsia"/>
          <w:color w:val="auto"/>
          <w:sz w:val="21"/>
          <w:szCs w:val="21"/>
          <w:highlight w:val="none"/>
        </w:rPr>
        <w:t xml:space="preserve">与</w:t>
      </w:r>
      <w:r>
        <w:rPr>
          <w:rFonts w:hint="eastAsia"/>
          <w:color w:val="auto"/>
          <w:sz w:val="21"/>
          <w:szCs w:val="21"/>
          <w:highlight w:val="none"/>
          <w:lang w:val="en-US"/>
        </w:rPr>
        <w:t xml:space="preserve">招标</w:t>
      </w:r>
      <w:r>
        <w:rPr>
          <w:rFonts w:hint="eastAsia"/>
          <w:color w:val="auto"/>
          <w:sz w:val="21"/>
          <w:szCs w:val="21"/>
          <w:highlight w:val="none"/>
        </w:rPr>
        <w:t xml:space="preserve">文件提供的工程量清单中的项目编码、项目名称、项目特征、计量单位、工程量不一致的（措施项目增项除外）；</w:t>
      </w:r>
      <w:r/>
    </w:p>
    <w:p>
      <w:pPr>
        <w:pStyle w:val="996"/>
        <w:numPr>
          <w:ilvl w:val="3"/>
          <w:numId w:val="0"/>
        </w:numPr>
        <w:ind w:firstLine="420"/>
        <w:spacing w:line="360" w:lineRule="auto"/>
        <w:tabs>
          <w:tab w:val="left" w:pos="1584"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19</w:t>
      </w:r>
      <w:r>
        <w:rPr>
          <w:rFonts w:hint="eastAsia"/>
          <w:color w:val="auto"/>
          <w:sz w:val="21"/>
          <w:szCs w:val="21"/>
          <w:highlight w:val="none"/>
        </w:rPr>
        <w:t xml:space="preserve">）与</w:t>
      </w:r>
      <w:r>
        <w:rPr>
          <w:rFonts w:hint="eastAsia"/>
          <w:color w:val="auto"/>
          <w:sz w:val="21"/>
          <w:szCs w:val="21"/>
          <w:highlight w:val="none"/>
          <w:lang w:val="en-US"/>
        </w:rPr>
        <w:t xml:space="preserve">招标</w:t>
      </w:r>
      <w:r>
        <w:rPr>
          <w:rFonts w:hint="eastAsia"/>
          <w:color w:val="auto"/>
          <w:sz w:val="21"/>
          <w:szCs w:val="21"/>
          <w:highlight w:val="none"/>
        </w:rPr>
        <w:t xml:space="preserve">文件规定的暂估价、暂列金额及甲供材料价格不一致的；</w:t>
      </w:r>
      <w:r/>
    </w:p>
    <w:p>
      <w:pPr>
        <w:pStyle w:val="996"/>
        <w:numPr>
          <w:ilvl w:val="3"/>
          <w:numId w:val="0"/>
        </w:numPr>
        <w:ind w:firstLine="420"/>
        <w:spacing w:line="360" w:lineRule="auto"/>
        <w:tabs>
          <w:tab w:val="left" w:pos="1584"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20</w:t>
      </w:r>
      <w:r>
        <w:rPr>
          <w:rFonts w:hint="eastAsia"/>
          <w:color w:val="auto"/>
          <w:sz w:val="21"/>
          <w:szCs w:val="21"/>
          <w:highlight w:val="none"/>
        </w:rPr>
        <w:t xml:space="preserve">）与</w:t>
      </w:r>
      <w:r>
        <w:rPr>
          <w:rFonts w:hint="eastAsia"/>
          <w:color w:val="auto"/>
          <w:sz w:val="21"/>
          <w:szCs w:val="21"/>
          <w:highlight w:val="none"/>
          <w:lang w:val="en-US"/>
        </w:rPr>
        <w:t xml:space="preserve">招标</w:t>
      </w:r>
      <w:r>
        <w:rPr>
          <w:rFonts w:hint="eastAsia"/>
          <w:color w:val="auto"/>
          <w:sz w:val="21"/>
          <w:szCs w:val="21"/>
          <w:highlight w:val="none"/>
        </w:rPr>
        <w:t xml:space="preserve">文件明确列出的不可竞争费用项目或费率或计算基础不一致的；</w:t>
      </w:r>
      <w:r/>
    </w:p>
    <w:p>
      <w:pPr>
        <w:pStyle w:val="996"/>
        <w:numPr>
          <w:ilvl w:val="3"/>
          <w:numId w:val="0"/>
        </w:numPr>
        <w:ind w:firstLine="420"/>
        <w:spacing w:line="360" w:lineRule="auto"/>
        <w:tabs>
          <w:tab w:val="left" w:pos="1584"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21</w:t>
      </w:r>
      <w:r>
        <w:rPr>
          <w:rFonts w:hint="eastAsia"/>
          <w:color w:val="auto"/>
          <w:sz w:val="21"/>
          <w:szCs w:val="21"/>
          <w:highlight w:val="none"/>
        </w:rPr>
        <w:t xml:space="preserve">）不符合法律、法规和</w:t>
      </w:r>
      <w:r>
        <w:rPr>
          <w:rFonts w:hint="eastAsia"/>
          <w:color w:val="auto"/>
          <w:sz w:val="21"/>
          <w:szCs w:val="21"/>
          <w:highlight w:val="none"/>
          <w:lang w:val="en-US"/>
        </w:rPr>
        <w:t xml:space="preserve">招标</w:t>
      </w:r>
      <w:r>
        <w:rPr>
          <w:rFonts w:hint="eastAsia"/>
          <w:color w:val="auto"/>
          <w:sz w:val="21"/>
          <w:szCs w:val="21"/>
          <w:highlight w:val="none"/>
        </w:rPr>
        <w:t xml:space="preserve">文件规定的其他实质性要求的。</w:t>
      </w:r>
      <w:r/>
    </w:p>
    <w:p>
      <w:pPr>
        <w:pStyle w:val="99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96"/>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96"/>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9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96"/>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96"/>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9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9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9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9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9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96"/>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9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9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96"/>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照施工组织设计得分最高的投标人为中标候选人。</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9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9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96"/>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96"/>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96"/>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96"/>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24" w:name="五、签订合同"/>
      <w:r/>
      <w:bookmarkEnd w:id="24"/>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96"/>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96"/>
        <w:numPr>
          <w:ilvl w:val="1"/>
          <w:numId w:val="1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96"/>
        <w:numPr>
          <w:ilvl w:val="1"/>
          <w:numId w:val="1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96"/>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采购合同履行中，采购人需追加与合同标的相同货物、服务</w:t>
      </w:r>
      <w:r>
        <w:rPr>
          <w:rFonts w:hint="eastAsia"/>
          <w:color w:val="auto"/>
          <w:sz w:val="21"/>
          <w:szCs w:val="21"/>
          <w:highlight w:val="none"/>
          <w:lang w:val="en-US"/>
        </w:rPr>
        <w:t xml:space="preserve">或工程</w:t>
      </w:r>
      <w:r>
        <w:rPr>
          <w:rFonts w:hint="eastAsia"/>
          <w:color w:val="auto"/>
          <w:sz w:val="21"/>
          <w:szCs w:val="21"/>
          <w:highlight w:val="none"/>
        </w:rPr>
        <w:t xml:space="preserve">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25" w:name="六、询问、质疑、投诉和诚实信用"/>
      <w:r/>
      <w:bookmarkEnd w:id="25"/>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902"/>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96"/>
        <w:numPr>
          <w:ilvl w:val="1"/>
          <w:numId w:val="1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96"/>
        <w:numPr>
          <w:ilvl w:val="1"/>
          <w:numId w:val="19"/>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96"/>
        <w:numPr>
          <w:ilvl w:val="1"/>
          <w:numId w:val="1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96"/>
        <w:numPr>
          <w:ilvl w:val="1"/>
          <w:numId w:val="19"/>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96"/>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96"/>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96"/>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96"/>
        <w:numPr>
          <w:ilvl w:val="1"/>
          <w:numId w:val="1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96"/>
        <w:numPr>
          <w:ilvl w:val="0"/>
          <w:numId w:val="21"/>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96"/>
        <w:numPr>
          <w:ilvl w:val="0"/>
          <w:numId w:val="21"/>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96"/>
        <w:numPr>
          <w:ilvl w:val="0"/>
          <w:numId w:val="21"/>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96"/>
        <w:numPr>
          <w:ilvl w:val="0"/>
          <w:numId w:val="21"/>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96"/>
        <w:numPr>
          <w:ilvl w:val="0"/>
          <w:numId w:val="21"/>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96"/>
        <w:numPr>
          <w:ilvl w:val="0"/>
          <w:numId w:val="21"/>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96"/>
        <w:numPr>
          <w:ilvl w:val="1"/>
          <w:numId w:val="1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902"/>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96"/>
        <w:numPr>
          <w:ilvl w:val="1"/>
          <w:numId w:val="22"/>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96"/>
        <w:numPr>
          <w:ilvl w:val="1"/>
          <w:numId w:val="22"/>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96"/>
        <w:numPr>
          <w:ilvl w:val="1"/>
          <w:numId w:val="22"/>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96"/>
        <w:numPr>
          <w:ilvl w:val="1"/>
          <w:numId w:val="22"/>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96"/>
        <w:contextualSpacing/>
        <w:ind w:left="0"/>
        <w:spacing w:line="360" w:lineRule="auto"/>
        <w:tabs>
          <w:tab w:val="left" w:pos="1164" w:leader="none"/>
        </w:tabs>
        <w:rPr>
          <w:color w:val="auto"/>
          <w:sz w:val="21"/>
          <w:highlight w:val="none"/>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6" w:name="_Toc9832"/>
      <w:r>
        <w:rPr>
          <w:rFonts w:hint="eastAsia" w:ascii="黑体" w:eastAsia="黑体"/>
          <w:b/>
          <w:color w:val="auto"/>
          <w:sz w:val="36"/>
          <w:highlight w:val="none"/>
        </w:rPr>
        <w:t xml:space="preserve">第三章 评标标准</w:t>
      </w:r>
      <w:bookmarkEnd w:id="26"/>
      <w:r/>
      <w:r/>
    </w:p>
    <w:p>
      <w:pPr>
        <w:ind w:firstLine="440"/>
        <w:spacing w:line="360" w:lineRule="auto"/>
        <w:rPr>
          <w:color w:val="auto"/>
          <w:highlight w:val="none"/>
        </w:rPr>
      </w:pPr>
      <w:r>
        <w:rPr>
          <w:rFonts w:hint="eastAsia"/>
          <w:color w:val="auto"/>
          <w:highlight w:val="none"/>
        </w:rPr>
        <w:t xml:space="preserve">使用综合评分法的采购项目，评标结果按评审后得分由高到低顺序排列。得分相同的，按报价得分由高到低顺序排列。评审后得分且投标报价相同的，按照施工组织设计得分最高的投标人为中标候选人。</w:t>
      </w:r>
      <w:r/>
    </w:p>
    <w:tbl>
      <w:tblPr>
        <w:tblStyle w:val="887"/>
        <w:tblW w:w="51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071"/>
        <w:gridCol w:w="4984"/>
        <w:gridCol w:w="825"/>
        <w:gridCol w:w="1094"/>
      </w:tblGrid>
      <w:tr>
        <w:trPr>
          <w:jc w:val="cent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rFonts w:hint="eastAsia"/>
                <w:color w:val="auto"/>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auto"/>
                <w:highlight w:val="none"/>
              </w:rPr>
            </w:pPr>
            <w:r>
              <w:rPr>
                <w:rFonts w:hint="eastAsia"/>
                <w:color w:val="auto"/>
                <w:highlight w:val="none"/>
              </w:rPr>
              <w:t xml:space="preserve">评审因素</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pStyle w:val="902"/>
              <w:jc w:val="center"/>
              <w:rPr>
                <w:color w:val="auto"/>
                <w:highlight w:val="none"/>
              </w:rPr>
            </w:pPr>
            <w:r>
              <w:rPr>
                <w:rFonts w:hint="eastAsia"/>
                <w:color w:val="auto"/>
                <w:highlight w:val="none"/>
              </w:rPr>
              <w:t xml:space="preserve">评审细则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auto"/>
                <w:highlight w:val="none"/>
              </w:rPr>
            </w:pPr>
            <w:r>
              <w:rPr>
                <w:rFonts w:hint="eastAsia"/>
                <w:color w:val="auto"/>
                <w:highlight w:val="none"/>
              </w:rPr>
              <w:t xml:space="preserve">分值</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分值类型</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auto"/>
                <w:highlight w:val="none"/>
              </w:rPr>
            </w:pPr>
            <w:r>
              <w:rPr>
                <w:rFonts w:hint="eastAsia"/>
                <w:color w:val="auto"/>
                <w:highlight w:val="none"/>
              </w:rPr>
              <w:t xml:space="preserve">价格</w:t>
            </w:r>
            <w:r/>
          </w:p>
        </w:tc>
      </w:tr>
      <w:tr>
        <w:trPr>
          <w:jc w:val="center"/>
          <w:trHeight w:val="145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rFonts w:hint="eastAsia"/>
                <w:color w:val="auto"/>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auto"/>
                <w:highlight w:val="none"/>
              </w:rPr>
            </w:pPr>
            <w:r>
              <w:rPr>
                <w:rFonts w:hint="eastAsia"/>
                <w:color w:val="auto"/>
                <w:highlight w:val="none"/>
              </w:rPr>
              <w:t xml:space="preserve">价格</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spacing w:line="378" w:lineRule="exact"/>
              <w:rPr>
                <w:color w:val="auto"/>
                <w:sz w:val="21"/>
                <w:highlight w:val="none"/>
              </w:rPr>
            </w:pPr>
            <w:r>
              <w:rPr>
                <w:rFonts w:hint="eastAsia"/>
                <w:color w:val="auto"/>
                <w:sz w:val="21"/>
                <w:highlight w:val="none"/>
              </w:rPr>
              <w:t xml:space="preserve">采用低价优先法计算，即满足投标文件要求且投标价格最低的投标报价为评标基准价，其价格分为满分。</w:t>
            </w:r>
            <w:r/>
          </w:p>
          <w:p>
            <w:pPr>
              <w:spacing w:line="378" w:lineRule="exact"/>
              <w:rPr>
                <w:color w:val="auto"/>
                <w:highlight w:val="none"/>
              </w:rPr>
            </w:pPr>
            <w:r>
              <w:rPr>
                <w:rFonts w:hint="eastAsia"/>
                <w:color w:val="auto"/>
                <w:sz w:val="21"/>
                <w:highlight w:val="none"/>
              </w:rPr>
              <w:t xml:space="preserve">其他投标人的价格分统一按照下列公式计算</w:t>
            </w:r>
            <w:r>
              <w:rPr>
                <w:color w:val="auto"/>
                <w:sz w:val="21"/>
                <w:highlight w:val="none"/>
              </w:rPr>
              <w:t xml:space="preserve">:投标报价得分=(评标基准价/投标报价)×</w:t>
            </w:r>
            <w:r>
              <w:rPr>
                <w:rFonts w:hint="eastAsia"/>
                <w:color w:val="auto"/>
                <w:sz w:val="21"/>
                <w:highlight w:val="none"/>
                <w:lang w:val="en-US"/>
              </w:rPr>
              <w:t xml:space="preserve">80</w:t>
            </w:r>
            <w:r>
              <w:rPr>
                <w:color w:val="auto"/>
                <w:sz w:val="21"/>
                <w:highlight w:val="none"/>
              </w:rPr>
              <w:t xml:space="preserve">（小数点保留两位）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auto"/>
                <w:highlight w:val="none"/>
                <w:lang w:val="en-US"/>
              </w:rPr>
            </w:pPr>
            <w:r>
              <w:rPr>
                <w:rFonts w:hint="eastAsia"/>
                <w:color w:val="auto"/>
                <w:highlight w:val="none"/>
                <w:lang w:val="en-US"/>
              </w:rPr>
              <w:t xml:space="preserve">80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auto"/>
                <w:highlight w:val="none"/>
              </w:rPr>
            </w:pPr>
            <w:r>
              <w:rPr>
                <w:rFonts w:hint="eastAsia"/>
                <w:color w:val="auto"/>
                <w:highlight w:val="none"/>
              </w:rPr>
              <w:t xml:space="preserve">技术方案</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rFonts w:hint="eastAsia"/>
                <w:color w:val="auto"/>
                <w:highlight w:val="none"/>
              </w:rPr>
              <w:t xml:space="preserve">2.1</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21" w:type="pct"/>
            <w:vAlign w:val="center"/>
            <w:textDirection w:val="lrTb"/>
            <w:noWrap w:val="false"/>
          </w:tcPr>
          <w:p>
            <w:pPr>
              <w:jc w:val="center"/>
              <w:spacing w:line="378" w:lineRule="exact"/>
              <w:rPr>
                <w:color w:val="auto"/>
                <w:highlight w:val="none"/>
              </w:rPr>
            </w:pPr>
            <w:r>
              <w:rPr>
                <w:color w:val="auto"/>
                <w:sz w:val="21"/>
                <w:highlight w:val="none"/>
              </w:rPr>
              <w:t xml:space="preserve">施工组织设计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textDirection w:val="lrTb"/>
            <w:noWrap w:val="false"/>
          </w:tcPr>
          <w:p>
            <w:pPr>
              <w:spacing w:line="378" w:lineRule="exact"/>
              <w:rPr>
                <w:color w:val="auto"/>
                <w:highlight w:val="none"/>
              </w:rPr>
            </w:pPr>
            <w:r>
              <w:rPr>
                <w:color w:val="auto"/>
                <w:sz w:val="21"/>
                <w:highlight w:val="none"/>
              </w:rPr>
              <w:t xml:space="preserve">评委根据供应商提供的项目施工组织设计（包括但不限于施工总体方案、安全文明施工措施等）</w:t>
            </w:r>
            <w:r>
              <w:rPr>
                <w:rFonts w:hint="eastAsia"/>
                <w:color w:val="auto"/>
                <w:sz w:val="21"/>
                <w:highlight w:val="none"/>
                <w:lang w:val="en-US"/>
              </w:rPr>
              <w:t xml:space="preserve">进行综合</w:t>
            </w:r>
            <w:r>
              <w:rPr>
                <w:color w:val="auto"/>
                <w:sz w:val="21"/>
                <w:highlight w:val="none"/>
              </w:rPr>
              <w:t xml:space="preserve">评分：</w:t>
            </w:r>
            <w:r/>
          </w:p>
          <w:p>
            <w:pPr>
              <w:spacing w:line="378" w:lineRule="exact"/>
              <w:rPr>
                <w:color w:val="auto"/>
                <w:highlight w:val="none"/>
              </w:rPr>
            </w:pPr>
            <w:r>
              <w:rPr>
                <w:color w:val="auto"/>
                <w:sz w:val="21"/>
                <w:highlight w:val="none"/>
              </w:rPr>
              <w:t xml:space="preserve">施工组织设计逻辑条理清晰完整、内容覆盖全面无缺项，针对性强</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3</w:t>
            </w:r>
            <w:r>
              <w:rPr>
                <w:color w:val="auto"/>
                <w:sz w:val="21"/>
                <w:highlight w:val="none"/>
              </w:rPr>
              <w:t xml:space="preserve">分；</w:t>
            </w:r>
            <w:r/>
          </w:p>
          <w:p>
            <w:pPr>
              <w:spacing w:line="378" w:lineRule="exact"/>
              <w:rPr>
                <w:color w:val="auto"/>
                <w:highlight w:val="none"/>
              </w:rPr>
            </w:pPr>
            <w:r>
              <w:rPr>
                <w:color w:val="auto"/>
                <w:sz w:val="21"/>
                <w:highlight w:val="none"/>
              </w:rPr>
              <w:t xml:space="preserve">施工组织设计条理较清晰、主要内容齐全，针对性较强</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2</w:t>
            </w:r>
            <w:r>
              <w:rPr>
                <w:color w:val="auto"/>
                <w:sz w:val="21"/>
                <w:highlight w:val="none"/>
              </w:rPr>
              <w:t xml:space="preserve">分；</w:t>
            </w:r>
            <w:r/>
          </w:p>
          <w:p>
            <w:pPr>
              <w:spacing w:line="378" w:lineRule="exact"/>
              <w:rPr>
                <w:color w:val="auto"/>
                <w:highlight w:val="none"/>
              </w:rPr>
            </w:pPr>
            <w:r>
              <w:rPr>
                <w:color w:val="auto"/>
                <w:sz w:val="21"/>
                <w:highlight w:val="none"/>
              </w:rPr>
              <w:t xml:space="preserve">施工组织设计基本条理清晰、常规内容具备，针对性一般</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1</w:t>
            </w:r>
            <w:r>
              <w:rPr>
                <w:color w:val="auto"/>
                <w:sz w:val="21"/>
                <w:highlight w:val="none"/>
              </w:rPr>
              <w:t xml:space="preserve">分；</w:t>
            </w:r>
            <w:r/>
          </w:p>
          <w:p>
            <w:pPr>
              <w:spacing w:line="378" w:lineRule="exact"/>
              <w:rPr>
                <w:color w:val="auto"/>
                <w:highlight w:val="none"/>
              </w:rPr>
            </w:pPr>
            <w:r>
              <w:rPr>
                <w:color w:val="auto"/>
                <w:sz w:val="21"/>
                <w:highlight w:val="none"/>
              </w:rPr>
              <w:t xml:space="preserve">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jc w:val="center"/>
              <w:rPr>
                <w:color w:val="auto"/>
                <w:highlight w:val="none"/>
              </w:rPr>
            </w:pPr>
            <w:r>
              <w:rPr>
                <w:rFonts w:hint="eastAsia"/>
                <w:color w:val="auto"/>
                <w:sz w:val="21"/>
                <w:highlight w:val="none"/>
                <w:lang w:val="en-US"/>
              </w:rPr>
              <w:t xml:space="preserve">3</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主观分</w:t>
            </w:r>
            <w:r/>
          </w:p>
        </w:tc>
      </w:tr>
      <w:tr>
        <w:trPr>
          <w:jc w:val="center"/>
          <w:trHeight w:val="73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rFonts w:hint="eastAsia"/>
                <w:color w:val="auto"/>
                <w:highlight w:val="none"/>
              </w:rPr>
              <w:t xml:space="preserve">2.2</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21" w:type="pct"/>
            <w:vAlign w:val="center"/>
            <w:textDirection w:val="lrTb"/>
            <w:noWrap w:val="false"/>
          </w:tcPr>
          <w:p>
            <w:pPr>
              <w:jc w:val="center"/>
              <w:spacing w:line="378" w:lineRule="exact"/>
              <w:rPr>
                <w:color w:val="auto"/>
                <w:highlight w:val="none"/>
              </w:rPr>
            </w:pPr>
            <w:r>
              <w:rPr>
                <w:color w:val="auto"/>
                <w:sz w:val="21"/>
                <w:highlight w:val="none"/>
              </w:rPr>
              <w:t xml:space="preserve">施工工期及质量保证措施</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textDirection w:val="lrTb"/>
            <w:noWrap w:val="false"/>
          </w:tcPr>
          <w:p>
            <w:pPr>
              <w:spacing w:line="378" w:lineRule="exact"/>
              <w:rPr>
                <w:color w:val="auto"/>
                <w:highlight w:val="none"/>
              </w:rPr>
            </w:pPr>
            <w:r>
              <w:rPr>
                <w:color w:val="auto"/>
                <w:sz w:val="21"/>
                <w:highlight w:val="none"/>
              </w:rPr>
              <w:t xml:space="preserve">评委根据供应商施工工期及质量保证措施方案（包括但不限于实施关键线路、施工进度计划、施工质量控制等）</w:t>
            </w:r>
            <w:r>
              <w:rPr>
                <w:rFonts w:hint="eastAsia"/>
                <w:color w:val="auto"/>
                <w:sz w:val="21"/>
                <w:highlight w:val="none"/>
                <w:lang w:val="en-US"/>
              </w:rPr>
              <w:t xml:space="preserve">进行综合</w:t>
            </w:r>
            <w:r>
              <w:rPr>
                <w:color w:val="auto"/>
                <w:sz w:val="21"/>
                <w:highlight w:val="none"/>
              </w:rPr>
              <w:t xml:space="preserve">评分：</w:t>
            </w:r>
            <w:r/>
          </w:p>
          <w:p>
            <w:pPr>
              <w:spacing w:line="378" w:lineRule="exact"/>
              <w:rPr>
                <w:color w:val="auto"/>
                <w:highlight w:val="none"/>
              </w:rPr>
            </w:pPr>
            <w:r>
              <w:rPr>
                <w:color w:val="auto"/>
                <w:sz w:val="21"/>
                <w:highlight w:val="none"/>
              </w:rPr>
              <w:t xml:space="preserve">工期关键线路规划科学严谨，施工进度计划贴合项目实际工期要求，质量控制措施全面详实、针对性极强</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4</w:t>
            </w:r>
            <w:r>
              <w:rPr>
                <w:color w:val="auto"/>
                <w:sz w:val="21"/>
                <w:highlight w:val="none"/>
              </w:rPr>
              <w:t xml:space="preserve">分；</w:t>
            </w:r>
            <w:r/>
          </w:p>
          <w:p>
            <w:pPr>
              <w:spacing w:line="378" w:lineRule="exact"/>
              <w:rPr>
                <w:color w:val="auto"/>
                <w:highlight w:val="none"/>
              </w:rPr>
            </w:pPr>
            <w:r>
              <w:rPr>
                <w:color w:val="auto"/>
                <w:sz w:val="21"/>
                <w:highlight w:val="none"/>
              </w:rPr>
              <w:t xml:space="preserve">工期关键线路、施工进度计划规划较合理、主要节点齐全、逻辑较清晰，质量控制措施针对性较强、具备可操作性</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3</w:t>
            </w:r>
            <w:r>
              <w:rPr>
                <w:color w:val="auto"/>
                <w:sz w:val="21"/>
                <w:highlight w:val="none"/>
              </w:rPr>
              <w:t xml:space="preserve">分；</w:t>
            </w:r>
            <w:r/>
          </w:p>
          <w:p>
            <w:pPr>
              <w:spacing w:line="378" w:lineRule="exact"/>
              <w:rPr>
                <w:color w:val="auto"/>
                <w:highlight w:val="none"/>
              </w:rPr>
            </w:pPr>
            <w:r>
              <w:rPr>
                <w:color w:val="auto"/>
                <w:sz w:val="21"/>
                <w:highlight w:val="none"/>
              </w:rPr>
              <w:t xml:space="preserve">工期关键线路混乱、进度计划节点粗糙、逻辑不清、缺项较多，质量控制措施完整性、合理性不足</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1</w:t>
            </w:r>
            <w:r>
              <w:rPr>
                <w:color w:val="auto"/>
                <w:sz w:val="21"/>
                <w:highlight w:val="none"/>
              </w:rPr>
              <w:t xml:space="preserve">分；</w:t>
            </w:r>
            <w:r/>
          </w:p>
          <w:p>
            <w:pPr>
              <w:spacing w:line="378" w:lineRule="exact"/>
              <w:rPr>
                <w:color w:val="auto"/>
                <w:highlight w:val="none"/>
              </w:rPr>
            </w:pPr>
            <w:r>
              <w:rPr>
                <w:color w:val="auto"/>
                <w:sz w:val="21"/>
                <w:highlight w:val="none"/>
              </w:rPr>
              <w:t xml:space="preserve">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jc w:val="center"/>
              <w:rPr>
                <w:color w:val="auto"/>
                <w:highlight w:val="none"/>
                <w:lang w:val="en-US"/>
              </w:rPr>
            </w:pPr>
            <w:r>
              <w:rPr>
                <w:rFonts w:hint="eastAsia"/>
                <w:color w:val="auto"/>
                <w:sz w:val="21"/>
                <w:highlight w:val="none"/>
                <w:lang w:val="en-US"/>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rFonts w:hint="eastAsia"/>
                <w:color w:val="auto"/>
                <w:highlight w:val="none"/>
              </w:rPr>
              <w:t xml:space="preserve">2.3</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21" w:type="pct"/>
            <w:vAlign w:val="center"/>
            <w:textDirection w:val="lrTb"/>
            <w:noWrap w:val="false"/>
          </w:tcPr>
          <w:p>
            <w:pPr>
              <w:jc w:val="center"/>
              <w:spacing w:line="378" w:lineRule="exact"/>
              <w:rPr>
                <w:color w:val="auto"/>
                <w:highlight w:val="none"/>
              </w:rPr>
            </w:pPr>
            <w:r>
              <w:rPr>
                <w:color w:val="auto"/>
                <w:sz w:val="21"/>
                <w:highlight w:val="none"/>
              </w:rPr>
              <w:t xml:space="preserve">难点、重点及合理化建议</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textDirection w:val="lrTb"/>
            <w:noWrap w:val="false"/>
          </w:tcPr>
          <w:p>
            <w:pPr>
              <w:spacing w:line="378" w:lineRule="exact"/>
              <w:rPr>
                <w:color w:val="auto"/>
                <w:highlight w:val="none"/>
              </w:rPr>
            </w:pPr>
            <w:r>
              <w:rPr>
                <w:color w:val="auto"/>
                <w:sz w:val="21"/>
                <w:highlight w:val="none"/>
              </w:rPr>
              <w:t xml:space="preserve">评委根据供应商针对本项目关键施工技术的难点、重点的分析及针对性合理化建议（措施）</w:t>
            </w:r>
            <w:r>
              <w:rPr>
                <w:rFonts w:hint="eastAsia"/>
                <w:color w:val="auto"/>
                <w:sz w:val="21"/>
                <w:highlight w:val="none"/>
                <w:lang w:val="en-US"/>
              </w:rPr>
              <w:t xml:space="preserve">进行综合评分</w:t>
            </w:r>
            <w:r>
              <w:rPr>
                <w:color w:val="auto"/>
                <w:sz w:val="21"/>
                <w:highlight w:val="none"/>
              </w:rPr>
              <w:t xml:space="preserve">：</w:t>
            </w:r>
            <w:r/>
          </w:p>
          <w:p>
            <w:pPr>
              <w:spacing w:line="378" w:lineRule="exact"/>
              <w:rPr>
                <w:color w:val="auto"/>
                <w:highlight w:val="none"/>
              </w:rPr>
            </w:pPr>
            <w:r>
              <w:rPr>
                <w:color w:val="auto"/>
                <w:sz w:val="21"/>
                <w:highlight w:val="none"/>
              </w:rPr>
              <w:t xml:space="preserve">精准全面识别本项目全部核心施工技术重难点，分析深入、逻辑严谨、贴合项目实际，针对性极强</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4</w:t>
            </w:r>
            <w:r>
              <w:rPr>
                <w:color w:val="auto"/>
                <w:sz w:val="21"/>
                <w:highlight w:val="none"/>
              </w:rPr>
              <w:t xml:space="preserve">分；</w:t>
            </w:r>
            <w:r/>
          </w:p>
          <w:p>
            <w:pPr>
              <w:spacing w:line="378" w:lineRule="exact"/>
              <w:rPr>
                <w:color w:val="auto"/>
                <w:highlight w:val="none"/>
              </w:rPr>
            </w:pPr>
            <w:r>
              <w:rPr>
                <w:color w:val="auto"/>
                <w:sz w:val="21"/>
                <w:highlight w:val="none"/>
              </w:rPr>
              <w:t xml:space="preserve">能够识别本项目主要施工技术重难点，分析较为深入，贴合项目大部分技术特点，针对性较强</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3</w:t>
            </w:r>
            <w:r>
              <w:rPr>
                <w:color w:val="auto"/>
                <w:sz w:val="21"/>
                <w:highlight w:val="none"/>
              </w:rPr>
              <w:t xml:space="preserve">分；</w:t>
            </w:r>
            <w:r/>
          </w:p>
          <w:p>
            <w:pPr>
              <w:spacing w:line="378" w:lineRule="exact"/>
              <w:rPr>
                <w:color w:val="auto"/>
                <w:highlight w:val="none"/>
              </w:rPr>
            </w:pPr>
            <w:r>
              <w:rPr>
                <w:color w:val="auto"/>
                <w:sz w:val="21"/>
                <w:highlight w:val="none"/>
              </w:rPr>
              <w:t xml:space="preserve">对本项目施工技术重难点识别不全、分析浅显、条理混乱，针对性不太强</w:t>
            </w:r>
            <w:r>
              <w:rPr>
                <w:rFonts w:hint="eastAsia"/>
                <w:color w:val="auto"/>
                <w:sz w:val="21"/>
                <w:highlight w:val="none"/>
                <w:lang w:val="en-US"/>
              </w:rPr>
              <w:t xml:space="preserve">的</w:t>
            </w:r>
            <w:r>
              <w:rPr>
                <w:color w:val="auto"/>
                <w:sz w:val="21"/>
                <w:highlight w:val="none"/>
              </w:rPr>
              <w:t xml:space="preserve">，得</w:t>
            </w:r>
            <w:r>
              <w:rPr>
                <w:rFonts w:hint="eastAsia"/>
                <w:color w:val="auto"/>
                <w:sz w:val="21"/>
                <w:highlight w:val="none"/>
                <w:lang w:val="en-US"/>
              </w:rPr>
              <w:t xml:space="preserve">1</w:t>
            </w:r>
            <w:r>
              <w:rPr>
                <w:color w:val="auto"/>
                <w:sz w:val="21"/>
                <w:highlight w:val="none"/>
              </w:rPr>
              <w:t xml:space="preserve">分；</w:t>
            </w:r>
            <w:r/>
          </w:p>
          <w:p>
            <w:pPr>
              <w:spacing w:line="378" w:lineRule="exact"/>
              <w:rPr>
                <w:color w:val="auto"/>
                <w:highlight w:val="none"/>
              </w:rPr>
            </w:pPr>
            <w:r>
              <w:rPr>
                <w:color w:val="auto"/>
                <w:sz w:val="21"/>
                <w:highlight w:val="none"/>
              </w:rPr>
              <w:t xml:space="preserve">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jc w:val="center"/>
              <w:rPr>
                <w:color w:val="auto"/>
                <w:highlight w:val="none"/>
                <w:lang w:val="en-US"/>
              </w:rPr>
            </w:pPr>
            <w:r>
              <w:rPr>
                <w:rFonts w:hint="eastAsia"/>
                <w:color w:val="auto"/>
                <w:sz w:val="21"/>
                <w:highlight w:val="none"/>
                <w:lang w:val="en-US"/>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主观分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auto"/>
                <w:highlight w:val="none"/>
              </w:rPr>
            </w:pPr>
            <w:r>
              <w:rPr>
                <w:rFonts w:hint="eastAsia"/>
                <w:color w:val="auto"/>
                <w:highlight w:val="none"/>
              </w:rPr>
              <w:t xml:space="preserve">项目管理机构人员配备</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auto"/>
                <w:highlight w:val="none"/>
              </w:rPr>
            </w:pPr>
            <w:r>
              <w:rPr>
                <w:rFonts w:hint="eastAsia"/>
                <w:color w:val="auto"/>
                <w:highlight w:val="none"/>
              </w:rPr>
              <w:t xml:space="preserve">项目管理机构人员配备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spacing w:line="378" w:lineRule="exact"/>
              <w:rPr>
                <w:color w:val="auto"/>
                <w:sz w:val="21"/>
                <w:highlight w:val="none"/>
              </w:rPr>
            </w:pPr>
            <w:r>
              <w:rPr>
                <w:color w:val="auto"/>
                <w:sz w:val="21"/>
                <w:highlight w:val="none"/>
              </w:rPr>
              <w:t xml:space="preserve">项目管理机构主要管理人员【项目负责人除外】，需包含项目技术负责人、施工员、质量员、安全员、资料员，其中：</w:t>
            </w:r>
            <w:r/>
          </w:p>
          <w:p>
            <w:pPr>
              <w:spacing w:line="378" w:lineRule="exact"/>
              <w:rPr>
                <w:color w:val="auto"/>
                <w:sz w:val="21"/>
                <w:highlight w:val="none"/>
              </w:rPr>
            </w:pPr>
            <w:r>
              <w:rPr>
                <w:color w:val="auto"/>
                <w:sz w:val="21"/>
                <w:highlight w:val="none"/>
              </w:rPr>
              <w:t xml:space="preserve">（1）技术负责人1名：具有注册建造师证建筑工程二级(含)以上，且具有中级及以上工程师资格；</w:t>
            </w:r>
            <w:r/>
          </w:p>
          <w:p>
            <w:pPr>
              <w:spacing w:line="378" w:lineRule="exact"/>
              <w:rPr>
                <w:color w:val="auto"/>
                <w:sz w:val="21"/>
                <w:highlight w:val="none"/>
              </w:rPr>
            </w:pPr>
            <w:r>
              <w:rPr>
                <w:color w:val="auto"/>
                <w:sz w:val="21"/>
                <w:highlight w:val="none"/>
              </w:rPr>
              <w:t xml:space="preserve">（2）现场施工员1名：具有相应主管部门核发的岗位资格证书；</w:t>
            </w:r>
            <w:r/>
          </w:p>
          <w:p>
            <w:pPr>
              <w:spacing w:line="378" w:lineRule="exact"/>
              <w:rPr>
                <w:color w:val="auto"/>
                <w:sz w:val="21"/>
                <w:highlight w:val="none"/>
              </w:rPr>
            </w:pPr>
            <w:r>
              <w:rPr>
                <w:color w:val="auto"/>
                <w:sz w:val="21"/>
                <w:highlight w:val="none"/>
              </w:rPr>
              <w:t xml:space="preserve">（3）现场质量员1名：具有相应主管部门核发的岗位资格证书；</w:t>
            </w:r>
            <w:r/>
          </w:p>
          <w:p>
            <w:pPr>
              <w:spacing w:line="378" w:lineRule="exact"/>
              <w:rPr>
                <w:color w:val="auto"/>
                <w:sz w:val="21"/>
                <w:highlight w:val="none"/>
              </w:rPr>
            </w:pPr>
            <w:r>
              <w:rPr>
                <w:color w:val="auto"/>
                <w:sz w:val="21"/>
                <w:highlight w:val="none"/>
              </w:rPr>
              <w:t xml:space="preserve">（4）现场安全员1名：具有相应主管部门颁发的安全生产考核合格证；</w:t>
            </w:r>
            <w:r/>
          </w:p>
          <w:p>
            <w:pPr>
              <w:spacing w:line="378" w:lineRule="exact"/>
              <w:rPr>
                <w:color w:val="auto"/>
                <w:sz w:val="21"/>
                <w:highlight w:val="none"/>
              </w:rPr>
            </w:pPr>
            <w:r>
              <w:rPr>
                <w:color w:val="auto"/>
                <w:sz w:val="21"/>
                <w:highlight w:val="none"/>
              </w:rPr>
              <w:t xml:space="preserve">（5）现场资料员1名：具有相应主管部门核发的岗位资格证书；</w:t>
            </w:r>
            <w:r/>
          </w:p>
          <w:p>
            <w:pPr>
              <w:spacing w:line="378" w:lineRule="exact"/>
              <w:rPr>
                <w:color w:val="auto"/>
                <w:highlight w:val="none"/>
              </w:rPr>
            </w:pPr>
            <w:r>
              <w:rPr>
                <w:color w:val="auto"/>
                <w:sz w:val="21"/>
                <w:highlight w:val="none"/>
              </w:rPr>
              <w:t xml:space="preserve">以上人员配备齐全且具有有效的对应证书，得满分3分，缺少任意一个扣1分，扣完为止，以上人员不可兼得。（提供以上相关人员社保机构出具的近半年任意三个月供应商为其连续缴纳的养老保险缴费证明（需明确缴费月份、个人姓名、缴费单位）材料并加盖社保中心章或社保中心参保缴费证明电子专用章，并提供项目组人员配备明细表、对应相关证书（注册证书、或岗位证书或培训证），上述材料复印件加盖供应商公章）。</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auto"/>
                <w:highlight w:val="none"/>
                <w:lang w:val="en-US"/>
              </w:rPr>
            </w:pPr>
            <w:r>
              <w:rPr>
                <w:rFonts w:hint="eastAsia"/>
                <w:color w:val="auto"/>
                <w:highlight w:val="none"/>
                <w:lang w:val="en-US"/>
              </w:rPr>
              <w:t xml:space="preserve">3</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auto"/>
                <w:highlight w:val="none"/>
              </w:rPr>
            </w:pPr>
            <w:r>
              <w:rPr>
                <w:rFonts w:hint="eastAsia"/>
                <w:color w:val="auto"/>
                <w:highlight w:val="none"/>
              </w:rPr>
              <w:t xml:space="preserve">业绩</w:t>
            </w:r>
            <w:r/>
          </w:p>
        </w:tc>
      </w:tr>
      <w:tr>
        <w:trPr>
          <w:jc w:val="center"/>
          <w:trHeight w:val="160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auto"/>
                <w:highlight w:val="none"/>
              </w:rPr>
            </w:pPr>
            <w:r>
              <w:rPr>
                <w:color w:val="auto"/>
                <w:highlight w:val="none"/>
              </w:rPr>
              <w:t xml:space="preserve">4</w:t>
            </w:r>
            <w:r>
              <w:rPr>
                <w:rFonts w:hint="eastAsia"/>
                <w:color w:val="auto"/>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auto"/>
                <w:highlight w:val="none"/>
              </w:rPr>
            </w:pPr>
            <w:r>
              <w:rPr>
                <w:rFonts w:hint="eastAsia"/>
                <w:color w:val="auto"/>
                <w:highlight w:val="none"/>
              </w:rPr>
              <w:t xml:space="preserve">业绩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spacing w:line="378" w:lineRule="exact"/>
              <w:rPr>
                <w:color w:val="auto"/>
                <w:highlight w:val="none"/>
              </w:rPr>
            </w:pPr>
            <w:r>
              <w:rPr>
                <w:rFonts w:hint="eastAsia"/>
                <w:color w:val="auto"/>
                <w:sz w:val="21"/>
                <w:highlight w:val="none"/>
              </w:rPr>
              <w:t xml:space="preserve">供应商自2023年</w:t>
            </w:r>
            <w:r>
              <w:rPr>
                <w:rFonts w:hint="eastAsia"/>
                <w:color w:val="auto"/>
                <w:sz w:val="21"/>
                <w:highlight w:val="none"/>
                <w:lang w:val="en-US"/>
              </w:rPr>
              <w:t xml:space="preserve">10</w:t>
            </w:r>
            <w:r>
              <w:rPr>
                <w:rFonts w:hint="eastAsia"/>
                <w:color w:val="auto"/>
                <w:sz w:val="21"/>
                <w:highlight w:val="none"/>
              </w:rPr>
              <w:t xml:space="preserve">月1日（含）以来承担过类似</w:t>
            </w:r>
            <w:r>
              <w:rPr>
                <w:rFonts w:hint="eastAsia"/>
                <w:color w:val="auto"/>
                <w:sz w:val="21"/>
                <w:highlight w:val="none"/>
                <w:lang w:val="en-US"/>
              </w:rPr>
              <w:t xml:space="preserve">项目</w:t>
            </w:r>
            <w:r>
              <w:rPr>
                <w:rFonts w:hint="eastAsia"/>
                <w:color w:val="auto"/>
                <w:sz w:val="21"/>
                <w:highlight w:val="none"/>
              </w:rPr>
              <w:t xml:space="preserve">业绩（</w:t>
            </w:r>
            <w:r>
              <w:rPr>
                <w:rFonts w:hint="eastAsia"/>
                <w:color w:val="auto"/>
                <w:sz w:val="21"/>
                <w:highlight w:val="none"/>
                <w:lang w:val="en-US"/>
              </w:rPr>
              <w:t xml:space="preserve">施工内容需包含舞台智能化</w:t>
            </w:r>
            <w:r>
              <w:rPr>
                <w:rFonts w:hint="eastAsia"/>
                <w:color w:val="auto"/>
                <w:sz w:val="21"/>
                <w:highlight w:val="none"/>
              </w:rPr>
              <w:t xml:space="preserve">），有1个得</w:t>
            </w:r>
            <w:r>
              <w:rPr>
                <w:rFonts w:hint="eastAsia"/>
                <w:color w:val="auto"/>
                <w:sz w:val="21"/>
                <w:highlight w:val="none"/>
                <w:lang w:val="en-US"/>
              </w:rPr>
              <w:t xml:space="preserve">2</w:t>
            </w:r>
            <w:r>
              <w:rPr>
                <w:rFonts w:hint="eastAsia"/>
                <w:color w:val="auto"/>
                <w:sz w:val="21"/>
                <w:highlight w:val="none"/>
              </w:rPr>
              <w:t xml:space="preserve">分，最多得</w:t>
            </w:r>
            <w:r>
              <w:rPr>
                <w:rFonts w:hint="eastAsia"/>
                <w:color w:val="auto"/>
                <w:sz w:val="21"/>
                <w:highlight w:val="none"/>
                <w:lang w:val="en-US"/>
              </w:rPr>
              <w:t xml:space="preserve">6</w:t>
            </w:r>
            <w:r>
              <w:rPr>
                <w:rFonts w:hint="eastAsia"/>
                <w:color w:val="auto"/>
                <w:sz w:val="21"/>
                <w:highlight w:val="none"/>
              </w:rPr>
              <w:t xml:space="preserve">分。（提供施工合同、中标（成交）通知书、竣工验收证明材料，缺一不可，时间以竣工验收证明时间为准；以上材料复印件加盖供应商公章。）</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auto"/>
                <w:highlight w:val="none"/>
              </w:rPr>
            </w:pPr>
            <w:r>
              <w:rPr>
                <w:rFonts w:hint="eastAsia"/>
                <w:color w:val="auto"/>
                <w:highlight w:val="none"/>
                <w:lang w:val="en-US"/>
              </w:rPr>
              <w:t xml:space="preserve">6</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rFonts w:hint="eastAsia"/>
                <w:color w:val="auto"/>
                <w:highlight w:val="none"/>
              </w:rPr>
              <w:t xml:space="preserve">客观分</w:t>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78" w:type="pct"/>
            <w:vAlign w:val="center"/>
            <w:textDirection w:val="lrTb"/>
            <w:noWrap w:val="false"/>
          </w:tcPr>
          <w:p>
            <w:pPr>
              <w:pStyle w:val="902"/>
              <w:rPr>
                <w:color w:val="auto"/>
                <w:highlight w:val="none"/>
              </w:rPr>
            </w:pPr>
            <w:r>
              <w:rPr>
                <w:rFonts w:hint="eastAsia"/>
                <w:color w:val="auto"/>
                <w:highlight w:val="none"/>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21" w:type="pct"/>
            <w:vAlign w:val="center"/>
            <w:textDirection w:val="lrTb"/>
            <w:noWrap w:val="false"/>
          </w:tcPr>
          <w:p>
            <w:pPr>
              <w:pStyle w:val="902"/>
              <w:rPr>
                <w:color w:val="auto"/>
                <w:highlight w:val="none"/>
              </w:rPr>
            </w:pPr>
            <w:r>
              <w:rPr>
                <w:rFonts w:hint="eastAsia"/>
                <w:color w:val="auto"/>
                <w:highlight w:val="none"/>
              </w:rPr>
              <w:t xml:space="preserve">总得分</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889" w:type="pct"/>
            <w:vAlign w:val="center"/>
            <w:textDirection w:val="lrTb"/>
            <w:noWrap w:val="false"/>
          </w:tcPr>
          <w:p>
            <w:pPr>
              <w:pStyle w:val="902"/>
              <w:rPr>
                <w:color w:val="auto"/>
                <w:highlight w:val="none"/>
              </w:rPr>
            </w:pPr>
            <w:r>
              <w:rPr>
                <w:rFonts w:hint="eastAsia"/>
                <w:color w:val="auto"/>
                <w:highlight w:val="none"/>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auto"/>
                <w:highlight w:val="none"/>
              </w:rPr>
            </w:pPr>
            <w:r>
              <w:rPr>
                <w:rFonts w:hint="eastAsia"/>
                <w:color w:val="auto"/>
                <w:highlight w:val="none"/>
              </w:rPr>
              <w:t xml:space="preserve">100</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auto"/>
                <w:highlight w:val="none"/>
              </w:rPr>
            </w:pPr>
            <w:r>
              <w:rPr>
                <w:color w:val="auto"/>
                <w:highlight w:val="none"/>
              </w:rPr>
            </w:r>
            <w:r/>
          </w:p>
        </w:tc>
      </w:tr>
    </w:tbl>
    <w:p>
      <w:pPr>
        <w:rPr>
          <w:b/>
          <w:color w:val="auto"/>
          <w:highlight w:val="none"/>
        </w:rPr>
      </w:pPr>
      <w:r/>
      <w:bookmarkStart w:id="27" w:name="_Toc12644"/>
      <w:r>
        <w:rPr>
          <w:rStyle w:val="1147"/>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rStyle w:val="1147"/>
          <w:rFonts w:ascii="宋体" w:hAnsi="宋体" w:cs="宋体"/>
          <w:color w:val="auto"/>
          <w:szCs w:val="21"/>
          <w:highlight w:val="none"/>
          <w:lang w:bidi="ar"/>
        </w:rPr>
      </w:pPr>
      <w:r>
        <w:rPr>
          <w:rStyle w:val="1147"/>
          <w:rFonts w:hint="eastAsia" w:cs="宋体"/>
          <w:color w:val="auto"/>
          <w:szCs w:val="21"/>
          <w:highlight w:val="none"/>
          <w:lang w:bidi="ar"/>
        </w:rPr>
        <w:t xml:space="preserve">（</w:t>
      </w:r>
      <w:r>
        <w:rPr>
          <w:rStyle w:val="1147"/>
          <w:rFonts w:hint="eastAsia" w:cs="宋体"/>
          <w:color w:val="auto"/>
          <w:szCs w:val="21"/>
          <w:highlight w:val="none"/>
          <w:lang w:val="en-US" w:bidi="ar"/>
        </w:rPr>
        <w:t xml:space="preserve">1</w:t>
      </w:r>
      <w:r>
        <w:rPr>
          <w:rStyle w:val="1147"/>
          <w:rFonts w:hint="eastAsia" w:cs="宋体"/>
          <w:color w:val="auto"/>
          <w:szCs w:val="21"/>
          <w:highlight w:val="none"/>
          <w:lang w:bidi="ar"/>
        </w:rPr>
        <w:t xml:space="preserve">）</w:t>
      </w:r>
      <w:r>
        <w:rPr>
          <w:rStyle w:val="1147"/>
          <w:rFonts w:hint="eastAsia" w:ascii="宋体" w:hAnsi="宋体" w:cs="宋体"/>
          <w:color w:val="auto"/>
          <w:szCs w:val="21"/>
          <w:highlight w:val="none"/>
          <w:lang w:bidi="ar"/>
        </w:rPr>
        <w:t xml:space="preserve">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40"/>
        <w:spacing w:line="360" w:lineRule="auto"/>
        <w:rPr>
          <w:color w:val="auto"/>
          <w:highlight w:val="none"/>
        </w:rPr>
      </w:pPr>
      <w:r>
        <w:rPr>
          <w:rFonts w:hint="eastAsia"/>
          <w:color w:val="auto"/>
          <w:szCs w:val="21"/>
          <w:highlight w:val="none"/>
        </w:rPr>
        <w:t xml:space="preserve">（</w:t>
      </w:r>
      <w:r>
        <w:rPr>
          <w:rFonts w:hint="eastAsia"/>
          <w:color w:val="auto"/>
          <w:szCs w:val="21"/>
          <w:highlight w:val="none"/>
          <w:lang w:val="en-US"/>
        </w:rPr>
        <w:t xml:space="preserve">2</w:t>
      </w:r>
      <w:r>
        <w:rPr>
          <w:rFonts w:hint="eastAsia"/>
          <w:color w:val="auto"/>
          <w:szCs w:val="21"/>
          <w:highlight w:val="none"/>
        </w:rPr>
        <w:t xml:space="preserve">）价格扣除比例或者价格分加分比例对小型企业和微型企业同等对待，不作区分。</w:t>
      </w:r>
      <w:r>
        <w:rPr>
          <w:rStyle w:val="1147"/>
          <w:rFonts w:hint="eastAsia" w:ascii="宋体" w:hAnsi="宋体" w:cs="宋体"/>
          <w:color w:val="auto"/>
          <w:szCs w:val="21"/>
          <w:highlight w:val="none"/>
          <w:lang w:bidi="ar"/>
        </w:rPr>
        <w:t xml:space="preserve">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rPr>
        <w:t xml:space="preserve">1</w:t>
      </w:r>
      <w:r>
        <w:rPr>
          <w:rFonts w:hint="eastAsia"/>
          <w:color w:val="auto"/>
          <w:szCs w:val="21"/>
          <w:highlight w:val="none"/>
        </w:rPr>
        <w:t xml:space="preserve">）本项目对监狱和戒毒企业（简称监狱企业）视同小型、微型企业，享受相同的价格扣除优惠政策。</w:t>
      </w:r>
      <w:r/>
    </w:p>
    <w:p>
      <w:pPr>
        <w:ind w:firstLine="44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rPr>
        <w:t xml:space="preserve">2</w:t>
      </w:r>
      <w:r>
        <w:rPr>
          <w:rFonts w:hint="eastAsia"/>
          <w:color w:val="auto"/>
          <w:szCs w:val="21"/>
          <w:highlight w:val="none"/>
        </w:rPr>
        <w:t xml:space="preserve">）监狱企业需提供由省级以上监狱管理局、戒毒管理局（含新疆生产建设兵团）出具的属于监狱企业的证明文件。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rPr>
        <w:t xml:space="preserve">3</w:t>
      </w:r>
      <w:r>
        <w:rPr>
          <w:rFonts w:hint="eastAsia"/>
          <w:color w:val="auto"/>
          <w:szCs w:val="21"/>
          <w:highlight w:val="none"/>
        </w:rPr>
        <w:t xml:space="preserve">）监狱企业标准请参照《关于政府采购支持监狱企业发展有关问题的通知》（财库〔2014〕68号）。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rPr>
        <w:t xml:space="preserve">1</w:t>
      </w:r>
      <w:r>
        <w:rPr>
          <w:rFonts w:hint="eastAsia"/>
          <w:color w:val="auto"/>
          <w:szCs w:val="21"/>
          <w:highlight w:val="none"/>
        </w:rPr>
        <w:t xml:space="preserve">）本项目对残疾人福利性单位视同小型、微型企业，享受相同的价格扣除优惠政策。</w:t>
      </w:r>
      <w:r/>
    </w:p>
    <w:p>
      <w:pPr>
        <w:ind w:firstLine="44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rPr>
        <w:t xml:space="preserve">2</w:t>
      </w:r>
      <w:r>
        <w:rPr>
          <w:rFonts w:hint="eastAsia"/>
          <w:color w:val="auto"/>
          <w:szCs w:val="21"/>
          <w:highlight w:val="none"/>
        </w:rPr>
        <w:t xml:space="preserve">）残疾人福利性单位需按照招标文件的要求提供《残疾人福利性单位声明函》。</w:t>
      </w:r>
      <w:r/>
    </w:p>
    <w:p>
      <w:pPr>
        <w:ind w:firstLine="44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rPr>
        <w:t xml:space="preserve">3</w:t>
      </w:r>
      <w:r>
        <w:rPr>
          <w:rFonts w:hint="eastAsia"/>
          <w:color w:val="auto"/>
          <w:szCs w:val="21"/>
          <w:highlight w:val="none"/>
        </w:rPr>
        <w:t xml:space="preserve">）残疾人福利性单位标准请参照《关于促进残疾人就业政府采购政策的通知》（财库〔2017〕141号）。</w:t>
      </w:r>
      <w:r/>
    </w:p>
    <w:p>
      <w:pPr>
        <w:ind w:firstLine="442"/>
        <w:spacing w:line="360" w:lineRule="auto"/>
        <w:rPr>
          <w:b/>
          <w:bCs/>
          <w:color w:val="auto"/>
          <w:szCs w:val="21"/>
          <w:highlight w:val="none"/>
          <w:lang w:bidi="ar"/>
        </w:rPr>
      </w:pPr>
      <w:r>
        <w:rPr>
          <w:rFonts w:hint="eastAsia"/>
          <w:b/>
          <w:bCs/>
          <w:color w:val="auto"/>
          <w:szCs w:val="21"/>
          <w:highlight w:val="none"/>
          <w:lang w:bidi="ar"/>
        </w:rPr>
        <w:t xml:space="preserve">4、监狱企业、残疾人福利性单位属于小微企业的，不重复享受政策。</w:t>
      </w:r>
      <w:r/>
    </w:p>
    <w:p>
      <w:pPr>
        <w:rPr>
          <w:b/>
          <w:bCs/>
          <w:color w:val="auto"/>
          <w:szCs w:val="21"/>
          <w:highlight w:val="none"/>
          <w:lang w:bidi="ar"/>
        </w:rPr>
      </w:pPr>
      <w:r>
        <w:rPr>
          <w:rFonts w:hint="eastAsia"/>
          <w:b/>
          <w:bCs/>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w:t>
      </w:r>
      <w:bookmarkEnd w:id="27"/>
      <w:r>
        <w:rPr>
          <w:rFonts w:hint="eastAsia" w:ascii="黑体" w:eastAsia="黑体"/>
          <w:b/>
          <w:color w:val="auto"/>
          <w:sz w:val="36"/>
          <w:highlight w:val="none"/>
          <w:lang w:val="en-US"/>
        </w:rPr>
        <w:t xml:space="preserve">采购需求</w:t>
      </w:r>
      <w:r/>
    </w:p>
    <w:p>
      <w:pPr>
        <w:spacing w:line="360" w:lineRule="auto"/>
        <w:rPr>
          <w:b/>
          <w:color w:val="auto"/>
          <w:sz w:val="24"/>
          <w:szCs w:val="32"/>
          <w:highlight w:val="none"/>
        </w:rPr>
      </w:pPr>
      <w:r/>
      <w:bookmarkStart w:id="28" w:name="_Toc17931"/>
      <w:r>
        <w:rPr>
          <w:rFonts w:hint="eastAsia" w:ascii="Times New Roman" w:hAnsi="Times New Roman" w:cs="Times New Roman"/>
          <w:b/>
          <w:color w:val="auto"/>
          <w:sz w:val="24"/>
          <w:szCs w:val="32"/>
          <w:highlight w:val="none"/>
          <w:lang w:val="en-US" w:bidi="ar-SA"/>
        </w:rPr>
        <w:t xml:space="preserve">一、</w:t>
      </w:r>
      <w:r>
        <w:rPr>
          <w:b/>
          <w:color w:val="auto"/>
          <w:sz w:val="24"/>
          <w:szCs w:val="32"/>
          <w:highlight w:val="none"/>
        </w:rPr>
        <w:t xml:space="preserve">项目</w:t>
      </w:r>
      <w:r>
        <w:rPr>
          <w:rFonts w:hint="eastAsia"/>
          <w:b/>
          <w:color w:val="auto"/>
          <w:sz w:val="24"/>
          <w:szCs w:val="32"/>
          <w:highlight w:val="none"/>
          <w:lang w:val="en-US"/>
        </w:rPr>
        <w:t xml:space="preserve">概况</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1、项目名称：南京中医药大学青春剧场整体改造项目</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2、项目内容：</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包含青春剧场及配套设施更新，室内装饰、强电工程、消防工程、防排烟工程、暖通工程、智能化工程及舞台系统等，具体内容详见施工图纸及工程量清单。</w:t>
      </w:r>
      <w:r/>
    </w:p>
    <w:p>
      <w:pPr>
        <w:ind w:firstLine="480"/>
        <w:spacing w:line="360" w:lineRule="auto"/>
        <w:rPr>
          <w:color w:val="auto"/>
          <w:sz w:val="24"/>
          <w:szCs w:val="24"/>
          <w:highlight w:val="none"/>
          <w:lang w:val="en-US"/>
        </w:rPr>
      </w:pPr>
      <w:r>
        <w:rPr>
          <w:color w:val="auto"/>
          <w:sz w:val="24"/>
          <w:szCs w:val="24"/>
          <w:highlight w:val="none"/>
          <w:lang w:val="en-US"/>
        </w:rPr>
        <w:t xml:space="preserve">3</w:t>
      </w:r>
      <w:r>
        <w:rPr>
          <w:rFonts w:hint="eastAsia"/>
          <w:color w:val="auto"/>
          <w:sz w:val="24"/>
          <w:szCs w:val="24"/>
          <w:highlight w:val="none"/>
          <w:lang w:val="en-US"/>
        </w:rPr>
        <w:t xml:space="preserve">、服务地点：南京中医药大学仙林校区</w:t>
      </w:r>
      <w:r/>
    </w:p>
    <w:p>
      <w:pPr>
        <w:ind w:firstLine="480"/>
        <w:spacing w:line="360" w:lineRule="auto"/>
        <w:rPr>
          <w:color w:val="auto"/>
          <w:sz w:val="24"/>
          <w:szCs w:val="24"/>
          <w:highlight w:val="none"/>
          <w:lang w:val="en-US"/>
        </w:rPr>
      </w:pPr>
      <w:r>
        <w:rPr>
          <w:color w:val="auto"/>
          <w:sz w:val="24"/>
          <w:szCs w:val="24"/>
          <w:highlight w:val="none"/>
          <w:lang w:val="en-US"/>
        </w:rPr>
        <w:t xml:space="preserve">4</w:t>
      </w:r>
      <w:r>
        <w:rPr>
          <w:rFonts w:hint="eastAsia"/>
          <w:color w:val="auto"/>
          <w:sz w:val="24"/>
          <w:szCs w:val="24"/>
          <w:highlight w:val="none"/>
          <w:lang w:val="en-US"/>
        </w:rPr>
        <w:t xml:space="preserve">、项目预算：238万元。</w:t>
      </w:r>
      <w:r/>
    </w:p>
    <w:p>
      <w:pPr>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、最高限价：209.706039</w:t>
      </w:r>
      <w:r>
        <w:rPr>
          <w:color w:val="auto"/>
          <w:sz w:val="24"/>
          <w:szCs w:val="24"/>
          <w:highlight w:val="none"/>
          <w:lang w:val="en-US"/>
        </w:rPr>
        <w:t xml:space="preserve">万元，投标总价超过最高限价的为无效投标。</w:t>
      </w:r>
      <w:r/>
    </w:p>
    <w:p>
      <w:pPr>
        <w:spacing w:line="360" w:lineRule="auto"/>
        <w:rPr>
          <w:rFonts w:ascii="Times New Roman" w:hAnsi="Times New Roman" w:cs="Times New Roman"/>
          <w:b/>
          <w:color w:val="auto"/>
          <w:sz w:val="24"/>
          <w:szCs w:val="32"/>
          <w:highlight w:val="none"/>
          <w:lang w:val="en-US" w:bidi="ar-SA"/>
        </w:rPr>
      </w:pPr>
      <w:r>
        <w:rPr>
          <w:rFonts w:hint="eastAsia" w:ascii="Times New Roman" w:hAnsi="Times New Roman" w:cs="Times New Roman"/>
          <w:b/>
          <w:color w:val="auto"/>
          <w:sz w:val="24"/>
          <w:szCs w:val="32"/>
          <w:highlight w:val="none"/>
          <w:lang w:val="en-US" w:bidi="ar-SA"/>
        </w:rPr>
        <w:t xml:space="preserve">二、报价要求</w:t>
      </w:r>
      <w:r/>
    </w:p>
    <w:p>
      <w:pPr>
        <w:ind w:firstLine="480"/>
        <w:jc w:val="both"/>
        <w:spacing w:line="360" w:lineRule="auto"/>
        <w:rPr>
          <w:color w:val="auto"/>
          <w:sz w:val="24"/>
          <w:szCs w:val="24"/>
          <w:highlight w:val="none"/>
        </w:rPr>
      </w:pPr>
      <w:r>
        <w:rPr>
          <w:rFonts w:hint="eastAsia"/>
          <w:color w:val="auto"/>
          <w:sz w:val="24"/>
          <w:szCs w:val="24"/>
          <w:highlight w:val="none"/>
        </w:rPr>
        <w:t xml:space="preserve">1、供应商不得将中标项目转包及其它违规行为，一经采购人发现立即取消中标资格，并有权按照相关法律法规报相关部门处理，且追究其经济责任。</w:t>
      </w:r>
      <w:r/>
    </w:p>
    <w:p>
      <w:pPr>
        <w:ind w:firstLine="480"/>
        <w:jc w:val="both"/>
        <w:spacing w:line="360" w:lineRule="auto"/>
        <w:rPr>
          <w:color w:val="auto"/>
          <w:sz w:val="24"/>
          <w:szCs w:val="24"/>
          <w:highlight w:val="none"/>
        </w:rPr>
      </w:pPr>
      <w:r>
        <w:rPr>
          <w:rFonts w:hint="eastAsia"/>
          <w:color w:val="auto"/>
          <w:sz w:val="24"/>
          <w:szCs w:val="24"/>
          <w:highlight w:val="none"/>
        </w:rPr>
        <w:t xml:space="preserve">2、供应商勘察现场所发生的费用由供应商自行承担。采购人向供应商提供的有关服务现场的资料和数据，是招标人现有的能使供应商利用的资料。采购人对供应商由此而做出的推论、理解和结论概不负责。供应商未到项目现场实地踏勘的，中标后签订合同时和履约过程中，不得以不完全了解现场情况为由，提出任何形式的增加合同价款或索赔的要求。</w:t>
      </w:r>
      <w:r/>
    </w:p>
    <w:p>
      <w:pPr>
        <w:ind w:firstLine="480"/>
        <w:jc w:val="both"/>
        <w:spacing w:line="360" w:lineRule="auto"/>
        <w:rPr>
          <w:color w:val="auto"/>
          <w:sz w:val="24"/>
          <w:szCs w:val="24"/>
          <w:highlight w:val="none"/>
        </w:rPr>
      </w:pPr>
      <w:r>
        <w:rPr>
          <w:rFonts w:hint="eastAsia"/>
          <w:color w:val="auto"/>
          <w:sz w:val="24"/>
          <w:szCs w:val="24"/>
          <w:highlight w:val="none"/>
        </w:rPr>
        <w:t xml:space="preserve">3、合理的投标报价是根据投标人针对本项目所考虑的生产要素投入与配置、管理水平、施工技术水平及市场风险、利润等因素确定的投标报价，对投标报价的合理性评审依据主管部门颁布的消耗量定额、费用定额、工期定额，采用政府公布的人工、施工机械台班单价和材料（设备）市场价格进行编制的工程造价进行评审，主要包括人工费、材料费、施工机械使用费、企业管理费、利润、风险费措施费等，若在投标报价中，出现恶意低价或者价格明显低于市场价的，评标委员会有权要求其提供相关证明材料，若提供的材料不能反映，采购人有权作无效投标处理。</w:t>
      </w:r>
      <w:r/>
    </w:p>
    <w:p>
      <w:pPr>
        <w:ind w:firstLine="480"/>
        <w:spacing w:line="360" w:lineRule="auto"/>
        <w:rPr>
          <w:color w:val="auto"/>
          <w:sz w:val="24"/>
          <w:szCs w:val="24"/>
          <w:highlight w:val="none"/>
        </w:rPr>
      </w:pPr>
      <w:r>
        <w:rPr>
          <w:rFonts w:hint="eastAsia"/>
          <w:color w:val="auto"/>
          <w:sz w:val="24"/>
          <w:szCs w:val="24"/>
          <w:highlight w:val="none"/>
        </w:rPr>
        <w:t xml:space="preserve">4、合同价格形式：固定综合单价合同。</w:t>
      </w:r>
      <w:r/>
    </w:p>
    <w:p>
      <w:pPr>
        <w:ind w:firstLine="480"/>
        <w:spacing w:line="360" w:lineRule="auto"/>
        <w:rPr>
          <w:color w:val="auto"/>
          <w:sz w:val="24"/>
          <w:szCs w:val="24"/>
          <w:highlight w:val="none"/>
          <w:lang w:val="en-US"/>
        </w:rPr>
      </w:pPr>
      <w:r>
        <w:rPr>
          <w:rFonts w:hint="eastAsia"/>
          <w:color w:val="auto"/>
          <w:sz w:val="24"/>
          <w:szCs w:val="24"/>
          <w:highlight w:val="none"/>
        </w:rPr>
        <w:t xml:space="preserve">按照施工图和工程量清单采取固定综合单价；任何情况下综合单价不变，决算时按实际工程量乘以综合单价计算。非发包人需求且经发包人书面认可的变化导致的变更由承包人自行承担相关费用。</w:t>
      </w:r>
      <w:r/>
    </w:p>
    <w:p>
      <w:pPr>
        <w:pStyle w:val="1152"/>
        <w:ind w:firstLine="0"/>
        <w:spacing w:line="440" w:lineRule="exact"/>
        <w:rPr>
          <w:rFonts w:cs="Times New Roman"/>
          <w:b/>
          <w:color w:val="auto"/>
          <w:sz w:val="24"/>
          <w:szCs w:val="32"/>
          <w:highlight w:val="none"/>
          <w:lang w:val="en-US" w:bidi="ar-SA"/>
        </w:rPr>
      </w:pPr>
      <w:r>
        <w:rPr>
          <w:rFonts w:hint="eastAsia" w:cs="Times New Roman"/>
          <w:b/>
          <w:color w:val="auto"/>
          <w:sz w:val="24"/>
          <w:szCs w:val="32"/>
          <w:highlight w:val="none"/>
          <w:lang w:val="en-US" w:bidi="ar-SA"/>
        </w:rPr>
        <w:t xml:space="preserve">三、施工要求</w:t>
      </w:r>
      <w:r/>
    </w:p>
    <w:p>
      <w:pPr>
        <w:pStyle w:val="908"/>
        <w:ind w:firstLine="480"/>
        <w:spacing w:line="360" w:lineRule="auto"/>
        <w:rPr>
          <w:rFonts w:hAnsi="宋体"/>
          <w:color w:val="auto"/>
          <w:sz w:val="24"/>
          <w:szCs w:val="24"/>
          <w:highlight w:val="none"/>
        </w:rPr>
      </w:pPr>
      <w:r>
        <w:rPr>
          <w:rFonts w:hint="eastAsia" w:hAnsi="宋体"/>
          <w:color w:val="auto"/>
          <w:sz w:val="24"/>
          <w:szCs w:val="24"/>
          <w:highlight w:val="none"/>
        </w:rPr>
        <w:t xml:space="preserve">1、本工程项目总工期不超过 </w:t>
      </w:r>
      <w:r>
        <w:rPr>
          <w:rFonts w:hint="eastAsia" w:hAnsi="宋体"/>
          <w:color w:val="auto"/>
          <w:sz w:val="24"/>
          <w:szCs w:val="24"/>
          <w:highlight w:val="none"/>
          <w:lang w:val="en-US"/>
        </w:rPr>
        <w:t xml:space="preserve">5</w:t>
      </w:r>
      <w:r>
        <w:rPr>
          <w:rFonts w:hint="eastAsia" w:hAnsi="宋体"/>
          <w:color w:val="auto"/>
          <w:sz w:val="24"/>
          <w:szCs w:val="24"/>
          <w:highlight w:val="none"/>
        </w:rPr>
        <w:t xml:space="preserve">0 日历天，即本工程自发包人下达的书面开工令载明的开工之日起【50】日历天竣工。</w:t>
      </w:r>
      <w:r/>
    </w:p>
    <w:p>
      <w:pPr>
        <w:ind w:firstLine="480"/>
        <w:jc w:val="both"/>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现场管理及安全责任：施工单位根据现行国家工程质量检验标准和现场实际情况，按国家有关规定派驻具有相应资质的项目经理，项目经理在施工期间须每日到场，加强施工管理，因质量和安全问题造成的一切责任和损失均由投标人负责。</w:t>
      </w:r>
      <w:r/>
    </w:p>
    <w:p>
      <w:pPr>
        <w:ind w:firstLine="480"/>
        <w:jc w:val="both"/>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、设计若有不符合现行规范、规定、标准等或其他不到位之处，中标人必须提出，待采购人确认后再施工，否则因此造成的质量事故由中标人承担。</w:t>
      </w:r>
      <w:r/>
    </w:p>
    <w:p>
      <w:pPr>
        <w:ind w:firstLine="480"/>
        <w:jc w:val="both"/>
        <w:spacing w:line="360" w:lineRule="auto"/>
        <w:rPr>
          <w:color w:val="auto"/>
          <w:sz w:val="24"/>
          <w:szCs w:val="24"/>
          <w:highlight w:val="none"/>
        </w:rPr>
      </w:pPr>
      <w:r>
        <w:rPr>
          <w:rFonts w:hint="eastAsia"/>
          <w:color w:val="auto"/>
          <w:sz w:val="24"/>
          <w:szCs w:val="24"/>
          <w:highlight w:val="none"/>
          <w:lang w:val="en-US"/>
        </w:rPr>
        <w:t xml:space="preserve">4</w:t>
      </w:r>
      <w:r>
        <w:rPr>
          <w:rFonts w:hint="eastAsia"/>
          <w:color w:val="auto"/>
          <w:sz w:val="24"/>
          <w:szCs w:val="24"/>
          <w:highlight w:val="none"/>
        </w:rPr>
        <w:t xml:space="preserve">、对于隐蔽工程的签证，必须在覆盖前完成验收手续、工程量的确认和费用数额的报送手续，否则发包人可以不予支付相关款项。</w:t>
      </w:r>
      <w:r/>
    </w:p>
    <w:p>
      <w:pPr>
        <w:pStyle w:val="908"/>
        <w:ind w:firstLine="440"/>
        <w:spacing w:line="360" w:lineRule="auto"/>
        <w:rPr>
          <w:rFonts w:hAnsi="宋体"/>
          <w:color w:val="auto"/>
          <w:sz w:val="24"/>
          <w:szCs w:val="24"/>
          <w:highlight w:val="none"/>
        </w:rPr>
      </w:pPr>
      <w:r/>
      <w:bookmarkStart w:id="29" w:name="OLE_LINK2"/>
      <w:r/>
      <w:bookmarkStart w:id="30" w:name="OLE_LINK1"/>
      <w:r>
        <w:rPr>
          <w:rFonts w:hint="eastAsia" w:hAnsi="宋体"/>
          <w:color w:val="auto"/>
          <w:sz w:val="24"/>
          <w:szCs w:val="24"/>
          <w:highlight w:val="none"/>
        </w:rPr>
        <w:t xml:space="preserve">★</w:t>
      </w:r>
      <w:bookmarkEnd w:id="29"/>
      <w:r/>
      <w:bookmarkEnd w:id="30"/>
      <w:r>
        <w:rPr>
          <w:rFonts w:hAnsi="宋体"/>
          <w:color w:val="auto"/>
          <w:sz w:val="24"/>
          <w:szCs w:val="24"/>
          <w:highlight w:val="none"/>
          <w:lang w:val="en-US"/>
        </w:rPr>
        <w:t xml:space="preserve">5</w:t>
      </w:r>
      <w:r>
        <w:rPr>
          <w:rFonts w:hint="eastAsia" w:hAnsi="宋体"/>
          <w:color w:val="auto"/>
          <w:sz w:val="24"/>
          <w:szCs w:val="24"/>
          <w:highlight w:val="none"/>
        </w:rPr>
        <w:t xml:space="preserve">、投标人本工程采用品牌必须参考《主要材料品牌一览表》中的推荐品牌及相应质量要求报价，并清晰列出本工程项目中“投标人采用品牌”；如采用其他品牌时，可使用同档次以上品牌，应提供充分依据，证明采用的材料质量高于或相当于推荐品牌产品，否则其投标文件将视为无效标处理。</w:t>
      </w:r>
      <w:r/>
    </w:p>
    <w:p>
      <w:pPr>
        <w:pStyle w:val="908"/>
        <w:ind w:firstLine="480"/>
        <w:spacing w:line="360" w:lineRule="auto"/>
        <w:rPr>
          <w:rFonts w:hAnsi="宋体"/>
          <w:color w:val="auto"/>
          <w:sz w:val="24"/>
          <w:szCs w:val="24"/>
          <w:highlight w:val="none"/>
        </w:rPr>
      </w:pPr>
      <w:r>
        <w:rPr>
          <w:rFonts w:hAnsi="宋体"/>
          <w:color w:val="auto"/>
          <w:sz w:val="24"/>
          <w:szCs w:val="24"/>
          <w:highlight w:val="none"/>
          <w:lang w:val="en-US"/>
        </w:rPr>
        <w:t xml:space="preserve">6</w:t>
      </w:r>
      <w:r>
        <w:rPr>
          <w:rFonts w:hint="eastAsia" w:hAnsi="宋体"/>
          <w:color w:val="auto"/>
          <w:sz w:val="24"/>
          <w:szCs w:val="24"/>
          <w:highlight w:val="none"/>
        </w:rPr>
        <w:t xml:space="preserve">、主要材料品牌一览表</w:t>
      </w:r>
      <w:r/>
    </w:p>
    <w:tbl>
      <w:tblPr>
        <w:tblStyle w:val="88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749"/>
        <w:gridCol w:w="1797"/>
        <w:gridCol w:w="1755"/>
        <w:gridCol w:w="2042"/>
      </w:tblGrid>
      <w:tr>
        <w:trPr>
          <w:jc w:val="center"/>
          <w:trHeight w:val="510" w:hRule="exact"/>
        </w:trPr>
        <w:tc>
          <w:tcPr>
            <w:shd w:val="clear" w:color="auto" w:fill="auto"/>
            <w:tcW w:w="573" w:type="pct"/>
            <w:vAlign w:val="center"/>
            <w:textDirection w:val="lrTb"/>
            <w:noWrap/>
          </w:tcPr>
          <w:p>
            <w:pPr>
              <w:jc w:val="center"/>
              <w:spacing w:line="360" w:lineRule="auto"/>
              <w:rPr>
                <w:b/>
                <w:bCs/>
                <w:color w:val="auto"/>
                <w:sz w:val="21"/>
                <w:szCs w:val="21"/>
                <w:highlight w:val="none"/>
                <w:lang w:val="en-US" w:bidi="ar-SA"/>
              </w:rPr>
            </w:pPr>
            <w:r/>
            <w:bookmarkStart w:id="31" w:name="OLE_LINK22"/>
            <w:r/>
            <w:bookmarkStart w:id="32" w:name="OLE_LINK23"/>
            <w:r>
              <w:rPr>
                <w:rFonts w:hint="eastAsia"/>
                <w:b/>
                <w:bCs/>
                <w:color w:val="auto"/>
                <w:sz w:val="21"/>
                <w:szCs w:val="21"/>
                <w:highlight w:val="none"/>
                <w:lang w:val="en-US" w:bidi="ar-SA"/>
              </w:rPr>
              <w:t xml:space="preserve">序号</w:t>
            </w:r>
            <w:r/>
          </w:p>
        </w:tc>
        <w:tc>
          <w:tcPr>
            <w:shd w:val="clear" w:color="auto" w:fill="auto"/>
            <w:tcW w:w="1054" w:type="pct"/>
            <w:vAlign w:val="center"/>
            <w:textDirection w:val="lrTb"/>
            <w:noWrap w:val="false"/>
          </w:tcPr>
          <w:p>
            <w:pPr>
              <w:jc w:val="center"/>
              <w:spacing w:line="360" w:lineRule="auto"/>
              <w:rPr>
                <w:b/>
                <w:bCs/>
                <w:color w:val="auto"/>
                <w:sz w:val="21"/>
                <w:szCs w:val="21"/>
                <w:highlight w:val="none"/>
                <w:lang w:val="en-US" w:bidi="ar-SA"/>
              </w:rPr>
            </w:pPr>
            <w:r>
              <w:rPr>
                <w:rFonts w:hint="eastAsia"/>
                <w:b/>
                <w:bCs/>
                <w:color w:val="auto"/>
                <w:sz w:val="21"/>
                <w:szCs w:val="21"/>
                <w:highlight w:val="none"/>
                <w:lang w:val="en-US" w:bidi="ar-SA"/>
              </w:rPr>
              <w:t xml:space="preserve">材料名称</w:t>
            </w:r>
            <w:r/>
          </w:p>
        </w:tc>
        <w:tc>
          <w:tcPr>
            <w:gridSpan w:val="3"/>
            <w:shd w:val="clear" w:color="auto" w:fill="auto"/>
            <w:tcW w:w="3372" w:type="pct"/>
            <w:vAlign w:val="center"/>
            <w:textDirection w:val="lrTb"/>
            <w:noWrap w:val="false"/>
          </w:tcPr>
          <w:p>
            <w:pPr>
              <w:jc w:val="center"/>
              <w:spacing w:line="360" w:lineRule="auto"/>
              <w:rPr>
                <w:b/>
                <w:bCs/>
                <w:color w:val="auto"/>
                <w:sz w:val="21"/>
                <w:szCs w:val="21"/>
                <w:highlight w:val="none"/>
                <w:lang w:val="en-US" w:bidi="ar-SA"/>
              </w:rPr>
            </w:pPr>
            <w:r>
              <w:rPr>
                <w:rFonts w:hint="eastAsia"/>
                <w:b/>
                <w:bCs/>
                <w:color w:val="auto"/>
                <w:sz w:val="21"/>
                <w:szCs w:val="21"/>
                <w:highlight w:val="none"/>
                <w:lang w:val="en-US" w:bidi="ar-SA"/>
              </w:rPr>
              <w:t xml:space="preserve">推荐品牌</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石膏板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龙牌</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泰山</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可耐福</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板材</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莫干山</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兔宝宝</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绿野</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无机涂料</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立邦</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多乐士</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三棵树</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水泥</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海螺</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中联</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瓷砖</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诺贝尔</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惠达</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罗马</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铝合金窗</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伟昌</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凤铝</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兴发</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木门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美心</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铭马</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丰盛</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地板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大自然</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圣象</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欧派</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PVC地胶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LG</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洁弗乐</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博尼尔</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铝板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福瑞尔</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鸿发有色</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焕彩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吸音板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天戈</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丽音</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浩声</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镀锌钢管</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友发</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金洲</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国强</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13</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JDG管</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友发</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天一</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正大</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14</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消防设备</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青鸟</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海湾</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国泰</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15</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开关、插座</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鸿雁</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西门子</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正泰</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16</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配电箱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施耐德</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西门子</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正泰</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17</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灯具</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欧普</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欧司朗</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雷士</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18</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电线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远东</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上上</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19</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线缆</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上上</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远东</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20</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线管</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中财</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公元</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联塑</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21</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桥架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力拓</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凤图布线</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十鼎</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双基色LED会标屏</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信息发布盒</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会标屏电缆线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会标屏网线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一舟</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LED会标屏体钢结构</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舞台LED大屏</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备品备件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LED控制系统</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控制软件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31</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电源控制箱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舞台屏电缆线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舞台屏网线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一舟</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LED舞台屏体钢结构</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播放主机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华硕</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联想</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HP</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无线投屏设备</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MAXHUB</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宝疆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快立享</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有源线阵列音箱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有源线阵列低音音箱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无源超低音箱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低音功放</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有源返听音箱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台唇音箱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台唇功放</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辅助音箱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辅助功放</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数字音频处理器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数字调音台</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SOUNDCRAFT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MIDAS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YAMAHA</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AI语音处理器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1拖2无线演出手持话筒</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1拖2无线演出领夹话筒</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天线分配器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有源对数周期天线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无线发言系统主机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无线发言话筒主单元</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无线发言话筒代表单元</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四位充电座</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小振膜麦克风</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有线双管麦克风</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合唱室音箱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功率放大器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数字效果器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lang w:val="en-US" w:bidi="ar-SA"/>
              </w:rPr>
              <w:t xml:space="preserve">62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调音台</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声艺</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YAMAHA</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MIDAS</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lang w:val="en-US" w:bidi="ar-SA"/>
              </w:rPr>
              <w:t xml:space="preserve">63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有源监听音箱</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w:t>
            </w:r>
            <w:r>
              <w:rPr>
                <w:color w:val="auto"/>
                <w:sz w:val="21"/>
                <w:szCs w:val="21"/>
                <w:highlight w:val="none"/>
                <w:lang w:val="en-US" w:bidi="ar-SA"/>
              </w:rPr>
              <w:t xml:space="preserve">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剧场电源时序器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Borders>
              <w:top w:val="single" w:color="auto" w:sz="8"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65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排练间电源时序器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66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线阵列音箱配套吊架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67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专业音箱壁挂架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68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音频设备机柜</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图腾</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野马</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69</w:t>
            </w:r>
            <w:r/>
          </w:p>
        </w:tc>
        <w:tc>
          <w:tcPr>
            <w:shd w:val="clear" w:color="auto" w:fill="auto"/>
            <w:tcW w:w="1054"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排练间机柜</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图腾</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野马</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金银线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天线同轴线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话筒线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高清线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线阵电源线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电源线B</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网络线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一舟</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变频调速拉幕机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匀速拉幕机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79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幕布轨道</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电动升降幕布吊杆机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电动升降灯光吊杆机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电动升降侧光吊杆机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导向滑轮组</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灯光吊杆杆体</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侧光吊杆杆体</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幕布吊杆杆体</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航空用钢丝绳</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法尔胜®</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狼山</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巨力</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灯光吊杆收线器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89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舞台机械控制系统</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舞台机械动力系统</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电源线A</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控制线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断火装置</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舞台葡萄架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机械附件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前檐幕 </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大幕</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横条幕</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99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侧条幕</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会议幕</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幕布衬里</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LED聚光灯</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LED聚光灯侧灯</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LED数字平板柔光灯</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     小老虎控台</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8路放大器</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12路直通柜</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058" w:type="pct"/>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电源线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109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信号线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r>
      <w:tr>
        <w:trPr>
          <w:jc w:val="center"/>
          <w:trHeight w:val="510" w:hRule="exact"/>
        </w:trPr>
        <w:tc>
          <w:tcPr>
            <w:shd w:val="clear" w:color="auto" w:fill="auto"/>
            <w:tcBorders>
              <w:top w:val="none" w:color="000000" w:sz="4" w:space="0"/>
              <w:left w:val="single" w:color="auto" w:sz="8" w:space="0"/>
              <w:bottom w:val="single" w:color="000000"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rPr>
              <w:t xml:space="preserve">110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分布式4K60高清输入节点</w:t>
            </w:r>
            <w:r>
              <w:rPr>
                <w:rFonts w:hint="eastAsia"/>
                <w:color w:val="auto"/>
                <w:sz w:val="21"/>
                <w:szCs w:val="21"/>
                <w:highlight w:val="none"/>
                <w:lang w:val="en-US" w:bidi="ar"/>
              </w:rPr>
              <w:br/>
            </w:r>
            <w:r>
              <w:rPr>
                <w:rFonts w:hint="eastAsia"/>
                <w:color w:val="auto"/>
                <w:sz w:val="21"/>
                <w:szCs w:val="21"/>
                <w:highlight w:val="none"/>
                <w:lang w:val="en-US" w:bidi="ar"/>
              </w:rPr>
              <w:t xml:space="preserve">（含：分布式编解码处理软件 AS-ENC V2.0)</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tcBorders>
              <w:top w:val="none" w:color="000000" w:sz="4" w:space="0"/>
              <w:left w:val="single" w:color="auto" w:sz="8" w:space="0"/>
              <w:bottom w:val="single" w:color="000000"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lang w:val="en-US" w:bidi="ar-SA"/>
              </w:rPr>
              <w:t xml:space="preserve">111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分布式4K60高清输出节点</w:t>
            </w:r>
            <w:r>
              <w:rPr>
                <w:rFonts w:hint="eastAsia"/>
                <w:color w:val="auto"/>
                <w:sz w:val="21"/>
                <w:szCs w:val="21"/>
                <w:highlight w:val="none"/>
                <w:lang w:val="en-US" w:bidi="ar"/>
              </w:rPr>
              <w:br/>
            </w:r>
            <w:r>
              <w:rPr>
                <w:rFonts w:hint="eastAsia"/>
                <w:color w:val="auto"/>
                <w:sz w:val="21"/>
                <w:szCs w:val="21"/>
                <w:highlight w:val="none"/>
                <w:lang w:val="en-US" w:bidi="ar"/>
              </w:rPr>
              <w:t xml:space="preserve">（含：分布式编解码处理软件 AS-ENC V2.0)</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shd w:val="clear" w:color="auto" w:fill="auto"/>
            <w:tcBorders>
              <w:top w:val="none" w:color="000000" w:sz="4" w:space="0"/>
              <w:left w:val="single" w:color="auto" w:sz="8" w:space="0"/>
              <w:bottom w:val="single" w:color="000000"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分布式节点机柜支架</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tcBorders>
              <w:top w:val="none" w:color="000000" w:sz="4" w:space="0"/>
              <w:left w:val="single" w:color="auto" w:sz="8" w:space="0"/>
              <w:bottom w:val="single" w:color="000000"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lang w:val="en-US" w:bidi="ar-SA"/>
              </w:rPr>
              <w:t xml:space="preserve">113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控制软件+调试</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有线控制屏</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115</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交换机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华为</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华三</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锐捷</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116</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可编程音视频管控平台主机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117</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机架式继电器（2U）</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118</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音频线、HDMI线跳线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119</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球机摄像机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大华</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宇视</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120</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墙式摄像机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大华</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宇视</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121</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8T硬盘</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西数</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希捷</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三星</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122</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P0E交换机</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华为</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华三</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123</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无线AP</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华为</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H3C</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锐捷</w:t>
            </w:r>
            <w:r/>
          </w:p>
        </w:tc>
      </w:tr>
      <w:tr>
        <w:trPr>
          <w:jc w:val="center"/>
          <w:trHeight w:val="510" w:hRule="exact"/>
        </w:trPr>
        <w:tc>
          <w:tcPr>
            <w:shd w:val="clear" w:color="auto" w:fill="auto"/>
            <w:tcBorders>
              <w:top w:val="none" w:color="000000" w:sz="4" w:space="0"/>
              <w:left w:val="single" w:color="auto" w:sz="8" w:space="0"/>
              <w:bottom w:val="single" w:color="auto" w:sz="8" w:space="0"/>
              <w:right w:val="single" w:color="auto" w:sz="8" w:space="0"/>
            </w:tcBorders>
            <w:tcW w:w="573" w:type="pct"/>
            <w:vAlign w:val="center"/>
            <w:textDirection w:val="lrTb"/>
            <w:noWrap/>
          </w:tcPr>
          <w:p>
            <w:pPr>
              <w:jc w:val="center"/>
              <w:spacing w:line="360" w:lineRule="auto"/>
              <w:rPr>
                <w:color w:val="auto"/>
                <w:sz w:val="21"/>
                <w:szCs w:val="21"/>
                <w:highlight w:val="none"/>
                <w:lang w:val="en-US" w:bidi="ar-SA"/>
              </w:rPr>
            </w:pPr>
            <w:r>
              <w:rPr>
                <w:color w:val="auto"/>
                <w:sz w:val="21"/>
                <w:szCs w:val="21"/>
                <w:highlight w:val="none"/>
              </w:rPr>
              <w:t xml:space="preserve">124</w:t>
            </w:r>
            <w:r/>
          </w:p>
        </w:tc>
        <w:tc>
          <w:tcPr>
            <w:shd w:val="clear" w:color="auto" w:fill="auto"/>
            <w:tcW w:w="1054" w:type="pct"/>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网线</w:t>
            </w:r>
            <w:r/>
          </w:p>
        </w:tc>
        <w:tc>
          <w:tcPr>
            <w:shd w:val="clear" w:color="auto" w:fill="auto"/>
            <w:tcW w:w="1083"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058"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231" w:type="pct"/>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bookmarkEnd w:id="31"/>
            <w:r/>
            <w:bookmarkEnd w:id="32"/>
            <w:r/>
            <w:r/>
          </w:p>
        </w:tc>
      </w:tr>
    </w:tbl>
    <w:p>
      <w:pPr>
        <w:pStyle w:val="908"/>
        <w:contextualSpacing/>
        <w:ind w:firstLine="480"/>
        <w:spacing w:line="360" w:lineRule="auto"/>
        <w:rPr>
          <w:rFonts w:hAnsi="宋体"/>
          <w:color w:val="auto"/>
          <w:sz w:val="24"/>
          <w:szCs w:val="24"/>
          <w:highlight w:val="none"/>
        </w:rPr>
      </w:pPr>
      <w:r>
        <w:rPr>
          <w:rFonts w:hint="eastAsia" w:hAnsi="宋体"/>
          <w:color w:val="auto"/>
          <w:sz w:val="24"/>
          <w:szCs w:val="24"/>
          <w:highlight w:val="none"/>
        </w:rPr>
        <w:t xml:space="preserve">备注：投标人本工程采用品牌必须参考《主要材料品牌一览表》中的推荐品牌及相应质量要求报价，并清晰列出本工程项目中“投标人采用品牌”；如采用其他品牌时，应提供充分依据，证明采用的材料质量高于或相当于推荐品牌产品，否则其投标文件将视为无效标处理。</w:t>
      </w:r>
      <w:r/>
    </w:p>
    <w:p>
      <w:pPr>
        <w:pStyle w:val="1438"/>
        <w:contextualSpacing/>
        <w:ind w:firstLine="470"/>
        <w:spacing w:line="360" w:lineRule="auto"/>
        <w:rPr>
          <w:rFonts w:hAnsi="宋体"/>
          <w:b/>
          <w:bCs/>
          <w:color w:val="auto"/>
          <w:highlight w:val="none"/>
        </w:rPr>
      </w:pPr>
      <w:r>
        <w:rPr>
          <w:rFonts w:hint="eastAsia" w:hAnsi="宋体"/>
          <w:b/>
          <w:bCs/>
          <w:color w:val="auto"/>
          <w:highlight w:val="none"/>
        </w:rPr>
        <w:t xml:space="preserve">四、工程量清单及图纸</w:t>
      </w:r>
      <w:r/>
    </w:p>
    <w:p>
      <w:pPr>
        <w:pStyle w:val="1438"/>
        <w:contextualSpacing/>
        <w:ind w:firstLine="468"/>
        <w:spacing w:line="360" w:lineRule="auto"/>
        <w:rPr>
          <w:rFonts w:hAnsi="宋体"/>
          <w:b/>
          <w:bCs/>
          <w:color w:val="auto"/>
          <w:highlight w:val="none"/>
        </w:rPr>
      </w:pPr>
      <w:r>
        <w:rPr>
          <w:rFonts w:hint="eastAsia" w:hAnsi="宋体"/>
          <w:color w:val="auto"/>
          <w:highlight w:val="none"/>
        </w:rPr>
        <w:t xml:space="preserve">详见附件。</w:t>
      </w:r>
      <w:r/>
    </w:p>
    <w:p>
      <w:pPr>
        <w:pStyle w:val="1438"/>
        <w:contextualSpacing/>
        <w:ind w:firstLine="442"/>
        <w:spacing w:line="360" w:lineRule="auto"/>
        <w:rPr>
          <w:rFonts w:hAnsi="宋体"/>
          <w:b/>
          <w:color w:val="auto"/>
          <w:szCs w:val="22"/>
          <w:highlight w:val="none"/>
        </w:rPr>
      </w:pPr>
      <w:r>
        <w:rPr>
          <w:rFonts w:hint="eastAsia" w:hAnsi="宋体"/>
          <w:b/>
          <w:bCs/>
          <w:color w:val="auto"/>
          <w:sz w:val="22"/>
          <w:szCs w:val="22"/>
          <w:highlight w:val="none"/>
        </w:rPr>
        <w:t xml:space="preserve">五、舞台灯光智能化</w:t>
      </w:r>
      <w:r>
        <w:rPr>
          <w:rFonts w:hint="eastAsia" w:hAnsi="宋体"/>
          <w:b/>
          <w:color w:val="auto"/>
          <w:szCs w:val="22"/>
          <w:highlight w:val="none"/>
        </w:rPr>
        <w:t xml:space="preserve">技术要求</w:t>
      </w:r>
      <w:r/>
    </w:p>
    <w:p>
      <w:pPr>
        <w:pStyle w:val="1438"/>
        <w:contextualSpacing/>
        <w:ind w:firstLine="442"/>
        <w:spacing w:line="360" w:lineRule="auto"/>
        <w:rPr>
          <w:rFonts w:hAnsi="宋体"/>
          <w:b/>
          <w:bCs/>
          <w:color w:val="auto"/>
          <w:highlight w:val="none"/>
        </w:rPr>
      </w:pPr>
      <w:r/>
      <w:bookmarkStart w:id="33" w:name="OLE_LINK9"/>
      <w:r/>
      <w:bookmarkStart w:id="34" w:name="OLE_LINK8"/>
      <w:r>
        <w:rPr>
          <w:rFonts w:hint="eastAsia" w:hAnsi="宋体"/>
          <w:b/>
          <w:bCs/>
          <w:color w:val="auto"/>
          <w:highlight w:val="none"/>
        </w:rPr>
        <w:t xml:space="preserve">（一）整体概述</w:t>
      </w:r>
      <w:bookmarkEnd w:id="33"/>
      <w:r/>
      <w:bookmarkEnd w:id="34"/>
      <w:r/>
      <w:r/>
    </w:p>
    <w:p>
      <w:pPr>
        <w:pStyle w:val="1438"/>
        <w:contextualSpacing/>
        <w:ind w:firstLine="442"/>
        <w:spacing w:line="360" w:lineRule="auto"/>
        <w:rPr>
          <w:rFonts w:hAnsi="宋体"/>
          <w:bCs/>
          <w:color w:val="auto"/>
          <w:highlight w:val="none"/>
        </w:rPr>
      </w:pPr>
      <w:r>
        <w:rPr>
          <w:rFonts w:hAnsi="宋体"/>
          <w:bCs/>
          <w:color w:val="auto"/>
          <w:highlight w:val="none"/>
        </w:rPr>
        <w:t xml:space="preserve">  </w:t>
      </w:r>
      <w:r>
        <w:rPr>
          <w:rFonts w:hint="eastAsia" w:hAnsi="宋体"/>
          <w:bCs/>
          <w:color w:val="auto"/>
          <w:highlight w:val="none"/>
        </w:rPr>
        <w:t xml:space="preserve">舞台灯光智能化</w:t>
      </w:r>
      <w:r>
        <w:rPr>
          <w:rFonts w:hAnsi="宋体"/>
          <w:bCs/>
          <w:color w:val="auto"/>
          <w:highlight w:val="none"/>
        </w:rPr>
        <w:t xml:space="preserve">涵盖显示、音频、舞台机械幕布、灯光、控制、监控及施工配套子系统；适配会议、汇演、迎新晚会等校园场景，实现子系统互联互通智能联动，操作简便、运行稳定，符合场馆及电气、声学、光学、舞台机械国家相关规范。</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（二）总体功能要求</w:t>
      </w:r>
      <w:r/>
    </w:p>
    <w:p>
      <w:pPr>
        <w:pStyle w:val="1438"/>
        <w:contextualSpacing/>
        <w:ind w:firstLine="442"/>
        <w:spacing w:line="360" w:lineRule="auto"/>
        <w:rPr>
          <w:rFonts w:hAnsi="宋体"/>
          <w:bCs/>
          <w:color w:val="auto"/>
          <w:highlight w:val="none"/>
        </w:rPr>
      </w:pPr>
      <w:r>
        <w:rPr>
          <w:rFonts w:hAnsi="宋体"/>
          <w:bCs/>
          <w:color w:val="auto"/>
          <w:highlight w:val="none"/>
        </w:rPr>
        <w:t xml:space="preserve">1. 集中控制系统统一管控各子系统，实现一键开关机、场景切换、信号调度；系统兼容可扩展、易维护，支持升级扩容，适配高频师生文体活动。</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设备故障率低；兼具普通师生简易操作与专业操作模式；接口协议标准化，支持联动；设备材料施工符合现行国标，确保验收通过。</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（三）显示系统</w:t>
      </w:r>
      <w:r/>
    </w:p>
    <w:p>
      <w:pPr>
        <w:pStyle w:val="1438"/>
        <w:contextualSpacing/>
        <w:ind w:firstLine="442"/>
        <w:spacing w:line="360" w:lineRule="auto"/>
        <w:rPr>
          <w:rFonts w:hAnsi="宋体"/>
          <w:bCs/>
          <w:color w:val="auto"/>
          <w:highlight w:val="none"/>
        </w:rPr>
      </w:pPr>
      <w:r>
        <w:rPr>
          <w:rFonts w:hAnsi="宋体"/>
          <w:bCs/>
          <w:color w:val="auto"/>
          <w:highlight w:val="none"/>
        </w:rPr>
        <w:t xml:space="preserve">1. 播放视频、图片、字幕、宣传片等，画质可靠，可长时间运行。</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多路信号快速切换，多窗口同显，无黑屏卡顿，支持拼接同步。</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支持手机/电脑/平板无线投屏，低延迟，有多画面、防误投屏模式。</w:t>
      </w:r>
      <w:r/>
    </w:p>
    <w:p>
      <w:pPr>
        <w:pStyle w:val="1438"/>
        <w:contextualSpacing/>
        <w:ind w:firstLine="442"/>
        <w:spacing w:line="360" w:lineRule="auto"/>
        <w:rPr>
          <w:rFonts w:hAnsi="宋体"/>
          <w:bCs/>
          <w:color w:val="auto"/>
          <w:highlight w:val="none"/>
        </w:rPr>
      </w:pPr>
      <w:r>
        <w:rPr>
          <w:rFonts w:hAnsi="宋体"/>
          <w:bCs/>
          <w:color w:val="auto"/>
          <w:highlight w:val="none"/>
        </w:rPr>
        <w:t xml:space="preserve">4. 电源箱可分布上电、远程开关机；钢结构满足承重抗震消防，防腐防锈，强弱电分离布线。</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（四）音频系统</w:t>
      </w:r>
      <w:r/>
    </w:p>
    <w:p>
      <w:pPr>
        <w:pStyle w:val="1438"/>
        <w:contextualSpacing/>
        <w:ind w:firstLine="442"/>
        <w:spacing w:line="360" w:lineRule="auto"/>
        <w:rPr>
          <w:rFonts w:hAnsi="宋体"/>
          <w:bCs/>
          <w:color w:val="auto"/>
          <w:highlight w:val="none"/>
        </w:rPr>
      </w:pPr>
      <w:r>
        <w:rPr>
          <w:rFonts w:hAnsi="宋体"/>
          <w:bCs/>
          <w:color w:val="auto"/>
          <w:highlight w:val="none"/>
        </w:rPr>
        <w:t xml:space="preserve">1. 线阵列主扩+超低音箱，搭配返听、台唇、辅助等音箱，实现剧场全域声场</w:t>
      </w:r>
      <w:r>
        <w:rPr>
          <w:rFonts w:hint="eastAsia" w:hAnsi="宋体"/>
          <w:bCs/>
          <w:color w:val="auto"/>
          <w:highlight w:val="none"/>
        </w:rPr>
        <w:t xml:space="preserve">覆盖，兼顾会议与演出扩声。</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数字调音台，多通道编组，可存储调用多套场景效果。</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真分集无线话筒抗干扰，可多套同时使用；无线会议系统带主席优先，保障无线信号稳定。</w:t>
      </w:r>
      <w:r/>
    </w:p>
    <w:p>
      <w:pPr>
        <w:pStyle w:val="1438"/>
        <w:contextualSpacing/>
        <w:ind w:firstLine="442"/>
        <w:spacing w:line="360" w:lineRule="auto"/>
        <w:rPr>
          <w:rFonts w:hAnsi="宋体"/>
          <w:bCs/>
          <w:color w:val="auto"/>
          <w:highlight w:val="none"/>
        </w:rPr>
      </w:pPr>
      <w:r>
        <w:rPr>
          <w:rFonts w:hAnsi="宋体"/>
          <w:bCs/>
          <w:color w:val="auto"/>
          <w:highlight w:val="none"/>
        </w:rPr>
        <w:t xml:space="preserve">4. 电源时序器顺序启停、过欠压保护、消防强切，可中控联动，保护音频设备。</w:t>
      </w:r>
      <w:r/>
    </w:p>
    <w:p>
      <w:pPr>
        <w:pStyle w:val="1438"/>
        <w:contextualSpacing/>
        <w:ind w:firstLine="442"/>
        <w:spacing w:line="360" w:lineRule="auto"/>
        <w:rPr>
          <w:rFonts w:hAnsi="宋体"/>
          <w:b/>
          <w:bCs/>
          <w:color w:val="auto"/>
          <w:highlight w:val="none"/>
        </w:rPr>
      </w:pPr>
      <w:r/>
      <w:bookmarkStart w:id="35" w:name="OLE_LINK15"/>
      <w:r/>
      <w:bookmarkStart w:id="36" w:name="OLE_LINK16"/>
      <w:r>
        <w:rPr>
          <w:rFonts w:hint="eastAsia" w:hAnsi="宋体"/>
          <w:b/>
          <w:bCs/>
          <w:color w:val="auto"/>
          <w:highlight w:val="none"/>
        </w:rPr>
        <w:t xml:space="preserve">（五）舞台机械幕布系统</w:t>
      </w:r>
      <w:bookmarkEnd w:id="35"/>
      <w:r/>
      <w:bookmarkEnd w:id="36"/>
      <w:r/>
      <w:r/>
    </w:p>
    <w:p>
      <w:pPr>
        <w:pStyle w:val="1438"/>
        <w:contextualSpacing/>
        <w:ind w:firstLine="442"/>
        <w:spacing w:line="360" w:lineRule="auto"/>
        <w:rPr>
          <w:rFonts w:hAnsi="宋体"/>
          <w:bCs/>
          <w:color w:val="auto"/>
          <w:highlight w:val="none"/>
        </w:rPr>
      </w:pPr>
      <w:r>
        <w:rPr>
          <w:rFonts w:hAnsi="宋体"/>
          <w:bCs/>
          <w:color w:val="auto"/>
          <w:highlight w:val="none"/>
        </w:rPr>
        <w:t xml:space="preserve">1. 幕布电动变频低噪开合；吊杆电动升降，启停匀速、定位精准，载荷速度达标。</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多重安全保护：上下限位、过载、断火、急停；钢丝绳、钢构件强度达标，防锈防腐。</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自动场景+手动应急双操作，实时展示运行状态；幕布防火等级B1级，满足消防验收。</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（六）灯光系统</w:t>
      </w:r>
      <w:r/>
    </w:p>
    <w:p>
      <w:pPr>
        <w:pStyle w:val="1438"/>
        <w:contextualSpacing/>
        <w:ind w:firstLine="442"/>
        <w:spacing w:line="360" w:lineRule="auto"/>
        <w:rPr>
          <w:rFonts w:hAnsi="宋体"/>
          <w:bCs/>
          <w:color w:val="auto"/>
          <w:highlight w:val="none"/>
        </w:rPr>
      </w:pPr>
      <w:r>
        <w:rPr>
          <w:rFonts w:hAnsi="宋体"/>
          <w:bCs/>
          <w:color w:val="auto"/>
          <w:highlight w:val="none"/>
        </w:rPr>
        <w:t xml:space="preserve">1. LED聚光、柔光灯，色温可调，满足会议照明、演出渲染及录制显色要求。</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控制台存储多套灯光场景，一键调用，支持触屏、远程控制。</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设备具备短路过载保护，线缆辅材施工规范。</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（七）控制系统</w:t>
      </w:r>
      <w:r/>
    </w:p>
    <w:p>
      <w:pPr>
        <w:pStyle w:val="1438"/>
        <w:contextualSpacing/>
        <w:ind w:firstLine="442"/>
        <w:spacing w:line="360" w:lineRule="auto"/>
        <w:rPr>
          <w:rFonts w:hAnsi="宋体"/>
          <w:bCs/>
          <w:color w:val="auto"/>
          <w:highlight w:val="none"/>
        </w:rPr>
      </w:pPr>
      <w:r>
        <w:rPr>
          <w:rFonts w:hAnsi="宋体"/>
          <w:bCs/>
          <w:color w:val="auto"/>
          <w:highlight w:val="none"/>
        </w:rPr>
        <w:t xml:space="preserve">1. 分布式节点支持4K@60Hz编解码、开窗拼接，具备KVM及多类外设控制接口。</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管控主机集中管控全部子系统，实现设备联动。</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预设会议、演出、开场、散场、关机等场景一键联动；支持本地面板、电脑远程双操作。</w:t>
      </w:r>
      <w:r/>
    </w:p>
    <w:p>
      <w:pPr>
        <w:pStyle w:val="1438"/>
        <w:contextualSpacing/>
        <w:ind w:firstLine="442"/>
        <w:spacing w:line="360" w:lineRule="auto"/>
        <w:rPr>
          <w:rFonts w:hAnsi="宋体"/>
          <w:bCs/>
          <w:color w:val="auto"/>
          <w:highlight w:val="none"/>
        </w:rPr>
      </w:pPr>
      <w:r>
        <w:rPr>
          <w:rFonts w:hAnsi="宋体"/>
          <w:bCs/>
          <w:color w:val="auto"/>
          <w:highlight w:val="none"/>
        </w:rPr>
        <w:t xml:space="preserve">4. 全场设备电源集中管理，可编程时序、互锁控制。</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（八）监控系统及施工配套</w:t>
      </w:r>
      <w:r/>
    </w:p>
    <w:p>
      <w:pPr>
        <w:pStyle w:val="1438"/>
        <w:contextualSpacing/>
        <w:ind w:firstLine="442"/>
        <w:spacing w:line="360" w:lineRule="auto"/>
        <w:rPr>
          <w:rFonts w:hAnsi="宋体"/>
          <w:bCs/>
          <w:color w:val="auto"/>
          <w:highlight w:val="none"/>
        </w:rPr>
      </w:pPr>
      <w:r>
        <w:rPr>
          <w:rFonts w:hAnsi="宋体"/>
          <w:bCs/>
          <w:color w:val="auto"/>
          <w:highlight w:val="none"/>
        </w:rPr>
        <w:t xml:space="preserve">1. 高清摄像机覆盖舞台、观众席、出入口，具备宽动态、智能分析、双向对讲，全天候录像。</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存储设备7×24h循环录像，支持录像锁定、回放、下载备份，用于安防与活动记录。</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POE交换机供电，监控接入一楼值班室监控中心；部署无线AP接入5G校园无线网，满足上网、直播、设备联网。</w:t>
      </w:r>
      <w:r/>
    </w:p>
    <w:p>
      <w:pPr>
        <w:pStyle w:val="1438"/>
        <w:contextualSpacing/>
        <w:ind w:firstLine="442"/>
        <w:spacing w:line="360" w:lineRule="auto"/>
        <w:rPr>
          <w:rFonts w:hAnsi="宋体"/>
          <w:b/>
          <w:bCs/>
          <w:color w:val="auto"/>
          <w:highlight w:val="none"/>
        </w:rPr>
      </w:pPr>
      <w:r/>
      <w:bookmarkStart w:id="37" w:name="OLE_LINK20"/>
      <w:r/>
      <w:bookmarkStart w:id="38" w:name="OLE_LINK17"/>
      <w:r>
        <w:rPr>
          <w:rFonts w:hint="eastAsia" w:hAnsi="宋体"/>
          <w:b/>
          <w:bCs/>
          <w:color w:val="auto"/>
          <w:highlight w:val="none"/>
        </w:rPr>
        <w:t xml:space="preserve">（九）系统集成与配套</w:t>
      </w:r>
      <w:bookmarkEnd w:id="37"/>
      <w:r/>
      <w:bookmarkEnd w:id="38"/>
      <w:r/>
      <w:r/>
    </w:p>
    <w:p>
      <w:pPr>
        <w:pStyle w:val="1438"/>
        <w:contextualSpacing/>
        <w:ind w:firstLine="442"/>
        <w:spacing w:line="360" w:lineRule="auto"/>
        <w:rPr>
          <w:rFonts w:hAnsi="宋体"/>
          <w:bCs/>
          <w:color w:val="auto"/>
          <w:highlight w:val="none"/>
        </w:rPr>
      </w:pPr>
      <w:r>
        <w:rPr>
          <w:rFonts w:hAnsi="宋体"/>
          <w:bCs/>
          <w:color w:val="auto"/>
          <w:highlight w:val="none"/>
        </w:rPr>
        <w:t xml:space="preserve">1. 完成设备集成对接调试，实现中控联动功能。</w:t>
      </w:r>
      <w:r/>
    </w:p>
    <w:p>
      <w:pPr>
        <w:pStyle w:val="1438"/>
        <w:contextualSpacing/>
        <w:ind w:firstLine="442"/>
        <w:spacing w:line="360" w:lineRule="auto"/>
        <w:rPr>
          <w:rFonts w:hAnsi="宋体"/>
          <w:bCs/>
          <w:color w:val="auto"/>
          <w:highlight w:val="none"/>
        </w:rPr>
      </w:pPr>
      <w:r>
        <w:rPr>
          <w:rFonts w:hAnsi="宋体"/>
          <w:bCs/>
          <w:color w:val="auto"/>
          <w:highlight w:val="none"/>
        </w:rPr>
        <w:t xml:space="preserve">2. 系统集成与配套报价为包干价，含全部辅材、配件、安装调试人工，缺漏工程量，由实施方承担。</w:t>
      </w:r>
      <w:r/>
    </w:p>
    <w:p>
      <w:pPr>
        <w:pStyle w:val="1438"/>
        <w:contextualSpacing/>
        <w:ind w:firstLine="442"/>
        <w:spacing w:line="360" w:lineRule="auto"/>
        <w:rPr>
          <w:rFonts w:hAnsi="宋体"/>
          <w:bCs/>
          <w:color w:val="auto"/>
          <w:highlight w:val="none"/>
        </w:rPr>
      </w:pPr>
      <w:r>
        <w:rPr>
          <w:rFonts w:hAnsi="宋体"/>
          <w:bCs/>
          <w:color w:val="auto"/>
          <w:highlight w:val="none"/>
        </w:rPr>
        <w:t xml:space="preserve">3. 提供检测标准 GB/T 4959-2026（检测项点 ：最大声压级，背景噪声，传输频率特性，声场不均匀度，传声增益，检测设备要求在有效检定范围内，系统功能完整，满足招标及业主需求。</w:t>
      </w:r>
      <w:r/>
    </w:p>
    <w:p>
      <w:pPr>
        <w:pStyle w:val="1438"/>
        <w:contextualSpacing/>
        <w:ind w:firstLine="442"/>
        <w:spacing w:line="360" w:lineRule="auto"/>
        <w:rPr>
          <w:rFonts w:hAnsi="宋体"/>
          <w:b/>
          <w:bCs/>
          <w:color w:val="auto"/>
          <w:highlight w:val="none"/>
        </w:rPr>
      </w:pPr>
      <w:r>
        <w:rPr>
          <w:rFonts w:hint="eastAsia" w:hAnsi="宋体"/>
          <w:b/>
          <w:bCs/>
          <w:color w:val="auto"/>
          <w:highlight w:val="none"/>
        </w:rPr>
        <w:t xml:space="preserve">（十）其他要求</w:t>
      </w:r>
      <w:r/>
    </w:p>
    <w:p>
      <w:pPr>
        <w:pStyle w:val="1438"/>
        <w:contextualSpacing/>
        <w:ind w:firstLine="442"/>
        <w:spacing w:line="360" w:lineRule="auto"/>
        <w:rPr>
          <w:rFonts w:hAnsi="宋体"/>
          <w:color w:val="auto"/>
          <w:highlight w:val="none"/>
          <w:lang w:val="zh-CN" w:bidi="zh-CN"/>
        </w:rPr>
      </w:pPr>
      <w:r>
        <w:rPr>
          <w:rFonts w:hAnsi="宋体"/>
          <w:color w:val="auto"/>
          <w:highlight w:val="none"/>
          <w:lang w:val="zh-CN" w:bidi="zh-CN"/>
        </w:rPr>
        <w:t xml:space="preserve">1.</w:t>
      </w:r>
      <w:r>
        <w:rPr>
          <w:rFonts w:hAnsi="宋体"/>
          <w:color w:val="auto"/>
          <w:highlight w:val="none"/>
          <w:lang w:val="zh-CN" w:bidi="zh-CN"/>
        </w:rPr>
        <w:tab/>
      </w:r>
      <w:r>
        <w:rPr>
          <w:rFonts w:hAnsi="宋体"/>
          <w:color w:val="auto"/>
          <w:highlight w:val="none"/>
          <w:lang w:val="zh-CN" w:bidi="zh-CN"/>
        </w:rPr>
        <w:t xml:space="preserve">本项目属于改造项目，其中涵盖建筑、消防、安防、网络、声光电学、机械结构、设备安装等环节，建议</w:t>
      </w:r>
      <w:r>
        <w:rPr>
          <w:rFonts w:hint="eastAsia" w:hAnsi="宋体"/>
          <w:color w:val="auto"/>
          <w:highlight w:val="none"/>
          <w:lang w:val="zh-CN" w:bidi="zh-CN"/>
        </w:rPr>
        <w:t xml:space="preserve">供应商</w:t>
      </w:r>
      <w:r>
        <w:rPr>
          <w:rFonts w:hAnsi="宋体"/>
          <w:color w:val="auto"/>
          <w:highlight w:val="none"/>
          <w:lang w:val="zh-CN" w:bidi="zh-CN"/>
        </w:rPr>
        <w:t xml:space="preserve">开展现场实地勘察，核实剧场建筑现状、网络安防要求、充分考虑现场改造、布线，设备集成调试等相关工作量。因未充分勘察造成方案与现场不符、缺漏工程量，由实施方承担全部责任。</w:t>
      </w:r>
      <w:r/>
    </w:p>
    <w:p>
      <w:pPr>
        <w:pStyle w:val="1438"/>
        <w:contextualSpacing/>
        <w:ind w:firstLine="442"/>
        <w:spacing w:line="360" w:lineRule="auto"/>
        <w:rPr>
          <w:rFonts w:hAnsi="宋体"/>
          <w:color w:val="auto"/>
          <w:highlight w:val="none"/>
          <w:lang w:val="zh-CN" w:bidi="zh-CN"/>
        </w:rPr>
      </w:pPr>
      <w:r>
        <w:rPr>
          <w:rFonts w:hAnsi="宋体"/>
          <w:color w:val="auto"/>
          <w:highlight w:val="none"/>
          <w:lang w:val="zh-CN" w:bidi="zh-CN"/>
        </w:rPr>
        <w:t xml:space="preserve">2. 验收：按招标文件、国家规范、业主需求开展，提供第三方声场测试合格报告方可交付。</w:t>
      </w:r>
      <w:r/>
    </w:p>
    <w:p>
      <w:pPr>
        <w:pStyle w:val="1438"/>
        <w:contextualSpacing/>
        <w:ind w:firstLine="442"/>
        <w:spacing w:line="360" w:lineRule="auto"/>
        <w:rPr>
          <w:rFonts w:hint="eastAsia" w:hAnsi="宋体"/>
          <w:color w:val="auto"/>
          <w:highlight w:val="none"/>
          <w:lang w:val="zh-CN" w:bidi="zh-CN"/>
        </w:rPr>
      </w:pPr>
      <w:r>
        <w:rPr>
          <w:rFonts w:hAnsi="宋体"/>
          <w:color w:val="auto"/>
          <w:highlight w:val="none"/>
          <w:lang w:val="zh-CN" w:bidi="zh-CN"/>
        </w:rPr>
        <w:t xml:space="preserve">3. 服务：提供2年限质保、维保技术支持，开展操作维护培训。</w:t>
      </w:r>
      <w:r/>
    </w:p>
    <w:p>
      <w:pPr>
        <w:pStyle w:val="1438"/>
        <w:contextualSpacing/>
        <w:ind w:firstLine="442"/>
        <w:spacing w:line="360" w:lineRule="auto"/>
        <w:rPr>
          <w:rFonts w:hAnsi="宋体"/>
          <w:b/>
          <w:color w:val="auto"/>
          <w:szCs w:val="22"/>
          <w:highlight w:val="none"/>
        </w:rPr>
      </w:pPr>
      <w:r>
        <w:rPr>
          <w:rFonts w:hint="eastAsia" w:hAnsi="宋体"/>
          <w:b/>
          <w:bCs/>
          <w:color w:val="auto"/>
          <w:sz w:val="22"/>
          <w:szCs w:val="22"/>
          <w:highlight w:val="none"/>
        </w:rPr>
        <w:t xml:space="preserve">六、</w:t>
      </w:r>
      <w:r>
        <w:rPr>
          <w:rFonts w:hAnsi="宋体"/>
          <w:b/>
          <w:color w:val="auto"/>
          <w:szCs w:val="22"/>
          <w:highlight w:val="none"/>
        </w:rPr>
        <w:t xml:space="preserve">验收标准</w:t>
      </w:r>
      <w:r/>
    </w:p>
    <w:p>
      <w:pPr>
        <w:pStyle w:val="908"/>
        <w:contextualSpacing/>
        <w:ind w:firstLine="480"/>
        <w:spacing w:line="360" w:lineRule="auto"/>
        <w:rPr>
          <w:rFonts w:hAnsi="宋体"/>
          <w:color w:val="auto"/>
          <w:sz w:val="24"/>
          <w:szCs w:val="24"/>
          <w:highlight w:val="none"/>
        </w:rPr>
      </w:pPr>
      <w:r>
        <w:rPr>
          <w:rFonts w:hint="eastAsia" w:hAnsi="宋体"/>
          <w:color w:val="auto"/>
          <w:sz w:val="24"/>
          <w:szCs w:val="24"/>
          <w:highlight w:val="none"/>
        </w:rPr>
        <w:t xml:space="preserve">1、符合国家现行质量验收标准，《建筑工程施工质量验收统一标准》，合同约定的其他要求；</w:t>
      </w:r>
      <w:r/>
    </w:p>
    <w:p>
      <w:pPr>
        <w:pStyle w:val="908"/>
        <w:contextualSpacing/>
        <w:ind w:firstLine="480"/>
        <w:spacing w:line="360" w:lineRule="auto"/>
        <w:rPr>
          <w:rFonts w:hAnsi="宋体"/>
          <w:color w:val="auto"/>
          <w:sz w:val="24"/>
          <w:szCs w:val="24"/>
          <w:highlight w:val="none"/>
        </w:rPr>
      </w:pPr>
      <w:r>
        <w:rPr>
          <w:rFonts w:hint="eastAsia" w:hAnsi="宋体"/>
          <w:color w:val="auto"/>
          <w:sz w:val="24"/>
          <w:szCs w:val="24"/>
          <w:highlight w:val="none"/>
        </w:rPr>
        <w:t xml:space="preserve">2、青春剧场设施及设备满足招标文件参数要求，相关设施及设备品牌需在投标时明确（不得调整变更），项目竣工后配合校方进行资产入库；</w:t>
      </w:r>
      <w:r/>
    </w:p>
    <w:p>
      <w:pPr>
        <w:pStyle w:val="908"/>
        <w:contextualSpacing/>
        <w:ind w:firstLine="480"/>
        <w:spacing w:line="360" w:lineRule="auto"/>
        <w:rPr>
          <w:rFonts w:hAnsi="宋体"/>
          <w:color w:val="auto"/>
          <w:sz w:val="24"/>
          <w:szCs w:val="24"/>
          <w:highlight w:val="none"/>
        </w:rPr>
      </w:pPr>
      <w:r>
        <w:rPr>
          <w:rFonts w:hint="eastAsia" w:hAnsi="宋体"/>
          <w:color w:val="auto"/>
          <w:sz w:val="24"/>
          <w:szCs w:val="24"/>
          <w:highlight w:val="none"/>
        </w:rPr>
        <w:t xml:space="preserve">3、满足环保要求。</w:t>
      </w:r>
      <w:r/>
    </w:p>
    <w:p>
      <w:pPr>
        <w:pStyle w:val="908"/>
        <w:contextualSpacing/>
        <w:ind w:firstLine="480"/>
        <w:spacing w:line="360" w:lineRule="auto"/>
        <w:rPr>
          <w:rFonts w:hAnsi="宋体"/>
          <w:color w:val="auto"/>
          <w:sz w:val="24"/>
          <w:szCs w:val="24"/>
          <w:highlight w:val="none"/>
          <w:lang w:val="en-US"/>
        </w:rPr>
      </w:pPr>
      <w:r>
        <w:rPr>
          <w:rFonts w:hint="eastAsia" w:hAnsi="宋体"/>
          <w:color w:val="auto"/>
          <w:sz w:val="24"/>
          <w:szCs w:val="24"/>
          <w:highlight w:val="none"/>
        </w:rPr>
        <w:t xml:space="preserve">4、项目须按照招标文件、国家现行规范及业主功能要求组织验收，全部设备、材料、施工工艺符合相关标准，各智能化子系统功能调试合格、声场测试数据合格，整体验收通过后方可交付使用。</w:t>
      </w:r>
      <w:r/>
    </w:p>
    <w:p>
      <w:pPr>
        <w:pStyle w:val="1438"/>
        <w:contextualSpacing/>
        <w:ind w:firstLine="470"/>
        <w:spacing w:line="360" w:lineRule="auto"/>
        <w:rPr>
          <w:rFonts w:hAnsi="宋体"/>
          <w:color w:val="auto"/>
          <w:highlight w:val="none"/>
        </w:rPr>
      </w:pPr>
      <w:r>
        <w:rPr>
          <w:rFonts w:hint="eastAsia" w:hAnsi="宋体"/>
          <w:b/>
          <w:bCs/>
          <w:color w:val="auto"/>
          <w:highlight w:val="none"/>
        </w:rPr>
        <w:t xml:space="preserve">七、履约保证金</w:t>
      </w:r>
      <w:r/>
    </w:p>
    <w:p>
      <w:pPr>
        <w:pStyle w:val="1438"/>
        <w:contextualSpacing/>
        <w:ind w:firstLine="482"/>
        <w:spacing w:line="360" w:lineRule="auto"/>
        <w:rPr>
          <w:rFonts w:hAnsi="宋体"/>
          <w:color w:val="auto"/>
          <w:highlight w:val="none"/>
        </w:rPr>
      </w:pPr>
      <w:r>
        <w:rPr>
          <w:rFonts w:hint="eastAsia" w:hAnsi="宋体"/>
          <w:color w:val="auto"/>
          <w:highlight w:val="none"/>
        </w:rPr>
        <w:t xml:space="preserve">合同签约价的</w:t>
      </w:r>
      <w:r>
        <w:rPr>
          <w:rFonts w:hAnsi="宋体"/>
          <w:color w:val="auto"/>
          <w:highlight w:val="none"/>
        </w:rPr>
        <w:t xml:space="preserve">3%</w:t>
      </w:r>
      <w:r>
        <w:rPr>
          <w:rFonts w:hint="eastAsia" w:hAnsi="宋体"/>
          <w:color w:val="auto"/>
          <w:highlight w:val="none"/>
        </w:rPr>
        <w:t xml:space="preserve">作为</w:t>
      </w:r>
      <w:r>
        <w:rPr>
          <w:rFonts w:hAnsi="宋体"/>
          <w:color w:val="auto"/>
          <w:highlight w:val="none"/>
        </w:rPr>
        <w:t xml:space="preserve">履约保证金</w:t>
      </w:r>
      <w:r>
        <w:rPr>
          <w:rFonts w:hint="eastAsia" w:hAnsi="宋体"/>
          <w:color w:val="auto"/>
          <w:highlight w:val="none"/>
        </w:rPr>
        <w:t xml:space="preserve">，</w:t>
      </w:r>
      <w:r>
        <w:rPr>
          <w:rFonts w:hAnsi="宋体"/>
          <w:color w:val="auto"/>
          <w:highlight w:val="none"/>
        </w:rPr>
        <w:t xml:space="preserve">在本工程竣工验收合格后转作质量保证金，自发包人组织的竣工验收合格报告签署之日起算的质保期（24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24个月）满后，经发包人单位盖章，无息返还承包人质量保证金。若承包人不能及时响应或保质处理维修事项</w:t>
      </w:r>
      <w:r>
        <w:rPr>
          <w:rFonts w:hint="eastAsia" w:hAnsi="宋体"/>
          <w:color w:val="auto"/>
          <w:highlight w:val="none"/>
        </w:rPr>
        <w:t xml:space="preserve">，发包人有权另找工程队维修，所发生的费用从质量保证金中支付。</w:t>
      </w:r>
      <w:r/>
    </w:p>
    <w:p>
      <w:pPr>
        <w:pStyle w:val="1438"/>
        <w:contextualSpacing/>
        <w:ind w:firstLine="482"/>
        <w:spacing w:line="360" w:lineRule="auto"/>
        <w:rPr>
          <w:rFonts w:hAnsi="宋体"/>
          <w:color w:val="auto"/>
          <w:highlight w:val="none"/>
        </w:rPr>
      </w:pPr>
      <w:r>
        <w:rPr>
          <w:rFonts w:hint="eastAsia" w:hAnsi="宋体"/>
          <w:b/>
          <w:color w:val="auto"/>
          <w:highlight w:val="none"/>
        </w:rPr>
        <w:t xml:space="preserve">八</w:t>
      </w:r>
      <w:r>
        <w:rPr>
          <w:rFonts w:hint="eastAsia" w:hAnsi="宋体"/>
          <w:b/>
          <w:bCs/>
          <w:color w:val="auto"/>
          <w:highlight w:val="none"/>
        </w:rPr>
        <w:t xml:space="preserve">、质保要求</w:t>
      </w:r>
      <w:r/>
    </w:p>
    <w:p>
      <w:pPr>
        <w:pStyle w:val="1438"/>
        <w:contextualSpacing/>
        <w:ind w:firstLine="480"/>
        <w:spacing w:line="360" w:lineRule="auto"/>
        <w:rPr>
          <w:rFonts w:hAnsi="宋体"/>
          <w:color w:val="auto"/>
          <w:highlight w:val="none"/>
        </w:rPr>
      </w:pPr>
      <w:r>
        <w:rPr>
          <w:rFonts w:hint="eastAsia" w:hAnsi="宋体"/>
          <w:color w:val="auto"/>
          <w:highlight w:val="none"/>
        </w:rPr>
        <w:t xml:space="preserve">1、自项目验收合格之日起，24个月。自发包人组织的竣工合格验收报告签署之日起计算。在缺陷责任期内，由发包人通知承包人进行该工程的维修事项，若承包人尽心尽责的服务，发包人满意，则缺陷责任期（24个月）满后，经发包人单位盖章，无息返还承包人质量保证金。若承包人不能及时响应或保质处理维修事项，发包人有权另找工程队维修，所发生的费用从质量保证金中支付。</w:t>
      </w:r>
      <w:r/>
    </w:p>
    <w:p>
      <w:pPr>
        <w:pStyle w:val="1438"/>
        <w:contextualSpacing/>
        <w:ind w:firstLine="480"/>
        <w:spacing w:line="360" w:lineRule="auto"/>
        <w:rPr>
          <w:rFonts w:hAnsi="宋体"/>
          <w:color w:val="auto"/>
          <w:highlight w:val="none"/>
        </w:rPr>
      </w:pPr>
      <w:r>
        <w:rPr>
          <w:rFonts w:hint="eastAsia" w:hAnsi="宋体"/>
          <w:color w:val="auto"/>
          <w:highlight w:val="none"/>
        </w:rPr>
        <w:t xml:space="preserve">2、投标人须提供项目质保期内的质量保证、设备维护及技术支持服务，确保系统长期稳定运行；提供必要的技术培训，使业主管理人员能够熟练操作与日常维护。</w:t>
      </w:r>
      <w:r/>
    </w:p>
    <w:p>
      <w:pPr>
        <w:pStyle w:val="1438"/>
        <w:contextualSpacing/>
        <w:ind w:firstLine="470"/>
        <w:spacing w:line="360" w:lineRule="auto"/>
        <w:rPr>
          <w:rFonts w:hint="eastAsia" w:hAnsi="宋体" w:eastAsia="宋体"/>
          <w:color w:val="auto"/>
          <w:highlight w:val="none"/>
          <w:lang w:eastAsia="zh-CN"/>
        </w:rPr>
      </w:pPr>
      <w:r>
        <w:rPr>
          <w:rFonts w:hint="eastAsia" w:hAnsi="宋体"/>
          <w:b/>
          <w:bCs/>
          <w:color w:val="auto"/>
          <w:highlight w:val="none"/>
        </w:rPr>
        <w:t xml:space="preserve">九、付款方式</w:t>
      </w:r>
      <w:r/>
    </w:p>
    <w:p>
      <w:pPr>
        <w:pStyle w:val="1438"/>
        <w:contextualSpacing/>
        <w:ind w:firstLine="468"/>
        <w:spacing w:line="360" w:lineRule="auto"/>
        <w:rPr>
          <w:rFonts w:hAnsi="宋体"/>
          <w:color w:val="auto"/>
          <w:highlight w:val="none"/>
        </w:rPr>
      </w:pPr>
      <w:r>
        <w:rPr>
          <w:rFonts w:hint="eastAsia" w:hAnsi="宋体"/>
          <w:color w:val="auto"/>
          <w:highlight w:val="none"/>
        </w:rPr>
        <w:t xml:space="preserve">双方约定的工程款(进度款)支付的方式和时间：</w:t>
      </w:r>
      <w:r/>
    </w:p>
    <w:p>
      <w:pPr>
        <w:ind w:firstLine="482"/>
        <w:spacing w:line="360" w:lineRule="auto"/>
        <w:rPr>
          <w:color w:val="auto"/>
          <w:sz w:val="24"/>
          <w:szCs w:val="24"/>
          <w:highlight w:val="none"/>
          <w:lang w:val="en-US" w:bidi="ar-SA"/>
        </w:rPr>
      </w:pPr>
      <w:r>
        <w:rPr>
          <w:rFonts w:hint="eastAsia"/>
          <w:color w:val="auto"/>
          <w:sz w:val="24"/>
          <w:szCs w:val="24"/>
          <w:highlight w:val="none"/>
          <w:lang w:val="en-US" w:eastAsia="zh-CN" w:bidi="ar-SA"/>
        </w:rPr>
        <w:t xml:space="preserve">1</w:t>
      </w:r>
      <w:r>
        <w:rPr>
          <w:rFonts w:hint="eastAsia"/>
          <w:color w:val="auto"/>
          <w:sz w:val="24"/>
          <w:szCs w:val="24"/>
          <w:highlight w:val="none"/>
          <w:lang w:val="en-US" w:bidi="ar-SA"/>
        </w:rPr>
        <w:t xml:space="preserve">、</w:t>
      </w:r>
      <w:r>
        <w:rPr>
          <w:color w:val="auto"/>
          <w:sz w:val="24"/>
          <w:szCs w:val="24"/>
          <w:highlight w:val="none"/>
          <w:lang w:val="en-US" w:bidi="ar-SA"/>
        </w:rPr>
        <w:t xml:space="preserve">工程结束，项目竣工验收完毕后，配合使用方进行固定资产登记。相关工作完成后，乙方应在60日内按甲方要求将项目结算资料送交甲方审计部门审计（</w:t>
      </w:r>
      <w:r>
        <w:rPr>
          <w:rFonts w:hint="eastAsia"/>
          <w:color w:val="auto"/>
          <w:sz w:val="24"/>
          <w:szCs w:val="24"/>
          <w:highlight w:val="none"/>
          <w:lang w:val="en-US" w:bidi="ar-SA"/>
        </w:rPr>
        <w:t xml:space="preserve">含甲方需要的固定资产设备入库登记材料</w:t>
      </w:r>
      <w:r>
        <w:rPr>
          <w:color w:val="auto"/>
          <w:sz w:val="24"/>
          <w:szCs w:val="24"/>
          <w:highlight w:val="none"/>
          <w:lang w:val="en-US" w:bidi="ar-SA"/>
        </w:rPr>
        <w:t xml:space="preserve">），甲方审计部门对乙方出具的项目结算资料无异议后15日内，承包人提供与当期应付款项金额相一致的足额发票，发包人向承包人付至合同暂定价的70％。</w:t>
      </w:r>
      <w:r/>
    </w:p>
    <w:p>
      <w:pPr>
        <w:ind w:firstLine="482"/>
        <w:spacing w:line="360" w:lineRule="auto"/>
        <w:rPr>
          <w:color w:val="auto"/>
          <w:sz w:val="24"/>
          <w:szCs w:val="24"/>
          <w:highlight w:val="none"/>
          <w:lang w:val="en-US" w:bidi="ar-SA"/>
        </w:rPr>
      </w:pPr>
      <w:r>
        <w:rPr>
          <w:rFonts w:hint="eastAsia"/>
          <w:color w:val="auto"/>
          <w:sz w:val="24"/>
          <w:szCs w:val="24"/>
          <w:highlight w:val="none"/>
          <w:lang w:val="en-US" w:eastAsia="zh-CN" w:bidi="ar-SA"/>
        </w:rPr>
        <w:t xml:space="preserve">2</w:t>
      </w:r>
      <w:r>
        <w:rPr>
          <w:rFonts w:hint="eastAsia"/>
          <w:color w:val="auto"/>
          <w:sz w:val="24"/>
          <w:szCs w:val="24"/>
          <w:highlight w:val="none"/>
          <w:lang w:val="en-US" w:bidi="ar-SA"/>
        </w:rPr>
        <w:t xml:space="preserve">、</w:t>
      </w:r>
      <w:r>
        <w:rPr>
          <w:color w:val="auto"/>
          <w:sz w:val="24"/>
          <w:szCs w:val="24"/>
          <w:highlight w:val="none"/>
          <w:lang w:val="en-US" w:bidi="ar-SA"/>
        </w:rPr>
        <w:t xml:space="preserve">项目决算审计结束后十五个工作日内，甲方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p>
    <w:p>
      <w:pPr>
        <w:ind w:firstLine="480"/>
        <w:jc w:val="both"/>
        <w:spacing w:line="460" w:lineRule="exact"/>
        <w:rPr>
          <w:rFonts w:ascii="Times New Roman" w:hAnsi="Times New Roman" w:cs="Times New Roman"/>
          <w:color w:val="auto"/>
          <w:sz w:val="24"/>
          <w:szCs w:val="24"/>
          <w:highlight w:val="none"/>
          <w:lang w:val="en-US" w:bidi="ar-SA"/>
        </w:rPr>
      </w:pPr>
      <w:r>
        <w:rPr>
          <w:rFonts w:hint="eastAsia"/>
          <w:color w:val="auto"/>
          <w:sz w:val="24"/>
          <w:szCs w:val="24"/>
          <w:highlight w:val="none"/>
          <w:lang w:val="en-US" w:eastAsia="zh-CN" w:bidi="ar-SA"/>
        </w:rPr>
        <w:t xml:space="preserve">3、</w:t>
      </w:r>
      <w:r>
        <w:rPr>
          <w:rFonts w:hint="eastAsia" w:ascii="Times New Roman" w:hAnsi="Times New Roman" w:cs="Times New Roman"/>
          <w:color w:val="auto"/>
          <w:sz w:val="24"/>
          <w:szCs w:val="24"/>
          <w:highlight w:val="none"/>
          <w:lang w:val="en-US" w:bidi="ar-SA"/>
        </w:rPr>
        <w:t xml:space="preserve">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时间且不构成违约。</w:t>
      </w:r>
      <w:r/>
    </w:p>
    <w:p>
      <w:pPr>
        <w:ind w:firstLine="482"/>
        <w:spacing w:line="360" w:lineRule="auto"/>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r>
      <w:r/>
    </w:p>
    <w:p>
      <w:pPr>
        <w:ind w:firstLine="482"/>
        <w:spacing w:line="360" w:lineRule="auto"/>
        <w:rPr>
          <w:b/>
          <w:bCs/>
          <w:color w:val="auto"/>
          <w:sz w:val="24"/>
          <w:szCs w:val="24"/>
          <w:highlight w:val="none"/>
          <w:lang w:val="en-US" w:bidi="ar-SA"/>
        </w:rPr>
      </w:pPr>
      <w:r>
        <w:rPr>
          <w:rFonts w:hint="eastAsia"/>
          <w:b/>
          <w:bCs/>
          <w:color w:val="auto"/>
          <w:sz w:val="24"/>
          <w:szCs w:val="24"/>
          <w:highlight w:val="none"/>
          <w:lang w:val="en-US" w:bidi="ar-SA"/>
        </w:rPr>
        <w:t xml:space="preserve">★十、其他要求</w:t>
      </w:r>
      <w:r/>
    </w:p>
    <w:p>
      <w:pPr>
        <w:ind w:firstLine="480"/>
        <w:spacing w:line="360" w:lineRule="auto"/>
        <w:rPr>
          <w:color w:val="auto"/>
          <w:sz w:val="24"/>
          <w:szCs w:val="24"/>
          <w:highlight w:val="none"/>
          <w:lang w:val="en-US" w:bidi="ar-SA"/>
        </w:rPr>
      </w:pPr>
      <w:r>
        <w:rPr>
          <w:rFonts w:hint="eastAsia"/>
          <w:color w:val="auto"/>
          <w:sz w:val="24"/>
          <w:szCs w:val="24"/>
          <w:highlight w:val="none"/>
          <w:lang w:val="en-US" w:bidi="ar-SA"/>
        </w:rPr>
        <w:t xml:space="preserve">1、建设工程企业资质证书有效期延期执行国家及省、市相关文件规定。</w:t>
      </w:r>
      <w:r/>
    </w:p>
    <w:p>
      <w:pPr>
        <w:ind w:firstLine="480"/>
        <w:spacing w:line="360" w:lineRule="auto"/>
        <w:rPr>
          <w:b/>
          <w:bCs/>
          <w:color w:val="auto"/>
          <w:sz w:val="24"/>
          <w:szCs w:val="24"/>
          <w:highlight w:val="none"/>
          <w:lang w:val="en-US" w:bidi="ar-SA"/>
        </w:rPr>
      </w:pPr>
      <w:r>
        <w:rPr>
          <w:color w:val="auto"/>
          <w:sz w:val="24"/>
          <w:szCs w:val="24"/>
          <w:highlight w:val="none"/>
          <w:lang w:val="en-US" w:bidi="ar-SA"/>
        </w:rPr>
        <w:t xml:space="preserve">2</w:t>
      </w:r>
      <w:r>
        <w:rPr>
          <w:rFonts w:hint="eastAsia"/>
          <w:color w:val="auto"/>
          <w:sz w:val="24"/>
          <w:szCs w:val="24"/>
          <w:highlight w:val="none"/>
          <w:lang w:val="en-US" w:bidi="ar-SA"/>
        </w:rPr>
        <w:t xml:space="preserve">、根据住房和城乡建设部办公厅关于全面</w:t>
      </w:r>
      <w:r>
        <w:rPr>
          <w:rFonts w:hint="eastAsia"/>
          <w:color w:val="auto"/>
          <w:sz w:val="24"/>
          <w:szCs w:val="24"/>
          <w:highlight w:val="none"/>
          <w:lang w:val="en-US" w:bidi="ar-SA"/>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r>
        <w:rPr>
          <w:rFonts w:hint="eastAsia"/>
          <w:b/>
          <w:bCs/>
          <w:color w:val="auto"/>
          <w:sz w:val="24"/>
          <w:szCs w:val="24"/>
          <w:highlight w:val="none"/>
          <w:lang w:val="en-US" w:bidi="ar-SA"/>
        </w:rPr>
        <w:t xml:space="preserve"> </w:t>
      </w:r>
      <w:r/>
    </w:p>
    <w:p>
      <w:pPr>
        <w:ind w:firstLine="480"/>
        <w:jc w:val="both"/>
        <w:spacing w:before="100" w:after="100" w:line="300" w:lineRule="auto"/>
        <w:rPr>
          <w:rFonts w:ascii="Times New Roman" w:hAnsi="Times New Roman" w:cs="Times New Roman"/>
          <w:color w:val="auto"/>
          <w:sz w:val="24"/>
          <w:szCs w:val="24"/>
          <w:highlight w:val="none"/>
          <w:lang w:val="en-US" w:bidi="ar-SA"/>
        </w:rPr>
      </w:pPr>
      <w:r>
        <w:rPr>
          <w:rFonts w:hint="eastAsia" w:ascii="Times New Roman" w:hAnsi="Times New Roman" w:cs="Times New Roman"/>
          <w:color w:val="auto"/>
          <w:sz w:val="24"/>
          <w:szCs w:val="24"/>
          <w:highlight w:val="none"/>
          <w:lang w:val="en-US" w:bidi="ar-SA"/>
        </w:rPr>
        <w:t xml:space="preserve">3、根据苏建函建管〔2019〕393号文及建办市〔2019〕50号文规定，已取消一级、二级临时建造师执业证书，因此本项目不接受持临时建造师执业资格的项目负责人投标。</w:t>
      </w:r>
      <w:r/>
    </w:p>
    <w:p>
      <w:pPr>
        <w:pStyle w:val="1438"/>
        <w:contextualSpacing/>
        <w:ind w:firstLine="468"/>
        <w:spacing w:line="360" w:lineRule="auto"/>
        <w:rPr>
          <w:rFonts w:hAnsi="宋体"/>
          <w:color w:val="auto"/>
          <w:sz w:val="22"/>
          <w:szCs w:val="22"/>
          <w:highlight w:val="none"/>
        </w:rPr>
      </w:pPr>
      <w:r>
        <w:rPr>
          <w:rFonts w:hAnsi="宋体"/>
          <w:color w:val="auto"/>
          <w:sz w:val="22"/>
          <w:szCs w:val="22"/>
          <w:highlight w:val="none"/>
        </w:rPr>
      </w:r>
      <w:r/>
    </w:p>
    <w:p>
      <w:pPr>
        <w:pStyle w:val="1438"/>
        <w:contextualSpacing/>
        <w:ind w:firstLine="470"/>
        <w:spacing w:line="360" w:lineRule="auto"/>
        <w:rPr>
          <w:rFonts w:hAnsi="宋体"/>
          <w:b/>
          <w:bCs/>
          <w:color w:val="auto"/>
          <w:highlight w:val="none"/>
        </w:rPr>
      </w:pPr>
      <w:r>
        <w:rPr>
          <w:rFonts w:hAnsi="宋体"/>
          <w:b/>
          <w:bCs/>
          <w:color w:val="auto"/>
          <w:highlight w:val="none"/>
        </w:rPr>
      </w:r>
      <w:r/>
    </w:p>
    <w:p>
      <w:pPr>
        <w:rPr>
          <w:rFonts w:ascii="黑体" w:eastAsia="黑体"/>
          <w:b/>
          <w:bCs/>
          <w:color w:val="auto"/>
          <w:sz w:val="36"/>
          <w:highlight w:val="none"/>
        </w:rPr>
      </w:pPr>
      <w:r>
        <w:rPr>
          <w:rFonts w:hint="eastAsia" w:ascii="黑体" w:eastAsia="黑体"/>
          <w:b/>
          <w:bCs/>
          <w:color w:val="auto"/>
          <w:sz w:val="36"/>
          <w:highlight w:val="none"/>
        </w:rPr>
        <w:br w:type="page" w:clear="all"/>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8"/>
      <w:r/>
      <w:bookmarkStart w:id="39"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rPr>
          <w:rFonts w:ascii="微软雅黑"/>
          <w:b/>
          <w:color w:val="auto"/>
          <w:sz w:val="21"/>
          <w:szCs w:val="24"/>
          <w:highlight w:val="none"/>
        </w:rPr>
      </w:pPr>
      <w:r>
        <w:rPr>
          <w:rFonts w:ascii="微软雅黑"/>
          <w:b/>
          <w:color w:val="auto"/>
          <w:sz w:val="21"/>
          <w:szCs w:val="24"/>
          <w:highlight w:val="none"/>
        </w:rPr>
      </w:r>
      <w:r/>
    </w:p>
    <w:p>
      <w:pPr>
        <w:ind w:firstLine="521"/>
        <w:jc w:val="center"/>
        <w:spacing w:line="360" w:lineRule="auto"/>
        <w:rPr>
          <w:rFonts w:cs="Times New Roman"/>
          <w:b/>
          <w:color w:val="auto"/>
          <w:sz w:val="52"/>
          <w:szCs w:val="52"/>
          <w:highlight w:val="none"/>
          <w:lang w:val="en-US" w:bidi="ar-SA"/>
        </w:rPr>
      </w:pPr>
      <w:r>
        <w:rPr>
          <w:rFonts w:cs="Times New Roman"/>
          <w:b/>
          <w:color w:val="auto"/>
          <w:sz w:val="52"/>
          <w:szCs w:val="52"/>
          <w:highlight w:val="none"/>
          <w:lang w:val="en-US" w:bidi="ar-SA"/>
        </w:rPr>
      </w:r>
      <w:r/>
    </w:p>
    <w:p>
      <w:pPr>
        <w:ind w:firstLine="521"/>
        <w:jc w:val="center"/>
        <w:spacing w:line="360" w:lineRule="auto"/>
        <w:rPr>
          <w:rFonts w:cs="Times New Roman"/>
          <w:b/>
          <w:color w:val="auto"/>
          <w:sz w:val="52"/>
          <w:szCs w:val="52"/>
          <w:highlight w:val="none"/>
          <w:lang w:val="en-US" w:bidi="ar-SA"/>
        </w:rPr>
      </w:pPr>
      <w:r>
        <w:rPr>
          <w:rFonts w:cs="Times New Roman"/>
          <w:b/>
          <w:color w:val="auto"/>
          <w:sz w:val="52"/>
          <w:szCs w:val="52"/>
          <w:highlight w:val="none"/>
          <w:lang w:val="en-US" w:bidi="ar-SA"/>
        </w:rPr>
      </w:r>
      <w:r/>
    </w:p>
    <w:p>
      <w:pPr>
        <w:ind w:firstLine="521"/>
        <w:jc w:val="center"/>
        <w:spacing w:line="360" w:lineRule="auto"/>
        <w:rPr>
          <w:rFonts w:cs="Times New Roman"/>
          <w:b/>
          <w:color w:val="auto"/>
          <w:sz w:val="52"/>
          <w:szCs w:val="52"/>
          <w:highlight w:val="none"/>
          <w:lang w:val="en-US" w:bidi="ar-SA"/>
        </w:rPr>
      </w:pPr>
      <w:r>
        <w:rPr>
          <w:rFonts w:cs="Times New Roman"/>
          <w:b/>
          <w:color w:val="auto"/>
          <w:sz w:val="52"/>
          <w:szCs w:val="52"/>
          <w:highlight w:val="none"/>
          <w:lang w:val="en-US" w:bidi="ar-SA"/>
        </w:rPr>
      </w:r>
      <w:r/>
    </w:p>
    <w:p>
      <w:pPr>
        <w:ind w:firstLine="721"/>
        <w:jc w:val="center"/>
        <w:spacing w:line="360" w:lineRule="auto"/>
        <w:rPr>
          <w:rFonts w:cs="Times New Roman"/>
          <w:b/>
          <w:color w:val="auto"/>
          <w:sz w:val="72"/>
          <w:szCs w:val="52"/>
          <w:highlight w:val="none"/>
          <w:lang w:val="en-US" w:bidi="ar-SA"/>
        </w:rPr>
      </w:pPr>
      <w:r>
        <w:rPr>
          <w:rFonts w:cs="Times New Roman"/>
          <w:b/>
          <w:color w:val="auto"/>
          <w:sz w:val="72"/>
          <w:szCs w:val="52"/>
          <w:highlight w:val="none"/>
          <w:lang w:val="en-US" w:bidi="ar-SA"/>
        </w:rPr>
        <w:t xml:space="preserve">建设工程施工合同</w:t>
      </w:r>
      <w:r/>
    </w:p>
    <w:p>
      <w:pPr>
        <w:jc w:val="both"/>
        <w:keepLines/>
        <w:keepNext/>
        <w:spacing w:before="120" w:after="120"/>
        <w:rPr>
          <w:rFonts w:ascii="Cambria" w:hAnsi="Cambria" w:cs="Times New Roman"/>
          <w:b/>
          <w:bCs/>
          <w:color w:val="auto"/>
          <w:sz w:val="28"/>
          <w:szCs w:val="28"/>
          <w:highlight w:val="none"/>
          <w:lang w:val="en-US" w:bidi="ar-SA"/>
        </w:rPr>
        <w:outlineLvl w:val="3"/>
      </w:pPr>
      <w:r>
        <w:rPr>
          <w:rFonts w:ascii="Cambria" w:hAnsi="Cambria" w:cs="Times New Roman"/>
          <w:b/>
          <w:bCs/>
          <w:color w:val="auto"/>
          <w:sz w:val="28"/>
          <w:szCs w:val="28"/>
          <w:highlight w:val="none"/>
          <w:lang w:val="en-US" w:bidi="ar-SA"/>
        </w:rPr>
      </w:r>
      <w:r/>
    </w:p>
    <w:p>
      <w:pPr>
        <w:ind w:firstLine="521"/>
        <w:jc w:val="center"/>
        <w:spacing w:line="360" w:lineRule="auto"/>
        <w:rPr>
          <w:rFonts w:cs="Times New Roman"/>
          <w:b/>
          <w:color w:val="auto"/>
          <w:sz w:val="52"/>
          <w:szCs w:val="52"/>
          <w:highlight w:val="none"/>
          <w:lang w:val="en-US" w:bidi="ar-SA"/>
        </w:rPr>
      </w:pPr>
      <w:r>
        <w:rPr>
          <w:rFonts w:cs="Times New Roman"/>
          <w:b/>
          <w:color w:val="auto"/>
          <w:sz w:val="52"/>
          <w:szCs w:val="52"/>
          <w:highlight w:val="none"/>
          <w:lang w:val="en-US" w:bidi="ar-SA"/>
        </w:rPr>
      </w:r>
      <w:r/>
    </w:p>
    <w:p>
      <w:pPr>
        <w:ind w:firstLine="723"/>
        <w:jc w:val="center"/>
        <w:spacing w:line="360" w:lineRule="auto"/>
        <w:rPr>
          <w:rFonts w:cs="Times New Roman"/>
          <w:b/>
          <w:color w:val="auto"/>
          <w:sz w:val="72"/>
          <w:szCs w:val="72"/>
          <w:highlight w:val="none"/>
          <w:lang w:val="en-US" w:bidi="ar-SA"/>
        </w:rPr>
      </w:pPr>
      <w:r>
        <w:rPr>
          <w:rFonts w:cs="Times New Roman"/>
          <w:b/>
          <w:color w:val="auto"/>
          <w:sz w:val="72"/>
          <w:szCs w:val="72"/>
          <w:highlight w:val="none"/>
          <w:lang w:val="en-US" w:bidi="ar-SA"/>
        </w:rPr>
      </w:r>
      <w:r/>
    </w:p>
    <w:p>
      <w:pPr>
        <w:ind w:firstLine="723"/>
        <w:jc w:val="center"/>
        <w:spacing w:line="360" w:lineRule="auto"/>
        <w:rPr>
          <w:rFonts w:cs="Times New Roman"/>
          <w:b/>
          <w:color w:val="auto"/>
          <w:sz w:val="72"/>
          <w:szCs w:val="72"/>
          <w:highlight w:val="none"/>
          <w:lang w:val="en-US" w:bidi="ar-SA"/>
        </w:rPr>
      </w:pPr>
      <w:r>
        <w:rPr>
          <w:rFonts w:cs="Times New Roman"/>
          <w:b/>
          <w:color w:val="auto"/>
          <w:sz w:val="72"/>
          <w:szCs w:val="72"/>
          <w:highlight w:val="none"/>
          <w:lang w:val="en-US" w:bidi="ar-SA"/>
        </w:rPr>
      </w:r>
      <w:r/>
    </w:p>
    <w:p>
      <w:pPr>
        <w:jc w:val="both"/>
        <w:spacing w:after="120"/>
        <w:rPr>
          <w:rFonts w:ascii="Times New Roman" w:hAnsi="Times New Roman" w:cs="Times New Roman"/>
          <w:color w:val="auto"/>
          <w:sz w:val="20"/>
          <w:highlight w:val="none"/>
          <w:lang w:val="en-US" w:bidi="ar-SA"/>
        </w:rPr>
      </w:pPr>
      <w:r>
        <w:rPr>
          <w:rFonts w:ascii="Times New Roman" w:hAnsi="Times New Roman" w:cs="Times New Roman"/>
          <w:color w:val="auto"/>
          <w:sz w:val="20"/>
          <w:highlight w:val="none"/>
          <w:lang w:val="en-US" w:bidi="ar-SA"/>
        </w:rPr>
      </w:r>
      <w:r/>
    </w:p>
    <w:p>
      <w:pPr>
        <w:jc w:val="both"/>
        <w:rPr>
          <w:rFonts w:ascii="Times New Roman" w:hAnsi="Times New Roman" w:cs="Times New Roman"/>
          <w:color w:val="auto"/>
          <w:sz w:val="21"/>
          <w:szCs w:val="20"/>
          <w:highlight w:val="none"/>
          <w:lang w:val="en-US" w:bidi="ar-SA"/>
        </w:rPr>
      </w:pPr>
      <w:r>
        <w:rPr>
          <w:rFonts w:ascii="Times New Roman" w:hAnsi="Times New Roman" w:cs="Times New Roman"/>
          <w:color w:val="auto"/>
          <w:sz w:val="21"/>
          <w:szCs w:val="20"/>
          <w:highlight w:val="none"/>
          <w:lang w:val="en-US" w:bidi="ar-SA"/>
        </w:rPr>
      </w:r>
      <w:r/>
    </w:p>
    <w:p>
      <w:pPr>
        <w:jc w:val="both"/>
        <w:spacing w:after="120"/>
        <w:rPr>
          <w:rFonts w:ascii="Times New Roman" w:hAnsi="Times New Roman" w:cs="Times New Roman"/>
          <w:color w:val="auto"/>
          <w:sz w:val="20"/>
          <w:highlight w:val="none"/>
          <w:lang w:val="en-US" w:bidi="ar-SA"/>
        </w:rPr>
      </w:pPr>
      <w:r>
        <w:rPr>
          <w:rFonts w:ascii="Times New Roman" w:hAnsi="Times New Roman" w:cs="Times New Roman"/>
          <w:color w:val="auto"/>
          <w:sz w:val="20"/>
          <w:highlight w:val="none"/>
          <w:lang w:val="en-US" w:bidi="ar-SA"/>
        </w:rPr>
      </w:r>
      <w:r/>
    </w:p>
    <w:p>
      <w:pPr>
        <w:jc w:val="both"/>
        <w:rPr>
          <w:rFonts w:ascii="Times New Roman" w:hAnsi="Times New Roman" w:cs="Times New Roman"/>
          <w:color w:val="auto"/>
          <w:sz w:val="21"/>
          <w:szCs w:val="20"/>
          <w:highlight w:val="none"/>
          <w:lang w:val="en-US" w:bidi="ar-SA"/>
        </w:rPr>
      </w:pPr>
      <w:r>
        <w:rPr>
          <w:rFonts w:ascii="Times New Roman" w:hAnsi="Times New Roman" w:cs="Times New Roman"/>
          <w:color w:val="auto"/>
          <w:sz w:val="21"/>
          <w:szCs w:val="20"/>
          <w:highlight w:val="none"/>
          <w:lang w:val="en-US" w:bidi="ar-SA"/>
        </w:rPr>
      </w:r>
      <w:r/>
    </w:p>
    <w:p>
      <w:pPr>
        <w:jc w:val="both"/>
        <w:spacing w:after="120"/>
        <w:rPr>
          <w:rFonts w:ascii="Times New Roman" w:hAnsi="Times New Roman" w:cs="Times New Roman"/>
          <w:color w:val="auto"/>
          <w:sz w:val="20"/>
          <w:highlight w:val="none"/>
          <w:lang w:val="en-US" w:bidi="ar-SA"/>
        </w:rPr>
      </w:pPr>
      <w:r>
        <w:rPr>
          <w:rFonts w:ascii="Times New Roman" w:hAnsi="Times New Roman" w:cs="Times New Roman"/>
          <w:color w:val="auto"/>
          <w:sz w:val="20"/>
          <w:highlight w:val="none"/>
          <w:lang w:val="en-US" w:bidi="ar-SA"/>
        </w:rPr>
      </w:r>
      <w:r/>
    </w:p>
    <w:p>
      <w:pPr>
        <w:jc w:val="both"/>
        <w:rPr>
          <w:rFonts w:ascii="Times New Roman" w:hAnsi="Times New Roman" w:cs="Times New Roman"/>
          <w:color w:val="auto"/>
          <w:sz w:val="21"/>
          <w:szCs w:val="20"/>
          <w:highlight w:val="none"/>
          <w:lang w:val="en-US" w:bidi="ar-SA"/>
        </w:rPr>
      </w:pPr>
      <w:r>
        <w:rPr>
          <w:rFonts w:ascii="Times New Roman" w:hAnsi="Times New Roman" w:cs="Times New Roman"/>
          <w:color w:val="auto"/>
          <w:sz w:val="21"/>
          <w:szCs w:val="20"/>
          <w:highlight w:val="none"/>
          <w:lang w:val="en-US" w:bidi="ar-SA"/>
        </w:rPr>
      </w:r>
      <w:r/>
    </w:p>
    <w:p>
      <w:pPr>
        <w:ind w:firstLine="281"/>
        <w:jc w:val="both"/>
        <w:spacing w:line="360" w:lineRule="auto"/>
        <w:rPr>
          <w:rFonts w:cs="Times New Roman"/>
          <w:b/>
          <w:color w:val="auto"/>
          <w:sz w:val="28"/>
          <w:szCs w:val="28"/>
          <w:highlight w:val="none"/>
          <w:lang w:val="en-US" w:bidi="ar-SA"/>
        </w:rPr>
      </w:pPr>
      <w:r>
        <w:rPr>
          <w:rFonts w:cs="Times New Roman"/>
          <w:color w:val="auto"/>
          <w:sz w:val="21"/>
          <w:szCs w:val="24"/>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3811905</wp:posOffset>
                </wp:positionH>
                <wp:positionV relativeFrom="paragraph">
                  <wp:posOffset>318770</wp:posOffset>
                </wp:positionV>
                <wp:extent cx="642620" cy="1418590"/>
                <wp:effectExtent l="4445" t="4445" r="8255" b="9525"/>
                <wp:wrapNone/>
                <wp:docPr id="6"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84505" cy="306070"/>
                        </a:xfrm>
                        <a:prstGeom prst="rect">
                          <a:avLst/>
                        </a:prstGeom>
                        <a:noFill/>
                        <a:ln w="9525">
                          <a:solidFill>
                            <a:srgbClr val="FFFFFF"/>
                          </a:solidFill>
                          <a:miter lim="800000"/>
                        </a:ln>
                        <a:effectLst/>
                      </wps:spPr>
                      <wps:txbx>
                        <w:txbxContent>
                          <w:p>
                            <w:pPr>
                              <w:pStyle w:val="1477"/>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0288;o:allowoverlap:true;o:allowincell:true;mso-position-horizontal-relative:text;margin-left:300.1pt;mso-position-horizontal:absolute;mso-position-vertical-relative:text;margin-top:25.1pt;mso-position-vertical:absolute;width:50.6pt;height:111.7pt;mso-wrap-distance-left:9.0pt;mso-wrap-distance-top:0.0pt;mso-wrap-distance-right:9.0pt;mso-wrap-distance-bottom:0.0pt;v-text-anchor:top;visibility:visible;" filled="f" strokecolor="#FFFFFF" strokeweight="0.75pt">
                <v:textbox inset="0,0,0,0">
                  <w:txbxContent>
                    <w:p>
                      <w:pPr>
                        <w:pStyle w:val="1477"/>
                        <w:rPr>
                          <w:b/>
                          <w:bCs/>
                          <w:sz w:val="32"/>
                        </w:rPr>
                      </w:pPr>
                      <w:r>
                        <w:rPr>
                          <w:rFonts w:hint="eastAsia"/>
                          <w:b/>
                          <w:bCs/>
                          <w:sz w:val="32"/>
                        </w:rPr>
                        <w:t xml:space="preserve">制定</w:t>
                      </w:r>
                      <w:r/>
                    </w:p>
                  </w:txbxContent>
                </v:textbox>
              </v:shape>
            </w:pict>
          </mc:Fallback>
        </mc:AlternateContent>
      </w:r>
      <w:r/>
    </w:p>
    <w:p>
      <w:pPr>
        <w:ind w:right="2849" w:firstLine="2409"/>
        <w:jc w:val="both"/>
        <w:spacing w:line="360" w:lineRule="auto"/>
        <w:rPr>
          <w:rFonts w:cs="Times New Roman"/>
          <w:b/>
          <w:color w:val="auto"/>
          <w:sz w:val="32"/>
          <w:szCs w:val="28"/>
          <w:highlight w:val="none"/>
          <w:lang w:val="en-US" w:bidi="ar-SA"/>
        </w:rPr>
      </w:pPr>
      <w:r>
        <w:rPr>
          <w:rFonts w:cs="Times New Roman"/>
          <w:b/>
          <w:color w:val="auto"/>
          <w:sz w:val="32"/>
          <w:szCs w:val="28"/>
          <w:highlight w:val="none"/>
          <w:lang w:val="en-US" w:bidi="ar-SA"/>
        </w:rPr>
        <w:t xml:space="preserve">住房和城乡建设部</w:t>
      </w:r>
      <w:r/>
    </w:p>
    <w:p>
      <w:pPr>
        <w:ind w:right="2849" w:firstLine="1928"/>
        <w:jc w:val="both"/>
        <w:spacing w:line="360" w:lineRule="auto"/>
        <w:rPr>
          <w:rFonts w:cs="Times New Roman"/>
          <w:b/>
          <w:color w:val="auto"/>
          <w:sz w:val="32"/>
          <w:szCs w:val="28"/>
          <w:highlight w:val="none"/>
          <w:lang w:val="en-US" w:bidi="ar-SA"/>
        </w:rPr>
      </w:pPr>
      <w:r>
        <w:rPr>
          <w:rFonts w:cs="Times New Roman"/>
          <w:b/>
          <w:color w:val="auto"/>
          <w:sz w:val="32"/>
          <w:szCs w:val="28"/>
          <w:highlight w:val="none"/>
          <w:lang w:val="en-US" w:bidi="ar-SA"/>
        </w:rPr>
        <w:t xml:space="preserve">国家工商行政管理总局</w:t>
      </w:r>
      <w:r/>
    </w:p>
    <w:p>
      <w:pPr>
        <w:jc w:val="center"/>
        <w:rPr>
          <w:rFonts w:ascii="Times New Roman" w:hAnsi="Times New Roman" w:cs="Times New Roman"/>
          <w:b/>
          <w:bCs/>
          <w:color w:val="auto"/>
          <w:sz w:val="32"/>
          <w:szCs w:val="32"/>
          <w:highlight w:val="none"/>
          <w:lang w:val="en-US" w:bidi="ar-SA"/>
        </w:rPr>
      </w:pPr>
      <w:r>
        <w:rPr>
          <w:rFonts w:cs="Times New Roman"/>
          <w:color w:val="auto"/>
          <w:sz w:val="30"/>
          <w:szCs w:val="30"/>
          <w:highlight w:val="none"/>
          <w:lang w:val="en-US" w:bidi="ar-SA"/>
        </w:rPr>
        <w:br w:type="page" w:clear="all"/>
      </w:r>
      <w:r>
        <w:rPr>
          <w:rFonts w:hint="eastAsia" w:ascii="Times New Roman" w:hAnsi="Times New Roman" w:cs="Times New Roman"/>
          <w:b/>
          <w:bCs/>
          <w:color w:val="auto"/>
          <w:sz w:val="32"/>
          <w:szCs w:val="32"/>
          <w:highlight w:val="none"/>
          <w:lang w:val="en-US" w:bidi="ar-SA"/>
        </w:rPr>
        <w:t xml:space="preserve">第一部分 合同协议书</w:t>
      </w:r>
      <w:r/>
    </w:p>
    <w:p>
      <w:pPr>
        <w:jc w:val="center"/>
        <w:rPr>
          <w:rFonts w:ascii="Times New Roman" w:hAnsi="Times New Roman" w:cs="Times New Roman"/>
          <w:b/>
          <w:bCs/>
          <w:color w:val="auto"/>
          <w:sz w:val="32"/>
          <w:szCs w:val="32"/>
          <w:highlight w:val="none"/>
          <w:lang w:val="en-US" w:bidi="ar-SA"/>
        </w:rPr>
      </w:pPr>
      <w:r>
        <w:rPr>
          <w:rFonts w:ascii="Times New Roman" w:hAnsi="Times New Roman" w:cs="Times New Roman"/>
          <w:b/>
          <w:bCs/>
          <w:color w:val="auto"/>
          <w:sz w:val="32"/>
          <w:szCs w:val="32"/>
          <w:highlight w:val="none"/>
          <w:lang w:val="en-US" w:bidi="ar-SA"/>
        </w:rPr>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发包人（全称）：</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承包人（全称）：</w:t>
      </w:r>
      <w:r/>
    </w:p>
    <w:p>
      <w:pPr>
        <w:ind w:firstLine="420"/>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根据《中华人民共和国民法典》、《中华人民共和国建筑法》及有关法律规定，遵循平等、自愿、公平和诚实信用的原则，双方就</w:t>
      </w:r>
      <w:r>
        <w:rPr>
          <w:rFonts w:hint="eastAsia" w:ascii="Times New Roman" w:hAnsi="Times New Roman" w:cs="Times New Roman"/>
          <w:b/>
          <w:color w:val="auto"/>
          <w:sz w:val="21"/>
          <w:szCs w:val="20"/>
          <w:highlight w:val="none"/>
          <w:u w:val="single"/>
          <w:lang w:val="en-US" w:bidi="ar-SA"/>
        </w:rPr>
        <w:t xml:space="preserve">南京中医药大学青春剧场整体改造项目（项目编号：          ）</w:t>
      </w:r>
      <w:r>
        <w:rPr>
          <w:rFonts w:hint="eastAsia" w:ascii="Times New Roman" w:hAnsi="Times New Roman" w:cs="Times New Roman"/>
          <w:color w:val="auto"/>
          <w:sz w:val="21"/>
          <w:szCs w:val="20"/>
          <w:highlight w:val="none"/>
          <w:lang w:val="en-US" w:bidi="ar-SA"/>
        </w:rPr>
        <w:t xml:space="preserve">及有关事项协商一致，共同达成如下协议：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一、工程概况</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1.工程名称：                          </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2.工程地点：                          </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3.工程立项批准文号：/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4.资金来源：</w:t>
      </w:r>
      <w:r>
        <w:rPr>
          <w:rFonts w:hint="eastAsia" w:ascii="Times New Roman" w:hAnsi="Times New Roman" w:cs="Times New Roman"/>
          <w:color w:val="auto"/>
          <w:sz w:val="21"/>
          <w:szCs w:val="20"/>
          <w:highlight w:val="none"/>
          <w:u w:val="single"/>
          <w:lang w:val="en-US" w:bidi="ar-SA"/>
        </w:rPr>
        <w:t xml:space="preserve">财政资金</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5.工程内容：                                                                    </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群体工程应附《承包人承揽工程项目一览表》</w:t>
      </w:r>
      <w:r/>
    </w:p>
    <w:p>
      <w:pPr>
        <w:numPr>
          <w:ilvl w:val="0"/>
          <w:numId w:val="23"/>
        </w:num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工程承包范围：</w:t>
      </w:r>
      <w:r>
        <w:rPr>
          <w:rFonts w:hint="eastAsia" w:ascii="Times New Roman" w:hAnsi="Times New Roman" w:cs="Times New Roman"/>
          <w:color w:val="auto"/>
          <w:sz w:val="21"/>
          <w:szCs w:val="20"/>
          <w:highlight w:val="none"/>
          <w:u w:val="single"/>
          <w:lang w:val="en-US" w:bidi="ar-SA"/>
        </w:rPr>
        <w:t xml:space="preserve">详见施工图纸、工程量清单、招标或竞争性磋商项目的招标或竞争性磋商文件、投标文件等所示的全部工程内容。请承包人自行了解本工程周边环境及交通情况。</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二、合同工期</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计划开工日期：  年 月  日（暂定）。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计划竣工日期：  年 月  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工期总日历天数：</w:t>
      </w:r>
      <w:r>
        <w:rPr>
          <w:rFonts w:hint="eastAsia" w:ascii="Times New Roman" w:hAnsi="Times New Roman" w:cs="Times New Roman"/>
          <w:color w:val="auto"/>
          <w:sz w:val="21"/>
          <w:szCs w:val="20"/>
          <w:highlight w:val="none"/>
          <w:u w:val="single"/>
          <w:lang w:val="en-US" w:bidi="ar-SA"/>
        </w:rPr>
        <w:t xml:space="preserve">   日历天</w:t>
      </w:r>
      <w:r>
        <w:rPr>
          <w:rFonts w:hint="eastAsia" w:ascii="Times New Roman" w:hAnsi="Times New Roman" w:cs="Times New Roman"/>
          <w:color w:val="auto"/>
          <w:sz w:val="21"/>
          <w:szCs w:val="20"/>
          <w:highlight w:val="none"/>
          <w:lang w:val="en-US" w:bidi="ar-SA"/>
        </w:rPr>
        <w:t xml:space="preserve">。工期总日历天数与根据前述计划开竣工日期计算的工期天数不一致的，以工期总日历天数为准，但应确保不迟于  年 月 日前全部施工完成。</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三、质量标准</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工程质量应符合</w:t>
      </w:r>
      <w:r>
        <w:rPr>
          <w:rFonts w:hint="eastAsia" w:ascii="Times New Roman" w:hAnsi="Times New Roman" w:cs="Times New Roman"/>
          <w:color w:val="auto"/>
          <w:sz w:val="21"/>
          <w:szCs w:val="20"/>
          <w:highlight w:val="none"/>
          <w:u w:val="single"/>
          <w:lang w:val="en-US" w:bidi="ar-SA"/>
        </w:rPr>
        <w:t xml:space="preserve">《建筑工程施工质量验收统一标准》等国家现行质量验收标准和本合同约定标准</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四、签约合同价与合同价格形式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1.签约合同价为：</w:t>
      </w:r>
      <w:r/>
    </w:p>
    <w:p>
      <w:pPr>
        <w:jc w:val="both"/>
        <w:spacing w:line="460" w:lineRule="exact"/>
        <w:rPr>
          <w:rFonts w:ascii="Times New Roman" w:hAnsi="Times New Roman" w:cs="Times New Roman"/>
          <w:strike/>
          <w:color w:val="auto"/>
          <w:sz w:val="21"/>
          <w:szCs w:val="20"/>
          <w:highlight w:val="none"/>
          <w:lang w:val="en-US" w:bidi="ar-SA"/>
        </w:rPr>
      </w:pPr>
      <w:r>
        <w:rPr>
          <w:rFonts w:ascii="Wingdings 2" w:hAnsi="Wingdings 2" w:eastAsia="Wingdings 2" w:cs="Wingdings 2"/>
          <w:color w:val="auto"/>
          <w:sz w:val="21"/>
          <w:szCs w:val="20"/>
          <w:highlight w:val="none"/>
          <w:lang w:val="en-US" w:bidi="ar-SA"/>
        </w:rPr>
        <w:t xml:space="preserve"></w:t>
      </w:r>
      <w:r>
        <w:rPr>
          <w:rFonts w:hint="eastAsia" w:ascii="Times New Roman" w:hAnsi="Times New Roman" w:cs="Times New Roman"/>
          <w:color w:val="auto"/>
          <w:sz w:val="21"/>
          <w:szCs w:val="20"/>
          <w:highlight w:val="none"/>
          <w:lang w:val="en-US" w:bidi="ar-SA"/>
        </w:rPr>
        <w:t xml:space="preserve">人民币</w:t>
      </w:r>
      <w:r>
        <w:rPr>
          <w:rFonts w:hint="eastAsia" w:ascii="Times New Roman" w:hAnsi="Times New Roman" w:cs="Times New Roman"/>
          <w:color w:val="auto"/>
          <w:sz w:val="21"/>
          <w:szCs w:val="20"/>
          <w:highlight w:val="none"/>
          <w:u w:val="single"/>
          <w:lang w:val="en-US" w:bidi="ar-SA"/>
        </w:rPr>
        <w:t xml:space="preserve">（大写）：        整(¥     ，含税），</w:t>
      </w:r>
      <w:r>
        <w:rPr>
          <w:rFonts w:hint="eastAsia" w:ascii="Times New Roman" w:hAnsi="Times New Roman" w:cs="Times New Roman"/>
          <w:color w:val="auto"/>
          <w:sz w:val="21"/>
          <w:szCs w:val="20"/>
          <w:highlight w:val="none"/>
          <w:lang w:val="en-US" w:bidi="ar-SA"/>
        </w:rPr>
        <w:t xml:space="preserve">双方确认本合同最终结算价以发包人单方审计的审定金额为准；</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其中：</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（1）安全文明施工费：</w:t>
      </w:r>
      <w:r/>
    </w:p>
    <w:p>
      <w:pPr>
        <w:jc w:val="both"/>
        <w:spacing w:line="460" w:lineRule="exact"/>
        <w:rPr>
          <w:rFonts w:ascii="Times New Roman" w:hAnsi="Times New Roman" w:cs="Times New Roman"/>
          <w:strike/>
          <w:color w:val="auto"/>
          <w:sz w:val="21"/>
          <w:szCs w:val="20"/>
          <w:highlight w:val="none"/>
          <w:lang w:val="en-US" w:bidi="ar-SA"/>
        </w:rPr>
      </w:pPr>
      <w:r>
        <w:rPr>
          <w:rFonts w:ascii="Wingdings 2" w:hAnsi="Wingdings 2" w:eastAsia="Wingdings 2" w:cs="Wingdings 2"/>
          <w:color w:val="auto"/>
          <w:sz w:val="21"/>
          <w:szCs w:val="20"/>
          <w:highlight w:val="none"/>
          <w:lang w:val="en-US" w:bidi="ar-SA"/>
        </w:rPr>
        <w:t xml:space="preserve"></w:t>
      </w:r>
      <w:r>
        <w:rPr>
          <w:rFonts w:hint="eastAsia" w:ascii="Times New Roman" w:hAnsi="Times New Roman" w:cs="Times New Roman"/>
          <w:color w:val="auto"/>
          <w:sz w:val="21"/>
          <w:szCs w:val="20"/>
          <w:highlight w:val="none"/>
          <w:lang w:val="en-US" w:bidi="ar-SA"/>
        </w:rPr>
        <w:t xml:space="preserve">人民币</w:t>
      </w:r>
      <w:r>
        <w:rPr>
          <w:rFonts w:hint="eastAsia" w:ascii="Times New Roman" w:hAnsi="Times New Roman" w:cs="Times New Roman"/>
          <w:color w:val="auto"/>
          <w:sz w:val="21"/>
          <w:szCs w:val="20"/>
          <w:highlight w:val="none"/>
          <w:u w:val="single"/>
          <w:lang w:val="en-US" w:bidi="ar-SA"/>
        </w:rPr>
        <w:t xml:space="preserve">（大写：        ）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（2）材料和工程设备暂估价金额：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人民币（大写）</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 (¥</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元)；</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（3）专业工程暂估价金额：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人民币（大写）</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 (¥</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元)；</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（4）暂列金额：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人民币（大写）</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元)。</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2.合同价格形式：</w:t>
      </w:r>
      <w:r>
        <w:rPr>
          <w:rFonts w:hint="eastAsia" w:ascii="Times New Roman" w:hAnsi="Times New Roman" w:cs="Times New Roman"/>
          <w:color w:val="auto"/>
          <w:sz w:val="21"/>
          <w:szCs w:val="20"/>
          <w:highlight w:val="none"/>
          <w:u w:val="single"/>
          <w:lang w:val="en-US" w:bidi="ar-SA"/>
        </w:rPr>
        <w:t xml:space="preserve">固定综合单价合同</w:t>
      </w:r>
      <w:r>
        <w:rPr>
          <w:rFonts w:hint="eastAsia" w:ascii="Times New Roman" w:hAnsi="Times New Roman" w:cs="Times New Roman"/>
          <w:color w:val="auto"/>
          <w:sz w:val="21"/>
          <w:szCs w:val="20"/>
          <w:highlight w:val="none"/>
          <w:lang w:val="en-US" w:bidi="ar-SA"/>
        </w:rPr>
        <w:t xml:space="preserve">。</w:t>
      </w:r>
      <w:r/>
    </w:p>
    <w:p>
      <w:pPr>
        <w:ind w:firstLine="420"/>
        <w:jc w:val="both"/>
        <w:spacing w:line="460" w:lineRule="exact"/>
        <w:rPr>
          <w:rFonts w:ascii="Times New Roman" w:hAnsi="Times New Roman" w:cs="Times New Roman"/>
          <w:b/>
          <w:bCs/>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按照施工图和工程量清单采取固定综合单价；任何情况下综合单价不变，决算时按实际工程量乘以综合单价计算。</w:t>
      </w:r>
      <w:r>
        <w:rPr>
          <w:rFonts w:hint="eastAsia" w:ascii="Times New Roman" w:hAnsi="Times New Roman" w:cs="Times New Roman"/>
          <w:b/>
          <w:bCs/>
          <w:color w:val="auto"/>
          <w:sz w:val="21"/>
          <w:szCs w:val="20"/>
          <w:highlight w:val="none"/>
          <w:u w:val="single"/>
          <w:lang w:val="en-US" w:bidi="ar-SA"/>
        </w:rPr>
        <w:t xml:space="preserve">非发包人需求且书面认可的变化导致的变更由承包人自行承担相关费用。</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五、项目经</w:t>
      </w:r>
      <w:r>
        <w:rPr>
          <w:rFonts w:hint="eastAsia" w:ascii="Times New Roman" w:hAnsi="Times New Roman" w:cs="Times New Roman"/>
          <w:color w:val="auto"/>
          <w:sz w:val="21"/>
          <w:szCs w:val="20"/>
          <w:highlight w:val="none"/>
          <w:u w:val="single"/>
          <w:lang w:val="en-US" w:bidi="ar-SA"/>
        </w:rPr>
        <w:t xml:space="preserve">理和项目其他主要管理人员（现场技术负责人、施工员、质量员、安全员、资料员）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承包人项目经理：</w:t>
      </w:r>
      <w:r>
        <w:rPr>
          <w:rFonts w:hint="eastAsia" w:ascii="Times New Roman" w:hAnsi="Times New Roman" w:cs="Times New Roman"/>
          <w:color w:val="auto"/>
          <w:sz w:val="21"/>
          <w:szCs w:val="20"/>
          <w:highlight w:val="none"/>
          <w:u w:val="single"/>
          <w:lang w:val="en-US" w:bidi="ar-SA"/>
        </w:rPr>
        <w:t xml:space="preserve">         ，联系方式：      </w:t>
      </w:r>
      <w:r>
        <w:rPr>
          <w:rFonts w:hint="eastAsia" w:ascii="Times New Roman" w:hAnsi="Times New Roman" w:cs="Times New Roman"/>
          <w:color w:val="auto"/>
          <w:sz w:val="21"/>
          <w:szCs w:val="20"/>
          <w:highlight w:val="none"/>
          <w:lang w:val="en-US" w:bidi="ar-SA"/>
        </w:rPr>
        <w:t xml:space="preserve">。</w:t>
      </w:r>
      <w:r/>
    </w:p>
    <w:p>
      <w:pPr>
        <w:jc w:val="both"/>
        <w:keepLines/>
        <w:keepNext/>
        <w:spacing w:before="120" w:after="120"/>
        <w:rPr>
          <w:rFonts w:ascii="Times New Roman" w:hAnsi="Times New Roman" w:cs="Times New Roman"/>
          <w:color w:val="auto"/>
          <w:sz w:val="21"/>
          <w:szCs w:val="20"/>
          <w:highlight w:val="none"/>
          <w:u w:val="single"/>
          <w:lang w:val="en-US" w:bidi="ar-SA"/>
        </w:rPr>
        <w:outlineLvl w:val="3"/>
      </w:pPr>
      <w:r>
        <w:rPr>
          <w:rFonts w:hint="eastAsia" w:ascii="Times New Roman" w:hAnsi="Times New Roman" w:cs="Times New Roman"/>
          <w:color w:val="auto"/>
          <w:sz w:val="21"/>
          <w:szCs w:val="20"/>
          <w:highlight w:val="none"/>
          <w:u w:val="single"/>
          <w:lang w:val="en-US" w:bidi="ar-SA"/>
        </w:rPr>
        <w:t xml:space="preserve">项目其他主要管理人员：       ，联系方式：       。【填写投标响应文件列明的现场技术负责人、施工员、质量员、安全员、资料员信息】</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六、合同文件构成</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本协议书与下列文件一起构成合同文件：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（1）中标通知书（如果有）；</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（2）投标函及其附录（如果有）；</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（3）专用合同条款及其附件；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（4）通用合同条款；</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（5）技术标准和要求；</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（6）图纸；</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（7）已标价工程量清单或预算书；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（8）其他合同文件。</w:t>
      </w:r>
      <w:r/>
    </w:p>
    <w:p>
      <w:pPr>
        <w:ind w:firstLine="420"/>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在合同订立及履行过程中形成的与合同有关的文件均构成合同文件组成部分。</w:t>
      </w:r>
      <w:r/>
    </w:p>
    <w:p>
      <w:pPr>
        <w:ind w:firstLine="420"/>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七、承诺</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1.发包人承诺按照法律规定履行项目审批手续、筹集工程建设资金并按照合同约定的期限和方式支付合同价款。</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2.承包人承诺按照法律规定及合同约定组织完成工程施工，确保工程质量和安全，不进行转包及违法分包，并在缺陷责任期及保修期内承担相应的工程维修责任。</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3.发包人和承包人通过招投标形式签订合同的，双方理解并承诺不再就同一工程另行签订与合同实质性内容相背离的协议。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八、词语含义</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本协议书中词语含义与第二部分通用合同条款中赋予的含义相同。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九、签订时间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本合同于 </w:t>
      </w:r>
      <w:r>
        <w:rPr>
          <w:rFonts w:hint="eastAsia" w:ascii="Times New Roman" w:hAnsi="Times New Roman" w:cs="Times New Roman"/>
          <w:color w:val="auto"/>
          <w:sz w:val="21"/>
          <w:szCs w:val="20"/>
          <w:highlight w:val="none"/>
          <w:u w:val="single"/>
          <w:lang w:val="en-US" w:bidi="ar-SA"/>
        </w:rPr>
        <w:t xml:space="preserve"> 年  月  日</w:t>
      </w:r>
      <w:r>
        <w:rPr>
          <w:rFonts w:hint="eastAsia" w:ascii="Times New Roman" w:hAnsi="Times New Roman" w:cs="Times New Roman"/>
          <w:color w:val="auto"/>
          <w:sz w:val="21"/>
          <w:szCs w:val="20"/>
          <w:highlight w:val="none"/>
          <w:lang w:val="en-US" w:bidi="ar-SA"/>
        </w:rPr>
        <w:t xml:space="preserve">签订。</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十、签订地点</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本合同在</w:t>
      </w:r>
      <w:r>
        <w:rPr>
          <w:rFonts w:hint="eastAsia" w:ascii="Times New Roman" w:hAnsi="Times New Roman" w:cs="Times New Roman"/>
          <w:color w:val="auto"/>
          <w:sz w:val="21"/>
          <w:szCs w:val="20"/>
          <w:highlight w:val="none"/>
          <w:u w:val="single"/>
          <w:lang w:val="en-US" w:bidi="ar-SA"/>
        </w:rPr>
        <w:t xml:space="preserve">南京市栖霞区仙林大道138号</w:t>
      </w:r>
      <w:r>
        <w:rPr>
          <w:rFonts w:hint="eastAsia" w:ascii="Times New Roman" w:hAnsi="Times New Roman" w:cs="Times New Roman"/>
          <w:color w:val="auto"/>
          <w:sz w:val="21"/>
          <w:szCs w:val="20"/>
          <w:highlight w:val="none"/>
          <w:lang w:val="en-US" w:bidi="ar-SA"/>
        </w:rPr>
        <w:t xml:space="preserve">签订。</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十一、补充协议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合同未尽事宜，合同当事人另行签订补充协议，补充协议是本合同的组成部分。</w:t>
      </w:r>
      <w:r>
        <w:rPr>
          <w:rFonts w:hint="eastAsia" w:ascii="Times New Roman" w:hAnsi="Times New Roman" w:cs="Times New Roman"/>
          <w:color w:val="auto"/>
          <w:sz w:val="21"/>
          <w:szCs w:val="20"/>
          <w:highlight w:val="none"/>
          <w:lang w:bidi="ar-SA"/>
        </w:rPr>
        <w:t xml:space="preserve">发包人需要在本工程项下追加部分项目的，在不改变合同其他条款的前提下，可以与承包人协商签订</w:t>
      </w:r>
      <w:r>
        <w:rPr>
          <w:rFonts w:hint="eastAsia" w:ascii="Times New Roman" w:hAnsi="Times New Roman" w:cs="Times New Roman"/>
          <w:color w:val="auto"/>
          <w:sz w:val="21"/>
          <w:szCs w:val="20"/>
          <w:highlight w:val="none"/>
          <w:lang w:val="en-US" w:bidi="ar-SA"/>
        </w:rPr>
        <w:t xml:space="preserve">书面</w:t>
      </w:r>
      <w:r>
        <w:rPr>
          <w:rFonts w:hint="eastAsia" w:ascii="Times New Roman" w:hAnsi="Times New Roman" w:cs="Times New Roman"/>
          <w:color w:val="auto"/>
          <w:sz w:val="21"/>
          <w:szCs w:val="20"/>
          <w:highlight w:val="none"/>
          <w:lang w:bidi="ar-SA"/>
        </w:rPr>
        <w:t xml:space="preserve">补充合同，但所有补充合同的合同价不得超过本合同合同价的</w:t>
      </w:r>
      <w:r>
        <w:rPr>
          <w:rFonts w:ascii="Times New Roman" w:hAnsi="Times New Roman" w:cs="Times New Roman"/>
          <w:color w:val="auto"/>
          <w:sz w:val="21"/>
          <w:szCs w:val="20"/>
          <w:highlight w:val="none"/>
          <w:lang w:bidi="ar-SA"/>
        </w:rPr>
        <w:t xml:space="preserve">10%</w:t>
      </w:r>
      <w:r>
        <w:rPr>
          <w:rFonts w:hint="eastAsia" w:ascii="Times New Roman" w:hAnsi="Times New Roman" w:cs="Times New Roman"/>
          <w:color w:val="auto"/>
          <w:sz w:val="21"/>
          <w:szCs w:val="20"/>
          <w:highlight w:val="none"/>
          <w:lang w:bidi="ar-SA"/>
        </w:rPr>
        <w:t xml:space="preserve">，且本合同价格和补充合同价格之和不得超过本项目采购预算。</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十二、合同生效</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本合同自</w:t>
      </w:r>
      <w:r>
        <w:rPr>
          <w:rFonts w:hint="eastAsia" w:ascii="Times New Roman" w:hAnsi="Times New Roman" w:cs="Times New Roman"/>
          <w:bCs/>
          <w:color w:val="auto"/>
          <w:sz w:val="21"/>
          <w:szCs w:val="20"/>
          <w:highlight w:val="none"/>
          <w:u w:val="single"/>
          <w:lang w:val="en-US" w:bidi="ar-SA"/>
        </w:rPr>
        <w:t xml:space="preserve">发包人、承包人双方法定代表人或其委托代理人签名并加盖单位印章（注：发包人加盖单位印章为发包人单位经济合同专用章）且发包人收到承包人按本合同约定提交的履约保证金后</w:t>
      </w:r>
      <w:r>
        <w:rPr>
          <w:rFonts w:hint="eastAsia" w:ascii="Times New Roman" w:hAnsi="Times New Roman" w:cs="Times New Roman"/>
          <w:bCs/>
          <w:color w:val="auto"/>
          <w:sz w:val="21"/>
          <w:szCs w:val="20"/>
          <w:highlight w:val="none"/>
          <w:lang w:val="en-US" w:bidi="ar-SA"/>
        </w:rPr>
        <w:t xml:space="preserve">生效</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十三、合同份数</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本合同一式</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份，均具有同等法律效力，发包人执</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份，承包人执 </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份。</w:t>
      </w:r>
      <w:r/>
    </w:p>
    <w:p>
      <w:pPr>
        <w:jc w:val="both"/>
        <w:spacing w:after="120"/>
        <w:rPr>
          <w:rFonts w:ascii="Times New Roman" w:hAnsi="Times New Roman" w:cs="Times New Roman"/>
          <w:color w:val="auto"/>
          <w:sz w:val="20"/>
          <w:highlight w:val="none"/>
          <w:lang w:val="en-US" w:bidi="ar-SA"/>
        </w:rPr>
      </w:pPr>
      <w:r>
        <w:rPr>
          <w:rFonts w:ascii="Times New Roman" w:hAnsi="Times New Roman" w:cs="Times New Roman"/>
          <w:color w:val="auto"/>
          <w:sz w:val="20"/>
          <w:highlight w:val="none"/>
          <w:lang w:val="en-US" w:bidi="ar-SA"/>
        </w:rPr>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 (盖章)                 承包人： (公章)</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法定代表人或其委托代理人：     法定代表人或其委托代理人：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（签字）                      （签字）</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统一社会信用代码:              统一社会信用代码：</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地址：                         地址：</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邮政编码：                     邮政编码：</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法定代表人：                   法定代表人：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委托代理人：                   委托代理人：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电话：                         电话：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传真：                         传真：</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电子信箱：                     电子信箱：</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开户银行：                     开户银行：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账号：                         账号：</w:t>
      </w:r>
      <w:r/>
    </w:p>
    <w:p>
      <w:pPr>
        <w:widowControl/>
        <w:rPr>
          <w:b/>
          <w:bCs/>
          <w:color w:val="auto"/>
          <w:sz w:val="28"/>
          <w:szCs w:val="28"/>
          <w:highlight w:val="none"/>
        </w:rPr>
        <w:sectPr>
          <w:footnotePr/>
          <w:endnotePr/>
          <w:type w:val="nextPage"/>
          <w:pgSz w:w="11906" w:h="16838" w:orient="portrait"/>
          <w:pgMar w:top="1440" w:right="1800" w:bottom="1440" w:left="1800" w:header="851" w:footer="992" w:gutter="0"/>
          <w:rtlGutter/>
          <w:cols w:num="1" w:sep="0" w:space="720" w:equalWidth="1"/>
          <w:docGrid w:linePitch="360"/>
        </w:sectPr>
      </w:pPr>
      <w:r>
        <w:rPr>
          <w:b/>
          <w:bCs/>
          <w:color w:val="auto"/>
          <w:sz w:val="28"/>
          <w:szCs w:val="28"/>
          <w:highlight w:val="none"/>
        </w:rPr>
      </w:r>
      <w:r/>
    </w:p>
    <w:p>
      <w:pPr>
        <w:jc w:val="center"/>
        <w:rPr>
          <w:rFonts w:ascii="Times New Roman" w:hAnsi="Times New Roman" w:cs="Times New Roman"/>
          <w:b/>
          <w:bCs/>
          <w:color w:val="auto"/>
          <w:sz w:val="28"/>
          <w:szCs w:val="28"/>
          <w:highlight w:val="none"/>
          <w:lang w:val="en-US" w:bidi="ar-SA"/>
        </w:rPr>
      </w:pPr>
      <w:r>
        <w:rPr>
          <w:rFonts w:hint="eastAsia" w:ascii="Times New Roman" w:hAnsi="Times New Roman" w:cs="Times New Roman"/>
          <w:b/>
          <w:bCs/>
          <w:color w:val="auto"/>
          <w:sz w:val="28"/>
          <w:szCs w:val="28"/>
          <w:highlight w:val="none"/>
          <w:lang w:val="en-US" w:bidi="ar-SA"/>
        </w:rPr>
        <w:t xml:space="preserve">第二部分通用合同条款</w:t>
      </w:r>
      <w:r/>
    </w:p>
    <w:p>
      <w:pPr>
        <w:jc w:val="center"/>
        <w:rPr>
          <w:rFonts w:ascii="Times New Roman" w:hAnsi="Times New Roman" w:cs="Times New Roman"/>
          <w:b/>
          <w:bCs/>
          <w:color w:val="auto"/>
          <w:sz w:val="21"/>
          <w:szCs w:val="20"/>
          <w:highlight w:val="none"/>
          <w:lang w:val="en-US" w:bidi="ar-SA"/>
        </w:rPr>
      </w:pPr>
      <w:r>
        <w:rPr>
          <w:rFonts w:ascii="Times New Roman" w:hAnsi="Times New Roman" w:cs="Times New Roman"/>
          <w:b/>
          <w:bCs/>
          <w:color w:val="auto"/>
          <w:sz w:val="21"/>
          <w:szCs w:val="20"/>
          <w:highlight w:val="none"/>
          <w:lang w:val="en-US" w:bidi="ar-SA"/>
        </w:rPr>
      </w:r>
      <w:r/>
    </w:p>
    <w:p>
      <w:pPr>
        <w:jc w:val="both"/>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此部分采用《建设工程施工合同》范本（GF—2017—0201）中《第二部分通用条款》。</w:t>
      </w:r>
      <w:r/>
    </w:p>
    <w:p>
      <w:pPr>
        <w:jc w:val="center"/>
        <w:rPr>
          <w:rFonts w:ascii="Times New Roman" w:hAnsi="Times New Roman" w:cs="Times New Roman"/>
          <w:b/>
          <w:bCs/>
          <w:color w:val="auto"/>
          <w:sz w:val="28"/>
          <w:szCs w:val="28"/>
          <w:highlight w:val="none"/>
          <w:lang w:val="en-US" w:bidi="ar-SA"/>
        </w:rPr>
      </w:pPr>
      <w:r>
        <w:rPr>
          <w:rFonts w:ascii="Times New Roman" w:hAnsi="Times New Roman" w:cs="Times New Roman"/>
          <w:b/>
          <w:bCs/>
          <w:color w:val="auto"/>
          <w:sz w:val="28"/>
          <w:szCs w:val="28"/>
          <w:highlight w:val="none"/>
          <w:lang w:val="en-US" w:bidi="ar-SA"/>
        </w:rPr>
      </w:r>
      <w:r/>
    </w:p>
    <w:p>
      <w:pPr>
        <w:jc w:val="center"/>
        <w:rPr>
          <w:rFonts w:ascii="Times New Roman" w:hAnsi="Times New Roman" w:cs="Times New Roman"/>
          <w:b/>
          <w:bCs/>
          <w:color w:val="auto"/>
          <w:sz w:val="28"/>
          <w:szCs w:val="28"/>
          <w:highlight w:val="none"/>
          <w:lang w:val="en-US" w:bidi="ar-SA"/>
        </w:rPr>
      </w:pPr>
      <w:r>
        <w:rPr>
          <w:rFonts w:hint="eastAsia" w:ascii="Times New Roman" w:hAnsi="Times New Roman" w:cs="Times New Roman"/>
          <w:b/>
          <w:bCs/>
          <w:color w:val="auto"/>
          <w:sz w:val="28"/>
          <w:szCs w:val="28"/>
          <w:highlight w:val="none"/>
          <w:lang w:val="en-US" w:bidi="ar-SA"/>
        </w:rPr>
        <w:t xml:space="preserve">第三部分专用合同条款</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 . 一般约定</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 词语定义</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1.1.1合同</w:t>
      </w:r>
      <w:r/>
    </w:p>
    <w:p>
      <w:pPr>
        <w:jc w:val="both"/>
        <w:spacing w:line="44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合同文件包括：（1）施工合同协议书；（2）中标通知书或成交通知书；（3）招标或竞争性磋商文件、投标书及其附件；（4）专用条款；（5）通用条款；（6）标准、规范及有关技术资料；（7）工程量清单；（8）工程报价单或预算书等履行合同过程中双方书面确认的对合同内容有实质性影响的文件以及会议纪要、签证、设计变更等资料。</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1.1.2 合同当事人及其他相关方</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1.1.2.1监理人：</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名称：；</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资质类别和等级：；</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联系电话：；</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电子信箱：；</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通信地址：。</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1.1.2.2设计人：</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名称：；</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资质类别和等级：；</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联系电话：；</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电子信箱：；</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通信地址：。</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1.1.3 工程和设备</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1.1.3.1作为施工现场组成部分的其他场所包括：</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1.1.3.2永久占地包括：</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1.1.3.3临时占地包括：</w:t>
      </w:r>
      <w:r>
        <w:rPr>
          <w:rFonts w:hint="eastAsia" w:ascii="Times New Roman" w:hAnsi="Times New Roman" w:cs="Times New Roman"/>
          <w:color w:val="auto"/>
          <w:sz w:val="21"/>
          <w:szCs w:val="20"/>
          <w:highlight w:val="none"/>
          <w:u w:val="single"/>
          <w:lang w:val="en-US" w:bidi="ar-SA"/>
        </w:rPr>
        <w:t xml:space="preserve">施工场地周围道路</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1.2法律</w:t>
      </w:r>
      <w:r/>
    </w:p>
    <w:p>
      <w:pPr>
        <w:jc w:val="both"/>
        <w:spacing w:line="44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适用于合同的其他规范性文件：</w:t>
      </w:r>
      <w:r>
        <w:rPr>
          <w:rFonts w:hint="eastAsia" w:ascii="Times New Roman" w:hAnsi="Times New Roman" w:cs="Times New Roman"/>
          <w:color w:val="auto"/>
          <w:sz w:val="21"/>
          <w:szCs w:val="20"/>
          <w:highlight w:val="none"/>
          <w:u w:val="single"/>
          <w:lang w:val="en-US" w:bidi="ar-SA"/>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1.3标准和规范</w:t>
      </w:r>
      <w:r/>
    </w:p>
    <w:p>
      <w:pPr>
        <w:jc w:val="both"/>
        <w:spacing w:line="44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1.3.1适用于工程的标准规范包括：</w:t>
      </w:r>
      <w:r>
        <w:rPr>
          <w:rFonts w:hint="eastAsia" w:ascii="Times New Roman" w:hAnsi="Times New Roman" w:cs="Times New Roman"/>
          <w:color w:val="auto"/>
          <w:sz w:val="21"/>
          <w:szCs w:val="20"/>
          <w:highlight w:val="none"/>
          <w:u w:val="single"/>
          <w:lang w:val="en-US" w:bidi="ar-SA"/>
        </w:rPr>
        <w:t xml:space="preserve">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1.3.2 发包人提供国外标准、规范的名称：</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发包人提供国外标准、规范的份数：</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发包人提供国外标准、规范的名称：</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1.3.3发包人对工程的技术标准和功能要求的特殊要求：</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1.4合同文件的优先顺序</w:t>
      </w:r>
      <w:r/>
    </w:p>
    <w:p>
      <w:pPr>
        <w:ind w:firstLine="420"/>
        <w:jc w:val="both"/>
        <w:spacing w:line="40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合同文件组成及优先顺序为：</w:t>
      </w:r>
      <w:r>
        <w:rPr>
          <w:rFonts w:hint="eastAsia" w:ascii="Times New Roman" w:hAnsi="Times New Roman" w:cs="Times New Roman"/>
          <w:color w:val="auto"/>
          <w:sz w:val="21"/>
          <w:szCs w:val="20"/>
          <w:highlight w:val="none"/>
          <w:u w:val="single"/>
          <w:lang w:val="en-US" w:bidi="ar-SA"/>
        </w:rPr>
        <w:t xml:space="preserve">（1）本施工合同协议书；（2）中标通知书或成交通知书；（3）本合同专用条款；（4）标准、规范及有关技术资料；（5）工程量清单；（6）工程报价单或预算书；（7）招标或竞争性磋商文件、投标书及其附件</w:t>
      </w:r>
      <w:r>
        <w:rPr>
          <w:rFonts w:hint="eastAsia" w:ascii="Times New Roman" w:hAnsi="Times New Roman" w:cs="Times New Roman"/>
          <w:color w:val="auto"/>
          <w:sz w:val="21"/>
          <w:szCs w:val="24"/>
          <w:highlight w:val="none"/>
          <w:u w:val="single"/>
          <w:lang w:val="en-US" w:bidi="ar-SA"/>
        </w:rPr>
        <w:t xml:space="preserve">（含：承包人投标过程所作承诺）；（8）本合同通用条款；（9）合同履行中，发包人承包人有关工程的洽商、变更等书面协议或文件视为本合同的组成</w:t>
      </w:r>
      <w:r>
        <w:rPr>
          <w:rFonts w:hint="eastAsia" w:ascii="Times New Roman" w:hAnsi="Times New Roman" w:cs="Times New Roman"/>
          <w:color w:val="auto"/>
          <w:sz w:val="21"/>
          <w:szCs w:val="20"/>
          <w:highlight w:val="none"/>
          <w:u w:val="single"/>
          <w:lang w:val="en-US" w:bidi="ar-SA"/>
        </w:rPr>
        <w:t xml:space="preserve">。</w:t>
      </w:r>
      <w:r/>
    </w:p>
    <w:p>
      <w:pPr>
        <w:ind w:firstLine="420"/>
        <w:jc w:val="both"/>
        <w:spacing w:line="400" w:lineRule="exact"/>
        <w:rPr>
          <w:rFonts w:ascii="Times New Roman" w:hAnsi="Times New Roman" w:cs="Times New Roman"/>
          <w:color w:val="auto"/>
          <w:sz w:val="21"/>
          <w:szCs w:val="24"/>
          <w:highlight w:val="none"/>
          <w:lang w:val="en-US" w:bidi="ar-SA"/>
        </w:rPr>
      </w:pPr>
      <w:r>
        <w:rPr>
          <w:rFonts w:hint="eastAsia" w:ascii="Times New Roman" w:hAnsi="Times New Roman" w:cs="Times New Roman"/>
          <w:color w:val="auto"/>
          <w:sz w:val="21"/>
          <w:szCs w:val="24"/>
          <w:highlight w:val="none"/>
          <w:lang w:val="en-US" w:bidi="ar-SA"/>
        </w:rPr>
        <w:t xml:space="preserve">上述各项合同文件包括合同当事人就该项合同文件所作出的补充和修改，属于同一类内容的文件，应以最新签署的为准。</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1.5图纸和承包人文件</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1.5.1 图纸的提供</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发包人向承包人提供图纸的期限：</w:t>
      </w:r>
      <w:r>
        <w:rPr>
          <w:rFonts w:hint="eastAsia" w:ascii="Times New Roman" w:hAnsi="Times New Roman" w:cs="Times New Roman"/>
          <w:color w:val="auto"/>
          <w:sz w:val="21"/>
          <w:szCs w:val="20"/>
          <w:highlight w:val="none"/>
          <w:u w:val="single"/>
          <w:lang w:val="en-US" w:bidi="ar-SA"/>
        </w:rPr>
        <w:t xml:space="preserve">开工前【 7 】日内提供施工图</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发包人向承包人提供图纸的数量：</w:t>
      </w:r>
      <w:r>
        <w:rPr>
          <w:rFonts w:hint="eastAsia" w:ascii="Times New Roman" w:hAnsi="Times New Roman" w:cs="Times New Roman"/>
          <w:color w:val="auto"/>
          <w:sz w:val="21"/>
          <w:szCs w:val="20"/>
          <w:highlight w:val="none"/>
          <w:u w:val="single"/>
          <w:lang w:val="en-US" w:bidi="ar-SA"/>
        </w:rPr>
        <w:t xml:space="preserve">纸质版叁套，如需加晒图纸承包人自行承担所有费用</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发包人向承包人提供图纸的内容：</w:t>
      </w:r>
      <w:r>
        <w:rPr>
          <w:rFonts w:hint="eastAsia" w:ascii="Times New Roman" w:hAnsi="Times New Roman" w:cs="Times New Roman"/>
          <w:color w:val="auto"/>
          <w:sz w:val="21"/>
          <w:szCs w:val="20"/>
          <w:highlight w:val="none"/>
          <w:u w:val="single"/>
          <w:lang w:val="en-US" w:bidi="ar-SA"/>
        </w:rPr>
        <w:t xml:space="preserve">全套施工图</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1.5.2承包人文件</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需要由承包人提供的文件，包括：</w:t>
      </w:r>
      <w:r>
        <w:rPr>
          <w:rFonts w:hint="eastAsia" w:ascii="Times New Roman" w:hAnsi="Times New Roman" w:cs="Times New Roman"/>
          <w:color w:val="auto"/>
          <w:sz w:val="21"/>
          <w:szCs w:val="20"/>
          <w:highlight w:val="none"/>
          <w:u w:val="single"/>
          <w:lang w:val="en-US" w:bidi="ar-SA"/>
        </w:rPr>
        <w:t xml:space="preserve">每七天分别向发包人及监理方提供详细的施工进度计划、已完工程量报表（含工程变更及签证算）、发包人供材料清单、承包人购材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w:t>
      </w:r>
      <w:r>
        <w:rPr>
          <w:rFonts w:hint="eastAsia" w:ascii="Times New Roman" w:hAnsi="Times New Roman" w:cs="Times New Roman"/>
          <w:color w:val="auto"/>
          <w:sz w:val="21"/>
          <w:szCs w:val="20"/>
          <w:highlight w:val="none"/>
          <w:lang w:val="en-US" w:bidi="ar-SA"/>
        </w:rPr>
        <w:t xml:space="preserve">需要由承包人提供的文件还包括：（1）设计变更、签证申请报告；（2）隐蔽工程和中间验收通知；（3）竣工验收申请报告；（4）竣工资料；（5）竣工结算申请单及结算资料；（6）最终结清申请单；</w:t>
      </w:r>
      <w:r>
        <w:rPr>
          <w:rFonts w:hint="eastAsia" w:ascii="Times New Roman" w:hAnsi="Times New Roman" w:cs="Times New Roman"/>
          <w:color w:val="auto"/>
          <w:sz w:val="21"/>
          <w:szCs w:val="20"/>
          <w:highlight w:val="none"/>
          <w:u w:val="single"/>
          <w:lang w:val="en-US" w:bidi="ar-SA"/>
        </w:rPr>
        <w:t xml:space="preserve">其他应监理人或发包人要求提交的其他报告、报表</w:t>
      </w:r>
      <w:r>
        <w:rPr>
          <w:rFonts w:hint="eastAsia" w:cs="仿宋"/>
          <w:color w:val="auto"/>
          <w:sz w:val="21"/>
          <w:szCs w:val="21"/>
          <w:highlight w:val="none"/>
          <w:u w:val="single"/>
          <w:lang w:val="en-US" w:bidi="ar-SA"/>
        </w:rPr>
        <w:t xml:space="preserve">：承包人应在正式施工前向发包人提供详细施工技术方案及未来清单报价表（含综合单价分析表等）并附光盘，经发包人审核</w:t>
      </w:r>
      <w:r>
        <w:rPr>
          <w:rFonts w:hint="eastAsia" w:eastAsia="Calibri" w:cs="仿宋"/>
          <w:color w:val="auto"/>
          <w:sz w:val="21"/>
          <w:szCs w:val="21"/>
          <w:highlight w:val="none"/>
          <w:u w:val="single"/>
          <w:lang w:val="en-US" w:bidi="ar-SA"/>
        </w:rPr>
        <w:t xml:space="preserve">书面</w:t>
      </w:r>
      <w:r>
        <w:rPr>
          <w:rFonts w:hint="eastAsia" w:cs="仿宋"/>
          <w:color w:val="auto"/>
          <w:sz w:val="21"/>
          <w:szCs w:val="21"/>
          <w:highlight w:val="none"/>
          <w:u w:val="single"/>
          <w:lang w:val="en-US" w:bidi="ar-SA"/>
        </w:rPr>
        <w:t xml:space="preserve">同意后方可进场施工。</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承包人提供的文件的期限为：除了上述第</w:t>
      </w:r>
      <w:r>
        <w:rPr>
          <w:rFonts w:ascii="Times New Roman" w:hAnsi="Times New Roman" w:cs="Times New Roman"/>
          <w:color w:val="auto"/>
          <w:sz w:val="21"/>
          <w:szCs w:val="20"/>
          <w:highlight w:val="none"/>
          <w:lang w:val="en-US" w:bidi="ar-SA"/>
        </w:rPr>
        <w:t xml:space="preserve">1.5.2条款规定的文件提交期限外</w:t>
      </w:r>
      <w:r>
        <w:rPr>
          <w:rFonts w:hint="eastAsia" w:ascii="Times New Roman" w:hAnsi="Times New Roman" w:cs="Times New Roman"/>
          <w:color w:val="auto"/>
          <w:sz w:val="21"/>
          <w:szCs w:val="20"/>
          <w:highlight w:val="none"/>
          <w:lang w:val="en-US" w:bidi="ar-SA"/>
        </w:rPr>
        <w:t xml:space="preserve">，</w:t>
      </w:r>
      <w:r>
        <w:rPr>
          <w:rFonts w:ascii="Times New Roman" w:hAnsi="Times New Roman" w:cs="Times New Roman"/>
          <w:color w:val="auto"/>
          <w:sz w:val="21"/>
          <w:szCs w:val="20"/>
          <w:highlight w:val="none"/>
          <w:lang w:val="en-US" w:bidi="ar-SA"/>
        </w:rPr>
        <w:t xml:space="preserve">其他文件提交时间为</w:t>
      </w:r>
      <w:r>
        <w:rPr>
          <w:rFonts w:hint="eastAsia" w:ascii="Times New Roman" w:hAnsi="Times New Roman" w:cs="MingLiU_HKSCS"/>
          <w:color w:val="auto"/>
          <w:sz w:val="21"/>
          <w:szCs w:val="20"/>
          <w:highlight w:val="none"/>
          <w:u w:val="single"/>
          <w:lang w:val="en-US" w:bidi="ar-SA"/>
        </w:rPr>
        <w:t xml:space="preserve">相关事件发生之日起3天内</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承包人提供的文件的数量为：</w:t>
      </w:r>
      <w:r>
        <w:rPr>
          <w:rFonts w:hint="eastAsia" w:ascii="Times New Roman" w:hAnsi="Times New Roman" w:cs="MingLiU_HKSCS"/>
          <w:color w:val="auto"/>
          <w:sz w:val="21"/>
          <w:szCs w:val="20"/>
          <w:highlight w:val="none"/>
          <w:u w:val="single"/>
          <w:lang w:val="en-US" w:bidi="ar-SA"/>
        </w:rPr>
        <w:t xml:space="preserve">一式叁份，交发包人和监理各一份，承包人留存一份</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承包人提供的文件的形式为：</w:t>
      </w:r>
      <w:r>
        <w:rPr>
          <w:rFonts w:hint="eastAsia" w:ascii="Times New Roman" w:hAnsi="Times New Roman" w:cs="Times New Roman"/>
          <w:color w:val="auto"/>
          <w:sz w:val="21"/>
          <w:szCs w:val="20"/>
          <w:highlight w:val="none"/>
          <w:u w:val="single"/>
          <w:lang w:val="en-US" w:bidi="ar-SA"/>
        </w:rPr>
        <w:t xml:space="preserve">书面形式</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发包人审批承包人文件的期限：</w:t>
      </w:r>
      <w:r>
        <w:rPr>
          <w:rFonts w:hint="eastAsia" w:ascii="Times New Roman" w:hAnsi="Times New Roman" w:cs="MingLiU_HKSCS"/>
          <w:color w:val="auto"/>
          <w:sz w:val="21"/>
          <w:szCs w:val="20"/>
          <w:highlight w:val="none"/>
          <w:u w:val="single"/>
          <w:lang w:val="en-US" w:bidi="ar-SA"/>
        </w:rPr>
        <w:t xml:space="preserve">发包人收到文件后14天内</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1.5.3现场图纸准备</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关于现场图纸准备的约定：</w:t>
      </w:r>
      <w:r>
        <w:rPr>
          <w:rFonts w:hint="eastAsia" w:ascii="Times New Roman" w:hAnsi="Times New Roman" w:cs="Times New Roman"/>
          <w:color w:val="auto"/>
          <w:sz w:val="21"/>
          <w:szCs w:val="20"/>
          <w:highlight w:val="none"/>
          <w:u w:val="single"/>
          <w:lang w:val="en-US" w:bidi="ar-SA"/>
        </w:rPr>
        <w:t xml:space="preserve">执行通用条款</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1.6联络</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1.6.1发包人和承包人应当在</w:t>
      </w:r>
      <w:r>
        <w:rPr>
          <w:rFonts w:hint="eastAsia" w:ascii="Times New Roman" w:hAnsi="Times New Roman" w:cs="Times New Roman"/>
          <w:color w:val="auto"/>
          <w:sz w:val="21"/>
          <w:szCs w:val="20"/>
          <w:highlight w:val="none"/>
          <w:u w:val="single"/>
          <w:lang w:val="en-US" w:bidi="ar-SA"/>
        </w:rPr>
        <w:t xml:space="preserve"> 3 </w:t>
      </w:r>
      <w:r>
        <w:rPr>
          <w:rFonts w:hint="eastAsia" w:ascii="Times New Roman" w:hAnsi="Times New Roman" w:cs="Times New Roman"/>
          <w:color w:val="auto"/>
          <w:sz w:val="21"/>
          <w:szCs w:val="20"/>
          <w:highlight w:val="none"/>
          <w:lang w:val="en-US" w:bidi="ar-SA"/>
        </w:rPr>
        <w:t xml:space="preserve">天内将与合同有关的通知、批准、证明、证书、指示、指令、要求、请求、同意、意见、确定和决定等书面函件送达对方当事人（但发包人审批承包人文件的期限为：发包人收到文件后14天内）。</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1.6.2 发包人接收文件的地点：</w:t>
      </w:r>
      <w:r>
        <w:rPr>
          <w:rFonts w:hint="eastAsia" w:ascii="Times New Roman" w:hAnsi="Times New Roman" w:cs="MingLiU_HKSCS"/>
          <w:color w:val="auto"/>
          <w:sz w:val="21"/>
          <w:szCs w:val="20"/>
          <w:highlight w:val="none"/>
          <w:u w:val="single"/>
          <w:lang w:val="en-US" w:bidi="ar-SA"/>
        </w:rPr>
        <w:t xml:space="preserve">南京中医药大学【仙林】校区发包人代表办公室</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发包人指定的接收人为：_____。</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承包人接收文件的地点：</w:t>
      </w:r>
      <w:r>
        <w:rPr>
          <w:rFonts w:hint="eastAsia" w:ascii="Times New Roman" w:hAnsi="Times New Roman" w:cs="Times New Roman"/>
          <w:color w:val="auto"/>
          <w:sz w:val="21"/>
          <w:szCs w:val="20"/>
          <w:highlight w:val="none"/>
          <w:u w:val="single"/>
          <w:lang w:val="en-US" w:bidi="ar-SA"/>
        </w:rPr>
        <w:t xml:space="preserve">项目现场</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承包人指定的接收人为：</w:t>
      </w:r>
      <w:r>
        <w:rPr>
          <w:rFonts w:hint="eastAsia" w:ascii="Times New Roman" w:hAnsi="Times New Roman" w:cs="Times New Roman"/>
          <w:color w:val="auto"/>
          <w:sz w:val="21"/>
          <w:szCs w:val="20"/>
          <w:highlight w:val="none"/>
          <w:u w:val="single"/>
          <w:lang w:val="en-US" w:bidi="ar-SA"/>
        </w:rPr>
        <w:t xml:space="preserve">项目经理***，联系方式***</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监理人接收文件的地点：</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监理人指定的接收人为：</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1.7交通运输</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 .7.1 出入现场的权利</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关于出入现场的权利的约定：</w:t>
      </w:r>
      <w:r>
        <w:rPr>
          <w:rFonts w:hint="eastAsia" w:ascii="Times New Roman" w:hAnsi="Times New Roman" w:cs="Times New Roman"/>
          <w:color w:val="auto"/>
          <w:sz w:val="21"/>
          <w:szCs w:val="20"/>
          <w:highlight w:val="none"/>
          <w:u w:val="single"/>
          <w:lang w:val="en-US" w:bidi="ar-SA"/>
        </w:rPr>
        <w:t xml:space="preserve">发包人项目负责人及主管领导、承包人项目组成员有权出入现场，禁止外单位施工车辆、人员出入工地</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 .7.2场内交通</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关于场外交通和场内交通的边界的约定：</w:t>
      </w:r>
      <w:r>
        <w:rPr>
          <w:rFonts w:hint="eastAsia" w:ascii="Times New Roman" w:hAnsi="Times New Roman" w:cs="Times New Roman"/>
          <w:color w:val="auto"/>
          <w:sz w:val="21"/>
          <w:szCs w:val="20"/>
          <w:highlight w:val="none"/>
          <w:u w:val="single"/>
          <w:lang w:val="en-US" w:bidi="ar-SA"/>
        </w:rPr>
        <w:t xml:space="preserve">视项目现场情况另行约定</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关于发包人向承包人免费提供满足工程施工需要的场内道路和交通设施的约定：。</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1.7.3超大件和超重件的运输</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运输超大件或超重件所需的道路和桥梁临时加固改造费用和其他有关费用由</w:t>
      </w:r>
      <w:r>
        <w:rPr>
          <w:rFonts w:hint="eastAsia" w:ascii="Times New Roman" w:hAnsi="Times New Roman" w:cs="Times New Roman"/>
          <w:color w:val="auto"/>
          <w:sz w:val="21"/>
          <w:szCs w:val="20"/>
          <w:highlight w:val="none"/>
          <w:u w:val="single"/>
          <w:lang w:val="en-US" w:bidi="ar-SA"/>
        </w:rPr>
        <w:t xml:space="preserve">承包人</w:t>
      </w:r>
      <w:r>
        <w:rPr>
          <w:rFonts w:hint="eastAsia" w:ascii="Times New Roman" w:hAnsi="Times New Roman" w:cs="Times New Roman"/>
          <w:color w:val="auto"/>
          <w:sz w:val="21"/>
          <w:szCs w:val="20"/>
          <w:highlight w:val="none"/>
          <w:lang w:val="en-US" w:bidi="ar-SA"/>
        </w:rPr>
        <w:t xml:space="preserve">承担。</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1.8知识产权</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cs="Times New Roman"/>
          <w:color w:val="auto"/>
          <w:sz w:val="21"/>
          <w:szCs w:val="20"/>
          <w:highlight w:val="none"/>
          <w:u w:val="single"/>
          <w:lang w:val="en-US" w:bidi="ar-SA"/>
        </w:rPr>
        <w:t xml:space="preserve">按照通用条款执行。</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关于发包人提供的上述文件的使用限制的要求：</w:t>
      </w:r>
      <w:r>
        <w:rPr>
          <w:rFonts w:hint="eastAsia" w:ascii="Times New Roman" w:hAnsi="Times New Roman" w:cs="Times New Roman"/>
          <w:color w:val="auto"/>
          <w:sz w:val="21"/>
          <w:szCs w:val="20"/>
          <w:highlight w:val="none"/>
          <w:u w:val="single"/>
          <w:lang w:val="en-US" w:bidi="ar-SA"/>
        </w:rPr>
        <w:t xml:space="preserve">仅限于此工程项目</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1.8.2 关于承包人为实施工程所编制文件的著作权的归属：</w:t>
      </w:r>
      <w:r>
        <w:rPr>
          <w:rFonts w:hint="eastAsia" w:ascii="Times New Roman" w:hAnsi="Times New Roman" w:cs="Times New Roman"/>
          <w:color w:val="auto"/>
          <w:sz w:val="21"/>
          <w:szCs w:val="20"/>
          <w:highlight w:val="none"/>
          <w:u w:val="single"/>
          <w:lang w:val="en-US" w:bidi="ar-SA"/>
        </w:rPr>
        <w:t xml:space="preserve">按照通用条款执行</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关于承包人提供的上述文件的使用限制的要求：</w:t>
      </w:r>
      <w:r>
        <w:rPr>
          <w:rFonts w:hint="eastAsia" w:ascii="Times New Roman" w:hAnsi="Times New Roman" w:cs="Times New Roman"/>
          <w:color w:val="auto"/>
          <w:sz w:val="21"/>
          <w:szCs w:val="20"/>
          <w:highlight w:val="none"/>
          <w:u w:val="single"/>
          <w:lang w:val="en-US" w:bidi="ar-SA"/>
        </w:rPr>
        <w:t xml:space="preserve">按照通用条款执行</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1.8.3承包人在施工过程中所采用的专利、专有技术、技术秘密的使用费的承担方式：</w:t>
      </w:r>
      <w:r>
        <w:rPr>
          <w:rFonts w:hint="eastAsia" w:ascii="Times New Roman" w:hAnsi="Times New Roman" w:cs="Times New Roman"/>
          <w:color w:val="auto"/>
          <w:sz w:val="21"/>
          <w:szCs w:val="20"/>
          <w:highlight w:val="none"/>
          <w:u w:val="single"/>
          <w:lang w:val="en-US" w:bidi="ar-SA"/>
        </w:rPr>
        <w:t xml:space="preserve">由承包人承担</w:t>
      </w:r>
      <w:r>
        <w:rPr>
          <w:rFonts w:hint="eastAsia" w:ascii="Times New Roman" w:hAnsi="Times New Roman" w:cs="Times New Roman"/>
          <w:color w:val="auto"/>
          <w:sz w:val="21"/>
          <w:szCs w:val="20"/>
          <w:highlight w:val="none"/>
          <w:lang w:val="en-US" w:bidi="ar-SA"/>
        </w:rPr>
        <w:t xml:space="preserve">。</w:t>
      </w:r>
      <w:r/>
    </w:p>
    <w:p>
      <w:pPr>
        <w:jc w:val="both"/>
        <w:spacing w:line="44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1.9工程量清单错误的修正</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当工程量清单存在缺项、漏项时，按下列规定调整合同价格。（1）已标价工程量清单有相同项目的，按照相同项目单价认定；（2）已标价工程量清单中无相同项目，但有类似项目的，参照类似项目的单价认定；</w:t>
      </w:r>
      <w:r/>
    </w:p>
    <w:p>
      <w:pPr>
        <w:jc w:val="both"/>
        <w:spacing w:line="460" w:lineRule="exact"/>
        <w:rPr>
          <w:rFonts w:ascii="Times New Roman" w:hAnsi="Times New Roman" w:cs="Times New Roman"/>
          <w:color w:val="auto"/>
          <w:sz w:val="21"/>
          <w:szCs w:val="20"/>
          <w:highlight w:val="none"/>
          <w:u w:val="single"/>
          <w:lang w:val="en-US" w:bidi="ar-SA"/>
        </w:rPr>
      </w:pPr>
      <w:r>
        <w:rPr>
          <w:rFonts w:ascii="Wingdings 2" w:hAnsi="Wingdings 2" w:eastAsia="Wingdings 2" w:cs="Wingdings 2"/>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u w:val="single"/>
          <w:lang w:val="en-US" w:bidi="ar-SA"/>
        </w:rPr>
        <w:t xml:space="preserve">（公开招标方式、竞磋无二次报价项目选择）</w:t>
      </w:r>
      <w:r/>
    </w:p>
    <w:p>
      <w:pPr>
        <w:numPr>
          <w:ilvl w:val="0"/>
          <w:numId w:val="24"/>
        </w:num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承包人报价浮动率 L=[1-（中标造价/采购控制价或最高限价）]× 100%；</w:t>
      </w:r>
      <w:r/>
    </w:p>
    <w:p>
      <w:pPr>
        <w:jc w:val="both"/>
        <w:spacing w:line="460" w:lineRule="exact"/>
        <w:rPr>
          <w:rFonts w:ascii="Times New Roman" w:hAnsi="Times New Roman" w:cs="Times New Roman"/>
          <w:color w:val="auto"/>
          <w:sz w:val="21"/>
          <w:szCs w:val="20"/>
          <w:highlight w:val="none"/>
          <w:u w:val="single"/>
          <w:lang w:val="en-US" w:bidi="ar-SA"/>
        </w:rPr>
      </w:pPr>
      <w:r>
        <w:rPr>
          <w:rFonts w:ascii="Wingdings 2" w:hAnsi="Wingdings 2" w:eastAsia="Wingdings 2" w:cs="Wingdings 2"/>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u w:val="single"/>
          <w:lang w:val="en-US" w:bidi="ar-SA"/>
        </w:rPr>
        <w:t xml:space="preserve">（竞磋存在二次报价项目选用）</w:t>
      </w:r>
      <w:r/>
    </w:p>
    <w:p>
      <w:pPr>
        <w:numPr>
          <w:ilvl w:val="0"/>
          <w:numId w:val="25"/>
        </w:num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已标价工程量清单中没有适用也没有类似于项目的，由承包人根据缺项、漏项内容、《江苏省建筑工程计价表》等现行省计价表以及南京市建筑委员会关于贯彻执行《建设工程量清单计价规范》(GB50500-2013)的通知规定计算，参照一次磋商报价中价格组成因素（相关费率、人工、材料、机械价格，如一次磋商报价中没有相应价格，依次按照南京工程造价管理的信息价格、市场询价次序确定）提出缺项、漏项项目的单价，报发包人及项目造价咨询人（跟踪审计单位）确认后，并执行中标金额相比一次磋商报价下浮比例，作为送审结算报价。</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允许调整合同价格的工程量偏差范围：</w:t>
      </w:r>
      <w:r>
        <w:rPr>
          <w:rFonts w:hint="eastAsia" w:ascii="Times New Roman" w:hAnsi="Times New Roman" w:cs="Times New Roman"/>
          <w:color w:val="auto"/>
          <w:sz w:val="21"/>
          <w:szCs w:val="20"/>
          <w:highlight w:val="none"/>
          <w:u w:val="single"/>
          <w:lang w:val="en-US" w:bidi="ar-SA"/>
        </w:rPr>
        <w:t xml:space="preserve">/ 。</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 . 发包人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2.1发包人代表</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发包人代表：</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姓名：；</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身份证号：；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职务：；</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联系电话：；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电子信箱：；</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通信地址：。</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发包人对发包人代表的授权范围如下：</w:t>
      </w:r>
      <w:r/>
    </w:p>
    <w:p>
      <w:pPr>
        <w:jc w:val="both"/>
        <w:spacing w:line="460" w:lineRule="exact"/>
        <w:rPr>
          <w:rFonts w:ascii="Times New Roman" w:hAnsi="Times New Roman" w:cs="Times New Roman"/>
          <w:b/>
          <w:bCs/>
          <w:color w:val="auto"/>
          <w:sz w:val="21"/>
          <w:szCs w:val="20"/>
          <w:highlight w:val="none"/>
          <w:u w:val="single"/>
          <w:lang w:val="en-US" w:bidi="ar-SA"/>
        </w:rPr>
      </w:pPr>
      <w:r>
        <w:rPr>
          <w:rFonts w:hint="eastAsia" w:ascii="Times New Roman" w:hAnsi="Times New Roman" w:cs="Times New Roman"/>
          <w:b/>
          <w:bCs/>
          <w:color w:val="auto"/>
          <w:sz w:val="21"/>
          <w:szCs w:val="20"/>
          <w:highlight w:val="none"/>
          <w:u w:val="single"/>
          <w:lang w:val="en-US" w:bidi="ar-SA"/>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2.2施工现场、施工条件和基础资料的提供</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2.2.1 提供施工现场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关于发包人移交施工现场的期限要求：</w:t>
      </w:r>
      <w:r>
        <w:rPr>
          <w:rFonts w:hint="eastAsia" w:ascii="Times New Roman" w:hAnsi="Times New Roman" w:cs="Times New Roman"/>
          <w:color w:val="auto"/>
          <w:sz w:val="21"/>
          <w:szCs w:val="20"/>
          <w:highlight w:val="none"/>
          <w:u w:val="single"/>
          <w:lang w:val="en-US" w:bidi="ar-SA"/>
        </w:rPr>
        <w:t xml:space="preserve">签订本合同，签署开工令后3日内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2.2.2 提供施工条件</w:t>
      </w:r>
      <w:r/>
    </w:p>
    <w:p>
      <w:pPr>
        <w:jc w:val="both"/>
        <w:rPr>
          <w:rFonts w:ascii="Calibri" w:hAnsi="Calibri" w:cs="Calibri"/>
          <w:color w:val="auto"/>
          <w:sz w:val="21"/>
          <w:szCs w:val="24"/>
          <w:highlight w:val="none"/>
          <w:u w:val="single"/>
          <w:lang w:val="en-US" w:bidi="ar-SA"/>
        </w:rPr>
      </w:pPr>
      <w:r>
        <w:rPr>
          <w:rFonts w:hint="eastAsia" w:cs="Times New Roman"/>
          <w:color w:val="auto"/>
          <w:sz w:val="21"/>
          <w:szCs w:val="21"/>
          <w:highlight w:val="none"/>
          <w:lang w:val="en-US" w:bidi="ar-SA"/>
        </w:rPr>
        <w:t xml:space="preserve">关于发包人应负责提供施工所需要的条件，包括</w:t>
      </w:r>
      <w:r>
        <w:rPr>
          <w:rFonts w:hint="eastAsia" w:ascii="Calibri" w:hAnsi="Calibri" w:cs="Calibri"/>
          <w:color w:val="auto"/>
          <w:sz w:val="21"/>
          <w:szCs w:val="24"/>
          <w:highlight w:val="none"/>
          <w:u w:val="single"/>
          <w:lang w:val="en-US" w:bidi="ar-SA"/>
        </w:rPr>
        <w:t xml:space="preserve">：关于资源占用量（含水电）的约定，按照现行有效的《南京中医药大学水电管理办法》执行，详见附件1。</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2.3资金来源证明及支付担保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发包人提供资金来源证明的期限要求：</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发包人是否提供支付担保：</w:t>
      </w:r>
      <w:r>
        <w:rPr>
          <w:rFonts w:hint="eastAsia" w:ascii="Times New Roman" w:hAnsi="Times New Roman" w:cs="Times New Roman"/>
          <w:color w:val="auto"/>
          <w:sz w:val="21"/>
          <w:szCs w:val="20"/>
          <w:highlight w:val="none"/>
          <w:u w:val="single"/>
          <w:lang w:val="en-US" w:bidi="ar-SA"/>
        </w:rPr>
        <w:t xml:space="preserve">否</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 . 承包人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3.1 承包人的一般义务</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（1）承包人提交的竣工资料的内容：</w:t>
      </w:r>
      <w:r>
        <w:rPr>
          <w:rFonts w:hint="eastAsia" w:ascii="Times New Roman" w:hAnsi="Times New Roman" w:cs="Times New Roman"/>
          <w:color w:val="auto"/>
          <w:sz w:val="21"/>
          <w:szCs w:val="20"/>
          <w:highlight w:val="none"/>
          <w:u w:val="single"/>
          <w:lang w:val="en-US" w:bidi="ar-SA"/>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承包人需要提交的竣工资料套数：</w:t>
      </w:r>
      <w:r>
        <w:rPr>
          <w:rFonts w:hint="eastAsia" w:ascii="Times New Roman" w:hAnsi="Times New Roman" w:cs="Times New Roman"/>
          <w:color w:val="auto"/>
          <w:sz w:val="21"/>
          <w:szCs w:val="20"/>
          <w:highlight w:val="none"/>
          <w:u w:val="single"/>
          <w:lang w:val="en-US" w:bidi="ar-SA"/>
        </w:rPr>
        <w:t xml:space="preserve">【叁】套完整的纸质竣工资料（另附竣工电子文件一套），其中包括竣工决算资料等</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承包人提交的竣工资料的费用承担：承包人</w:t>
      </w:r>
      <w:r>
        <w:rPr>
          <w:rFonts w:hint="eastAsia" w:ascii="Times New Roman" w:hAnsi="Times New Roman" w:cs="Times New Roman"/>
          <w:color w:val="auto"/>
          <w:sz w:val="21"/>
          <w:szCs w:val="20"/>
          <w:highlight w:val="none"/>
          <w:u w:val="single"/>
          <w:lang w:val="en-US" w:bidi="ar-SA"/>
        </w:rPr>
        <w:t xml:space="preserve">自行承担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承包人提交的竣工资料移交时间：</w:t>
      </w:r>
      <w:r>
        <w:rPr>
          <w:rFonts w:hint="eastAsia" w:ascii="Times New Roman" w:hAnsi="Times New Roman" w:cs="Times New Roman"/>
          <w:color w:val="auto"/>
          <w:sz w:val="21"/>
          <w:szCs w:val="20"/>
          <w:highlight w:val="none"/>
          <w:u w:val="single"/>
          <w:lang w:val="en-US" w:bidi="ar-SA"/>
        </w:rPr>
        <w:t xml:space="preserve">工程竣工验收合格后一周之内，承包人应向发包人递交竣工结算报告和完整的结算资料。</w:t>
      </w:r>
      <w:r/>
    </w:p>
    <w:p>
      <w:pPr>
        <w:jc w:val="both"/>
        <w:spacing w:line="360" w:lineRule="auto"/>
        <w:rPr>
          <w:rFonts w:ascii="Times New Roman" w:hAnsi="Times New Roman" w:cs="MingLiU_HKSCS"/>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承包人提交的竣工资料形式要求：</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MingLiU_HKSCS"/>
          <w:color w:val="auto"/>
          <w:sz w:val="21"/>
          <w:szCs w:val="20"/>
          <w:highlight w:val="none"/>
          <w:u w:val="single"/>
          <w:lang w:val="en-US" w:bidi="ar-SA"/>
        </w:rPr>
        <w:t xml:space="preserve">书面及电子文档，</w:t>
      </w:r>
      <w:r>
        <w:rPr>
          <w:rFonts w:hint="eastAsia" w:ascii="Times New Roman" w:hAnsi="Times New Roman" w:cs="Times New Roman"/>
          <w:color w:val="auto"/>
          <w:sz w:val="21"/>
          <w:szCs w:val="20"/>
          <w:highlight w:val="none"/>
          <w:u w:val="single"/>
          <w:lang w:val="en-US" w:bidi="ar-SA"/>
        </w:rPr>
        <w:t xml:space="preserve">所有工程资料必须符合工程验收和档案管理要求，因承包人提供的资料不符合档案管理要求而重新制作整理所产生的费用由承包人自行承担；承包人逾期提交竣工资料的，每逾期一日，应向发包人承担违约金</w:t>
      </w:r>
      <w:r>
        <w:rPr>
          <w:rFonts w:hint="eastAsia" w:ascii="Times New Roman" w:hAnsi="Times New Roman" w:cs="MingLiU_HKSCS"/>
          <w:color w:val="auto"/>
          <w:sz w:val="21"/>
          <w:szCs w:val="20"/>
          <w:highlight w:val="none"/>
          <w:u w:val="single"/>
          <w:lang w:val="en-US" w:bidi="ar-SA"/>
        </w:rPr>
        <w:t xml:space="preserve">【500】</w:t>
      </w:r>
      <w:r>
        <w:rPr>
          <w:rFonts w:hint="eastAsia" w:ascii="Times New Roman" w:hAnsi="Times New Roman" w:cs="Times New Roman"/>
          <w:color w:val="auto"/>
          <w:sz w:val="21"/>
          <w:szCs w:val="20"/>
          <w:highlight w:val="none"/>
          <w:u w:val="single"/>
          <w:lang w:val="en-US" w:bidi="ar-SA"/>
        </w:rPr>
        <w:t xml:space="preserve">元</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（2）承包人应履行的其他义务：</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承包人除完成合同招标文件要求和合同约定的义务外，还须遵守发包人的监督管理 。承包人应保证本工程施工过程不对工程所在楼内的正常生活等使用功能和秩序造成不良影响，如需夜间施工，所涉及的所有费用由承包人自行承担。承包人在施工过程中，应根据发包人</w:t>
      </w:r>
      <w:r>
        <w:rPr>
          <w:rFonts w:hint="eastAsia" w:ascii="Times New Roman" w:hAnsi="Times New Roman" w:cs="Times New Roman"/>
          <w:color w:val="auto"/>
          <w:sz w:val="21"/>
          <w:szCs w:val="20"/>
          <w:highlight w:val="none"/>
          <w:u w:val="single"/>
          <w:lang w:val="en-US" w:bidi="ar-SA"/>
        </w:rPr>
        <w:t xml:space="preserve">的要求和现场情况进行成品保护，做好安全防护和围挡施工，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1）需由设计资质等级和业务范围允许的承包人完成的设计文件提交时间：不采用。</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2）应提供计划、报表的名称及完成时间：</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3）承担施工安全保卫工作及非夜间施工照明的责任和要求：</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（1）建立和执行防火管理制度。</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（2）施工现场临时用水、电费用由承包人承担</w:t>
      </w:r>
      <w:r>
        <w:rPr>
          <w:rFonts w:hint="eastAsia" w:ascii="仿宋" w:hAnsi="仿宋" w:eastAsia="仿宋" w:cs="仿宋"/>
          <w:color w:val="auto"/>
          <w:sz w:val="24"/>
          <w:szCs w:val="24"/>
          <w:highlight w:val="none"/>
          <w:u w:val="single"/>
          <w:lang w:val="en-US" w:bidi="ar-SA"/>
        </w:rPr>
        <w:t xml:space="preserve">，</w:t>
      </w:r>
      <w:r>
        <w:rPr>
          <w:rFonts w:hint="eastAsia" w:ascii="Times New Roman" w:hAnsi="Times New Roman" w:cs="Times New Roman"/>
          <w:color w:val="auto"/>
          <w:sz w:val="21"/>
          <w:szCs w:val="20"/>
          <w:highlight w:val="none"/>
          <w:u w:val="single"/>
          <w:lang w:val="en-US" w:bidi="ar-SA"/>
        </w:rPr>
        <w:t xml:space="preserve">按照附件1：《南京中医药大学水电管理办法》第六章的具体规定执行。承包人认真做好施工现场的安全防护工作（包括照明、安全设施等），承包人对安全防护工作负全责（责任和费用均由承包人承担）。</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4）向发包人提供的办公和生活房屋及设施的要求：   /   。</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5）需承包人办理的有关施工场地交通、环卫和施工噪音管理等手续：此项工作及费用由承包人负责，发包人不再补贴。</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6）已完工程成品保护的特殊要求及费用承担：工程全部成品、半成品在竣工验收交付前均由承包人负责管理和保护，费用含在总承包管理（配合）费中；其它按通用条款9.1第（6）条执行。</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7）施工场地周围地下管线和邻近建筑物、构筑物（含文物保护建筑）、古树名木的保护要求及费用承担：</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承包人对该工程履行该工程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8）施工场清洁卫生的要求：施工场地在保证安全的前提下，按照标准化施工现场要求，保持场内、场外、交通进出口的安全和清洁卫生，所发生费用已包含在投标报价中。</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12）承包人聘用的人员应遵守当地法律法规、及发包人的各项规章制度，服从发包人管理。因工程建设不到位或工作人员违章作业、违法犯纪行为造成发包人损失时，承包人应负相应赔偿责任。</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3.2 项目经理</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3.2.1 项目经理：</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姓名：；</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身份证号：；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建造师执业资格等级：；</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建造师注册证书号：；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建造师执业印章号：；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安全生产考核合格证书号：；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联系电话：；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电子信箱：；</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通信地址：；</w:t>
      </w:r>
      <w:r/>
    </w:p>
    <w:p>
      <w:pPr>
        <w:jc w:val="both"/>
        <w:spacing w:line="460" w:lineRule="exact"/>
        <w:rPr>
          <w:rFonts w:cs="仿宋"/>
          <w:color w:val="auto"/>
          <w:sz w:val="21"/>
          <w:szCs w:val="21"/>
          <w:highlight w:val="none"/>
          <w:lang w:val="en-US" w:bidi="ar-SA"/>
        </w:rPr>
      </w:pPr>
      <w:r>
        <w:rPr>
          <w:rFonts w:hint="eastAsia" w:cs="仿宋"/>
          <w:color w:val="auto"/>
          <w:sz w:val="21"/>
          <w:szCs w:val="21"/>
          <w:highlight w:val="none"/>
          <w:lang w:val="en-US" w:bidi="ar-SA"/>
        </w:rPr>
        <w:t xml:space="preserve">承包人对项目经理的授权范围如下：</w:t>
      </w:r>
      <w:r>
        <w:rPr>
          <w:rFonts w:hint="eastAsia" w:cs="仿宋"/>
          <w:color w:val="auto"/>
          <w:sz w:val="21"/>
          <w:szCs w:val="21"/>
          <w:highlight w:val="none"/>
          <w:u w:val="single"/>
          <w:lang w:val="en-US" w:bidi="ar-SA"/>
        </w:rPr>
        <w:t xml:space="preserve">代表承包人行使合同约定的承包人权利和义务，履行合同约定的承包人职责，代表承包人与发包人办理各类文件、材料签收手续</w:t>
      </w:r>
      <w:r>
        <w:rPr>
          <w:rFonts w:hint="eastAsia" w:cs="仿宋"/>
          <w:color w:val="auto"/>
          <w:sz w:val="21"/>
          <w:szCs w:val="21"/>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cs="仿宋"/>
          <w:b/>
          <w:bCs/>
          <w:color w:val="auto"/>
          <w:sz w:val="21"/>
          <w:szCs w:val="21"/>
          <w:highlight w:val="none"/>
          <w:lang w:val="en-US" w:bidi="ar-SA"/>
        </w:rPr>
        <w:t xml:space="preserve">关于项目经理在施工现场的时间要求：</w:t>
      </w:r>
      <w:r/>
    </w:p>
    <w:p>
      <w:pPr>
        <w:jc w:val="both"/>
        <w:spacing w:line="460" w:lineRule="exact"/>
        <w:rPr>
          <w:rFonts w:cs="仿宋"/>
          <w:color w:val="auto"/>
          <w:sz w:val="21"/>
          <w:szCs w:val="21"/>
          <w:highlight w:val="none"/>
          <w:u w:val="single"/>
          <w:lang w:val="en-US" w:bidi="ar-SA"/>
        </w:rPr>
      </w:pPr>
      <w:r>
        <w:rPr>
          <w:rFonts w:hint="eastAsia" w:cs="仿宋"/>
          <w:color w:val="auto"/>
          <w:sz w:val="21"/>
          <w:szCs w:val="21"/>
          <w:highlight w:val="none"/>
          <w:u w:val="single"/>
          <w:lang w:val="en-US" w:bidi="ar-SA"/>
        </w:rPr>
        <w:t xml:space="preserve">施工期间，项目经理每周不少于6天且每天不少于八小时必须在本工程现场工作，且必须参加每周召开的例会，并随时接受发包人代表、</w:t>
      </w:r>
      <w:r>
        <w:rPr>
          <w:rFonts w:hint="eastAsia" w:cs="仿宋"/>
          <w:b/>
          <w:bCs/>
          <w:color w:val="auto"/>
          <w:sz w:val="21"/>
          <w:szCs w:val="21"/>
          <w:highlight w:val="none"/>
          <w:u w:val="single"/>
          <w:lang w:val="en-US" w:bidi="ar-SA"/>
        </w:rPr>
        <w:t xml:space="preserve">发包人其他管理部门</w:t>
      </w:r>
      <w:r>
        <w:rPr>
          <w:rFonts w:hint="eastAsia" w:cs="仿宋"/>
          <w:color w:val="auto"/>
          <w:sz w:val="21"/>
          <w:szCs w:val="21"/>
          <w:highlight w:val="none"/>
          <w:u w:val="single"/>
          <w:lang w:val="en-US" w:bidi="ar-SA"/>
        </w:rPr>
        <w:t xml:space="preserve">和监理总监的考勤和监督检查。如项目经理、有特殊原因不能保证上述在岗时间的，需征得发包人书面同意后，授权</w:t>
      </w:r>
      <w:r>
        <w:rPr>
          <w:rFonts w:hint="eastAsia" w:eastAsia="Calibri" w:cs="仿宋"/>
          <w:color w:val="auto"/>
          <w:sz w:val="21"/>
          <w:szCs w:val="21"/>
          <w:highlight w:val="none"/>
          <w:u w:val="single"/>
          <w:lang w:val="en-US" w:bidi="ar-SA"/>
        </w:rPr>
        <w:t xml:space="preserve">发包人认可的</w:t>
      </w:r>
      <w:r>
        <w:rPr>
          <w:rFonts w:hint="eastAsia" w:cs="仿宋"/>
          <w:color w:val="auto"/>
          <w:sz w:val="21"/>
          <w:szCs w:val="21"/>
          <w:highlight w:val="none"/>
          <w:u w:val="single"/>
          <w:lang w:val="en-US" w:bidi="ar-SA"/>
        </w:rPr>
        <w:t xml:space="preserve">现场技术负责人全权处理现场事务。</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项目经理未经批准，擅自离开施工现场的违约责任：</w:t>
      </w:r>
      <w:r/>
    </w:p>
    <w:p>
      <w:pPr>
        <w:jc w:val="both"/>
        <w:spacing w:line="460" w:lineRule="exact"/>
        <w:rPr>
          <w:rFonts w:cs="仿宋"/>
          <w:color w:val="auto"/>
          <w:sz w:val="21"/>
          <w:szCs w:val="21"/>
          <w:highlight w:val="none"/>
          <w:lang w:val="en-US" w:bidi="ar-SA"/>
        </w:rPr>
      </w:pPr>
      <w:r>
        <w:rPr>
          <w:rFonts w:hint="eastAsia" w:cs="仿宋"/>
          <w:color w:val="auto"/>
          <w:sz w:val="21"/>
          <w:szCs w:val="21"/>
          <w:highlight w:val="none"/>
          <w:u w:val="single"/>
          <w:lang w:val="en-US" w:bidi="ar-SA"/>
        </w:rPr>
        <w:t xml:space="preserve">发包人发现项目经理未经批准连续【24】小时不在本工程现场工作，发包人有权按每天2000元人民币的标准向承包人收取违约金</w:t>
      </w:r>
      <w:r>
        <w:rPr>
          <w:rFonts w:hint="eastAsia" w:ascii="Times New Roman" w:hAnsi="Times New Roman" w:cs="Times New Roman"/>
          <w:color w:val="auto"/>
          <w:sz w:val="21"/>
          <w:szCs w:val="20"/>
          <w:highlight w:val="none"/>
          <w:u w:val="single"/>
          <w:lang w:val="en-US" w:bidi="ar-SA"/>
        </w:rPr>
        <w:t xml:space="preserve">（发包人可从工程款中扣抵）</w:t>
      </w:r>
      <w:r>
        <w:rPr>
          <w:rFonts w:hint="eastAsia" w:cs="仿宋"/>
          <w:color w:val="auto"/>
          <w:sz w:val="21"/>
          <w:szCs w:val="21"/>
          <w:highlight w:val="none"/>
          <w:u w:val="single"/>
          <w:lang w:val="en-US" w:bidi="ar-SA"/>
        </w:rPr>
        <w:t xml:space="preserve">。项目经理无故不参加每周例会的</w:t>
      </w:r>
      <w:r>
        <w:rPr>
          <w:rFonts w:hint="eastAsia" w:ascii="微软雅黑" w:hAnsi="微软雅黑" w:eastAsia="微软雅黑" w:cs="微软雅黑"/>
          <w:color w:val="auto"/>
          <w:sz w:val="21"/>
          <w:szCs w:val="21"/>
          <w:highlight w:val="none"/>
          <w:u w:val="single"/>
          <w:lang w:val="en-US" w:bidi="ar-SA"/>
        </w:rPr>
        <w:t xml:space="preserve">，</w:t>
      </w:r>
      <w:r>
        <w:rPr>
          <w:rFonts w:hint="eastAsia" w:cs="仿宋"/>
          <w:color w:val="auto"/>
          <w:sz w:val="21"/>
          <w:szCs w:val="21"/>
          <w:highlight w:val="none"/>
          <w:u w:val="single"/>
          <w:lang w:val="en-US" w:bidi="ar-SA"/>
        </w:rPr>
        <w:t xml:space="preserve">发包人有权向承包人收取违约金500元/次</w:t>
      </w:r>
      <w:r>
        <w:rPr>
          <w:rFonts w:hint="eastAsia" w:ascii="Times New Roman" w:hAnsi="Times New Roman" w:cs="Times New Roman"/>
          <w:color w:val="auto"/>
          <w:sz w:val="21"/>
          <w:szCs w:val="20"/>
          <w:highlight w:val="none"/>
          <w:u w:val="single"/>
          <w:lang w:val="en-US" w:bidi="ar-SA"/>
        </w:rPr>
        <w:t xml:space="preserve">（发包人可从工程款中扣抵）</w:t>
      </w:r>
      <w:r>
        <w:rPr>
          <w:rFonts w:hint="eastAsia" w:cs="仿宋"/>
          <w:color w:val="auto"/>
          <w:sz w:val="21"/>
          <w:szCs w:val="21"/>
          <w:highlight w:val="none"/>
          <w:u w:val="single"/>
          <w:lang w:val="en-US" w:bidi="ar-SA"/>
        </w:rPr>
        <w:t xml:space="preserve">。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承包人未提交劳动合同，以及没有为项目经理缴纳社会保险证明的违约责任：</w:t>
      </w:r>
      <w:r/>
    </w:p>
    <w:p>
      <w:pPr>
        <w:jc w:val="both"/>
        <w:spacing w:line="460" w:lineRule="exact"/>
        <w:rPr>
          <w:rFonts w:cs="仿宋"/>
          <w:color w:val="auto"/>
          <w:sz w:val="21"/>
          <w:szCs w:val="21"/>
          <w:highlight w:val="none"/>
          <w:u w:val="single"/>
          <w:lang w:val="en-US" w:bidi="ar-SA"/>
        </w:rPr>
      </w:pPr>
      <w:r>
        <w:rPr>
          <w:rFonts w:hint="eastAsia" w:cs="仿宋"/>
          <w:color w:val="auto"/>
          <w:sz w:val="21"/>
          <w:szCs w:val="21"/>
          <w:highlight w:val="none"/>
          <w:u w:val="single"/>
          <w:lang w:val="en-US" w:bidi="ar-SA"/>
        </w:rPr>
        <w:t xml:space="preserve">承包人须在签订本合同时向发包人提交项目经理的劳动合同及缴纳社会保险证明。如未履行，每延迟一天，承包人承担违约金【5000】元/天，超过【7】日不提供的，发包人有权单方解除本合同。</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3.2.2承包人擅自更换项目经理的违约责任：</w:t>
      </w:r>
      <w:r/>
    </w:p>
    <w:p>
      <w:pPr>
        <w:jc w:val="both"/>
        <w:spacing w:line="460" w:lineRule="exact"/>
        <w:rPr>
          <w:rFonts w:cs="仿宋"/>
          <w:color w:val="auto"/>
          <w:sz w:val="21"/>
          <w:szCs w:val="21"/>
          <w:highlight w:val="none"/>
          <w:lang w:val="en-US" w:bidi="ar-SA"/>
        </w:rPr>
      </w:pPr>
      <w:r>
        <w:rPr>
          <w:rFonts w:hint="eastAsia" w:cs="仿宋"/>
          <w:color w:val="auto"/>
          <w:sz w:val="21"/>
          <w:szCs w:val="21"/>
          <w:highlight w:val="none"/>
          <w:u w:val="single"/>
          <w:lang w:val="en-US" w:bidi="ar-SA"/>
        </w:rPr>
        <w:t xml:space="preserve">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hint="eastAsia" w:cs="仿宋"/>
          <w:color w:val="auto"/>
          <w:sz w:val="21"/>
          <w:szCs w:val="21"/>
          <w:highlight w:val="none"/>
          <w:lang w:val="en-US" w:bidi="ar-SA"/>
        </w:rPr>
        <w:t xml:space="preserve">。</w:t>
      </w:r>
      <w:r/>
    </w:p>
    <w:p>
      <w:pPr>
        <w:jc w:val="both"/>
        <w:spacing w:line="360" w:lineRule="auto"/>
        <w:rPr>
          <w:rFonts w:cs="仿宋"/>
          <w:b/>
          <w:bCs/>
          <w:color w:val="auto"/>
          <w:sz w:val="21"/>
          <w:szCs w:val="21"/>
          <w:highlight w:val="none"/>
          <w:u w:val="single"/>
          <w:lang w:val="en-US" w:bidi="ar-SA"/>
        </w:rPr>
      </w:pPr>
      <w:r>
        <w:rPr>
          <w:rFonts w:hint="eastAsia" w:cs="仿宋"/>
          <w:b/>
          <w:bCs/>
          <w:color w:val="auto"/>
          <w:sz w:val="21"/>
          <w:szCs w:val="21"/>
          <w:highlight w:val="none"/>
          <w:lang w:val="en-US" w:bidi="ar-SA"/>
        </w:rPr>
        <w:t xml:space="preserve">3.2.3承包人无正当理由拒绝更换项目经理的违约责任：</w:t>
      </w:r>
      <w:r/>
    </w:p>
    <w:p>
      <w:pPr>
        <w:jc w:val="both"/>
        <w:spacing w:line="360" w:lineRule="auto"/>
        <w:rPr>
          <w:rFonts w:cs="仿宋"/>
          <w:color w:val="auto"/>
          <w:sz w:val="21"/>
          <w:szCs w:val="21"/>
          <w:highlight w:val="none"/>
          <w:lang w:val="en-US" w:bidi="ar-SA"/>
        </w:rPr>
      </w:pPr>
      <w:r>
        <w:rPr>
          <w:rFonts w:hint="eastAsia" w:cs="仿宋"/>
          <w:color w:val="auto"/>
          <w:sz w:val="21"/>
          <w:szCs w:val="21"/>
          <w:highlight w:val="none"/>
          <w:u w:val="single"/>
          <w:lang w:val="en-US" w:bidi="ar-SA"/>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hint="eastAsia" w:cs="仿宋"/>
          <w:color w:val="auto"/>
          <w:sz w:val="21"/>
          <w:szCs w:val="21"/>
          <w:highlight w:val="none"/>
          <w:lang w:val="en-US" w:bidi="ar-SA"/>
        </w:rPr>
        <w:t xml:space="preserve">。</w:t>
      </w:r>
      <w:r/>
    </w:p>
    <w:p>
      <w:pPr>
        <w:jc w:val="both"/>
        <w:spacing w:line="460" w:lineRule="exact"/>
        <w:rPr>
          <w:rFonts w:cs="仿宋"/>
          <w:color w:val="auto"/>
          <w:sz w:val="21"/>
          <w:szCs w:val="21"/>
          <w:highlight w:val="none"/>
          <w:lang w:val="en-US" w:bidi="ar-SA"/>
        </w:rPr>
      </w:pPr>
      <w:r>
        <w:rPr>
          <w:rFonts w:hint="eastAsia" w:cs="仿宋"/>
          <w:color w:val="auto"/>
          <w:sz w:val="21"/>
          <w:szCs w:val="21"/>
          <w:highlight w:val="none"/>
          <w:lang w:val="en-US" w:bidi="ar-SA"/>
        </w:rPr>
        <w:t xml:space="preserve">3.3 承包人人员</w:t>
      </w:r>
      <w:r/>
    </w:p>
    <w:p>
      <w:pPr>
        <w:jc w:val="both"/>
        <w:spacing w:line="460" w:lineRule="exact"/>
        <w:rPr>
          <w:rFonts w:cs="仿宋"/>
          <w:color w:val="auto"/>
          <w:sz w:val="21"/>
          <w:szCs w:val="21"/>
          <w:highlight w:val="none"/>
          <w:lang w:val="en-US" w:bidi="ar-SA"/>
        </w:rPr>
      </w:pPr>
      <w:r>
        <w:rPr>
          <w:rFonts w:hint="eastAsia" w:cs="仿宋"/>
          <w:color w:val="auto"/>
          <w:sz w:val="21"/>
          <w:szCs w:val="21"/>
          <w:highlight w:val="none"/>
          <w:lang w:val="en-US" w:bidi="ar-SA"/>
        </w:rPr>
        <w:t xml:space="preserve">3.3.1 承包人提交项目管理机构及施工现场管理人员安排报告的期限：</w:t>
      </w:r>
      <w:r>
        <w:rPr>
          <w:rFonts w:hint="eastAsia" w:cs="仿宋"/>
          <w:color w:val="auto"/>
          <w:sz w:val="21"/>
          <w:szCs w:val="21"/>
          <w:highlight w:val="none"/>
          <w:u w:val="single"/>
          <w:lang w:val="en-US" w:bidi="ar-SA"/>
        </w:rPr>
        <w:t xml:space="preserve">开工前一周</w:t>
      </w:r>
      <w:r>
        <w:rPr>
          <w:rFonts w:hint="eastAsia" w:cs="仿宋"/>
          <w:color w:val="auto"/>
          <w:sz w:val="21"/>
          <w:szCs w:val="21"/>
          <w:highlight w:val="none"/>
          <w:lang w:val="en-US" w:bidi="ar-SA"/>
        </w:rPr>
        <w:t xml:space="preserve">。</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3.3.2关于项目其他主要管理人员（现场技术负责人、施工员、质量员、安全员、资料员）在施工现场的时间要求：</w:t>
      </w:r>
      <w:r/>
    </w:p>
    <w:p>
      <w:pPr>
        <w:jc w:val="both"/>
        <w:spacing w:line="460" w:lineRule="exact"/>
        <w:rPr>
          <w:rFonts w:cs="仿宋"/>
          <w:color w:val="auto"/>
          <w:sz w:val="21"/>
          <w:szCs w:val="21"/>
          <w:highlight w:val="none"/>
          <w:u w:val="single"/>
          <w:lang w:val="en-US" w:bidi="ar-SA"/>
        </w:rPr>
      </w:pPr>
      <w:r>
        <w:rPr>
          <w:rFonts w:hint="eastAsia" w:cs="仿宋"/>
          <w:color w:val="auto"/>
          <w:sz w:val="21"/>
          <w:szCs w:val="21"/>
          <w:highlight w:val="none"/>
          <w:u w:val="single"/>
          <w:lang w:val="en-US" w:bidi="ar-SA"/>
        </w:rPr>
        <w:t xml:space="preserve">施工期间，</w:t>
      </w:r>
      <w:r>
        <w:rPr>
          <w:rFonts w:hint="eastAsia" w:cs="仿宋"/>
          <w:b/>
          <w:bCs/>
          <w:color w:val="auto"/>
          <w:sz w:val="21"/>
          <w:szCs w:val="21"/>
          <w:highlight w:val="none"/>
          <w:u w:val="single"/>
          <w:lang w:val="en-US" w:bidi="ar-SA"/>
        </w:rPr>
        <w:t xml:space="preserve">现场技术负责人、施工员、质量员、安全员</w:t>
      </w:r>
      <w:r>
        <w:rPr>
          <w:rFonts w:hint="eastAsia" w:cs="仿宋"/>
          <w:color w:val="auto"/>
          <w:sz w:val="21"/>
          <w:szCs w:val="21"/>
          <w:highlight w:val="none"/>
          <w:u w:val="single"/>
          <w:lang w:val="en-US" w:bidi="ar-SA"/>
        </w:rPr>
        <w:t xml:space="preserve">每周不少于6天且每天不少于八小时必须在本工程现场工作，资料员按有关规定标准和本合同约定履行职责，并随时接受发包人代表、</w:t>
      </w:r>
      <w:r>
        <w:rPr>
          <w:rFonts w:hint="eastAsia" w:cs="仿宋"/>
          <w:b/>
          <w:bCs/>
          <w:color w:val="auto"/>
          <w:sz w:val="21"/>
          <w:szCs w:val="21"/>
          <w:highlight w:val="none"/>
          <w:u w:val="single"/>
          <w:lang w:val="en-US" w:bidi="ar-SA"/>
        </w:rPr>
        <w:t xml:space="preserve">发包人其他管理部门</w:t>
      </w:r>
      <w:r>
        <w:rPr>
          <w:rFonts w:hint="eastAsia" w:cs="仿宋"/>
          <w:color w:val="auto"/>
          <w:sz w:val="21"/>
          <w:szCs w:val="21"/>
          <w:highlight w:val="none"/>
          <w:u w:val="single"/>
          <w:lang w:val="en-US" w:bidi="ar-SA"/>
        </w:rPr>
        <w:t xml:space="preserve">和监理总监的考勤和监督检查。</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承包人项目其他主要管理人员（现场技术负责人、施工员、质量员、安全员）离开施工现场的批准要求：</w:t>
      </w:r>
      <w:r/>
    </w:p>
    <w:p>
      <w:pPr>
        <w:jc w:val="both"/>
        <w:spacing w:line="460" w:lineRule="exact"/>
        <w:rPr>
          <w:rFonts w:cs="仿宋"/>
          <w:color w:val="auto"/>
          <w:sz w:val="21"/>
          <w:szCs w:val="21"/>
          <w:highlight w:val="none"/>
          <w:lang w:val="en-US" w:bidi="ar-SA"/>
        </w:rPr>
      </w:pPr>
      <w:r>
        <w:rPr>
          <w:rFonts w:hint="eastAsia" w:cs="仿宋"/>
          <w:color w:val="auto"/>
          <w:sz w:val="21"/>
          <w:szCs w:val="21"/>
          <w:highlight w:val="none"/>
          <w:u w:val="single"/>
          <w:lang w:val="en-US" w:bidi="ar-SA"/>
        </w:rPr>
        <w:t xml:space="preserve">提前一天向发包人书面申请，经发包人书面批准后方可离开</w:t>
      </w:r>
      <w:r>
        <w:rPr>
          <w:rFonts w:hint="eastAsia" w:cs="仿宋"/>
          <w:color w:val="auto"/>
          <w:sz w:val="21"/>
          <w:szCs w:val="21"/>
          <w:highlight w:val="none"/>
          <w:lang w:val="en-US" w:bidi="ar-SA"/>
        </w:rPr>
        <w:t xml:space="preserve">。</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承包人主要施工管理人员擅自离开施工现场的违约责任：</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cs="仿宋"/>
          <w:color w:val="auto"/>
          <w:sz w:val="21"/>
          <w:szCs w:val="21"/>
          <w:highlight w:val="none"/>
          <w:u w:val="single"/>
          <w:lang w:val="en-US" w:bidi="ar-SA"/>
        </w:rPr>
        <w:t xml:space="preserve">若出现未经发包人书面批准的项目其他主要管理人员（现场技术负责人、施工员、质量员、安全员）擅自离开施工现场的情况，发包人将处罚承包人2000元/人·次的违约金（发包人可从工程款中扣抵）。</w:t>
      </w:r>
      <w:r>
        <w:rPr>
          <w:rFonts w:hint="eastAsia" w:cs="仿宋"/>
          <w:b/>
          <w:bCs/>
          <w:color w:val="auto"/>
          <w:sz w:val="21"/>
          <w:szCs w:val="21"/>
          <w:highlight w:val="none"/>
          <w:u w:val="single"/>
          <w:lang w:val="en-US" w:bidi="ar-SA"/>
        </w:rPr>
        <w:t xml:space="preserve">现场技术负责人、施工员、质量员、安全员</w:t>
      </w:r>
      <w:r>
        <w:rPr>
          <w:rFonts w:hint="eastAsia" w:cs="仿宋"/>
          <w:color w:val="auto"/>
          <w:sz w:val="21"/>
          <w:szCs w:val="21"/>
          <w:highlight w:val="none"/>
          <w:u w:val="single"/>
          <w:lang w:val="en-US" w:bidi="ar-SA"/>
        </w:rPr>
        <w:t xml:space="preserve">连续2天或施工期内累计5天不在现场，视为承包人严重违约，发包人除有权按前述约定追索承包人违约金之外，还有权</w:t>
      </w:r>
      <w:r>
        <w:rPr>
          <w:rFonts w:hint="eastAsia" w:eastAsia="Calibri" w:cs="仿宋"/>
          <w:color w:val="auto"/>
          <w:sz w:val="21"/>
          <w:szCs w:val="21"/>
          <w:highlight w:val="none"/>
          <w:u w:val="single"/>
          <w:lang w:val="en-US" w:bidi="ar-SA"/>
        </w:rPr>
        <w:t xml:space="preserve">单方</w:t>
      </w:r>
      <w:r>
        <w:rPr>
          <w:rFonts w:hint="eastAsia" w:cs="仿宋"/>
          <w:color w:val="auto"/>
          <w:sz w:val="21"/>
          <w:szCs w:val="21"/>
          <w:highlight w:val="none"/>
          <w:u w:val="single"/>
          <w:lang w:val="en-US" w:bidi="ar-SA"/>
        </w:rPr>
        <w:t xml:space="preserve">解除合同，并追究承包人违约责任。</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3.3.3承包人擅自更换项目其他主要管理人员（现场技术负责人、施工员、质量员、安全员、资料员）的违约责任：</w:t>
      </w:r>
      <w:r/>
    </w:p>
    <w:p>
      <w:pPr>
        <w:jc w:val="both"/>
        <w:spacing w:line="460" w:lineRule="exact"/>
        <w:rPr>
          <w:rFonts w:ascii="Times New Roman" w:hAnsi="Times New Roman" w:cs="Times New Roman"/>
          <w:color w:val="auto"/>
          <w:sz w:val="21"/>
          <w:szCs w:val="20"/>
          <w:highlight w:val="none"/>
          <w:lang w:val="en-US" w:bidi="ar-SA"/>
        </w:rPr>
      </w:pPr>
      <w:r>
        <w:rPr>
          <w:rFonts w:hint="eastAsia" w:cs="仿宋"/>
          <w:color w:val="auto"/>
          <w:sz w:val="21"/>
          <w:szCs w:val="21"/>
          <w:highlight w:val="none"/>
          <w:u w:val="single"/>
          <w:lang w:val="en-US" w:bidi="ar-SA"/>
        </w:rPr>
        <w:t xml:space="preserve">投标文件中及合同中明确的项目其他主要管理人员（现场技术负责人、施工员、质量员、安全员、资料员）不得擅自变更，开工时或施工过程中若有擅自变更，将被视为承包人违约，承包人须按20000元/人·次付向发包人支付违约金，在工程款中扣除，发包人还有权解除合同，并追究承包人不能履约的违约责任，有权要求承包人赔偿发包人因此造成的一切损失，并报主管部门备案</w:t>
      </w:r>
      <w:r>
        <w:rPr>
          <w:rFonts w:hint="eastAsia" w:cs="仿宋"/>
          <w:color w:val="auto"/>
          <w:sz w:val="21"/>
          <w:szCs w:val="21"/>
          <w:highlight w:val="none"/>
          <w:lang w:val="en-US" w:bidi="ar-SA"/>
        </w:rPr>
        <w:t xml:space="preserve">。</w:t>
      </w:r>
      <w:r/>
    </w:p>
    <w:p>
      <w:pPr>
        <w:jc w:val="both"/>
        <w:spacing w:line="460" w:lineRule="exact"/>
        <w:rPr>
          <w:rFonts w:cs="仿宋"/>
          <w:b/>
          <w:bCs/>
          <w:color w:val="auto"/>
          <w:sz w:val="21"/>
          <w:szCs w:val="21"/>
          <w:highlight w:val="none"/>
          <w:lang w:val="en-US" w:bidi="ar-SA"/>
        </w:rPr>
      </w:pPr>
      <w:r>
        <w:rPr>
          <w:rFonts w:hint="eastAsia" w:cs="仿宋"/>
          <w:b/>
          <w:bCs/>
          <w:color w:val="auto"/>
          <w:sz w:val="21"/>
          <w:szCs w:val="21"/>
          <w:highlight w:val="none"/>
          <w:lang w:val="en-US" w:bidi="ar-SA"/>
        </w:rPr>
        <w:t xml:space="preserve">3.3.4承包人无正当理由拒绝撤换项目其他主要管理人员（现场技术负责人、施工员、质量员、安全员、资料员）的违约责任：</w:t>
      </w:r>
      <w:r/>
    </w:p>
    <w:p>
      <w:pPr>
        <w:jc w:val="both"/>
        <w:spacing w:line="460" w:lineRule="exact"/>
        <w:rPr>
          <w:rFonts w:cs="仿宋"/>
          <w:color w:val="auto"/>
          <w:sz w:val="24"/>
          <w:szCs w:val="20"/>
          <w:highlight w:val="none"/>
          <w:lang w:val="en-US" w:bidi="ar-SA"/>
        </w:rPr>
      </w:pPr>
      <w:r>
        <w:rPr>
          <w:rFonts w:hint="eastAsia" w:cs="仿宋"/>
          <w:color w:val="auto"/>
          <w:sz w:val="21"/>
          <w:szCs w:val="21"/>
          <w:highlight w:val="none"/>
          <w:u w:val="single"/>
          <w:lang w:val="en-US" w:bidi="ar-SA"/>
        </w:rPr>
        <w:t xml:space="preserve">发包人有权要求承包人撤换调整其认为不称职的项目其他主要管理人员，承包人拒绝撤换的，发包人除了有权参照上述3.2.3条款向承包人追索违约金，还有权解除合同、追究承包人违约责任</w:t>
      </w:r>
      <w:r>
        <w:rPr>
          <w:rFonts w:hint="eastAsia" w:cs="仿宋"/>
          <w:color w:val="auto"/>
          <w:sz w:val="21"/>
          <w:szCs w:val="21"/>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 .4分包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 .4.1 分包的一般约定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禁止分包的工程包括：</w:t>
      </w:r>
      <w:r>
        <w:rPr>
          <w:rFonts w:hint="eastAsia" w:ascii="Times New Roman" w:hAnsi="Times New Roman" w:cs="MingLiU_HKSCS"/>
          <w:color w:val="auto"/>
          <w:sz w:val="21"/>
          <w:szCs w:val="20"/>
          <w:highlight w:val="none"/>
          <w:u w:val="single"/>
          <w:lang w:val="en-US" w:bidi="ar-SA"/>
        </w:rPr>
        <w:t xml:space="preserve">本工程禁止分包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主体结构、关键性工作的范围：</w:t>
      </w:r>
      <w:r>
        <w:rPr>
          <w:rFonts w:hint="eastAsia" w:ascii="Times New Roman" w:hAnsi="Times New Roman" w:cs="Times New Roman"/>
          <w:color w:val="auto"/>
          <w:sz w:val="21"/>
          <w:szCs w:val="20"/>
          <w:highlight w:val="none"/>
          <w:u w:val="single"/>
          <w:lang w:val="en-US" w:bidi="ar-SA"/>
        </w:rPr>
        <w:t xml:space="preserve">本协议约定的所有施工内容</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 .4.2分包的确定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允许分包的专业工程包括：</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其他关于分包的约定：</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3.4.3分包合同价款</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关于分包合同价款支付的约定：</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3.5 工程照管与成品、半成品保护</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承包人负责照管工程及工程相关的材料、工程设备的起始时间：</w:t>
      </w:r>
      <w:r>
        <w:rPr>
          <w:rFonts w:hint="eastAsia" w:ascii="Times New Roman" w:hAnsi="Times New Roman" w:cs="Times New Roman"/>
          <w:color w:val="auto"/>
          <w:sz w:val="21"/>
          <w:szCs w:val="20"/>
          <w:highlight w:val="none"/>
          <w:u w:val="single"/>
          <w:lang w:val="en-US" w:bidi="ar-SA"/>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3.6履约担保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承包人是否提供履约担保：</w:t>
      </w:r>
      <w:r>
        <w:rPr>
          <w:rFonts w:hint="eastAsia" w:ascii="Times New Roman" w:hAnsi="Times New Roman" w:cs="Times New Roman"/>
          <w:color w:val="auto"/>
          <w:sz w:val="21"/>
          <w:szCs w:val="20"/>
          <w:highlight w:val="none"/>
          <w:u w:val="single"/>
          <w:lang w:val="en-US" w:bidi="ar-SA"/>
        </w:rPr>
        <w:t xml:space="preserve">是</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承包人提供履约担保的形式、金额及期限：</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（1）人民币　　　元（合同签约价的【</w:t>
      </w:r>
      <w:r>
        <w:rPr>
          <w:rFonts w:ascii="Times New Roman" w:hAnsi="Times New Roman" w:cs="Times New Roman"/>
          <w:color w:val="auto"/>
          <w:sz w:val="21"/>
          <w:szCs w:val="20"/>
          <w:highlight w:val="none"/>
          <w:u w:val="single"/>
          <w:lang w:val="en-US" w:bidi="ar-SA"/>
        </w:rPr>
        <w:t xml:space="preserve">3】%）的履约保证金在本工程竣工验收合格后转作质量保证金，自发包人组织的竣工验收合格报告签署之日起算的质保期（24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24个月）满后，经发包人单位盖章，无息返还承包人质量保证金。若承包人不能及时响应或保</w:t>
      </w:r>
      <w:r>
        <w:rPr>
          <w:rFonts w:hint="eastAsia" w:ascii="Times New Roman" w:hAnsi="Times New Roman" w:cs="Times New Roman"/>
          <w:color w:val="auto"/>
          <w:sz w:val="21"/>
          <w:szCs w:val="20"/>
          <w:highlight w:val="none"/>
          <w:u w:val="single"/>
          <w:lang w:val="en-US" w:bidi="ar-SA"/>
        </w:rPr>
        <w:t xml:space="preserve">质处理维修事项，发包人有权另找工程队维修，所发生的费用从质量保证金中支付。（</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2）履约保证金汇款银行、账号及户名：承包方必须在本项目成交公示结束后将履约保证金汇入发包方指定的账号，</w:t>
      </w:r>
      <w:r>
        <w:rPr>
          <w:rFonts w:hint="eastAsia" w:ascii="Times New Roman" w:hAnsi="Times New Roman" w:cs="Times New Roman"/>
          <w:color w:val="auto"/>
          <w:sz w:val="21"/>
          <w:szCs w:val="20"/>
          <w:highlight w:val="none"/>
          <w:lang w:val="en-US" w:bidi="ar-SA"/>
        </w:rPr>
        <w:t xml:space="preserve">账号</w:t>
      </w:r>
      <w:r>
        <w:rPr>
          <w:rFonts w:hint="eastAsia" w:ascii="Times New Roman" w:hAnsi="Times New Roman" w:cs="Times New Roman"/>
          <w:color w:val="auto"/>
          <w:sz w:val="21"/>
          <w:szCs w:val="20"/>
          <w:highlight w:val="none"/>
          <w:u w:val="single"/>
          <w:lang w:val="en-US" w:bidi="ar-SA"/>
        </w:rPr>
        <w:t xml:space="preserve">为：4301010109001027264（开户行为工行汉中门支行，收款人为南京中医药大学），汇款必须从承包方基本账户转出，在备注、用途或附加说明中写明是本</w:t>
      </w:r>
      <w:r>
        <w:rPr>
          <w:rFonts w:ascii="Times New Roman" w:hAnsi="Times New Roman" w:cs="Times New Roman"/>
          <w:color w:val="auto"/>
          <w:sz w:val="21"/>
          <w:szCs w:val="20"/>
          <w:highlight w:val="none"/>
          <w:u w:val="single"/>
          <w:lang w:val="en-US" w:bidi="ar-SA"/>
        </w:rPr>
        <w:t xml:space="preserve">项目的</w:t>
      </w:r>
      <w:r>
        <w:rPr>
          <w:rFonts w:hint="eastAsia" w:ascii="Times New Roman" w:hAnsi="Times New Roman" w:cs="Times New Roman"/>
          <w:color w:val="auto"/>
          <w:sz w:val="21"/>
          <w:szCs w:val="20"/>
          <w:highlight w:val="none"/>
          <w:u w:val="single"/>
          <w:lang w:val="en-US" w:bidi="ar-SA"/>
        </w:rPr>
        <w:t xml:space="preserve">履约保证金。承包方缴纳履约保证金后凭汇款凭证领取成交通知书。逾期不交者，将列入发包人不诚信单位记录名单，后期不得参与发包人任何采购活动。承包人未缴纳履约保证金的，本合同不生效。</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 . 监理人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4.1监理人的一般规定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关于监理人的监理内容：</w:t>
      </w:r>
      <w:r>
        <w:rPr>
          <w:rFonts w:hint="eastAsia" w:ascii="Times New Roman" w:hAnsi="Times New Roman" w:cs="Times New Roman"/>
          <w:color w:val="auto"/>
          <w:sz w:val="21"/>
          <w:szCs w:val="20"/>
          <w:highlight w:val="none"/>
          <w:u w:val="single"/>
          <w:lang w:val="en-US" w:bidi="ar-SA"/>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w:t>
      </w:r>
      <w:r>
        <w:rPr>
          <w:rFonts w:hint="eastAsia" w:ascii="仿宋" w:hAnsi="仿宋" w:eastAsia="仿宋" w:cs="仿宋"/>
          <w:color w:val="auto"/>
          <w:sz w:val="24"/>
          <w:szCs w:val="24"/>
          <w:highlight w:val="none"/>
          <w:u w:val="single"/>
          <w:lang w:val="en-US" w:bidi="ar-SA"/>
        </w:rPr>
        <w:t xml:space="preserve">，</w:t>
      </w:r>
      <w:r>
        <w:rPr>
          <w:rFonts w:hint="eastAsia" w:ascii="Times New Roman" w:hAnsi="Times New Roman" w:cs="Times New Roman"/>
          <w:color w:val="auto"/>
          <w:sz w:val="21"/>
          <w:szCs w:val="20"/>
          <w:highlight w:val="none"/>
          <w:u w:val="single"/>
          <w:lang w:val="en-US" w:bidi="ar-SA"/>
        </w:rPr>
        <w:t xml:space="preserve">配合发包人在工程实施过程中的各种工程变更、索赔、验收，以及竣工结算、决算审计等。</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关于监理人的监理权限：</w:t>
      </w:r>
      <w:r>
        <w:rPr>
          <w:rFonts w:hint="eastAsia" w:ascii="Times New Roman" w:hAnsi="Times New Roman" w:cs="Times New Roman"/>
          <w:color w:val="auto"/>
          <w:sz w:val="21"/>
          <w:szCs w:val="20"/>
          <w:highlight w:val="none"/>
          <w:u w:val="single"/>
          <w:lang w:val="en-US" w:bidi="ar-SA"/>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关于监理人在施工现场的办公场所、生活场所的提供和费用承担的约定：</w:t>
      </w:r>
      <w:r>
        <w:rPr>
          <w:rFonts w:hint="eastAsia" w:ascii="Times New Roman" w:hAnsi="Times New Roman" w:cs="Times New Roman"/>
          <w:color w:val="auto"/>
          <w:sz w:val="21"/>
          <w:szCs w:val="20"/>
          <w:highlight w:val="none"/>
          <w:u w:val="single"/>
          <w:lang w:val="en-US" w:bidi="ar-SA"/>
        </w:rPr>
        <w:t xml:space="preserve">由承包人提供，费用已计入本合同价款中，或由承包人另行承担，发包人不再另行支付</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4.2 监理人员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总监理工程师：</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姓名：；</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职务：；</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监理工程师执业资格证书号：；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联系电话：；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电子信箱：；</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通信地址：；</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关于监理人的其他约定：详见监理合同。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4.3商定或确定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在发包人和承包人不能通过协商达成一致意见时，发包人授权监理人对以下事项进行确定：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 工程质量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5.1 质量要求</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特殊质量标准和要求：</w:t>
      </w:r>
      <w:r>
        <w:rPr>
          <w:rFonts w:hint="eastAsia" w:cs="Times New Roman"/>
          <w:color w:val="auto"/>
          <w:sz w:val="21"/>
          <w:szCs w:val="21"/>
          <w:highlight w:val="none"/>
          <w:u w:val="single"/>
          <w:lang w:val="en-US" w:bidi="ar-SA"/>
        </w:rPr>
        <w:t xml:space="preserve">质量标准的评定以现行国家、地方政府以及行业的质量检验评定标准为依据，确保质量符合国家现行质量验收标准、《建筑工程施工质量验收统一标准》、本合同约定的特殊要求</w:t>
      </w:r>
      <w:r>
        <w:rPr>
          <w:rFonts w:hint="eastAsia" w:ascii="Times New Roman" w:hAnsi="Times New Roman" w:cs="Times New Roman"/>
          <w:color w:val="auto"/>
          <w:sz w:val="21"/>
          <w:szCs w:val="20"/>
          <w:highlight w:val="none"/>
          <w:u w:val="singl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关于工程奖项的约定：/。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5.2隐蔽工程检查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承包人提前通知监理人隐蔽工程检查的期限的约定：</w:t>
      </w:r>
      <w:r>
        <w:rPr>
          <w:rFonts w:hint="eastAsia" w:ascii="Times New Roman" w:hAnsi="Times New Roman" w:cs="Times New Roman"/>
          <w:color w:val="auto"/>
          <w:sz w:val="21"/>
          <w:szCs w:val="20"/>
          <w:highlight w:val="none"/>
          <w:u w:val="single"/>
          <w:lang w:val="en-US" w:bidi="ar-SA"/>
        </w:rPr>
        <w:t xml:space="preserve">共同检查前48小时书面通知监理</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监理人不能按时进行检查时，应提前</w:t>
      </w:r>
      <w:r>
        <w:rPr>
          <w:rFonts w:hint="eastAsia" w:ascii="Times New Roman" w:hAnsi="Times New Roman" w:cs="Times New Roman"/>
          <w:color w:val="auto"/>
          <w:sz w:val="21"/>
          <w:szCs w:val="20"/>
          <w:highlight w:val="none"/>
          <w:u w:val="single"/>
          <w:lang w:val="en-US" w:bidi="ar-SA"/>
        </w:rPr>
        <w:t xml:space="preserve"> 8 </w:t>
      </w:r>
      <w:r>
        <w:rPr>
          <w:rFonts w:hint="eastAsia" w:ascii="Times New Roman" w:hAnsi="Times New Roman" w:cs="Times New Roman"/>
          <w:color w:val="auto"/>
          <w:sz w:val="21"/>
          <w:szCs w:val="20"/>
          <w:highlight w:val="none"/>
          <w:lang w:val="en-US" w:bidi="ar-SA"/>
        </w:rPr>
        <w:t xml:space="preserve">小时提交书面延期要求。</w:t>
      </w:r>
      <w:r>
        <w:rPr>
          <w:rFonts w:hint="eastAsia" w:ascii="Times New Roman" w:hAnsi="Times New Roman" w:cs="Times New Roman"/>
          <w:color w:val="auto"/>
          <w:sz w:val="21"/>
          <w:szCs w:val="20"/>
          <w:highlight w:val="none"/>
          <w:u w:val="single"/>
          <w:lang w:val="en-US" w:bidi="ar-SA"/>
        </w:rPr>
        <w:t xml:space="preserve">所有隐蔽工程和中间验收均须经监理工程师和发包人验收确认后方可继续施工。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关于延期最长不得超过：</w:t>
      </w:r>
      <w:r>
        <w:rPr>
          <w:rFonts w:hint="eastAsia" w:ascii="Times New Roman" w:hAnsi="Times New Roman" w:cs="Times New Roman"/>
          <w:color w:val="auto"/>
          <w:sz w:val="21"/>
          <w:szCs w:val="20"/>
          <w:highlight w:val="none"/>
          <w:u w:val="single"/>
          <w:lang w:val="en-US" w:bidi="ar-SA"/>
        </w:rPr>
        <w:t xml:space="preserve"> 24 </w:t>
      </w:r>
      <w:r>
        <w:rPr>
          <w:rFonts w:hint="eastAsia" w:ascii="Times New Roman" w:hAnsi="Times New Roman" w:cs="Times New Roman"/>
          <w:color w:val="auto"/>
          <w:sz w:val="21"/>
          <w:szCs w:val="20"/>
          <w:highlight w:val="none"/>
          <w:lang w:val="en-US" w:bidi="ar-SA"/>
        </w:rPr>
        <w:t xml:space="preserve">小时。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5.3重新检验</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5.3.1 工程质量</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按专用条款和采购文件执行。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5.3.2检查和返工</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（1）承包人应严格按照施工规范、技术规程以及经监</w:t>
      </w:r>
      <w:r>
        <w:rPr>
          <w:rFonts w:hint="eastAsia" w:ascii="Times New Roman" w:hAnsi="Times New Roman" w:cs="Times New Roman"/>
          <w:color w:val="auto"/>
          <w:sz w:val="21"/>
          <w:szCs w:val="20"/>
          <w:highlight w:val="none"/>
          <w:u w:val="single"/>
          <w:lang w:val="en-US" w:bidi="ar-SA"/>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（2）承包人在发生工程质量问题时隐瞒监理工程师及发包人，或有偷工减料行为、使用假冒伪劣产品行为，除及时进行整改外另需向发包人支付40000元/次的质量违约金。</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 安全文明施工与环境保护</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6.1安全文明施工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6.1.1 项目安全生产的达标目标及相应事项的约定：</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w:t>
      </w:r>
      <w:r>
        <w:rPr>
          <w:rFonts w:hint="eastAsia" w:cs="仿宋"/>
          <w:color w:val="auto"/>
          <w:sz w:val="21"/>
          <w:szCs w:val="21"/>
          <w:highlight w:val="none"/>
          <w:u w:val="single"/>
          <w:lang w:val="en-US" w:bidi="ar-SA"/>
        </w:rPr>
        <w:t xml:space="preserve">高空作业必须有安全防护措施等，</w:t>
      </w:r>
      <w:r>
        <w:rPr>
          <w:rFonts w:hint="eastAsia" w:ascii="Times New Roman" w:hAnsi="Times New Roman" w:cs="Times New Roman"/>
          <w:color w:val="auto"/>
          <w:sz w:val="21"/>
          <w:szCs w:val="20"/>
          <w:highlight w:val="none"/>
          <w:u w:val="single"/>
          <w:lang w:val="en-US" w:bidi="ar-SA"/>
        </w:rPr>
        <w:t xml:space="preserve">并配备专职安全人员，对于不重视安全工作，措施不到位，</w:t>
      </w:r>
      <w:r>
        <w:rPr>
          <w:rFonts w:hint="eastAsia" w:cs="仿宋"/>
          <w:color w:val="auto"/>
          <w:sz w:val="21"/>
          <w:szCs w:val="21"/>
          <w:highlight w:val="none"/>
          <w:u w:val="single"/>
          <w:lang w:val="en-US" w:bidi="ar-SA"/>
        </w:rPr>
        <w:t xml:space="preserve">未按规定要求（安全文明施工、质量标准等方面）进行施工、管理的，每发现一次，承包人应按300-500元/次向发包人支付违约金；</w:t>
      </w:r>
      <w:r>
        <w:rPr>
          <w:rFonts w:hint="eastAsia" w:ascii="Times New Roman" w:hAnsi="Times New Roman" w:cs="Times New Roman"/>
          <w:color w:val="auto"/>
          <w:sz w:val="21"/>
          <w:szCs w:val="20"/>
          <w:highlight w:val="none"/>
          <w:u w:val="single"/>
          <w:lang w:val="en-US" w:bidi="ar-SA"/>
        </w:rPr>
        <w:t xml:space="preserve">导致发生安全事故的，承包人将承担全部责任，并承担所有赔偿费用。若发生任何大小安全事故或伤亡事故均由承包方承担赔偿</w:t>
      </w:r>
      <w:r>
        <w:rPr>
          <w:rFonts w:ascii="Times New Roman" w:hAnsi="Times New Roman" w:cs="Times New Roman"/>
          <w:color w:val="auto"/>
          <w:sz w:val="21"/>
          <w:szCs w:val="20"/>
          <w:highlight w:val="none"/>
          <w:u w:val="single"/>
          <w:lang w:val="en-US" w:bidi="ar-SA"/>
        </w:rPr>
        <w:t xml:space="preserve">责任</w:t>
      </w:r>
      <w:r>
        <w:rPr>
          <w:rFonts w:hint="eastAsia" w:ascii="Times New Roman" w:hAnsi="Times New Roman" w:cs="Times New Roman"/>
          <w:color w:val="auto"/>
          <w:sz w:val="21"/>
          <w:szCs w:val="20"/>
          <w:highlight w:val="none"/>
          <w:u w:val="single"/>
          <w:lang w:val="en-US" w:bidi="ar-SA"/>
        </w:rPr>
        <w:t xml:space="preserve">，发包方不承担任何责任，并根据事故大小对承包人收取每次1万元至5万元的违约金，在工程款中直接扣除。</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（2）如由于承包人不安全施工或其他违法违规等原因，导致发包人受到区级及以上行政主管部门处罚的，发包人将对承包人进行处罚，每发生一次扣除工程总价款的1%作为违约金。</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6.1.2关于治安保卫的特别约定：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关于编制施工场地治安管理计划的约定：</w:t>
      </w:r>
      <w:r>
        <w:rPr>
          <w:rFonts w:hint="eastAsia" w:ascii="Times New Roman" w:hAnsi="Times New Roman" w:cs="Times New Roman"/>
          <w:color w:val="auto"/>
          <w:sz w:val="21"/>
          <w:szCs w:val="20"/>
          <w:highlight w:val="none"/>
          <w:u w:val="single"/>
          <w:lang w:val="en-US" w:bidi="ar-SA"/>
        </w:rPr>
        <w:t xml:space="preserve">在开工前提交的施工组织设计中必须要有此部分内容</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6.1.3文明施工</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合同当事人对文明施工的要求：</w:t>
      </w:r>
      <w:r>
        <w:rPr>
          <w:rFonts w:hint="eastAsia" w:ascii="Times New Roman" w:hAnsi="Times New Roman" w:cs="Times New Roman"/>
          <w:color w:val="auto"/>
          <w:sz w:val="21"/>
          <w:szCs w:val="20"/>
          <w:highlight w:val="none"/>
          <w:u w:val="single"/>
          <w:lang w:val="en-US" w:bidi="ar-SA"/>
        </w:rPr>
        <w:t xml:space="preserve">达到《建筑施工安全检查标准》。</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（1）承包人须定期上报现场一线操作工人名单、人数、籍贯等。如有人员调整，必须及时通知发包人</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（2）施工人员未经允许不得进入已经交付的工程区域</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（3）承包人对施工范围内的安全防火承担责任</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w:t>
      </w:r>
      <w:r>
        <w:rPr>
          <w:rFonts w:ascii="Times New Roman" w:hAnsi="Times New Roman" w:cs="Times New Roman"/>
          <w:color w:val="auto"/>
          <w:sz w:val="21"/>
          <w:szCs w:val="20"/>
          <w:highlight w:val="none"/>
          <w:u w:val="single"/>
          <w:lang w:val="en-US" w:bidi="ar-SA"/>
        </w:rPr>
        <w:t xml:space="preserve">本</w:t>
      </w:r>
      <w:r>
        <w:rPr>
          <w:rFonts w:hint="eastAsia" w:ascii="Times New Roman" w:hAnsi="Times New Roman" w:cs="Times New Roman"/>
          <w:color w:val="auto"/>
          <w:sz w:val="21"/>
          <w:szCs w:val="20"/>
          <w:highlight w:val="none"/>
          <w:u w:val="single"/>
          <w:lang w:val="en-US" w:bidi="ar-SA"/>
        </w:rPr>
        <w:t xml:space="preserve">合同</w:t>
      </w:r>
      <w:r>
        <w:rPr>
          <w:rFonts w:ascii="Times New Roman" w:hAnsi="Times New Roman" w:cs="Times New Roman"/>
          <w:color w:val="auto"/>
          <w:sz w:val="21"/>
          <w:szCs w:val="20"/>
          <w:highlight w:val="none"/>
          <w:u w:val="single"/>
          <w:lang w:val="en-US" w:bidi="ar-SA"/>
        </w:rPr>
        <w:t xml:space="preserve">6.1.1(1)</w:t>
      </w:r>
      <w:r>
        <w:rPr>
          <w:rFonts w:hint="eastAsia" w:ascii="Times New Roman" w:hAnsi="Times New Roman" w:cs="Times New Roman"/>
          <w:color w:val="auto"/>
          <w:sz w:val="21"/>
          <w:szCs w:val="20"/>
          <w:highlight w:val="none"/>
          <w:u w:val="single"/>
          <w:lang w:val="en-US" w:bidi="ar-SA"/>
        </w:rPr>
        <w:t xml:space="preserve">追究</w:t>
      </w:r>
      <w:r>
        <w:rPr>
          <w:rFonts w:ascii="Times New Roman" w:hAnsi="Times New Roman" w:cs="Times New Roman"/>
          <w:color w:val="auto"/>
          <w:sz w:val="21"/>
          <w:szCs w:val="20"/>
          <w:highlight w:val="none"/>
          <w:u w:val="single"/>
          <w:lang w:val="en-US" w:bidi="ar-SA"/>
        </w:rPr>
        <w:t xml:space="preserve">承包人违约责任</w:t>
      </w:r>
      <w:r>
        <w:rPr>
          <w:rFonts w:hint="eastAsia" w:ascii="Times New Roman" w:hAnsi="Times New Roman" w:cs="Times New Roman"/>
          <w:color w:val="auto"/>
          <w:sz w:val="21"/>
          <w:szCs w:val="20"/>
          <w:highlight w:val="none"/>
          <w:u w:val="single"/>
          <w:lang w:val="en-US" w:bidi="ar-SA"/>
        </w:rPr>
        <w:t xml:space="preserve">。承包人负责施工现场的安全及第三方人身安全</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（6）施工期间必须做好场地清洁卫生，设置冲洗平台，做到净车出场，避免在场外道路上“抛、洒、滴、漏”。由此产生的责任由施工单位承担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（7）承包人严禁污水乱排放，将生活垃圾集中外运，达到标化现场要求</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（8）对施工场地内的已完工程、在建工程、管沟、管网等进行保护</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（9）施工期间必须挂牌上岗并统一着装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（10）禁止乱堆乱放材料与机械设备</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（11）预制场、土场必须设置标语牌（包括安全、质量、环境、操作规程等）</w:t>
      </w:r>
      <w:r>
        <w:rPr>
          <w:rFonts w:hint="eastAsia" w:ascii="Times New Roman" w:hAnsi="Times New Roman" w:cs="Times New Roman"/>
          <w:color w:val="auto"/>
          <w:sz w:val="21"/>
          <w:szCs w:val="20"/>
          <w:highlight w:val="none"/>
          <w:lang w:val="en-US" w:bidi="ar-SA"/>
        </w:rPr>
        <w:t xml:space="preserve">。</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6.1.4关于安全文明施工费支付比例和支付期限的约定：</w:t>
      </w:r>
      <w:r>
        <w:rPr>
          <w:rFonts w:hint="eastAsia" w:ascii="Times New Roman" w:hAnsi="Times New Roman" w:cs="Times New Roman"/>
          <w:color w:val="auto"/>
          <w:sz w:val="21"/>
          <w:szCs w:val="20"/>
          <w:highlight w:val="none"/>
          <w:u w:val="single"/>
          <w:lang w:val="en-US" w:bidi="ar-SA"/>
        </w:rPr>
        <w:t xml:space="preserve">纳入合同价格执行</w:t>
      </w:r>
      <w:r>
        <w:rPr>
          <w:rFonts w:hint="eastAsia" w:ascii="Times New Roman" w:hAnsi="Times New Roman" w:cs="Times New Roman"/>
          <w:color w:val="auto"/>
          <w:sz w:val="21"/>
          <w:szCs w:val="20"/>
          <w:highlight w:val="none"/>
          <w:lang w:val="en-US" w:bidi="ar-SA"/>
        </w:rPr>
        <w:t xml:space="preserve">。</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 工期和进度</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7.1 施工组织设计</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7.1.1 合同当事人约定的施工组织设计应包括的其他内容：</w:t>
      </w:r>
      <w:r>
        <w:rPr>
          <w:rFonts w:hint="eastAsia" w:ascii="Times New Roman" w:hAnsi="Times New Roman" w:cs="Times New Roman"/>
          <w:color w:val="auto"/>
          <w:sz w:val="21"/>
          <w:szCs w:val="20"/>
          <w:highlight w:val="none"/>
          <w:u w:val="single"/>
          <w:lang w:val="en-US" w:bidi="ar-SA"/>
        </w:rPr>
        <w:t xml:space="preserve">按招标或竞争性磋商文件约定，招标或竞争性磋商文件无约定按通用条款或双方另行约定。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7.1.2 施工组织设计的提交和修改</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承包人提交详细施工组织设计的期限的约定：</w:t>
      </w:r>
      <w:r>
        <w:rPr>
          <w:rFonts w:hint="eastAsia" w:ascii="Times New Roman" w:hAnsi="Times New Roman" w:cs="Times New Roman"/>
          <w:color w:val="auto"/>
          <w:sz w:val="21"/>
          <w:szCs w:val="20"/>
          <w:highlight w:val="none"/>
          <w:u w:val="single"/>
          <w:lang w:val="en-US" w:bidi="ar-SA"/>
        </w:rPr>
        <w:t xml:space="preserve">合同签订后7日内，向监理人提交详细的施工组织设计，并由监理人报送发包人</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发包人和监理人在收到详细的施工组织设计后确认或提出修改意见的期限：</w:t>
      </w:r>
      <w:r>
        <w:rPr>
          <w:rFonts w:hint="eastAsia" w:ascii="Times New Roman" w:hAnsi="Times New Roman" w:cs="Times New Roman"/>
          <w:color w:val="auto"/>
          <w:sz w:val="21"/>
          <w:szCs w:val="20"/>
          <w:highlight w:val="none"/>
          <w:u w:val="single"/>
          <w:lang w:val="en-US" w:bidi="ar-SA"/>
        </w:rPr>
        <w:t xml:space="preserve">发包人和监理人应在监理人收到施工组织设计后【 】日内确认或提出修改意见</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 .2 施工进度计划</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施工进度计划的修订</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发包人和监理人在收到修订的施工进度计划后确认或提出修改意见的期限：</w:t>
      </w:r>
      <w:r>
        <w:rPr>
          <w:rFonts w:hint="eastAsia" w:ascii="Times New Roman" w:hAnsi="Times New Roman" w:cs="Times New Roman"/>
          <w:color w:val="auto"/>
          <w:sz w:val="21"/>
          <w:szCs w:val="20"/>
          <w:highlight w:val="none"/>
          <w:u w:val="single"/>
          <w:lang w:val="en-US" w:bidi="ar-SA"/>
        </w:rPr>
        <w:t xml:space="preserve">发包人和监理人应在收到修订的施工进度计划后 7日内完成审核和批准或提出修改意见</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开工前七天承包人须向发包人、监理提出总进度计划。开工后承包人每周例会时须报周进度计划。承包人提供的施工组织设计必须是交发包人、监理方审核后的施工组织设计。</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7.3 开工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7.3.1 开工准备</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关于承包人提交工程开工报审表的期限：</w:t>
      </w:r>
      <w:r>
        <w:rPr>
          <w:rFonts w:hint="eastAsia" w:ascii="Times New Roman" w:hAnsi="Times New Roman" w:cs="Times New Roman"/>
          <w:color w:val="auto"/>
          <w:sz w:val="21"/>
          <w:szCs w:val="20"/>
          <w:highlight w:val="none"/>
          <w:u w:val="single"/>
          <w:lang w:val="en-US" w:bidi="ar-SA"/>
        </w:rPr>
        <w:t xml:space="preserve">合同签订后3日</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关于发包人应完成的其他开工准备工作及期限：</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关于承包人应完成的其他开工准备工作及期限：</w:t>
      </w:r>
      <w:r>
        <w:rPr>
          <w:rFonts w:hint="eastAsia" w:ascii="Times New Roman" w:hAnsi="Times New Roman" w:cs="Times New Roman"/>
          <w:color w:val="auto"/>
          <w:sz w:val="21"/>
          <w:szCs w:val="20"/>
          <w:highlight w:val="none"/>
          <w:u w:val="single"/>
          <w:lang w:val="en-US" w:bidi="ar-SA"/>
        </w:rPr>
        <w:t xml:space="preserve">临时设施搭建、材料、设备、人员等须在合同签订后3日内完成</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7.3.2开工通知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计划开工日期之日起</w:t>
      </w:r>
      <w:r>
        <w:rPr>
          <w:rFonts w:hint="eastAsia" w:ascii="Times New Roman" w:hAnsi="Times New Roman" w:cs="Times New Roman"/>
          <w:color w:val="auto"/>
          <w:sz w:val="21"/>
          <w:szCs w:val="20"/>
          <w:highlight w:val="none"/>
          <w:u w:val="single"/>
          <w:lang w:val="en-US" w:bidi="ar-SA"/>
        </w:rPr>
        <w:t xml:space="preserve"> 7 </w:t>
      </w:r>
      <w:r>
        <w:rPr>
          <w:rFonts w:hint="eastAsia" w:ascii="Times New Roman" w:hAnsi="Times New Roman" w:cs="Times New Roman"/>
          <w:color w:val="auto"/>
          <w:sz w:val="21"/>
          <w:szCs w:val="20"/>
          <w:highlight w:val="none"/>
          <w:lang w:val="en-US" w:bidi="ar-SA"/>
        </w:rPr>
        <w:t xml:space="preserve">天内发出开工通知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 7.4 测量放线</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发包人通过监理人向承包人提供测量基准点、基准线和水准点及其书面资料的期限：</w:t>
      </w:r>
      <w:r>
        <w:rPr>
          <w:rFonts w:hint="eastAsia" w:ascii="Times New Roman" w:hAnsi="Times New Roman" w:cs="Times New Roman"/>
          <w:color w:val="auto"/>
          <w:sz w:val="21"/>
          <w:szCs w:val="20"/>
          <w:highlight w:val="none"/>
          <w:u w:val="single"/>
          <w:lang w:val="en-US" w:bidi="ar-SA"/>
        </w:rPr>
        <w:t xml:space="preserve">开工前。</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7.5 工期延误</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7.5.1 因发包人原因导致工期延误</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因发包人原因导致工期延误的其他情形：</w:t>
      </w:r>
      <w:r>
        <w:rPr>
          <w:rFonts w:hint="eastAsia" w:ascii="Times New Roman" w:hAnsi="Times New Roman" w:cs="Times New Roman"/>
          <w:color w:val="auto"/>
          <w:sz w:val="21"/>
          <w:szCs w:val="20"/>
          <w:highlight w:val="none"/>
          <w:u w:val="single"/>
          <w:lang w:val="en-US" w:bidi="ar-SA"/>
        </w:rPr>
        <w:t xml:space="preserve">由于发包人原因和国家行政相关要求的停工（非承包方的责任），须由承包人书面提出，并经监理人和发包人同意并共同签证，工期方可顺延。对此，承包人同意在工期顺延的情况下不要求经济补偿或赔偿</w:t>
      </w:r>
      <w:r>
        <w:rPr>
          <w:rFonts w:hint="eastAsia" w:ascii="Times New Roman" w:hAnsi="Times New Roman" w:cs="Times New Roman"/>
          <w:color w:val="auto"/>
          <w:sz w:val="21"/>
          <w:szCs w:val="20"/>
          <w:highlight w:val="none"/>
          <w:lang w:val="en-US" w:bidi="ar-SA"/>
        </w:rPr>
        <w:t xml:space="preserve">。</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7.5.2 因承包人原因导致工期延误</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因承包人原因造成工期延误，逾期竣工违约金的计算方法为：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不能按合同总工期竣工，每推迟一天，承包人向发包人支付合同价款1%作为违约金。因承包人原因造成工期延误，逾期竣工违约金的上限：合同价款的30%，如因承包人原因造成工期延误计算出的违约金超过上限（合同价款的30%），则视为承包人构成严重违约，发包人有权单方解除合同，并要求承包人并赔偿发包人损失。</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 .6 不利物质条件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不利物质条件的其他情形和有关约定：</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 .7异常恶劣的气候条件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发包人和承包人同意以下情形视为异常恶劣的气候条件：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7.8提前竣工的奖励</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提前竣工的奖励：</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8. 材料与设备</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8 .1材料与工程设备的保管与使用</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8 .1.1发包人供应的材料设备的保管费用的承担：</w:t>
      </w:r>
      <w:r>
        <w:rPr>
          <w:rFonts w:hint="eastAsia" w:ascii="Times New Roman" w:hAnsi="Times New Roman" w:cs="Times New Roman"/>
          <w:color w:val="auto"/>
          <w:sz w:val="21"/>
          <w:szCs w:val="20"/>
          <w:highlight w:val="none"/>
          <w:u w:val="single"/>
          <w:lang w:val="en-US" w:bidi="ar-SA"/>
        </w:rPr>
        <w:t xml:space="preserve">发包人供应的材料</w:t>
      </w:r>
      <w:r>
        <w:rPr>
          <w:rFonts w:hint="eastAsia" w:ascii="Times New Roman" w:hAnsi="Times New Roman" w:cs="Times New Roman"/>
          <w:color w:val="auto"/>
          <w:sz w:val="21"/>
          <w:szCs w:val="20"/>
          <w:highlight w:val="none"/>
          <w:lang w:val="en-US" w:bidi="ar-SA"/>
        </w:rPr>
        <w:t xml:space="preserve">和</w:t>
      </w:r>
      <w:r>
        <w:rPr>
          <w:rFonts w:hint="eastAsia" w:ascii="Times New Roman" w:hAnsi="Times New Roman" w:cs="Times New Roman"/>
          <w:color w:val="auto"/>
          <w:sz w:val="21"/>
          <w:szCs w:val="20"/>
          <w:highlight w:val="none"/>
          <w:u w:val="single"/>
          <w:lang w:val="en-US" w:bidi="ar-SA"/>
        </w:rPr>
        <w:t xml:space="preserve">设备</w:t>
      </w:r>
      <w:r>
        <w:rPr>
          <w:rFonts w:hint="eastAsia" w:ascii="Times New Roman" w:hAnsi="Times New Roman" w:cs="Times New Roman"/>
          <w:color w:val="auto"/>
          <w:sz w:val="21"/>
          <w:szCs w:val="20"/>
          <w:highlight w:val="none"/>
          <w:lang w:val="en-US" w:bidi="ar-SA"/>
        </w:rPr>
        <w:t xml:space="preserve">，由承包人清点后由承包人妥善保管，</w:t>
      </w:r>
      <w:r>
        <w:rPr>
          <w:rFonts w:hint="eastAsia" w:ascii="Times New Roman" w:hAnsi="Times New Roman" w:cs="Times New Roman"/>
          <w:color w:val="auto"/>
          <w:sz w:val="21"/>
          <w:szCs w:val="20"/>
          <w:highlight w:val="none"/>
          <w:u w:val="single"/>
          <w:lang w:val="en-US" w:bidi="ar-SA"/>
        </w:rPr>
        <w:t xml:space="preserve">保管费用含在投标报价中，发包人不另行支付，承包人承担所供应设备的保管费用</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双方约定由承包人采购的材料必须符合有关规范规定的质量要求、环保要求以及以及投标时的样板要求和发包人验收要求，必须有详细的质保书及复试报告，且在进场前经发包人、设计人和监理人和监理方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r/>
    </w:p>
    <w:p>
      <w:pPr>
        <w:ind w:firstLine="525"/>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本项目材料在招标或竞争性磋商文件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8.2样品</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样品的报送与封存</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需要承包人报送样品的材料或工程设备，样品的种类、名称、规格、数量要求：</w:t>
      </w:r>
      <w:r>
        <w:rPr>
          <w:rFonts w:hint="eastAsia" w:ascii="Times New Roman" w:hAnsi="Times New Roman" w:cs="Times New Roman"/>
          <w:color w:val="auto"/>
          <w:sz w:val="21"/>
          <w:szCs w:val="20"/>
          <w:highlight w:val="none"/>
          <w:u w:val="single"/>
          <w:lang w:val="en-US" w:bidi="ar-SA"/>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8.3施工设备和临时设施</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承包人提供的施工设备和临时设施</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关于修建临时设施费用承担的约定：承包人确认已经</w:t>
      </w:r>
      <w:r>
        <w:rPr>
          <w:rFonts w:hint="eastAsia" w:ascii="Times New Roman" w:hAnsi="Times New Roman" w:cs="Times New Roman"/>
          <w:color w:val="auto"/>
          <w:sz w:val="21"/>
          <w:szCs w:val="20"/>
          <w:highlight w:val="none"/>
          <w:u w:val="single"/>
          <w:lang w:val="en-US" w:bidi="ar-SA"/>
        </w:rPr>
        <w:t xml:space="preserve">计入投标报价中</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9 . 试验与检验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9.1试验设备与试验人员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施工现场需要配置的试验场所：</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施工现场需要配备的试验设备：</w:t>
      </w:r>
      <w:r>
        <w:rPr>
          <w:rFonts w:hint="eastAsia" w:ascii="Times New Roman" w:hAnsi="Times New Roman" w:cs="Times New Roman"/>
          <w:color w:val="auto"/>
          <w:sz w:val="21"/>
          <w:szCs w:val="20"/>
          <w:highlight w:val="none"/>
          <w:u w:val="single"/>
          <w:lang w:val="en-US" w:bidi="ar-SA"/>
        </w:rPr>
        <w:t xml:space="preserve">水准仪、测量仪等</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施工现场需要具备的其他试验条件：</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9.2现场工艺试验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现场工艺试验的有关约定：</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 变更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10.1变更的范围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关于变更的范围的约定：</w:t>
      </w:r>
      <w:r>
        <w:rPr>
          <w:rFonts w:hint="eastAsia" w:ascii="Times New Roman" w:hAnsi="Times New Roman" w:cs="Times New Roman"/>
          <w:color w:val="auto"/>
          <w:sz w:val="21"/>
          <w:szCs w:val="20"/>
          <w:highlight w:val="none"/>
          <w:u w:val="single"/>
          <w:lang w:val="en-US" w:bidi="ar-SA"/>
        </w:rPr>
        <w:t xml:space="preserve">发包人认可经发包人审核、批准后的设计变更；发包人和监理方均认可经发包人和监理方审核、批准后的工程签证</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10.2工程设计变更</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10.2.1 发包人有可能根据工程需要修改施工图或发出指令增加或减少工程量，工程量不论增减多少，承包人均应无条件服从。承包人拒不接受和服从的，发包人有权单方解除合同、要求承包人无条件退场。施工中发包人需对原工程设计进行变更的，应提前 7 天以书面形式向承包人发出变更通知。承包人按照监理工程师发出的变更通知及有关要求，进行下列需要的变更：</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(1 )更改工程有关部分的标高、基线、位置和尺寸；</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 增减合同中约定的工程量；</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(3) 改变有关工程的施工时间和顺序；</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(4) 其他有关工程变更需要的附加工作。</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因发包人变更导致延误的工期可相应顺延。</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10.2.2 施工中承包人不得对原工程设计进行变更。因承包人擅自变更设计发生的费用和由此导致发包人的直接损失，由承包人承担，延误的工期不予顺延。</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10.3其他变更</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10.3.1 发包人保留变更或调整工程量的权力，承包人不得拒绝变更，更不得以变更为由提出不合理的要求；</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10.3.2 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10.3.3 变更导致工期的顺延时间以监理工程师审核、发包人批准为准。</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10.3.4承包人提出的工程变更申请必须严格按照发包人规定的工程变更管理流程执行，涉及主体结构的变更内容必须经设计单位确认。</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10.3.6 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10.3.7 办理签证时，变更、签证结算费用编制应按“一单一价”的原则，即每一份变更、签证附一份造价核定单。一份造价核定单上只能申报一项内容。签证原件1式4份，发包人二份、监理一份、承包人保留一份。</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10.3.8 为避免签证出现混乱、重复结算，承包人在办理签证时必须明确每份签证的具体原因、施工部位、施工时间、签证的编号等，否则，该签证为无效签证。</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10.4 确定变更价款</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10.4.1 承包人在工程变更、现场签证确定后14天内，完成变更申报及签证手续，提出变更工程价款的报告，经须经发包人、工程监理、跟踪审计三方确认后调整合同价款。变更合同价款按下列方法进行：</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 合同中已有适用于变更工程的价格，按合同已有的价格变更合同价款；</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 合同中只有类似于变更工程的价格，可以参照类似价格变更合同价款；</w:t>
      </w:r>
      <w:r/>
    </w:p>
    <w:p>
      <w:pPr>
        <w:jc w:val="both"/>
        <w:spacing w:line="460" w:lineRule="exact"/>
        <w:rPr>
          <w:rFonts w:ascii="Times New Roman" w:hAnsi="Times New Roman" w:cs="Times New Roman"/>
          <w:strike/>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(3) 合同中没有适用或类似于变更工程的价格，按《江苏省建筑工程计价表》等现行省计价表以及南京市建筑委员会关于贯彻执行《建设工程工程量清单计价规范》</w:t>
      </w:r>
      <w:r>
        <w:rPr>
          <w:rFonts w:ascii="Times New Roman" w:hAnsi="Times New Roman" w:cs="Times New Roman"/>
          <w:color w:val="auto"/>
          <w:sz w:val="21"/>
          <w:szCs w:val="20"/>
          <w:highlight w:val="none"/>
          <w:u w:val="single"/>
          <w:lang w:val="en-US" w:bidi="ar-SA"/>
        </w:rPr>
        <w:t xml:space="preserve">(GB/T50500-2024）</w:t>
      </w:r>
      <w:r>
        <w:rPr>
          <w:rFonts w:hint="eastAsia" w:ascii="Times New Roman" w:hAnsi="Times New Roman" w:cs="Times New Roman"/>
          <w:color w:val="auto"/>
          <w:sz w:val="21"/>
          <w:szCs w:val="20"/>
          <w:highlight w:val="none"/>
          <w:u w:val="single"/>
          <w:lang w:val="en-US" w:bidi="ar-SA"/>
        </w:rPr>
        <w:t xml:space="preserve">的通知规定计算。参照一次磋商报价中价格组成因素（相关费率、人工、材料、机械价格，如一次磋商报价中没有相应价格，依次按照南京工程造价管理的信息价格、市场询价次序确定）提出变更工程项目的单价，报发包人及项目造价咨询人（跟踪审计单位）确认后，并执行中标金额相比一次磋商报价下浮比例，作为变更的送审结算报价。</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10.4.2 承包人在双方确定变更、现场签证后14天内不向发包人提出变更程价款报告时，视为该项变更、签证不涉及合同价款的变更。</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10.4.3 因承包人自身原因导致的工程变更，承包人无权要求追加合同价款。</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10.4.4不同金额的变更签证由发包人实行分级授权制度：</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（1）对于变更、签证计价及结算的约定：</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1）工程变更签证的审批程序：</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a、工程变更签证的情形发生后，承包人将工程变更签证报监理组初审，监理工程师在签证单上签署审核意见（如需现场计量，监理单位应提前24小时通知项目代表、跟踪审计咨询人员到场）；</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b、监理组初审批准后报发包人代表，由发包人代表将监理工程师初审批准的相关资料送跟踪审计咨询人员，跟踪审计咨询人员审核后在签证单上签署审核意见；</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c、项目代表根据监理工程师和跟踪审计咨询人员的审核意见，对所报资料进行审核，并按审批权限报相关领导批准后在签证单上签署审核意见。</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2）有效工程签证的认定原则：签证单上必须有发包人代表、跟踪审计咨询人员、监理工程师、承包人项目经理及项目部（项目经理签字、项目部盖章）四方代表的签字和单位盖章，方可作为竣工结算的依据；签证单上必须明确签证的原因、位置、尺寸、数量、材料、人工、机械台班、价格等和签证时间。</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3）关于临时用工的签证事项，双方应在签证通知单上协商确定以下问题：工作内容及工作量、工作时间、工作人数、取定的人工单价（是综合单价，已含管理费和利润）。</w:t>
      </w:r>
      <w:r/>
    </w:p>
    <w:p>
      <w:pPr>
        <w:jc w:val="both"/>
        <w:spacing w:line="460" w:lineRule="exact"/>
        <w:rPr>
          <w:color w:val="auto"/>
          <w:sz w:val="21"/>
          <w:szCs w:val="21"/>
          <w:highlight w:val="none"/>
          <w:u w:val="single"/>
          <w:lang w:val="en-US" w:bidi="ar-SA"/>
        </w:rPr>
      </w:pPr>
      <w:r>
        <w:rPr>
          <w:rFonts w:hint="eastAsia"/>
          <w:color w:val="auto"/>
          <w:sz w:val="21"/>
          <w:szCs w:val="21"/>
          <w:highlight w:val="none"/>
          <w:u w:val="single"/>
          <w:lang w:val="en-US" w:bidi="ar-SA"/>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10.5变更估价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变更估价原则</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关于变更估价的约定：</w:t>
      </w:r>
      <w:r>
        <w:rPr>
          <w:rFonts w:hint="eastAsia" w:ascii="Times New Roman" w:hAnsi="Times New Roman" w:cs="Times New Roman"/>
          <w:color w:val="auto"/>
          <w:sz w:val="21"/>
          <w:szCs w:val="20"/>
          <w:highlight w:val="none"/>
          <w:u w:val="single"/>
          <w:lang w:val="en-US" w:bidi="ar-SA"/>
        </w:rPr>
        <w:t xml:space="preserve">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 0.6承包人的合理化建议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监理人审查承包人合理化建议的期限：</w:t>
      </w:r>
      <w:r>
        <w:rPr>
          <w:rFonts w:hint="eastAsia" w:ascii="Times New Roman" w:hAnsi="Times New Roman" w:cs="Times New Roman"/>
          <w:color w:val="auto"/>
          <w:sz w:val="21"/>
          <w:szCs w:val="20"/>
          <w:highlight w:val="none"/>
          <w:u w:val="single"/>
          <w:lang w:val="en-US" w:bidi="ar-SA"/>
        </w:rPr>
        <w:t xml:space="preserve">收到建议之日起3日</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发包人审批承包人合理化建议的期限：</w:t>
      </w:r>
      <w:r>
        <w:rPr>
          <w:rFonts w:hint="eastAsia" w:ascii="Times New Roman" w:hAnsi="Times New Roman" w:cs="Times New Roman"/>
          <w:color w:val="auto"/>
          <w:sz w:val="21"/>
          <w:szCs w:val="20"/>
          <w:highlight w:val="none"/>
          <w:u w:val="single"/>
          <w:lang w:val="en-US" w:bidi="ar-SA"/>
        </w:rPr>
        <w:t xml:space="preserve">收到建议之日起3日</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承包人提出的合理化建议降低了合同价格或者提高了工程经济效益的奖励的方法和金额为：</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10.7 暂估价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本项目无暂估价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 0.7.1 依法必须招标的暂估价项目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对于依法必须招标的暂估价项目的确认和批准采取第</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种方式确定。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10.7.2 不属于依法必须招标的暂估价项目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对于不属于依法必须招标的暂估价项目的确认和批准采取第</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种方式确定。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第3种方式：承包人直接实施的暂估价项目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承包人直接实施的暂估价项目的约定：</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10.8 暂列金额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合同当事人关于暂列金额使用的约定：暂列金额应按照发包人的要求使用。</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 价格调整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11.1 市场价格波动引起的调整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市场价格波动是否调整合同价格的约定：</w:t>
      </w:r>
      <w:r>
        <w:rPr>
          <w:rFonts w:hint="eastAsia" w:ascii="Times New Roman" w:hAnsi="Times New Roman" w:cs="Times New Roman"/>
          <w:color w:val="auto"/>
          <w:sz w:val="21"/>
          <w:szCs w:val="20"/>
          <w:highlight w:val="none"/>
          <w:u w:val="single"/>
          <w:lang w:val="en-US" w:bidi="ar-SA"/>
        </w:rPr>
        <w:t xml:space="preserve">不调整</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因市场价格波动调整合同价格，采用以下第</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种方式对合同价格进行调整：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第1种方式：采用价格指数进行价格调整。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关于各可调因子、定值和变值权重，以及基本价格指数及其来源的约定：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第2种方式：采用造价信息进行价格调整。</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 合同价格、计量与支付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12.1 合同价格形式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1、单价合同：</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综合单价包含的风险范围：</w:t>
      </w:r>
      <w:r>
        <w:rPr>
          <w:rFonts w:hint="eastAsia" w:ascii="Times New Roman" w:hAnsi="Times New Roman" w:cs="Times New Roman"/>
          <w:color w:val="auto"/>
          <w:sz w:val="21"/>
          <w:szCs w:val="20"/>
          <w:highlight w:val="none"/>
          <w:u w:val="single"/>
          <w:lang w:val="en-US" w:bidi="ar-SA"/>
        </w:rPr>
        <w:t xml:space="preserve">已包含所有风险</w:t>
      </w:r>
      <w:r>
        <w:rPr>
          <w:rFonts w:hint="eastAsia" w:ascii="Times New Roman" w:hAnsi="Times New Roman" w:cs="Times New Roman"/>
          <w:color w:val="auto"/>
          <w:sz w:val="21"/>
          <w:szCs w:val="20"/>
          <w:highlight w:val="none"/>
          <w:lang w:val="en-US" w:bidi="ar-SA"/>
        </w:rPr>
        <w:t xml:space="preserve">。</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风险费用的计算方法：</w:t>
      </w:r>
      <w:r>
        <w:rPr>
          <w:rFonts w:hint="eastAsia" w:ascii="Times New Roman" w:hAnsi="Times New Roman" w:cs="Times New Roman"/>
          <w:color w:val="auto"/>
          <w:sz w:val="21"/>
          <w:szCs w:val="20"/>
          <w:highlight w:val="none"/>
          <w:u w:val="single"/>
          <w:lang w:val="en-US" w:bidi="ar-SA"/>
        </w:rPr>
        <w:t xml:space="preserve">风险费用已包含在报价中,不予调整</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风险范围以外合同价格的调整方法：</w:t>
      </w:r>
      <w:r>
        <w:rPr>
          <w:rFonts w:hint="eastAsia" w:ascii="Times New Roman" w:hAnsi="Times New Roman" w:cs="Times New Roman"/>
          <w:color w:val="auto"/>
          <w:sz w:val="21"/>
          <w:szCs w:val="20"/>
          <w:highlight w:val="none"/>
          <w:u w:val="single"/>
          <w:lang w:val="en-US" w:bidi="ar-SA"/>
        </w:rPr>
        <w:t xml:space="preserve">①工程设计变更及签证以及发包人另行委托施工的追加的工程，结算时必须提供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w:t>
      </w:r>
      <w:r>
        <w:rPr>
          <w:rFonts w:hint="eastAsia" w:ascii="Times New Roman" w:hAnsi="Times New Roman" w:cs="Times New Roman"/>
          <w:color w:val="auto"/>
          <w:sz w:val="21"/>
          <w:szCs w:val="20"/>
          <w:highlight w:val="none"/>
          <w:u w:val="single"/>
          <w:lang w:val="en-US" w:bidi="ar-SA"/>
        </w:rPr>
        <w:t xml:space="preserve">于变更工程价格的，可参照此价格确定变更合同价款；③合同中没有适用或类似于变更工程价格，按《江苏省建筑工程计价表》等现行省计价表以及南京市建筑委员会关于贯彻执行《建设工程量清单计价规范》(GB50500-2013)的通知规定计算，参照一次磋商报价中价格组成因素（相关费率、人工、材料、机械价格，如一次磋商报价中没有相应价格，依次按照南京工程造价管理的信息价格、市场询价次序确定）提出变更工程项目的单价，报发包人及项目造价咨询人（跟踪审计单位）确认后，并执行中标金额相比一次磋商报价下浮比例，作为变更的送审结算报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2、总价合同。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总价包含的风险范围：</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风险费用的计算方法：</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风险范围以外合同价格的调整方法：</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3、其他价格方式：</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12.2 预付款</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12.2.1 预付款的支付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预付款支付比例或金额：</w:t>
      </w:r>
      <w:r>
        <w:rPr>
          <w:rFonts w:hint="eastAsia" w:ascii="Times New Roman" w:hAnsi="Times New Roman" w:cs="Times New Roman"/>
          <w:color w:val="auto"/>
          <w:sz w:val="21"/>
          <w:szCs w:val="20"/>
          <w:highlight w:val="none"/>
          <w:u w:val="single"/>
          <w:lang w:val="en-US" w:eastAsia="zh-CN"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预付款支付期限：</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预付款扣回的方式：</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12.2.2 预付款担保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承包人提交预付款担保的期限：</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预付款担保的形式为：</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 计量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12.3.1 计量原则</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工程量计算规则：</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工程量计量按照合同约定的工程量计算规则、图纸及变更指示等进行计量。工程量计算规则应以相关的国家标准、行业标准等为依据，由合同当事人在专用合同条款中约定。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12.3.2 计量周期</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关于计量周期的约定：</w:t>
      </w:r>
      <w:r>
        <w:rPr>
          <w:rFonts w:hint="eastAsia" w:ascii="Times New Roman" w:hAnsi="Times New Roman" w:cs="Times New Roman"/>
          <w:color w:val="auto"/>
          <w:sz w:val="21"/>
          <w:szCs w:val="20"/>
          <w:highlight w:val="none"/>
          <w:u w:val="singl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12.3.3 单价合同的计量</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关于单价合同计量的约定：</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除专用合同条款另有约定外，单价合同的计量按照本项约定执行：</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（1）承包人应于每月25日向监理人报送上月20日至当月19日已完成的工程量报告，并附具进度付款申请单、已完成工程量报表和有关资料。</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（3）监理人和发包人在收到承包人提交的工程量报表后的</w:t>
      </w:r>
      <w:r>
        <w:rPr>
          <w:rFonts w:ascii="Times New Roman" w:hAnsi="Times New Roman" w:cs="Times New Roman"/>
          <w:color w:val="auto"/>
          <w:sz w:val="21"/>
          <w:szCs w:val="20"/>
          <w:highlight w:val="none"/>
          <w:u w:val="single"/>
          <w:lang w:val="en-US" w:bidi="ar-SA"/>
        </w:rPr>
        <w:t xml:space="preserve">14</w:t>
      </w:r>
      <w:r>
        <w:rPr>
          <w:rFonts w:hint="eastAsia" w:ascii="Times New Roman" w:hAnsi="Times New Roman" w:cs="Times New Roman"/>
          <w:color w:val="auto"/>
          <w:sz w:val="21"/>
          <w:szCs w:val="20"/>
          <w:highlight w:val="none"/>
          <w:u w:val="single"/>
          <w:lang w:val="en-US" w:bidi="ar-SA"/>
        </w:rPr>
        <w:t xml:space="preserve">天内完成审核。</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12.3.4 总价合同的计量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关于总价合同计量的约定：</w:t>
      </w:r>
      <w:r>
        <w:rPr>
          <w:rFonts w:hint="eastAsia" w:ascii="Times New Roman" w:hAnsi="Times New Roman" w:cs="Times New Roman"/>
          <w:color w:val="auto"/>
          <w:sz w:val="21"/>
          <w:szCs w:val="20"/>
          <w:highlight w:val="none"/>
          <w:u w:val="single"/>
          <w:lang w:val="en-US" w:bidi="ar-SA"/>
        </w:rPr>
        <w:t xml:space="preserve">不采用</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12.3.5总价合同采用支付分解表计量支付的，是否适用第12.3.4 项〔总价合同的计量〕约定进行计量：</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12.3.6 其他价格形式合同的计量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其他价格形式的计量方式和程序：</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12.4 工程进度款支付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12.4.1 付款周期</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关于付款周期的约定：</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u w:val="single"/>
          <w:lang w:val="en-US" w:eastAsia="zh-CN" w:bidi="ar-SA"/>
        </w:rPr>
        <w:t xml:space="preserve">1</w:t>
      </w:r>
      <w:r>
        <w:rPr>
          <w:rFonts w:ascii="Times New Roman" w:hAnsi="Times New Roman" w:cs="Times New Roman"/>
          <w:color w:val="auto"/>
          <w:sz w:val="21"/>
          <w:szCs w:val="20"/>
          <w:highlight w:val="none"/>
          <w:u w:val="single"/>
          <w:lang w:val="en-US" w:bidi="ar-SA"/>
        </w:rPr>
        <w:t xml:space="preserve">）工程结束，项目竣工验收完毕后，配合</w:t>
      </w:r>
      <w:r>
        <w:rPr>
          <w:rFonts w:hint="eastAsia" w:ascii="Times New Roman" w:hAnsi="Times New Roman" w:cs="Times New Roman"/>
          <w:color w:val="auto"/>
          <w:sz w:val="21"/>
          <w:szCs w:val="20"/>
          <w:highlight w:val="none"/>
          <w:u w:val="single"/>
          <w:lang w:val="en-US" w:eastAsia="zh-CN" w:bidi="ar-SA"/>
        </w:rPr>
        <w:t xml:space="preserve">甲方</w:t>
      </w:r>
      <w:r>
        <w:rPr>
          <w:rFonts w:ascii="Times New Roman" w:hAnsi="Times New Roman" w:cs="Times New Roman"/>
          <w:color w:val="auto"/>
          <w:sz w:val="21"/>
          <w:szCs w:val="20"/>
          <w:highlight w:val="none"/>
          <w:u w:val="single"/>
          <w:lang w:val="en-US" w:bidi="ar-SA"/>
        </w:rPr>
        <w:t xml:space="preserve">进行固定资产登记。相关工作完成后，乙方应在60日内按甲方要求将项目结算资料送交甲方审计部门审计（</w:t>
      </w:r>
      <w:r>
        <w:rPr>
          <w:rFonts w:hint="eastAsia" w:ascii="Times New Roman" w:hAnsi="Times New Roman" w:cs="Times New Roman"/>
          <w:color w:val="auto"/>
          <w:sz w:val="21"/>
          <w:szCs w:val="20"/>
          <w:highlight w:val="none"/>
          <w:u w:val="single"/>
          <w:lang w:val="en-US" w:bidi="ar-SA"/>
        </w:rPr>
        <w:t xml:space="preserve">含甲方需要的固定资产设备入库登记材料</w:t>
      </w:r>
      <w:r>
        <w:rPr>
          <w:rFonts w:ascii="Times New Roman" w:hAnsi="Times New Roman" w:cs="Times New Roman"/>
          <w:color w:val="auto"/>
          <w:sz w:val="21"/>
          <w:szCs w:val="20"/>
          <w:highlight w:val="none"/>
          <w:u w:val="single"/>
          <w:lang w:val="en-US" w:bidi="ar-SA"/>
        </w:rPr>
        <w:t xml:space="preserve">），甲方审计部门对乙方出具的项目结算资料无异议后15日内，承包人提供与当期应付款项金额相一致的足额发票，发包人向承包人付至合同暂定价的70％。</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u w:val="single"/>
          <w:lang w:val="en-US" w:eastAsia="zh-CN" w:bidi="ar-SA"/>
        </w:rPr>
        <w:t xml:space="preserve">2</w:t>
      </w:r>
      <w:r>
        <w:rPr>
          <w:rFonts w:ascii="Times New Roman" w:hAnsi="Times New Roman" w:cs="Times New Roman"/>
          <w:color w:val="auto"/>
          <w:sz w:val="21"/>
          <w:szCs w:val="20"/>
          <w:highlight w:val="none"/>
          <w:u w:val="single"/>
          <w:lang w:val="en-US" w:bidi="ar-SA"/>
        </w:rPr>
        <w:t xml:space="preserve">）项目决算审计结束后十五个工作日内，甲方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每次付款前承包人必须提供发票开具方与承包人、金额与当期应付款金额均相一致的，且符合国家规定的增值税专用发票。</w:t>
      </w:r>
      <w:r/>
    </w:p>
    <w:p>
      <w:pPr>
        <w:jc w:val="both"/>
        <w:spacing w:line="360" w:lineRule="auto"/>
        <w:rPr>
          <w:rFonts w:ascii="仿宋" w:hAnsi="仿宋" w:eastAsia="仿宋" w:cs="仿宋"/>
          <w:color w:val="auto"/>
          <w:sz w:val="24"/>
          <w:szCs w:val="24"/>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发包人支付给承包人的工程进度款承包人只能用于与本工程相关的劳力、材料、机械等费用，如工程进度款用于支付与本工程无关的费用，发包人有权拒付。</w:t>
      </w:r>
      <w:r/>
    </w:p>
    <w:p>
      <w:pPr>
        <w:jc w:val="both"/>
        <w:spacing w:line="44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注：在达到相应的付款节点后，承包人应向发包人提出书面付款申请，写明收款账号，并开具等额发票，在工程审计完成后，承包人应开齐对应审定价的全额发票，经发包人审核无误后支付。承包人前述手续不全的，发包人有权暂停支付相关款项。</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12.4.2 进度付款申请单的编制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关于进度付款申请单编制的约定：</w:t>
      </w:r>
      <w:r>
        <w:rPr>
          <w:rFonts w:hint="eastAsia" w:ascii="Times New Roman" w:hAnsi="Times New Roman" w:cs="Times New Roman"/>
          <w:color w:val="auto"/>
          <w:sz w:val="21"/>
          <w:szCs w:val="20"/>
          <w:highlight w:val="none"/>
          <w:u w:val="single"/>
          <w:lang w:val="en-US" w:bidi="ar-SA"/>
        </w:rPr>
        <w:t xml:space="preserve">按通用条款执行</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12.4.3 进度付款申请单的提交</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（1）单价合同进度付款申请单提交的约定：</w:t>
      </w:r>
      <w:r>
        <w:rPr>
          <w:rFonts w:hint="eastAsia" w:ascii="Times New Roman" w:hAnsi="Times New Roman" w:cs="Times New Roman"/>
          <w:color w:val="auto"/>
          <w:sz w:val="21"/>
          <w:szCs w:val="20"/>
          <w:highlight w:val="none"/>
          <w:u w:val="single"/>
          <w:lang w:val="en-US" w:bidi="ar-SA"/>
        </w:rPr>
        <w:t xml:space="preserve">所有工程款支付均须有发包人、监理、跟踪审计三方代表签字确认工作量和付款意见后，发包人才予办理工程款支付的手续；</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所有合同外增加的工作内容和工程变更调整的价款，一律不作为进度款支付的计算基数，须待竣工结算审计后与工程款结算款同期支付。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（2）总价合同进度付款申请单提交的约定：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（3）其他价格形式合同进度付款申请单提交的约定：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12.4.4 进度款审核和支付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（1）监理人审查并报送发包人的期限：</w:t>
      </w:r>
      <w:r>
        <w:rPr>
          <w:rFonts w:hint="eastAsia" w:ascii="Times New Roman" w:hAnsi="Times New Roman" w:cs="Times New Roman"/>
          <w:color w:val="auto"/>
          <w:sz w:val="21"/>
          <w:szCs w:val="20"/>
          <w:highlight w:val="none"/>
          <w:u w:val="single"/>
          <w:lang w:val="en-US" w:bidi="ar-SA"/>
        </w:rPr>
        <w:t xml:space="preserve">按专用条款执行</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发包人完成审批并签发进度款支付证书的期限：</w:t>
      </w:r>
      <w:r>
        <w:rPr>
          <w:rFonts w:hint="eastAsia" w:ascii="Times New Roman" w:hAnsi="Times New Roman" w:cs="Times New Roman"/>
          <w:color w:val="auto"/>
          <w:sz w:val="21"/>
          <w:szCs w:val="20"/>
          <w:highlight w:val="none"/>
          <w:u w:val="single"/>
          <w:lang w:val="en-US" w:bidi="ar-SA"/>
        </w:rPr>
        <w:t xml:space="preserve">按专用条款执行</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（2）发包人支付进度款的期限：</w:t>
      </w:r>
      <w:r>
        <w:rPr>
          <w:rFonts w:hint="eastAsia" w:ascii="Times New Roman" w:hAnsi="Times New Roman" w:cs="Times New Roman"/>
          <w:color w:val="auto"/>
          <w:sz w:val="21"/>
          <w:szCs w:val="20"/>
          <w:highlight w:val="none"/>
          <w:u w:val="single"/>
          <w:lang w:val="en-US" w:bidi="ar-SA"/>
        </w:rPr>
        <w:t xml:space="preserve">按专用条款执行</w:t>
      </w:r>
      <w:r>
        <w:rPr>
          <w:rFonts w:hint="eastAsia" w:ascii="Times New Roman" w:hAnsi="Times New Roman" w:cs="Times New Roman"/>
          <w:color w:val="auto"/>
          <w:sz w:val="21"/>
          <w:szCs w:val="20"/>
          <w:highlight w:val="none"/>
          <w:lang w:val="en-US" w:bidi="ar-SA"/>
        </w:rPr>
        <w:t xml:space="preserve">。</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发包人逾期支付进度款的违约金的计算方式：</w:t>
      </w:r>
      <w:r/>
    </w:p>
    <w:p>
      <w:pPr>
        <w:jc w:val="both"/>
        <w:spacing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u w:val="single"/>
          <w:lang w:val="en-US" w:bidi="ar-SA"/>
        </w:rPr>
        <w:t xml:space="preserve">按同期全国银行间同业拆借中心公布的贷款市场报价利率计算利息</w:t>
      </w:r>
      <w:r>
        <w:rPr>
          <w:rFonts w:hint="eastAsia" w:ascii="Times New Roman" w:hAnsi="Times New Roman" w:cs="Times New Roman"/>
          <w:color w:val="auto"/>
          <w:sz w:val="21"/>
          <w:szCs w:val="20"/>
          <w:highlight w:val="none"/>
          <w:lang w:val="en-US" w:bidi="ar-SA"/>
        </w:rPr>
        <w:t xml:space="preserve">。承包人理解发包人高校财务付款制度的特殊性，自愿放弃违约金主张。</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12.4.5支付分解表的编制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1、总价合同支付分解表的编制与审批：</w:t>
      </w:r>
      <w:r>
        <w:rPr>
          <w:rFonts w:hint="eastAsia" w:ascii="Times New Roman" w:hAnsi="Times New Roman" w:cs="Times New Roman"/>
          <w:color w:val="auto"/>
          <w:sz w:val="21"/>
          <w:szCs w:val="20"/>
          <w:highlight w:val="none"/>
          <w:u w:val="single"/>
          <w:lang w:val="en-US" w:bidi="ar-SA"/>
        </w:rPr>
        <w:t xml:space="preserve">不采用</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2、单价合同的总价项目支付分解表的编制与审批：</w:t>
      </w:r>
      <w:r>
        <w:rPr>
          <w:rFonts w:hint="eastAsia" w:ascii="Times New Roman" w:hAnsi="Times New Roman" w:cs="Times New Roman"/>
          <w:color w:val="auto"/>
          <w:sz w:val="21"/>
          <w:szCs w:val="20"/>
          <w:highlight w:val="none"/>
          <w:u w:val="single"/>
          <w:lang w:val="en-US" w:bidi="ar-SA"/>
        </w:rPr>
        <w:t xml:space="preserve">不采用</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 验收和工程试车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13.1 分部分项工程验收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监理人不能按时进行验收时，应提前</w:t>
      </w:r>
      <w:r>
        <w:rPr>
          <w:rFonts w:hint="eastAsia" w:ascii="Times New Roman" w:hAnsi="Times New Roman" w:cs="Times New Roman"/>
          <w:color w:val="auto"/>
          <w:sz w:val="21"/>
          <w:szCs w:val="20"/>
          <w:highlight w:val="none"/>
          <w:u w:val="single"/>
          <w:lang w:val="en-US" w:bidi="ar-SA"/>
        </w:rPr>
        <w:t xml:space="preserve"> 24</w:t>
      </w:r>
      <w:r>
        <w:rPr>
          <w:rFonts w:hint="eastAsia" w:ascii="Times New Roman" w:hAnsi="Times New Roman" w:cs="Times New Roman"/>
          <w:color w:val="auto"/>
          <w:sz w:val="21"/>
          <w:szCs w:val="20"/>
          <w:highlight w:val="none"/>
          <w:lang w:val="en-US" w:bidi="ar-SA"/>
        </w:rPr>
        <w:t xml:space="preserve">小时提交书面延期要求。</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关于延期最长不得超过：</w:t>
      </w:r>
      <w:r>
        <w:rPr>
          <w:rFonts w:hint="eastAsia" w:ascii="Times New Roman" w:hAnsi="Times New Roman" w:cs="Times New Roman"/>
          <w:color w:val="auto"/>
          <w:sz w:val="21"/>
          <w:szCs w:val="20"/>
          <w:highlight w:val="none"/>
          <w:u w:val="single"/>
          <w:lang w:val="en-US" w:bidi="ar-SA"/>
        </w:rPr>
        <w:t xml:space="preserve"> 48 </w:t>
      </w:r>
      <w:r>
        <w:rPr>
          <w:rFonts w:hint="eastAsia" w:ascii="Times New Roman" w:hAnsi="Times New Roman" w:cs="Times New Roman"/>
          <w:color w:val="auto"/>
          <w:sz w:val="21"/>
          <w:szCs w:val="20"/>
          <w:highlight w:val="none"/>
          <w:lang w:val="en-US" w:bidi="ar-SA"/>
        </w:rPr>
        <w:t xml:space="preserve">小时。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13.2 竣工验收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13.2.1竣工验收程序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承包人向监理报送竣工验收申请报告，监理应在收到竣工验收申请报告后【7】天内完成审查并报送发包人。监理审查后认为尚不具备验收条件的，应通知承包人在竣工验收前承包人还需完成的工作内容，承包人应在完成监理通知的全部工作内容后，再次提交竣工验收申请报告。</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(3)项目竣工验收合格后，承包人需安排人员看管，直至将项目整体移交给项目发包人为止。在项目未移交前的现场看管费，成品保护费均由承包人承担。遇特殊情况，承发包人双方另行协商。</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发包人有权在工程竣工前和竣工后的质保期内对本工程所涉及的工程内容进行</w:t>
      </w:r>
      <w:r>
        <w:rPr>
          <w:rFonts w:hint="eastAsia" w:ascii="Times New Roman" w:hAnsi="Times New Roman" w:cs="Times New Roman"/>
          <w:color w:val="auto"/>
          <w:sz w:val="21"/>
          <w:szCs w:val="20"/>
          <w:highlight w:val="none"/>
          <w:lang w:val="en-US" w:bidi="ar-SA"/>
        </w:rPr>
        <w:t xml:space="preserve">环保检测或质量检测，具体检测内容和检测单位由发包人指定，承包人须无条件配合，检测单位必须出具符合国家规范及具有法律效力的检测报告。工程竣工前的检测费用由承包人承担。工程竣工后的质保期内进行的检测，检测报告结果为合格的，则检测费用由发包人承担；检测结果为不合格的，则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w:t>
      </w:r>
      <w:r/>
    </w:p>
    <w:p>
      <w:pPr>
        <w:ind w:firstLine="420"/>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工程质量不符合设计要求或质量不能达到合同约定标准的，发包人有权要求承包人返工或有权单方解除合同，承包人须无条件接受；返工的费用由承包人承担，工期不予顺延。</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发包人不按照本项约定组织竣工验收、颁发工程接收证书的违约金的计算方法：无。</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13.2.2移交、接收全部与部分工程</w:t>
      </w:r>
      <w:r/>
    </w:p>
    <w:p>
      <w:pPr>
        <w:jc w:val="both"/>
        <w:spacing w:line="460" w:lineRule="exact"/>
        <w:rPr>
          <w:rFonts w:ascii="仿宋" w:hAnsi="仿宋" w:eastAsia="仿宋" w:cs="仿宋"/>
          <w:color w:val="auto"/>
          <w:sz w:val="24"/>
          <w:szCs w:val="24"/>
          <w:highlight w:val="none"/>
          <w:lang w:val="en-US" w:bidi="ar-SA"/>
        </w:rPr>
      </w:pPr>
      <w:r>
        <w:rPr>
          <w:rFonts w:hint="eastAsia" w:ascii="Times New Roman" w:hAnsi="Times New Roman" w:cs="Times New Roman"/>
          <w:color w:val="auto"/>
          <w:sz w:val="21"/>
          <w:szCs w:val="20"/>
          <w:highlight w:val="none"/>
          <w:lang w:val="en-US" w:bidi="ar-SA"/>
        </w:rPr>
        <w:t xml:space="preserve">承包人向发包人移交工程的期限：</w:t>
      </w:r>
      <w:r>
        <w:rPr>
          <w:rFonts w:hint="eastAsia" w:ascii="Times New Roman" w:hAnsi="Times New Roman" w:cs="Times New Roman"/>
          <w:color w:val="auto"/>
          <w:sz w:val="21"/>
          <w:szCs w:val="20"/>
          <w:highlight w:val="none"/>
          <w:u w:val="single"/>
          <w:lang w:val="en-US" w:bidi="ar-SA"/>
        </w:rPr>
        <w:t xml:space="preserve">竣工验收合格后，自验收合格之日起10天内承包人将工程移交给发包人</w:t>
      </w:r>
      <w:r>
        <w:rPr>
          <w:rFonts w:hint="eastAsia" w:ascii="Times New Roman" w:hAnsi="Times New Roman" w:cs="Times New Roman"/>
          <w:color w:val="auto"/>
          <w:sz w:val="21"/>
          <w:szCs w:val="20"/>
          <w:highlight w:val="none"/>
          <w:lang w:val="en-US" w:bidi="ar-SA"/>
        </w:rPr>
        <w:t xml:space="preserve">。</w:t>
      </w:r>
      <w:r/>
    </w:p>
    <w:p>
      <w:pPr>
        <w:ind w:firstLine="420"/>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发包人未按本合同约定接收全部或部分工程的，违约金的计算方法为：无。</w:t>
      </w:r>
      <w:r/>
    </w:p>
    <w:p>
      <w:pPr>
        <w:ind w:firstLine="420"/>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未按时移交工程的，违约金的计算方法为：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发包人还有权派人强行拆除并清理，造成的费用和损失由承包人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13.3 工程试车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13.3.1 试车程序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工程试车内容：</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（1）单机无负荷试车费用由</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（2）无负荷联动试车费用由</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13.3.2投料试车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关于投料试车相关事项的约定：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13.6 竣工退场</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承包人完成竣工退场的期限：</w:t>
      </w:r>
      <w:r>
        <w:rPr>
          <w:rFonts w:hint="eastAsia" w:ascii="Times New Roman" w:hAnsi="Times New Roman" w:cs="Times New Roman"/>
          <w:color w:val="auto"/>
          <w:sz w:val="21"/>
          <w:szCs w:val="20"/>
          <w:highlight w:val="none"/>
          <w:u w:val="single"/>
          <w:lang w:val="en-US" w:bidi="ar-SA"/>
        </w:rPr>
        <w:t xml:space="preserve">竣工验收合格后10日内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 竣工结算</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14.1 竣工结算申请</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承包人提交竣工结算申请单的期限：</w:t>
      </w:r>
      <w:r>
        <w:rPr>
          <w:rFonts w:hint="eastAsia" w:ascii="Times New Roman" w:hAnsi="Times New Roman" w:cs="Times New Roman"/>
          <w:color w:val="auto"/>
          <w:sz w:val="21"/>
          <w:szCs w:val="20"/>
          <w:highlight w:val="none"/>
          <w:u w:val="single"/>
          <w:lang w:val="en-US" w:bidi="ar-SA"/>
        </w:rPr>
        <w:t xml:space="preserve">竣工验收合格后28天内</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竣工付款申请单应包括的内容：</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（2）若审计部门在结算审核中发现结算资料无效或不完整的，审计延误的责任由承包人承担。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（3）承包人未按本条款约定的时间和要求向发包人提交竣工结算报告和资料的，发包人将不能保证按专用条款规定的时间内提出审核意见，并且发包人有权根据已有资料进行审核，责任由承包人自行承担。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14.2 竣工结算审核</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发包人审批竣工付款申请单的期限：</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时间且不构成违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关于竣工付款证书异议部分复核的方式和程序：</w:t>
      </w:r>
      <w:r>
        <w:rPr>
          <w:rFonts w:hint="eastAsia" w:ascii="Times New Roman" w:hAnsi="Times New Roman" w:cs="Times New Roman"/>
          <w:color w:val="auto"/>
          <w:sz w:val="21"/>
          <w:szCs w:val="20"/>
          <w:highlight w:val="none"/>
          <w:u w:val="single"/>
          <w:lang w:val="en-US" w:bidi="ar-SA"/>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Times New Roman" w:hAnsi="Times New Roman" w:cs="Times New Roman"/>
          <w:color w:val="auto"/>
          <w:sz w:val="21"/>
          <w:szCs w:val="20"/>
          <w:highlight w:val="none"/>
          <w:lang w:val="en-US" w:bidi="ar-SA"/>
        </w:rPr>
        <w:t xml:space="preserve">。</w:t>
      </w:r>
      <w:r/>
    </w:p>
    <w:p>
      <w:pPr>
        <w:ind w:firstLine="422"/>
        <w:jc w:val="both"/>
        <w:spacing w:line="460" w:lineRule="exact"/>
        <w:rPr>
          <w:rFonts w:ascii="Times New Roman" w:hAnsi="Times New Roman" w:cs="Times New Roman"/>
          <w:b/>
          <w:color w:val="auto"/>
          <w:sz w:val="21"/>
          <w:szCs w:val="20"/>
          <w:highlight w:val="none"/>
          <w:u w:val="single"/>
          <w:lang w:val="en-US" w:bidi="ar-SA"/>
        </w:rPr>
      </w:pPr>
      <w:r>
        <w:rPr>
          <w:rFonts w:hint="eastAsia" w:ascii="Times New Roman" w:hAnsi="Times New Roman" w:cs="Times New Roman"/>
          <w:b/>
          <w:color w:val="auto"/>
          <w:sz w:val="21"/>
          <w:szCs w:val="20"/>
          <w:highlight w:val="none"/>
          <w:u w:val="single"/>
          <w:lang w:val="en-US" w:bidi="ar-SA"/>
        </w:rPr>
        <w:t xml:space="preserve">发包人、承包人双方一致同意：发包人可以以发包</w:t>
      </w:r>
      <w:r>
        <w:rPr>
          <w:rFonts w:hint="eastAsia" w:ascii="Times New Roman" w:hAnsi="Times New Roman" w:cs="Times New Roman"/>
          <w:b/>
          <w:color w:val="auto"/>
          <w:sz w:val="21"/>
          <w:szCs w:val="20"/>
          <w:highlight w:val="none"/>
          <w:u w:val="single"/>
          <w:lang w:val="en-US" w:bidi="ar-SA"/>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p>
    <w:p>
      <w:pPr>
        <w:ind w:firstLine="422"/>
        <w:jc w:val="both"/>
        <w:spacing w:line="460" w:lineRule="exact"/>
        <w:rPr>
          <w:rFonts w:ascii="Times New Roman" w:hAnsi="Times New Roman" w:cs="Times New Roman"/>
          <w:b/>
          <w:bCs/>
          <w:color w:val="auto"/>
          <w:sz w:val="21"/>
          <w:szCs w:val="20"/>
          <w:highlight w:val="none"/>
          <w:u w:val="single"/>
          <w:lang w:val="en-US" w:bidi="ar-SA"/>
        </w:rPr>
      </w:pPr>
      <w:r>
        <w:rPr>
          <w:rFonts w:hint="eastAsia" w:ascii="Times New Roman" w:hAnsi="Times New Roman" w:cs="Times New Roman"/>
          <w:b/>
          <w:color w:val="auto"/>
          <w:sz w:val="21"/>
          <w:szCs w:val="20"/>
          <w:highlight w:val="none"/>
          <w:u w:val="single"/>
          <w:lang w:val="en-US" w:bidi="ar-SA"/>
        </w:rPr>
        <w:t xml:space="preserve">承包人明确知晓《南京中医药大学工程项目审计管理办法》（南中医大审字[2020]4号），并同意按照该规定中相关办法承担和支付相应的工程审计费用。属于承包人承担的审计费部分，发包人有权在应付工程款中予以扣减。</w:t>
      </w:r>
      <w:r>
        <w:rPr>
          <w:rFonts w:hint="eastAsia" w:ascii="Times New Roman" w:hAnsi="Times New Roman" w:cs="Times New Roman"/>
          <w:b/>
          <w:color w:val="auto"/>
          <w:sz w:val="21"/>
          <w:szCs w:val="21"/>
          <w:highlight w:val="none"/>
          <w:lang w:val="en-US" w:bidi="ar-SA"/>
        </w:rPr>
        <w:t xml:space="preserve">承包人同意：若发包人审计规定发生调整修订，则按照发包人调整修订后的新审计规定执行</w:t>
      </w:r>
      <w:r/>
    </w:p>
    <w:p>
      <w:pPr>
        <w:ind w:firstLine="422"/>
        <w:jc w:val="both"/>
        <w:spacing w:line="460" w:lineRule="exact"/>
        <w:rPr>
          <w:rFonts w:ascii="Times New Roman" w:hAnsi="Times New Roman" w:cs="Times New Roman"/>
          <w:b/>
          <w:color w:val="auto"/>
          <w:sz w:val="21"/>
          <w:szCs w:val="20"/>
          <w:highlight w:val="none"/>
          <w:u w:val="single"/>
          <w:lang w:val="en-US" w:bidi="ar-SA"/>
        </w:rPr>
      </w:pPr>
      <w:r>
        <w:rPr>
          <w:rFonts w:hint="eastAsia" w:ascii="Times New Roman" w:hAnsi="Times New Roman" w:cs="Times New Roman"/>
          <w:b/>
          <w:color w:val="auto"/>
          <w:sz w:val="21"/>
          <w:szCs w:val="20"/>
          <w:highlight w:val="none"/>
          <w:u w:val="single"/>
          <w:lang w:val="en-US" w:bidi="ar-SA"/>
        </w:rPr>
        <w:t xml:space="preserve">若本合同项下的工程在发包人、承包人双方完成结算审计之后，发包人上级主管单位又在该审计结论的基础上进行再次审计的，承包人承诺认可该最终审计结果。</w:t>
      </w:r>
      <w:r/>
    </w:p>
    <w:p>
      <w:pPr>
        <w:jc w:val="both"/>
        <w:spacing w:line="460" w:lineRule="exact"/>
        <w:rPr>
          <w:rFonts w:ascii="Times New Roman" w:hAnsi="Times New Roman" w:cs="Times New Roman"/>
          <w:b/>
          <w:color w:val="auto"/>
          <w:sz w:val="21"/>
          <w:szCs w:val="20"/>
          <w:highlight w:val="none"/>
          <w:u w:val="single"/>
          <w:lang w:val="en-US" w:bidi="ar-SA"/>
        </w:rPr>
      </w:pPr>
      <w:r>
        <w:rPr>
          <w:rFonts w:hint="eastAsia" w:ascii="Times New Roman" w:hAnsi="Times New Roman" w:cs="Times New Roman"/>
          <w:b/>
          <w:color w:val="auto"/>
          <w:sz w:val="21"/>
          <w:szCs w:val="20"/>
          <w:highlight w:val="none"/>
          <w:u w:val="single"/>
          <w:lang w:val="en-US" w:bidi="ar-SA"/>
        </w:rPr>
        <w:t xml:space="preserve">（本条款为特别约定）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14.3最终结清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14.3.1 最终结清申请单</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承包人提交最终结清申请单的份数：</w:t>
      </w:r>
      <w:r>
        <w:rPr>
          <w:rFonts w:hint="eastAsia" w:ascii="Times New Roman" w:hAnsi="Times New Roman" w:cs="Times New Roman"/>
          <w:color w:val="auto"/>
          <w:sz w:val="21"/>
          <w:szCs w:val="20"/>
          <w:highlight w:val="none"/>
          <w:u w:val="single"/>
          <w:lang w:val="en-US" w:bidi="ar-SA"/>
        </w:rPr>
        <w:t xml:space="preserve">叁份</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承包人提交最终结算申请单的期限：</w:t>
      </w:r>
      <w:r>
        <w:rPr>
          <w:rFonts w:hint="eastAsia" w:ascii="Times New Roman" w:hAnsi="Times New Roman" w:cs="Times New Roman"/>
          <w:color w:val="auto"/>
          <w:sz w:val="21"/>
          <w:szCs w:val="20"/>
          <w:highlight w:val="none"/>
          <w:u w:val="single"/>
          <w:lang w:val="en-US" w:bidi="ar-SA"/>
        </w:rPr>
        <w:t xml:space="preserve">缺陷责任期终止证书颁发后7天内。</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14.3.2 最终结清证书和支付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（1）发包人完成最终结清申请单的审批并颁发最终结清证书的期限：</w:t>
      </w:r>
      <w:r>
        <w:rPr>
          <w:rFonts w:hint="eastAsia" w:ascii="Times New Roman" w:hAnsi="Times New Roman" w:cs="Times New Roman"/>
          <w:color w:val="auto"/>
          <w:sz w:val="21"/>
          <w:szCs w:val="20"/>
          <w:highlight w:val="none"/>
          <w:u w:val="single"/>
          <w:lang w:val="en-US" w:bidi="ar-SA"/>
        </w:rPr>
        <w:t xml:space="preserve">执行通用条款</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（2）发包人完成支付的期限：</w:t>
      </w:r>
      <w:r>
        <w:rPr>
          <w:rFonts w:hint="eastAsia" w:ascii="Times New Roman" w:hAnsi="Times New Roman" w:cs="Times New Roman"/>
          <w:color w:val="auto"/>
          <w:sz w:val="21"/>
          <w:szCs w:val="20"/>
          <w:highlight w:val="none"/>
          <w:u w:val="single"/>
          <w:lang w:val="en-US" w:bidi="ar-SA"/>
        </w:rPr>
        <w:t xml:space="preserve">按进度款支付约定</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 缺陷责任期与保修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15.1缺陷责任期</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缺陷责任期的具体期限：</w:t>
      </w:r>
      <w:r>
        <w:rPr>
          <w:rFonts w:hint="eastAsia" w:ascii="Times New Roman" w:hAnsi="Times New Roman" w:cs="Times New Roman"/>
          <w:color w:val="auto"/>
          <w:sz w:val="21"/>
          <w:szCs w:val="20"/>
          <w:highlight w:val="none"/>
          <w:u w:val="single"/>
          <w:lang w:val="en-US" w:bidi="ar-SA"/>
        </w:rPr>
        <w:t xml:space="preserve">自工程竣工验收合格之日起24个月</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15.2质量保证金</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关于是否扣留质量保证金的约定：</w:t>
      </w:r>
      <w:r>
        <w:rPr>
          <w:rFonts w:hint="eastAsia" w:ascii="Times New Roman" w:hAnsi="Times New Roman" w:cs="Times New Roman"/>
          <w:color w:val="auto"/>
          <w:sz w:val="21"/>
          <w:szCs w:val="20"/>
          <w:highlight w:val="none"/>
          <w:u w:val="single"/>
          <w:lang w:val="en-US" w:bidi="ar-SA"/>
        </w:rPr>
        <w:t xml:space="preserve">合同签约价的【3 %】的履约保证金在本工程验收合格后转作质量保</w:t>
      </w:r>
      <w:r>
        <w:rPr>
          <w:rFonts w:hint="eastAsia" w:ascii="Times New Roman" w:hAnsi="Times New Roman" w:cs="Times New Roman"/>
          <w:color w:val="auto"/>
          <w:sz w:val="21"/>
          <w:szCs w:val="20"/>
          <w:highlight w:val="none"/>
          <w:u w:val="single"/>
          <w:lang w:val="en-US" w:bidi="ar-SA"/>
        </w:rPr>
        <w:t xml:space="preserve">证金，自发包人组织的竣工验收合格报告签署之日起算的质保期（ 24 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 24 个月）满后，经发包人单位盖章，无息返还承包人质量保证金。若承包人不能及时响应或保质处理维修事项，发包人有权另找工程队维修，所发生的费用从质量保证金中支付。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在工程项目竣工前，承包人按专用合同条款第3.6条提供履约担保的，发包人不得同时预留工程质量保证金。</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15.2.1 承包人提供质量保证金的方式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质量保证金采用以下第3种方式：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（1）质量保证金保函，保证金额为：</w:t>
      </w:r>
      <w:r>
        <w:rPr>
          <w:rFonts w:hint="eastAsia" w:ascii="Times New Roman" w:hAnsi="Times New Roman" w:cs="Times New Roman"/>
          <w:color w:val="auto"/>
          <w:sz w:val="21"/>
          <w:szCs w:val="20"/>
          <w:highlight w:val="none"/>
          <w:u w:val="singl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（2）合同价款</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的工程款；</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（3）其他方式：</w:t>
      </w:r>
      <w:r>
        <w:rPr>
          <w:rFonts w:hint="eastAsia" w:ascii="Times New Roman" w:hAnsi="Times New Roman" w:cs="MingLiU_HKSCS"/>
          <w:color w:val="auto"/>
          <w:sz w:val="21"/>
          <w:szCs w:val="20"/>
          <w:highlight w:val="none"/>
          <w:u w:val="single"/>
          <w:lang w:val="en-US" w:bidi="ar-SA"/>
        </w:rPr>
        <w:t xml:space="preserve">合同签约价3%的履约保证金转作质保金。</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15.2.2 质量保证金的扣留</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质量保证金的扣留采取以下第</w:t>
      </w:r>
      <w:r>
        <w:rPr>
          <w:rFonts w:hint="eastAsia" w:ascii="Times New Roman" w:hAnsi="Times New Roman" w:cs="Times New Roman"/>
          <w:color w:val="auto"/>
          <w:sz w:val="21"/>
          <w:szCs w:val="20"/>
          <w:highlight w:val="none"/>
          <w:u w:val="single"/>
          <w:lang w:val="en-US" w:bidi="ar-SA"/>
        </w:rPr>
        <w:t xml:space="preserve"> 3 </w:t>
      </w:r>
      <w:r>
        <w:rPr>
          <w:rFonts w:hint="eastAsia" w:ascii="Times New Roman" w:hAnsi="Times New Roman" w:cs="Times New Roman"/>
          <w:color w:val="auto"/>
          <w:sz w:val="21"/>
          <w:szCs w:val="20"/>
          <w:highlight w:val="none"/>
          <w:lang w:val="en-US" w:bidi="ar-SA"/>
        </w:rPr>
        <w:t xml:space="preserve">种方式：</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（1）在支付工程进度款时逐次扣留，在此情形下，质量保证金的计算基数不包括预付款的支付、扣回以及价格调整的金额；</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（2）工程竣工结算时提交质量保证金保函，金额为</w:t>
      </w:r>
      <w:r>
        <w:rPr>
          <w:rFonts w:hint="eastAsia" w:ascii="Times New Roman" w:hAnsi="Times New Roman" w:cs="MingLiU_HKSCS"/>
          <w:color w:val="auto"/>
          <w:sz w:val="21"/>
          <w:szCs w:val="20"/>
          <w:highlight w:val="none"/>
          <w:u w:val="single"/>
          <w:lang w:val="en-US" w:bidi="ar-SA"/>
        </w:rPr>
        <w:t xml:space="preserve">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（3）其他扣留方式:</w:t>
      </w:r>
      <w:r>
        <w:rPr>
          <w:rFonts w:hint="eastAsia" w:ascii="Times New Roman" w:hAnsi="Times New Roman" w:cs="Times New Roman"/>
          <w:color w:val="auto"/>
          <w:sz w:val="21"/>
          <w:szCs w:val="20"/>
          <w:highlight w:val="none"/>
          <w:u w:val="single"/>
          <w:lang w:val="en-US" w:bidi="ar-SA"/>
        </w:rPr>
        <w:t xml:space="preserve"> </w:t>
      </w:r>
      <w:r>
        <w:rPr>
          <w:rFonts w:hint="eastAsia" w:ascii="Times New Roman" w:hAnsi="Times New Roman" w:cs="MingLiU_HKSCS"/>
          <w:color w:val="auto"/>
          <w:sz w:val="21"/>
          <w:szCs w:val="20"/>
          <w:highlight w:val="none"/>
          <w:u w:val="single"/>
          <w:lang w:val="en-US" w:bidi="ar-SA"/>
        </w:rPr>
        <w:t xml:space="preserve">签订合同前缴纳3%的履约保证金转化为质量保证金</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MingLiU_HKSCS"/>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关于质量保证金的补充约定：</w:t>
      </w:r>
      <w:r>
        <w:rPr>
          <w:rFonts w:hint="eastAsia" w:ascii="Times New Roman" w:hAnsi="Times New Roman" w:cs="MingLiU_HKSCS"/>
          <w:color w:val="auto"/>
          <w:sz w:val="21"/>
          <w:szCs w:val="20"/>
          <w:highlight w:val="none"/>
          <w:u w:val="single"/>
          <w:lang w:val="en-US" w:bidi="ar-SA"/>
        </w:rPr>
        <w:t xml:space="preserve">工程质量保修金在自发包人组织的竣工验收合格报告签署之日起算的质保期（24 个月）满后，且发包人确认工程无质问题量且无任何遗留问题后【14】日内一次性退还承包人（不计息，扣除因质量问题引起的维修费用、质量赔偿金及其他违约金等）。</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15.3保修</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15.3.1 保修责任</w:t>
      </w:r>
      <w:r/>
    </w:p>
    <w:p>
      <w:pPr>
        <w:jc w:val="both"/>
        <w:spacing w:before="120" w:line="360" w:lineRule="auto"/>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工程保修期为：</w:t>
      </w:r>
      <w:r>
        <w:rPr>
          <w:rFonts w:hint="eastAsia" w:ascii="Times New Roman" w:hAnsi="Times New Roman" w:cs="Times New Roman"/>
          <w:color w:val="auto"/>
          <w:sz w:val="21"/>
          <w:szCs w:val="20"/>
          <w:highlight w:val="none"/>
          <w:u w:val="single"/>
          <w:lang w:val="en-US" w:bidi="ar-SA"/>
        </w:rPr>
        <w:t xml:space="preserve">自工程竣工验收合格之日起24个月</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15.3.2修复通知</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承包人收到保修通知并到达工程现场的合理时间：</w:t>
      </w:r>
      <w:r>
        <w:rPr>
          <w:rFonts w:hint="eastAsia" w:cs="Times New Roman"/>
          <w:color w:val="auto"/>
          <w:sz w:val="21"/>
          <w:szCs w:val="20"/>
          <w:highlight w:val="none"/>
          <w:u w:val="single"/>
          <w:lang w:val="en-US" w:bidi="ar-SA"/>
        </w:rPr>
        <w:t xml:space="preserve">本工程质保期内如发生质量问题，承包方必须及时响应并免费上门服务，要求提供7*24不间断热线响应；常见问题1小时到达现场，2小时修复；大故障6小时修复</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 违约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16.1 发包人违约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16.1.1发包人违约的情形</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发包人违约的其他情形：</w:t>
      </w:r>
      <w:r>
        <w:rPr>
          <w:rFonts w:hint="eastAsia" w:ascii="Times New Roman" w:hAnsi="Times New Roman" w:cs="Times New Roman"/>
          <w:color w:val="auto"/>
          <w:sz w:val="21"/>
          <w:szCs w:val="20"/>
          <w:highlight w:val="none"/>
          <w:u w:val="single"/>
          <w:lang w:val="en-US" w:bidi="ar-SA"/>
        </w:rPr>
        <w:t xml:space="preserve">按通用条款执行</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16.1.2 发包人违约的责任</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发包人违约责任的承担方式和计算方法：</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（1）因发包人原因未能在计划开工日期前7天内下达开工通知的违约责任：</w:t>
      </w:r>
      <w:r>
        <w:rPr>
          <w:rFonts w:hint="eastAsia" w:ascii="Times New Roman" w:hAnsi="Times New Roman" w:cs="MingLiU_HKSCS"/>
          <w:color w:val="auto"/>
          <w:sz w:val="21"/>
          <w:szCs w:val="20"/>
          <w:highlight w:val="none"/>
          <w:u w:val="single"/>
          <w:lang w:val="en-US" w:bidi="ar-SA"/>
        </w:rPr>
        <w:t xml:space="preserve">相应工期顺延，承包人不主张违约金或补偿金</w:t>
      </w:r>
      <w:r>
        <w:rPr>
          <w:rFonts w:hint="eastAsia" w:ascii="Times New Roman" w:hAnsi="Times New Roman" w:cs="Times New Roman"/>
          <w:color w:val="auto"/>
          <w:sz w:val="21"/>
          <w:szCs w:val="20"/>
          <w:highlight w:val="none"/>
          <w:lang w:val="en-US" w:bidi="ar-SA"/>
        </w:rPr>
        <w:t xml:space="preserve">。</w:t>
      </w:r>
      <w:r/>
    </w:p>
    <w:p>
      <w:pPr>
        <w:jc w:val="both"/>
        <w:spacing w:line="360" w:lineRule="auto"/>
        <w:rPr>
          <w:rFonts w:ascii="Times New Roman" w:hAnsi="Times New Roman" w:cs="MingLiU_HKSCS"/>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（2）因发包人原因未能按合同约定支付合同价款的违约责任：</w:t>
      </w:r>
      <w:r>
        <w:rPr>
          <w:rFonts w:hint="eastAsia" w:ascii="Times New Roman" w:hAnsi="Times New Roman" w:cs="MingLiU_HKSCS"/>
          <w:color w:val="auto"/>
          <w:sz w:val="21"/>
          <w:szCs w:val="20"/>
          <w:highlight w:val="none"/>
          <w:u w:val="single"/>
          <w:lang w:val="en-US" w:bidi="ar-SA"/>
        </w:rPr>
        <w:t xml:space="preserve">按同期全国银行间同业拆借中心公布的贷款市场报价利率计算利息</w:t>
      </w:r>
      <w:r>
        <w:rPr>
          <w:rFonts w:hint="eastAsia" w:ascii="Times New Roman" w:hAnsi="Times New Roman" w:cs="Times New Roman"/>
          <w:color w:val="auto"/>
          <w:sz w:val="21"/>
          <w:szCs w:val="20"/>
          <w:highlight w:val="none"/>
          <w:lang w:val="en-US" w:bidi="ar-SA"/>
        </w:rPr>
        <w:t xml:space="preserve">。</w:t>
      </w:r>
      <w:r>
        <w:rPr>
          <w:rFonts w:hint="eastAsia" w:cs="仿宋"/>
          <w:color w:val="auto"/>
          <w:sz w:val="21"/>
          <w:szCs w:val="21"/>
          <w:highlight w:val="none"/>
          <w:u w:val="single"/>
          <w:lang w:val="en-US" w:bidi="ar-SA"/>
        </w:rPr>
        <w:t xml:space="preserve">承包人理解发包人高校财务付款制度的特殊性，</w:t>
      </w:r>
      <w:r>
        <w:rPr>
          <w:rFonts w:hint="eastAsia" w:eastAsia="Calibri" w:cs="仿宋"/>
          <w:color w:val="auto"/>
          <w:sz w:val="21"/>
          <w:szCs w:val="21"/>
          <w:highlight w:val="none"/>
          <w:u w:val="single"/>
          <w:lang w:val="en-US" w:bidi="ar-SA"/>
        </w:rPr>
        <w:t xml:space="preserve">由于发包人财务付款制度导致的迟延付款，承包人</w:t>
      </w:r>
      <w:r>
        <w:rPr>
          <w:rFonts w:hint="eastAsia" w:cs="仿宋"/>
          <w:color w:val="auto"/>
          <w:sz w:val="21"/>
          <w:szCs w:val="21"/>
          <w:highlight w:val="none"/>
          <w:u w:val="single"/>
          <w:lang w:val="en-US" w:bidi="ar-SA"/>
        </w:rPr>
        <w:t xml:space="preserve">自愿放弃违约金主张</w:t>
      </w:r>
      <w:r>
        <w:rPr>
          <w:rFonts w:hint="eastAsia" w:eastAsia="Calibri" w:cs="仿宋"/>
          <w:color w:val="auto"/>
          <w:sz w:val="21"/>
          <w:szCs w:val="21"/>
          <w:highlight w:val="none"/>
          <w:u w:val="singl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（3）发包人违反第10.1款〔变更的范围〕第（2）项约定，自行实施被取消的工作或转由他人实施的违约责任：</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（4）发包人提供的材料、工程设备的规格、数量或质量不符合合同约定，或因发包人原因导致交货日期延误或交货地点变更等情况的违约责任：无。</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（5）因发包人违反合同约定造成暂停施工的违约责任：</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（6）发包人无正当理由没有在约定期限内发出复工指示，导致承包人无法复工的违约责任：</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（7）其他：</w:t>
      </w:r>
      <w:r>
        <w:rPr>
          <w:rFonts w:hint="eastAsia" w:ascii="Times New Roman" w:hAnsi="Times New Roman" w:cs="Times New Roman"/>
          <w:color w:val="auto"/>
          <w:sz w:val="21"/>
          <w:szCs w:val="20"/>
          <w:highlight w:val="none"/>
          <w:u w:val="single"/>
          <w:lang w:val="en-US" w:bidi="ar-SA"/>
        </w:rPr>
        <w:t xml:space="preserve">无</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16.1.3 因发包人违约解除合同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承包人按16.1.1项〔发包人违约的情形〕约定暂停施工满</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天后发包人仍不纠正其违约行为并致使合同目的不能实现的，承包人有权解除合同。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16.2 承包人违约</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16.2.1 承包人违约的情形</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承包人违约的其他情形：</w:t>
      </w:r>
      <w:r>
        <w:rPr>
          <w:rFonts w:hint="eastAsia" w:ascii="Times New Roman" w:hAnsi="Times New Roman" w:cs="Times New Roman"/>
          <w:color w:val="auto"/>
          <w:sz w:val="21"/>
          <w:szCs w:val="20"/>
          <w:highlight w:val="none"/>
          <w:u w:val="single"/>
          <w:lang w:val="en-US" w:bidi="ar-SA"/>
        </w:rPr>
        <w:t xml:space="preserve">工期延误、质量问题、技术文件未按约定时间提交、承包人擅自停工或单方面终止合同等</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16.2.2承包人违约的责任</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承包人违约责任的承担方式和计算方法：</w:t>
      </w:r>
      <w:r/>
    </w:p>
    <w:p>
      <w:pPr>
        <w:jc w:val="both"/>
        <w:spacing w:line="460" w:lineRule="exact"/>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1. 承包人不能按合同总工期竣工，每推迟一天，承包人向发包人支付合同价款1%的违约金；违约金总额累计不超过合同价款的30%；</w:t>
      </w:r>
      <w:r>
        <w:rPr>
          <w:rFonts w:ascii="Times New Roman" w:hAnsi="Times New Roman" w:cs="Times New Roman"/>
          <w:color w:val="auto"/>
          <w:sz w:val="21"/>
          <w:szCs w:val="20"/>
          <w:highlight w:val="none"/>
          <w:u w:val="single"/>
          <w:lang w:val="en-US" w:bidi="ar-SA"/>
        </w:rPr>
        <w:t xml:space="preserve">但是</w:t>
      </w:r>
      <w:r>
        <w:rPr>
          <w:rFonts w:hint="eastAsia" w:ascii="Times New Roman" w:hAnsi="Times New Roman" w:cs="Times New Roman"/>
          <w:color w:val="auto"/>
          <w:sz w:val="21"/>
          <w:szCs w:val="20"/>
          <w:highlight w:val="none"/>
          <w:u w:val="single"/>
          <w:lang w:val="en-US" w:bidi="ar-SA"/>
        </w:rPr>
        <w:t xml:space="preserve">，</w:t>
      </w:r>
      <w:r>
        <w:rPr>
          <w:rFonts w:ascii="Times New Roman" w:hAnsi="Times New Roman" w:cs="Times New Roman"/>
          <w:color w:val="auto"/>
          <w:sz w:val="21"/>
          <w:szCs w:val="20"/>
          <w:highlight w:val="none"/>
          <w:u w:val="single"/>
          <w:lang w:val="en-US" w:bidi="ar-SA"/>
        </w:rPr>
        <w:t xml:space="preserve">若该违约金不足以弥补发包人损失的</w:t>
      </w:r>
      <w:r>
        <w:rPr>
          <w:rFonts w:hint="eastAsia" w:ascii="Times New Roman" w:hAnsi="Times New Roman" w:cs="Times New Roman"/>
          <w:color w:val="auto"/>
          <w:sz w:val="21"/>
          <w:szCs w:val="20"/>
          <w:highlight w:val="none"/>
          <w:u w:val="single"/>
          <w:lang w:val="en-US" w:bidi="ar-SA"/>
        </w:rPr>
        <w:t xml:space="preserve">，</w:t>
      </w:r>
      <w:r>
        <w:rPr>
          <w:rFonts w:ascii="Times New Roman" w:hAnsi="Times New Roman" w:cs="Times New Roman"/>
          <w:color w:val="auto"/>
          <w:sz w:val="21"/>
          <w:szCs w:val="20"/>
          <w:highlight w:val="none"/>
          <w:u w:val="single"/>
          <w:lang w:val="en-US" w:bidi="ar-SA"/>
        </w:rPr>
        <w:t xml:space="preserve">承包人还须继续承担赔偿责任</w:t>
      </w:r>
      <w:r>
        <w:rPr>
          <w:rFonts w:hint="eastAsia" w:ascii="仿宋" w:hAnsi="仿宋" w:eastAsia="仿宋" w:cs="仿宋"/>
          <w:color w:val="auto"/>
          <w:sz w:val="24"/>
          <w:szCs w:val="24"/>
          <w:highlight w:val="none"/>
          <w:lang w:val="en-US" w:bidi="ar-SA"/>
        </w:rPr>
        <w:t xml:space="preserve">；</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2. 本工程具体分项工程完成时间应服从发包人的总体要求，如因承包人原因导致实际进度与发包人要求的进</w:t>
      </w:r>
      <w:r>
        <w:rPr>
          <w:rFonts w:hint="eastAsia" w:ascii="Times New Roman" w:hAnsi="Times New Roman" w:cs="Times New Roman"/>
          <w:color w:val="auto"/>
          <w:sz w:val="21"/>
          <w:szCs w:val="20"/>
          <w:highlight w:val="none"/>
          <w:u w:val="single"/>
          <w:lang w:val="en-US" w:bidi="ar-SA"/>
        </w:rPr>
        <w:t xml:space="preserve">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3. 承包人未按程序报验的，每次向发包人支付2000元违约赔偿金；工序验收不合格的，须按要求返工，并每次向发包人支付2000元/次违约赔偿金；</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4. 承包人必须服从发包人发布的各项符合现行法律、法规的管理规定，如承包人不服从发包人及监理的管理，每次向发包人支付10000元违约赔偿金，且发包人有权解除合同，并要求承包人赔偿损失；</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5. 投标文件中明确的项目经理和主要管理人员不得擅自变更，开工时或施工过程中若有承包人擅自变更，发包人有权依据本合同追究承包人的违约责任，直至解除合同，并追究损失赔偿责任。</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6.在施工过程中，发包人将对承包人的安全文明情况进行考评，只有考评合格，结算时方可计取现场安全文明措施费现场考评费和奖励费，否则结算时不得计取该项费用；</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7. 工程竣工验收合格后</w:t>
      </w:r>
      <w:r>
        <w:rPr>
          <w:rFonts w:ascii="Times New Roman" w:hAnsi="Times New Roman" w:cs="Times New Roman"/>
          <w:color w:val="auto"/>
          <w:sz w:val="21"/>
          <w:szCs w:val="20"/>
          <w:highlight w:val="none"/>
          <w:u w:val="single"/>
          <w:lang w:val="en-US" w:bidi="ar-SA"/>
        </w:rPr>
        <w:t xml:space="preserve">28</w:t>
      </w:r>
      <w:r>
        <w:rPr>
          <w:rFonts w:hint="eastAsia" w:ascii="Times New Roman" w:hAnsi="Times New Roman" w:cs="Times New Roman"/>
          <w:color w:val="auto"/>
          <w:sz w:val="21"/>
          <w:szCs w:val="20"/>
          <w:highlight w:val="none"/>
          <w:u w:val="single"/>
          <w:lang w:val="en-US" w:bidi="ar-SA"/>
        </w:rPr>
        <w:t xml:space="preserve">天内，承包人必须将符合发包人要求的竣工结算书及相关资料上报给发包人，否则每延迟一天须向发包人支付5000元作为违约赔偿金；</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u w:val="single"/>
          <w:lang w:val="en-US" w:bidi="ar-SA"/>
        </w:rPr>
        <w:t xml:space="preserve">8. 经查实如承包人有出借资质或挂靠施工现象发生，视承包人严重违约，承包人除须立即进行纠正外，发包人有权没收履约保证金，发包人还有权选择解除合同并要求承包人承担损失赔偿责任。</w:t>
      </w:r>
      <w:r/>
    </w:p>
    <w:p>
      <w:pPr>
        <w:jc w:val="both"/>
        <w:spacing w:line="360" w:lineRule="auto"/>
        <w:rPr>
          <w:rFonts w:ascii="Times New Roman" w:hAnsi="Times New Roman" w:cs="MingLiU_HKSCS"/>
          <w:color w:val="auto"/>
          <w:sz w:val="21"/>
          <w:szCs w:val="20"/>
          <w:highlight w:val="none"/>
          <w:u w:val="single"/>
          <w:lang w:val="en-US" w:bidi="ar-SA"/>
        </w:rPr>
      </w:pPr>
      <w:r>
        <w:rPr>
          <w:rFonts w:hint="eastAsia" w:ascii="Times New Roman" w:hAnsi="Times New Roman" w:cs="MingLiU_HKSCS"/>
          <w:color w:val="auto"/>
          <w:sz w:val="21"/>
          <w:szCs w:val="20"/>
          <w:highlight w:val="none"/>
          <w:u w:val="single"/>
          <w:lang w:val="en-US" w:bidi="ar-SA"/>
        </w:rPr>
        <w:t xml:space="preserve">9.工程质量应符合国家和本合同约定的验收规范，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jc w:val="both"/>
        <w:spacing w:line="360" w:lineRule="auto"/>
        <w:rPr>
          <w:rFonts w:ascii="Times New Roman" w:hAnsi="Times New Roman" w:cs="MingLiU_HKSCS"/>
          <w:color w:val="auto"/>
          <w:sz w:val="21"/>
          <w:szCs w:val="20"/>
          <w:highlight w:val="none"/>
          <w:u w:val="single"/>
          <w:lang w:val="en-US" w:bidi="ar-SA"/>
        </w:rPr>
      </w:pPr>
      <w:r>
        <w:rPr>
          <w:rFonts w:hint="eastAsia" w:ascii="Times New Roman" w:hAnsi="Times New Roman" w:cs="MingLiU_HKSCS"/>
          <w:color w:val="auto"/>
          <w:sz w:val="21"/>
          <w:szCs w:val="20"/>
          <w:highlight w:val="none"/>
          <w:u w:val="single"/>
          <w:lang w:val="en-US" w:bidi="ar-SA"/>
        </w:rPr>
        <w:t xml:space="preserve">10.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30】%标准向发包人支付违约金。若违约金不足以弥补发包人损失的，承包人还应承担由此而给发包方造成的一切损失。</w:t>
      </w:r>
      <w:r/>
    </w:p>
    <w:p>
      <w:pPr>
        <w:jc w:val="both"/>
        <w:spacing w:line="360" w:lineRule="auto"/>
        <w:rPr>
          <w:rFonts w:ascii="Times New Roman" w:hAnsi="Times New Roman" w:cs="MingLiU_HKSCS"/>
          <w:color w:val="auto"/>
          <w:sz w:val="21"/>
          <w:szCs w:val="20"/>
          <w:highlight w:val="none"/>
          <w:u w:val="single"/>
          <w:lang w:val="en-US" w:bidi="ar-SA"/>
        </w:rPr>
      </w:pPr>
      <w:r>
        <w:rPr>
          <w:rFonts w:hint="eastAsia" w:ascii="Times New Roman" w:hAnsi="Times New Roman" w:cs="MingLiU_HKSCS"/>
          <w:color w:val="auto"/>
          <w:sz w:val="21"/>
          <w:szCs w:val="20"/>
          <w:highlight w:val="none"/>
          <w:u w:val="single"/>
          <w:lang w:val="en-US" w:bidi="ar-SA"/>
        </w:rPr>
        <w:t xml:space="preserve">11.因承包人原因导致技术文件（包括竣工图纸、签证等）未能按约定时间提交，每迟一天，发包人在支付给承包人的工程款内扣除1000元的违约金。同时并不解除承包人继续交付上述技术文件的义务。</w:t>
      </w:r>
      <w:r/>
    </w:p>
    <w:p>
      <w:pPr>
        <w:jc w:val="both"/>
        <w:spacing w:line="360" w:lineRule="auto"/>
        <w:rPr>
          <w:rFonts w:ascii="Times New Roman" w:hAnsi="Times New Roman" w:cs="MingLiU_HKSCS"/>
          <w:color w:val="auto"/>
          <w:sz w:val="21"/>
          <w:szCs w:val="20"/>
          <w:highlight w:val="none"/>
          <w:u w:val="single"/>
          <w:lang w:val="en-US" w:bidi="ar-SA"/>
        </w:rPr>
      </w:pPr>
      <w:r>
        <w:rPr>
          <w:rFonts w:hint="eastAsia" w:ascii="Times New Roman" w:hAnsi="Times New Roman" w:cs="MingLiU_HKSCS"/>
          <w:color w:val="auto"/>
          <w:sz w:val="21"/>
          <w:szCs w:val="20"/>
          <w:highlight w:val="none"/>
          <w:u w:val="single"/>
          <w:lang w:val="en-US" w:bidi="ar-SA"/>
        </w:rPr>
        <w:t xml:space="preserve">12.若因承包人施工质量问题或所使用产品、材料、设备的质量问题引起的安全责任（包括造成发包人师生或其他方人身伤害或财产损失等情形）由承包人负责，承包人应承担全部损失赔偿责任和相关法律责任。</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16.2.3 因承包人违约解除合同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关于承包人违约解除合同的特别约定：</w:t>
      </w:r>
      <w:r>
        <w:rPr>
          <w:rFonts w:hint="eastAsia" w:ascii="Times New Roman" w:hAnsi="Times New Roman" w:cs="Times New Roman"/>
          <w:color w:val="auto"/>
          <w:sz w:val="21"/>
          <w:szCs w:val="20"/>
          <w:highlight w:val="none"/>
          <w:u w:val="single"/>
          <w:lang w:val="en-US" w:bidi="ar-SA"/>
        </w:rPr>
        <w:t xml:space="preserve">在本合同解除后，承包人必须在5天内无条件退场。发包人将按承包人已完成工程量的50%给予结算，承包人还须按合同签约价【30】%标准向发包人支付违约金承包人并承担由此而给发包方造成的一切损失</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发包人继续使用承包人在施工现场的材料、设备、临时工程、承包人文件和由承包人或以其名义编制的其他文件的费用承担方式：</w:t>
      </w:r>
      <w:r>
        <w:rPr>
          <w:rFonts w:hint="eastAsia" w:ascii="Times New Roman" w:hAnsi="Times New Roman" w:cs="Times New Roman"/>
          <w:color w:val="auto"/>
          <w:sz w:val="21"/>
          <w:szCs w:val="20"/>
          <w:highlight w:val="none"/>
          <w:u w:val="single"/>
          <w:lang w:val="en-US" w:bidi="ar-SA"/>
        </w:rPr>
        <w:t xml:space="preserve">根据监理、审计出具的报告结算给承包人</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17. 不可抗力</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17.1 不可抗力的确认</w:t>
      </w:r>
      <w:r/>
    </w:p>
    <w:p>
      <w:pPr>
        <w:jc w:val="both"/>
        <w:spacing w:line="360" w:lineRule="auto"/>
        <w:rPr>
          <w:rFonts w:ascii="Times New Roman" w:hAnsi="Times New Roman" w:cs="Times New Roman"/>
          <w:color w:val="auto"/>
          <w:sz w:val="21"/>
          <w:szCs w:val="20"/>
          <w:highlight w:val="none"/>
          <w:u w:val="single"/>
          <w:lang w:val="en-US" w:bidi="ar-SA"/>
        </w:rPr>
      </w:pPr>
      <w:r>
        <w:rPr>
          <w:rFonts w:hint="eastAsia" w:ascii="Times New Roman" w:hAnsi="Times New Roman" w:cs="Times New Roman"/>
          <w:color w:val="auto"/>
          <w:sz w:val="21"/>
          <w:szCs w:val="20"/>
          <w:highlight w:val="none"/>
          <w:lang w:val="en-US" w:bidi="ar-SA"/>
        </w:rPr>
        <w:t xml:space="preserve">除通用合同条款约定的不可抗力事件之外，视为不可抗力的其他情形：</w:t>
      </w:r>
      <w:r>
        <w:rPr>
          <w:rFonts w:hint="eastAsia" w:ascii="Times New Roman" w:hAnsi="Times New Roman" w:cs="Times New Roman"/>
          <w:color w:val="auto"/>
          <w:sz w:val="21"/>
          <w:szCs w:val="20"/>
          <w:highlight w:val="none"/>
          <w:u w:val="single"/>
          <w:lang w:val="en-US" w:bidi="ar-SA"/>
        </w:rPr>
        <w:t xml:space="preserve">因国家和政府举办大型活动限制施工、因维护学生稳定而不能正常施工</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17.2因不可抗力解除合同</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合同解除后，发包人应在商定或确定发包人应支付款项后</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天内完成款项的支付。</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 保险</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18.1 工程保险</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关于工程保险的特别约定：</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18.2其他保险</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关于其他保险的约定：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承包人是否应为其施工设备等办理财产保险：</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18.3通知义务</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关于变更保险合同时的通知义务的约定：</w:t>
      </w:r>
      <w:r>
        <w:rPr>
          <w:rFonts w:hint="eastAsia" w:ascii="Times New Roman" w:hAnsi="Times New Roman" w:cs="Times New Roman"/>
          <w:color w:val="auto"/>
          <w:sz w:val="21"/>
          <w:szCs w:val="20"/>
          <w:highlight w:val="none"/>
          <w:u w:val="single"/>
          <w:lang w:val="en-US" w:bidi="ar-SA"/>
        </w:rPr>
        <w:t xml:space="preserve">/</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19. 争议解决</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19.1争议评审</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合同当事人是否同意将工程争议提交争议评审小组决定：</w:t>
      </w:r>
      <w:r>
        <w:rPr>
          <w:rFonts w:hint="eastAsia" w:ascii="Times New Roman" w:hAnsi="Times New Roman" w:cs="Times New Roman"/>
          <w:color w:val="auto"/>
          <w:sz w:val="21"/>
          <w:szCs w:val="20"/>
          <w:highlight w:val="none"/>
          <w:u w:val="single"/>
          <w:lang w:val="en-US" w:bidi="ar-SA"/>
        </w:rPr>
        <w:t xml:space="preserve">不同意</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19.1.1 争议评审小组的确定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争议评审小组成员的确定：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选定争议评审员的期限：</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争议评审小组成员的报酬承担方式：</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其他事项的约定：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19.1.2 争议评审小组的决定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合同当事人关于本项的约定：</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19.2仲裁或诉讼</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因合同及合同有关事项发生的争议，按下列第</w:t>
      </w:r>
      <w:r>
        <w:rPr>
          <w:rFonts w:hint="eastAsia" w:ascii="Times New Roman" w:hAnsi="Times New Roman" w:cs="Times New Roman"/>
          <w:color w:val="auto"/>
          <w:sz w:val="21"/>
          <w:szCs w:val="20"/>
          <w:highlight w:val="none"/>
          <w:u w:val="single"/>
          <w:lang w:val="en-US" w:bidi="ar-SA"/>
        </w:rPr>
        <w:t xml:space="preserve">（2）</w:t>
      </w:r>
      <w:r>
        <w:rPr>
          <w:rFonts w:hint="eastAsia" w:ascii="Times New Roman" w:hAnsi="Times New Roman" w:cs="Times New Roman"/>
          <w:color w:val="auto"/>
          <w:sz w:val="21"/>
          <w:szCs w:val="20"/>
          <w:highlight w:val="none"/>
          <w:lang w:val="en-US" w:bidi="ar-SA"/>
        </w:rPr>
        <w:t xml:space="preserve">种方式解决：</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（1）向</w:t>
      </w:r>
      <w:r>
        <w:rPr>
          <w:rFonts w:hint="eastAsia" w:ascii="Times New Roman" w:hAnsi="Times New Roman" w:cs="Times New Roman"/>
          <w:color w:val="auto"/>
          <w:sz w:val="21"/>
          <w:szCs w:val="20"/>
          <w:highlight w:val="none"/>
          <w:u w:val="single"/>
          <w:lang w:val="en-US" w:bidi="ar-SA"/>
        </w:rPr>
        <w:t xml:space="preserve"> / </w:t>
      </w:r>
      <w:r>
        <w:rPr>
          <w:rFonts w:hint="eastAsia" w:ascii="Times New Roman" w:hAnsi="Times New Roman" w:cs="Times New Roman"/>
          <w:color w:val="auto"/>
          <w:sz w:val="21"/>
          <w:szCs w:val="20"/>
          <w:highlight w:val="none"/>
          <w:lang w:val="en-US" w:bidi="ar-SA"/>
        </w:rPr>
        <w:t xml:space="preserve">仲裁委员会申请仲裁；</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（2）向</w:t>
      </w:r>
      <w:r>
        <w:rPr>
          <w:rFonts w:hint="eastAsia" w:ascii="Times New Roman" w:hAnsi="Times New Roman" w:cs="Times New Roman"/>
          <w:color w:val="auto"/>
          <w:sz w:val="21"/>
          <w:szCs w:val="20"/>
          <w:highlight w:val="none"/>
          <w:u w:val="single"/>
          <w:lang w:val="en-US" w:bidi="ar-SA"/>
        </w:rPr>
        <w:t xml:space="preserve">工程所在地</w:t>
      </w:r>
      <w:r>
        <w:rPr>
          <w:rFonts w:hint="eastAsia" w:ascii="Times New Roman" w:hAnsi="Times New Roman" w:cs="Times New Roman"/>
          <w:color w:val="auto"/>
          <w:sz w:val="21"/>
          <w:szCs w:val="20"/>
          <w:highlight w:val="none"/>
          <w:lang w:val="en-US" w:bidi="ar-SA"/>
        </w:rPr>
        <w:t xml:space="preserve">人民法院起诉。</w:t>
      </w:r>
      <w:r/>
    </w:p>
    <w:p>
      <w:pPr>
        <w:jc w:val="both"/>
        <w:spacing w:before="19" w:line="360" w:lineRule="auto"/>
        <w:widowControl/>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20. 补充条款（特别约定）</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20.1发包人就该工程为承包人垫付的建设工程社会保障费，可以在向承包人支付工程进度款时扣除。</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20.2审计费用的取费标准及分摊原则：</w:t>
      </w:r>
      <w:r/>
    </w:p>
    <w:p>
      <w:pPr>
        <w:jc w:val="both"/>
        <w:spacing w:line="460" w:lineRule="exact"/>
        <w:rPr>
          <w:rFonts w:ascii="Times New Roman" w:hAnsi="Times New Roman" w:cs="Times New Roman"/>
          <w:color w:val="auto"/>
          <w:sz w:val="21"/>
          <w:szCs w:val="20"/>
          <w:highlight w:val="none"/>
          <w:lang w:val="en-US" w:bidi="ar-SA"/>
        </w:rPr>
      </w:pPr>
      <w:r>
        <w:rPr>
          <w:rFonts w:hint="eastAsia" w:ascii="Times New Roman" w:hAnsi="Times New Roman" w:cs="Times New Roman"/>
          <w:color w:val="auto"/>
          <w:sz w:val="21"/>
          <w:szCs w:val="20"/>
          <w:highlight w:val="none"/>
          <w:lang w:val="en-US" w:bidi="ar-SA"/>
        </w:rPr>
        <w:t xml:space="preserve">承包人同意发包人以自己的名义单方委托有相应资质的审计机构（工程造价咨询单位）对本工程作决算审计（包括初审和复审），</w:t>
      </w:r>
      <w:r>
        <w:rPr>
          <w:rFonts w:hint="eastAsia" w:ascii="Times New Roman" w:hAnsi="Times New Roman" w:cs="MingLiU_HKSCS"/>
          <w:color w:val="auto"/>
          <w:sz w:val="21"/>
          <w:szCs w:val="20"/>
          <w:highlight w:val="none"/>
          <w:lang w:val="en-US" w:bidi="ar-SA"/>
        </w:rPr>
        <w:t xml:space="preserve">初审和复审的审计费，均由发包人和承包人双方按规定分担。</w:t>
      </w:r>
      <w:r>
        <w:rPr>
          <w:rFonts w:hint="eastAsia" w:ascii="Times New Roman" w:hAnsi="Times New Roman" w:cs="Times New Roman"/>
          <w:color w:val="auto"/>
          <w:sz w:val="21"/>
          <w:szCs w:val="20"/>
          <w:highlight w:val="none"/>
          <w:lang w:val="en-US" w:bidi="ar-SA"/>
        </w:rPr>
        <w:t xml:space="preserve">审计费用的承担方式为：</w:t>
      </w:r>
      <w:r/>
    </w:p>
    <w:p>
      <w:pPr>
        <w:jc w:val="both"/>
        <w:spacing w:line="460" w:lineRule="exact"/>
        <w:rPr>
          <w:rFonts w:ascii="Times New Roman" w:hAnsi="Times New Roman" w:cs="Times New Roman"/>
          <w:b/>
          <w:bCs/>
          <w:color w:val="auto"/>
          <w:sz w:val="21"/>
          <w:szCs w:val="20"/>
          <w:highlight w:val="none"/>
          <w:lang w:val="en-US" w:bidi="ar-SA"/>
        </w:rPr>
      </w:pPr>
      <w:r>
        <w:rPr>
          <w:rFonts w:hint="eastAsia" w:ascii="Times New Roman" w:hAnsi="Times New Roman" w:cs="Times New Roman"/>
          <w:b/>
          <w:bCs/>
          <w:color w:val="auto"/>
          <w:sz w:val="21"/>
          <w:szCs w:val="20"/>
          <w:highlight w:val="none"/>
          <w:lang w:val="en-US" w:bidi="ar-SA"/>
        </w:rPr>
        <w:t xml:space="preserve">（一）核减率（含复审）达5%（含5%）以上的，</w:t>
      </w:r>
      <w:r>
        <w:rPr>
          <w:rFonts w:hint="eastAsia" w:cs="Times New Roman"/>
          <w:b/>
          <w:bCs/>
          <w:color w:val="auto"/>
          <w:sz w:val="21"/>
          <w:szCs w:val="20"/>
          <w:highlight w:val="none"/>
          <w:lang w:val="en-US" w:bidi="ar-SA"/>
        </w:rPr>
        <w:t xml:space="preserve">全部审计费用</w:t>
      </w:r>
      <w:r>
        <w:rPr>
          <w:rFonts w:hint="eastAsia" w:ascii="Times New Roman" w:hAnsi="Times New Roman" w:cs="Times New Roman"/>
          <w:b/>
          <w:bCs/>
          <w:color w:val="auto"/>
          <w:sz w:val="21"/>
          <w:szCs w:val="20"/>
          <w:highlight w:val="none"/>
          <w:lang w:val="en-US" w:bidi="ar-SA"/>
        </w:rPr>
        <w:t xml:space="preserve">由承包人承担，并由发包人从承包人的工程款中扣除。</w:t>
      </w:r>
      <w:r/>
    </w:p>
    <w:p>
      <w:pPr>
        <w:jc w:val="both"/>
        <w:spacing w:line="460" w:lineRule="exact"/>
        <w:rPr>
          <w:rFonts w:ascii="Times New Roman" w:hAnsi="Times New Roman" w:cs="Times New Roman"/>
          <w:b/>
          <w:bCs/>
          <w:color w:val="auto"/>
          <w:sz w:val="21"/>
          <w:szCs w:val="20"/>
          <w:highlight w:val="none"/>
          <w:lang w:val="en-US" w:bidi="ar-SA"/>
        </w:rPr>
      </w:pPr>
      <w:r>
        <w:rPr>
          <w:rFonts w:hint="eastAsia" w:ascii="Times New Roman" w:hAnsi="Times New Roman" w:cs="Times New Roman"/>
          <w:b/>
          <w:bCs/>
          <w:color w:val="auto"/>
          <w:sz w:val="21"/>
          <w:szCs w:val="20"/>
          <w:highlight w:val="none"/>
          <w:lang w:val="en-US" w:bidi="ar-SA"/>
        </w:rPr>
        <w:t xml:space="preserve">（二）核减率（含复审）为5%以下的审计费用，由发包人承担。</w:t>
      </w:r>
      <w:r/>
    </w:p>
    <w:p>
      <w:pPr>
        <w:spacing w:line="360" w:lineRule="auto"/>
        <w:rPr>
          <w:rFonts w:eastAsia="Calibri" w:cs="仿宋"/>
          <w:b/>
          <w:bCs/>
          <w:color w:val="auto"/>
          <w:sz w:val="21"/>
          <w:szCs w:val="21"/>
          <w:highlight w:val="none"/>
          <w:lang w:val="en-US" w:bidi="ar-SA"/>
        </w:rPr>
      </w:pPr>
      <w:r>
        <w:rPr>
          <w:rFonts w:hint="eastAsia" w:cs="仿宋"/>
          <w:b/>
          <w:bCs/>
          <w:color w:val="auto"/>
          <w:sz w:val="21"/>
          <w:szCs w:val="21"/>
          <w:highlight w:val="none"/>
          <w:lang w:val="en-US" w:bidi="ar-SA"/>
        </w:rPr>
        <w:t xml:space="preserve">承包人</w:t>
      </w:r>
      <w:r>
        <w:rPr>
          <w:rFonts w:hint="eastAsia" w:eastAsia="Calibri" w:cs="仿宋"/>
          <w:b/>
          <w:bCs/>
          <w:color w:val="auto"/>
          <w:sz w:val="21"/>
          <w:szCs w:val="21"/>
          <w:highlight w:val="none"/>
          <w:lang w:val="en-US" w:bidi="ar-SA"/>
        </w:rPr>
        <w:t xml:space="preserve">同意：若</w:t>
      </w:r>
      <w:r>
        <w:rPr>
          <w:rFonts w:hint="eastAsia" w:cs="仿宋"/>
          <w:b/>
          <w:bCs/>
          <w:color w:val="auto"/>
          <w:sz w:val="21"/>
          <w:szCs w:val="21"/>
          <w:highlight w:val="none"/>
          <w:lang w:val="en-US" w:bidi="ar-SA"/>
        </w:rPr>
        <w:t xml:space="preserve">发包人</w:t>
      </w:r>
      <w:r>
        <w:rPr>
          <w:rFonts w:hint="eastAsia" w:eastAsia="Calibri" w:cs="仿宋"/>
          <w:b/>
          <w:bCs/>
          <w:color w:val="auto"/>
          <w:sz w:val="21"/>
          <w:szCs w:val="21"/>
          <w:highlight w:val="none"/>
          <w:lang w:val="en-US" w:bidi="ar-SA"/>
        </w:rPr>
        <w:t xml:space="preserve">审计规定发生调整修订，则按照</w:t>
      </w:r>
      <w:r>
        <w:rPr>
          <w:rFonts w:hint="eastAsia" w:cs="仿宋"/>
          <w:b/>
          <w:bCs/>
          <w:color w:val="auto"/>
          <w:sz w:val="21"/>
          <w:szCs w:val="21"/>
          <w:highlight w:val="none"/>
          <w:lang w:val="en-US" w:bidi="ar-SA"/>
        </w:rPr>
        <w:t xml:space="preserve">发包人</w:t>
      </w:r>
      <w:r>
        <w:rPr>
          <w:rFonts w:hint="eastAsia" w:eastAsia="Calibri" w:cs="仿宋"/>
          <w:b/>
          <w:bCs/>
          <w:color w:val="auto"/>
          <w:sz w:val="21"/>
          <w:szCs w:val="21"/>
          <w:highlight w:val="none"/>
          <w:lang w:val="en-US" w:bidi="ar-SA"/>
        </w:rPr>
        <w:t xml:space="preserve">调整修订后的新审计规定执行。</w:t>
      </w:r>
      <w:r/>
    </w:p>
    <w:p>
      <w:pPr>
        <w:jc w:val="both"/>
        <w:spacing w:line="460" w:lineRule="exact"/>
        <w:rPr>
          <w:rFonts w:ascii="Times New Roman" w:hAnsi="Times New Roman" w:cs="Times New Roman"/>
          <w:b/>
          <w:color w:val="auto"/>
          <w:sz w:val="21"/>
          <w:szCs w:val="20"/>
          <w:highlight w:val="none"/>
          <w:lang w:val="en-US" w:bidi="ar-SA"/>
        </w:rPr>
      </w:pPr>
      <w:r>
        <w:rPr>
          <w:rFonts w:hint="eastAsia" w:ascii="Times New Roman" w:hAnsi="Times New Roman" w:cs="Times New Roman"/>
          <w:b/>
          <w:color w:val="auto"/>
          <w:sz w:val="21"/>
          <w:szCs w:val="20"/>
          <w:highlight w:val="none"/>
          <w:lang w:val="en-US" w:bidi="ar-SA"/>
        </w:rPr>
        <w:t xml:space="preserve">附件1：南京中医药大学水电管理办法</w:t>
      </w:r>
      <w:r/>
    </w:p>
    <w:p>
      <w:pPr>
        <w:jc w:val="both"/>
        <w:rPr>
          <w:rFonts w:ascii="Times New Roman" w:hAnsi="Times New Roman" w:cs="Times New Roman"/>
          <w:b/>
          <w:color w:val="auto"/>
          <w:sz w:val="21"/>
          <w:szCs w:val="20"/>
          <w:highlight w:val="none"/>
          <w:lang w:val="en-US" w:bidi="ar-SA"/>
        </w:rPr>
      </w:pPr>
      <w:r>
        <w:rPr>
          <w:rFonts w:ascii="Times New Roman" w:hAnsi="Times New Roman" w:cs="Times New Roman"/>
          <w:b/>
          <w:color w:val="auto"/>
          <w:sz w:val="21"/>
          <w:szCs w:val="20"/>
          <w:highlight w:val="none"/>
          <w:lang w:val="en-US" w:bidi="ar-SA"/>
        </w:rPr>
      </w:r>
      <w:r/>
    </w:p>
    <w:p>
      <w:pPr>
        <w:jc w:val="both"/>
        <w:keepLines/>
        <w:keepNext/>
        <w:spacing w:before="120" w:after="120"/>
        <w:rPr>
          <w:rFonts w:ascii="Cambria" w:hAnsi="Cambria" w:cs="Times New Roman"/>
          <w:bCs/>
          <w:color w:val="auto"/>
          <w:sz w:val="28"/>
          <w:szCs w:val="28"/>
          <w:highlight w:val="none"/>
          <w:lang w:val="en-US" w:bidi="ar-SA"/>
        </w:rPr>
        <w:outlineLvl w:val="3"/>
      </w:pPr>
      <w:r>
        <w:rPr>
          <w:rFonts w:ascii="Cambria" w:hAnsi="Cambria" w:cs="Times New Roman"/>
          <w:b/>
          <w:bCs/>
          <w:color w:val="auto"/>
          <w:sz w:val="28"/>
          <w:szCs w:val="28"/>
          <w:highlight w:val="none"/>
          <w:lang w:val="en-US" w:bidi="ar-SA"/>
        </w:rPr>
        <w:br w:type="page" w:clear="all"/>
      </w:r>
      <w:r>
        <w:rPr>
          <w:rFonts w:hint="eastAsia" w:ascii="Times New Roman" w:hAnsi="Times New Roman" w:cs="Times New Roman"/>
          <w:b/>
          <w:color w:val="auto"/>
          <w:sz w:val="21"/>
          <w:szCs w:val="20"/>
          <w:highlight w:val="none"/>
          <w:lang w:val="en-US" w:bidi="ar-SA"/>
        </w:rPr>
        <w:t xml:space="preserve">附件1：南京中医药大学水电管理办法</w:t>
      </w:r>
      <w:r/>
    </w:p>
    <w:p>
      <w:pPr>
        <w:jc w:val="center"/>
        <w:rPr>
          <w:rFonts w:ascii="Times New Roman" w:hAnsi="Times New Roman" w:cs="Times New Roman"/>
          <w:b/>
          <w:bCs/>
          <w:color w:val="auto"/>
          <w:sz w:val="32"/>
          <w:szCs w:val="32"/>
          <w:highlight w:val="none"/>
          <w:lang w:val="en-US" w:bidi="ar-SA"/>
        </w:rPr>
      </w:pPr>
      <w:r>
        <w:rPr>
          <w:rFonts w:ascii="Times New Roman" w:hAnsi="Times New Roman" w:cs="Times New Roman"/>
          <w:b/>
          <w:bCs/>
          <w:color w:val="auto"/>
          <w:sz w:val="32"/>
          <w:szCs w:val="32"/>
          <w:highlight w:val="none"/>
          <w:lang w:val="en-US" w:bidi="ar-SA"/>
        </w:rPr>
        <w:t xml:space="preserve">南京中医药大学水电管理办法</w:t>
      </w:r>
      <w:r/>
    </w:p>
    <w:p>
      <w:pPr>
        <w:jc w:val="center"/>
        <w:rPr>
          <w:rFonts w:hint="eastAsia" w:ascii="Times New Roman" w:hAnsi="Times New Roman" w:eastAsia="宋体" w:cs="Times New Roman"/>
          <w:b/>
          <w:bCs/>
          <w:color w:val="auto"/>
          <w:sz w:val="21"/>
          <w:szCs w:val="21"/>
          <w:highlight w:val="none"/>
          <w:lang w:val="en-US" w:eastAsia="zh-CN" w:bidi="ar-SA"/>
        </w:rPr>
      </w:pPr>
      <w:r>
        <w:rPr>
          <w:rFonts w:ascii="Times New Roman" w:hAnsi="Times New Roman" w:cs="Times New Roman"/>
          <w:b/>
          <w:bCs/>
          <w:color w:val="auto"/>
          <w:sz w:val="21"/>
          <w:szCs w:val="21"/>
          <w:highlight w:val="none"/>
          <w:lang w:val="en-US" w:bidi="ar-SA"/>
        </w:rPr>
        <w:t xml:space="preserve">（</w:t>
      </w:r>
      <w:r>
        <w:rPr>
          <w:rFonts w:hint="eastAsia" w:ascii="Times New Roman" w:hAnsi="Times New Roman" w:cs="Times New Roman"/>
          <w:b/>
          <w:bCs/>
          <w:color w:val="auto"/>
          <w:sz w:val="21"/>
          <w:szCs w:val="21"/>
          <w:highlight w:val="none"/>
          <w:lang w:val="en-US" w:bidi="ar-SA"/>
        </w:rPr>
        <w:t xml:space="preserve">南中医大后基字〔2026〕4 号</w:t>
      </w:r>
      <w:r>
        <w:rPr>
          <w:rFonts w:hint="eastAsia" w:ascii="Times New Roman" w:hAnsi="Times New Roman" w:cs="Times New Roman"/>
          <w:b/>
          <w:bCs/>
          <w:color w:val="auto"/>
          <w:sz w:val="21"/>
          <w:szCs w:val="21"/>
          <w:highlight w:val="none"/>
          <w:lang w:val="en-US" w:eastAsia="zh-CN" w:bidi="ar-SA"/>
        </w:rPr>
        <w:t xml:space="preserve">）</w:t>
      </w:r>
      <w:r/>
    </w:p>
    <w:p>
      <w:pPr>
        <w:jc w:val="both"/>
        <w:rPr>
          <w:rFonts w:ascii="Times New Roman" w:hAnsi="Times New Roman" w:cs="Times New Roman"/>
          <w:color w:val="auto"/>
          <w:sz w:val="21"/>
          <w:szCs w:val="20"/>
          <w:highlight w:val="none"/>
          <w:lang w:val="en-US" w:bidi="ar-SA"/>
        </w:rPr>
      </w:pPr>
      <w:r>
        <w:rPr>
          <w:rFonts w:ascii="Times New Roman" w:hAnsi="Times New Roman" w:cs="Times New Roman"/>
          <w:color w:val="auto"/>
          <w:sz w:val="21"/>
          <w:szCs w:val="20"/>
          <w:highlight w:val="none"/>
          <w:lang w:val="en-US" w:bidi="ar-SA"/>
        </w:rPr>
        <w:t xml:space="preserve"> </w:t>
      </w:r>
      <w:r/>
    </w:p>
    <w:p>
      <w:pPr>
        <w:pStyle w:val="934"/>
        <w:ind w:left="0" w:right="0"/>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auto"/>
          <w:sz w:val="24"/>
          <w:szCs w:val="24"/>
          <w:highlight w:val="none"/>
        </w:rPr>
        <w:t xml:space="preserve">南京中医药</w:t>
      </w:r>
      <w:r>
        <w:rPr>
          <w:rFonts w:hint="eastAsia" w:ascii="方正小标宋简体" w:hAnsi="方正小标宋简体" w:eastAsia="方正小标宋简体" w:cs="方正小标宋简体"/>
          <w:color w:val="auto"/>
          <w:sz w:val="24"/>
          <w:szCs w:val="24"/>
          <w:highlight w:val="none"/>
        </w:rPr>
        <w:t xml:space="preserve">大学水电管理办法（修订）</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黑体_GBK" w:hAnsi="方正黑体_GBK" w:eastAsia="方正黑体_GBK" w:cs="方正黑体_GBK"/>
          <w:color w:val="auto"/>
          <w:sz w:val="24"/>
          <w:szCs w:val="24"/>
          <w:highlight w:val="none"/>
        </w:rPr>
        <w:t xml:space="preserve">第一章 总则</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仿宋_GBK" w:hAnsi="方正仿宋_GBK" w:eastAsia="方正仿宋_GBK" w:cs="方正仿宋_GBK"/>
          <w:b/>
          <w:bCs/>
          <w:color w:val="auto"/>
          <w:sz w:val="24"/>
          <w:szCs w:val="24"/>
          <w:highlight w:val="none"/>
        </w:rPr>
        <w:t xml:space="preserve">第一条 </w:t>
      </w:r>
      <w:r>
        <w:rPr>
          <w:rFonts w:hint="eastAsia" w:ascii="方正仿宋_GBK" w:hAnsi="方正仿宋_GBK" w:eastAsia="方正仿宋_GBK" w:cs="方正仿宋_GBK"/>
          <w:color w:val="auto"/>
          <w:sz w:val="24"/>
          <w:szCs w:val="24"/>
          <w:highlight w:val="none"/>
        </w:rPr>
        <w:t xml:space="preserve">为保障学校教学、科研、办公及师生员工生活正常水电供应，规范校内水电管理秩序，明确管理责任，保障水电设施设备安全稳定运行，合理利用水电资源，依据《中华人民共和国水法》《中华人民共和国电力法》《中华人民共和国节约能源法》及相关法律法规，结合学校实际，特制定本办法。</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第二条</w:t>
      </w:r>
      <w:r>
        <w:rPr>
          <w:rFonts w:hint="eastAsia" w:ascii="方正仿宋_GBK" w:hAnsi="方正仿宋_GBK" w:eastAsia="方正仿宋_GBK" w:cs="方正仿宋_GBK"/>
          <w:color w:val="auto"/>
          <w:sz w:val="24"/>
          <w:szCs w:val="24"/>
          <w:highlight w:val="none"/>
        </w:rPr>
        <w:t xml:space="preserve"> 本办法所称水电，指通过学校权属水电输送管线及配套设施设备在全校范围内供应的水和电力；水电管理指对校内供水、供电系统的规划、建设、运行、使用、维护、计量、收费、节能管控、监督检查及应急处置等全过程的规范化管理活动。</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第三条</w:t>
      </w:r>
      <w:r>
        <w:rPr>
          <w:rFonts w:hint="eastAsia" w:ascii="方正仿宋_GBK" w:hAnsi="方正仿宋_GBK" w:eastAsia="方正仿宋_GBK" w:cs="方正仿宋_GBK"/>
          <w:color w:val="auto"/>
          <w:sz w:val="24"/>
          <w:szCs w:val="24"/>
          <w:highlight w:val="none"/>
        </w:rPr>
        <w:t xml:space="preserve"> 学校水电管理坚持“安全第一、统筹规划、节约集约、规范高效、权责统一、全员共治”原则，在保障正常教学、科研、办公及师生员工生活的前提下，构建“制度健全、流程规范、监督有力、全员参与”的水电节能管理体系。</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第四条 </w:t>
      </w:r>
      <w:r>
        <w:rPr>
          <w:rFonts w:hint="eastAsia" w:ascii="方正仿宋_GBK" w:hAnsi="方正仿宋_GBK" w:eastAsia="方正仿宋_GBK" w:cs="方正仿宋_GBK"/>
          <w:color w:val="auto"/>
          <w:sz w:val="24"/>
          <w:szCs w:val="24"/>
          <w:highlight w:val="none"/>
        </w:rPr>
        <w:t xml:space="preserve">本办法适用于所有使用学校水电的单位和个人，包括校内各二级单位、驻校单位、经营服务机构，以及在校教职工、学生、临时人员等。</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第二章 管理机构与职责</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第五条</w:t>
      </w:r>
      <w:r>
        <w:rPr>
          <w:rFonts w:hint="eastAsia" w:ascii="方正仿宋_GBK" w:hAnsi="方正仿宋_GBK" w:eastAsia="方正仿宋_GBK" w:cs="方正仿宋_GBK"/>
          <w:color w:val="auto"/>
          <w:sz w:val="24"/>
          <w:szCs w:val="24"/>
          <w:highlight w:val="none"/>
        </w:rPr>
        <w:t xml:space="preserve"> 后勤基建处作为学校水电管理归口职能部门，负责日常水电管理与节能工作的具体组织实施，贯彻执行国家及地方水电相关法规政策，制定完善水电管理制度、发展规划及年度计划与预算；负责全校水电系统及核心设施的安全运行、维保改造与智慧化建设；统筹水电计量管理、费用核算工作；审核水电配套设计并参与工程验收；开展水电使用监督查处，对接地方水电部门，指导监督校内各单位做好相关水电工作。</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第六条 </w:t>
      </w:r>
      <w:r>
        <w:rPr>
          <w:rFonts w:hint="eastAsia" w:ascii="方正仿宋_GBK" w:hAnsi="方正仿宋_GBK" w:eastAsia="方正仿宋_GBK" w:cs="方正仿宋_GBK"/>
          <w:color w:val="auto"/>
          <w:sz w:val="24"/>
          <w:szCs w:val="24"/>
          <w:highlight w:val="none"/>
        </w:rPr>
        <w:t xml:space="preserve">各二级单位由主管行政工作的正职领导担任本单位水电管理与节能工作第一责任人，全面落实学校水电管理及节能降耗制度；负责本单位所属区域及设施的水电安全、节能管控与隐患排查；配合后勤基建处完成计量、能耗报送、水电改造及维修验收等工作，常态化开展水电自查自纠，及时处理违章用水用电及浪费现象。</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第七条 </w:t>
      </w:r>
      <w:r>
        <w:rPr>
          <w:rFonts w:hint="eastAsia" w:ascii="方正仿宋_GBK" w:hAnsi="方正仿宋_GBK" w:eastAsia="方正仿宋_GBK" w:cs="方正仿宋_GBK"/>
          <w:color w:val="auto"/>
          <w:sz w:val="24"/>
          <w:szCs w:val="24"/>
          <w:highlight w:val="none"/>
        </w:rPr>
        <w:t xml:space="preserve">财务处负责学校水电经费总预算审核、管理，做好水电费用的划拨、缴交、报销工作，监督审核水电费用报销支出，依据收费标准对各类用户水电费进行代收代付。</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第八条 </w:t>
      </w:r>
      <w:r>
        <w:rPr>
          <w:rFonts w:hint="eastAsia" w:ascii="方正仿宋_GBK" w:hAnsi="方正仿宋_GBK" w:eastAsia="方正仿宋_GBK" w:cs="方正仿宋_GBK"/>
          <w:color w:val="auto"/>
          <w:sz w:val="24"/>
          <w:szCs w:val="24"/>
          <w:highlight w:val="none"/>
        </w:rPr>
        <w:t xml:space="preserve">党委学生工作部、党委研究生工作部、校团委、各学院等学生教育管理部门，负责将生态文明教育和水电安全教育纳入学生日常教育管理，引导、支持学生开展节水节电活动，配合后勤基建处做好节能宣传教育工作。</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第九条 </w:t>
      </w:r>
      <w:r>
        <w:rPr>
          <w:rFonts w:hint="eastAsia" w:ascii="方正仿宋_GBK" w:hAnsi="方正仿宋_GBK" w:eastAsia="方正仿宋_GBK" w:cs="方正仿宋_GBK"/>
          <w:color w:val="auto"/>
          <w:sz w:val="24"/>
          <w:szCs w:val="24"/>
          <w:highlight w:val="none"/>
        </w:rPr>
        <w:t xml:space="preserve">国有资产管理处负责学校大型供水供电设备的购置前采购论证组织工作。在各类高能耗设备选型时，应将能耗因素纳入评分体系。</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第十条 </w:t>
      </w:r>
      <w:r>
        <w:rPr>
          <w:rFonts w:hint="eastAsia" w:ascii="方正仿宋_GBK" w:hAnsi="方正仿宋_GBK" w:eastAsia="方正仿宋_GBK" w:cs="方正仿宋_GBK"/>
          <w:color w:val="auto"/>
          <w:sz w:val="24"/>
          <w:szCs w:val="24"/>
          <w:highlight w:val="none"/>
        </w:rPr>
        <w:t xml:space="preserve">保卫处负责校园水电设施设备（加压站、配电房、储水池等）及周边治安管理，做好消防用水设施设备日常管理和维修维护；配合后勤基建处查处违规用水用电行为，在重点场所、路段加装视频监控，协同构建人防、技防、物防相结合的水电安全防范体系。</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第三章 水电使用管理</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第十一条 </w:t>
      </w:r>
      <w:r>
        <w:rPr>
          <w:rFonts w:hint="eastAsia" w:ascii="方正仿宋_GBK" w:hAnsi="方正仿宋_GBK" w:eastAsia="方正仿宋_GBK" w:cs="方正仿宋_GBK"/>
          <w:color w:val="auto"/>
          <w:sz w:val="24"/>
          <w:szCs w:val="24"/>
          <w:highlight w:val="none"/>
        </w:rPr>
        <w:t xml:space="preserve">校内所有水电相关业务应依规办理，严格执行申请及审批流程。校内单位新增大功率用电设施设备，需填写备案表报后勤基建处备案。</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第十二条 </w:t>
      </w:r>
      <w:r>
        <w:rPr>
          <w:rFonts w:hint="eastAsia" w:ascii="方正仿宋_GBK" w:hAnsi="方正仿宋_GBK" w:eastAsia="方正仿宋_GBK" w:cs="方正仿宋_GBK"/>
          <w:color w:val="auto"/>
          <w:sz w:val="24"/>
          <w:szCs w:val="24"/>
          <w:highlight w:val="none"/>
        </w:rPr>
        <w:t xml:space="preserve">学校重大活动需保障水电供应的，承办单位应提前一周提交书面申请，后勤基建处及时向南京市供水供电部门申办保供手续。若出现供电系统重大设备故障或市供电部门临时限负荷等情况，后勤基建处可按规程或调度命令调整运行方式，优先保障生活及重点用户供电，并及时逐级汇报。</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第十三条 </w:t>
      </w:r>
      <w:r>
        <w:rPr>
          <w:rFonts w:hint="eastAsia" w:ascii="方正仿宋_GBK" w:hAnsi="方正仿宋_GBK" w:eastAsia="方正仿宋_GBK" w:cs="方正仿宋_GBK"/>
          <w:color w:val="auto"/>
          <w:sz w:val="24"/>
          <w:szCs w:val="24"/>
          <w:highlight w:val="none"/>
        </w:rPr>
        <w:t xml:space="preserve">自来水公司、供电公司安排计划停水、停电的，后勤基建处结合实际制定应对方案，报分管校领导批准后实施。</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第十四条 </w:t>
      </w:r>
      <w:r>
        <w:rPr>
          <w:rFonts w:hint="eastAsia" w:ascii="方正仿宋_GBK" w:hAnsi="方正仿宋_GBK" w:eastAsia="方正仿宋_GBK" w:cs="方正仿宋_GBK"/>
          <w:color w:val="auto"/>
          <w:sz w:val="24"/>
          <w:szCs w:val="24"/>
          <w:highlight w:val="none"/>
        </w:rPr>
        <w:t xml:space="preserve">水电处置工作应坚持安全第一原则，尽量缩小影响范围，并及时逐级报告。发生危及人身安全的重大事故，或发生火灾、爆炸、自然灾害等突发险情，后勤基建处应立即采取停水、停电措施。</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第十五条 </w:t>
      </w:r>
      <w:r>
        <w:rPr>
          <w:rFonts w:hint="eastAsia" w:ascii="方正仿宋_GBK" w:hAnsi="方正仿宋_GBK" w:eastAsia="方正仿宋_GBK" w:cs="方正仿宋_GBK"/>
          <w:color w:val="auto"/>
          <w:sz w:val="24"/>
          <w:szCs w:val="24"/>
          <w:highlight w:val="none"/>
        </w:rPr>
        <w:t xml:space="preserve">校内生产经营类经济独立核算部门、校外单位或个人来校开展经营加工等业务、借用学校场地开展各类活动的主体，以及校内创收业务相关主体、各类出租房及其他非公益性质水电用户，须由业务主管单位向后勤基建处提交书面用水用电申请，依规安装独立水电计量装置，据实缴费，不得拖欠。</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第十六条 </w:t>
      </w:r>
      <w:r>
        <w:rPr>
          <w:rFonts w:hint="eastAsia" w:ascii="方正仿宋_GBK" w:hAnsi="方正仿宋_GBK" w:eastAsia="方正仿宋_GBK" w:cs="方正仿宋_GBK"/>
          <w:color w:val="auto"/>
          <w:sz w:val="24"/>
          <w:szCs w:val="24"/>
          <w:highlight w:val="none"/>
        </w:rPr>
        <w:t xml:space="preserve">学校新建、改建、扩建等基建修缮项目需临时用水用电的，施工单位或责任单位须提前向后勤基建处提交书面申请，办理临时用水用电审批手续，规范安装计量装置，足额缴纳押金及预付费；工程竣工或临时使用结束后，及时结清水电费用，办理停用注销手续，严禁未批先接、私自用水用电。</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第十七条 </w:t>
      </w:r>
      <w:r>
        <w:rPr>
          <w:rFonts w:hint="eastAsia" w:ascii="方正仿宋_GBK" w:hAnsi="方正仿宋_GBK" w:eastAsia="方正仿宋_GBK" w:cs="方正仿宋_GBK"/>
          <w:color w:val="auto"/>
          <w:sz w:val="24"/>
          <w:szCs w:val="24"/>
          <w:highlight w:val="none"/>
        </w:rPr>
        <w:t xml:space="preserve">校内各类工程项目临时用水用电有条件挂表的，按实结算；没有挂表条件的按照约定分类执行：装饰装修、园林绿化及修缮类等项目水电等占用费按总造价的5‰扣除；设备造价占总造价60%以上的设备购置类项目，水电等占用费按总造价的2‰扣除；布展、幕墙、铝合金门窗、家具等安装项目，水电等占用费按总造价的1‰扣除。</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第十八条 </w:t>
      </w:r>
      <w:r>
        <w:rPr>
          <w:rFonts w:hint="eastAsia" w:ascii="方正仿宋_GBK" w:hAnsi="方正仿宋_GBK" w:eastAsia="方正仿宋_GBK" w:cs="方正仿宋_GBK"/>
          <w:color w:val="auto"/>
          <w:sz w:val="24"/>
          <w:szCs w:val="24"/>
          <w:highlight w:val="none"/>
        </w:rPr>
        <w:t xml:space="preserve">校园绿化浇灌、环卫保洁、景观用水优先使用雨水、中水等非传统水源，严格控制自来水用量；严禁擅自取用消防用水、绿化专用水源挪作他用，非火警不得启动消防用水设施。</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第十九条 </w:t>
      </w:r>
      <w:r>
        <w:rPr>
          <w:rFonts w:hint="eastAsia" w:ascii="方正仿宋_GBK" w:hAnsi="方正仿宋_GBK" w:eastAsia="方正仿宋_GBK" w:cs="方正仿宋_GBK"/>
          <w:color w:val="auto"/>
          <w:sz w:val="24"/>
          <w:szCs w:val="24"/>
          <w:highlight w:val="none"/>
        </w:rPr>
        <w:t xml:space="preserve">所有水电用户须严格遵守安全规范及相关管理规定，严禁私拉乱接水电管线，不得擅自改动、拆卸、遮挡、绕越水电计量装置及私自开启计量装置封印；严禁学生宿舍、实验室、办公场所使用明令禁止的大功率电器、违规电器及存在安全隐患的用电设备；不得私占水电保障关键场所（水泵房、高低压配电房等），严禁在上述场所居住、堆放杂物或为电动自行车充电，切实筑牢安全防线。</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第二十条 </w:t>
      </w:r>
      <w:r>
        <w:rPr>
          <w:rFonts w:hint="eastAsia" w:ascii="方正仿宋_GBK" w:hAnsi="方正仿宋_GBK" w:eastAsia="方正仿宋_GBK" w:cs="方正仿宋_GBK"/>
          <w:color w:val="auto"/>
          <w:sz w:val="24"/>
          <w:szCs w:val="24"/>
          <w:highlight w:val="none"/>
        </w:rPr>
        <w:t xml:space="preserve">教室、实验室、图书馆、办公室、会议室等公共教学科研办公场所，由对应使用单位或管理单位承担主体节能管理责任；后勤基建处负责公共走廊、卫生间、楼梯间、校园广场等公共区域的水电日常管理与节能巡查。</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第四章 计量与收费管理</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第二十一条</w:t>
      </w:r>
      <w:r>
        <w:rPr>
          <w:rFonts w:hint="eastAsia" w:ascii="方正仿宋_GBK" w:hAnsi="方正仿宋_GBK" w:eastAsia="方正仿宋_GBK" w:cs="方正仿宋_GBK"/>
          <w:color w:val="auto"/>
          <w:sz w:val="24"/>
          <w:szCs w:val="24"/>
          <w:highlight w:val="none"/>
        </w:rPr>
        <w:t xml:space="preserve"> 学校全面推进水电计量精准化、全覆盖管理，计量表具的安装、调试、校验、更换由后勤基建处统一负责，任何单位和个人不得擅自购置、安装、变更、迁移或拆除。校内工程及经营服务类项目用水用电，原则上按上级要求装表分类计量，费用由施工（项目）单位承担。用户负责保管所用表具，表具需移位、遗失或损坏的，须报后勤基建处处理，相关费用由用户承担。</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第二十二条 </w:t>
      </w:r>
      <w:r>
        <w:rPr>
          <w:rFonts w:hint="eastAsia" w:ascii="方正仿宋_GBK" w:hAnsi="方正仿宋_GBK" w:eastAsia="方正仿宋_GBK" w:cs="方正仿宋_GBK"/>
          <w:color w:val="auto"/>
          <w:sz w:val="24"/>
          <w:szCs w:val="24"/>
          <w:highlight w:val="none"/>
        </w:rPr>
        <w:t xml:space="preserve">学校水电收费严格执行国家、地方有关标准及学校相关规定，遇政策性调价按调整后价格执行，具体规定如下：</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（一）教职工宿舍、学生公寓及各类临时住户，水电费全额自理并按时缴纳；教职工调房、离职、学生离校、临时住户，须结清水电费方可办理相关手续。</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（二）校内经营服务类项目，学校按规定代收代付水电费；无计量表具的维修装修项目，由二级单位申请后勤基建处核定费用。</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（三）校内单位对外创收或非公务借用大型场馆使用水电，由校内牵头部门申请后勤基建处核定费用。</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（四）公益属性项目水电费，经后勤基建处审核评估可适当减免。</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（五）相关单位及个人须在缴费通知发出15个工作日内缴清费用并提交凭据存档；逾期按日加收2‰违约金，经两次书面催缴仍不缴纳的，后勤基建处可限制或暂停水电供应，损失由欠费方承担。</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（六）水电费分为预付费和后付费，预付费用户需及时续费，销户可退剩余费用；后付费用户按约定按时缴纳，销户须结清费用。</w:t>
      </w:r>
      <w:r/>
    </w:p>
    <w:p>
      <w:pPr>
        <w:pStyle w:val="934"/>
        <w:ind w:left="0" w:firstLine="640"/>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highlight w:val="none"/>
        </w:rPr>
        <w:t xml:space="preserve">（七）用户对水电费有异议的，可书面申请后勤基建处复核，需退补且起讫日期不明的，退补期限按6个月计算。</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第五章 节水节电管理</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第二十三条</w:t>
      </w:r>
      <w:r>
        <w:rPr>
          <w:rFonts w:hint="eastAsia" w:ascii="方正仿宋_GBK" w:hAnsi="方正仿宋_GBK" w:eastAsia="方正仿宋_GBK" w:cs="方正仿宋_GBK"/>
          <w:color w:val="auto"/>
          <w:sz w:val="24"/>
          <w:szCs w:val="24"/>
          <w:highlight w:val="none"/>
        </w:rPr>
        <w:t xml:space="preserve"> 后勤基建处结合学校实际，采取经济合理、技术可行、环境允许的节水节电措施；各单位需将节水节电工作纳入工作规划、年度计划，履行节水节电义务，接受检查监督。</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第二十四条 </w:t>
      </w:r>
      <w:bookmarkStart w:id="40" w:name="OLE_LINK10"/>
      <w:r>
        <w:rPr>
          <w:rFonts w:hint="eastAsia" w:ascii="方正仿宋_GBK" w:hAnsi="方正仿宋_GBK" w:eastAsia="方正仿宋_GBK" w:cs="方正仿宋_GBK"/>
          <w:color w:val="auto"/>
          <w:sz w:val="24"/>
          <w:szCs w:val="24"/>
          <w:highlight w:val="none"/>
        </w:rPr>
        <w:t xml:space="preserve">党委学生工作部</w:t>
      </w:r>
      <w:bookmarkEnd w:id="40"/>
      <w:r>
        <w:rPr>
          <w:rFonts w:hint="eastAsia" w:ascii="方正仿宋_GBK" w:hAnsi="方正仿宋_GBK" w:eastAsia="方正仿宋_GBK" w:cs="方正仿宋_GBK"/>
          <w:color w:val="auto"/>
          <w:sz w:val="24"/>
          <w:szCs w:val="24"/>
          <w:highlight w:val="none"/>
        </w:rPr>
        <w:t xml:space="preserve">、党委研究生工作部、校团委、学院等各单位应常态化开展节水节电教育宣传，普及相关知识，强化师生节约意识，构建勤俭节约、绿色低碳、文明健康的校园风尚。</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第二十五条 </w:t>
      </w:r>
      <w:r>
        <w:rPr>
          <w:rFonts w:hint="eastAsia" w:ascii="方正仿宋_GBK" w:hAnsi="方正仿宋_GBK" w:eastAsia="方正仿宋_GBK" w:cs="方正仿宋_GBK"/>
          <w:color w:val="auto"/>
          <w:sz w:val="24"/>
          <w:szCs w:val="24"/>
          <w:highlight w:val="none"/>
        </w:rPr>
        <w:t xml:space="preserve">学校鼓励支持节水节电技术改造、高效节能产品应用、可再生能源利用及智慧能耗管控项目建设，后勤基建处负责节能项目的论证、申报、实施与验收。</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第二十六条 </w:t>
      </w:r>
      <w:r>
        <w:rPr>
          <w:rFonts w:hint="eastAsia" w:ascii="方正仿宋_GBK" w:hAnsi="方正仿宋_GBK" w:eastAsia="方正仿宋_GBK" w:cs="方正仿宋_GBK"/>
          <w:color w:val="auto"/>
          <w:sz w:val="24"/>
          <w:szCs w:val="24"/>
          <w:highlight w:val="none"/>
        </w:rPr>
        <w:t xml:space="preserve">校园基本建设推广绿色建筑，选用配套节水节电设备，确保与主体工程同时设计、同时施工、同时投入使用。</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第二十七条 </w:t>
      </w:r>
      <w:r>
        <w:rPr>
          <w:rFonts w:hint="eastAsia" w:ascii="方正仿宋_GBK" w:hAnsi="方正仿宋_GBK" w:eastAsia="方正仿宋_GBK" w:cs="方正仿宋_GBK"/>
          <w:color w:val="auto"/>
          <w:sz w:val="24"/>
          <w:szCs w:val="24"/>
          <w:highlight w:val="none"/>
        </w:rPr>
        <w:t xml:space="preserve">实验室设备冷却、冲洗等用水量大的环节，应充分利用循环水技术，避免冷却用水直接排放，减少水资源浪费。</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第二十八条 </w:t>
      </w:r>
      <w:r>
        <w:rPr>
          <w:rFonts w:hint="eastAsia" w:ascii="方正仿宋_GBK" w:hAnsi="方正仿宋_GBK" w:eastAsia="方正仿宋_GBK" w:cs="方正仿宋_GBK"/>
          <w:color w:val="auto"/>
          <w:sz w:val="24"/>
          <w:szCs w:val="24"/>
          <w:highlight w:val="none"/>
        </w:rPr>
        <w:t xml:space="preserve">严格控制公共照明及景观灯开关时间，最大限度利用自然光；绿化浇灌、环境卫生、路面喷洒等用水优先使用雨水、中水等非传统水源，减少自来水使用。</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第二十九条 </w:t>
      </w:r>
      <w:r>
        <w:rPr>
          <w:rFonts w:hint="eastAsia" w:ascii="方正仿宋_GBK" w:hAnsi="方正仿宋_GBK" w:eastAsia="方正仿宋_GBK" w:cs="方正仿宋_GBK"/>
          <w:color w:val="auto"/>
          <w:sz w:val="24"/>
          <w:szCs w:val="24"/>
          <w:highlight w:val="none"/>
        </w:rPr>
        <w:t xml:space="preserve">水电使用效率、节能降耗成效及违规整改情况，纳入各二级单位年度绩效考核、文明单位评选及增收节支工作评价体系；对节水节电成效突出、管理规范的单位和个人，学校给予通报表彰、物质奖励；对能耗超标、管理松懈、违规频发的单位，予以通报批评、扣减绩效。</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第三十条 </w:t>
      </w:r>
      <w:r>
        <w:rPr>
          <w:rFonts w:hint="eastAsia" w:ascii="方正仿宋_GBK" w:hAnsi="方正仿宋_GBK" w:eastAsia="方正仿宋_GBK" w:cs="方正仿宋_GBK"/>
          <w:color w:val="auto"/>
          <w:sz w:val="24"/>
          <w:szCs w:val="24"/>
          <w:highlight w:val="none"/>
        </w:rPr>
        <w:t xml:space="preserve">所有水电用户须落实节水节电要求，杜绝长明灯、长流水、无人空调、设备空载运行等浪费行为；室内空调实行温度管控，除特殊科研、医疗工艺要求及会议室接待任务之外，原则上夏季制冷温度不低于26℃，冬季制热温度不高于20℃。</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第三十一条 </w:t>
      </w:r>
      <w:r>
        <w:rPr>
          <w:rFonts w:hint="eastAsia" w:ascii="方正仿宋_GBK" w:hAnsi="方正仿宋_GBK" w:eastAsia="方正仿宋_GBK" w:cs="方正仿宋_GBK"/>
          <w:color w:val="auto"/>
          <w:sz w:val="24"/>
          <w:szCs w:val="24"/>
          <w:highlight w:val="none"/>
        </w:rPr>
        <w:t xml:space="preserve">公共区域照明、电梯、供水设备等设施，推行分区控制、定时开关、感应启停等智能节能管控模式，根据自然光强度和校园作息时间合理调控，杜绝无效能耗。</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第三十二条 </w:t>
      </w:r>
      <w:r>
        <w:rPr>
          <w:rFonts w:hint="eastAsia" w:ascii="方正仿宋_GBK" w:hAnsi="方正仿宋_GBK" w:eastAsia="方正仿宋_GBK" w:cs="方正仿宋_GBK"/>
          <w:color w:val="auto"/>
          <w:sz w:val="24"/>
          <w:szCs w:val="24"/>
          <w:highlight w:val="none"/>
        </w:rPr>
        <w:t xml:space="preserve">任何单位和个人有权制止、监督和举报校内浪费水电行为，后勤基建处对举报信息严格保密，对查实的举报予以适当奖励。</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第三十三条 </w:t>
      </w:r>
      <w:r>
        <w:rPr>
          <w:rFonts w:hint="eastAsia" w:ascii="方正仿宋_GBK" w:hAnsi="方正仿宋_GBK" w:eastAsia="方正仿宋_GBK" w:cs="方正仿宋_GBK"/>
          <w:color w:val="auto"/>
          <w:sz w:val="24"/>
          <w:szCs w:val="24"/>
          <w:highlight w:val="none"/>
        </w:rPr>
        <w:t xml:space="preserve">任何单位和个人未经管理部门同意，不得擅自停用、拆除或遗弃已安装使用的节水节电设备；确需停用、拆除的，须报后勤基建处审批。</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第六章 设施维护与应急管理</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第三十四条</w:t>
      </w:r>
      <w:r>
        <w:rPr>
          <w:rFonts w:hint="eastAsia" w:ascii="方正仿宋_GBK" w:hAnsi="方正仿宋_GBK" w:eastAsia="方正仿宋_GBK" w:cs="方正仿宋_GBK"/>
          <w:color w:val="auto"/>
          <w:sz w:val="24"/>
          <w:szCs w:val="24"/>
          <w:highlight w:val="none"/>
        </w:rPr>
        <w:t xml:space="preserve"> 后勤基建处负责校级主供水管网、主供电线路、开闭所、泵房、总计量装置、变配电设施等核心基础设施的日常维护、定期检修、更新改造和安全管控，保障系统稳定运行；校内变（配）电房、泵房等设备操作，须由专业运维单位具备相应资质的人员负责，任何单位和个人不得擅自处置。</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第三十五条 </w:t>
      </w:r>
      <w:r>
        <w:rPr>
          <w:rFonts w:hint="eastAsia" w:ascii="方正仿宋_GBK" w:hAnsi="方正仿宋_GBK" w:eastAsia="方正仿宋_GBK" w:cs="方正仿宋_GBK"/>
          <w:color w:val="auto"/>
          <w:sz w:val="24"/>
          <w:szCs w:val="24"/>
          <w:highlight w:val="none"/>
        </w:rPr>
        <w:t xml:space="preserve">各二级单位负责其管理范围内终端用水用电设施的日常维护、故障报修；发现设施故障、安全隐患或跑冒滴漏问题，须第一时间上报后勤基建处及时处置，避免能耗浪费和安全事故；因违规操作导致水电设施设备损坏的维修费用及易耗类水电设施设备维修更换费用，由使用单位承担。</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第三十六条 </w:t>
      </w:r>
      <w:r>
        <w:rPr>
          <w:rFonts w:hint="eastAsia" w:ascii="方正仿宋_GBK" w:hAnsi="方正仿宋_GBK" w:eastAsia="方正仿宋_GBK" w:cs="方正仿宋_GBK"/>
          <w:color w:val="auto"/>
          <w:sz w:val="24"/>
          <w:szCs w:val="24"/>
          <w:highlight w:val="none"/>
        </w:rPr>
        <w:t xml:space="preserve">后勤基建处牵头制定水电突发事件应急预案，明确应急处置流程、责任分工和保障措施；组建校内临时应急抢修队伍，储备维修物资和应急器材，确保突发停水停电、设施故障时快速响应、高效处置，最大限度降低对校园正常秩序的影响。</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第三十七条 </w:t>
      </w:r>
      <w:r>
        <w:rPr>
          <w:rFonts w:hint="eastAsia" w:ascii="方正仿宋_GBK" w:hAnsi="方正仿宋_GBK" w:eastAsia="方正仿宋_GBK" w:cs="方正仿宋_GBK"/>
          <w:color w:val="auto"/>
          <w:sz w:val="24"/>
          <w:szCs w:val="24"/>
          <w:highlight w:val="none"/>
        </w:rPr>
        <w:t xml:space="preserve">计划内停水停电，后勤基建处应提前24小时以上通过校园网等渠道发布正式通知，明确停水停电范围、时长及注意事项，并预先通知受影响的重要教学、科研、医疗、生活场所，安排专人负责。因紧急故障、应急抢修需临时停水停电的，第一时间向分管校领导汇报并发布临时预警，抢修完成后尽快恢复供应，并做好后续说明。</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第七章 监督检查与违规处置</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第三十八条</w:t>
      </w:r>
      <w:r>
        <w:rPr>
          <w:rFonts w:hint="eastAsia" w:ascii="方正仿宋_GBK" w:hAnsi="方正仿宋_GBK" w:eastAsia="方正仿宋_GBK" w:cs="方正仿宋_GBK"/>
          <w:color w:val="auto"/>
          <w:sz w:val="24"/>
          <w:szCs w:val="24"/>
          <w:highlight w:val="none"/>
        </w:rPr>
        <w:t xml:space="preserve"> 后勤基建处依据本办法，对校内违规用水用电行为进行认定和处置；后勤基建处建立监督检查机制，检查重点包括违章用水用电行为、能耗浪费现象等。</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第三十九条</w:t>
      </w:r>
      <w:r>
        <w:rPr>
          <w:rFonts w:hint="eastAsia" w:ascii="方正仿宋_GBK" w:hAnsi="方正仿宋_GBK" w:eastAsia="方正仿宋_GBK" w:cs="方正仿宋_GBK"/>
          <w:color w:val="auto"/>
          <w:sz w:val="24"/>
          <w:szCs w:val="24"/>
          <w:highlight w:val="none"/>
        </w:rPr>
        <w:t xml:space="preserve"> 违规用水用电行为一经查实，后勤基建处下发整改通知单，用户违规产生的少缴、漏缴费用须足额追缴。窃水窃电除补缴费用外，处以3至5倍违约金，情节严重的移交司法机关；</w:t>
      </w:r>
      <w:r>
        <w:rPr>
          <w:rFonts w:ascii="仿宋" w:hAnsi="仿宋" w:eastAsia="仿宋" w:cs="仿宋"/>
          <w:color w:val="auto"/>
          <w:sz w:val="24"/>
          <w:szCs w:val="24"/>
          <w:highlight w:val="none"/>
        </w:rPr>
        <w:t xml:space="preserve">私拉乱接、擅自改线改表等行为，承担违约金并承担复原费用；违规使用禁用电器，收缴器具并予以处分通报；破坏相关设施，需赔偿并承担违约金，情节严重的追究责任；未经审批擅自接水接电，立即停水停电并承担违约金；</w:t>
      </w:r>
      <w:r>
        <w:rPr>
          <w:rFonts w:hint="eastAsia" w:ascii="方正仿宋_GBK" w:hAnsi="方正仿宋_GBK" w:eastAsia="方正仿宋_GBK" w:cs="方正仿宋_GBK"/>
          <w:color w:val="auto"/>
          <w:sz w:val="24"/>
          <w:szCs w:val="24"/>
          <w:highlight w:val="none"/>
        </w:rPr>
        <w:t xml:space="preserve">因违规造成设施损坏或他人损害的，承担赔偿及相应法律责任。</w:t>
      </w:r>
      <w:r/>
    </w:p>
    <w:p>
      <w:pPr>
        <w:pStyle w:val="934"/>
        <w:ind w:left="0" w:firstLine="640"/>
        <w:jc w:val="both"/>
        <w:keepLines w:val="0"/>
        <w:keepNext w:val="0"/>
        <w:spacing w:before="0" w:beforeAutospacing="0" w:after="200" w:afterAutospacing="0" w:line="0" w:lineRule="atLeas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第四十条 </w:t>
      </w:r>
      <w:r>
        <w:rPr>
          <w:rFonts w:hint="eastAsia" w:ascii="仿宋" w:hAnsi="仿宋" w:eastAsia="仿宋" w:cs="仿宋"/>
          <w:color w:val="auto"/>
          <w:sz w:val="24"/>
          <w:szCs w:val="24"/>
          <w:highlight w:val="none"/>
        </w:rPr>
        <w:t xml:space="preserve">所有违章处罚均由后勤基建处出具《违章用水用电处理通知单》，违约金、赔偿金及追缴费用全额上缴学校财务专户</w:t>
      </w:r>
      <w:r>
        <w:rPr>
          <w:rFonts w:hint="eastAsia" w:ascii="方正仿宋_GBK" w:hAnsi="方正仿宋_GBK" w:eastAsia="方正仿宋_GBK" w:cs="方正仿宋_GBK"/>
          <w:color w:val="auto"/>
          <w:sz w:val="24"/>
          <w:szCs w:val="24"/>
          <w:highlight w:val="none"/>
        </w:rPr>
        <w:t xml:space="preserve">；对学生、教职工的纪律处分，由后勤基建处移送学生工作处、人力资源处等相关职能部门，按学校规章制度履行相应程序。</w:t>
      </w:r>
      <w:r/>
    </w:p>
    <w:p>
      <w:pPr>
        <w:pStyle w:val="934"/>
        <w:jc w:val="center"/>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黑体_GBK" w:hAnsi="方正黑体_GBK" w:eastAsia="方正黑体_GBK" w:cs="方正黑体_GBK"/>
          <w:color w:val="auto"/>
          <w:sz w:val="24"/>
          <w:szCs w:val="24"/>
          <w:highlight w:val="none"/>
        </w:rPr>
        <w:t xml:space="preserve">第八章 附则</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第四十一条</w:t>
      </w:r>
      <w:r>
        <w:rPr>
          <w:rFonts w:hint="eastAsia" w:ascii="方正仿宋_GBK" w:hAnsi="方正仿宋_GBK" w:eastAsia="方正仿宋_GBK" w:cs="方正仿宋_GBK"/>
          <w:color w:val="auto"/>
          <w:sz w:val="24"/>
          <w:szCs w:val="24"/>
          <w:highlight w:val="none"/>
        </w:rPr>
        <w:t xml:space="preserve"> 本办法由学校后勤基建处负责解释，泰州校区可结合属地实际，参照本办法相关规定执行。</w:t>
      </w:r>
      <w:r/>
    </w:p>
    <w:p>
      <w:pPr>
        <w:pStyle w:val="934"/>
        <w:ind w:left="0" w:firstLine="643"/>
        <w:jc w:val="both"/>
        <w:keepLines w:val="0"/>
        <w:keepNext w:val="0"/>
        <w:spacing w:before="0" w:beforeAutospacing="0" w:after="0" w:afterAutospacing="0" w:line="0" w:lineRule="atLeas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auto"/>
          <w:sz w:val="24"/>
          <w:szCs w:val="24"/>
          <w:highlight w:val="none"/>
        </w:rPr>
        <w:t xml:space="preserve">第四十二条 </w:t>
      </w:r>
      <w:r>
        <w:rPr>
          <w:rFonts w:hint="eastAsia" w:ascii="方正仿宋_GBK" w:hAnsi="方正仿宋_GBK" w:eastAsia="方正仿宋_GBK" w:cs="方正仿宋_GBK"/>
          <w:color w:val="auto"/>
          <w:sz w:val="24"/>
          <w:szCs w:val="24"/>
          <w:highlight w:val="none"/>
        </w:rPr>
        <w:t xml:space="preserve">本办法自发布之日起正式施行，学校原《南京中医药大学水电管理办法》（2022年修订）（南中医大后字〔2022〕1号）同时废止；校内文件中有关水电管理规定与本办法不一致的，以本办法为准。</w:t>
      </w:r>
      <w:r/>
    </w:p>
    <w:p>
      <w:pPr>
        <w:jc w:val="both"/>
        <w:rPr>
          <w:color w:val="auto"/>
          <w:sz w:val="24"/>
          <w:szCs w:val="24"/>
          <w:highlight w:val="none"/>
          <w:lang w:val="en-US" w:bidi="ar-SA"/>
        </w:rPr>
      </w:pPr>
      <w:r>
        <w:rPr>
          <w:rFonts w:hint="eastAsia"/>
          <w:color w:val="auto"/>
          <w:sz w:val="24"/>
          <w:szCs w:val="24"/>
          <w:highlight w:val="none"/>
          <w:lang w:val="en-US" w:bidi="ar-SA"/>
        </w:rPr>
        <w:br w:type="page" w:clear="all"/>
      </w:r>
      <w:r/>
    </w:p>
    <w:p>
      <w:pPr>
        <w:widowControl/>
        <w:rPr>
          <w:color w:val="auto"/>
          <w:sz w:val="24"/>
          <w:szCs w:val="24"/>
          <w:highlight w:val="none"/>
          <w:lang w:val="en-US" w:bidi="ar-SA"/>
        </w:rPr>
      </w:pPr>
      <w:r>
        <w:rPr>
          <w:rFonts w:hint="eastAsia"/>
          <w:color w:val="auto"/>
          <w:sz w:val="24"/>
          <w:szCs w:val="24"/>
          <w:highlight w:val="none"/>
          <w:lang w:val="en-US" w:bidi="ar-SA"/>
        </w:rPr>
        <w:t xml:space="preserve">附件3</w:t>
      </w:r>
      <w:r/>
    </w:p>
    <w:p>
      <w:pPr>
        <w:jc w:val="center"/>
        <w:spacing w:before="156" w:after="156"/>
        <w:rPr>
          <w:b/>
          <w:bCs/>
          <w:color w:val="auto"/>
          <w:sz w:val="32"/>
          <w:szCs w:val="32"/>
          <w:highlight w:val="none"/>
          <w:lang w:val="en-US" w:bidi="ar-SA"/>
        </w:rPr>
      </w:pPr>
      <w:r>
        <w:rPr>
          <w:rFonts w:hint="eastAsia"/>
          <w:b/>
          <w:bCs/>
          <w:color w:val="auto"/>
          <w:sz w:val="32"/>
          <w:szCs w:val="32"/>
          <w:highlight w:val="none"/>
          <w:lang w:val="en-US" w:bidi="ar-SA"/>
        </w:rPr>
        <w:t xml:space="preserve">工程建设项目廉政责任书</w:t>
      </w:r>
      <w:r/>
    </w:p>
    <w:p>
      <w:pPr>
        <w:ind w:firstLine="420"/>
        <w:spacing w:line="360" w:lineRule="auto"/>
        <w:tabs>
          <w:tab w:val="left" w:pos="501" w:leader="none"/>
        </w:tabs>
        <w:rPr>
          <w:rFonts w:cs="Times New Roman"/>
          <w:color w:val="auto"/>
          <w:sz w:val="21"/>
          <w:highlight w:val="none"/>
          <w:u w:val="single"/>
          <w:lang w:val="en-US" w:bidi="ar-SA"/>
        </w:rPr>
      </w:pPr>
      <w:r>
        <w:rPr>
          <w:rFonts w:hint="eastAsia" w:cs="Times New Roman"/>
          <w:color w:val="auto"/>
          <w:sz w:val="21"/>
          <w:szCs w:val="21"/>
          <w:highlight w:val="none"/>
          <w:lang w:val="en-US" w:bidi="ar-SA"/>
        </w:rPr>
        <w:t xml:space="preserve">工程名称：</w:t>
      </w:r>
      <w:r>
        <w:rPr>
          <w:rFonts w:hint="eastAsia" w:cs="Times New Roman"/>
          <w:color w:val="auto"/>
          <w:sz w:val="21"/>
          <w:highlight w:val="none"/>
          <w:u w:val="single"/>
          <w:lang w:val="en-US" w:bidi="ar-SA"/>
        </w:rPr>
        <w:t xml:space="preserve">                 </w:t>
      </w:r>
      <w:r/>
    </w:p>
    <w:p>
      <w:pPr>
        <w:ind w:firstLine="420"/>
        <w:spacing w:line="360" w:lineRule="auto"/>
        <w:tabs>
          <w:tab w:val="left" w:pos="501" w:leader="none"/>
        </w:tabs>
        <w:rPr>
          <w:rFonts w:cs="Times New Roman"/>
          <w:color w:val="auto"/>
          <w:sz w:val="21"/>
          <w:highlight w:val="none"/>
          <w:u w:val="single"/>
          <w:lang w:val="en-US" w:bidi="ar-SA"/>
        </w:rPr>
      </w:pPr>
      <w:r>
        <w:rPr>
          <w:rFonts w:hint="eastAsia" w:cs="Times New Roman"/>
          <w:color w:val="auto"/>
          <w:sz w:val="21"/>
          <w:szCs w:val="21"/>
          <w:highlight w:val="none"/>
          <w:lang w:val="en-US" w:bidi="ar-SA"/>
        </w:rPr>
        <w:t xml:space="preserve">工程地址：</w:t>
      </w:r>
      <w:r>
        <w:rPr>
          <w:rFonts w:hint="eastAsia" w:cs="Times New Roman"/>
          <w:color w:val="auto"/>
          <w:sz w:val="21"/>
          <w:highlight w:val="none"/>
          <w:u w:val="single"/>
          <w:lang w:val="en-US" w:bidi="ar-SA"/>
        </w:rPr>
        <w:t xml:space="preserve">                </w:t>
      </w:r>
      <w:r>
        <w:rPr>
          <w:rFonts w:cs="Times New Roman"/>
          <w:color w:val="auto"/>
          <w:sz w:val="21"/>
          <w:highlight w:val="none"/>
          <w:u w:val="single"/>
          <w:lang w:val="en-US" w:bidi="ar-SA"/>
        </w:rPr>
        <w:t xml:space="preserve"> </w:t>
      </w:r>
      <w:r/>
    </w:p>
    <w:p>
      <w:pPr>
        <w:ind w:firstLine="420"/>
        <w:jc w:val="both"/>
        <w:spacing w:line="360" w:lineRule="auto"/>
        <w:rPr>
          <w:rFonts w:cs="Times New Roman"/>
          <w:color w:val="auto"/>
          <w:sz w:val="21"/>
          <w:highlight w:val="none"/>
          <w:u w:val="single"/>
          <w:lang w:val="en-US" w:bidi="ar-SA"/>
        </w:rPr>
      </w:pPr>
      <w:r>
        <w:rPr>
          <w:rFonts w:hint="eastAsia" w:cs="Times New Roman"/>
          <w:color w:val="auto"/>
          <w:sz w:val="21"/>
          <w:szCs w:val="21"/>
          <w:highlight w:val="none"/>
          <w:lang w:val="en-US" w:bidi="ar-SA"/>
        </w:rPr>
        <w:t xml:space="preserve">建设单位（甲方）：</w:t>
      </w:r>
      <w:r>
        <w:rPr>
          <w:rFonts w:cs="Times New Roman"/>
          <w:color w:val="auto"/>
          <w:sz w:val="21"/>
          <w:highlight w:val="none"/>
          <w:u w:val="single"/>
          <w:lang w:val="en-US" w:bidi="ar-SA"/>
        </w:rPr>
        <w:t xml:space="preserve"> </w:t>
      </w:r>
      <w:r>
        <w:rPr>
          <w:rFonts w:hint="eastAsia" w:cs="Times New Roman"/>
          <w:color w:val="auto"/>
          <w:sz w:val="21"/>
          <w:highlight w:val="none"/>
          <w:u w:val="single"/>
          <w:lang w:val="en-US" w:bidi="ar-SA"/>
        </w:rPr>
        <w:t xml:space="preserve">           </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施工单位（乙方）：</w:t>
      </w:r>
      <w:r>
        <w:rPr>
          <w:rFonts w:cs="Times New Roman"/>
          <w:color w:val="auto"/>
          <w:sz w:val="21"/>
          <w:highlight w:val="none"/>
          <w:u w:val="single"/>
          <w:lang w:val="en-US" w:bidi="ar-SA"/>
        </w:rPr>
        <w:t xml:space="preserve"> </w:t>
      </w:r>
      <w:r>
        <w:rPr>
          <w:rFonts w:hint="eastAsia" w:cs="Times New Roman"/>
          <w:color w:val="auto"/>
          <w:sz w:val="21"/>
          <w:highlight w:val="none"/>
          <w:u w:val="single"/>
          <w:lang w:val="en-US" w:bidi="ar-SA"/>
        </w:rPr>
        <w:t xml:space="preserve">           </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为加强工程建设中的廉政建设，规范工程建设项目承发包的各项活动，防止发生各种谋取不正当利益的违法违纪行为，保护国家、集体和当事人的合法权益，根据国家有关工程建设的法律法规和廉政建设责任制规定，特订立本廉政责任书。</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第一条 甲乙双方的责任</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（一）应严格遵守国家关于市场准入、项目招标投标、工程建设、施工安装和市场活动等有关法律、法规，相关政策，以及廉政建设的各项规定。</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（二）严格执行建设工程项目承包合同文件，自觉按合同办事。</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（四）发现对方在业务活动中有违规、违纪、违法行为的，应及时提醒对方，情节严重的，应向其上级主管部门或纪检监察、司法等有关机关举报。</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第二条 甲方的责任</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甲方的领导和从事该建设工程项目的工作人员，在工程建设的事前、事中、事后应遵守以下规定：</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（一）不准向乙方和相关单位索要或接受回扣、礼金、有价证券、贵重物品和好处费、感谢费等。</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（二）不准在乙方和相关单位报销任何应由甲方或个人支付的费用。</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（三）不准要求、暗示和接受乙方和相关单位为个人装修住房、婚丧嫁娶、配偶子女的工作安排及出国（境）、旅游等提供方便。</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（四）不准参加有可能影响公正执行公务的乙方和相关单位的宴请和健身、娱乐等活动。</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第三条 乙方的责任</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应与甲方保持正常的业务交往，按照有关法律法规和程序开展业务工作，严格执行工程建设和有关方针、政策，尤其是有关建筑施工安装的强制性标准和规范，并遵守以下规定：</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（一）不准以任何理由向甲方、相关单位及其工作人员索要、接受或赠送礼金、有价证券、贵重物品和回扣、好处费、感谢费等。</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（二）不准以任何理由为甲方和相关单位报销应由对方或个人支付的费用。</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（三）不准接受或暗示为甲方、相关单位或个人装修住房、婚丧嫁娶、配偶子女的工作安排及出国（境）、旅游等提供方便。</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（四）不准以任何理由为甲方、相关单位或个人组织有可能影响公正执行公务的宴请、健身、娱乐等活动。</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第四条</w:t>
      </w:r>
      <w:r>
        <w:rPr>
          <w:rFonts w:hint="eastAsia" w:cs="Times New Roman"/>
          <w:color w:val="auto"/>
          <w:sz w:val="21"/>
          <w:szCs w:val="21"/>
          <w:highlight w:val="none"/>
          <w:lang w:val="en-US" w:bidi="ar-SA"/>
        </w:rPr>
        <w:tab/>
      </w:r>
      <w:r>
        <w:rPr>
          <w:rFonts w:hint="eastAsia" w:cs="Times New Roman"/>
          <w:color w:val="auto"/>
          <w:sz w:val="21"/>
          <w:szCs w:val="21"/>
          <w:highlight w:val="none"/>
          <w:lang w:val="en-US" w:bidi="ar-SA"/>
        </w:rPr>
        <w:t xml:space="preserve">违约责任</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一）甲方工作人员有违反本责任书第一、二条责任行为的，按照管理权限，根据有关法律法规和规定给予党纪、政纪处分或组织处理；涉嫌犯罪的，移交司法机关追究刑事责任；给乙方单位造成经济损失的，应予以赔偿。</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二）乙方工作人员有违反本责任书第一、三条责任行为的，按照管理权限，依据有关法律法规和规定给予党纪、政纪处分或组织处理；涉嫌犯罪的，移交司法机关追究刑事责任；给甲方单位造成经济损失的，应予以赔偿。</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第五条 本责任书作为工程施工合同的附件，与工程施工合同具有同等法律效力。经双方签署后立即生效。</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第六条 本责任书的有效期为双方签署之日起至该工程项目竣工验收合格时止。</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第七条 本责任书一式四份，由甲乙双方各执一份，送交甲乙双方的监督单位各一份。</w:t>
      </w:r>
      <w:r/>
    </w:p>
    <w:p>
      <w:pPr>
        <w:ind w:firstLine="420"/>
        <w:jc w:val="both"/>
        <w:spacing w:line="360" w:lineRule="auto"/>
        <w:rPr>
          <w:rFonts w:cs="Times New Roman"/>
          <w:color w:val="auto"/>
          <w:sz w:val="21"/>
          <w:szCs w:val="21"/>
          <w:highlight w:val="none"/>
          <w:lang w:val="en-US" w:bidi="ar-SA"/>
        </w:rPr>
      </w:pPr>
      <w:r>
        <w:rPr>
          <w:rFonts w:hint="eastAsia" w:cs="Times New Roman"/>
          <w:color w:val="auto"/>
          <w:sz w:val="21"/>
          <w:szCs w:val="21"/>
          <w:highlight w:val="none"/>
          <w:lang w:val="en-US" w:bidi="ar-SA"/>
        </w:rPr>
        <w:t xml:space="preserve">（以下无正文）</w:t>
      </w:r>
      <w:r/>
    </w:p>
    <w:p>
      <w:pPr>
        <w:ind w:firstLine="420"/>
        <w:jc w:val="both"/>
        <w:spacing w:line="360" w:lineRule="auto"/>
        <w:rPr>
          <w:rFonts w:cs="Times New Roman"/>
          <w:color w:val="auto"/>
          <w:sz w:val="21"/>
          <w:szCs w:val="21"/>
          <w:highlight w:val="none"/>
          <w:lang w:val="en-US" w:bidi="ar-SA"/>
        </w:rPr>
      </w:pPr>
      <w:r>
        <w:rPr>
          <w:rFonts w:cs="Times New Roman"/>
          <w:color w:val="auto"/>
          <w:sz w:val="21"/>
          <w:szCs w:val="21"/>
          <w:highlight w:val="none"/>
          <w:lang w:val="en-US" w:bidi="ar-SA"/>
        </w:rPr>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甲方单位：（盖章）                           乙方单位：（盖章）         </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签字：                                       签字：                        </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地址：                                       地址：                        </w:t>
      </w:r>
      <w:r/>
    </w:p>
    <w:p>
      <w:pPr>
        <w:ind w:firstLine="420"/>
        <w:jc w:val="both"/>
        <w:spacing w:line="360" w:lineRule="auto"/>
        <w:rPr>
          <w:rFonts w:cs="Times New Roman"/>
          <w:color w:val="auto"/>
          <w:sz w:val="21"/>
          <w:highlight w:val="none"/>
          <w:lang w:val="en-US" w:bidi="ar-SA"/>
        </w:rPr>
      </w:pPr>
      <w:r>
        <w:rPr>
          <w:rFonts w:hint="eastAsia" w:cs="Times New Roman"/>
          <w:color w:val="auto"/>
          <w:sz w:val="21"/>
          <w:szCs w:val="21"/>
          <w:highlight w:val="none"/>
          <w:lang w:val="en-US" w:bidi="ar-SA"/>
        </w:rPr>
        <w:t xml:space="preserve">          年   月   日                                      年   月   日   </w:t>
      </w:r>
      <w:r/>
    </w:p>
    <w:p>
      <w:pPr>
        <w:ind w:firstLine="420"/>
        <w:jc w:val="both"/>
        <w:spacing w:line="360" w:lineRule="auto"/>
        <w:rPr>
          <w:color w:val="auto"/>
          <w:sz w:val="21"/>
          <w:szCs w:val="21"/>
          <w:highlight w:val="none"/>
          <w:lang w:val="en-US" w:bidi="ar-SA"/>
        </w:rPr>
      </w:pPr>
      <w:r>
        <w:rPr>
          <w:color w:val="auto"/>
          <w:sz w:val="21"/>
          <w:szCs w:val="21"/>
          <w:highlight w:val="none"/>
          <w:lang w:val="en-US" w:bidi="ar-SA"/>
        </w:rPr>
      </w:r>
      <w:r/>
    </w:p>
    <w:p>
      <w:pPr>
        <w:rPr>
          <w:b/>
          <w:bCs/>
          <w:color w:val="auto"/>
          <w:highlight w:val="none"/>
        </w:rPr>
        <w:sectPr>
          <w:headerReference w:type="default" r:id="rId9"/>
          <w:footerReference w:type="default" r:id="rId12"/>
          <w:footerReference w:type="even" r:id="rId13"/>
          <w:footnotePr/>
          <w:endnotePr/>
          <w:type w:val="nextPage"/>
          <w:pgSz w:w="11906" w:h="16838" w:orient="portrait"/>
          <w:pgMar w:top="1440" w:right="1800" w:bottom="1440" w:left="1380" w:header="851" w:footer="992" w:gutter="0"/>
          <w:rtlGutter/>
          <w:cols w:num="1" w:sep="0" w:space="720" w:equalWidth="1"/>
          <w:docGrid w:linePitch="360"/>
        </w:sectPr>
      </w:pPr>
      <w:r>
        <w:rPr>
          <w:b/>
          <w:bCs/>
          <w:color w:val="auto"/>
          <w:highlight w:val="none"/>
        </w:rPr>
      </w:r>
      <w:r/>
    </w:p>
    <w:p>
      <w:pPr>
        <w:ind w:right="85"/>
        <w:jc w:val="both"/>
        <w:spacing w:line="360" w:lineRule="auto"/>
        <w:rPr>
          <w:rFonts w:ascii="黑体" w:eastAsia="黑体"/>
          <w:b/>
          <w:bCs/>
          <w:color w:val="auto"/>
          <w:sz w:val="36"/>
          <w:highlight w:val="none"/>
        </w:rPr>
        <w:outlineLvl w:val="0"/>
      </w:pPr>
      <w:r>
        <w:rPr>
          <w:rFonts w:ascii="黑体" w:eastAsia="黑体"/>
          <w:b/>
          <w:bCs/>
          <w:color w:val="auto"/>
          <w:sz w:val="36"/>
          <w:highlight w:val="none"/>
        </w:rPr>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39"/>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color w:val="auto"/>
          <w:sz w:val="36"/>
          <w:highlight w:val="none"/>
        </w:rPr>
        <w:sectPr>
          <w:headerReference w:type="default" r:id="rId10"/>
          <w:footerReference w:type="default" r:id="rId14"/>
          <w:footnotePr/>
          <w:endnotePr/>
          <w:type w:val="nextPage"/>
          <w:pgSz w:w="11910" w:h="16840" w:orient="portrait"/>
          <w:pgMar w:top="1134" w:right="1134" w:bottom="1134" w:left="1134" w:header="567" w:footer="567" w:gutter="0"/>
          <w:cols w:num="1" w:sep="0" w:space="720" w:equalWidth="1"/>
          <w:docGrid w:linePitch="360"/>
        </w:sectPr>
      </w:pPr>
      <w:r>
        <w:rPr>
          <w:b/>
          <w:color w:val="auto"/>
          <w:sz w:val="36"/>
          <w:highlight w:val="none"/>
        </w:rPr>
        <w:t xml:space="preserve">日期：</w:t>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41" w:name="_Toc489655320"/>
      <w:r>
        <w:rPr>
          <w:rFonts w:hint="eastAsia"/>
          <w:b/>
          <w:bCs/>
          <w:color w:val="auto"/>
          <w:sz w:val="28"/>
          <w:szCs w:val="28"/>
          <w:highlight w:val="none"/>
        </w:rPr>
        <w:t xml:space="preserve">投标文件主要目录</w:t>
      </w:r>
      <w:bookmarkEnd w:id="41"/>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七、施工组织设计方案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八、项目管理机构</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ind w:left="425"/>
        <w:spacing w:line="360" w:lineRule="auto"/>
        <w:tabs>
          <w:tab w:val="left" w:pos="1145" w:leader="none"/>
        </w:tabs>
        <w:rPr>
          <w:color w:val="auto"/>
          <w:sz w:val="28"/>
          <w:szCs w:val="28"/>
          <w:highlight w:val="none"/>
          <w:lang w:val="en-US"/>
        </w:rPr>
      </w:pPr>
      <w:r>
        <w:rPr>
          <w:rFonts w:hint="eastAsia"/>
          <w:color w:val="auto"/>
          <w:sz w:val="28"/>
          <w:szCs w:val="28"/>
          <w:highlight w:val="none"/>
          <w:lang w:val="en-US"/>
        </w:rPr>
        <w:t xml:space="preserve">十一、主要材料品牌一览表</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58"/>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color w:val="auto"/>
          <w:sz w:val="28"/>
          <w:szCs w:val="28"/>
          <w:highlight w:val="none"/>
        </w:rPr>
      </w:pPr>
      <w:r>
        <w:rPr>
          <w:rFonts w:hint="eastAsia"/>
          <w:color w:val="auto"/>
          <w:sz w:val="28"/>
          <w:szCs w:val="28"/>
          <w:highlight w:val="none"/>
        </w:rPr>
        <w:t xml:space="preserve">附件六、访客入校申请使用指南</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 </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南京中医药大学</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 </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lang w:val="en-US"/>
        </w:rPr>
        <w:t xml:space="preserve">3.合同履行期限（工期）</w:t>
      </w:r>
      <w:r>
        <w:rPr>
          <w:rFonts w:hint="eastAsia"/>
          <w:color w:val="auto"/>
          <w:sz w:val="21"/>
          <w:szCs w:val="21"/>
          <w:highlight w:val="none"/>
        </w:rPr>
        <w:t xml:space="preserve">：</w:t>
      </w:r>
      <w:r>
        <w:rPr>
          <w:rFonts w:hint="eastAsia"/>
          <w:color w:val="auto"/>
          <w:sz w:val="21"/>
          <w:szCs w:val="21"/>
          <w:highlight w:val="none"/>
          <w:u w:val="single"/>
          <w:lang w:val="en-US"/>
        </w:rPr>
        <w:t xml:space="preserve">     </w:t>
      </w:r>
      <w:r>
        <w:rPr>
          <w:rFonts w:hint="eastAsia"/>
          <w:color w:val="auto"/>
          <w:sz w:val="21"/>
          <w:szCs w:val="21"/>
          <w:highlight w:val="none"/>
        </w:rPr>
        <w:t xml:space="preserve">日历天，</w:t>
      </w:r>
      <w:r>
        <w:rPr>
          <w:color w:val="auto"/>
          <w:sz w:val="21"/>
          <w:highlight w:val="none"/>
        </w:rPr>
        <w:t xml:space="preserve">即本工程自发包人下达的书面开工令载明的开工之日起</w:t>
      </w:r>
      <w:r>
        <w:rPr>
          <w:rFonts w:hint="eastAsia"/>
          <w:color w:val="auto"/>
          <w:sz w:val="21"/>
          <w:szCs w:val="21"/>
          <w:highlight w:val="none"/>
          <w:u w:val="single"/>
          <w:lang w:val="en-US"/>
        </w:rPr>
        <w:t xml:space="preserve">     </w:t>
      </w:r>
      <w:r>
        <w:rPr>
          <w:rFonts w:hint="eastAsia"/>
          <w:color w:val="auto"/>
          <w:sz w:val="21"/>
          <w:szCs w:val="21"/>
          <w:highlight w:val="none"/>
        </w:rPr>
        <w:t xml:space="preserve">日历天</w:t>
      </w:r>
      <w:r>
        <w:rPr>
          <w:color w:val="auto"/>
          <w:sz w:val="21"/>
          <w:highlight w:val="none"/>
        </w:rPr>
        <w:t xml:space="preserve">竣工。</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5.我方参加本次采购活动前，没有被信用中国网站、中国政府采购网站列入失信被执行人名单、重大税收违法失信主体、政府采购严重违法失信行为记录名单。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南京中医药大学</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59"/>
        <w:jc w:val="center"/>
        <w:keepLines w:val="0"/>
        <w:keepNext w:val="0"/>
        <w:widowControl/>
        <w:rPr>
          <w:color w:val="auto"/>
          <w:highlight w:val="none"/>
        </w:rPr>
      </w:pPr>
      <w:r>
        <w:rPr>
          <w:rStyle w:val="1160"/>
          <w:rFonts w:hint="eastAsia"/>
          <w:b w:val="0"/>
          <w:bCs w:val="0"/>
          <w:color w:val="auto"/>
          <w:sz w:val="36"/>
          <w:szCs w:val="36"/>
          <w:highlight w:val="none"/>
        </w:rPr>
        <w:t xml:space="preserve">开标一览表（总价）</w:t>
      </w:r>
      <w:r/>
    </w:p>
    <w:p>
      <w:pPr>
        <w:pStyle w:val="1162"/>
        <w:rPr>
          <w:color w:val="auto"/>
          <w:sz w:val="21"/>
          <w:szCs w:val="20"/>
          <w:highlight w:val="none"/>
        </w:rPr>
      </w:pPr>
      <w:r>
        <w:rPr>
          <w:rFonts w:hint="eastAsia"/>
          <w:color w:val="auto"/>
          <w:sz w:val="21"/>
          <w:szCs w:val="20"/>
          <w:highlight w:val="none"/>
        </w:rPr>
        <w:t xml:space="preserve">投标人全称（CA公章）：供应商名称 </w:t>
      </w:r>
      <w:r/>
    </w:p>
    <w:p>
      <w:pPr>
        <w:pStyle w:val="1162"/>
        <w:rPr>
          <w:color w:val="auto"/>
          <w:sz w:val="21"/>
          <w:szCs w:val="20"/>
          <w:highlight w:val="none"/>
        </w:rPr>
      </w:pPr>
      <w:r>
        <w:rPr>
          <w:rFonts w:hint="eastAsia"/>
          <w:color w:val="auto"/>
          <w:sz w:val="21"/>
          <w:szCs w:val="20"/>
          <w:highlight w:val="none"/>
        </w:rPr>
        <w:t xml:space="preserve">项目名称：</w:t>
      </w:r>
      <w:r/>
    </w:p>
    <w:p>
      <w:pPr>
        <w:pStyle w:val="1162"/>
        <w:rPr>
          <w:color w:val="auto"/>
          <w:sz w:val="21"/>
          <w:szCs w:val="20"/>
          <w:highlight w:val="none"/>
        </w:rPr>
      </w:pPr>
      <w:r>
        <w:rPr>
          <w:rFonts w:hint="eastAsia"/>
          <w:color w:val="auto"/>
          <w:sz w:val="21"/>
          <w:szCs w:val="20"/>
          <w:highlight w:val="none"/>
        </w:rPr>
        <w:t xml:space="preserve">项目编号：</w:t>
      </w:r>
      <w:r/>
    </w:p>
    <w:p>
      <w:pPr>
        <w:pStyle w:val="1162"/>
        <w:rPr>
          <w:color w:val="auto"/>
          <w:highlight w:val="none"/>
        </w:rPr>
      </w:pPr>
      <w:r>
        <w:rPr>
          <w:rFonts w:hint="eastAsia"/>
          <w:color w:val="auto"/>
          <w:sz w:val="21"/>
          <w:szCs w:val="20"/>
          <w:highlight w:val="none"/>
        </w:rPr>
        <w:t xml:space="preserve">分包号：</w:t>
      </w:r>
      <w:r/>
    </w:p>
    <w:tbl>
      <w:tblPr>
        <w:tblStyle w:val="887"/>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8"/>
      </w:tblGrid>
      <w:tr>
        <w:trPr>
          <w:tblCellSpacing w:w="15" w:type="dxa"/>
          <w:trHeight w:val="810"/>
        </w:trPr>
        <w:tc>
          <w:tcPr>
            <w:tcW w:w="898" w:type="dxa"/>
            <w:vAlign w:val="center"/>
            <w:textDirection w:val="lrTb"/>
            <w:noWrap w:val="false"/>
          </w:tcPr>
          <w:p>
            <w:pPr>
              <w:pStyle w:val="1162"/>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62"/>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62"/>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color w:val="auto"/>
              </w:rPr>
              <w:instrText xml:space="preserve"> CONTROL Forms.HTML:Text.1 \s  \* MERGEFORMAT</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color w:val="auto"/>
        </w:rPr>
        <w:instrText xml:space="preserve"> CONTROL Forms.HTML:Text.1 \s  \* MERGEFORMAT</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color w:val="auto"/>
        </w:rPr>
        <w:instrText xml:space="preserve"> CONTROL Forms.HTML:Text.1 \s  \* MERGEFORMAT</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color w:val="auto"/>
        </w:rPr>
        <w:instrText xml:space="preserve"> CONTROL Forms.HTML:Text.1 \s  \* MERGEFORMAT</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18"/>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目录四、分项报价表格式</w:t>
      </w:r>
      <w:r/>
    </w:p>
    <w:p>
      <w:pPr>
        <w:ind w:firstLine="420"/>
        <w:jc w:val="center"/>
        <w:spacing w:line="360" w:lineRule="auto"/>
        <w:rPr>
          <w:color w:val="auto"/>
          <w:sz w:val="21"/>
          <w:szCs w:val="21"/>
          <w:highlight w:val="none"/>
        </w:rPr>
      </w:pPr>
      <w:r>
        <w:rPr>
          <w:rFonts w:hint="eastAsia"/>
          <w:color w:val="auto"/>
          <w:sz w:val="28"/>
          <w:szCs w:val="28"/>
          <w:highlight w:val="none"/>
        </w:rPr>
        <w:t xml:space="preserve">（供应商根据本项目工程的工作量清单编制）</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8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施工组织设计方案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施工组织设计方案</w:t>
      </w:r>
      <w:r>
        <w:rPr>
          <w:rFonts w:asciiTheme="minorEastAsia" w:hAnsiTheme="minorEastAsia" w:eastAsiaTheme="minorEastAsia"/>
          <w:b/>
          <w:color w:val="auto"/>
          <w:sz w:val="36"/>
          <w:highlight w:val="none"/>
        </w:rPr>
        <w:t xml:space="preserve">（</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项目管理机构</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项目管理机构组成表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8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09"/>
        <w:gridCol w:w="708"/>
        <w:gridCol w:w="1134"/>
        <w:gridCol w:w="993"/>
        <w:gridCol w:w="992"/>
        <w:gridCol w:w="992"/>
        <w:gridCol w:w="1276"/>
        <w:gridCol w:w="709"/>
      </w:tblGrid>
      <w:tr>
        <w:trPr/>
        <w:tc>
          <w:tcPr>
            <w:tcW w:w="1276" w:type="dxa"/>
            <w:vAlign w:val="center"/>
            <w:vMerge w:val="restart"/>
            <w:textDirection w:val="lrTb"/>
            <w:noWrap w:val="false"/>
          </w:tcPr>
          <w:p>
            <w:pPr>
              <w:jc w:val="center"/>
              <w:spacing w:line="440" w:lineRule="exact"/>
              <w:rPr>
                <w:color w:val="auto"/>
                <w:highlight w:val="none"/>
              </w:rPr>
            </w:pPr>
            <w:r>
              <w:rPr>
                <w:color w:val="auto"/>
                <w:highlight w:val="none"/>
              </w:rPr>
              <w:t xml:space="preserve">职务</w:t>
            </w:r>
            <w:r/>
          </w:p>
        </w:tc>
        <w:tc>
          <w:tcPr>
            <w:tcW w:w="709" w:type="dxa"/>
            <w:vAlign w:val="center"/>
            <w:vMerge w:val="restart"/>
            <w:textDirection w:val="lrTb"/>
            <w:noWrap w:val="false"/>
          </w:tcPr>
          <w:p>
            <w:pPr>
              <w:jc w:val="center"/>
              <w:spacing w:line="440" w:lineRule="exact"/>
              <w:rPr>
                <w:color w:val="auto"/>
                <w:highlight w:val="none"/>
              </w:rPr>
            </w:pPr>
            <w:r>
              <w:rPr>
                <w:color w:val="auto"/>
                <w:highlight w:val="none"/>
              </w:rPr>
              <w:t xml:space="preserve">姓名</w:t>
            </w:r>
            <w:r/>
          </w:p>
        </w:tc>
        <w:tc>
          <w:tcPr>
            <w:tcW w:w="708" w:type="dxa"/>
            <w:vAlign w:val="center"/>
            <w:vMerge w:val="restart"/>
            <w:textDirection w:val="lrTb"/>
            <w:noWrap w:val="false"/>
          </w:tcPr>
          <w:p>
            <w:pPr>
              <w:jc w:val="center"/>
              <w:spacing w:line="440" w:lineRule="exact"/>
              <w:rPr>
                <w:color w:val="auto"/>
                <w:highlight w:val="none"/>
              </w:rPr>
            </w:pPr>
            <w:r>
              <w:rPr>
                <w:color w:val="auto"/>
                <w:highlight w:val="none"/>
              </w:rPr>
              <w:t xml:space="preserve">职称</w:t>
            </w:r>
            <w:r/>
          </w:p>
        </w:tc>
        <w:tc>
          <w:tcPr>
            <w:gridSpan w:val="5"/>
            <w:tcW w:w="5387" w:type="dxa"/>
            <w:vAlign w:val="center"/>
            <w:textDirection w:val="lrTb"/>
            <w:noWrap w:val="false"/>
          </w:tcPr>
          <w:p>
            <w:pPr>
              <w:jc w:val="center"/>
              <w:spacing w:line="440" w:lineRule="exact"/>
              <w:rPr>
                <w:color w:val="auto"/>
                <w:highlight w:val="none"/>
              </w:rPr>
            </w:pPr>
            <w:r>
              <w:rPr>
                <w:color w:val="auto"/>
                <w:highlight w:val="none"/>
              </w:rPr>
              <w:t xml:space="preserve">执业或职业资格证明</w:t>
            </w:r>
            <w:r/>
          </w:p>
        </w:tc>
        <w:tc>
          <w:tcPr>
            <w:tcW w:w="709" w:type="dxa"/>
            <w:vAlign w:val="center"/>
            <w:textDirection w:val="lrTb"/>
            <w:noWrap w:val="false"/>
          </w:tcPr>
          <w:p>
            <w:pPr>
              <w:jc w:val="center"/>
              <w:spacing w:line="440" w:lineRule="exact"/>
              <w:rPr>
                <w:color w:val="auto"/>
                <w:highlight w:val="none"/>
              </w:rPr>
            </w:pPr>
            <w:r>
              <w:rPr>
                <w:color w:val="auto"/>
                <w:highlight w:val="none"/>
              </w:rPr>
              <w:t xml:space="preserve">备注</w:t>
            </w:r>
            <w:r/>
          </w:p>
        </w:tc>
      </w:tr>
      <w:tr>
        <w:trPr/>
        <w:tc>
          <w:tcPr>
            <w:tcW w:w="1276" w:type="dxa"/>
            <w:vAlign w:val="center"/>
            <w:vMerge w:val="continue"/>
            <w:textDirection w:val="lrTb"/>
            <w:noWrap w:val="false"/>
          </w:tcPr>
          <w:p>
            <w:pPr>
              <w:jc w:val="center"/>
              <w:spacing w:line="440" w:lineRule="exact"/>
              <w:rPr>
                <w:color w:val="auto"/>
                <w:highlight w:val="none"/>
              </w:rPr>
            </w:pPr>
            <w:r>
              <w:rPr>
                <w:color w:val="auto"/>
                <w:highlight w:val="none"/>
              </w:rPr>
            </w:r>
            <w:r/>
          </w:p>
        </w:tc>
        <w:tc>
          <w:tcPr>
            <w:tcW w:w="709" w:type="dxa"/>
            <w:vAlign w:val="center"/>
            <w:vMerge w:val="continue"/>
            <w:textDirection w:val="lrTb"/>
            <w:noWrap w:val="false"/>
          </w:tcPr>
          <w:p>
            <w:pPr>
              <w:jc w:val="center"/>
              <w:spacing w:line="440" w:lineRule="exact"/>
              <w:rPr>
                <w:color w:val="auto"/>
                <w:highlight w:val="none"/>
              </w:rPr>
            </w:pPr>
            <w:r>
              <w:rPr>
                <w:color w:val="auto"/>
                <w:highlight w:val="none"/>
              </w:rPr>
            </w:r>
            <w:r/>
          </w:p>
        </w:tc>
        <w:tc>
          <w:tcPr>
            <w:tcW w:w="708" w:type="dxa"/>
            <w:vAlign w:val="center"/>
            <w:vMerge w:val="continue"/>
            <w:textDirection w:val="lrTb"/>
            <w:noWrap w:val="false"/>
          </w:tcPr>
          <w:p>
            <w:pPr>
              <w:jc w:val="center"/>
              <w:spacing w:line="440" w:lineRule="exact"/>
              <w:rPr>
                <w:color w:val="auto"/>
                <w:highlight w:val="none"/>
              </w:rPr>
            </w:pPr>
            <w:r>
              <w:rPr>
                <w:color w:val="auto"/>
                <w:highlight w:val="none"/>
              </w:rPr>
            </w:r>
            <w:r/>
          </w:p>
        </w:tc>
        <w:tc>
          <w:tcPr>
            <w:tcW w:w="1134" w:type="dxa"/>
            <w:vAlign w:val="center"/>
            <w:textDirection w:val="lrTb"/>
            <w:noWrap w:val="false"/>
          </w:tcPr>
          <w:p>
            <w:pPr>
              <w:jc w:val="center"/>
              <w:spacing w:line="440" w:lineRule="exact"/>
              <w:rPr>
                <w:color w:val="auto"/>
                <w:highlight w:val="none"/>
              </w:rPr>
            </w:pPr>
            <w:r>
              <w:rPr>
                <w:color w:val="auto"/>
                <w:highlight w:val="none"/>
              </w:rPr>
              <w:t xml:space="preserve">证书名称</w:t>
            </w:r>
            <w:r/>
          </w:p>
        </w:tc>
        <w:tc>
          <w:tcPr>
            <w:tcW w:w="993" w:type="dxa"/>
            <w:vAlign w:val="center"/>
            <w:textDirection w:val="lrTb"/>
            <w:noWrap w:val="false"/>
          </w:tcPr>
          <w:p>
            <w:pPr>
              <w:jc w:val="center"/>
              <w:spacing w:line="440" w:lineRule="exact"/>
              <w:rPr>
                <w:color w:val="auto"/>
                <w:highlight w:val="none"/>
              </w:rPr>
            </w:pPr>
            <w:r>
              <w:rPr>
                <w:color w:val="auto"/>
                <w:highlight w:val="none"/>
              </w:rPr>
              <w:t xml:space="preserve">级别</w:t>
            </w:r>
            <w:r/>
          </w:p>
        </w:tc>
        <w:tc>
          <w:tcPr>
            <w:tcW w:w="992" w:type="dxa"/>
            <w:vAlign w:val="center"/>
            <w:textDirection w:val="lrTb"/>
            <w:noWrap w:val="false"/>
          </w:tcPr>
          <w:p>
            <w:pPr>
              <w:jc w:val="center"/>
              <w:spacing w:line="440" w:lineRule="exact"/>
              <w:rPr>
                <w:color w:val="auto"/>
                <w:highlight w:val="none"/>
              </w:rPr>
            </w:pPr>
            <w:r>
              <w:rPr>
                <w:color w:val="auto"/>
                <w:highlight w:val="none"/>
              </w:rPr>
              <w:t xml:space="preserve">证号</w:t>
            </w:r>
            <w:r/>
          </w:p>
        </w:tc>
        <w:tc>
          <w:tcPr>
            <w:tcW w:w="992" w:type="dxa"/>
            <w:vAlign w:val="center"/>
            <w:textDirection w:val="lrTb"/>
            <w:noWrap w:val="false"/>
          </w:tcPr>
          <w:p>
            <w:pPr>
              <w:jc w:val="center"/>
              <w:spacing w:line="440" w:lineRule="exact"/>
              <w:rPr>
                <w:color w:val="auto"/>
                <w:highlight w:val="none"/>
              </w:rPr>
            </w:pPr>
            <w:r>
              <w:rPr>
                <w:color w:val="auto"/>
                <w:highlight w:val="none"/>
              </w:rPr>
              <w:t xml:space="preserve">专业</w:t>
            </w:r>
            <w:r/>
          </w:p>
        </w:tc>
        <w:tc>
          <w:tcPr>
            <w:tcW w:w="1276" w:type="dxa"/>
            <w:vAlign w:val="center"/>
            <w:textDirection w:val="lrTb"/>
            <w:noWrap w:val="false"/>
          </w:tcPr>
          <w:p>
            <w:pPr>
              <w:jc w:val="center"/>
              <w:spacing w:line="440" w:lineRule="exact"/>
              <w:rPr>
                <w:color w:val="auto"/>
                <w:highlight w:val="none"/>
              </w:rPr>
            </w:pPr>
            <w:r>
              <w:rPr>
                <w:color w:val="auto"/>
                <w:highlight w:val="none"/>
              </w:rPr>
              <w:t xml:space="preserve">养老保险</w:t>
            </w:r>
            <w:r/>
          </w:p>
        </w:tc>
        <w:tc>
          <w:tcPr>
            <w:tcW w:w="709" w:type="dxa"/>
            <w:vAlign w:val="center"/>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rFonts w:hint="eastAsia"/>
                <w:color w:val="auto"/>
                <w:highlight w:val="none"/>
              </w:rPr>
              <w:t xml:space="preserve">项目负责人</w:t>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rFonts w:hint="eastAsia"/>
                <w:color w:val="auto"/>
                <w:highlight w:val="none"/>
              </w:rPr>
              <w:t xml:space="preserve">……</w:t>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r>
        <w:trPr/>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c>
          <w:tcPr>
            <w:tcW w:w="708" w:type="dxa"/>
            <w:textDirection w:val="lrTb"/>
            <w:noWrap w:val="false"/>
          </w:tcPr>
          <w:p>
            <w:pPr>
              <w:jc w:val="center"/>
              <w:spacing w:line="440" w:lineRule="exact"/>
              <w:rPr>
                <w:color w:val="auto"/>
                <w:highlight w:val="none"/>
              </w:rPr>
            </w:pPr>
            <w:r>
              <w:rPr>
                <w:color w:val="auto"/>
                <w:highlight w:val="none"/>
              </w:rPr>
            </w:r>
            <w:r/>
          </w:p>
        </w:tc>
        <w:tc>
          <w:tcPr>
            <w:tcW w:w="1134" w:type="dxa"/>
            <w:textDirection w:val="lrTb"/>
            <w:noWrap w:val="false"/>
          </w:tcPr>
          <w:p>
            <w:pPr>
              <w:jc w:val="center"/>
              <w:spacing w:line="440" w:lineRule="exact"/>
              <w:rPr>
                <w:color w:val="auto"/>
                <w:highlight w:val="none"/>
              </w:rPr>
            </w:pPr>
            <w:r>
              <w:rPr>
                <w:color w:val="auto"/>
                <w:highlight w:val="none"/>
              </w:rPr>
            </w:r>
            <w:r/>
          </w:p>
        </w:tc>
        <w:tc>
          <w:tcPr>
            <w:tcW w:w="993"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992" w:type="dxa"/>
            <w:textDirection w:val="lrTb"/>
            <w:noWrap w:val="false"/>
          </w:tcPr>
          <w:p>
            <w:pPr>
              <w:jc w:val="center"/>
              <w:spacing w:line="440" w:lineRule="exact"/>
              <w:rPr>
                <w:color w:val="auto"/>
                <w:highlight w:val="none"/>
              </w:rPr>
            </w:pPr>
            <w:r>
              <w:rPr>
                <w:color w:val="auto"/>
                <w:highlight w:val="none"/>
              </w:rPr>
            </w:r>
            <w:r/>
          </w:p>
        </w:tc>
        <w:tc>
          <w:tcPr>
            <w:tcW w:w="1276" w:type="dxa"/>
            <w:textDirection w:val="lrTb"/>
            <w:noWrap w:val="false"/>
          </w:tcPr>
          <w:p>
            <w:pPr>
              <w:jc w:val="center"/>
              <w:spacing w:line="440" w:lineRule="exact"/>
              <w:rPr>
                <w:color w:val="auto"/>
                <w:highlight w:val="none"/>
              </w:rPr>
            </w:pPr>
            <w:r>
              <w:rPr>
                <w:color w:val="auto"/>
                <w:highlight w:val="none"/>
              </w:rPr>
            </w:r>
            <w:r/>
          </w:p>
        </w:tc>
        <w:tc>
          <w:tcPr>
            <w:tcW w:w="709" w:type="dxa"/>
            <w:textDirection w:val="lrTb"/>
            <w:noWrap w:val="false"/>
          </w:tcPr>
          <w:p>
            <w:pPr>
              <w:jc w:val="center"/>
              <w:spacing w:line="440" w:lineRule="exact"/>
              <w:rPr>
                <w:color w:val="auto"/>
                <w:highlight w:val="none"/>
              </w:rPr>
            </w:pPr>
            <w:r>
              <w:rPr>
                <w:color w:val="auto"/>
                <w:highlight w:val="none"/>
              </w:rPr>
            </w:r>
            <w:r/>
          </w:p>
        </w:tc>
      </w:tr>
    </w:tbl>
    <w:p>
      <w:pPr>
        <w:pStyle w:val="1476"/>
        <w:rPr>
          <w:color w:val="auto"/>
          <w:highlight w:val="none"/>
        </w:rPr>
      </w:pPr>
      <w:r>
        <w:rPr>
          <w:rFonts w:hint="eastAsia"/>
          <w:color w:val="auto"/>
          <w:highlight w:val="none"/>
        </w:rPr>
        <w:t xml:space="preserve">注：主要人员应附相关证明材料复印件加盖公章</w:t>
      </w:r>
      <w:r/>
    </w:p>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rFonts w:hint="eastAsia"/>
          <w:b/>
          <w:color w:val="auto"/>
          <w:sz w:val="21"/>
          <w:highlight w:val="none"/>
          <w:lang w:val="en-US" w:eastAsia="zh-CN"/>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投标人类似业绩情况</w:t>
      </w:r>
      <w:r>
        <w:rPr>
          <w:rFonts w:hint="eastAsia"/>
          <w:b/>
          <w:color w:val="auto"/>
          <w:sz w:val="21"/>
          <w:highlight w:val="none"/>
          <w:lang w:val="en-US" w:eastAsia="zh-CN"/>
        </w:rPr>
        <w:t xml:space="preserve">表</w:t>
      </w:r>
      <w:r/>
    </w:p>
    <w:p>
      <w:pPr>
        <w:ind w:firstLine="420"/>
        <w:jc w:val="center"/>
        <w:spacing w:line="360" w:lineRule="auto"/>
        <w:rPr>
          <w:rFonts w:hint="eastAsia" w:asciiTheme="minorEastAsia" w:hAnsiTheme="minorEastAsia" w:eastAsiaTheme="minorEastAsia" w:cstheme="minorBidi"/>
          <w:b/>
          <w:sz w:val="24"/>
          <w:szCs w:val="24"/>
          <w:lang w:val="en-US" w:eastAsia="zh-CN" w:bidi="ar-SA"/>
        </w:rPr>
      </w:pPr>
      <w:r>
        <w:rPr>
          <w:rFonts w:hint="eastAsia" w:asciiTheme="minorEastAsia" w:hAnsiTheme="minorEastAsia" w:eastAsiaTheme="minorEastAsia" w:cstheme="minorBidi"/>
          <w:b/>
          <w:sz w:val="24"/>
          <w:szCs w:val="24"/>
          <w:lang w:val="en-US" w:eastAsia="zh-CN" w:bidi="ar-SA"/>
        </w:rPr>
        <w:t xml:space="preserve">投标人</w:t>
      </w:r>
      <w:r>
        <w:rPr>
          <w:rFonts w:hint="eastAsia" w:asciiTheme="minorEastAsia" w:hAnsiTheme="minorEastAsia" w:eastAsiaTheme="minorEastAsia" w:cstheme="minorBidi"/>
          <w:b/>
          <w:sz w:val="24"/>
          <w:szCs w:val="24"/>
          <w:lang w:val="en-US" w:bidi="ar-SA"/>
        </w:rPr>
        <w:t xml:space="preserve">类似业绩情况</w:t>
      </w:r>
      <w:r>
        <w:rPr>
          <w:rFonts w:hint="eastAsia" w:asciiTheme="minorEastAsia" w:hAnsiTheme="minorEastAsia" w:eastAsiaTheme="minorEastAsia" w:cstheme="minorBidi"/>
          <w:b/>
          <w:sz w:val="24"/>
          <w:szCs w:val="24"/>
          <w:lang w:val="en-US" w:eastAsia="zh-CN" w:bidi="ar-SA"/>
        </w:rPr>
        <w:t xml:space="preserve">表</w:t>
      </w:r>
      <w:r/>
    </w:p>
    <w:p>
      <w:pPr>
        <w:jc w:val="center"/>
        <w:spacing w:line="360" w:lineRule="auto"/>
        <w:rPr>
          <w:rFonts w:hint="eastAsia"/>
          <w:b/>
          <w:color w:val="auto"/>
          <w:sz w:val="21"/>
          <w:highlight w:val="none"/>
          <w:lang w:val="en-US" w:eastAsia="zh-CN"/>
        </w:rPr>
      </w:pPr>
      <w:r>
        <w:rPr>
          <w:rFonts w:hint="eastAsia"/>
          <w:b/>
          <w:color w:val="auto"/>
          <w:sz w:val="21"/>
          <w:highlight w:val="none"/>
          <w:lang w:val="en-US" w:eastAsia="zh-CN"/>
        </w:rPr>
      </w:r>
      <w:r/>
    </w:p>
    <w:p>
      <w:pPr>
        <w:widowControl/>
        <w:tabs>
          <w:tab w:val="left" w:pos="5366" w:leader="none"/>
        </w:tabs>
        <w:rPr>
          <w:rFonts w:asciiTheme="minorEastAsia" w:hAnsiTheme="minorEastAsia" w:eastAsiaTheme="minorEastAsia"/>
        </w:rPr>
      </w:pPr>
      <w:r>
        <w:rPr>
          <w:rFonts w:hint="eastAsia" w:asciiTheme="minorEastAsia" w:hAnsiTheme="minorEastAsia" w:eastAsiaTheme="minorEastAsia"/>
        </w:rPr>
        <w:t xml:space="preserve">项目名称：</w:t>
      </w:r>
      <w:r>
        <w:rPr>
          <w:rFonts w:asciiTheme="minorEastAsia" w:hAnsiTheme="minorEastAsia" w:eastAsiaTheme="minorEastAsia"/>
        </w:rPr>
        <w:tab/>
      </w:r>
      <w:r>
        <w:rPr>
          <w:rFonts w:hint="eastAsia" w:asciiTheme="minorEastAsia" w:hAnsiTheme="minorEastAsia" w:eastAsiaTheme="minorEastAsia"/>
        </w:rPr>
        <w:t xml:space="preserve">项目编号：   </w:t>
      </w:r>
      <w:r/>
    </w:p>
    <w:tbl>
      <w:tblPr>
        <w:tblStyle w:val="887"/>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序号</w:t>
            </w:r>
            <w:r/>
          </w:p>
        </w:tc>
        <w:tc>
          <w:tcPr>
            <w:tcW w:w="2310"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项目名称</w:t>
            </w:r>
            <w:r/>
          </w:p>
        </w:tc>
        <w:tc>
          <w:tcPr>
            <w:tcW w:w="2257"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采购单位</w:t>
            </w:r>
            <w:r/>
          </w:p>
        </w:tc>
        <w:tc>
          <w:tcPr>
            <w:tcW w:w="1255"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合同</w:t>
            </w:r>
            <w:r/>
          </w:p>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金额</w:t>
            </w:r>
            <w:r/>
          </w:p>
        </w:tc>
        <w:tc>
          <w:tcPr>
            <w:tcW w:w="1418" w:type="dxa"/>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合同签订</w:t>
            </w:r>
            <w:r/>
          </w:p>
          <w:p>
            <w:pPr>
              <w:jc w:val="center"/>
              <w:rPr>
                <w:rFonts w:asciiTheme="minorEastAsia" w:hAnsiTheme="minorEastAsia" w:eastAsiaTheme="minorEastAsia"/>
                <w:b/>
                <w:bCs/>
              </w:rPr>
            </w:pPr>
            <w:r>
              <w:rPr>
                <w:rFonts w:hint="eastAsia" w:asciiTheme="minorEastAsia" w:hAnsiTheme="minorEastAsia" w:eastAsiaTheme="minorEastAsia"/>
                <w:b/>
                <w:bCs/>
              </w:rPr>
              <w:t xml:space="preserve">时间</w:t>
            </w:r>
            <w:r/>
          </w:p>
        </w:tc>
        <w:tc>
          <w:tcPr>
            <w:tcW w:w="1134" w:type="dxa"/>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联系人及电话</w:t>
            </w:r>
            <w:r/>
          </w:p>
        </w:tc>
        <w:tc>
          <w:tcPr>
            <w:tcW w:w="969"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备注</w:t>
            </w:r>
            <w:r/>
          </w:p>
        </w:tc>
      </w:tr>
      <w:tr>
        <w:trPr>
          <w:jc w:val="center"/>
        </w:trPr>
        <w:tc>
          <w:tcPr>
            <w:tcW w:w="733" w:type="dxa"/>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ind w:firstLine="105"/>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bl>
    <w:p>
      <w:pPr>
        <w:rPr>
          <w:rFonts w:asciiTheme="minorEastAsia" w:hAnsiTheme="minorEastAsia" w:eastAsiaTheme="minorEastAsia"/>
          <w:b/>
        </w:rPr>
      </w:pPr>
      <w:r/>
      <w:bookmarkStart w:id="42" w:name="_Hlk66806548"/>
      <w:r/>
      <w:r/>
    </w:p>
    <w:p>
      <w:pPr>
        <w:pStyle w:val="902"/>
        <w:rPr>
          <w:color w:val="auto"/>
          <w:highlight w:val="none"/>
        </w:rPr>
      </w:pPr>
      <w:r>
        <w:rPr>
          <w:rFonts w:hint="eastAsia" w:asciiTheme="minorEastAsia" w:hAnsiTheme="minorEastAsia" w:eastAsiaTheme="minorEastAsia"/>
          <w:b/>
        </w:rPr>
        <w:t xml:space="preserve">说明：</w:t>
      </w:r>
      <w:r>
        <w:rPr>
          <w:rFonts w:hint="eastAsia" w:asciiTheme="minorEastAsia" w:hAnsiTheme="minorEastAsia" w:eastAsiaTheme="minorEastAsia"/>
          <w:b/>
          <w:lang w:val="en-US" w:eastAsia="zh-CN"/>
        </w:rPr>
        <w:t xml:space="preserve">投标人</w:t>
      </w:r>
      <w:r>
        <w:rPr>
          <w:rFonts w:hint="eastAsia" w:asciiTheme="minorEastAsia" w:hAnsiTheme="minorEastAsia" w:eastAsiaTheme="minorEastAsia"/>
          <w:b/>
        </w:rPr>
        <w:t xml:space="preserve">如实填写业绩情况表，并根据</w:t>
      </w:r>
      <w:r>
        <w:rPr>
          <w:rFonts w:hint="eastAsia" w:asciiTheme="minorEastAsia" w:hAnsiTheme="minorEastAsia" w:eastAsiaTheme="minorEastAsia"/>
          <w:b/>
          <w:lang w:val="en-US" w:eastAsia="zh-CN"/>
        </w:rPr>
        <w:t xml:space="preserve">招标</w:t>
      </w:r>
      <w:r>
        <w:rPr>
          <w:rFonts w:hint="eastAsia" w:asciiTheme="minorEastAsia" w:hAnsiTheme="minorEastAsia" w:eastAsiaTheme="minorEastAsia"/>
          <w:b/>
        </w:rPr>
        <w:t xml:space="preserve">文件要求附业绩证明材料。</w:t>
      </w:r>
      <w:bookmarkEnd w:id="42"/>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902"/>
        <w:rPr>
          <w:color w:val="auto"/>
          <w:highlight w:val="none"/>
          <w:lang w:val="en-US"/>
        </w:rPr>
      </w:pPr>
      <w:r>
        <w:rPr>
          <w:color w:val="auto"/>
          <w:highlight w:val="none"/>
          <w:lang w:val="en-US"/>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b/>
          <w:color w:val="auto"/>
          <w:sz w:val="21"/>
          <w:highlight w:val="none"/>
        </w:rPr>
      </w:pPr>
      <w:r>
        <w:rPr>
          <w:b/>
          <w:color w:val="auto"/>
          <w:sz w:val="21"/>
          <w:highlight w:val="none"/>
        </w:rPr>
      </w:r>
      <w:r/>
    </w:p>
    <w:p>
      <w:pPr>
        <w:rPr>
          <w:rFonts w:asciiTheme="minorEastAsia" w:hAnsiTheme="minorEastAsia" w:eastAsiaTheme="minorEastAsia"/>
          <w:b/>
          <w:color w:val="auto"/>
          <w:highlight w:val="none"/>
        </w:rPr>
      </w:pPr>
      <w:r>
        <w:rPr>
          <w:b/>
          <w:color w:val="auto"/>
          <w:sz w:val="21"/>
          <w:highlight w:val="none"/>
        </w:rPr>
        <w:t xml:space="preserve">目录十</w:t>
      </w:r>
      <w:r>
        <w:rPr>
          <w:rFonts w:hint="eastAsia"/>
          <w:b/>
          <w:color w:val="auto"/>
          <w:sz w:val="21"/>
          <w:highlight w:val="none"/>
          <w:lang w:val="en-US"/>
        </w:rPr>
        <w:t xml:space="preserve">一</w:t>
      </w:r>
      <w:r>
        <w:rPr>
          <w:b/>
          <w:color w:val="auto"/>
          <w:sz w:val="21"/>
          <w:highlight w:val="none"/>
        </w:rPr>
        <w:t xml:space="preserve">、</w:t>
      </w:r>
      <w:r>
        <w:rPr>
          <w:rFonts w:hint="eastAsia" w:asciiTheme="minorEastAsia" w:hAnsiTheme="minorEastAsia" w:eastAsiaTheme="minorEastAsia"/>
          <w:b/>
          <w:color w:val="auto"/>
          <w:highlight w:val="none"/>
        </w:rPr>
        <w:t xml:space="preserve">主要材料品牌一览表</w:t>
      </w:r>
      <w:r/>
    </w:p>
    <w:p>
      <w:pPr>
        <w:pStyle w:val="902"/>
        <w:rPr>
          <w:color w:val="auto"/>
          <w:highlight w:val="none"/>
        </w:rPr>
      </w:pPr>
      <w:r>
        <w:rPr>
          <w:color w:val="auto"/>
          <w:highlight w:val="none"/>
        </w:rPr>
      </w:r>
      <w:r/>
    </w:p>
    <w:p>
      <w:pPr>
        <w:spacing w:line="360" w:lineRule="auto"/>
        <w:rPr>
          <w:color w:val="auto"/>
          <w:szCs w:val="21"/>
          <w:highlight w:val="none"/>
        </w:rPr>
      </w:pPr>
      <w:r>
        <w:rPr>
          <w:rFonts w:hint="eastAsia"/>
          <w:color w:val="auto"/>
          <w:szCs w:val="21"/>
          <w:highlight w:val="none"/>
        </w:rPr>
        <w:t xml:space="preserve">项目名称：    </w:t>
      </w:r>
      <w:r>
        <w:rPr>
          <w:color w:val="auto"/>
          <w:szCs w:val="21"/>
          <w:highlight w:val="none"/>
        </w:rPr>
        <w:t xml:space="preserve">   </w:t>
      </w:r>
      <w:r>
        <w:rPr>
          <w:rFonts w:hint="eastAsia"/>
          <w:color w:val="auto"/>
          <w:szCs w:val="21"/>
          <w:highlight w:val="none"/>
        </w:rPr>
        <w:t xml:space="preserve">项目编号：     </w:t>
      </w:r>
      <w:r/>
    </w:p>
    <w:tbl>
      <w:tblPr>
        <w:tblStyle w:val="887"/>
        <w:tblW w:w="48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524"/>
        <w:gridCol w:w="1766"/>
        <w:gridCol w:w="1766"/>
        <w:gridCol w:w="1766"/>
        <w:gridCol w:w="1619"/>
      </w:tblGrid>
      <w:tr>
        <w:trPr>
          <w:jc w:val="center"/>
          <w:trHeight w:val="510" w:hRule="exact"/>
        </w:trPr>
        <w:tc>
          <w:tcPr>
            <w:shd w:val="clear" w:color="auto" w:fill="auto"/>
            <w:tcW w:w="897" w:type="dxa"/>
            <w:vAlign w:val="center"/>
            <w:textDirection w:val="lrTb"/>
            <w:noWrap/>
          </w:tcPr>
          <w:p>
            <w:pPr>
              <w:jc w:val="center"/>
              <w:spacing w:line="360" w:lineRule="auto"/>
              <w:rPr>
                <w:b/>
                <w:bCs/>
                <w:color w:val="auto"/>
                <w:sz w:val="21"/>
                <w:szCs w:val="21"/>
                <w:highlight w:val="none"/>
                <w:lang w:val="en-US" w:bidi="ar-SA"/>
              </w:rPr>
            </w:pPr>
            <w:r>
              <w:rPr>
                <w:rFonts w:hint="eastAsia"/>
                <w:b/>
                <w:bCs/>
                <w:color w:val="auto"/>
                <w:sz w:val="21"/>
                <w:szCs w:val="21"/>
                <w:highlight w:val="none"/>
                <w:lang w:val="en-US" w:bidi="ar-SA"/>
              </w:rPr>
              <w:t xml:space="preserve">序号</w:t>
            </w:r>
            <w:r/>
          </w:p>
        </w:tc>
        <w:tc>
          <w:tcPr>
            <w:shd w:val="clear" w:color="auto" w:fill="auto"/>
            <w:tcW w:w="1560" w:type="dxa"/>
            <w:vAlign w:val="center"/>
            <w:textDirection w:val="lrTb"/>
            <w:noWrap w:val="false"/>
          </w:tcPr>
          <w:p>
            <w:pPr>
              <w:jc w:val="center"/>
              <w:spacing w:line="360" w:lineRule="auto"/>
              <w:rPr>
                <w:b/>
                <w:bCs/>
                <w:color w:val="auto"/>
                <w:sz w:val="21"/>
                <w:szCs w:val="21"/>
                <w:highlight w:val="none"/>
                <w:lang w:val="en-US" w:bidi="ar-SA"/>
              </w:rPr>
            </w:pPr>
            <w:r>
              <w:rPr>
                <w:rFonts w:hint="eastAsia"/>
                <w:b/>
                <w:bCs/>
                <w:color w:val="auto"/>
                <w:sz w:val="21"/>
                <w:szCs w:val="21"/>
                <w:highlight w:val="none"/>
                <w:lang w:val="en-US" w:bidi="ar-SA"/>
              </w:rPr>
              <w:t xml:space="preserve">材料名称</w:t>
            </w:r>
            <w:r/>
          </w:p>
        </w:tc>
        <w:tc>
          <w:tcPr>
            <w:gridSpan w:val="3"/>
            <w:shd w:val="clear" w:color="auto" w:fill="auto"/>
            <w:tcW w:w="5424" w:type="dxa"/>
            <w:vAlign w:val="center"/>
            <w:textDirection w:val="lrTb"/>
            <w:noWrap w:val="false"/>
          </w:tcPr>
          <w:p>
            <w:pPr>
              <w:jc w:val="center"/>
              <w:spacing w:line="360" w:lineRule="auto"/>
              <w:rPr>
                <w:b/>
                <w:bCs/>
                <w:color w:val="auto"/>
                <w:sz w:val="21"/>
                <w:szCs w:val="21"/>
                <w:highlight w:val="none"/>
                <w:lang w:val="en-US" w:bidi="ar-SA"/>
              </w:rPr>
            </w:pPr>
            <w:r>
              <w:rPr>
                <w:rFonts w:hint="eastAsia"/>
                <w:b/>
                <w:bCs/>
                <w:color w:val="auto"/>
                <w:sz w:val="21"/>
                <w:szCs w:val="21"/>
                <w:highlight w:val="none"/>
                <w:lang w:val="en-US" w:bidi="ar-SA"/>
              </w:rPr>
              <w:t xml:space="preserve">推荐品牌</w:t>
            </w:r>
            <w:r/>
          </w:p>
        </w:tc>
        <w:tc>
          <w:tcPr>
            <w:shd w:val="clear" w:color="auto" w:fill="auto"/>
            <w:tcW w:w="1657" w:type="dxa"/>
            <w:vAlign w:val="center"/>
            <w:textDirection w:val="lrTb"/>
            <w:noWrap w:val="false"/>
          </w:tcPr>
          <w:p>
            <w:pPr>
              <w:jc w:val="center"/>
              <w:spacing w:line="360" w:lineRule="auto"/>
              <w:rPr>
                <w:b/>
                <w:bCs/>
                <w:color w:val="auto"/>
                <w:sz w:val="21"/>
                <w:szCs w:val="21"/>
                <w:highlight w:val="none"/>
                <w:lang w:val="en-US" w:bidi="ar-SA"/>
              </w:rPr>
            </w:pPr>
            <w:r>
              <w:rPr>
                <w:rFonts w:hint="eastAsia"/>
                <w:b/>
                <w:bCs/>
                <w:color w:val="auto"/>
                <w:sz w:val="21"/>
                <w:szCs w:val="21"/>
                <w:highlight w:val="none"/>
                <w:lang w:val="en-US" w:bidi="ar-SA"/>
              </w:rPr>
              <w:t xml:space="preserve">所选品牌</w:t>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石膏板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龙牌</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泰山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可耐福</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板材</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莫干山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兔宝宝</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绿野</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无机涂料</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立邦</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多乐士</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三棵树</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水泥</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中联</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瓷砖</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诺贝尔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惠达</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罗马</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铝合金窗</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伟昌</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凤铝</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兴发</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木门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美心</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铭马</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丰盛</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地板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大自然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圣象</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欧派</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PVC地胶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LG</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洁弗乐</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博尼尔</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铝板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福瑞尔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鸿发有色</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焕彩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吸音板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天戈</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丽音</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浩声</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镀锌钢管</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友发</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金洲</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国强</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13</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JDG管</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友发</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天一</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正大</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14</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消防设备</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青鸟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海湾</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国泰</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15</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开关、插座</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鸿雁</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西门子</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正泰</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16</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配电箱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施耐德</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西门子</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正泰</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17</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灯具</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欧普</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欧司朗</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雷士</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18</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电线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远东</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上上</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19</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线缆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上上</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远东</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20</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线管</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中财</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公元</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联塑</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21</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桥架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力拓</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凤图布线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十鼎</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双基色LED会标屏</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信息发布盒</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会标屏电缆线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会标屏网线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一舟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LED会标屏体钢结构</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舞台LED大屏</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备品备件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29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LED控制系统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控制软件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31</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电源控制箱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舞台屏电缆线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舞台屏网线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一舟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LED舞台屏体钢结构</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迈瑞</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玖彩</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播放主机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华硕</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联想</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HP</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无线投屏设备</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MAXHUB</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宝疆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快立享</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80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有源线阵列音箱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6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有源线阵列低音音箱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83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39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无源超低音箱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82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低音功放</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4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有源返听音箱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80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台唇音箱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7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台唇功放</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2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辅助音箱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81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辅助功放</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2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数字音频处理器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数字调音台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SOUNDCRAFT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MIDAS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YAMAHA</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AI语音处理器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49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1拖2无线演出手持话筒</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1拖2无线演出领夹话筒</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天线分配器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有源对数周期天线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无线发言系统主机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无线发言话筒主单元</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无线发言话筒代表单元</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四位充电座</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小振膜麦克风</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有线双管麦克风</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9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59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合唱室音箱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3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功率放大器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数字效果器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调音台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声艺</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YAMAHA</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MIDAS</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有源监听音箱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剧场电源时序器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排练间电源时序器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RESTMOMENT</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ARTTOO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HVYI(华翼）</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4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线阵列音箱配套吊架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725"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专业音箱壁挂架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SE Audiotechnik</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HK AUDIO</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VUE</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音频设备机柜</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图腾</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野马</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69</w:t>
            </w:r>
            <w:r/>
          </w:p>
        </w:tc>
        <w:tc>
          <w:tcPr>
            <w:shd w:val="clear" w:color="auto" w:fill="auto"/>
            <w:tcW w:w="1560"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排练间机柜</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图腾</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迈杰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野马</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金银线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天线同轴线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话筒线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高清线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线阵电源线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电源线B</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网络线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一舟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变频调速拉幕机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匀速拉幕机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79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幕布轨道</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电动升降幕布吊杆机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电动升降灯光吊杆机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电动升降侧光吊杆机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导向滑轮组</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灯光吊杆杆体</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侧光吊杆杆体</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幕布吊杆杆体</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航空用钢丝绳</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法尔胜®</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狼山</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巨力</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灯光吊杆收线器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89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舞台机械控制系统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舞台机械动力系统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电源线A</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控制线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断火装置</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舞台葡萄架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机械附件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前檐幕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大幕</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横条幕</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99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侧条幕</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会议幕</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幕布衬里</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影星® </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天津光之新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杭州璨恒</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LED聚光灯</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LED聚光灯侧灯</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LED数字平板柔光灯</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     小老虎控台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8路放大器</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12路直通柜</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益尨</w:t>
            </w:r>
            <w:r/>
          </w:p>
        </w:tc>
        <w:tc>
          <w:tcPr>
            <w:shd w:val="clear" w:color="auto" w:fill="auto"/>
            <w:tcW w:w="1808" w:type="dxa"/>
            <w:vAlign w:val="center"/>
            <w:textDirection w:val="lrTb"/>
            <w:noWrap w:val="false"/>
          </w:tcPr>
          <w:p>
            <w:pPr>
              <w:ind w:firstLine="630"/>
              <w:jc w:val="both"/>
              <w:spacing w:line="360" w:lineRule="auto"/>
              <w:rPr>
                <w:color w:val="auto"/>
                <w:sz w:val="21"/>
                <w:szCs w:val="21"/>
                <w:highlight w:val="none"/>
                <w:lang w:val="en-US" w:bidi="ar-SA"/>
              </w:rPr>
            </w:pPr>
            <w:r>
              <w:rPr>
                <w:rFonts w:hint="eastAsia"/>
                <w:color w:val="auto"/>
                <w:sz w:val="21"/>
                <w:szCs w:val="21"/>
                <w:highlight w:val="none"/>
                <w:lang w:val="en-US" w:bidi="ar-SA"/>
              </w:rPr>
              <w:t xml:space="preserve">辉达隆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艺嘉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电源线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沪盛</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亚光电缆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江南</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109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信号线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分布式4K60高清输入节点</w:t>
            </w:r>
            <w:r>
              <w:rPr>
                <w:rFonts w:hint="eastAsia"/>
                <w:color w:val="auto"/>
                <w:sz w:val="21"/>
                <w:szCs w:val="21"/>
                <w:highlight w:val="none"/>
                <w:lang w:val="en-US" w:bidi="ar"/>
              </w:rPr>
              <w:br/>
            </w:r>
            <w:r>
              <w:rPr>
                <w:rFonts w:hint="eastAsia"/>
                <w:color w:val="auto"/>
                <w:sz w:val="21"/>
                <w:szCs w:val="21"/>
                <w:highlight w:val="none"/>
                <w:lang w:val="en-US" w:bidi="ar"/>
              </w:rPr>
              <w:t xml:space="preserve">（含：分布式编解码处理软件 AS-ENC V2.0)</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分布式4K60高清输出节点</w:t>
            </w:r>
            <w:r>
              <w:rPr>
                <w:rFonts w:hint="eastAsia"/>
                <w:color w:val="auto"/>
                <w:sz w:val="21"/>
                <w:szCs w:val="21"/>
                <w:highlight w:val="none"/>
                <w:lang w:val="en-US" w:bidi="ar"/>
              </w:rPr>
              <w:br/>
            </w:r>
            <w:r>
              <w:rPr>
                <w:rFonts w:hint="eastAsia"/>
                <w:color w:val="auto"/>
                <w:sz w:val="21"/>
                <w:szCs w:val="21"/>
                <w:highlight w:val="none"/>
                <w:lang w:val="en-US" w:bidi="ar"/>
              </w:rPr>
              <w:t xml:space="preserve">（含：分布式编解码处理软件 AS-ENC V2.0)</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分布式节点机柜支架</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控制软件+调试</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有线控制屏</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115</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交换机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华三</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锐捷</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116</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可编程音视频管控平台主机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117</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机架式继电器（2U）</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KUASIN</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AVSYS</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 比特纳</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118</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音频线、HDMI线跳线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119</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球机摄像机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大华</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宇视</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120</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墙式摄像机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大华</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宇视</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121</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8T硬盘</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西数</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希捷</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三星</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122</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P0E交换机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海康威视</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华三</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123</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无线AP</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华为</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H3C</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锐捷</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r>
        <w:trPr>
          <w:jc w:val="center"/>
          <w:trHeight w:val="510" w:hRule="exact"/>
        </w:trPr>
        <w:tc>
          <w:tcPr>
            <w:shd w:val="clear" w:color="auto" w:fill="auto"/>
            <w:tcW w:w="897" w:type="dxa"/>
            <w:vAlign w:val="center"/>
            <w:textDirection w:val="lrTb"/>
            <w:noWrap/>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124</w:t>
            </w:r>
            <w:r/>
          </w:p>
        </w:tc>
        <w:tc>
          <w:tcPr>
            <w:shd w:val="clear" w:color="auto" w:fill="auto"/>
            <w:tcW w:w="1560" w:type="dxa"/>
            <w:vAlign w:val="center"/>
            <w:textDirection w:val="lrTb"/>
            <w:noWrap w:val="false"/>
          </w:tcPr>
          <w:p>
            <w:pPr>
              <w:jc w:val="center"/>
              <w:widowControl/>
              <w:rPr>
                <w:color w:val="auto"/>
                <w:sz w:val="21"/>
                <w:szCs w:val="21"/>
                <w:highlight w:val="none"/>
                <w:lang w:val="en-US" w:bidi="ar-SA"/>
              </w:rPr>
            </w:pPr>
            <w:r>
              <w:rPr>
                <w:rFonts w:hint="eastAsia"/>
                <w:color w:val="auto"/>
                <w:sz w:val="21"/>
                <w:szCs w:val="21"/>
                <w:highlight w:val="none"/>
                <w:lang w:val="en-US" w:bidi="ar"/>
              </w:rPr>
              <w:t xml:space="preserve">网线</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秋叶原</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绿联</w:t>
            </w:r>
            <w:r/>
          </w:p>
        </w:tc>
        <w:tc>
          <w:tcPr>
            <w:shd w:val="clear" w:color="auto" w:fill="auto"/>
            <w:tcW w:w="1808" w:type="dxa"/>
            <w:vAlign w:val="center"/>
            <w:textDirection w:val="lrTb"/>
            <w:noWrap w:val="false"/>
          </w:tcPr>
          <w:p>
            <w:pPr>
              <w:jc w:val="center"/>
              <w:spacing w:line="360" w:lineRule="auto"/>
              <w:rPr>
                <w:color w:val="auto"/>
                <w:sz w:val="21"/>
                <w:szCs w:val="21"/>
                <w:highlight w:val="none"/>
                <w:lang w:val="en-US" w:bidi="ar-SA"/>
              </w:rPr>
            </w:pPr>
            <w:r>
              <w:rPr>
                <w:rFonts w:hint="eastAsia"/>
                <w:color w:val="auto"/>
                <w:sz w:val="21"/>
                <w:szCs w:val="21"/>
                <w:highlight w:val="none"/>
                <w:lang w:val="en-US" w:bidi="ar-SA"/>
              </w:rPr>
              <w:t xml:space="preserve">天诚</w:t>
            </w:r>
            <w:r/>
          </w:p>
        </w:tc>
        <w:tc>
          <w:tcPr>
            <w:shd w:val="clear" w:color="auto" w:fill="auto"/>
            <w:tcW w:w="1657" w:type="dxa"/>
            <w:vAlign w:val="center"/>
            <w:textDirection w:val="lrTb"/>
            <w:noWrap w:val="false"/>
          </w:tcPr>
          <w:p>
            <w:pPr>
              <w:jc w:val="center"/>
              <w:spacing w:line="360" w:lineRule="auto"/>
              <w:rPr>
                <w:color w:val="auto"/>
                <w:sz w:val="21"/>
                <w:szCs w:val="21"/>
                <w:highlight w:val="none"/>
                <w:lang w:val="en-US" w:bidi="ar-SA"/>
              </w:rPr>
            </w:pPr>
            <w:r>
              <w:rPr>
                <w:color w:val="auto"/>
                <w:sz w:val="21"/>
                <w:szCs w:val="21"/>
                <w:highlight w:val="none"/>
                <w:lang w:val="en-US" w:bidi="ar-SA"/>
              </w:rPr>
            </w:r>
            <w:r/>
          </w:p>
        </w:tc>
      </w:tr>
    </w:tbl>
    <w:p>
      <w:pPr>
        <w:spacing w:line="360" w:lineRule="auto"/>
        <w:rPr>
          <w:b/>
          <w:color w:val="auto"/>
          <w:szCs w:val="21"/>
          <w:highlight w:val="none"/>
          <w:lang w:bidi="ar"/>
        </w:rPr>
      </w:pPr>
      <w:r>
        <w:rPr>
          <w:b/>
          <w:color w:val="auto"/>
          <w:szCs w:val="21"/>
          <w:highlight w:val="none"/>
          <w:lang w:bidi="ar"/>
        </w:rPr>
      </w:r>
      <w:r/>
    </w:p>
    <w:p>
      <w:pPr>
        <w:spacing w:line="360" w:lineRule="auto"/>
        <w:rPr>
          <w:b/>
          <w:color w:val="auto"/>
          <w:szCs w:val="21"/>
          <w:highlight w:val="none"/>
        </w:rPr>
      </w:pPr>
      <w:r>
        <w:rPr>
          <w:rFonts w:hint="eastAsia"/>
          <w:b/>
          <w:color w:val="auto"/>
          <w:szCs w:val="21"/>
          <w:highlight w:val="none"/>
          <w:lang w:bidi="ar"/>
        </w:rPr>
        <w:t xml:space="preserve">注：投标人本工程采用品牌必须参考</w:t>
      </w:r>
      <w:r>
        <w:rPr>
          <w:rFonts w:hint="eastAsia"/>
          <w:b/>
          <w:color w:val="auto"/>
          <w:szCs w:val="21"/>
          <w:highlight w:val="none"/>
        </w:rPr>
        <w:t xml:space="preserve">《主要材料品牌一览表》中的推荐品牌及相应质量要求报价，并清晰列出本工程项目中“投标人采用品牌”；如采用其他品牌时，应提供充分依据，证明采用的材料质量高于或相当于推荐品牌产品，</w:t>
      </w:r>
      <w:r>
        <w:rPr>
          <w:rFonts w:hint="eastAsia"/>
          <w:b/>
          <w:color w:val="auto"/>
          <w:szCs w:val="21"/>
          <w:highlight w:val="none"/>
          <w:u w:val="single"/>
        </w:rPr>
        <w:t xml:space="preserve">否则投标文件将视为无效标处理</w:t>
      </w:r>
      <w:r>
        <w:rPr>
          <w:rFonts w:hint="eastAsia"/>
          <w:b/>
          <w:color w:val="auto"/>
          <w:szCs w:val="21"/>
          <w:highlight w:val="none"/>
        </w:rPr>
        <w:t xml:space="preserve">。</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供应商名称：（盖章）</w:t>
      </w:r>
      <w:r/>
    </w:p>
    <w:p>
      <w:pPr>
        <w:spacing w:line="240" w:lineRule="atLeas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r>
      <w:r/>
    </w:p>
    <w:p>
      <w:pPr>
        <w:rPr>
          <w:rFonts w:asciiTheme="minorEastAsia" w:hAnsiTheme="minorEastAsia" w:eastAsiaTheme="minorEastAsia"/>
          <w:b/>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rFonts w:asciiTheme="minorEastAsia" w:hAnsiTheme="minorEastAsia" w:eastAsiaTheme="minorEastAsia"/>
          <w:b/>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jc w:val="center"/>
        <w:spacing w:line="360" w:lineRule="auto"/>
        <w:widowControl/>
        <w:rPr>
          <w:b/>
          <w:color w:val="auto"/>
          <w:sz w:val="24"/>
          <w:szCs w:val="24"/>
          <w:highlight w:val="none"/>
        </w:rPr>
      </w:pPr>
      <w:r>
        <w:rPr>
          <w:rFonts w:hint="eastAsia"/>
          <w:b/>
          <w:color w:val="auto"/>
          <w:sz w:val="24"/>
          <w:szCs w:val="24"/>
          <w:highlight w:val="none"/>
        </w:rPr>
        <w:t xml:space="preserve">中小企业声明函（工程、服务类）</w:t>
      </w:r>
      <w:r/>
    </w:p>
    <w:p>
      <w:pPr>
        <w:ind w:firstLine="440"/>
        <w:spacing w:line="360" w:lineRule="auto"/>
        <w:rPr>
          <w:color w:val="auto"/>
          <w:highlight w:val="none"/>
        </w:rPr>
      </w:pPr>
      <w:r>
        <w:rPr>
          <w:rFonts w:hint="eastAsia"/>
          <w:color w:val="auto"/>
          <w:highlight w:val="none"/>
        </w:rPr>
        <w:t xml:space="preserve">本公司郑重声明，根据《政府采购促进中小企业发展管理办法》（财库﹝2020﹞ 46 号）的规定，本公司（联合体）参加（单位名称）的 （ 项目名称）采购活动，</w:t>
      </w:r>
      <w:r>
        <w:rPr>
          <w:rFonts w:hint="eastAsia"/>
          <w:b/>
          <w:bCs/>
          <w:color w:val="auto"/>
          <w:highlight w:val="none"/>
        </w:rPr>
        <w:t xml:space="preserve">工程的施工单位全部为符合政策要求的中小企业（或者：服务全部由符合政策要求的中小企业承接）</w:t>
      </w:r>
      <w:r>
        <w:rPr>
          <w:rFonts w:hint="eastAsia"/>
          <w:color w:val="auto"/>
          <w:highlight w:val="none"/>
        </w:rPr>
        <w:t xml:space="preserve">。相关企业（含联合体中的中小企业、签订分包 意向协议的中小企业）的具体情况如下：</w:t>
      </w:r>
      <w:r/>
    </w:p>
    <w:p>
      <w:pPr>
        <w:numPr>
          <w:ilvl w:val="0"/>
          <w:numId w:val="26"/>
        </w:numPr>
        <w:ind w:firstLine="440"/>
        <w:spacing w:line="360" w:lineRule="auto"/>
        <w:rPr>
          <w:color w:val="auto"/>
          <w:highlight w:val="none"/>
        </w:rPr>
      </w:pPr>
      <w:r>
        <w:rPr>
          <w:rFonts w:hint="eastAsia"/>
          <w:color w:val="auto"/>
          <w:highlight w:val="none"/>
          <w:u w:val="single"/>
        </w:rPr>
        <w:t xml:space="preserve">        （项目名称）</w:t>
      </w:r>
      <w:r>
        <w:rPr>
          <w:rFonts w:hint="eastAsia"/>
          <w:color w:val="auto"/>
          <w:highlight w:val="none"/>
        </w:rPr>
        <w:t xml:space="preserve">，属于</w:t>
      </w:r>
      <w:r>
        <w:rPr>
          <w:rFonts w:hint="eastAsia"/>
          <w:color w:val="auto"/>
          <w:highlight w:val="none"/>
          <w:u w:val="single"/>
        </w:rPr>
        <w:t xml:space="preserve">          （采购公告中明确的所属行业） </w:t>
      </w:r>
      <w:r>
        <w:rPr>
          <w:rFonts w:hint="eastAsia"/>
          <w:color w:val="auto"/>
          <w:highlight w:val="none"/>
        </w:rPr>
        <w:t xml:space="preserve">行业。承建（承接）企业为 </w:t>
      </w:r>
      <w:r>
        <w:rPr>
          <w:rFonts w:hint="eastAsia"/>
          <w:color w:val="auto"/>
          <w:highlight w:val="none"/>
          <w:u w:val="single"/>
        </w:rPr>
        <w:t xml:space="preserve">      （填写企业名称）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          （填写：中型企业、小型企业或微型企业）</w:t>
      </w:r>
      <w:r>
        <w:rPr>
          <w:rFonts w:hint="eastAsia"/>
          <w:color w:val="auto"/>
          <w:highlight w:val="none"/>
        </w:rPr>
        <w:t xml:space="preserve">；</w:t>
      </w:r>
      <w:r/>
    </w:p>
    <w:p>
      <w:pPr>
        <w:numPr>
          <w:ilvl w:val="0"/>
          <w:numId w:val="26"/>
        </w:numPr>
        <w:ind w:firstLine="440"/>
        <w:spacing w:line="360" w:lineRule="auto"/>
        <w:rPr>
          <w:color w:val="auto"/>
          <w:highlight w:val="none"/>
        </w:rPr>
      </w:pPr>
      <w:r>
        <w:rPr>
          <w:rFonts w:hint="eastAsia"/>
          <w:color w:val="auto"/>
          <w:highlight w:val="none"/>
          <w:u w:val="single"/>
        </w:rPr>
        <w:t xml:space="preserve">        （项目名称）</w:t>
      </w:r>
      <w:r>
        <w:rPr>
          <w:rFonts w:hint="eastAsia"/>
          <w:color w:val="auto"/>
          <w:highlight w:val="none"/>
        </w:rPr>
        <w:t xml:space="preserve">，属于</w:t>
      </w:r>
      <w:r>
        <w:rPr>
          <w:rFonts w:hint="eastAsia"/>
          <w:color w:val="auto"/>
          <w:highlight w:val="none"/>
          <w:u w:val="single"/>
        </w:rPr>
        <w:t xml:space="preserve">          （采购公告中明确的所属行业） </w:t>
      </w:r>
      <w:r>
        <w:rPr>
          <w:rFonts w:hint="eastAsia"/>
          <w:color w:val="auto"/>
          <w:highlight w:val="none"/>
        </w:rPr>
        <w:t xml:space="preserve">行业。承建（承接）企业为 </w:t>
      </w:r>
      <w:r>
        <w:rPr>
          <w:rFonts w:hint="eastAsia"/>
          <w:color w:val="auto"/>
          <w:highlight w:val="none"/>
          <w:u w:val="single"/>
        </w:rPr>
        <w:t xml:space="preserve">      （填写企业名称）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          （填写：中型企业、小型企业或微型企业）</w:t>
      </w:r>
      <w:r>
        <w:rPr>
          <w:rFonts w:hint="eastAsia"/>
          <w:color w:val="auto"/>
          <w:highlight w:val="none"/>
        </w:rPr>
        <w:t xml:space="preserve">；</w:t>
      </w:r>
      <w:r/>
    </w:p>
    <w:p>
      <w:pPr>
        <w:ind w:firstLine="440"/>
        <w:spacing w:line="360" w:lineRule="auto"/>
        <w:rPr>
          <w:color w:val="auto"/>
          <w:highlight w:val="none"/>
        </w:rPr>
      </w:pPr>
      <w:r>
        <w:rPr>
          <w:rFonts w:hint="eastAsia"/>
          <w:color w:val="auto"/>
          <w:highlight w:val="none"/>
        </w:rPr>
        <w:t xml:space="preserve">……</w:t>
      </w:r>
      <w:r/>
    </w:p>
    <w:p>
      <w:pPr>
        <w:ind w:firstLine="44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 </w:t>
      </w:r>
      <w:r/>
    </w:p>
    <w:p>
      <w:pPr>
        <w:ind w:firstLine="442"/>
        <w:spacing w:line="360" w:lineRule="auto"/>
        <w:rPr>
          <w:color w:val="auto"/>
          <w:highlight w:val="none"/>
        </w:rPr>
      </w:pPr>
      <w:r>
        <w:rPr>
          <w:rFonts w:hint="eastAsia"/>
          <w:b/>
          <w:bCs/>
          <w:color w:val="auto"/>
          <w:highlight w:val="none"/>
        </w:rPr>
        <w:t xml:space="preserve">本企业对上述声明内容的真实性负责。如有虚假，将依法承担相应责任。 </w:t>
      </w:r>
      <w:r/>
    </w:p>
    <w:p>
      <w:pPr>
        <w:contextualSpacing/>
        <w:ind w:firstLine="484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contextualSpacing/>
        <w:ind w:firstLine="52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企业名称（盖章）：</w:t>
      </w:r>
      <w:r/>
    </w:p>
    <w:p>
      <w:pPr>
        <w:contextualSpacing/>
        <w:ind w:firstLine="220"/>
        <w:jc w:val="center"/>
        <w:spacing w:line="360" w:lineRule="auto"/>
        <w:widowControl/>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日　　期：  年  月  日</w:t>
      </w:r>
      <w:r/>
    </w:p>
    <w:p>
      <w:pPr>
        <w:ind w:firstLine="420"/>
        <w:spacing w:line="360" w:lineRule="auto"/>
        <w:rPr>
          <w:color w:val="auto"/>
          <w:sz w:val="21"/>
          <w:szCs w:val="21"/>
          <w:highlight w:val="none"/>
        </w:rPr>
      </w:pPr>
      <w:r>
        <w:rPr>
          <w:color w:val="auto"/>
          <w:sz w:val="21"/>
          <w:szCs w:val="21"/>
          <w:highlight w:val="none"/>
        </w:rPr>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南京中医药大学</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南京中医药大学</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43" w:name="残疾人福利性单位声明函"/>
      <w:r/>
      <w:bookmarkEnd w:id="43"/>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w:t>
      </w:r>
      <w:bookmarkStart w:id="46" w:name="_GoBack"/>
      <w:r/>
      <w:bookmarkEnd w:id="46"/>
      <w:r>
        <w:rPr>
          <w:color w:val="auto"/>
          <w:sz w:val="21"/>
          <w:szCs w:val="21"/>
          <w:highlight w:val="none"/>
        </w:rPr>
        <w:t xml:space="preserve">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44" w:name="附件五、属于监狱企业的证明文件"/>
      <w:r/>
      <w:bookmarkEnd w:id="44"/>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45" w:name="OLE_LINK31"/>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spacing w:line="360" w:lineRule="auto"/>
        <w:rPr>
          <w:b/>
          <w:color w:val="auto"/>
          <w:sz w:val="21"/>
          <w:highlight w:val="none"/>
        </w:rPr>
      </w:pPr>
      <w:r>
        <w:rPr>
          <w:b/>
          <w:color w:val="auto"/>
          <w:sz w:val="21"/>
          <w:highlight w:val="none"/>
        </w:rPr>
      </w:r>
      <w:r/>
    </w:p>
    <w:p>
      <w:pPr>
        <w:pStyle w:val="905"/>
        <w:ind w:left="1320"/>
        <w:rPr>
          <w:color w:val="auto"/>
          <w:highlight w:val="none"/>
        </w:rPr>
      </w:pPr>
      <w:r>
        <w:rPr>
          <w:color w:val="auto"/>
          <w:highlight w:val="none"/>
        </w:rPr>
      </w:r>
      <w:r/>
    </w:p>
    <w:p>
      <w:pPr>
        <w:rPr>
          <w:color w:val="auto"/>
          <w:highlight w:val="none"/>
          <w:lang w:val="en-US"/>
        </w:rPr>
      </w:pPr>
      <w:r>
        <w:rPr>
          <w:b/>
          <w:color w:val="auto"/>
          <w:sz w:val="21"/>
          <w:highlight w:val="none"/>
        </w:rPr>
        <w:t xml:space="preserve">附件</w:t>
      </w:r>
      <w:r>
        <w:rPr>
          <w:rFonts w:hint="eastAsia"/>
          <w:b/>
          <w:color w:val="auto"/>
          <w:sz w:val="21"/>
          <w:highlight w:val="none"/>
          <w:lang w:val="en-US"/>
        </w:rPr>
        <w:t xml:space="preserve">六、访客入校申请使用指南</w:t>
      </w:r>
      <w:bookmarkEnd w:id="45"/>
      <w:r/>
      <w:r/>
    </w:p>
    <w:p>
      <w:pPr>
        <w:pStyle w:val="905"/>
        <w:ind w:left="1320"/>
        <w:rPr>
          <w:color w:val="auto"/>
          <w:highlight w:val="none"/>
        </w:rPr>
      </w:pPr>
      <w:r>
        <w:rPr>
          <w:color w:val="auto"/>
          <w:highlight w:val="none"/>
        </w:rPr>
      </w:r>
      <w:r/>
    </w:p>
    <w:p>
      <w:pPr>
        <w:rPr>
          <w:color w:val="auto"/>
          <w:highlight w:val="none"/>
        </w:rPr>
      </w:pPr>
      <w:r>
        <w:rPr>
          <w:color w:val="auto"/>
          <w:highlight w:val="none"/>
        </w:rPr>
      </w:r>
      <w:r/>
    </w:p>
    <w:p>
      <w:pPr>
        <w:ind w:left="420"/>
        <w:jc w:val="center"/>
        <w:spacing w:after="737"/>
        <w:rPr>
          <w:rFonts w:ascii="Times New Roman" w:hAnsi="Times New Roman" w:cs="Times New Roman"/>
          <w:color w:val="auto"/>
          <w:highlight w:val="none"/>
        </w:rPr>
      </w:pPr>
      <w:r>
        <w:rPr>
          <w:rFonts w:ascii="Times New Roman" w:hAnsi="Times New Roman" w:eastAsia="微软雅黑" w:cs="Times New Roman"/>
          <w:color w:val="auto"/>
          <w:sz w:val="44"/>
          <w:highlight w:val="none"/>
        </w:rPr>
        <w:t xml:space="preserve">访客入校申请使用指南</w:t>
      </w:r>
      <w:r/>
    </w:p>
    <w:p>
      <w:pPr>
        <w:ind w:firstLine="440"/>
        <w:jc w:val="both"/>
        <w:spacing w:after="276"/>
        <w:rPr>
          <w:rFonts w:ascii="Times New Roman" w:hAnsi="Times New Roman" w:cs="Times New Roman"/>
          <w:color w:val="auto"/>
          <w:highlight w:val="none"/>
        </w:rPr>
      </w:pPr>
      <w:r>
        <w:rPr>
          <w:rFonts w:hint="eastAsia"/>
          <w:color w:val="auto"/>
          <w:highlight w:val="none"/>
        </w:rPr>
        <w:t xml:space="preserve">本指南适用校外人员需进入南京中医药大学仙林校区、汉中门校区使用。由校外人员在</w:t>
      </w:r>
      <w:r>
        <w:rPr>
          <w:rFonts w:ascii="Times New Roman" w:hAnsi="Times New Roman" w:cs="Times New Roman"/>
          <w:color w:val="auto"/>
          <w:highlight w:val="none"/>
        </w:rPr>
        <w:t xml:space="preserve">“</w:t>
      </w:r>
      <w:r>
        <w:rPr>
          <w:rFonts w:hint="eastAsia"/>
          <w:color w:val="auto"/>
          <w:highlight w:val="none"/>
        </w:rPr>
        <w:t xml:space="preserve">南京中医药大学信息门户</w:t>
      </w:r>
      <w:r>
        <w:rPr>
          <w:rFonts w:ascii="Times New Roman" w:hAnsi="Times New Roman" w:cs="Times New Roman"/>
          <w:color w:val="auto"/>
          <w:highlight w:val="none"/>
        </w:rPr>
        <w:t xml:space="preserve">”</w:t>
      </w:r>
      <w:r>
        <w:rPr>
          <w:rFonts w:hint="eastAsia"/>
          <w:color w:val="auto"/>
          <w:highlight w:val="none"/>
        </w:rPr>
        <w:t xml:space="preserve">公众号自行申请，可添加同行人员一次办理。审批通过的访客可在闸机验证身份证入校。</w:t>
      </w:r>
      <w:r>
        <w:rPr>
          <w:rFonts w:ascii="Times New Roman" w:hAnsi="Times New Roman" w:cs="Times New Roman"/>
          <w:color w:val="auto"/>
          <w:highlight w:val="none"/>
        </w:rPr>
        <w:t xml:space="preserve"> </w:t>
      </w:r>
      <w:r/>
    </w:p>
    <w:p>
      <w:pPr>
        <w:ind w:left="-15" w:right="677" w:firstLine="5"/>
        <w:jc w:val="both"/>
        <w:spacing w:after="189" w:line="265" w:lineRule="auto"/>
        <w:rPr>
          <w:rFonts w:ascii="Times New Roman" w:hAnsi="Times New Roman" w:cs="Times New Roman"/>
          <w:color w:val="auto"/>
          <w:highlight w:val="none"/>
        </w:rPr>
      </w:pPr>
      <w:r>
        <w:rPr>
          <w:rFonts w:ascii="Times New Roman" w:hAnsi="Times New Roman" w:eastAsia="黑体" w:cs="Times New Roman"/>
          <w:color w:val="auto"/>
          <w:sz w:val="32"/>
          <w:highlight w:val="none"/>
        </w:rPr>
        <w:t xml:space="preserve">一、</w:t>
      </w:r>
      <w:r>
        <w:rPr>
          <w:rFonts w:ascii="Times New Roman" w:hAnsi="Times New Roman" w:cs="Times New Roman"/>
          <w:color w:val="auto"/>
          <w:sz w:val="32"/>
          <w:highlight w:val="none"/>
        </w:rPr>
        <w:t xml:space="preserve"> </w:t>
      </w:r>
      <w:r>
        <w:rPr>
          <w:rFonts w:ascii="Times New Roman" w:hAnsi="Times New Roman" w:eastAsia="黑体" w:cs="Times New Roman"/>
          <w:color w:val="auto"/>
          <w:sz w:val="32"/>
          <w:highlight w:val="none"/>
        </w:rPr>
        <w:t xml:space="preserve">申请入口</w:t>
      </w:r>
      <w:r>
        <w:rPr>
          <w:rFonts w:ascii="Times New Roman" w:hAnsi="Times New Roman" w:eastAsia="Times New Roman" w:cs="Times New Roman"/>
          <w:color w:val="auto"/>
          <w:sz w:val="32"/>
          <w:highlight w:val="none"/>
        </w:rPr>
        <w:t xml:space="preserve"> </w:t>
      </w:r>
      <w:r/>
    </w:p>
    <w:p>
      <w:pPr>
        <w:ind w:firstLine="440"/>
        <w:jc w:val="both"/>
        <w:spacing w:after="276"/>
        <w:rPr>
          <w:rFonts w:ascii="Times New Roman" w:hAnsi="Times New Roman" w:cs="Times New Roman"/>
          <w:color w:val="auto"/>
          <w:highlight w:val="none"/>
        </w:rPr>
      </w:pPr>
      <w:r>
        <w:rPr>
          <w:rFonts w:ascii="Times New Roman" w:hAnsi="Times New Roman" w:cs="Times New Roman"/>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2926715</wp:posOffset>
                </wp:positionH>
                <wp:positionV relativeFrom="page">
                  <wp:posOffset>3469005</wp:posOffset>
                </wp:positionV>
                <wp:extent cx="2133600" cy="3567430"/>
                <wp:effectExtent l="0" t="0" r="0" b="13970"/>
                <wp:wrapTopAndBottom/>
                <wp:docPr id="11" name="Picture 84"/>
                <wp:cNvGraphicFramePr/>
                <a:graphic xmlns:a="http://schemas.openxmlformats.org/drawingml/2006/main">
                  <a:graphicData uri="http://schemas.openxmlformats.org/drawingml/2006/picture">
                    <pic:pic xmlns:pic="http://schemas.openxmlformats.org/drawingml/2006/picture">
                      <pic:nvPicPr>
                        <pic:cNvPr id="11" name="Picture 84"/>
                        <pic:cNvPicPr/>
                        <pic:nvPr/>
                      </pic:nvPicPr>
                      <pic:blipFill>
                        <a:blip r:embed="rId19"/>
                        <a:stretch/>
                      </pic:blipFill>
                      <pic:spPr bwMode="auto">
                        <a:xfrm>
                          <a:off x="0" y="0"/>
                          <a:ext cx="2133600" cy="3567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2336;o:allowoverlap:true;o:allowincell:true;mso-position-horizontal-relative:text;margin-left:230.4pt;mso-position-horizontal:absolute;mso-position-vertical-relative:page;margin-top:273.1pt;mso-position-vertical:absolute;width:168.0pt;height:280.9pt;mso-wrap-distance-left:9.0pt;mso-wrap-distance-top:0.0pt;mso-wrap-distance-right:9.0pt;mso-wrap-distance-bottom:0.0pt;" stroked="false">
                <v:path textboxrect="0,0,0,0"/>
                <w10:wrap type="topAndBottom"/>
                <v:imagedata r:id="rId19" o:title=""/>
              </v:shape>
            </w:pict>
          </mc:Fallback>
        </mc:AlternateContent>
      </w:r>
      <w:r>
        <w:rPr>
          <w:rFonts w:ascii="Times New Roman" w:hAnsi="Times New Roman" w:cs="Times New Roman"/>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wp:posOffset>
                </wp:positionH>
                <wp:positionV relativeFrom="page">
                  <wp:posOffset>3747135</wp:posOffset>
                </wp:positionV>
                <wp:extent cx="2527935" cy="2447290"/>
                <wp:effectExtent l="0" t="0" r="5715" b="10160"/>
                <wp:wrapTopAndBottom/>
                <wp:docPr id="12" name="Picture 82"/>
                <wp:cNvGraphicFramePr/>
                <a:graphic xmlns:a="http://schemas.openxmlformats.org/drawingml/2006/main">
                  <a:graphicData uri="http://schemas.openxmlformats.org/drawingml/2006/picture">
                    <pic:pic xmlns:pic="http://schemas.openxmlformats.org/drawingml/2006/picture">
                      <pic:nvPicPr>
                        <pic:cNvPr id="12" name="Picture 82"/>
                        <pic:cNvPicPr/>
                        <pic:nvPr/>
                      </pic:nvPicPr>
                      <pic:blipFill>
                        <a:blip r:embed="rId20"/>
                        <a:stretch/>
                      </pic:blipFill>
                      <pic:spPr bwMode="auto">
                        <a:xfrm>
                          <a:off x="0" y="0"/>
                          <a:ext cx="2527935" cy="24472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0.3pt;mso-position-horizontal:absolute;mso-position-vertical-relative:page;margin-top:295.1pt;mso-position-vertical:absolute;width:199.0pt;height:192.7pt;mso-wrap-distance-left:9.0pt;mso-wrap-distance-top:0.0pt;mso-wrap-distance-right:9.0pt;mso-wrap-distance-bottom:0.0pt;" stroked="false">
                <v:path textboxrect="0,0,0,0"/>
                <w10:wrap type="topAndBottom"/>
                <v:imagedata r:id="rId20" o:title=""/>
              </v:shape>
            </w:pict>
          </mc:Fallback>
        </mc:AlternateContent>
      </w:r>
      <w:r>
        <w:rPr>
          <w:rFonts w:hint="eastAsia"/>
          <w:color w:val="auto"/>
          <w:highlight w:val="none"/>
        </w:rPr>
        <w:t xml:space="preserve">微信搜索</w:t>
      </w:r>
      <w:r>
        <w:rPr>
          <w:rFonts w:ascii="Times New Roman" w:hAnsi="Times New Roman" w:cs="Times New Roman"/>
          <w:color w:val="auto"/>
          <w:highlight w:val="none"/>
        </w:rPr>
        <w:t xml:space="preserve">“</w:t>
      </w:r>
      <w:r>
        <w:rPr>
          <w:rFonts w:hint="eastAsia"/>
          <w:color w:val="auto"/>
          <w:highlight w:val="none"/>
        </w:rPr>
        <w:t xml:space="preserve">南京中医药大学信息门户</w:t>
      </w:r>
      <w:r>
        <w:rPr>
          <w:rFonts w:ascii="Times New Roman" w:hAnsi="Times New Roman" w:cs="Times New Roman"/>
          <w:color w:val="auto"/>
          <w:highlight w:val="none"/>
        </w:rPr>
        <w:t xml:space="preserve">”</w:t>
      </w:r>
      <w:r>
        <w:rPr>
          <w:rFonts w:hint="eastAsia"/>
          <w:color w:val="auto"/>
          <w:highlight w:val="none"/>
        </w:rPr>
        <w:t xml:space="preserve">或扫描二维码，</w:t>
      </w:r>
      <w:r>
        <w:rPr>
          <w:rFonts w:ascii="Times New Roman" w:hAnsi="Times New Roman" w:cs="Times New Roman"/>
          <w:color w:val="auto"/>
          <w:highlight w:val="none"/>
        </w:rPr>
        <w:t xml:space="preserve">“</w:t>
      </w:r>
      <w:r>
        <w:rPr>
          <w:rFonts w:hint="eastAsia"/>
          <w:color w:val="auto"/>
          <w:highlight w:val="none"/>
        </w:rPr>
        <w:t xml:space="preserve">关注</w:t>
      </w:r>
      <w:r>
        <w:rPr>
          <w:rFonts w:ascii="Times New Roman" w:hAnsi="Times New Roman" w:cs="Times New Roman"/>
          <w:color w:val="auto"/>
          <w:highlight w:val="none"/>
        </w:rPr>
        <w:t xml:space="preserve">”</w:t>
      </w:r>
      <w:r>
        <w:rPr>
          <w:rFonts w:hint="eastAsia"/>
          <w:color w:val="auto"/>
          <w:highlight w:val="none"/>
        </w:rPr>
        <w:t xml:space="preserve">后再点击</w:t>
      </w:r>
      <w:r>
        <w:rPr>
          <w:rFonts w:ascii="Times New Roman" w:hAnsi="Times New Roman" w:cs="Times New Roman"/>
          <w:color w:val="auto"/>
          <w:highlight w:val="none"/>
        </w:rPr>
        <w:t xml:space="preserve">“</w:t>
      </w:r>
      <w:r>
        <w:rPr>
          <w:rFonts w:hint="eastAsia"/>
          <w:color w:val="auto"/>
          <w:highlight w:val="none"/>
        </w:rPr>
        <w:t xml:space="preserve">访客入校</w:t>
      </w:r>
      <w:r>
        <w:rPr>
          <w:rFonts w:ascii="Times New Roman" w:hAnsi="Times New Roman" w:cs="Times New Roman"/>
          <w:color w:val="auto"/>
          <w:highlight w:val="none"/>
        </w:rPr>
        <w:t xml:space="preserve">”</w:t>
      </w:r>
      <w:r>
        <w:rPr>
          <w:rFonts w:hint="eastAsia"/>
          <w:color w:val="auto"/>
          <w:highlight w:val="none"/>
        </w:rPr>
        <w:t xml:space="preserve">进行申请。</w:t>
      </w:r>
      <w:r>
        <w:rPr>
          <w:rFonts w:ascii="Times New Roman" w:hAnsi="Times New Roman" w:cs="Times New Roman"/>
          <w:color w:val="auto"/>
          <w:highlight w:val="none"/>
        </w:rPr>
        <w:t xml:space="preserve"> </w:t>
      </w:r>
      <w:r/>
    </w:p>
    <w:p>
      <w:pPr>
        <w:ind w:right="1403"/>
        <w:jc w:val="both"/>
        <w:rPr>
          <w:rFonts w:ascii="Times New Roman" w:hAnsi="Times New Roman" w:cs="Times New Roman" w:eastAsiaTheme="minorEastAsia"/>
          <w:color w:val="auto"/>
          <w:highlight w:val="none"/>
        </w:rPr>
      </w:pPr>
      <w:r>
        <w:rPr>
          <w:rFonts w:ascii="Times New Roman" w:hAnsi="Times New Roman" w:cs="Times New Roman" w:eastAsiaTheme="minorEastAsia"/>
          <w:color w:val="auto"/>
          <w:highlight w:val="none"/>
        </w:rPr>
      </w:r>
      <w:r/>
    </w:p>
    <w:p>
      <w:pPr>
        <w:ind w:left="-15" w:right="677" w:firstLine="5"/>
        <w:jc w:val="both"/>
        <w:spacing w:after="78" w:line="327" w:lineRule="auto"/>
        <w:rPr>
          <w:rFonts w:ascii="Times New Roman" w:hAnsi="Times New Roman" w:cs="Times New Roman"/>
          <w:color w:val="auto"/>
          <w:highlight w:val="none"/>
        </w:rPr>
      </w:pPr>
      <w:r>
        <w:rPr>
          <w:rFonts w:ascii="Times New Roman" w:hAnsi="Times New Roman" w:eastAsia="Times New Roman" w:cs="Times New Roman"/>
          <w:color w:val="auto"/>
          <w:highlight w:val="none"/>
        </w:rPr>
        <w:t xml:space="preserve"> </w:t>
      </w:r>
      <w:r>
        <w:rPr>
          <w:rFonts w:ascii="Times New Roman" w:hAnsi="Times New Roman" w:eastAsia="黑体" w:cs="Times New Roman"/>
          <w:color w:val="auto"/>
          <w:sz w:val="32"/>
          <w:highlight w:val="none"/>
        </w:rPr>
        <w:t xml:space="preserve">二、</w:t>
      </w:r>
      <w:r>
        <w:rPr>
          <w:rFonts w:ascii="Times New Roman" w:hAnsi="Times New Roman" w:cs="Times New Roman"/>
          <w:color w:val="auto"/>
          <w:sz w:val="32"/>
          <w:highlight w:val="none"/>
        </w:rPr>
        <w:t xml:space="preserve"> </w:t>
      </w:r>
      <w:r>
        <w:rPr>
          <w:rFonts w:ascii="Times New Roman" w:hAnsi="Times New Roman" w:eastAsia="黑体" w:cs="Times New Roman"/>
          <w:color w:val="auto"/>
          <w:sz w:val="32"/>
          <w:highlight w:val="none"/>
        </w:rPr>
        <w:t xml:space="preserve">访客申请</w:t>
      </w:r>
      <w:r>
        <w:rPr>
          <w:rFonts w:ascii="Times New Roman" w:hAnsi="Times New Roman" w:eastAsia="Times New Roman" w:cs="Times New Roman"/>
          <w:color w:val="auto"/>
          <w:sz w:val="32"/>
          <w:highlight w:val="none"/>
        </w:rPr>
        <w:t xml:space="preserve"> </w:t>
      </w:r>
      <w:r/>
    </w:p>
    <w:p>
      <w:pPr>
        <w:ind w:firstLine="440"/>
        <w:jc w:val="both"/>
        <w:spacing w:after="276"/>
        <w:rPr>
          <w:rFonts w:ascii="Times New Roman" w:hAnsi="Times New Roman" w:cs="Times New Roman"/>
          <w:color w:val="auto"/>
          <w:highlight w:val="none"/>
        </w:rPr>
      </w:pPr>
      <w:r>
        <w:rPr>
          <w:rFonts w:hint="eastAsia"/>
          <w:color w:val="auto"/>
          <w:highlight w:val="none"/>
        </w:rPr>
        <w:t xml:space="preserve">访客自行填写基本信息，其中受访者为南京中医药大学教职工，</w:t>
      </w:r>
      <w:r>
        <w:rPr>
          <w:rFonts w:ascii="Times New Roman" w:hAnsi="Times New Roman" w:cs="Times New Roman"/>
          <w:color w:val="auto"/>
          <w:highlight w:val="none"/>
        </w:rPr>
        <w:t xml:space="preserve">请</w:t>
      </w:r>
      <w:r>
        <w:rPr>
          <w:rFonts w:hint="eastAsia"/>
          <w:color w:val="auto"/>
          <w:highlight w:val="none"/>
        </w:rPr>
        <w:t xml:space="preserve">访客与受访者联系后填写受访者姓名及受访部门。如访问校领导则请先与党办、校办事先沟通后再进行申请。如有同行人员则可以点击添加按钮进行添加，建议同行人员不超过</w:t>
      </w:r>
      <w:r>
        <w:rPr>
          <w:rFonts w:ascii="Times New Roman" w:hAnsi="Times New Roman" w:cs="Times New Roman"/>
          <w:color w:val="auto"/>
          <w:highlight w:val="none"/>
        </w:rPr>
        <w:t xml:space="preserve"> </w:t>
      </w:r>
      <w:r>
        <w:rPr>
          <w:rFonts w:ascii="Times New Roman" w:hAnsi="Times New Roman" w:eastAsia="Times New Roman" w:cs="Times New Roman"/>
          <w:color w:val="auto"/>
          <w:highlight w:val="none"/>
        </w:rPr>
        <w:t xml:space="preserve">5 </w:t>
      </w:r>
      <w:r>
        <w:rPr>
          <w:rFonts w:hint="eastAsia"/>
          <w:color w:val="auto"/>
          <w:highlight w:val="none"/>
        </w:rPr>
        <w:t xml:space="preserve">人。</w:t>
      </w:r>
      <w:r>
        <w:rPr>
          <w:rFonts w:ascii="Times New Roman" w:hAnsi="Times New Roman" w:eastAsia="Times New Roman" w:cs="Times New Roman"/>
          <w:color w:val="auto"/>
          <w:highlight w:val="none"/>
        </w:rPr>
        <w:t xml:space="preserve"> </w:t>
      </w:r>
      <w:r/>
    </w:p>
    <w:p>
      <w:pPr>
        <w:ind w:left="-15" w:right="677" w:firstLine="5"/>
        <w:jc w:val="both"/>
        <w:spacing w:after="78" w:line="327" w:lineRule="auto"/>
        <w:rPr>
          <w:rFonts w:ascii="Times New Roman" w:hAnsi="Times New Roman" w:eastAsia="黑体" w:cs="Times New Roman"/>
          <w:color w:val="auto"/>
          <w:sz w:val="32"/>
          <w:szCs w:val="32"/>
          <w:highlight w:val="none"/>
        </w:rPr>
      </w:pPr>
      <w:r>
        <w:rPr>
          <w:rFonts w:ascii="Times New Roman" w:hAnsi="Times New Roman" w:eastAsia="黑体" w:cs="Times New Roman"/>
          <w:color w:val="auto"/>
          <w:sz w:val="32"/>
          <w:szCs w:val="32"/>
          <w:highlight w:val="none"/>
        </w:rPr>
        <w:t xml:space="preserve">三、访客入校 </w:t>
      </w:r>
      <w:r/>
    </w:p>
    <w:p>
      <w:pPr>
        <w:ind w:firstLine="440"/>
        <w:jc w:val="both"/>
        <w:spacing w:after="276"/>
        <w:rPr>
          <w:rFonts w:ascii="Times New Roman" w:hAnsi="Times New Roman" w:cs="Times New Roman"/>
          <w:color w:val="auto"/>
          <w:highlight w:val="none"/>
        </w:rPr>
      </w:pPr>
      <w:r>
        <w:rPr>
          <w:rFonts w:hint="eastAsia"/>
          <w:color w:val="auto"/>
          <w:highlight w:val="none"/>
        </w:rPr>
        <w:t xml:space="preserve">请学校审批通过的访客，会收到审批通过的消息。请在预约时间内到校，并使用本人有效身份证（</w:t>
      </w:r>
      <w:r>
        <w:rPr>
          <w:rFonts w:ascii="Times New Roman" w:hAnsi="Times New Roman" w:cs="Times New Roman"/>
          <w:color w:val="auto"/>
          <w:highlight w:val="none"/>
        </w:rPr>
        <w:t xml:space="preserve">18 </w:t>
      </w:r>
      <w:r>
        <w:rPr>
          <w:rFonts w:hint="eastAsia"/>
          <w:color w:val="auto"/>
          <w:highlight w:val="none"/>
        </w:rPr>
        <w:t xml:space="preserve">位标准身份证）在校门口闸机处验证入校。审批未通过的访客，请与被访者联系协调。</w:t>
      </w:r>
      <w:r>
        <w:rPr>
          <w:rFonts w:ascii="Times New Roman" w:hAnsi="Times New Roman" w:cs="Times New Roman"/>
          <w:color w:val="auto"/>
          <w:highlight w:val="none"/>
        </w:rPr>
        <w:t xml:space="preserve"> </w:t>
      </w:r>
      <w:r/>
    </w:p>
    <w:p>
      <w:pPr>
        <w:ind w:left="-15" w:right="677" w:firstLine="5"/>
        <w:jc w:val="both"/>
        <w:spacing w:after="78" w:line="327" w:lineRule="auto"/>
        <w:rPr>
          <w:rFonts w:ascii="Times New Roman" w:hAnsi="Times New Roman" w:eastAsia="黑体" w:cs="Times New Roman"/>
          <w:color w:val="auto"/>
          <w:sz w:val="32"/>
          <w:szCs w:val="32"/>
          <w:highlight w:val="none"/>
        </w:rPr>
      </w:pPr>
      <w:r>
        <w:rPr>
          <w:rFonts w:hint="eastAsia" w:ascii="Times New Roman" w:hAnsi="Times New Roman" w:eastAsia="黑体" w:cs="Times New Roman"/>
          <w:color w:val="auto"/>
          <w:sz w:val="32"/>
          <w:szCs w:val="32"/>
          <w:highlight w:val="none"/>
        </w:rPr>
        <w:t xml:space="preserve">四、</w:t>
      </w:r>
      <w:r>
        <w:rPr>
          <w:rFonts w:ascii="Times New Roman" w:hAnsi="Times New Roman" w:eastAsia="黑体" w:cs="Times New Roman"/>
          <w:color w:val="auto"/>
          <w:sz w:val="32"/>
          <w:szCs w:val="32"/>
          <w:highlight w:val="none"/>
        </w:rPr>
        <w:t xml:space="preserve">其他事项 </w:t>
      </w:r>
      <w:r/>
    </w:p>
    <w:p>
      <w:pPr>
        <w:ind w:firstLine="440"/>
        <w:jc w:val="both"/>
        <w:spacing w:after="276"/>
        <w:rPr>
          <w:rFonts w:ascii="Times New Roman" w:hAnsi="Times New Roman" w:cs="Times New Roman"/>
          <w:color w:val="auto"/>
          <w:highlight w:val="none"/>
        </w:rPr>
      </w:pPr>
      <w:r>
        <w:rPr>
          <w:rFonts w:hint="eastAsia"/>
          <w:color w:val="auto"/>
          <w:highlight w:val="none"/>
        </w:rPr>
        <w:t xml:space="preserve">请务必关注</w:t>
      </w:r>
      <w:r>
        <w:rPr>
          <w:rFonts w:ascii="Times New Roman" w:hAnsi="Times New Roman" w:cs="Times New Roman"/>
          <w:color w:val="auto"/>
          <w:highlight w:val="none"/>
        </w:rPr>
        <w:t xml:space="preserve">“</w:t>
      </w:r>
      <w:r>
        <w:rPr>
          <w:rFonts w:hint="eastAsia"/>
          <w:color w:val="auto"/>
          <w:highlight w:val="none"/>
        </w:rPr>
        <w:t xml:space="preserve">南京中医药大学信息门户</w:t>
      </w:r>
      <w:r>
        <w:rPr>
          <w:rFonts w:ascii="Times New Roman" w:hAnsi="Times New Roman" w:cs="Times New Roman"/>
          <w:color w:val="auto"/>
          <w:highlight w:val="none"/>
        </w:rPr>
        <w:t xml:space="preserve">”</w:t>
      </w:r>
      <w:r>
        <w:rPr>
          <w:rFonts w:hint="eastAsia"/>
          <w:color w:val="auto"/>
          <w:highlight w:val="none"/>
        </w:rPr>
        <w:t xml:space="preserve">公众号，否则无法收到办理结果的相关推送信息。</w:t>
      </w:r>
      <w:r>
        <w:rPr>
          <w:rFonts w:ascii="Times New Roman" w:hAnsi="Times New Roman" w:cs="Times New Roman"/>
          <w:color w:val="auto"/>
          <w:highlight w:val="none"/>
        </w:rPr>
        <w:t xml:space="preserve"> </w:t>
      </w:r>
      <w:r/>
    </w:p>
    <w:p>
      <w:pPr>
        <w:ind w:firstLine="440"/>
        <w:jc w:val="both"/>
        <w:spacing w:after="276"/>
        <w:rPr>
          <w:rFonts w:ascii="Times New Roman" w:hAnsi="Times New Roman" w:cs="Times New Roman"/>
          <w:color w:val="auto"/>
          <w:highlight w:val="none"/>
        </w:rPr>
      </w:pPr>
      <w:r>
        <w:rPr>
          <w:rFonts w:hint="eastAsia"/>
          <w:color w:val="auto"/>
          <w:highlight w:val="none"/>
        </w:rPr>
        <w:t xml:space="preserve">技术支撑单位：南京中医药大学网络管理与信息化办公室。如遇技术问题可联系</w:t>
      </w:r>
      <w:r>
        <w:rPr>
          <w:rFonts w:ascii="Times New Roman" w:hAnsi="Times New Roman" w:cs="Times New Roman"/>
          <w:color w:val="auto"/>
          <w:highlight w:val="none"/>
        </w:rPr>
        <w:t xml:space="preserve"> 025-85811936 </w:t>
      </w:r>
      <w:r>
        <w:rPr>
          <w:rFonts w:hint="eastAsia"/>
          <w:color w:val="auto"/>
          <w:highlight w:val="none"/>
        </w:rPr>
        <w:t xml:space="preserve">协调解决。</w:t>
      </w:r>
      <w:r>
        <w:rPr>
          <w:rFonts w:ascii="Times New Roman" w:hAnsi="Times New Roman" w:cs="Times New Roman"/>
          <w:color w:val="auto"/>
          <w:highlight w:val="none"/>
        </w:rPr>
        <w:t xml:space="preserve"> </w:t>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小标宋简体">
    <w:panose1 w:val="020B0503020202020204"/>
  </w:font>
  <w:font w:name="Wingdings 2">
    <w:panose1 w:val="05020102010507070707"/>
  </w:font>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35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97</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35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97</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0"/>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41</w:t>
    </w:r>
    <w:r>
      <w:fldChar w:fldCharType="end"/>
    </w:r>
    <w:r/>
  </w:p>
  <w:p>
    <w:pPr>
      <w:pStyle w:val="91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0"/>
      <w:rPr>
        <w:rStyle w:val="943"/>
      </w:rPr>
      <w:framePr w:wrap="around" w:vAnchor="text" w:hAnchor="margin" w:xAlign="center" w:y="1"/>
    </w:pPr>
    <w:r>
      <w:fldChar w:fldCharType="begin"/>
    </w:r>
    <w:r>
      <w:rPr>
        <w:rStyle w:val="943"/>
      </w:rPr>
      <w:instrText xml:space="preserve">PAGE  </w:instrText>
    </w:r>
    <w:r>
      <w:fldChar w:fldCharType="end"/>
    </w:r>
    <w:r/>
  </w:p>
  <w:p>
    <w:pPr>
      <w:pStyle w:val="91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97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97</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97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97</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1"/>
      <w:numFmt w:val="bullet"/>
      <w:pStyle w:val="131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7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2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6">
    <w:multiLevelType w:val="hybridMultilevel"/>
    <w:lvl w:ilvl="0">
      <w:start w:val="1"/>
      <w:numFmt w:val="decimal"/>
      <w:pStyle w:val="1465"/>
      <w:isLgl w:val="false"/>
      <w:suff w:val="tab"/>
      <w:lvlText w:val="%1"/>
      <w:lvlJc w:val="left"/>
      <w:pPr>
        <w:ind w:left="567" w:hanging="567"/>
        <w:tabs>
          <w:tab w:val="left" w:pos="567" w:leader="none"/>
        </w:tabs>
      </w:pPr>
      <w:rPr>
        <w:rFonts w:hint="eastAsia"/>
      </w:rPr>
    </w:lvl>
    <w:lvl w:ilvl="1">
      <w:start w:val="1"/>
      <w:numFmt w:val="decimal"/>
      <w:pStyle w:val="1177"/>
      <w:isLgl w:val="false"/>
      <w:suff w:val="tab"/>
      <w:lvlText w:val="%1.%2"/>
      <w:lvlJc w:val="left"/>
      <w:pPr>
        <w:ind w:left="567" w:hanging="283"/>
        <w:tabs>
          <w:tab w:val="left" w:pos="1004" w:leader="none"/>
        </w:tabs>
      </w:pPr>
      <w:rPr>
        <w:rFonts w:hint="eastAsia"/>
      </w:rPr>
    </w:lvl>
    <w:lvl w:ilvl="2">
      <w:start w:val="1"/>
      <w:numFmt w:val="decimal"/>
      <w:pStyle w:val="143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8">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9">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7">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20">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1">
    <w:multiLevelType w:val="hybridMultilevel"/>
    <w:lvl w:ilvl="0">
      <w:start w:val="1"/>
      <w:numFmt w:val="bullet"/>
      <w:pStyle w:val="125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3">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24">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5">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num w:numId="1">
    <w:abstractNumId w:val="10"/>
  </w:num>
  <w:num w:numId="2">
    <w:abstractNumId w:val="6"/>
  </w:num>
  <w:num w:numId="3">
    <w:abstractNumId w:val="21"/>
  </w:num>
  <w:num w:numId="4">
    <w:abstractNumId w:val="4"/>
  </w:num>
  <w:num w:numId="5">
    <w:abstractNumId w:val="3"/>
  </w:num>
  <w:num w:numId="6">
    <w:abstractNumId w:val="15"/>
  </w:num>
  <w:num w:numId="7">
    <w:abstractNumId w:val="16"/>
  </w:num>
  <w:num w:numId="8">
    <w:abstractNumId w:val="5"/>
  </w:num>
  <w:num w:numId="9">
    <w:abstractNumId w:val="25"/>
  </w:num>
  <w:num w:numId="10">
    <w:abstractNumId w:val="8"/>
  </w:num>
  <w:num w:numId="11">
    <w:abstractNumId w:val="23"/>
  </w:num>
  <w:num w:numId="12">
    <w:abstractNumId w:val="17"/>
  </w:num>
  <w:num w:numId="13">
    <w:abstractNumId w:val="22"/>
  </w:num>
  <w:num w:numId="14">
    <w:abstractNumId w:val="2"/>
  </w:num>
  <w:num w:numId="15">
    <w:abstractNumId w:val="24"/>
  </w:num>
  <w:num w:numId="16">
    <w:abstractNumId w:val="1"/>
  </w:num>
  <w:num w:numId="17">
    <w:abstractNumId w:val="7"/>
  </w:num>
  <w:num w:numId="18">
    <w:abstractNumId w:val="0"/>
  </w:num>
  <w:num w:numId="19">
    <w:abstractNumId w:val="20"/>
  </w:num>
  <w:num w:numId="20">
    <w:abstractNumId w:val="12"/>
  </w:num>
  <w:num w:numId="21">
    <w:abstractNumId w:val="14"/>
  </w:num>
  <w:num w:numId="22">
    <w:abstractNumId w:val="19"/>
  </w:num>
  <w:num w:numId="23">
    <w:abstractNumId w:val="9"/>
  </w:num>
  <w:num w:numId="24">
    <w:abstractNumId w:val="18"/>
  </w:num>
  <w:num w:numId="25">
    <w:abstractNumId w:val="13"/>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6">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5">
    <w:name w:val="TOC Heading"/>
    <w:uiPriority w:val="39"/>
    <w:unhideWhenUsed/>
  </w:style>
  <w:style w:type="paragraph" w:styleId="876" w:default="1">
    <w:name w:val="Normal"/>
    <w:uiPriority w:val="1"/>
    <w:qFormat/>
    <w:pPr>
      <w:widowControl w:val="off"/>
    </w:pPr>
    <w:rPr>
      <w:rFonts w:ascii="宋体" w:hAnsi="宋体" w:eastAsia="宋体" w:cs="宋体"/>
      <w:sz w:val="22"/>
      <w:szCs w:val="22"/>
      <w:lang w:val="zh-CN" w:eastAsia="zh-CN" w:bidi="zh-CN"/>
    </w:rPr>
  </w:style>
  <w:style w:type="paragraph" w:styleId="877">
    <w:name w:val="Heading 1"/>
    <w:basedOn w:val="876"/>
    <w:next w:val="876"/>
    <w:link w:val="997"/>
    <w:uiPriority w:val="0"/>
    <w:qFormat/>
    <w:pPr>
      <w:ind w:right="35"/>
      <w:jc w:val="center"/>
      <w:outlineLvl w:val="0"/>
    </w:pPr>
    <w:rPr>
      <w:b/>
      <w:bCs/>
      <w:sz w:val="72"/>
      <w:szCs w:val="72"/>
    </w:rPr>
  </w:style>
  <w:style w:type="paragraph" w:styleId="878">
    <w:name w:val="Heading 2"/>
    <w:basedOn w:val="876"/>
    <w:next w:val="876"/>
    <w:link w:val="998"/>
    <w:uiPriority w:val="0"/>
    <w:qFormat/>
    <w:pPr>
      <w:ind w:left="218"/>
      <w:outlineLvl w:val="1"/>
    </w:pPr>
    <w:rPr>
      <w:b/>
      <w:bCs/>
      <w:sz w:val="32"/>
      <w:szCs w:val="32"/>
    </w:rPr>
  </w:style>
  <w:style w:type="paragraph" w:styleId="879">
    <w:name w:val="Heading 3"/>
    <w:basedOn w:val="876"/>
    <w:next w:val="876"/>
    <w:link w:val="999"/>
    <w:uiPriority w:val="0"/>
    <w:qFormat/>
    <w:pPr>
      <w:ind w:left="218"/>
      <w:outlineLvl w:val="2"/>
    </w:pPr>
    <w:rPr>
      <w:sz w:val="28"/>
      <w:szCs w:val="28"/>
    </w:rPr>
  </w:style>
  <w:style w:type="paragraph" w:styleId="880">
    <w:name w:val="Heading 4"/>
    <w:basedOn w:val="876"/>
    <w:next w:val="876"/>
    <w:link w:val="1000"/>
    <w:uiPriority w:val="0"/>
    <w:qFormat/>
    <w:pPr>
      <w:ind w:left="218"/>
      <w:outlineLvl w:val="3"/>
    </w:pPr>
    <w:rPr>
      <w:sz w:val="24"/>
      <w:szCs w:val="24"/>
    </w:rPr>
  </w:style>
  <w:style w:type="paragraph" w:styleId="881">
    <w:name w:val="Heading 5"/>
    <w:basedOn w:val="876"/>
    <w:next w:val="876"/>
    <w:link w:val="1001"/>
    <w:uiPriority w:val="0"/>
    <w:unhideWhenUsed/>
    <w:qFormat/>
    <w:pPr>
      <w:keepLines/>
      <w:keepNext/>
      <w:spacing w:before="320" w:after="200"/>
      <w:outlineLvl w:val="4"/>
    </w:pPr>
    <w:rPr>
      <w:rFonts w:ascii="Arial" w:hAnsi="Arial" w:eastAsia="Arial" w:cs="Arial"/>
      <w:b/>
      <w:bCs/>
      <w:sz w:val="24"/>
      <w:szCs w:val="24"/>
    </w:rPr>
  </w:style>
  <w:style w:type="paragraph" w:styleId="882">
    <w:name w:val="Heading 6"/>
    <w:basedOn w:val="876"/>
    <w:next w:val="876"/>
    <w:link w:val="1002"/>
    <w:uiPriority w:val="0"/>
    <w:unhideWhenUsed/>
    <w:qFormat/>
    <w:pPr>
      <w:keepLines/>
      <w:keepNext/>
      <w:spacing w:before="320" w:after="200"/>
      <w:outlineLvl w:val="5"/>
    </w:pPr>
    <w:rPr>
      <w:rFonts w:ascii="Arial" w:hAnsi="Arial" w:eastAsia="Arial" w:cs="Arial"/>
      <w:b/>
      <w:bCs/>
    </w:rPr>
  </w:style>
  <w:style w:type="paragraph" w:styleId="883">
    <w:name w:val="Heading 7"/>
    <w:basedOn w:val="876"/>
    <w:next w:val="876"/>
    <w:link w:val="1003"/>
    <w:uiPriority w:val="0"/>
    <w:unhideWhenUsed/>
    <w:qFormat/>
    <w:pPr>
      <w:keepLines/>
      <w:keepNext/>
      <w:spacing w:before="320" w:after="200"/>
      <w:outlineLvl w:val="6"/>
    </w:pPr>
    <w:rPr>
      <w:rFonts w:ascii="Arial" w:hAnsi="Arial" w:eastAsia="Arial" w:cs="Arial"/>
      <w:b/>
      <w:bCs/>
      <w:i/>
      <w:iCs/>
    </w:rPr>
  </w:style>
  <w:style w:type="paragraph" w:styleId="884">
    <w:name w:val="Heading 8"/>
    <w:basedOn w:val="876"/>
    <w:next w:val="876"/>
    <w:link w:val="1004"/>
    <w:uiPriority w:val="0"/>
    <w:unhideWhenUsed/>
    <w:qFormat/>
    <w:pPr>
      <w:keepLines/>
      <w:keepNext/>
      <w:spacing w:before="320" w:after="200"/>
      <w:outlineLvl w:val="7"/>
    </w:pPr>
    <w:rPr>
      <w:rFonts w:ascii="Arial" w:hAnsi="Arial" w:eastAsia="Arial" w:cs="Arial"/>
      <w:i/>
      <w:iCs/>
    </w:rPr>
  </w:style>
  <w:style w:type="paragraph" w:styleId="885">
    <w:name w:val="Heading 9"/>
    <w:basedOn w:val="876"/>
    <w:next w:val="876"/>
    <w:link w:val="1005"/>
    <w:uiPriority w:val="0"/>
    <w:unhideWhenUsed/>
    <w:qFormat/>
    <w:pPr>
      <w:keepLines/>
      <w:keepNext/>
      <w:spacing w:before="320" w:after="200"/>
      <w:outlineLvl w:val="8"/>
    </w:pPr>
    <w:rPr>
      <w:rFonts w:ascii="Arial" w:hAnsi="Arial" w:eastAsia="Arial" w:cs="Arial"/>
      <w:i/>
      <w:iCs/>
      <w:sz w:val="21"/>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List 3"/>
    <w:basedOn w:val="876"/>
    <w:uiPriority w:val="0"/>
    <w:qFormat/>
    <w:pPr>
      <w:ind w:left="1260" w:hanging="420"/>
      <w:jc w:val="both"/>
      <w:spacing w:line="360" w:lineRule="auto"/>
    </w:pPr>
    <w:rPr>
      <w:rFonts w:ascii="Times New Roman" w:hAnsi="Times New Roman" w:cs="Times New Roman"/>
      <w:sz w:val="24"/>
      <w:szCs w:val="24"/>
      <w:lang w:val="en-US" w:bidi="ar-SA"/>
    </w:rPr>
  </w:style>
  <w:style w:type="paragraph" w:styleId="889">
    <w:name w:val="toc 7"/>
    <w:basedOn w:val="876"/>
    <w:next w:val="876"/>
    <w:uiPriority w:val="0"/>
    <w:unhideWhenUsed/>
    <w:qFormat/>
    <w:pPr>
      <w:ind w:left="1701"/>
      <w:spacing w:after="57"/>
    </w:pPr>
  </w:style>
  <w:style w:type="paragraph" w:styleId="890">
    <w:name w:val="List Number 2"/>
    <w:basedOn w:val="876"/>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91">
    <w:name w:val="index 8"/>
    <w:basedOn w:val="876"/>
    <w:next w:val="876"/>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92">
    <w:name w:val="List Number"/>
    <w:basedOn w:val="876"/>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93">
    <w:name w:val="Normal Indent"/>
    <w:basedOn w:val="876"/>
    <w:uiPriority w:val="0"/>
    <w:qFormat/>
    <w:pPr>
      <w:ind w:firstLine="420"/>
      <w:spacing w:line="360" w:lineRule="auto"/>
    </w:pPr>
    <w:rPr>
      <w:rFonts w:ascii="Times New Roman" w:hAnsi="Times New Roman"/>
      <w:sz w:val="24"/>
      <w:szCs w:val="21"/>
    </w:rPr>
  </w:style>
  <w:style w:type="paragraph" w:styleId="894">
    <w:name w:val="Caption"/>
    <w:basedOn w:val="876"/>
    <w:next w:val="8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5">
    <w:name w:val="index 5"/>
    <w:basedOn w:val="876"/>
    <w:next w:val="876"/>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96">
    <w:name w:val="Document Map"/>
    <w:basedOn w:val="876"/>
    <w:link w:val="1165"/>
    <w:uiPriority w:val="0"/>
    <w:qFormat/>
    <w:pPr>
      <w:ind w:firstLine="562"/>
      <w:jc w:val="both"/>
      <w:spacing w:line="360" w:lineRule="auto"/>
      <w:shd w:val="clear" w:color="auto" w:fill="000080"/>
    </w:pPr>
    <w:rPr>
      <w:sz w:val="24"/>
      <w:szCs w:val="24"/>
      <w:lang w:val="en-US" w:bidi="ar-SA"/>
    </w:rPr>
  </w:style>
  <w:style w:type="paragraph" w:styleId="897">
    <w:name w:val="toa heading"/>
    <w:basedOn w:val="876"/>
    <w:next w:val="876"/>
    <w:uiPriority w:val="99"/>
    <w:qFormat/>
    <w:pPr>
      <w:ind w:firstLine="562"/>
      <w:jc w:val="both"/>
      <w:spacing w:before="120" w:line="360" w:lineRule="auto"/>
    </w:pPr>
    <w:rPr>
      <w:rFonts w:ascii="Cambria" w:hAnsi="Cambria"/>
      <w:sz w:val="24"/>
      <w:szCs w:val="24"/>
      <w:lang w:val="en-US" w:bidi="ar-SA"/>
    </w:rPr>
  </w:style>
  <w:style w:type="paragraph" w:styleId="898">
    <w:name w:val="annotation text"/>
    <w:basedOn w:val="876"/>
    <w:link w:val="1140"/>
    <w:uiPriority w:val="0"/>
    <w:qFormat/>
  </w:style>
  <w:style w:type="paragraph" w:styleId="899">
    <w:name w:val="index 6"/>
    <w:basedOn w:val="876"/>
    <w:next w:val="876"/>
    <w:uiPriority w:val="0"/>
    <w:qFormat/>
    <w:pPr>
      <w:ind w:left="2100" w:firstLine="562"/>
      <w:jc w:val="both"/>
      <w:spacing w:line="360" w:lineRule="auto"/>
    </w:pPr>
    <w:rPr>
      <w:rFonts w:ascii="Times New Roman" w:hAnsi="Times New Roman" w:cs="Times New Roman"/>
      <w:sz w:val="24"/>
      <w:szCs w:val="24"/>
      <w:lang w:val="en-US" w:bidi="ar-SA"/>
    </w:rPr>
  </w:style>
  <w:style w:type="paragraph" w:styleId="900">
    <w:name w:val="Salutation"/>
    <w:basedOn w:val="876"/>
    <w:next w:val="876"/>
    <w:link w:val="1166"/>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901">
    <w:name w:val="Body Text 3"/>
    <w:basedOn w:val="876"/>
    <w:link w:val="1167"/>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902">
    <w:name w:val="Body Text"/>
    <w:basedOn w:val="876"/>
    <w:link w:val="1163"/>
    <w:uiPriority w:val="0"/>
    <w:qFormat/>
    <w:rPr>
      <w:sz w:val="21"/>
      <w:szCs w:val="21"/>
    </w:rPr>
  </w:style>
  <w:style w:type="paragraph" w:styleId="903">
    <w:name w:val="Body Text Indent"/>
    <w:basedOn w:val="876"/>
    <w:link w:val="1190"/>
    <w:uiPriority w:val="0"/>
    <w:qFormat/>
    <w:pPr>
      <w:ind w:firstLine="301"/>
      <w:spacing w:line="200" w:lineRule="exact"/>
    </w:pPr>
    <w:rPr>
      <w:rFonts w:hAnsi="Courier New"/>
      <w:spacing w:val="-4"/>
      <w:sz w:val="18"/>
      <w:szCs w:val="20"/>
    </w:rPr>
  </w:style>
  <w:style w:type="paragraph" w:styleId="904">
    <w:name w:val="Block Text"/>
    <w:basedOn w:val="876"/>
    <w:uiPriority w:val="0"/>
    <w:unhideWhenUsed/>
    <w:qFormat/>
    <w:pPr>
      <w:ind w:left="1440" w:right="1440"/>
      <w:spacing w:after="120"/>
    </w:pPr>
  </w:style>
  <w:style w:type="paragraph" w:styleId="905">
    <w:name w:val="index 4"/>
    <w:basedOn w:val="876"/>
    <w:next w:val="876"/>
    <w:uiPriority w:val="0"/>
    <w:unhideWhenUsed/>
    <w:qFormat/>
    <w:pPr>
      <w:ind w:left="600"/>
    </w:pPr>
    <w:rPr>
      <w:b/>
      <w:position w:val="-10"/>
      <w:sz w:val="24"/>
      <w:szCs w:val="20"/>
    </w:rPr>
  </w:style>
  <w:style w:type="paragraph" w:styleId="906">
    <w:name w:val="toc 5"/>
    <w:basedOn w:val="876"/>
    <w:next w:val="876"/>
    <w:uiPriority w:val="0"/>
    <w:unhideWhenUsed/>
    <w:qFormat/>
    <w:pPr>
      <w:ind w:left="1134"/>
      <w:spacing w:after="57"/>
    </w:pPr>
  </w:style>
  <w:style w:type="paragraph" w:styleId="907">
    <w:name w:val="toc 3"/>
    <w:basedOn w:val="876"/>
    <w:next w:val="876"/>
    <w:uiPriority w:val="0"/>
    <w:unhideWhenUsed/>
    <w:qFormat/>
    <w:pPr>
      <w:ind w:left="567"/>
      <w:spacing w:after="57"/>
    </w:pPr>
  </w:style>
  <w:style w:type="paragraph" w:styleId="908">
    <w:name w:val="Plain Text"/>
    <w:basedOn w:val="876"/>
    <w:link w:val="1144"/>
    <w:uiPriority w:val="0"/>
    <w:unhideWhenUsed/>
    <w:qFormat/>
    <w:rPr>
      <w:rFonts w:hAnsi="Courier New"/>
    </w:rPr>
  </w:style>
  <w:style w:type="paragraph" w:styleId="909">
    <w:name w:val="toc 8"/>
    <w:basedOn w:val="876"/>
    <w:next w:val="876"/>
    <w:uiPriority w:val="0"/>
    <w:unhideWhenUsed/>
    <w:qFormat/>
    <w:pPr>
      <w:ind w:left="1984"/>
      <w:spacing w:after="57"/>
    </w:pPr>
  </w:style>
  <w:style w:type="paragraph" w:styleId="910">
    <w:name w:val="index 3"/>
    <w:basedOn w:val="876"/>
    <w:next w:val="876"/>
    <w:uiPriority w:val="0"/>
    <w:qFormat/>
    <w:pPr>
      <w:ind w:left="840" w:firstLine="562"/>
      <w:jc w:val="both"/>
      <w:spacing w:line="360" w:lineRule="auto"/>
    </w:pPr>
    <w:rPr>
      <w:rFonts w:ascii="Times New Roman" w:hAnsi="Times New Roman" w:cs="Times New Roman"/>
      <w:sz w:val="24"/>
      <w:szCs w:val="24"/>
      <w:lang w:val="en-US" w:bidi="ar-SA"/>
    </w:rPr>
  </w:style>
  <w:style w:type="paragraph" w:styleId="911">
    <w:name w:val="Date"/>
    <w:basedOn w:val="876"/>
    <w:next w:val="876"/>
    <w:uiPriority w:val="0"/>
    <w:qFormat/>
    <w:pPr>
      <w:ind w:left="100"/>
    </w:pPr>
    <w:rPr>
      <w:rFonts w:ascii="Times New Roman" w:hAnsi="Times New Roman" w:cs="Times New Roman"/>
      <w:sz w:val="28"/>
    </w:rPr>
  </w:style>
  <w:style w:type="paragraph" w:styleId="912">
    <w:name w:val="Body Text Indent 2"/>
    <w:basedOn w:val="876"/>
    <w:link w:val="1168"/>
    <w:uiPriority w:val="0"/>
    <w:qFormat/>
    <w:pPr>
      <w:ind w:left="630" w:firstLine="645"/>
      <w:jc w:val="both"/>
      <w:spacing w:line="360" w:lineRule="auto"/>
    </w:pPr>
    <w:rPr>
      <w:rFonts w:ascii="Arial" w:hAnsi="Arial" w:eastAsia="仿宋_GB2312"/>
      <w:sz w:val="32"/>
      <w:szCs w:val="24"/>
      <w:lang w:val="en-US" w:bidi="ar-SA"/>
    </w:rPr>
  </w:style>
  <w:style w:type="paragraph" w:styleId="913">
    <w:name w:val="endnote text"/>
    <w:basedOn w:val="876"/>
    <w:link w:val="1123"/>
    <w:uiPriority w:val="0"/>
    <w:unhideWhenUsed/>
    <w:qFormat/>
    <w:rPr>
      <w:sz w:val="20"/>
    </w:rPr>
  </w:style>
  <w:style w:type="paragraph" w:styleId="914">
    <w:name w:val="Balloon Text"/>
    <w:basedOn w:val="876"/>
    <w:link w:val="1130"/>
    <w:uiPriority w:val="0"/>
    <w:qFormat/>
    <w:rPr>
      <w:sz w:val="18"/>
      <w:szCs w:val="18"/>
    </w:rPr>
  </w:style>
  <w:style w:type="paragraph" w:styleId="915">
    <w:name w:val="Footer"/>
    <w:basedOn w:val="876"/>
    <w:link w:val="1015"/>
    <w:uiPriority w:val="0"/>
    <w:qFormat/>
    <w:pPr>
      <w:tabs>
        <w:tab w:val="center" w:pos="4153" w:leader="none"/>
        <w:tab w:val="right" w:pos="8306" w:leader="none"/>
      </w:tabs>
    </w:pPr>
    <w:rPr>
      <w:sz w:val="18"/>
    </w:rPr>
  </w:style>
  <w:style w:type="paragraph" w:styleId="916">
    <w:name w:val="envelope return"/>
    <w:basedOn w:val="876"/>
    <w:uiPriority w:val="0"/>
    <w:qFormat/>
    <w:pPr>
      <w:ind w:firstLine="562"/>
      <w:jc w:val="both"/>
      <w:spacing w:line="360" w:lineRule="auto"/>
    </w:pPr>
    <w:rPr>
      <w:rFonts w:ascii="Arial" w:hAnsi="Arial" w:cs="Times New Roman"/>
      <w:sz w:val="24"/>
      <w:szCs w:val="24"/>
      <w:lang w:val="en-US" w:bidi="ar-SA"/>
    </w:rPr>
  </w:style>
  <w:style w:type="paragraph" w:styleId="917">
    <w:name w:val="Header"/>
    <w:basedOn w:val="876"/>
    <w:link w:val="1013"/>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8">
    <w:name w:val="Signature"/>
    <w:basedOn w:val="876"/>
    <w:link w:val="1169"/>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919">
    <w:name w:val="toc 1"/>
    <w:basedOn w:val="876"/>
    <w:next w:val="876"/>
    <w:uiPriority w:val="0"/>
    <w:qFormat/>
  </w:style>
  <w:style w:type="paragraph" w:styleId="920">
    <w:name w:val="toc 4"/>
    <w:basedOn w:val="876"/>
    <w:next w:val="876"/>
    <w:uiPriority w:val="0"/>
    <w:unhideWhenUsed/>
    <w:qFormat/>
    <w:pPr>
      <w:ind w:left="850"/>
      <w:spacing w:after="57"/>
    </w:pPr>
  </w:style>
  <w:style w:type="paragraph" w:styleId="921">
    <w:name w:val="index heading"/>
    <w:basedOn w:val="876"/>
    <w:next w:val="922"/>
    <w:uiPriority w:val="0"/>
    <w:qFormat/>
    <w:pPr>
      <w:ind w:firstLine="562"/>
      <w:jc w:val="both"/>
      <w:spacing w:line="360" w:lineRule="auto"/>
    </w:pPr>
    <w:rPr>
      <w:rFonts w:ascii="Times New Roman" w:hAnsi="Times New Roman" w:cs="Times New Roman"/>
      <w:sz w:val="24"/>
      <w:szCs w:val="24"/>
      <w:lang w:val="en-US" w:bidi="ar-SA"/>
    </w:rPr>
  </w:style>
  <w:style w:type="paragraph" w:styleId="922">
    <w:name w:val="index 1"/>
    <w:basedOn w:val="876"/>
    <w:next w:val="876"/>
    <w:uiPriority w:val="0"/>
    <w:unhideWhenUsed/>
    <w:qFormat/>
  </w:style>
  <w:style w:type="paragraph" w:styleId="923">
    <w:name w:val="Subtitle"/>
    <w:basedOn w:val="876"/>
    <w:next w:val="876"/>
    <w:link w:val="1008"/>
    <w:uiPriority w:val="0"/>
    <w:qFormat/>
    <w:pPr>
      <w:spacing w:before="200" w:after="200"/>
    </w:pPr>
    <w:rPr>
      <w:sz w:val="24"/>
      <w:szCs w:val="24"/>
    </w:rPr>
  </w:style>
  <w:style w:type="paragraph" w:styleId="924">
    <w:name w:val="footnote text"/>
    <w:basedOn w:val="876"/>
    <w:link w:val="1122"/>
    <w:uiPriority w:val="0"/>
    <w:unhideWhenUsed/>
    <w:qFormat/>
    <w:pPr>
      <w:spacing w:after="40"/>
    </w:pPr>
    <w:rPr>
      <w:sz w:val="18"/>
    </w:rPr>
  </w:style>
  <w:style w:type="paragraph" w:styleId="925">
    <w:name w:val="toc 6"/>
    <w:basedOn w:val="876"/>
    <w:next w:val="876"/>
    <w:uiPriority w:val="0"/>
    <w:unhideWhenUsed/>
    <w:qFormat/>
    <w:pPr>
      <w:ind w:left="1417"/>
      <w:spacing w:after="57"/>
    </w:pPr>
  </w:style>
  <w:style w:type="paragraph" w:styleId="926">
    <w:name w:val="Body Text Indent 3"/>
    <w:basedOn w:val="876"/>
    <w:link w:val="1170"/>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927">
    <w:name w:val="index 7"/>
    <w:basedOn w:val="876"/>
    <w:next w:val="876"/>
    <w:uiPriority w:val="0"/>
    <w:qFormat/>
    <w:pPr>
      <w:ind w:left="2520" w:firstLine="562"/>
      <w:jc w:val="both"/>
      <w:spacing w:line="360" w:lineRule="auto"/>
    </w:pPr>
    <w:rPr>
      <w:rFonts w:ascii="Times New Roman" w:hAnsi="Times New Roman" w:cs="Times New Roman"/>
      <w:sz w:val="24"/>
      <w:szCs w:val="24"/>
      <w:lang w:val="en-US" w:bidi="ar-SA"/>
    </w:rPr>
  </w:style>
  <w:style w:type="paragraph" w:styleId="928">
    <w:name w:val="index 9"/>
    <w:basedOn w:val="876"/>
    <w:next w:val="876"/>
    <w:uiPriority w:val="0"/>
    <w:qFormat/>
    <w:pPr>
      <w:ind w:left="3360" w:firstLine="562"/>
      <w:jc w:val="both"/>
      <w:spacing w:line="360" w:lineRule="auto"/>
    </w:pPr>
    <w:rPr>
      <w:rFonts w:ascii="Times New Roman" w:hAnsi="Times New Roman" w:cs="Times New Roman"/>
      <w:sz w:val="24"/>
      <w:szCs w:val="24"/>
      <w:lang w:val="en-US" w:bidi="ar-SA"/>
    </w:rPr>
  </w:style>
  <w:style w:type="paragraph" w:styleId="929">
    <w:name w:val="table of figures"/>
    <w:basedOn w:val="876"/>
    <w:next w:val="876"/>
    <w:uiPriority w:val="0"/>
    <w:unhideWhenUsed/>
    <w:qFormat/>
  </w:style>
  <w:style w:type="paragraph" w:styleId="930">
    <w:name w:val="toc 2"/>
    <w:basedOn w:val="876"/>
    <w:next w:val="876"/>
    <w:uiPriority w:val="0"/>
    <w:unhideWhenUsed/>
    <w:qFormat/>
    <w:pPr>
      <w:ind w:left="283"/>
      <w:spacing w:after="57"/>
    </w:pPr>
  </w:style>
  <w:style w:type="paragraph" w:styleId="931">
    <w:name w:val="toc 9"/>
    <w:basedOn w:val="876"/>
    <w:next w:val="876"/>
    <w:uiPriority w:val="0"/>
    <w:unhideWhenUsed/>
    <w:qFormat/>
    <w:pPr>
      <w:ind w:left="2268"/>
      <w:spacing w:after="57"/>
    </w:pPr>
  </w:style>
  <w:style w:type="paragraph" w:styleId="932">
    <w:name w:val="Body Text 2"/>
    <w:basedOn w:val="876"/>
    <w:link w:val="1171"/>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933">
    <w:name w:val="HTML Preformatted"/>
    <w:basedOn w:val="876"/>
    <w:link w:val="1172"/>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934">
    <w:name w:val="Normal (Web)"/>
    <w:basedOn w:val="876"/>
    <w:uiPriority w:val="0"/>
    <w:qFormat/>
    <w:pPr>
      <w:spacing w:before="100" w:beforeAutospacing="1" w:after="100" w:afterAutospacing="1"/>
      <w:widowControl/>
    </w:pPr>
    <w:rPr>
      <w:sz w:val="24"/>
      <w:szCs w:val="24"/>
    </w:rPr>
  </w:style>
  <w:style w:type="paragraph" w:styleId="935">
    <w:name w:val="index 2"/>
    <w:basedOn w:val="876"/>
    <w:next w:val="876"/>
    <w:uiPriority w:val="0"/>
    <w:qFormat/>
    <w:pPr>
      <w:ind w:left="420" w:firstLine="562"/>
      <w:jc w:val="both"/>
      <w:spacing w:line="360" w:lineRule="auto"/>
    </w:pPr>
    <w:rPr>
      <w:rFonts w:ascii="Times New Roman" w:hAnsi="Times New Roman" w:cs="Times New Roman"/>
      <w:sz w:val="24"/>
      <w:szCs w:val="24"/>
      <w:lang w:val="en-US" w:bidi="ar-SA"/>
    </w:rPr>
  </w:style>
  <w:style w:type="paragraph" w:styleId="936">
    <w:name w:val="Title"/>
    <w:basedOn w:val="876"/>
    <w:next w:val="876"/>
    <w:link w:val="1007"/>
    <w:uiPriority w:val="0"/>
    <w:qFormat/>
    <w:pPr>
      <w:contextualSpacing/>
      <w:spacing w:before="300" w:after="200"/>
    </w:pPr>
    <w:rPr>
      <w:sz w:val="48"/>
      <w:szCs w:val="48"/>
    </w:rPr>
  </w:style>
  <w:style w:type="paragraph" w:styleId="937">
    <w:name w:val="annotation subject"/>
    <w:basedOn w:val="898"/>
    <w:next w:val="898"/>
    <w:link w:val="1141"/>
    <w:uiPriority w:val="0"/>
    <w:qFormat/>
    <w:rPr>
      <w:b/>
      <w:bCs/>
    </w:rPr>
  </w:style>
  <w:style w:type="paragraph" w:styleId="938">
    <w:name w:val="Body Text First Indent"/>
    <w:basedOn w:val="902"/>
    <w:link w:val="1164"/>
    <w:uiPriority w:val="0"/>
    <w:unhideWhenUsed/>
    <w:qFormat/>
    <w:pPr>
      <w:ind w:firstLine="420"/>
      <w:spacing w:after="120"/>
    </w:pPr>
    <w:rPr>
      <w:sz w:val="22"/>
      <w:szCs w:val="22"/>
    </w:rPr>
  </w:style>
  <w:style w:type="paragraph" w:styleId="939">
    <w:name w:val="Body Text First Indent 2"/>
    <w:basedOn w:val="903"/>
    <w:uiPriority w:val="0"/>
    <w:unhideWhenUsed/>
    <w:qFormat/>
    <w:pPr>
      <w:ind w:left="420" w:firstLine="420"/>
      <w:spacing w:after="120" w:line="360" w:lineRule="auto"/>
    </w:pPr>
    <w:rPr>
      <w:sz w:val="24"/>
    </w:rPr>
  </w:style>
  <w:style w:type="table" w:styleId="940">
    <w:name w:val="Table Grid"/>
    <w:basedOn w:val="8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basedOn w:val="886"/>
    <w:uiPriority w:val="0"/>
    <w:qFormat/>
    <w:rPr>
      <w:b/>
    </w:rPr>
  </w:style>
  <w:style w:type="character" w:styleId="942">
    <w:name w:val="endnote reference"/>
    <w:basedOn w:val="886"/>
    <w:uiPriority w:val="0"/>
    <w:unhideWhenUsed/>
    <w:qFormat/>
    <w:rPr>
      <w:vertAlign w:val="superscript"/>
    </w:rPr>
  </w:style>
  <w:style w:type="character" w:styleId="943">
    <w:name w:val="page number"/>
    <w:uiPriority w:val="0"/>
    <w:qFormat/>
    <w:rPr>
      <w:rFonts w:ascii="Times New Roman" w:hAnsi="Times New Roman" w:eastAsia="宋体" w:cs="Times New Roman"/>
    </w:rPr>
  </w:style>
  <w:style w:type="character" w:styleId="944">
    <w:name w:val="FollowedHyperlink"/>
    <w:uiPriority w:val="0"/>
    <w:qFormat/>
    <w:rPr>
      <w:rFonts w:ascii="Times New Roman" w:hAnsi="Times New Roman" w:eastAsia="宋体" w:cs="Times New Roman"/>
      <w:color w:val="0076be"/>
      <w:u w:val="none"/>
    </w:rPr>
  </w:style>
  <w:style w:type="character" w:styleId="945">
    <w:name w:val="Emphasis"/>
    <w:basedOn w:val="886"/>
    <w:uiPriority w:val="0"/>
    <w:qFormat/>
    <w:rPr>
      <w:i/>
    </w:rPr>
  </w:style>
  <w:style w:type="character" w:styleId="946">
    <w:name w:val="line number"/>
    <w:uiPriority w:val="0"/>
    <w:qFormat/>
    <w:rPr>
      <w:rFonts w:ascii="Times New Roman" w:hAnsi="Times New Roman" w:eastAsia="宋体" w:cs="Times New Roman"/>
    </w:rPr>
  </w:style>
  <w:style w:type="character" w:styleId="947">
    <w:name w:val="HTML Definition"/>
    <w:uiPriority w:val="0"/>
    <w:qFormat/>
    <w:rPr>
      <w:rFonts w:ascii="Times New Roman" w:hAnsi="Times New Roman" w:eastAsia="宋体" w:cs="Times New Roman"/>
    </w:rPr>
  </w:style>
  <w:style w:type="character" w:styleId="948">
    <w:name w:val="HTML Typewriter"/>
    <w:uiPriority w:val="0"/>
    <w:qFormat/>
    <w:rPr>
      <w:rFonts w:ascii="宋体" w:hAnsi="宋体" w:eastAsia="宋体" w:cs="宋体"/>
      <w:sz w:val="24"/>
      <w:szCs w:val="24"/>
    </w:rPr>
  </w:style>
  <w:style w:type="character" w:styleId="949">
    <w:name w:val="HTML Acronym"/>
    <w:uiPriority w:val="0"/>
    <w:qFormat/>
    <w:rPr>
      <w:rFonts w:ascii="Times New Roman" w:hAnsi="Times New Roman" w:eastAsia="宋体" w:cs="Times New Roman"/>
    </w:rPr>
  </w:style>
  <w:style w:type="character" w:styleId="950">
    <w:name w:val="HTML Variable"/>
    <w:uiPriority w:val="0"/>
    <w:qFormat/>
    <w:rPr>
      <w:rFonts w:ascii="Times New Roman" w:hAnsi="Times New Roman" w:eastAsia="宋体" w:cs="Times New Roman"/>
    </w:rPr>
  </w:style>
  <w:style w:type="character" w:styleId="951">
    <w:name w:val="Hyperlink"/>
    <w:basedOn w:val="886"/>
    <w:uiPriority w:val="0"/>
    <w:unhideWhenUsed/>
    <w:qFormat/>
    <w:rPr>
      <w:color w:val="0000ff" w:themeColor="hyperlink"/>
      <w:u w:val="single"/>
      <w14:textFill>
        <w14:solidFill>
          <w14:schemeClr w14:val="hlink"/>
        </w14:solidFill>
      </w14:textFill>
    </w:rPr>
  </w:style>
  <w:style w:type="character" w:styleId="952">
    <w:name w:val="HTML Code"/>
    <w:uiPriority w:val="0"/>
    <w:qFormat/>
    <w:rPr>
      <w:rFonts w:ascii="Courier New" w:hAnsi="Courier New" w:eastAsia="宋体" w:cs="Times New Roman"/>
      <w:sz w:val="20"/>
    </w:rPr>
  </w:style>
  <w:style w:type="character" w:styleId="953">
    <w:name w:val="annotation reference"/>
    <w:basedOn w:val="886"/>
    <w:uiPriority w:val="0"/>
    <w:qFormat/>
    <w:rPr>
      <w:sz w:val="21"/>
      <w:szCs w:val="21"/>
    </w:rPr>
  </w:style>
  <w:style w:type="character" w:styleId="954">
    <w:name w:val="HTML Cite"/>
    <w:uiPriority w:val="0"/>
    <w:qFormat/>
    <w:rPr>
      <w:rFonts w:ascii="Times New Roman" w:hAnsi="Times New Roman" w:eastAsia="宋体" w:cs="Times New Roman"/>
    </w:rPr>
  </w:style>
  <w:style w:type="character" w:styleId="955">
    <w:name w:val="footnote reference"/>
    <w:basedOn w:val="886"/>
    <w:uiPriority w:val="0"/>
    <w:unhideWhenUsed/>
    <w:qFormat/>
    <w:rPr>
      <w:vertAlign w:val="superscript"/>
    </w:rPr>
  </w:style>
  <w:style w:type="character" w:styleId="956">
    <w:name w:val="HTML Sample"/>
    <w:uiPriority w:val="0"/>
    <w:qFormat/>
    <w:rPr>
      <w:rFonts w:ascii="Courier New" w:hAnsi="宋体" w:eastAsia="宋体" w:cs="Courier New"/>
    </w:rPr>
  </w:style>
  <w:style w:type="table" w:styleId="957" w:customStyle="1">
    <w:name w:val="无格式表格 11"/>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网格表 3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basedOn w:val="8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网格表 6 彩色1"/>
    <w:basedOn w:val="8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网格表 7 彩色1"/>
    <w:basedOn w:val="8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清单表 1 浅色1"/>
    <w:basedOn w:val="8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清单表 21"/>
    <w:basedOn w:val="8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清单表 4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清单表 5 深色1"/>
    <w:basedOn w:val="8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8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清单表 7 彩色1"/>
    <w:basedOn w:val="8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6" w:customStyle="1">
    <w:name w:val="TOC 标题1"/>
    <w:uiPriority w:val="39"/>
    <w:unhideWhenUsed/>
    <w:qFormat/>
    <w:rPr>
      <w:rFonts w:ascii="Times New Roman" w:hAnsi="Times New Roman" w:eastAsia="宋体" w:cs="Times New Roman"/>
      <w:lang w:val="en-US" w:eastAsia="zh-CN" w:bidi="ar-SA"/>
    </w:rPr>
  </w:style>
  <w:style w:type="paragraph" w:styleId="977" w:customStyle="1">
    <w:name w:val="TOC 标题112"/>
    <w:uiPriority w:val="39"/>
    <w:unhideWhenUsed/>
    <w:qFormat/>
    <w:rPr>
      <w:rFonts w:ascii="Times New Roman" w:hAnsi="Times New Roman" w:eastAsia="宋体" w:cs="Times New Roman"/>
      <w:lang w:val="en-US" w:eastAsia="zh-CN" w:bidi="ar-SA"/>
    </w:rPr>
  </w:style>
  <w:style w:type="character" w:styleId="978" w:customStyle="1">
    <w:name w:val="Heading 1 Char"/>
    <w:basedOn w:val="886"/>
    <w:uiPriority w:val="9"/>
    <w:qFormat/>
    <w:rPr>
      <w:rFonts w:ascii="Arial" w:hAnsi="Arial" w:eastAsia="Arial" w:cs="Arial"/>
      <w:sz w:val="40"/>
      <w:szCs w:val="40"/>
    </w:rPr>
  </w:style>
  <w:style w:type="character" w:styleId="979" w:customStyle="1">
    <w:name w:val="Heading 2 Char"/>
    <w:basedOn w:val="886"/>
    <w:uiPriority w:val="9"/>
    <w:qFormat/>
    <w:rPr>
      <w:rFonts w:ascii="Arial" w:hAnsi="Arial" w:eastAsia="Arial" w:cs="Arial"/>
      <w:sz w:val="34"/>
    </w:rPr>
  </w:style>
  <w:style w:type="character" w:styleId="980" w:customStyle="1">
    <w:name w:val="Heading 3 Char"/>
    <w:basedOn w:val="886"/>
    <w:uiPriority w:val="9"/>
    <w:qFormat/>
    <w:rPr>
      <w:rFonts w:ascii="Arial" w:hAnsi="Arial" w:eastAsia="Arial" w:cs="Arial"/>
      <w:sz w:val="30"/>
      <w:szCs w:val="30"/>
    </w:rPr>
  </w:style>
  <w:style w:type="character" w:styleId="981" w:customStyle="1">
    <w:name w:val="Heading 4 Char"/>
    <w:basedOn w:val="886"/>
    <w:uiPriority w:val="9"/>
    <w:qFormat/>
    <w:rPr>
      <w:rFonts w:ascii="Arial" w:hAnsi="Arial" w:eastAsia="Arial" w:cs="Arial"/>
      <w:b/>
      <w:bCs/>
      <w:sz w:val="26"/>
      <w:szCs w:val="26"/>
    </w:rPr>
  </w:style>
  <w:style w:type="character" w:styleId="982" w:customStyle="1">
    <w:name w:val="Heading 5 Char"/>
    <w:basedOn w:val="886"/>
    <w:uiPriority w:val="9"/>
    <w:qFormat/>
    <w:rPr>
      <w:rFonts w:ascii="Arial" w:hAnsi="Arial" w:eastAsia="Arial" w:cs="Arial"/>
      <w:b/>
      <w:bCs/>
      <w:sz w:val="24"/>
      <w:szCs w:val="24"/>
    </w:rPr>
  </w:style>
  <w:style w:type="character" w:styleId="983" w:customStyle="1">
    <w:name w:val="Heading 6 Char"/>
    <w:basedOn w:val="886"/>
    <w:uiPriority w:val="9"/>
    <w:qFormat/>
    <w:rPr>
      <w:rFonts w:ascii="Arial" w:hAnsi="Arial" w:eastAsia="Arial" w:cs="Arial"/>
      <w:b/>
      <w:bCs/>
      <w:sz w:val="22"/>
      <w:szCs w:val="22"/>
    </w:rPr>
  </w:style>
  <w:style w:type="character" w:styleId="984" w:customStyle="1">
    <w:name w:val="Heading 7 Char"/>
    <w:basedOn w:val="886"/>
    <w:uiPriority w:val="9"/>
    <w:qFormat/>
    <w:rPr>
      <w:rFonts w:ascii="Arial" w:hAnsi="Arial" w:eastAsia="Arial" w:cs="Arial"/>
      <w:b/>
      <w:bCs/>
      <w:i/>
      <w:iCs/>
      <w:sz w:val="22"/>
      <w:szCs w:val="22"/>
    </w:rPr>
  </w:style>
  <w:style w:type="character" w:styleId="985" w:customStyle="1">
    <w:name w:val="Heading 8 Char"/>
    <w:basedOn w:val="886"/>
    <w:uiPriority w:val="9"/>
    <w:qFormat/>
    <w:rPr>
      <w:rFonts w:ascii="Arial" w:hAnsi="Arial" w:eastAsia="Arial" w:cs="Arial"/>
      <w:i/>
      <w:iCs/>
      <w:sz w:val="22"/>
      <w:szCs w:val="22"/>
    </w:rPr>
  </w:style>
  <w:style w:type="character" w:styleId="986" w:customStyle="1">
    <w:name w:val="Heading 9 Char"/>
    <w:basedOn w:val="886"/>
    <w:uiPriority w:val="9"/>
    <w:qFormat/>
    <w:rPr>
      <w:rFonts w:ascii="Arial" w:hAnsi="Arial" w:eastAsia="Arial" w:cs="Arial"/>
      <w:i/>
      <w:iCs/>
      <w:sz w:val="21"/>
      <w:szCs w:val="21"/>
    </w:rPr>
  </w:style>
  <w:style w:type="character" w:styleId="987" w:customStyle="1">
    <w:name w:val="Title Char"/>
    <w:basedOn w:val="886"/>
    <w:uiPriority w:val="10"/>
    <w:qFormat/>
    <w:rPr>
      <w:sz w:val="48"/>
      <w:szCs w:val="48"/>
    </w:rPr>
  </w:style>
  <w:style w:type="character" w:styleId="988" w:customStyle="1">
    <w:name w:val="Subtitle Char"/>
    <w:basedOn w:val="886"/>
    <w:uiPriority w:val="11"/>
    <w:qFormat/>
    <w:rPr>
      <w:sz w:val="24"/>
      <w:szCs w:val="24"/>
    </w:rPr>
  </w:style>
  <w:style w:type="character" w:styleId="989" w:customStyle="1">
    <w:name w:val="Quote Char"/>
    <w:uiPriority w:val="29"/>
    <w:qFormat/>
    <w:rPr>
      <w:i/>
    </w:rPr>
  </w:style>
  <w:style w:type="character" w:styleId="990" w:customStyle="1">
    <w:name w:val="Intense Quote Char"/>
    <w:uiPriority w:val="30"/>
    <w:qFormat/>
    <w:rPr>
      <w:i/>
    </w:rPr>
  </w:style>
  <w:style w:type="character" w:styleId="991" w:customStyle="1">
    <w:name w:val="Header Char"/>
    <w:basedOn w:val="886"/>
    <w:uiPriority w:val="99"/>
    <w:qFormat/>
  </w:style>
  <w:style w:type="character" w:styleId="992" w:customStyle="1">
    <w:name w:val="Caption Char"/>
    <w:uiPriority w:val="99"/>
    <w:qFormat/>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标题111"/>
    <w:uiPriority w:val="39"/>
    <w:unhideWhenUsed/>
    <w:qFormat/>
    <w:rPr>
      <w:rFonts w:ascii="Times New Roman" w:hAnsi="Times New Roman" w:eastAsia="宋体" w:cs="Times New Roman"/>
      <w:lang w:val="en-US" w:eastAsia="zh-CN" w:bidi="ar-SA"/>
    </w:rPr>
  </w:style>
  <w:style w:type="paragraph" w:styleId="996">
    <w:name w:val="List Paragraph"/>
    <w:basedOn w:val="876"/>
    <w:uiPriority w:val="0"/>
    <w:qFormat/>
    <w:pPr>
      <w:ind w:left="218" w:firstLine="420"/>
    </w:pPr>
  </w:style>
  <w:style w:type="character" w:styleId="997" w:customStyle="1">
    <w:name w:val="标题 1 字符"/>
    <w:basedOn w:val="886"/>
    <w:link w:val="877"/>
    <w:uiPriority w:val="0"/>
    <w:qFormat/>
    <w:rPr>
      <w:rFonts w:ascii="Arial" w:hAnsi="Arial" w:eastAsia="Arial" w:cs="Arial"/>
      <w:sz w:val="40"/>
      <w:szCs w:val="40"/>
    </w:rPr>
  </w:style>
  <w:style w:type="character" w:styleId="998" w:customStyle="1">
    <w:name w:val="标题 2 字符"/>
    <w:basedOn w:val="886"/>
    <w:link w:val="878"/>
    <w:uiPriority w:val="0"/>
    <w:qFormat/>
    <w:rPr>
      <w:rFonts w:ascii="Arial" w:hAnsi="Arial" w:eastAsia="Arial" w:cs="Arial"/>
      <w:sz w:val="34"/>
    </w:rPr>
  </w:style>
  <w:style w:type="character" w:styleId="999" w:customStyle="1">
    <w:name w:val="标题 3 字符"/>
    <w:basedOn w:val="886"/>
    <w:link w:val="879"/>
    <w:uiPriority w:val="0"/>
    <w:qFormat/>
    <w:rPr>
      <w:rFonts w:ascii="Arial" w:hAnsi="Arial" w:eastAsia="Arial" w:cs="Arial"/>
      <w:sz w:val="30"/>
      <w:szCs w:val="30"/>
    </w:rPr>
  </w:style>
  <w:style w:type="character" w:styleId="1000" w:customStyle="1">
    <w:name w:val="标题 4 字符"/>
    <w:basedOn w:val="886"/>
    <w:link w:val="880"/>
    <w:uiPriority w:val="0"/>
    <w:qFormat/>
    <w:rPr>
      <w:rFonts w:ascii="Arial" w:hAnsi="Arial" w:eastAsia="Arial" w:cs="Arial"/>
      <w:b/>
      <w:bCs/>
      <w:sz w:val="26"/>
      <w:szCs w:val="26"/>
    </w:rPr>
  </w:style>
  <w:style w:type="character" w:styleId="1001" w:customStyle="1">
    <w:name w:val="标题 5 字符"/>
    <w:basedOn w:val="886"/>
    <w:link w:val="881"/>
    <w:uiPriority w:val="0"/>
    <w:qFormat/>
    <w:rPr>
      <w:rFonts w:ascii="Arial" w:hAnsi="Arial" w:eastAsia="Arial" w:cs="Arial"/>
      <w:b/>
      <w:bCs/>
      <w:sz w:val="24"/>
      <w:szCs w:val="24"/>
    </w:rPr>
  </w:style>
  <w:style w:type="character" w:styleId="1002" w:customStyle="1">
    <w:name w:val="标题 6 字符"/>
    <w:basedOn w:val="886"/>
    <w:link w:val="882"/>
    <w:uiPriority w:val="0"/>
    <w:qFormat/>
    <w:rPr>
      <w:rFonts w:ascii="Arial" w:hAnsi="Arial" w:eastAsia="Arial" w:cs="Arial"/>
      <w:b/>
      <w:bCs/>
      <w:sz w:val="22"/>
      <w:szCs w:val="22"/>
    </w:rPr>
  </w:style>
  <w:style w:type="character" w:styleId="1003" w:customStyle="1">
    <w:name w:val="标题 7 字符"/>
    <w:basedOn w:val="886"/>
    <w:link w:val="883"/>
    <w:uiPriority w:val="0"/>
    <w:qFormat/>
    <w:rPr>
      <w:rFonts w:ascii="Arial" w:hAnsi="Arial" w:eastAsia="Arial" w:cs="Arial"/>
      <w:b/>
      <w:bCs/>
      <w:i/>
      <w:iCs/>
      <w:sz w:val="22"/>
      <w:szCs w:val="22"/>
    </w:rPr>
  </w:style>
  <w:style w:type="character" w:styleId="1004" w:customStyle="1">
    <w:name w:val="标题 8 字符"/>
    <w:basedOn w:val="886"/>
    <w:link w:val="884"/>
    <w:uiPriority w:val="0"/>
    <w:qFormat/>
    <w:rPr>
      <w:rFonts w:ascii="Arial" w:hAnsi="Arial" w:eastAsia="Arial" w:cs="Arial"/>
      <w:i/>
      <w:iCs/>
      <w:sz w:val="22"/>
      <w:szCs w:val="22"/>
    </w:rPr>
  </w:style>
  <w:style w:type="character" w:styleId="1005" w:customStyle="1">
    <w:name w:val="标题 9 字符"/>
    <w:basedOn w:val="886"/>
    <w:link w:val="885"/>
    <w:uiPriority w:val="0"/>
    <w:qFormat/>
    <w:rPr>
      <w:rFonts w:ascii="Arial" w:hAnsi="Arial" w:eastAsia="Arial" w:cs="Arial"/>
      <w:i/>
      <w:iCs/>
      <w:sz w:val="21"/>
      <w:szCs w:val="21"/>
    </w:rPr>
  </w:style>
  <w:style w:type="paragraph" w:styleId="1006">
    <w:name w:val="No Spacing"/>
    <w:link w:val="1215"/>
    <w:uiPriority w:val="0"/>
    <w:qFormat/>
    <w:rPr>
      <w:rFonts w:ascii="Times New Roman" w:hAnsi="Times New Roman" w:eastAsia="宋体" w:cs="Times New Roman"/>
      <w:lang w:val="en-US" w:eastAsia="zh-CN" w:bidi="ar-SA"/>
    </w:rPr>
  </w:style>
  <w:style w:type="character" w:styleId="1007" w:customStyle="1">
    <w:name w:val="标题 字符"/>
    <w:basedOn w:val="886"/>
    <w:link w:val="936"/>
    <w:uiPriority w:val="0"/>
    <w:qFormat/>
    <w:rPr>
      <w:sz w:val="48"/>
      <w:szCs w:val="48"/>
    </w:rPr>
  </w:style>
  <w:style w:type="character" w:styleId="1008" w:customStyle="1">
    <w:name w:val="副标题 字符"/>
    <w:basedOn w:val="886"/>
    <w:link w:val="923"/>
    <w:uiPriority w:val="11"/>
    <w:qFormat/>
    <w:rPr>
      <w:sz w:val="24"/>
      <w:szCs w:val="24"/>
    </w:rPr>
  </w:style>
  <w:style w:type="paragraph" w:styleId="1009">
    <w:name w:val="Quote"/>
    <w:basedOn w:val="876"/>
    <w:next w:val="876"/>
    <w:link w:val="1010"/>
    <w:uiPriority w:val="0"/>
    <w:qFormat/>
    <w:pPr>
      <w:ind w:left="720" w:right="720"/>
    </w:pPr>
    <w:rPr>
      <w:i/>
    </w:rPr>
  </w:style>
  <w:style w:type="character" w:styleId="1010" w:customStyle="1">
    <w:name w:val="引用 字符"/>
    <w:link w:val="1009"/>
    <w:uiPriority w:val="0"/>
    <w:qFormat/>
    <w:rPr>
      <w:i/>
    </w:rPr>
  </w:style>
  <w:style w:type="paragraph" w:styleId="1011">
    <w:name w:val="Intense Quote"/>
    <w:basedOn w:val="876"/>
    <w:next w:val="876"/>
    <w:link w:val="101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明显引用 字符"/>
    <w:link w:val="1011"/>
    <w:uiPriority w:val="0"/>
    <w:qFormat/>
    <w:rPr>
      <w:i/>
    </w:rPr>
  </w:style>
  <w:style w:type="character" w:styleId="1013" w:customStyle="1">
    <w:name w:val="页眉 字符"/>
    <w:basedOn w:val="886"/>
    <w:link w:val="917"/>
    <w:uiPriority w:val="99"/>
    <w:qFormat/>
  </w:style>
  <w:style w:type="character" w:styleId="1014" w:customStyle="1">
    <w:name w:val="Footer Char"/>
    <w:basedOn w:val="886"/>
    <w:uiPriority w:val="99"/>
    <w:qFormat/>
  </w:style>
  <w:style w:type="character" w:styleId="1015" w:customStyle="1">
    <w:name w:val="页脚 字符"/>
    <w:link w:val="915"/>
    <w:uiPriority w:val="0"/>
    <w:qFormat/>
  </w:style>
  <w:style w:type="table" w:styleId="1016" w:customStyle="1">
    <w:name w:val="Table Grid Light"/>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7" w:customStyle="1">
    <w:name w:val="Grid Table 1 Light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2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4" w:customStyle="1">
    <w:name w:val="Grid Table 2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Grid Table 2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6" w:customStyle="1">
    <w:name w:val="Grid Table 2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2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Grid Table 2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Grid Table 3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4 - Accent 1"/>
    <w:basedOn w:val="8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6" w:customStyle="1">
    <w:name w:val="Grid Table 4 - Accent 2"/>
    <w:basedOn w:val="8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7" w:customStyle="1">
    <w:name w:val="Grid Table 4 - Accent 3"/>
    <w:basedOn w:val="8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8" w:customStyle="1">
    <w:name w:val="Grid Table 4 - Accent 4"/>
    <w:basedOn w:val="8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9" w:customStyle="1">
    <w:name w:val="Grid Table 4 - Accent 5"/>
    <w:basedOn w:val="8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0" w:customStyle="1">
    <w:name w:val="Grid Table 4 - Accent 6"/>
    <w:basedOn w:val="8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1" w:customStyle="1">
    <w:name w:val="Grid Table 5 Dark- Accent 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2" w:customStyle="1">
    <w:name w:val="Grid Table 5 Dark - Accent 2"/>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3" w:customStyle="1">
    <w:name w:val="Grid Table 5 Dark - Accent 3"/>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4" w:customStyle="1">
    <w:name w:val="Grid Table 5 Dark- Accent 4"/>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5"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6"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7" w:customStyle="1">
    <w:name w:val="Grid Table 6 Colorful - Accent 1"/>
    <w:basedOn w:val="8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8" w:customStyle="1">
    <w:name w:val="Grid Table 6 Colorful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9" w:customStyle="1">
    <w:name w:val="Grid Table 6 Colorful - Accent 3"/>
    <w:basedOn w:val="8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0" w:customStyle="1">
    <w:name w:val="Grid Table 6 Colorful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1" w:customStyle="1">
    <w:name w:val="Grid Table 6 Colorful - Accent 5"/>
    <w:basedOn w:val="8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6 Colorful - Accent 6"/>
    <w:basedOn w:val="8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Grid Table 7 Colorful - Accent 1"/>
    <w:basedOn w:val="8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basedOn w:val="8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basedOn w:val="8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basedOn w:val="8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basedOn w:val="8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basedOn w:val="8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List Table 1 Light - Accent 1"/>
    <w:basedOn w:val="8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1 Light - Accent 2"/>
    <w:basedOn w:val="8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1" w:customStyle="1">
    <w:name w:val="List Table 1 Light - Accent 3"/>
    <w:basedOn w:val="8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2" w:customStyle="1">
    <w:name w:val="List Table 1 Light - Accent 4"/>
    <w:basedOn w:val="8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3" w:customStyle="1">
    <w:name w:val="List Table 1 Light - Accent 5"/>
    <w:basedOn w:val="8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4" w:customStyle="1">
    <w:name w:val="List Table 1 Light - Accent 6"/>
    <w:basedOn w:val="8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5" w:customStyle="1">
    <w:name w:val="List Table 2 - Accent 1"/>
    <w:basedOn w:val="8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6" w:customStyle="1">
    <w:name w:val="List Table 2 - Accent 2"/>
    <w:basedOn w:val="8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7" w:customStyle="1">
    <w:name w:val="List Table 2 - Accent 3"/>
    <w:basedOn w:val="8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8" w:customStyle="1">
    <w:name w:val="List Table 2 - Accent 4"/>
    <w:basedOn w:val="8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9" w:customStyle="1">
    <w:name w:val="List Table 2 - Accent 5"/>
    <w:basedOn w:val="8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0" w:customStyle="1">
    <w:name w:val="List Table 2 - Accent 6"/>
    <w:basedOn w:val="8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1" w:customStyle="1">
    <w:name w:val="List Table 3 - Accent 1"/>
    <w:basedOn w:val="8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2" w:customStyle="1">
    <w:name w:val="List Table 3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3" w:customStyle="1">
    <w:name w:val="List Table 3 - Accent 3"/>
    <w:basedOn w:val="8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4" w:customStyle="1">
    <w:name w:val="List Table 3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5" w:customStyle="1">
    <w:name w:val="List Table 3 - Accent 5"/>
    <w:basedOn w:val="8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6" w:customStyle="1">
    <w:name w:val="List Table 3 - Accent 6"/>
    <w:basedOn w:val="8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7" w:customStyle="1">
    <w:name w:val="List Table 4 - Accent 1"/>
    <w:basedOn w:val="8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8" w:customStyle="1">
    <w:name w:val="List Table 4 - Accent 2"/>
    <w:basedOn w:val="8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9" w:customStyle="1">
    <w:name w:val="List Table 4 - Accent 3"/>
    <w:basedOn w:val="8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0" w:customStyle="1">
    <w:name w:val="List Table 4 - Accent 4"/>
    <w:basedOn w:val="8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1" w:customStyle="1">
    <w:name w:val="List Table 4 - Accent 5"/>
    <w:basedOn w:val="8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2" w:customStyle="1">
    <w:name w:val="List Table 4 - Accent 6"/>
    <w:basedOn w:val="8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3" w:customStyle="1">
    <w:name w:val="List Table 5 Dark - Accent 1"/>
    <w:basedOn w:val="8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basedOn w:val="8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basedOn w:val="8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basedOn w:val="8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basedOn w:val="8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basedOn w:val="8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 Accent 1"/>
    <w:basedOn w:val="8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0" w:customStyle="1">
    <w:name w:val="List Table 6 Colorful - Accent 2"/>
    <w:basedOn w:val="8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1" w:customStyle="1">
    <w:name w:val="List Table 6 Colorful - Accent 3"/>
    <w:basedOn w:val="8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2" w:customStyle="1">
    <w:name w:val="List Table 6 Colorful - Accent 4"/>
    <w:basedOn w:val="8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3" w:customStyle="1">
    <w:name w:val="List Table 6 Colorful - Accent 5"/>
    <w:basedOn w:val="8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4" w:customStyle="1">
    <w:name w:val="List Table 6 Colorful - Accent 6"/>
    <w:basedOn w:val="8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5" w:customStyle="1">
    <w:name w:val="List Table 7 Colorful - Accent 1"/>
    <w:basedOn w:val="8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6" w:customStyle="1">
    <w:name w:val="List Table 7 Colorful - Accent 2"/>
    <w:basedOn w:val="8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7" w:customStyle="1">
    <w:name w:val="List Table 7 Colorful - Accent 3"/>
    <w:basedOn w:val="8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8" w:customStyle="1">
    <w:name w:val="List Table 7 Colorful - Accent 4"/>
    <w:basedOn w:val="8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9" w:customStyle="1">
    <w:name w:val="List Table 7 Colorful - Accent 5"/>
    <w:basedOn w:val="8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0" w:customStyle="1">
    <w:name w:val="List Table 7 Colorful - Accent 6"/>
    <w:basedOn w:val="8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1"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3"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4"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5"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amp; Lined - Accent"/>
    <w:basedOn w:val="8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Bordered &amp; Lined - Accent 1"/>
    <w:basedOn w:val="8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Bordered &amp; Lined - Accent 2"/>
    <w:basedOn w:val="8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Bordered &amp; Lined - Accent 3"/>
    <w:basedOn w:val="8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Bordered &amp; Lined - Accent 4"/>
    <w:basedOn w:val="8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Bordered &amp; Lined - Accent 5"/>
    <w:basedOn w:val="8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Bordered &amp; Lined - Accent 6"/>
    <w:basedOn w:val="8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w:basedOn w:val="8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6" w:customStyle="1">
    <w:name w:val="Bordered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7" w:customStyle="1">
    <w:name w:val="Bordered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8" w:customStyle="1">
    <w:name w:val="Bordered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9" w:customStyle="1">
    <w:name w:val="Bordered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0" w:customStyle="1">
    <w:name w:val="Bordered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1" w:customStyle="1">
    <w:name w:val="Bordered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2" w:customStyle="1">
    <w:name w:val="脚注文本 字符"/>
    <w:link w:val="924"/>
    <w:uiPriority w:val="99"/>
    <w:qFormat/>
    <w:rPr>
      <w:sz w:val="18"/>
    </w:rPr>
  </w:style>
  <w:style w:type="character" w:styleId="1123" w:customStyle="1">
    <w:name w:val="尾注文本 字符"/>
    <w:link w:val="913"/>
    <w:uiPriority w:val="99"/>
    <w:qFormat/>
    <w:rPr>
      <w:sz w:val="20"/>
    </w:rPr>
  </w:style>
  <w:style w:type="paragraph" w:styleId="1124" w:customStyle="1">
    <w:name w:val="TOC 标题11"/>
    <w:uiPriority w:val="39"/>
    <w:unhideWhenUsed/>
    <w:qFormat/>
    <w:rPr>
      <w:rFonts w:ascii="Times New Roman" w:hAnsi="Times New Roman" w:eastAsia="宋体" w:cs="Times New Roman"/>
      <w:lang w:val="en-US" w:eastAsia="zh-CN" w:bidi="ar-SA"/>
    </w:rPr>
  </w:style>
  <w:style w:type="table" w:styleId="1125" w:customStyle="1">
    <w:name w:val="Table Normal"/>
    <w:uiPriority w:val="2"/>
    <w:semiHidden/>
    <w:unhideWhenUsed/>
    <w:qFormat/>
    <w:tblPr>
      <w:tblCellMar>
        <w:left w:w="0" w:type="dxa"/>
        <w:top w:w="0" w:type="dxa"/>
        <w:right w:w="0" w:type="dxa"/>
        <w:bottom w:w="0" w:type="dxa"/>
      </w:tblCellMar>
    </w:tblPr>
  </w:style>
  <w:style w:type="paragraph" w:styleId="1126" w:customStyle="1">
    <w:name w:val="Table Paragraph"/>
    <w:basedOn w:val="876"/>
    <w:uiPriority w:val="1"/>
    <w:qFormat/>
  </w:style>
  <w:style w:type="character" w:styleId="1127" w:customStyle="1">
    <w:name w:val="font31"/>
    <w:basedOn w:val="886"/>
    <w:uiPriority w:val="0"/>
    <w:qFormat/>
    <w:rPr>
      <w:rFonts w:hint="default" w:ascii="Times New Roman" w:hAnsi="Times New Roman" w:cs="Times New Roman"/>
      <w:color w:val="000000"/>
      <w:sz w:val="20"/>
      <w:szCs w:val="20"/>
      <w:u w:val="none"/>
    </w:rPr>
  </w:style>
  <w:style w:type="character" w:styleId="1128" w:customStyle="1">
    <w:name w:val="font41"/>
    <w:basedOn w:val="886"/>
    <w:uiPriority w:val="0"/>
    <w:qFormat/>
    <w:rPr>
      <w:rFonts w:hint="default" w:ascii="方正仿宋简体" w:hAnsi="方正仿宋简体" w:eastAsia="方正仿宋简体" w:cs="方正仿宋简体"/>
      <w:color w:val="000000"/>
      <w:sz w:val="20"/>
      <w:szCs w:val="20"/>
      <w:u w:val="none"/>
    </w:rPr>
  </w:style>
  <w:style w:type="character" w:styleId="1129" w:customStyle="1">
    <w:name w:val="font11"/>
    <w:basedOn w:val="886"/>
    <w:uiPriority w:val="0"/>
    <w:qFormat/>
    <w:rPr>
      <w:rFonts w:hint="eastAsia" w:ascii="宋体" w:hAnsi="宋体" w:eastAsia="宋体" w:cs="宋体"/>
      <w:color w:val="000000"/>
      <w:sz w:val="20"/>
      <w:szCs w:val="20"/>
      <w:u w:val="none"/>
    </w:rPr>
  </w:style>
  <w:style w:type="character" w:styleId="1130" w:customStyle="1">
    <w:name w:val="批注框文本 字符"/>
    <w:basedOn w:val="886"/>
    <w:link w:val="914"/>
    <w:uiPriority w:val="0"/>
    <w:qFormat/>
    <w:rPr>
      <w:rFonts w:ascii="宋体" w:hAnsi="宋体" w:cs="宋体"/>
      <w:sz w:val="18"/>
      <w:szCs w:val="18"/>
      <w:lang w:val="zh-CN" w:bidi="zh-CN"/>
    </w:rPr>
  </w:style>
  <w:style w:type="paragraph" w:styleId="1131" w:customStyle="1">
    <w:name w:val="列出段落1"/>
    <w:basedOn w:val="876"/>
    <w:link w:val="1331"/>
    <w:uiPriority w:val="0"/>
    <w:qFormat/>
    <w:pPr>
      <w:ind w:firstLine="420"/>
    </w:pPr>
  </w:style>
  <w:style w:type="paragraph" w:styleId="1132" w:customStyle="1">
    <w:name w:val="标题 21"/>
    <w:basedOn w:val="876"/>
    <w:uiPriority w:val="1"/>
    <w:qFormat/>
    <w:pPr>
      <w:outlineLvl w:val="2"/>
    </w:pPr>
    <w:rPr>
      <w:rFonts w:ascii="黑体" w:hAnsi="黑体" w:eastAsia="黑体" w:cs="黑体"/>
      <w:sz w:val="36"/>
      <w:szCs w:val="36"/>
    </w:rPr>
  </w:style>
  <w:style w:type="paragraph" w:styleId="1133" w:customStyle="1">
    <w:name w:val="标题 51"/>
    <w:basedOn w:val="876"/>
    <w:uiPriority w:val="1"/>
    <w:qFormat/>
    <w:pPr>
      <w:ind w:left="638"/>
      <w:outlineLvl w:val="5"/>
    </w:pPr>
    <w:rPr>
      <w:b/>
      <w:bCs/>
      <w:sz w:val="21"/>
      <w:szCs w:val="21"/>
    </w:rPr>
  </w:style>
  <w:style w:type="paragraph" w:styleId="1134" w:customStyle="1">
    <w:name w:val="Body text|1"/>
    <w:basedOn w:val="876"/>
    <w:uiPriority w:val="0"/>
    <w:qFormat/>
    <w:pPr>
      <w:ind w:firstLine="400"/>
      <w:spacing w:after="180" w:line="410" w:lineRule="auto"/>
    </w:pPr>
    <w:rPr>
      <w:color w:val="1b1626"/>
      <w:sz w:val="30"/>
      <w:szCs w:val="30"/>
      <w:lang w:val="zh-TW" w:eastAsia="zh-TW" w:bidi="zh-TW"/>
    </w:rPr>
  </w:style>
  <w:style w:type="paragraph" w:styleId="1135" w:customStyle="1">
    <w:name w:val="Heading #2|1"/>
    <w:basedOn w:val="876"/>
    <w:uiPriority w:val="0"/>
    <w:qFormat/>
    <w:pPr>
      <w:ind w:firstLine="700"/>
      <w:spacing w:after="180" w:line="584" w:lineRule="exact"/>
      <w:outlineLvl w:val="1"/>
    </w:pPr>
    <w:rPr>
      <w:b/>
      <w:bCs/>
      <w:color w:val="1b1626"/>
      <w:sz w:val="30"/>
      <w:szCs w:val="30"/>
      <w:lang w:val="zh-TW" w:eastAsia="zh-TW" w:bidi="zh-TW"/>
    </w:rPr>
  </w:style>
  <w:style w:type="paragraph" w:styleId="1136" w:customStyle="1">
    <w:name w:val="表内文字居左"/>
    <w:basedOn w:val="876"/>
    <w:uiPriority w:val="0"/>
    <w:qFormat/>
    <w:rPr>
      <w:sz w:val="24"/>
      <w:szCs w:val="24"/>
    </w:rPr>
  </w:style>
  <w:style w:type="paragraph" w:styleId="1137" w:customStyle="1">
    <w:name w:val="正文-首缩2"/>
    <w:basedOn w:val="876"/>
    <w:uiPriority w:val="0"/>
    <w:qFormat/>
    <w:pPr>
      <w:ind w:firstLine="200"/>
      <w:spacing w:line="360" w:lineRule="auto"/>
    </w:pPr>
    <w:rPr>
      <w:rFonts w:ascii="Times New Roman" w:hAnsi="Times New Roman" w:cs="Times New Roman"/>
      <w:sz w:val="28"/>
      <w:szCs w:val="28"/>
    </w:rPr>
  </w:style>
  <w:style w:type="paragraph" w:styleId="1138" w:customStyle="1">
    <w:name w:val="正文首行缩进 211"/>
    <w:basedOn w:val="903"/>
    <w:uiPriority w:val="0"/>
    <w:qFormat/>
    <w:pPr>
      <w:ind w:firstLine="420"/>
      <w:spacing w:before="100" w:beforeAutospacing="1" w:line="360" w:lineRule="auto"/>
    </w:pPr>
    <w:rPr>
      <w:rFonts w:hAnsi="宋体"/>
      <w:sz w:val="20"/>
    </w:rPr>
  </w:style>
  <w:style w:type="paragraph" w:styleId="1139" w:customStyle="1">
    <w:name w:val="正文首行缩进 21"/>
    <w:basedOn w:val="903"/>
    <w:uiPriority w:val="0"/>
    <w:qFormat/>
    <w:pPr>
      <w:ind w:firstLine="420"/>
      <w:spacing w:before="100" w:beforeAutospacing="1" w:line="360" w:lineRule="auto"/>
    </w:pPr>
    <w:rPr>
      <w:rFonts w:hAnsi="宋体"/>
      <w:sz w:val="20"/>
    </w:rPr>
  </w:style>
  <w:style w:type="character" w:styleId="1140" w:customStyle="1">
    <w:name w:val="批注文字 字符"/>
    <w:basedOn w:val="886"/>
    <w:link w:val="898"/>
    <w:uiPriority w:val="0"/>
    <w:qFormat/>
    <w:rPr>
      <w:rFonts w:ascii="宋体" w:hAnsi="宋体" w:cs="宋体"/>
      <w:sz w:val="22"/>
      <w:szCs w:val="22"/>
      <w:lang w:val="zh-CN" w:bidi="zh-CN"/>
    </w:rPr>
  </w:style>
  <w:style w:type="character" w:styleId="1141" w:customStyle="1">
    <w:name w:val="批注主题 字符"/>
    <w:basedOn w:val="1140"/>
    <w:link w:val="937"/>
    <w:uiPriority w:val="0"/>
    <w:qFormat/>
    <w:rPr>
      <w:rFonts w:ascii="宋体" w:hAnsi="宋体" w:cs="宋体"/>
      <w:b/>
      <w:bCs/>
      <w:sz w:val="22"/>
      <w:szCs w:val="22"/>
      <w:lang w:val="zh-CN" w:bidi="zh-CN"/>
    </w:rPr>
  </w:style>
  <w:style w:type="paragraph" w:styleId="1142" w:customStyle="1">
    <w:name w:val="WPSOffice手动目录 1"/>
    <w:uiPriority w:val="0"/>
    <w:qFormat/>
    <w:rPr>
      <w:rFonts w:ascii="Times New Roman" w:hAnsi="Times New Roman" w:eastAsia="宋体" w:cs="Times New Roman"/>
      <w:lang w:val="en-US" w:eastAsia="zh-CN" w:bidi="ar-SA"/>
    </w:rPr>
  </w:style>
  <w:style w:type="paragraph" w:styleId="1143" w:customStyle="1">
    <w:name w:val="二级目录"/>
    <w:next w:val="876"/>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44" w:customStyle="1">
    <w:name w:val="纯文本 字符"/>
    <w:basedOn w:val="886"/>
    <w:link w:val="908"/>
    <w:uiPriority w:val="0"/>
    <w:qFormat/>
    <w:rPr>
      <w:rFonts w:ascii="宋体" w:hAnsi="Courier New" w:cs="宋体"/>
      <w:sz w:val="22"/>
      <w:szCs w:val="22"/>
      <w:lang w:val="zh-CN" w:bidi="zh-CN"/>
    </w:rPr>
  </w:style>
  <w:style w:type="character" w:styleId="1145" w:customStyle="1">
    <w:name w:val="font01"/>
    <w:basedOn w:val="886"/>
    <w:uiPriority w:val="0"/>
    <w:qFormat/>
    <w:rPr>
      <w:rFonts w:hint="eastAsia" w:ascii="宋体" w:hAnsi="宋体" w:eastAsia="宋体" w:cs="宋体"/>
      <w:color w:val="000000"/>
      <w:sz w:val="22"/>
      <w:szCs w:val="22"/>
      <w:u w:val="none"/>
    </w:rPr>
  </w:style>
  <w:style w:type="paragraph" w:styleId="1146" w:customStyle="1">
    <w:name w:val="彩色列表1"/>
    <w:basedOn w:val="876"/>
    <w:uiPriority w:val="0"/>
    <w:qFormat/>
    <w:pPr>
      <w:ind w:firstLine="420"/>
    </w:pPr>
    <w:rPr>
      <w:rFonts w:ascii="Times New Roman" w:hAnsi="Times New Roman" w:cs="Times New Roman"/>
      <w:szCs w:val="21"/>
    </w:rPr>
  </w:style>
  <w:style w:type="character" w:styleId="1147" w:customStyle="1">
    <w:name w:val="15"/>
    <w:basedOn w:val="886"/>
    <w:uiPriority w:val="0"/>
    <w:qFormat/>
    <w:rPr>
      <w:rFonts w:hint="default" w:ascii="Times New Roman" w:hAnsi="Times New Roman" w:cs="Times New Roman"/>
    </w:rPr>
  </w:style>
  <w:style w:type="paragraph" w:styleId="1148" w:customStyle="1">
    <w:name w:val="Table Text"/>
    <w:basedOn w:val="876"/>
    <w:uiPriority w:val="0"/>
    <w:semiHidden/>
    <w:qFormat/>
    <w:rPr>
      <w:rFonts w:ascii="Arial" w:hAnsi="Arial" w:eastAsia="Arial" w:cs="Arial"/>
      <w:sz w:val="21"/>
      <w:szCs w:val="21"/>
      <w:lang w:val="en-US" w:eastAsia="en-US" w:bidi="ar-SA"/>
    </w:rPr>
  </w:style>
  <w:style w:type="character" w:styleId="1149" w:customStyle="1">
    <w:name w:val="font61"/>
    <w:basedOn w:val="886"/>
    <w:uiPriority w:val="0"/>
    <w:qFormat/>
    <w:rPr>
      <w:rFonts w:hint="default" w:ascii="Times New Roman" w:hAnsi="Times New Roman" w:cs="Times New Roman"/>
      <w:color w:val="000000"/>
      <w:sz w:val="20"/>
      <w:szCs w:val="20"/>
      <w:u w:val="none"/>
    </w:rPr>
  </w:style>
  <w:style w:type="character" w:styleId="1150" w:customStyle="1">
    <w:name w:val="font51"/>
    <w:basedOn w:val="886"/>
    <w:uiPriority w:val="0"/>
    <w:qFormat/>
    <w:rPr>
      <w:rFonts w:hint="eastAsia" w:ascii="微软雅黑" w:hAnsi="微软雅黑" w:eastAsia="微软雅黑" w:cs="微软雅黑"/>
      <w:color w:val="000000"/>
      <w:sz w:val="20"/>
      <w:szCs w:val="20"/>
      <w:u w:val="none"/>
    </w:rPr>
  </w:style>
  <w:style w:type="paragraph" w:styleId="1151" w:customStyle="1">
    <w:name w:val="列表段落1"/>
    <w:basedOn w:val="876"/>
    <w:uiPriority w:val="99"/>
    <w:qFormat/>
    <w:pPr>
      <w:contextualSpacing/>
      <w:ind w:left="720"/>
      <w:widowControl/>
    </w:pPr>
    <w:rPr>
      <w:rFonts w:ascii="Arial" w:hAnsi="Arial" w:eastAsia="黑体" w:cs="Times New Roman"/>
      <w:sz w:val="24"/>
      <w:szCs w:val="24"/>
      <w:lang w:val="en-US" w:eastAsia="en-US" w:bidi="ar-SA"/>
    </w:rPr>
  </w:style>
  <w:style w:type="paragraph" w:styleId="1152" w:customStyle="1">
    <w:name w:val="正文首行缩进1"/>
    <w:basedOn w:val="876"/>
    <w:uiPriority w:val="0"/>
    <w:qFormat/>
    <w:pPr>
      <w:ind w:firstLine="420"/>
      <w:spacing w:after="120" w:line="360" w:lineRule="auto"/>
    </w:pPr>
    <w:rPr>
      <w:szCs w:val="21"/>
    </w:rPr>
  </w:style>
  <w:style w:type="paragraph" w:styleId="1153" w:customStyle="1">
    <w:name w:val="修订1"/>
    <w:hidden/>
    <w:uiPriority w:val="99"/>
    <w:semiHidden/>
    <w:qFormat/>
    <w:rPr>
      <w:rFonts w:ascii="宋体" w:hAnsi="宋体" w:eastAsia="宋体" w:cs="宋体"/>
      <w:sz w:val="22"/>
      <w:szCs w:val="22"/>
      <w:lang w:val="zh-CN" w:eastAsia="zh-CN" w:bidi="zh-CN"/>
    </w:rPr>
  </w:style>
  <w:style w:type="paragraph" w:styleId="1154" w:customStyle="1">
    <w:name w:val="正文缩进1"/>
    <w:basedOn w:val="876"/>
    <w:uiPriority w:val="99"/>
    <w:qFormat/>
    <w:pPr>
      <w:ind w:firstLine="420"/>
    </w:pPr>
    <w:rPr>
      <w:szCs w:val="20"/>
    </w:rPr>
  </w:style>
  <w:style w:type="paragraph" w:styleId="1155" w:customStyle="1">
    <w:name w:val="LC主要特点"/>
    <w:basedOn w:val="876"/>
    <w:uiPriority w:val="0"/>
    <w:qFormat/>
    <w:pPr>
      <w:spacing w:before="20" w:after="20" w:line="288" w:lineRule="auto"/>
    </w:pPr>
    <w:rPr>
      <w:rFonts w:ascii="Arial" w:hAnsi="Arial" w:eastAsia="微软雅黑"/>
      <w:b/>
    </w:rPr>
  </w:style>
  <w:style w:type="paragraph" w:styleId="1156" w:customStyle="1">
    <w:name w:val="LC 文字内容 带符号编码"/>
    <w:next w:val="876"/>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57"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58" w:customStyle="1">
    <w:name w:val="正文文本1"/>
    <w:basedOn w:val="876"/>
    <w:next w:val="876"/>
    <w:uiPriority w:val="99"/>
    <w:qFormat/>
    <w:pPr>
      <w:spacing w:after="120"/>
    </w:pPr>
    <w:rPr>
      <w:sz w:val="24"/>
    </w:rPr>
  </w:style>
  <w:style w:type="paragraph" w:styleId="1159" w:customStyle="1">
    <w:name w:val="标题 11"/>
    <w:basedOn w:val="876"/>
    <w:next w:val="876"/>
    <w:uiPriority w:val="99"/>
    <w:qFormat/>
    <w:pPr>
      <w:keepLines/>
      <w:keepNext/>
      <w:spacing w:before="340" w:after="330" w:line="576" w:lineRule="auto"/>
      <w:outlineLvl w:val="0"/>
    </w:pPr>
    <w:rPr>
      <w:b/>
      <w:bCs/>
      <w:sz w:val="44"/>
      <w:szCs w:val="44"/>
    </w:rPr>
  </w:style>
  <w:style w:type="character" w:styleId="1160" w:customStyle="1">
    <w:name w:val="要点1"/>
    <w:basedOn w:val="1161"/>
    <w:uiPriority w:val="99"/>
    <w:qFormat/>
    <w:rPr>
      <w:rFonts w:cs="Times New Roman"/>
      <w:b/>
    </w:rPr>
  </w:style>
  <w:style w:type="character" w:styleId="1161" w:customStyle="1">
    <w:name w:val="默认段落字体1"/>
    <w:uiPriority w:val="1"/>
    <w:unhideWhenUsed/>
    <w:qFormat/>
  </w:style>
  <w:style w:type="paragraph" w:styleId="1162" w:customStyle="1">
    <w:name w:val="普通(网站)1"/>
    <w:basedOn w:val="876"/>
    <w:uiPriority w:val="0"/>
    <w:qFormat/>
    <w:pPr>
      <w:spacing w:before="100" w:beforeAutospacing="1" w:after="100" w:afterAutospacing="1"/>
      <w:widowControl/>
    </w:pPr>
    <w:rPr>
      <w:sz w:val="24"/>
    </w:rPr>
  </w:style>
  <w:style w:type="character" w:styleId="1163" w:customStyle="1">
    <w:name w:val="正文文本 字符"/>
    <w:basedOn w:val="886"/>
    <w:link w:val="902"/>
    <w:uiPriority w:val="0"/>
    <w:qFormat/>
    <w:rPr>
      <w:rFonts w:ascii="宋体" w:hAnsi="宋体" w:cs="宋体"/>
      <w:sz w:val="21"/>
      <w:szCs w:val="21"/>
      <w:lang w:val="zh-CN" w:bidi="zh-CN"/>
    </w:rPr>
  </w:style>
  <w:style w:type="character" w:styleId="1164" w:customStyle="1">
    <w:name w:val="正文首行缩进 字符"/>
    <w:basedOn w:val="1163"/>
    <w:link w:val="938"/>
    <w:uiPriority w:val="0"/>
    <w:qFormat/>
    <w:rPr>
      <w:rFonts w:ascii="宋体" w:hAnsi="宋体" w:cs="宋体"/>
      <w:sz w:val="22"/>
      <w:szCs w:val="22"/>
      <w:lang w:val="zh-CN" w:bidi="zh-CN"/>
    </w:rPr>
  </w:style>
  <w:style w:type="character" w:styleId="1165" w:customStyle="1">
    <w:name w:val="文档结构图 字符"/>
    <w:basedOn w:val="886"/>
    <w:link w:val="896"/>
    <w:uiPriority w:val="0"/>
    <w:qFormat/>
    <w:rPr>
      <w:rFonts w:ascii="宋体" w:hAnsi="宋体" w:cs="宋体"/>
      <w:sz w:val="24"/>
      <w:szCs w:val="24"/>
      <w:shd w:val="clear" w:color="auto" w:fill="000080"/>
    </w:rPr>
  </w:style>
  <w:style w:type="character" w:styleId="1166" w:customStyle="1">
    <w:name w:val="称呼 字符"/>
    <w:basedOn w:val="886"/>
    <w:link w:val="900"/>
    <w:uiPriority w:val="0"/>
    <w:qFormat/>
    <w:rPr>
      <w:rFonts w:ascii="仿宋_GB2312" w:eastAsia="仿宋_GB2312"/>
      <w:sz w:val="28"/>
      <w:szCs w:val="24"/>
    </w:rPr>
  </w:style>
  <w:style w:type="character" w:styleId="1167" w:customStyle="1">
    <w:name w:val="正文文本 3 字符"/>
    <w:basedOn w:val="886"/>
    <w:link w:val="901"/>
    <w:uiPriority w:val="0"/>
    <w:qFormat/>
    <w:rPr>
      <w:rFonts w:ascii="仿宋_GB2312" w:hAnsi="Arial" w:eastAsia="仿宋_GB2312"/>
      <w:sz w:val="32"/>
      <w:szCs w:val="24"/>
    </w:rPr>
  </w:style>
  <w:style w:type="character" w:styleId="1168" w:customStyle="1">
    <w:name w:val="正文文本缩进 2 字符"/>
    <w:basedOn w:val="886"/>
    <w:link w:val="912"/>
    <w:uiPriority w:val="0"/>
    <w:qFormat/>
    <w:rPr>
      <w:rFonts w:ascii="Arial" w:hAnsi="Arial" w:eastAsia="仿宋_GB2312" w:cs="宋体"/>
      <w:sz w:val="32"/>
      <w:szCs w:val="24"/>
    </w:rPr>
  </w:style>
  <w:style w:type="character" w:styleId="1169" w:customStyle="1">
    <w:name w:val="签名 字符"/>
    <w:basedOn w:val="886"/>
    <w:link w:val="918"/>
    <w:uiPriority w:val="0"/>
    <w:qFormat/>
    <w:rPr>
      <w:rFonts w:eastAsia="仿宋_GB2312"/>
      <w:sz w:val="24"/>
      <w:szCs w:val="24"/>
    </w:rPr>
  </w:style>
  <w:style w:type="character" w:styleId="1170" w:customStyle="1">
    <w:name w:val="正文文本缩进 3 字符"/>
    <w:basedOn w:val="886"/>
    <w:link w:val="926"/>
    <w:uiPriority w:val="0"/>
    <w:qFormat/>
    <w:rPr>
      <w:rFonts w:ascii="Arial" w:hAnsi="Arial" w:eastAsia="仿宋_GB2312" w:cs="宋体"/>
      <w:color w:val="ffff00"/>
      <w:sz w:val="32"/>
      <w:szCs w:val="24"/>
    </w:rPr>
  </w:style>
  <w:style w:type="character" w:styleId="1171" w:customStyle="1">
    <w:name w:val="正文文本 2 字符"/>
    <w:basedOn w:val="886"/>
    <w:link w:val="932"/>
    <w:uiPriority w:val="0"/>
    <w:qFormat/>
    <w:rPr>
      <w:rFonts w:ascii="楷体_GB2312" w:eastAsia="楷体_GB2312"/>
      <w:sz w:val="28"/>
      <w:szCs w:val="24"/>
    </w:rPr>
  </w:style>
  <w:style w:type="character" w:styleId="1172" w:customStyle="1">
    <w:name w:val="HTML 预设格式 字符"/>
    <w:basedOn w:val="886"/>
    <w:link w:val="933"/>
    <w:uiPriority w:val="0"/>
    <w:qFormat/>
    <w:rPr>
      <w:rFonts w:ascii="黑体" w:hAnsi="Courier New" w:eastAsia="黑体" w:cs="Courier New"/>
      <w:szCs w:val="24"/>
    </w:rPr>
  </w:style>
  <w:style w:type="character" w:styleId="1173"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74" w:customStyle="1">
    <w:name w:val="flName"/>
    <w:basedOn w:val="1175"/>
    <w:uiPriority w:val="0"/>
    <w:qFormat/>
    <w:pPr>
      <w:spacing w:before="0" w:line="113" w:lineRule="atLeast"/>
    </w:pPr>
    <w:rPr>
      <w:rFonts w:eastAsia="宋体"/>
    </w:rPr>
  </w:style>
  <w:style w:type="paragraph" w:styleId="1175" w:customStyle="1">
    <w:name w:val="flNote"/>
    <w:basedOn w:val="876"/>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76" w:customStyle="1">
    <w:name w:val="小四 段落 宋体"/>
    <w:basedOn w:val="892"/>
    <w:uiPriority w:val="0"/>
    <w:qFormat/>
    <w:pPr>
      <w:ind w:left="113" w:right="113" w:firstLine="425"/>
      <w:jc w:val="left"/>
      <w:tabs>
        <w:tab w:val="clear" w:pos="2952" w:leader="none"/>
      </w:tabs>
    </w:pPr>
  </w:style>
  <w:style w:type="paragraph" w:styleId="1177" w:customStyle="1">
    <w:name w:val="丁华标题2"/>
    <w:basedOn w:val="878"/>
    <w:next w:val="1178"/>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78" w:customStyle="1">
    <w:name w:val="丁华正文"/>
    <w:basedOn w:val="926"/>
    <w:uiPriority w:val="0"/>
    <w:qFormat/>
    <w:pPr>
      <w:ind w:left="0" w:firstLine="510"/>
    </w:pPr>
    <w:rPr>
      <w:rFonts w:ascii="Times New Roman" w:hAnsi="Times New Roman" w:eastAsia="宋体" w:cs="Times New Roman"/>
      <w:color w:val="auto"/>
      <w:sz w:val="24"/>
      <w:szCs w:val="16"/>
    </w:rPr>
  </w:style>
  <w:style w:type="paragraph" w:styleId="1179" w:customStyle="1">
    <w:name w:val="Char Char Char Char Char Char Char Char Char"/>
    <w:basedOn w:val="876"/>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80" w:customStyle="1">
    <w:name w:val="xl28"/>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81" w:customStyle="1">
    <w:name w:val="一级标题"/>
    <w:basedOn w:val="876"/>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82" w:customStyle="1">
    <w:name w:val="样式 段后: 0.5 行 左  0.75 字符"/>
    <w:basedOn w:val="876"/>
    <w:uiPriority w:val="0"/>
    <w:qFormat/>
    <w:pPr>
      <w:ind w:firstLine="420"/>
      <w:jc w:val="both"/>
      <w:spacing w:line="360" w:lineRule="auto"/>
      <w:widowControl/>
    </w:pPr>
    <w:rPr>
      <w:rFonts w:ascii="Times New Roman" w:hAnsi="Arial" w:cs="Arial"/>
      <w:sz w:val="24"/>
      <w:szCs w:val="21"/>
      <w:lang w:val="en-US" w:bidi="ar-SA"/>
    </w:rPr>
  </w:style>
  <w:style w:type="paragraph" w:styleId="1183" w:customStyle="1">
    <w:name w:val="Body Text 22"/>
    <w:basedOn w:val="876"/>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84" w:customStyle="1">
    <w:name w:val="my正文"/>
    <w:basedOn w:val="876"/>
    <w:uiPriority w:val="0"/>
    <w:qFormat/>
    <w:pPr>
      <w:ind w:firstLine="480"/>
      <w:jc w:val="both"/>
      <w:spacing w:line="360" w:lineRule="auto"/>
    </w:pPr>
    <w:rPr>
      <w:rFonts w:ascii="Times New Roman" w:hAnsi="Times New Roman" w:cs="Times New Roman"/>
      <w:sz w:val="24"/>
      <w:szCs w:val="24"/>
      <w:lang w:val="en-US" w:bidi="ar-SA"/>
    </w:rPr>
  </w:style>
  <w:style w:type="paragraph" w:styleId="1185" w:customStyle="1">
    <w:name w:val="xl33"/>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86" w:customStyle="1">
    <w:name w:val="Pa6"/>
    <w:basedOn w:val="876"/>
    <w:next w:val="876"/>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87" w:customStyle="1">
    <w:name w:val="Char Char Char Char Char Char Char"/>
    <w:basedOn w:val="876"/>
    <w:uiPriority w:val="0"/>
    <w:qFormat/>
    <w:pPr>
      <w:ind w:firstLine="562"/>
      <w:spacing w:line="360" w:lineRule="auto"/>
    </w:pPr>
    <w:rPr>
      <w:rFonts w:ascii="Tahoma" w:hAnsi="Tahoma" w:cs="Times New Roman"/>
      <w:sz w:val="24"/>
      <w:szCs w:val="24"/>
      <w:lang w:val="en-US" w:bidi="ar-SA"/>
    </w:rPr>
  </w:style>
  <w:style w:type="paragraph" w:styleId="1188" w:customStyle="1">
    <w:name w:val="正文 首行缩进:  2 字符 Char"/>
    <w:basedOn w:val="876"/>
    <w:uiPriority w:val="0"/>
    <w:qFormat/>
    <w:pPr>
      <w:ind w:firstLine="480"/>
      <w:jc w:val="both"/>
      <w:spacing w:line="360" w:lineRule="auto"/>
    </w:pPr>
    <w:rPr>
      <w:rFonts w:ascii="Times New Roman" w:hAnsi="Times New Roman"/>
      <w:sz w:val="24"/>
      <w:szCs w:val="24"/>
      <w:lang w:val="en-US" w:bidi="ar-SA"/>
    </w:rPr>
  </w:style>
  <w:style w:type="paragraph" w:styleId="1189" w:customStyle="1">
    <w:name w:val="中等深浅网格 1 - 强调文字颜色 21"/>
    <w:basedOn w:val="876"/>
    <w:uiPriority w:val="0"/>
    <w:qFormat/>
    <w:pPr>
      <w:ind w:firstLine="420"/>
      <w:jc w:val="both"/>
      <w:spacing w:line="360" w:lineRule="auto"/>
    </w:pPr>
    <w:rPr>
      <w:rFonts w:ascii="Calibri" w:hAnsi="Calibri" w:cs="Times New Roman"/>
      <w:sz w:val="24"/>
      <w:lang w:val="en-US" w:bidi="ar-SA"/>
    </w:rPr>
  </w:style>
  <w:style w:type="character" w:styleId="1190" w:customStyle="1">
    <w:name w:val="正文文本缩进 字符"/>
    <w:link w:val="903"/>
    <w:uiPriority w:val="0"/>
    <w:qFormat/>
    <w:rPr>
      <w:rFonts w:ascii="宋体" w:hAnsi="Courier New" w:cs="宋体"/>
      <w:spacing w:val="-4"/>
      <w:sz w:val="18"/>
      <w:lang w:val="zh-CN" w:bidi="zh-CN"/>
    </w:rPr>
  </w:style>
  <w:style w:type="character" w:styleId="1191" w:customStyle="1">
    <w:name w:val="font91"/>
    <w:uiPriority w:val="0"/>
    <w:qFormat/>
    <w:rPr>
      <w:rFonts w:hint="default" w:ascii="Arial" w:hAnsi="Arial" w:eastAsia="宋体" w:cs="Arial"/>
      <w:color w:val="000000"/>
      <w:sz w:val="16"/>
      <w:szCs w:val="16"/>
      <w:u w:val="none"/>
    </w:rPr>
  </w:style>
  <w:style w:type="paragraph" w:styleId="1192" w:customStyle="1">
    <w:name w:val="Char Char1 Char"/>
    <w:basedOn w:val="876"/>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93" w:customStyle="1">
    <w:name w:val="小四 段落 宋体 Char Char Char"/>
    <w:basedOn w:val="892"/>
    <w:uiPriority w:val="0"/>
    <w:qFormat/>
    <w:pPr>
      <w:ind w:left="0" w:right="-33" w:firstLine="545"/>
      <w:jc w:val="left"/>
      <w:tabs>
        <w:tab w:val="clear" w:pos="2952" w:leader="none"/>
      </w:tabs>
    </w:pPr>
  </w:style>
  <w:style w:type="paragraph" w:styleId="1194" w:customStyle="1">
    <w:name w:val="xl63"/>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95" w:customStyle="1">
    <w:name w:val="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196" w:customStyle="1">
    <w:name w:val="正文2"/>
    <w:basedOn w:val="876"/>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97" w:customStyle="1">
    <w:name w:val="行文"/>
    <w:basedOn w:val="876"/>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98" w:customStyle="1">
    <w:name w:val="公文标题 2"/>
    <w:basedOn w:val="876"/>
    <w:next w:val="1199"/>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99" w:customStyle="1">
    <w:name w:val="公文正文"/>
    <w:basedOn w:val="903"/>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200" w:customStyle="1">
    <w:name w:val="xl35"/>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201" w:customStyle="1">
    <w:name w:val="标准小四"/>
    <w:basedOn w:val="876"/>
    <w:uiPriority w:val="0"/>
    <w:qFormat/>
    <w:pPr>
      <w:ind w:firstLine="480"/>
      <w:jc w:val="both"/>
      <w:spacing w:line="360" w:lineRule="auto"/>
    </w:pPr>
    <w:rPr>
      <w:rFonts w:ascii="Arial" w:hAnsi="Arial" w:cs="Times New Roman"/>
      <w:sz w:val="24"/>
      <w:szCs w:val="21"/>
      <w:lang w:val="en-US" w:bidi="ar-SA"/>
    </w:rPr>
  </w:style>
  <w:style w:type="character" w:styleId="1202" w:customStyle="1">
    <w:name w:val="font71"/>
    <w:uiPriority w:val="0"/>
    <w:qFormat/>
    <w:rPr>
      <w:rFonts w:hint="default" w:ascii="Times New Roman" w:hAnsi="Times New Roman" w:eastAsia="宋体" w:cs="Times New Roman"/>
      <w:color w:val="000000"/>
      <w:sz w:val="22"/>
      <w:szCs w:val="22"/>
      <w:u w:val="none"/>
    </w:rPr>
  </w:style>
  <w:style w:type="paragraph" w:styleId="1203" w:customStyle="1">
    <w:name w:val="_Style 42"/>
    <w:basedOn w:val="876"/>
    <w:next w:val="902"/>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204" w:customStyle="1">
    <w:name w:val="greytypebeni"/>
    <w:basedOn w:val="876"/>
    <w:uiPriority w:val="0"/>
    <w:qFormat/>
    <w:pPr>
      <w:ind w:firstLine="562"/>
      <w:spacing w:line="360" w:lineRule="auto"/>
      <w:widowControl/>
    </w:pPr>
    <w:rPr>
      <w:sz w:val="24"/>
      <w:szCs w:val="24"/>
      <w:lang w:val="en-US" w:bidi="ar-SA"/>
    </w:rPr>
  </w:style>
  <w:style w:type="paragraph" w:styleId="1205" w:customStyle="1">
    <w:name w:val="方案正文"/>
    <w:basedOn w:val="876"/>
    <w:uiPriority w:val="0"/>
    <w:qFormat/>
    <w:pPr>
      <w:ind w:firstLine="359"/>
      <w:spacing w:before="156" w:line="360" w:lineRule="auto"/>
    </w:pPr>
    <w:rPr>
      <w:rFonts w:ascii="Arial" w:hAnsi="Arial"/>
      <w:sz w:val="24"/>
      <w:szCs w:val="21"/>
      <w:lang w:val="en-US" w:bidi="ar-SA"/>
    </w:rPr>
  </w:style>
  <w:style w:type="paragraph" w:styleId="1206" w:customStyle="1">
    <w:name w:val="7"/>
    <w:basedOn w:val="876"/>
    <w:next w:val="934"/>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207" w:customStyle="1">
    <w:name w:val="Char Char Char Char Char Char Char Char Char Char Char Char 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208" w:customStyle="1">
    <w:name w:val="样式 段后: 0.25 行"/>
    <w:basedOn w:val="876"/>
    <w:uiPriority w:val="0"/>
    <w:qFormat/>
    <w:pPr>
      <w:ind w:firstLine="420"/>
      <w:spacing w:after="78" w:line="300" w:lineRule="auto"/>
      <w:widowControl/>
    </w:pPr>
    <w:rPr>
      <w:rFonts w:ascii="Arial" w:hAnsi="Arial"/>
      <w:szCs w:val="24"/>
      <w:lang w:val="en-US" w:eastAsia="en-US" w:bidi="en-US"/>
    </w:rPr>
  </w:style>
  <w:style w:type="character" w:styleId="1209" w:customStyle="1">
    <w:name w:val="标准小四 Char"/>
    <w:uiPriority w:val="0"/>
    <w:qFormat/>
    <w:rPr>
      <w:rFonts w:ascii="Arial" w:hAnsi="Arial" w:eastAsia="宋体" w:cs="Times New Roman"/>
      <w:sz w:val="24"/>
      <w:szCs w:val="21"/>
      <w:lang w:val="en-US" w:eastAsia="zh-CN" w:bidi="ar-SA"/>
    </w:rPr>
  </w:style>
  <w:style w:type="character" w:styleId="1210" w:customStyle="1">
    <w:name w:val="纯文本 Char1"/>
    <w:uiPriority w:val="0"/>
    <w:qFormat/>
    <w:rPr>
      <w:rFonts w:ascii="宋体" w:hAnsi="Courier New" w:eastAsia="宋体" w:cs="Courier New"/>
      <w:sz w:val="21"/>
      <w:szCs w:val="21"/>
    </w:rPr>
  </w:style>
  <w:style w:type="paragraph" w:styleId="1211" w:customStyle="1">
    <w:name w:val="xl61"/>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212" w:customStyle="1">
    <w:name w:val="马刚标题1"/>
    <w:basedOn w:val="877"/>
    <w:next w:val="876"/>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213" w:customStyle="1">
    <w:name w:val="xl59"/>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214" w:customStyle="1">
    <w:name w:val="h Char Char"/>
    <w:uiPriority w:val="0"/>
    <w:qFormat/>
    <w:rPr>
      <w:rFonts w:ascii="Times New Roman" w:hAnsi="Times New Roman" w:eastAsia="宋体" w:cs="Times New Roman"/>
      <w:sz w:val="18"/>
      <w:szCs w:val="18"/>
      <w:lang w:val="en-US" w:eastAsia="zh-CN" w:bidi="ar-SA"/>
    </w:rPr>
  </w:style>
  <w:style w:type="character" w:styleId="1215" w:customStyle="1">
    <w:name w:val="无间隔 字符"/>
    <w:link w:val="1006"/>
    <w:uiPriority w:val="0"/>
    <w:qFormat/>
  </w:style>
  <w:style w:type="paragraph" w:styleId="1216" w:customStyle="1">
    <w:name w:val="xl43"/>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217" w:customStyle="1">
    <w:name w:val="新图表正文"/>
    <w:link w:val="1229"/>
    <w:uiPriority w:val="0"/>
    <w:qFormat/>
    <w:pPr>
      <w:jc w:val="both"/>
    </w:pPr>
    <w:rPr>
      <w:rFonts w:ascii="宋体" w:hAnsi="宋体" w:eastAsia="宋体" w:cs="Times New Roman"/>
      <w:sz w:val="18"/>
      <w:szCs w:val="21"/>
      <w:lang w:val="en-US" w:eastAsia="zh-CN" w:bidi="ar-SA"/>
    </w:rPr>
  </w:style>
  <w:style w:type="character" w:styleId="1218"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219" w:customStyle="1">
    <w:name w:val="正文 首行缩进:  2 字符 Char Char"/>
    <w:basedOn w:val="876"/>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220" w:customStyle="1">
    <w:name w:val="￥正文"/>
    <w:basedOn w:val="876"/>
    <w:link w:val="1359"/>
    <w:uiPriority w:val="0"/>
    <w:qFormat/>
    <w:pPr>
      <w:ind w:firstLine="200"/>
      <w:jc w:val="both"/>
      <w:spacing w:line="360" w:lineRule="auto"/>
    </w:pPr>
    <w:rPr>
      <w:sz w:val="24"/>
      <w:szCs w:val="24"/>
      <w:lang w:val="en-US" w:bidi="ar-SA"/>
    </w:rPr>
  </w:style>
  <w:style w:type="paragraph" w:styleId="1221" w:customStyle="1">
    <w:name w:val="样式 首行缩进:  2 字符"/>
    <w:basedOn w:val="876"/>
    <w:link w:val="1230"/>
    <w:uiPriority w:val="0"/>
    <w:qFormat/>
    <w:pPr>
      <w:ind w:firstLine="480"/>
      <w:jc w:val="both"/>
      <w:spacing w:line="360" w:lineRule="auto"/>
    </w:pPr>
    <w:rPr>
      <w:sz w:val="24"/>
      <w:szCs w:val="24"/>
      <w:lang w:val="en-US" w:bidi="ar-SA"/>
    </w:rPr>
  </w:style>
  <w:style w:type="paragraph" w:styleId="1222" w:customStyle="1">
    <w:name w:val="xl49"/>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223" w:customStyle="1">
    <w:name w:val="06列出段落"/>
    <w:basedOn w:val="876"/>
    <w:next w:val="996"/>
    <w:uiPriority w:val="0"/>
    <w:qFormat/>
    <w:pPr>
      <w:ind w:firstLine="420"/>
      <w:jc w:val="both"/>
      <w:spacing w:line="360" w:lineRule="auto"/>
    </w:pPr>
    <w:rPr>
      <w:rFonts w:ascii="Calibri" w:hAnsi="Calibri" w:cs="Times New Roman"/>
      <w:sz w:val="24"/>
      <w:szCs w:val="24"/>
      <w:lang w:val="en-US" w:bidi="ar-SA"/>
    </w:rPr>
  </w:style>
  <w:style w:type="paragraph" w:styleId="1224" w:customStyle="1">
    <w:name w:val="retrait3"/>
    <w:basedOn w:val="876"/>
    <w:uiPriority w:val="0"/>
    <w:qFormat/>
    <w:pPr>
      <w:ind w:left="851" w:firstLine="562"/>
      <w:spacing w:before="20" w:after="20" w:line="360" w:lineRule="auto"/>
      <w:widowControl/>
    </w:pPr>
    <w:rPr>
      <w:rFonts w:ascii="Arial" w:hAnsi="Arial" w:cs="Times New Roman"/>
      <w:sz w:val="24"/>
      <w:szCs w:val="24"/>
      <w:lang w:val="en-GB" w:bidi="ar-SA"/>
    </w:rPr>
  </w:style>
  <w:style w:type="paragraph" w:styleId="1225" w:customStyle="1">
    <w:name w:val="默认段落字体 Para Char Char Char Char Char Char Char"/>
    <w:basedOn w:val="876"/>
    <w:uiPriority w:val="0"/>
    <w:qFormat/>
    <w:pPr>
      <w:ind w:firstLine="562"/>
      <w:jc w:val="both"/>
      <w:spacing w:line="360" w:lineRule="auto"/>
    </w:pPr>
    <w:rPr>
      <w:rFonts w:ascii="Times New Roman" w:hAnsi="Times New Roman" w:cs="Times New Roman"/>
      <w:sz w:val="24"/>
      <w:szCs w:val="24"/>
      <w:lang w:val="en-US" w:bidi="ar-SA"/>
    </w:rPr>
  </w:style>
  <w:style w:type="paragraph" w:styleId="1226" w:customStyle="1">
    <w:name w:val="文档正文"/>
    <w:basedOn w:val="876"/>
    <w:uiPriority w:val="0"/>
    <w:qFormat/>
    <w:pPr>
      <w:ind w:firstLine="562"/>
      <w:jc w:val="both"/>
      <w:spacing w:line="360" w:lineRule="auto"/>
    </w:pPr>
    <w:rPr>
      <w:rFonts w:cs="Times New Roman"/>
      <w:b/>
      <w:bCs/>
      <w:sz w:val="24"/>
      <w:szCs w:val="24"/>
      <w:lang w:val="en-US" w:bidi="ar-SA"/>
    </w:rPr>
  </w:style>
  <w:style w:type="character" w:styleId="1227" w:customStyle="1">
    <w:name w:val="font21"/>
    <w:basedOn w:val="886"/>
    <w:uiPriority w:val="0"/>
    <w:qFormat/>
    <w:rPr>
      <w:rFonts w:hint="default" w:ascii="Times New Roman" w:hAnsi="Times New Roman" w:eastAsia="宋体" w:cs="Times New Roman"/>
      <w:color w:val="000000"/>
      <w:sz w:val="22"/>
      <w:szCs w:val="22"/>
      <w:u w:val="none"/>
      <w:vertAlign w:val="superscript"/>
    </w:rPr>
  </w:style>
  <w:style w:type="character" w:styleId="1228"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229" w:customStyle="1">
    <w:name w:val="新图表正文 Char Char"/>
    <w:link w:val="1217"/>
    <w:uiPriority w:val="0"/>
    <w:qFormat/>
    <w:rPr>
      <w:rFonts w:ascii="宋体" w:hAnsi="宋体"/>
      <w:sz w:val="18"/>
      <w:szCs w:val="21"/>
    </w:rPr>
  </w:style>
  <w:style w:type="character" w:styleId="1230" w:customStyle="1">
    <w:name w:val="样式 首行缩进:  2 字符 Char Char"/>
    <w:link w:val="1221"/>
    <w:uiPriority w:val="0"/>
    <w:qFormat/>
    <w:rPr>
      <w:rFonts w:ascii="宋体" w:hAnsi="宋体" w:cs="宋体"/>
      <w:sz w:val="24"/>
      <w:szCs w:val="24"/>
    </w:rPr>
  </w:style>
  <w:style w:type="paragraph" w:styleId="1231" w:customStyle="1">
    <w:name w:val="小四 段落 宋体 Char Char Char Char"/>
    <w:basedOn w:val="876"/>
    <w:uiPriority w:val="0"/>
    <w:qFormat/>
    <w:pPr>
      <w:ind w:right="-33" w:firstLine="480"/>
      <w:spacing w:line="360" w:lineRule="auto"/>
    </w:pPr>
    <w:rPr>
      <w:rFonts w:ascii="Times New Roman" w:hAnsi="Times New Roman" w:cs="Times New Roman"/>
      <w:sz w:val="24"/>
      <w:szCs w:val="24"/>
      <w:lang w:val="en-US" w:bidi="ar-SA"/>
    </w:rPr>
  </w:style>
  <w:style w:type="paragraph" w:styleId="1232" w:customStyle="1">
    <w:name w:val="讲话正文"/>
    <w:basedOn w:val="876"/>
    <w:uiPriority w:val="0"/>
    <w:qFormat/>
    <w:pPr>
      <w:ind w:firstLine="200"/>
      <w:jc w:val="both"/>
      <w:spacing w:line="360" w:lineRule="auto"/>
    </w:pPr>
    <w:rPr>
      <w:rFonts w:ascii="仿宋" w:hAnsi="仿宋" w:eastAsia="仿宋"/>
      <w:sz w:val="32"/>
      <w:szCs w:val="32"/>
      <w:lang w:val="en-US" w:bidi="ar-SA"/>
    </w:rPr>
  </w:style>
  <w:style w:type="paragraph" w:styleId="1233" w:customStyle="1">
    <w:name w:val="tableau"/>
    <w:basedOn w:val="876"/>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234" w:customStyle="1">
    <w:name w:val="Char Char Char Char Char Char Char Char"/>
    <w:basedOn w:val="876"/>
    <w:uiPriority w:val="0"/>
    <w:qFormat/>
    <w:pPr>
      <w:ind w:firstLine="562"/>
      <w:jc w:val="both"/>
      <w:spacing w:line="360" w:lineRule="auto"/>
    </w:pPr>
    <w:rPr>
      <w:rFonts w:ascii="Tahoma" w:hAnsi="Tahoma" w:cs="Times New Roman"/>
      <w:sz w:val="24"/>
      <w:szCs w:val="24"/>
      <w:lang w:val="en-US" w:bidi="ar-SA"/>
    </w:rPr>
  </w:style>
  <w:style w:type="paragraph" w:styleId="1235" w:customStyle="1">
    <w:name w:val="Char Char Char 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character" w:styleId="1236" w:customStyle="1">
    <w:name w:val="正文 + 宋体 Char"/>
    <w:uiPriority w:val="0"/>
    <w:qFormat/>
    <w:rPr>
      <w:rFonts w:ascii="Times New Roman" w:hAnsi="Times New Roman" w:eastAsia="宋体" w:cs="Times New Roman"/>
      <w:sz w:val="21"/>
      <w:szCs w:val="24"/>
      <w:lang w:val="en-US" w:eastAsia="zh-CN" w:bidi="ar-SA"/>
    </w:rPr>
  </w:style>
  <w:style w:type="character" w:styleId="1237" w:customStyle="1">
    <w:name w:val="A2"/>
    <w:uiPriority w:val="0"/>
    <w:qFormat/>
    <w:rPr>
      <w:rFonts w:ascii="Times New Roman" w:hAnsi="Times New Roman" w:eastAsia="宋体" w:cs="Helvetica"/>
      <w:color w:val="000000"/>
      <w:sz w:val="18"/>
      <w:szCs w:val="18"/>
    </w:rPr>
  </w:style>
  <w:style w:type="character" w:styleId="1238" w:customStyle="1">
    <w:name w:val="subtitle1"/>
    <w:uiPriority w:val="0"/>
    <w:qFormat/>
    <w:rPr>
      <w:rFonts w:hint="default" w:ascii="Georgia" w:hAnsi="Georgia" w:eastAsia="宋体" w:cs="Times New Roman"/>
      <w:b/>
      <w:bCs/>
      <w:color w:val="666666"/>
      <w:sz w:val="18"/>
      <w:szCs w:val="18"/>
    </w:rPr>
  </w:style>
  <w:style w:type="paragraph" w:styleId="1239" w:customStyle="1">
    <w:name w:val="二级标题"/>
    <w:basedOn w:val="876"/>
    <w:uiPriority w:val="0"/>
    <w:qFormat/>
    <w:pPr>
      <w:ind w:firstLine="482"/>
      <w:spacing w:line="300" w:lineRule="auto"/>
      <w:widowControl/>
      <w:outlineLvl w:val="1"/>
    </w:pPr>
    <w:rPr>
      <w:rFonts w:cs="Times New Roman"/>
      <w:b/>
      <w:color w:val="000000"/>
      <w:sz w:val="24"/>
      <w:szCs w:val="24"/>
      <w:lang w:val="en-US" w:bidi="ar-SA"/>
    </w:rPr>
  </w:style>
  <w:style w:type="paragraph" w:styleId="1240" w:customStyle="1">
    <w:name w:val="标题4，章节第四层"/>
    <w:basedOn w:val="876"/>
    <w:next w:val="876"/>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41" w:customStyle="1">
    <w:name w:val="正文格式"/>
    <w:basedOn w:val="876"/>
    <w:uiPriority w:val="0"/>
    <w:qFormat/>
    <w:pPr>
      <w:ind w:left="178" w:right="44" w:hanging="178"/>
      <w:spacing w:before="78" w:line="360" w:lineRule="auto"/>
      <w:widowControl/>
    </w:pPr>
    <w:rPr>
      <w:rFonts w:cs="Times New Roman"/>
      <w:bCs/>
      <w:sz w:val="24"/>
      <w:szCs w:val="21"/>
      <w:lang w:val="en-US" w:bidi="ar-SA"/>
    </w:rPr>
  </w:style>
  <w:style w:type="character" w:styleId="1242" w:customStyle="1">
    <w:name w:val="Char Char29"/>
    <w:uiPriority w:val="0"/>
    <w:qFormat/>
    <w:rPr>
      <w:rFonts w:ascii="Times New Roman" w:hAnsi="Times New Roman" w:eastAsia="宋体" w:cs="Times New Roman"/>
      <w:b/>
      <w:bCs/>
      <w:sz w:val="44"/>
      <w:szCs w:val="44"/>
    </w:rPr>
  </w:style>
  <w:style w:type="paragraph" w:styleId="1243" w:customStyle="1">
    <w:name w:val="段 Char"/>
    <w:uiPriority w:val="0"/>
    <w:qFormat/>
    <w:pPr>
      <w:ind w:firstLine="200"/>
      <w:jc w:val="both"/>
    </w:pPr>
    <w:rPr>
      <w:rFonts w:ascii="宋体" w:hAnsi="Times New Roman" w:eastAsia="宋体" w:cs="Times New Roman"/>
      <w:sz w:val="21"/>
      <w:lang w:val="en-US" w:eastAsia="zh-CN" w:bidi="ar-SA"/>
    </w:rPr>
  </w:style>
  <w:style w:type="character" w:styleId="1244"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45" w:customStyle="1">
    <w:name w:val="List Paragraph1"/>
    <w:basedOn w:val="876"/>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46" w:customStyle="1">
    <w:name w:val="l-over"/>
    <w:uiPriority w:val="0"/>
    <w:qFormat/>
    <w:rPr>
      <w:rFonts w:ascii="Times New Roman" w:hAnsi="Times New Roman" w:eastAsia="宋体" w:cs="Times New Roman"/>
    </w:rPr>
  </w:style>
  <w:style w:type="paragraph" w:styleId="1247" w:customStyle="1">
    <w:name w:val="标题3"/>
    <w:basedOn w:val="879"/>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48" w:customStyle="1">
    <w:name w:val="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249" w:customStyle="1">
    <w:name w:val="表头_5"/>
    <w:basedOn w:val="876"/>
    <w:uiPriority w:val="0"/>
    <w:qFormat/>
    <w:pPr>
      <w:ind w:firstLine="562"/>
      <w:jc w:val="both"/>
      <w:spacing w:line="360" w:lineRule="auto"/>
    </w:pPr>
    <w:rPr>
      <w:rFonts w:ascii="Times New Roman" w:hAnsi="Times New Roman" w:cs="Times New Roman"/>
      <w:b/>
      <w:bCs/>
      <w:sz w:val="28"/>
      <w:szCs w:val="21"/>
      <w:lang w:val="en-US" w:bidi="ar-SA"/>
    </w:rPr>
  </w:style>
  <w:style w:type="paragraph" w:styleId="1250" w:customStyle="1">
    <w:name w:val="Bullets L1"/>
    <w:basedOn w:val="876"/>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51" w:customStyle="1">
    <w:name w:val="Char1 Char Char Char"/>
    <w:basedOn w:val="876"/>
    <w:uiPriority w:val="0"/>
    <w:qFormat/>
    <w:pPr>
      <w:ind w:firstLine="562"/>
      <w:jc w:val="both"/>
      <w:spacing w:line="360" w:lineRule="auto"/>
    </w:pPr>
    <w:rPr>
      <w:rFonts w:ascii="Tahoma" w:hAnsi="Tahoma" w:cs="Tahoma"/>
      <w:sz w:val="24"/>
      <w:szCs w:val="24"/>
      <w:lang w:val="en-US" w:bidi="ar-SA"/>
    </w:rPr>
  </w:style>
  <w:style w:type="paragraph" w:styleId="1252" w:customStyle="1">
    <w:name w:val="默认段落字体 Para Char"/>
    <w:basedOn w:val="876"/>
    <w:uiPriority w:val="0"/>
    <w:qFormat/>
    <w:pPr>
      <w:ind w:firstLine="562"/>
      <w:jc w:val="both"/>
      <w:spacing w:line="360" w:lineRule="auto"/>
    </w:pPr>
    <w:rPr>
      <w:rFonts w:ascii="Times New Roman" w:hAnsi="Times New Roman" w:cs="Times New Roman"/>
      <w:sz w:val="24"/>
      <w:szCs w:val="24"/>
      <w:lang w:val="en-US" w:bidi="ar-SA"/>
    </w:rPr>
  </w:style>
  <w:style w:type="paragraph" w:styleId="1253" w:customStyle="1">
    <w:name w:val="样式 加点正文 + 段前: 0.5 行 段后: 0.5 行1"/>
    <w:basedOn w:val="876"/>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54" w:customStyle="1">
    <w:name w:val="列出段落2"/>
    <w:basedOn w:val="876"/>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55" w:customStyle="1">
    <w:name w:val="Char Char22"/>
    <w:uiPriority w:val="0"/>
    <w:qFormat/>
    <w:rPr>
      <w:rFonts w:ascii="Times New Roman" w:hAnsi="Times New Roman" w:eastAsia="宋体" w:cs="Times New Roman"/>
      <w:b/>
      <w:bCs/>
      <w:sz w:val="24"/>
      <w:szCs w:val="24"/>
    </w:rPr>
  </w:style>
  <w:style w:type="paragraph" w:styleId="1256" w:customStyle="1">
    <w:name w:val="Char Char Char"/>
    <w:basedOn w:val="896"/>
    <w:uiPriority w:val="0"/>
    <w:qFormat/>
    <w:pPr>
      <w:spacing w:line="436" w:lineRule="exact"/>
    </w:pPr>
    <w:rPr>
      <w:rFonts w:ascii="Times New Roman" w:hAnsi="Times New Roman" w:cs="Times New Roman"/>
    </w:rPr>
  </w:style>
  <w:style w:type="paragraph" w:styleId="1257" w:customStyle="1">
    <w:name w:val="样式 正文缩进2字符 + 左侧:  2 字符 首行缩进:  2 字符"/>
    <w:basedOn w:val="876"/>
    <w:uiPriority w:val="0"/>
    <w:qFormat/>
    <w:pPr>
      <w:ind w:firstLine="480"/>
      <w:jc w:val="both"/>
      <w:spacing w:line="360" w:lineRule="auto"/>
    </w:pPr>
    <w:rPr>
      <w:rFonts w:ascii="Times New Roman" w:hAnsi="Times New Roman"/>
      <w:bCs/>
      <w:sz w:val="24"/>
      <w:szCs w:val="20"/>
      <w:lang w:val="en-US" w:bidi="ar-SA"/>
    </w:rPr>
  </w:style>
  <w:style w:type="paragraph" w:styleId="1258" w:customStyle="1">
    <w:name w:val="zw"/>
    <w:basedOn w:val="876"/>
    <w:uiPriority w:val="0"/>
    <w:qFormat/>
    <w:pPr>
      <w:ind w:firstLine="480"/>
      <w:spacing w:line="360" w:lineRule="auto"/>
      <w:widowControl/>
    </w:pPr>
    <w:rPr>
      <w:rFonts w:cs="Times New Roman"/>
      <w:bCs/>
      <w:sz w:val="24"/>
      <w:szCs w:val="24"/>
      <w:lang w:val="en-US" w:bidi="ar-SA"/>
    </w:rPr>
  </w:style>
  <w:style w:type="paragraph" w:styleId="1259" w:customStyle="1">
    <w:name w:val="标题5，章节第五层"/>
    <w:basedOn w:val="876"/>
    <w:next w:val="876"/>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60" w:customStyle="1">
    <w:name w:val="xl62"/>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61" w:customStyle="1">
    <w:name w:val="符号与编号 Char Char"/>
    <w:basedOn w:val="876"/>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62" w:customStyle="1">
    <w:name w:val="样式1"/>
    <w:basedOn w:val="876"/>
    <w:uiPriority w:val="0"/>
    <w:qFormat/>
    <w:pPr>
      <w:ind w:firstLine="480"/>
      <w:jc w:val="both"/>
      <w:spacing w:line="300" w:lineRule="auto"/>
    </w:pPr>
    <w:rPr>
      <w:rFonts w:ascii="Times New Roman" w:hAnsi="Times New Roman" w:cs="Times New Roman"/>
      <w:sz w:val="24"/>
      <w:szCs w:val="24"/>
      <w:lang w:val="en-US" w:bidi="ar-SA"/>
    </w:rPr>
  </w:style>
  <w:style w:type="paragraph" w:styleId="1263" w:customStyle="1">
    <w:name w:val="项目符号，二级"/>
    <w:basedOn w:val="1241"/>
    <w:next w:val="1241"/>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64" w:customStyle="1">
    <w:name w:val="param-value"/>
    <w:uiPriority w:val="0"/>
    <w:qFormat/>
    <w:rPr>
      <w:rFonts w:ascii="Times New Roman" w:hAnsi="Times New Roman" w:eastAsia="宋体" w:cs="Times New Roman"/>
    </w:rPr>
  </w:style>
  <w:style w:type="paragraph" w:styleId="1265" w:customStyle="1">
    <w:name w:val="Body Text 21"/>
    <w:basedOn w:val="876"/>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66" w:customStyle="1">
    <w:name w:val="表格抬头"/>
    <w:basedOn w:val="876"/>
    <w:link w:val="1419"/>
    <w:uiPriority w:val="0"/>
    <w:qFormat/>
    <w:pPr>
      <w:ind w:firstLine="562"/>
      <w:jc w:val="center"/>
      <w:spacing w:line="360" w:lineRule="auto"/>
    </w:pPr>
    <w:rPr>
      <w:rFonts w:ascii="黑体" w:eastAsia="黑体"/>
      <w:b/>
      <w:sz w:val="24"/>
      <w:szCs w:val="24"/>
      <w:lang w:val="en-US" w:bidi="ar-SA"/>
    </w:rPr>
  </w:style>
  <w:style w:type="character" w:styleId="1267" w:customStyle="1">
    <w:name w:val="_Style 109"/>
    <w:uiPriority w:val="0"/>
    <w:qFormat/>
    <w:rPr>
      <w:rFonts w:ascii="Times New Roman" w:hAnsi="Times New Roman" w:eastAsia="宋体" w:cs="Times New Roman"/>
      <w:smallCaps/>
    </w:rPr>
  </w:style>
  <w:style w:type="paragraph" w:styleId="1268" w:customStyle="1">
    <w:name w:val="Char Char"/>
    <w:basedOn w:val="876"/>
    <w:uiPriority w:val="0"/>
    <w:qFormat/>
    <w:pPr>
      <w:ind w:firstLine="562"/>
      <w:jc w:val="both"/>
      <w:spacing w:line="360" w:lineRule="auto"/>
    </w:pPr>
    <w:rPr>
      <w:rFonts w:ascii="Tahoma" w:hAnsi="Tahoma" w:cs="Times New Roman"/>
      <w:sz w:val="24"/>
      <w:szCs w:val="24"/>
      <w:lang w:val="en-US" w:bidi="ar-SA"/>
    </w:rPr>
  </w:style>
  <w:style w:type="paragraph" w:styleId="1269" w:customStyle="1">
    <w:name w:val="表格1"/>
    <w:basedOn w:val="876"/>
    <w:uiPriority w:val="0"/>
    <w:qFormat/>
    <w:pPr>
      <w:ind w:firstLine="562"/>
      <w:jc w:val="both"/>
      <w:spacing w:line="360" w:lineRule="auto"/>
    </w:pPr>
    <w:rPr>
      <w:rFonts w:hAnsi="Times New Roman" w:cs="Times New Roman"/>
      <w:sz w:val="24"/>
      <w:szCs w:val="21"/>
      <w:lang w:val="en-US" w:bidi="ar-SA"/>
    </w:rPr>
  </w:style>
  <w:style w:type="character" w:styleId="1270" w:customStyle="1">
    <w:name w:val="样式 宋体 小四"/>
    <w:uiPriority w:val="0"/>
    <w:qFormat/>
    <w:rPr>
      <w:rFonts w:ascii="宋体" w:hAnsi="宋体" w:eastAsia="宋体" w:cs="Times New Roman"/>
      <w:sz w:val="24"/>
    </w:rPr>
  </w:style>
  <w:style w:type="character" w:styleId="1271" w:customStyle="1">
    <w:name w:val="纯文本 Char Char Char1"/>
    <w:uiPriority w:val="0"/>
    <w:qFormat/>
    <w:rPr>
      <w:rFonts w:ascii="宋体" w:hAnsi="Courier New" w:eastAsia="宋体" w:cs="Times New Roman"/>
      <w:sz w:val="21"/>
      <w:szCs w:val="21"/>
      <w:lang w:val="en-US" w:eastAsia="zh-CN" w:bidi="ar-SA"/>
    </w:rPr>
  </w:style>
  <w:style w:type="paragraph" w:styleId="1272" w:customStyle="1">
    <w:name w:val="Char Char1"/>
    <w:basedOn w:val="876"/>
    <w:uiPriority w:val="0"/>
    <w:qFormat/>
    <w:pPr>
      <w:ind w:firstLine="562"/>
      <w:jc w:val="both"/>
      <w:spacing w:line="360" w:lineRule="auto"/>
    </w:pPr>
    <w:rPr>
      <w:rFonts w:ascii="Tahoma" w:hAnsi="Tahoma" w:cs="Tahoma"/>
      <w:sz w:val="24"/>
      <w:szCs w:val="24"/>
      <w:lang w:val="en-US" w:bidi="ar-SA"/>
    </w:rPr>
  </w:style>
  <w:style w:type="paragraph" w:styleId="1273"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74" w:customStyle="1">
    <w:name w:val="马刚标题3"/>
    <w:basedOn w:val="876"/>
    <w:next w:val="876"/>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75" w:customStyle="1">
    <w:name w:val="xl44"/>
    <w:basedOn w:val="876"/>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76" w:customStyle="1">
    <w:name w:val="正文缩进2字符"/>
    <w:basedOn w:val="876"/>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77" w:customStyle="1">
    <w:name w:val="Char1"/>
    <w:basedOn w:val="876"/>
    <w:uiPriority w:val="0"/>
    <w:qFormat/>
    <w:pPr>
      <w:ind w:firstLine="562"/>
      <w:jc w:val="both"/>
      <w:spacing w:line="360" w:lineRule="auto"/>
    </w:pPr>
    <w:rPr>
      <w:rFonts w:ascii="仿宋_GB2312" w:eastAsia="仿宋_GB2312"/>
      <w:b/>
      <w:sz w:val="32"/>
      <w:szCs w:val="32"/>
      <w:lang w:val="en-US" w:bidi="ar-SA"/>
    </w:rPr>
  </w:style>
  <w:style w:type="paragraph" w:styleId="1278" w:customStyle="1">
    <w:name w:val="Pa5"/>
    <w:basedOn w:val="876"/>
    <w:next w:val="876"/>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79" w:customStyle="1">
    <w:name w:val="Char Char20"/>
    <w:uiPriority w:val="0"/>
    <w:qFormat/>
    <w:rPr>
      <w:rFonts w:ascii="Arial" w:hAnsi="Arial" w:eastAsia="黑体" w:cs="Times New Roman"/>
      <w:sz w:val="21"/>
      <w:szCs w:val="21"/>
    </w:rPr>
  </w:style>
  <w:style w:type="paragraph" w:styleId="1280" w:customStyle="1">
    <w:name w:val="条1"/>
    <w:basedOn w:val="876"/>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81" w:customStyle="1">
    <w:name w:val="_Style 106"/>
    <w:uiPriority w:val="0"/>
    <w:qFormat/>
    <w:rPr>
      <w:rFonts w:ascii="Times New Roman" w:hAnsi="Times New Roman" w:eastAsia="宋体" w:cs="Times New Roman"/>
      <w:i/>
      <w:iCs/>
      <w:smallCaps/>
      <w:spacing w:val="5"/>
    </w:rPr>
  </w:style>
  <w:style w:type="paragraph" w:styleId="1282" w:customStyle="1">
    <w:name w:val="Char"/>
    <w:basedOn w:val="876"/>
    <w:uiPriority w:val="0"/>
    <w:qFormat/>
    <w:pPr>
      <w:ind w:firstLine="562"/>
      <w:jc w:val="both"/>
      <w:spacing w:after="156" w:line="360" w:lineRule="auto"/>
    </w:pPr>
    <w:rPr>
      <w:rFonts w:ascii="Tahoma" w:hAnsi="Tahoma" w:cs="Times New Roman"/>
      <w:sz w:val="24"/>
      <w:szCs w:val="24"/>
      <w:lang w:val="en-US" w:bidi="ar-SA"/>
    </w:rPr>
  </w:style>
  <w:style w:type="character" w:styleId="1283" w:customStyle="1">
    <w:name w:val="textcontents"/>
    <w:uiPriority w:val="0"/>
    <w:qFormat/>
    <w:rPr>
      <w:rFonts w:ascii="Times New Roman" w:hAnsi="Times New Roman" w:eastAsia="宋体" w:cs="Times New Roman"/>
    </w:rPr>
  </w:style>
  <w:style w:type="paragraph" w:styleId="1284" w:customStyle="1">
    <w:name w:val="xl36"/>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85"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86" w:customStyle="1">
    <w:name w:val="_Style 197"/>
    <w:uiPriority w:val="0"/>
    <w:qFormat/>
    <w:rPr>
      <w:rFonts w:ascii="Times New Roman" w:hAnsi="Times New Roman" w:eastAsia="宋体" w:cs="Times New Roman"/>
      <w:smallCaps/>
      <w:spacing w:val="5"/>
      <w:u w:val="single"/>
    </w:rPr>
  </w:style>
  <w:style w:type="character" w:styleId="1287" w:customStyle="1">
    <w:name w:val="Char Char25"/>
    <w:uiPriority w:val="0"/>
    <w:qFormat/>
    <w:rPr>
      <w:rFonts w:ascii="Arial" w:hAnsi="Arial" w:eastAsia="黑体" w:cs="Times New Roman"/>
      <w:b/>
      <w:sz w:val="28"/>
    </w:rPr>
  </w:style>
  <w:style w:type="paragraph" w:styleId="1288" w:customStyle="1">
    <w:name w:val="正文文本缩进1"/>
    <w:basedOn w:val="876"/>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89" w:customStyle="1">
    <w:name w:val="normalfont1"/>
    <w:uiPriority w:val="0"/>
    <w:qFormat/>
    <w:rPr>
      <w:rFonts w:hint="default" w:ascii="ˎ̥" w:hAnsi="ˎ̥" w:eastAsia="宋体" w:cs="Times New Roman"/>
      <w:sz w:val="18"/>
      <w:szCs w:val="18"/>
      <w:u w:val="none"/>
    </w:rPr>
  </w:style>
  <w:style w:type="character" w:styleId="1290" w:customStyle="1">
    <w:name w:val="3zw"/>
    <w:uiPriority w:val="0"/>
    <w:qFormat/>
    <w:rPr>
      <w:rFonts w:ascii="Times New Roman" w:hAnsi="Times New Roman" w:eastAsia="宋体" w:cs="Times New Roman"/>
    </w:rPr>
  </w:style>
  <w:style w:type="character" w:styleId="1291" w:customStyle="1">
    <w:name w:val="Title1 Char"/>
    <w:uiPriority w:val="0"/>
    <w:qFormat/>
    <w:rPr>
      <w:rFonts w:ascii="Times New Roman" w:hAnsi="Times New Roman" w:eastAsia="宋体" w:cs="Times New Roman"/>
      <w:b/>
      <w:bCs/>
      <w:sz w:val="44"/>
      <w:szCs w:val="44"/>
      <w:lang w:val="en-US" w:eastAsia="zh-CN" w:bidi="ar-SA"/>
    </w:rPr>
  </w:style>
  <w:style w:type="paragraph" w:styleId="1292" w:customStyle="1">
    <w:name w:val="Table Text Char"/>
    <w:uiPriority w:val="0"/>
    <w:qFormat/>
    <w:pPr>
      <w:spacing w:before="80" w:after="80"/>
    </w:pPr>
    <w:rPr>
      <w:rFonts w:ascii="Arial" w:hAnsi="Arial" w:eastAsia="宋体" w:cs="Arial"/>
      <w:sz w:val="18"/>
      <w:szCs w:val="28"/>
      <w:lang w:val="en-US" w:eastAsia="zh-CN" w:bidi="ar-SA"/>
    </w:rPr>
  </w:style>
  <w:style w:type="paragraph" w:styleId="1293" w:customStyle="1">
    <w:name w:val="我的正文"/>
    <w:basedOn w:val="876"/>
    <w:uiPriority w:val="0"/>
    <w:qFormat/>
    <w:pPr>
      <w:ind w:firstLine="420"/>
      <w:spacing w:line="360" w:lineRule="auto"/>
      <w:widowControl/>
    </w:pPr>
    <w:rPr>
      <w:sz w:val="24"/>
      <w:szCs w:val="21"/>
      <w:lang w:val="en-US" w:bidi="ar-SA"/>
    </w:rPr>
  </w:style>
  <w:style w:type="paragraph" w:styleId="1294" w:customStyle="1">
    <w:name w:val="xl50"/>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95" w:customStyle="1">
    <w:name w:val="已访问的超链接1"/>
    <w:uiPriority w:val="0"/>
    <w:qFormat/>
    <w:rPr>
      <w:rFonts w:ascii="Times New Roman" w:hAnsi="Times New Roman" w:eastAsia="宋体" w:cs="Times New Roman"/>
      <w:color w:val="auto"/>
      <w:u w:val="none"/>
    </w:rPr>
  </w:style>
  <w:style w:type="paragraph" w:styleId="1296" w:customStyle="1">
    <w:name w:val="xl27"/>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97" w:customStyle="1">
    <w:name w:val="xl51"/>
    <w:basedOn w:val="876"/>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98" w:customStyle="1">
    <w:name w:val="00-合正"/>
    <w:basedOn w:val="876"/>
    <w:uiPriority w:val="0"/>
    <w:qFormat/>
    <w:pPr>
      <w:ind w:firstLine="200"/>
      <w:spacing w:line="560" w:lineRule="exact"/>
    </w:pPr>
    <w:rPr>
      <w:rFonts w:ascii="楷体" w:hAnsi="楷体" w:eastAsia="楷体" w:cs="Times New Roman"/>
      <w:color w:val="000000"/>
      <w:sz w:val="28"/>
      <w:szCs w:val="24"/>
      <w:lang w:val="en-US" w:bidi="ar-SA"/>
    </w:rPr>
  </w:style>
  <w:style w:type="paragraph" w:styleId="1299" w:customStyle="1">
    <w:name w:val="font5"/>
    <w:basedOn w:val="876"/>
    <w:uiPriority w:val="0"/>
    <w:qFormat/>
    <w:pPr>
      <w:ind w:firstLine="562"/>
      <w:spacing w:before="100" w:beforeAutospacing="1" w:after="100" w:afterAutospacing="1" w:line="360" w:lineRule="auto"/>
      <w:widowControl/>
    </w:pPr>
    <w:rPr>
      <w:sz w:val="18"/>
      <w:szCs w:val="18"/>
      <w:lang w:val="en-US" w:bidi="ar-SA"/>
    </w:rPr>
  </w:style>
  <w:style w:type="paragraph" w:styleId="1300" w:customStyle="1">
    <w:name w:val="华宇段落1 Char"/>
    <w:basedOn w:val="876"/>
    <w:uiPriority w:val="0"/>
    <w:qFormat/>
    <w:pPr>
      <w:ind w:firstLine="200"/>
      <w:jc w:val="both"/>
      <w:spacing w:line="360" w:lineRule="auto"/>
    </w:pPr>
    <w:rPr>
      <w:rFonts w:ascii="Times New Roman" w:hAnsi="Times New Roman" w:cs="Times New Roman"/>
      <w:bCs/>
      <w:sz w:val="24"/>
      <w:szCs w:val="24"/>
      <w:lang w:val="en-US" w:bidi="ar-SA"/>
    </w:rPr>
  </w:style>
  <w:style w:type="paragraph" w:styleId="1301" w:customStyle="1">
    <w:name w:val="xl25"/>
    <w:basedOn w:val="876"/>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302" w:customStyle="1">
    <w:name w:val="普通文字1 Char"/>
    <w:uiPriority w:val="0"/>
    <w:qFormat/>
    <w:rPr>
      <w:rFonts w:ascii="宋体" w:hAnsi="Times New Roman" w:eastAsia="宋体" w:cs="Times New Roman"/>
      <w:sz w:val="21"/>
      <w:szCs w:val="21"/>
      <w:lang w:val="en-US" w:eastAsia="zh-CN" w:bidi="ar-SA"/>
    </w:rPr>
  </w:style>
  <w:style w:type="paragraph" w:styleId="1303" w:customStyle="1">
    <w:name w:val="content_lineheight"/>
    <w:basedOn w:val="876"/>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304" w:customStyle="1">
    <w:name w:val="批注文字 Char"/>
    <w:uiPriority w:val="0"/>
    <w:qFormat/>
    <w:rPr>
      <w:rFonts w:ascii="Times New Roman" w:hAnsi="Times New Roman" w:eastAsia="宋体" w:cs="Times New Roman"/>
      <w:sz w:val="21"/>
      <w:lang w:val="en-US" w:eastAsia="zh-CN" w:bidi="ar-SA"/>
    </w:rPr>
  </w:style>
  <w:style w:type="paragraph" w:styleId="1305" w:customStyle="1">
    <w:name w:val="xl31"/>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306" w:customStyle="1">
    <w:name w:val="font81"/>
    <w:uiPriority w:val="0"/>
    <w:qFormat/>
    <w:rPr>
      <w:rFonts w:hint="eastAsia" w:ascii="宋体" w:hAnsi="宋体" w:eastAsia="宋体" w:cs="宋体"/>
      <w:color w:val="000000"/>
      <w:sz w:val="16"/>
      <w:szCs w:val="16"/>
      <w:u w:val="none"/>
    </w:rPr>
  </w:style>
  <w:style w:type="character" w:styleId="1307" w:customStyle="1">
    <w:name w:val="111111 Char"/>
    <w:link w:val="1308"/>
    <w:uiPriority w:val="0"/>
    <w:qFormat/>
    <w:rPr>
      <w:rFonts w:ascii="宋体" w:hAnsi="宋体" w:eastAsia="黑体" w:cs="宋体"/>
      <w:b/>
      <w:bCs/>
      <w:sz w:val="21"/>
      <w:szCs w:val="21"/>
    </w:rPr>
  </w:style>
  <w:style w:type="paragraph" w:styleId="1308" w:customStyle="1">
    <w:name w:val="111111"/>
    <w:basedOn w:val="876"/>
    <w:link w:val="1307"/>
    <w:uiPriority w:val="0"/>
    <w:qFormat/>
    <w:pPr>
      <w:ind w:firstLine="562"/>
      <w:jc w:val="center"/>
      <w:spacing w:before="120" w:after="120" w:line="360" w:lineRule="auto"/>
    </w:pPr>
    <w:rPr>
      <w:rFonts w:eastAsia="黑体"/>
      <w:b/>
      <w:bCs/>
      <w:sz w:val="21"/>
      <w:szCs w:val="21"/>
      <w:lang w:val="en-US" w:bidi="ar-SA"/>
    </w:rPr>
  </w:style>
  <w:style w:type="paragraph" w:styleId="1309" w:customStyle="1">
    <w:name w:val="xl58"/>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310" w:customStyle="1">
    <w:name w:val="concon"/>
    <w:uiPriority w:val="0"/>
    <w:qFormat/>
    <w:rPr>
      <w:rFonts w:ascii="Times New Roman" w:hAnsi="Times New Roman" w:eastAsia="宋体" w:cs="Times New Roman"/>
    </w:rPr>
  </w:style>
  <w:style w:type="character" w:styleId="1311" w:customStyle="1">
    <w:name w:val="content"/>
    <w:uiPriority w:val="0"/>
    <w:qFormat/>
    <w:rPr>
      <w:rFonts w:ascii="Times New Roman" w:hAnsi="Times New Roman" w:eastAsia="宋体" w:cs="Times New Roman"/>
    </w:rPr>
  </w:style>
  <w:style w:type="paragraph" w:styleId="1312" w:customStyle="1">
    <w:name w:val="标题6"/>
    <w:basedOn w:val="881"/>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313" w:customStyle="1">
    <w:name w:val="彩色列表 - 强调文字颜色 11"/>
    <w:basedOn w:val="876"/>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314" w:customStyle="1">
    <w:name w:val="Normal2"/>
    <w:basedOn w:val="876"/>
    <w:uiPriority w:val="0"/>
    <w:qFormat/>
    <w:pPr>
      <w:ind w:firstLine="562"/>
      <w:jc w:val="both"/>
      <w:spacing w:line="360" w:lineRule="auto"/>
    </w:pPr>
    <w:rPr>
      <w:rFonts w:ascii="Calibri" w:hAnsi="Calibri" w:eastAsia="Calibri"/>
      <w:sz w:val="24"/>
      <w:szCs w:val="24"/>
      <w:lang w:bidi="ar-SA"/>
    </w:rPr>
  </w:style>
  <w:style w:type="paragraph" w:styleId="1315" w:customStyle="1">
    <w:name w:val="Char Char Char Char Char Char Char Char Char Char 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316" w:customStyle="1">
    <w:name w:val="插图"/>
    <w:basedOn w:val="876"/>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317" w:customStyle="1">
    <w:name w:val="大标题"/>
    <w:basedOn w:val="876"/>
    <w:next w:val="876"/>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318" w:customStyle="1">
    <w:name w:val="Test2"/>
    <w:basedOn w:val="878"/>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319" w:customStyle="1">
    <w:name w:val="xl39"/>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320" w:customStyle="1">
    <w:name w:val="case31"/>
    <w:uiPriority w:val="0"/>
    <w:qFormat/>
    <w:rPr>
      <w:rFonts w:ascii="Times New Roman" w:hAnsi="Times New Roman" w:eastAsia="宋体" w:cs="Times New Roman"/>
      <w:sz w:val="21"/>
      <w:szCs w:val="21"/>
    </w:rPr>
  </w:style>
  <w:style w:type="paragraph" w:styleId="1321" w:customStyle="1">
    <w:name w:val="论文正文"/>
    <w:basedOn w:val="912"/>
    <w:uiPriority w:val="0"/>
    <w:qFormat/>
    <w:pPr>
      <w:ind w:left="0" w:firstLine="200"/>
      <w:jc w:val="left"/>
    </w:pPr>
    <w:rPr>
      <w:rFonts w:ascii="Times New Roman" w:hAnsi="Times New Roman" w:eastAsia="宋体" w:cs="Times New Roman"/>
      <w:sz w:val="28"/>
    </w:rPr>
  </w:style>
  <w:style w:type="character" w:styleId="1322" w:customStyle="1">
    <w:name w:val="l-selected"/>
    <w:uiPriority w:val="0"/>
    <w:qFormat/>
    <w:rPr>
      <w:rFonts w:ascii="Times New Roman" w:hAnsi="Times New Roman" w:eastAsia="宋体" w:cs="Times New Roman"/>
      <w:color w:val="355686"/>
      <w:shd w:val="clear" w:color="auto" w:fill="ffffff"/>
    </w:rPr>
  </w:style>
  <w:style w:type="paragraph" w:styleId="1323" w:customStyle="1">
    <w:name w:val="样式"/>
    <w:basedOn w:val="876"/>
    <w:uiPriority w:val="0"/>
    <w:qFormat/>
    <w:pPr>
      <w:ind w:firstLine="562"/>
      <w:jc w:val="both"/>
      <w:spacing w:before="120" w:after="120" w:line="360" w:lineRule="auto"/>
    </w:pPr>
    <w:rPr>
      <w:rFonts w:hAnsi="Times New Roman" w:cs="Times New Roman"/>
      <w:sz w:val="24"/>
      <w:szCs w:val="24"/>
      <w:lang w:val="en-US" w:bidi="ar-SA"/>
    </w:rPr>
  </w:style>
  <w:style w:type="paragraph" w:styleId="1324" w:customStyle="1">
    <w:name w:val="段"/>
    <w:next w:val="876"/>
    <w:uiPriority w:val="0"/>
    <w:qFormat/>
    <w:pPr>
      <w:ind w:firstLine="200"/>
      <w:jc w:val="both"/>
    </w:pPr>
    <w:rPr>
      <w:rFonts w:ascii="宋体" w:hAnsi="Times New Roman" w:eastAsia="宋体" w:cs="Times New Roman"/>
      <w:sz w:val="21"/>
      <w:lang w:val="en-US" w:eastAsia="zh-CN" w:bidi="ar-SA"/>
    </w:rPr>
  </w:style>
  <w:style w:type="paragraph" w:styleId="1325" w:customStyle="1">
    <w:name w:val="段落"/>
    <w:basedOn w:val="876"/>
    <w:uiPriority w:val="0"/>
    <w:qFormat/>
    <w:pPr>
      <w:ind w:firstLine="480"/>
      <w:jc w:val="both"/>
      <w:spacing w:line="460" w:lineRule="exact"/>
    </w:pPr>
    <w:rPr>
      <w:rFonts w:ascii="Times New Roman" w:hAnsi="Times New Roman" w:cs="Times New Roman"/>
      <w:sz w:val="24"/>
      <w:szCs w:val="24"/>
      <w:lang w:val="en-US" w:bidi="ar-SA"/>
    </w:rPr>
  </w:style>
  <w:style w:type="paragraph" w:styleId="1326" w:customStyle="1">
    <w:name w:val="xl29"/>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27" w:customStyle="1">
    <w:name w:val="纯文本 Char Char"/>
    <w:uiPriority w:val="0"/>
    <w:qFormat/>
    <w:rPr>
      <w:rFonts w:ascii="宋体" w:hAnsi="Courier New" w:eastAsia="宋体" w:cs="Times New Roman"/>
      <w:sz w:val="21"/>
      <w:szCs w:val="21"/>
      <w:lang w:val="en-US" w:eastAsia="zh-CN" w:bidi="ar-SA"/>
    </w:rPr>
  </w:style>
  <w:style w:type="paragraph" w:styleId="1328" w:customStyle="1">
    <w:name w:val="Default Text"/>
    <w:basedOn w:val="876"/>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329" w:customStyle="1">
    <w:name w:val="title_emph1"/>
    <w:uiPriority w:val="0"/>
    <w:qFormat/>
    <w:rPr>
      <w:rFonts w:ascii="Arial" w:hAnsi="Times New Roman" w:eastAsia="宋体" w:cs="Arial"/>
      <w:b/>
      <w:bCs/>
      <w:sz w:val="18"/>
      <w:szCs w:val="18"/>
    </w:rPr>
  </w:style>
  <w:style w:type="paragraph" w:styleId="1330" w:customStyle="1">
    <w:name w:val="p0"/>
    <w:basedOn w:val="876"/>
    <w:uiPriority w:val="0"/>
    <w:qFormat/>
    <w:pPr>
      <w:ind w:firstLine="562"/>
      <w:spacing w:before="100" w:beforeAutospacing="1" w:after="100" w:afterAutospacing="1" w:line="360" w:lineRule="auto"/>
      <w:widowControl/>
    </w:pPr>
    <w:rPr>
      <w:sz w:val="24"/>
      <w:szCs w:val="24"/>
      <w:lang w:val="en-US" w:bidi="ar-SA"/>
    </w:rPr>
  </w:style>
  <w:style w:type="character" w:styleId="1331" w:customStyle="1">
    <w:name w:val="列出段落 Char"/>
    <w:link w:val="1131"/>
    <w:uiPriority w:val="0"/>
    <w:qFormat/>
    <w:rPr>
      <w:rFonts w:ascii="宋体" w:hAnsi="宋体" w:cs="宋体"/>
      <w:sz w:val="22"/>
      <w:szCs w:val="22"/>
      <w:lang w:val="zh-CN" w:bidi="zh-CN"/>
    </w:rPr>
  </w:style>
  <w:style w:type="paragraph" w:styleId="1332" w:customStyle="1">
    <w:name w:val="xl48"/>
    <w:basedOn w:val="876"/>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333" w:customStyle="1">
    <w:name w:val="2nd level Char"/>
    <w:uiPriority w:val="0"/>
    <w:qFormat/>
    <w:rPr>
      <w:rFonts w:ascii="Arial" w:hAnsi="Arial" w:eastAsia="黑体" w:cs="Times New Roman"/>
      <w:b/>
      <w:bCs/>
      <w:sz w:val="32"/>
      <w:szCs w:val="32"/>
      <w:lang w:val="en-US" w:eastAsia="zh-CN" w:bidi="ar-SA"/>
    </w:rPr>
  </w:style>
  <w:style w:type="character" w:styleId="1334" w:customStyle="1">
    <w:name w:val="Char Char21"/>
    <w:uiPriority w:val="0"/>
    <w:qFormat/>
    <w:rPr>
      <w:rFonts w:ascii="Arial" w:hAnsi="Arial" w:eastAsia="黑体" w:cs="Times New Roman"/>
      <w:sz w:val="24"/>
      <w:szCs w:val="24"/>
    </w:rPr>
  </w:style>
  <w:style w:type="paragraph" w:styleId="1335" w:customStyle="1">
    <w:name w:val="样式4 Char"/>
    <w:basedOn w:val="876"/>
    <w:uiPriority w:val="0"/>
    <w:qFormat/>
    <w:pPr>
      <w:ind w:firstLine="480"/>
      <w:spacing w:line="360" w:lineRule="auto"/>
      <w:widowControl/>
    </w:pPr>
    <w:rPr>
      <w:rFonts w:ascii="Times New Roman" w:hAnsi="Times New Roman"/>
      <w:color w:val="000000"/>
      <w:sz w:val="24"/>
      <w:szCs w:val="24"/>
      <w:lang w:val="en-US" w:bidi="ar-SA"/>
    </w:rPr>
  </w:style>
  <w:style w:type="paragraph" w:styleId="1336" w:customStyle="1">
    <w:name w:val="xl38"/>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337" w:customStyle="1">
    <w:name w:val="_Style 317"/>
    <w:uiPriority w:val="0"/>
    <w:qFormat/>
    <w:rPr>
      <w:rFonts w:ascii="Times New Roman" w:hAnsi="Times New Roman" w:eastAsia="宋体" w:cs="Times New Roman"/>
      <w:sz w:val="21"/>
      <w:szCs w:val="24"/>
      <w:lang w:val="en-US" w:eastAsia="zh-CN" w:bidi="ar-SA"/>
    </w:rPr>
  </w:style>
  <w:style w:type="paragraph" w:styleId="1338" w:customStyle="1">
    <w:name w:val="Char Char Char Char Char"/>
    <w:basedOn w:val="876"/>
    <w:uiPriority w:val="0"/>
    <w:qFormat/>
    <w:pPr>
      <w:ind w:firstLine="562"/>
      <w:jc w:val="both"/>
      <w:spacing w:line="360" w:lineRule="auto"/>
    </w:pPr>
    <w:rPr>
      <w:rFonts w:ascii="Tahoma" w:hAnsi="Tahoma" w:cs="Tahoma"/>
      <w:sz w:val="24"/>
      <w:szCs w:val="24"/>
      <w:lang w:val="en-US" w:bidi="ar-SA"/>
    </w:rPr>
  </w:style>
  <w:style w:type="character" w:styleId="1339" w:customStyle="1">
    <w:name w:val="标题 Char1"/>
    <w:uiPriority w:val="0"/>
    <w:qFormat/>
    <w:rPr>
      <w:rFonts w:ascii="Cambria" w:hAnsi="Times New Roman" w:eastAsia="宋体" w:cs="Times New Roman"/>
      <w:b/>
      <w:bCs/>
      <w:sz w:val="32"/>
      <w:szCs w:val="32"/>
    </w:rPr>
  </w:style>
  <w:style w:type="paragraph" w:styleId="1340" w:customStyle="1">
    <w:name w:val="A."/>
    <w:basedOn w:val="876"/>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41" w:customStyle="1">
    <w:name w:val="小四 段落 宋体 Char Char Char1"/>
    <w:uiPriority w:val="0"/>
    <w:qFormat/>
    <w:rPr>
      <w:rFonts w:ascii="宋体" w:hAnsi="宋体" w:eastAsia="宋体" w:cs="Times New Roman"/>
      <w:sz w:val="24"/>
      <w:szCs w:val="24"/>
      <w:lang w:val="en-US" w:eastAsia="zh-CN" w:bidi="ar-SA"/>
    </w:rPr>
  </w:style>
  <w:style w:type="character" w:styleId="1342" w:customStyle="1">
    <w:name w:val="point_normal1"/>
    <w:uiPriority w:val="0"/>
    <w:qFormat/>
    <w:rPr>
      <w:rFonts w:hint="default" w:ascii="Arial" w:hAnsi="Arial" w:eastAsia="宋体" w:cs="Arial"/>
      <w:sz w:val="18"/>
      <w:szCs w:val="18"/>
    </w:rPr>
  </w:style>
  <w:style w:type="character" w:styleId="1343" w:customStyle="1">
    <w:name w:val="纯文本 Char Char Char"/>
    <w:uiPriority w:val="0"/>
    <w:qFormat/>
    <w:rPr>
      <w:rFonts w:ascii="宋体" w:hAnsi="Courier New" w:eastAsia="宋体" w:cs="Times New Roman"/>
      <w:sz w:val="21"/>
      <w:szCs w:val="21"/>
      <w:lang w:val="en-US" w:eastAsia="zh-CN" w:bidi="ar-SA"/>
    </w:rPr>
  </w:style>
  <w:style w:type="character" w:styleId="134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45" w:customStyle="1">
    <w:name w:val="xl45"/>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46" w:customStyle="1">
    <w:name w:val="Char Char27"/>
    <w:uiPriority w:val="0"/>
    <w:qFormat/>
    <w:rPr>
      <w:rFonts w:ascii="Times New Roman" w:hAnsi="Times New Roman" w:eastAsia="宋体" w:cs="Times New Roman"/>
      <w:b/>
      <w:bCs/>
      <w:sz w:val="44"/>
      <w:szCs w:val="44"/>
    </w:rPr>
  </w:style>
  <w:style w:type="paragraph" w:styleId="1347" w:customStyle="1">
    <w:name w:val="Char Char Char Char Char Char Char1 Char"/>
    <w:basedOn w:val="876"/>
    <w:uiPriority w:val="0"/>
    <w:qFormat/>
    <w:pPr>
      <w:ind w:firstLine="562"/>
      <w:jc w:val="both"/>
      <w:spacing w:line="360" w:lineRule="auto"/>
    </w:pPr>
    <w:rPr>
      <w:rFonts w:ascii="Tahoma" w:hAnsi="Tahoma" w:cs="Tahoma"/>
      <w:sz w:val="24"/>
      <w:szCs w:val="24"/>
      <w:lang w:val="en-US" w:bidi="ar-SA"/>
    </w:rPr>
  </w:style>
  <w:style w:type="paragraph" w:styleId="1348" w:customStyle="1">
    <w:name w:val="xl30"/>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49" w:customStyle="1">
    <w:name w:val="[Normal]"/>
    <w:uiPriority w:val="0"/>
    <w:qFormat/>
    <w:rPr>
      <w:rFonts w:ascii="方正仿宋简体" w:hAnsi="方正仿宋简体" w:eastAsia="方正仿宋简体" w:cs="Courier New"/>
      <w:sz w:val="24"/>
      <w:szCs w:val="22"/>
      <w:lang w:val="zh-CN" w:eastAsia="zh-CN" w:bidi="ar-SA"/>
    </w:rPr>
  </w:style>
  <w:style w:type="paragraph" w:styleId="1350" w:customStyle="1">
    <w:name w:val="符号与编号 Char"/>
    <w:basedOn w:val="876"/>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51" w:customStyle="1">
    <w:name w:val="xl24"/>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52" w:customStyle="1">
    <w:name w:val="_Style 188"/>
    <w:uiPriority w:val="0"/>
    <w:qFormat/>
    <w:rPr>
      <w:rFonts w:ascii="Times New Roman" w:hAnsi="Times New Roman" w:eastAsia="宋体" w:cs="Times New Roman"/>
      <w:b/>
      <w:bCs/>
    </w:rPr>
  </w:style>
  <w:style w:type="paragraph" w:styleId="1353" w:customStyle="1">
    <w:name w:val="正文文本 21"/>
    <w:basedOn w:val="876"/>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5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55" w:customStyle="1">
    <w:name w:val="样式 样式 首行缩进:  2 字符 + 行距: 1.5 倍行距"/>
    <w:basedOn w:val="876"/>
    <w:uiPriority w:val="0"/>
    <w:qFormat/>
    <w:pPr>
      <w:ind w:firstLine="470"/>
      <w:jc w:val="both"/>
      <w:spacing w:line="360" w:lineRule="auto"/>
    </w:pPr>
    <w:rPr>
      <w:rFonts w:ascii="Times New Roman" w:hAnsi="Times New Roman" w:cs="Times New Roman"/>
      <w:sz w:val="24"/>
      <w:szCs w:val="24"/>
      <w:lang w:val="en-US" w:bidi="ar-SA"/>
    </w:rPr>
  </w:style>
  <w:style w:type="character" w:styleId="1356" w:customStyle="1">
    <w:name w:val="content_lineheight1"/>
    <w:uiPriority w:val="0"/>
    <w:qFormat/>
    <w:rPr>
      <w:rFonts w:ascii="Times New Roman" w:hAnsi="Times New Roman" w:eastAsia="宋体" w:cs="Times New Roman"/>
    </w:rPr>
  </w:style>
  <w:style w:type="paragraph" w:styleId="1357" w:customStyle="1">
    <w:name w:val="font6"/>
    <w:basedOn w:val="876"/>
    <w:uiPriority w:val="0"/>
    <w:qFormat/>
    <w:pPr>
      <w:ind w:firstLine="562"/>
      <w:spacing w:before="100" w:beforeAutospacing="1" w:after="100" w:afterAutospacing="1" w:line="360" w:lineRule="auto"/>
      <w:widowControl/>
    </w:pPr>
    <w:rPr>
      <w:b/>
      <w:bCs/>
      <w:sz w:val="20"/>
      <w:szCs w:val="24"/>
      <w:lang w:val="en-US" w:bidi="ar-SA"/>
    </w:rPr>
  </w:style>
  <w:style w:type="paragraph" w:styleId="1358" w:customStyle="1">
    <w:name w:val="font7"/>
    <w:basedOn w:val="876"/>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59" w:customStyle="1">
    <w:name w:val="￥正文 Char"/>
    <w:link w:val="1220"/>
    <w:uiPriority w:val="0"/>
    <w:qFormat/>
    <w:rPr>
      <w:rFonts w:ascii="宋体" w:hAnsi="宋体" w:cs="宋体"/>
      <w:sz w:val="24"/>
      <w:szCs w:val="24"/>
    </w:rPr>
  </w:style>
  <w:style w:type="paragraph" w:styleId="1360" w:customStyle="1">
    <w:name w:val="项目符号：一级"/>
    <w:basedOn w:val="1241"/>
    <w:next w:val="1241"/>
    <w:uiPriority w:val="0"/>
    <w:qFormat/>
    <w:pPr>
      <w:ind w:right="-134"/>
    </w:pPr>
    <w:rPr>
      <w:rFonts w:ascii="Times New Roman" w:hAnsi="Times New Roman"/>
      <w:bCs w:val="0"/>
    </w:rPr>
  </w:style>
  <w:style w:type="paragraph" w:styleId="1361" w:customStyle="1">
    <w:name w:val="xl56"/>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62" w:customStyle="1">
    <w:name w:val="ih151"/>
    <w:uiPriority w:val="0"/>
    <w:qFormat/>
    <w:rPr>
      <w:rFonts w:ascii="Times New Roman" w:hAnsi="Times New Roman" w:eastAsia="宋体" w:cs="Times New Roman"/>
      <w:color w:val="666666"/>
      <w:sz w:val="18"/>
      <w:szCs w:val="18"/>
      <w:u w:val="none"/>
    </w:rPr>
  </w:style>
  <w:style w:type="paragraph" w:styleId="1363" w:customStyle="1">
    <w:name w:val="Char Char1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364" w:customStyle="1">
    <w:name w:val="样式 标题 2第一章 标题 2Heading 2 HiddenHeading 2 CCBSheading 2H2h2..."/>
    <w:basedOn w:val="878"/>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65" w:customStyle="1">
    <w:name w:val="l-open"/>
    <w:uiPriority w:val="0"/>
    <w:qFormat/>
    <w:rPr>
      <w:rFonts w:ascii="Times New Roman" w:hAnsi="Times New Roman" w:eastAsia="宋体" w:cs="Times New Roman"/>
    </w:rPr>
  </w:style>
  <w:style w:type="paragraph" w:styleId="1366" w:customStyle="1">
    <w:name w:val="font14"/>
    <w:basedOn w:val="876"/>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67" w:customStyle="1">
    <w:name w:val="xl53"/>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68" w:customStyle="1">
    <w:name w:val="样式 小四 行距: 固定值 25 磅8"/>
    <w:basedOn w:val="876"/>
    <w:next w:val="876"/>
    <w:uiPriority w:val="0"/>
    <w:qFormat/>
    <w:pPr>
      <w:ind w:firstLine="464"/>
      <w:jc w:val="both"/>
      <w:spacing w:line="500" w:lineRule="exact"/>
    </w:pPr>
    <w:rPr>
      <w:rFonts w:ascii="Times New Roman" w:hAnsi="Times New Roman"/>
      <w:sz w:val="24"/>
      <w:szCs w:val="24"/>
      <w:lang w:val="en-US" w:bidi="ar-SA"/>
    </w:rPr>
  </w:style>
  <w:style w:type="paragraph" w:styleId="1369" w:customStyle="1">
    <w:name w:val="xl40"/>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70" w:customStyle="1">
    <w:name w:val="样式 标题 3H3sect1.2.3BOD 0Heading 3 - oldh3l3CTLevel 3 Head..."/>
    <w:basedOn w:val="879"/>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71" w:customStyle="1">
    <w:name w:val="Char Char2"/>
    <w:uiPriority w:val="0"/>
    <w:qFormat/>
    <w:rPr>
      <w:rFonts w:ascii="宋体" w:hAnsi="Courier New" w:eastAsia="宋体" w:cs="Times New Roman"/>
      <w:sz w:val="21"/>
      <w:szCs w:val="21"/>
      <w:lang w:val="en-US" w:eastAsia="zh-CN" w:bidi="ar-SA"/>
    </w:rPr>
  </w:style>
  <w:style w:type="paragraph" w:styleId="1372" w:customStyle="1">
    <w:name w:val="普通正文"/>
    <w:basedOn w:val="876"/>
    <w:uiPriority w:val="0"/>
    <w:qFormat/>
    <w:pPr>
      <w:ind w:firstLine="480"/>
      <w:spacing w:line="360" w:lineRule="auto"/>
    </w:pPr>
    <w:rPr>
      <w:rFonts w:ascii="Arial" w:hAnsi="Arial" w:cs="Times New Roman"/>
      <w:sz w:val="24"/>
      <w:szCs w:val="24"/>
      <w:lang w:val="en-US" w:bidi="ar-SA"/>
    </w:rPr>
  </w:style>
  <w:style w:type="paragraph" w:styleId="1373" w:customStyle="1">
    <w:name w:val="正文1"/>
    <w:basedOn w:val="876"/>
    <w:next w:val="876"/>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74" w:customStyle="1">
    <w:name w:val="特点 Char1"/>
    <w:uiPriority w:val="0"/>
    <w:qFormat/>
    <w:rPr>
      <w:rFonts w:ascii="Times New Roman" w:hAnsi="Times New Roman" w:eastAsia="宋体" w:cs="Times New Roman"/>
      <w:sz w:val="21"/>
      <w:lang w:val="en-US" w:eastAsia="zh-CN" w:bidi="ar-SA"/>
    </w:rPr>
  </w:style>
  <w:style w:type="paragraph" w:styleId="137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character" w:styleId="1376" w:customStyle="1">
    <w:name w:val="_Style 150"/>
    <w:uiPriority w:val="0"/>
    <w:qFormat/>
    <w:rPr>
      <w:rFonts w:ascii="Times New Roman" w:hAnsi="Times New Roman" w:eastAsia="宋体" w:cs="Times New Roman"/>
      <w:i/>
      <w:iCs/>
    </w:rPr>
  </w:style>
  <w:style w:type="paragraph" w:styleId="1377" w:customStyle="1">
    <w:name w:val="小四 段落 宋体 Char Char"/>
    <w:basedOn w:val="876"/>
    <w:uiPriority w:val="0"/>
    <w:qFormat/>
    <w:pPr>
      <w:ind w:firstLine="480"/>
      <w:jc w:val="both"/>
      <w:spacing w:line="360" w:lineRule="auto"/>
    </w:pPr>
    <w:rPr>
      <w:rFonts w:cs="Times New Roman"/>
      <w:sz w:val="24"/>
      <w:szCs w:val="24"/>
      <w:lang w:val="en-US" w:bidi="ar-SA"/>
    </w:rPr>
  </w:style>
  <w:style w:type="paragraph" w:styleId="1378" w:customStyle="1">
    <w:name w:val="xl37"/>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79" w:customStyle="1">
    <w:name w:val="Char Char1 Char Char Char Char"/>
    <w:basedOn w:val="896"/>
    <w:uiPriority w:val="0"/>
    <w:qFormat/>
    <w:pPr>
      <w:ind w:left="357"/>
      <w:jc w:val="left"/>
      <w:spacing w:line="436" w:lineRule="exact"/>
      <w:outlineLvl w:val="3"/>
    </w:pPr>
    <w:rPr>
      <w:rFonts w:ascii="Tahoma" w:hAnsi="Tahoma" w:cs="Tahoma"/>
      <w:b/>
    </w:rPr>
  </w:style>
  <w:style w:type="paragraph" w:styleId="1380" w:customStyle="1">
    <w:name w:val="普通文字"/>
    <w:basedOn w:val="876"/>
    <w:next w:val="876"/>
    <w:uiPriority w:val="0"/>
    <w:qFormat/>
    <w:pPr>
      <w:ind w:firstLine="562"/>
      <w:jc w:val="both"/>
      <w:spacing w:line="360" w:lineRule="auto"/>
    </w:pPr>
    <w:rPr>
      <w:sz w:val="24"/>
      <w:szCs w:val="24"/>
      <w:lang w:val="en-US" w:bidi="ar-SA"/>
    </w:rPr>
  </w:style>
  <w:style w:type="paragraph" w:styleId="1381" w:customStyle="1">
    <w:name w:val="标题 4宋体"/>
    <w:basedOn w:val="880"/>
    <w:uiPriority w:val="0"/>
    <w:qFormat/>
    <w:pPr>
      <w:ind w:left="0" w:firstLine="562"/>
      <w:keepNext/>
      <w:spacing w:line="360" w:lineRule="auto"/>
    </w:pPr>
    <w:rPr>
      <w:rFonts w:cs="Times New Roman"/>
      <w:b/>
      <w:bCs/>
      <w:color w:val="000000"/>
      <w:lang w:val="en-US" w:bidi="ar-SA"/>
    </w:rPr>
  </w:style>
  <w:style w:type="paragraph" w:styleId="1382" w:customStyle="1">
    <w:name w:val="表格内容"/>
    <w:basedOn w:val="876"/>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83" w:customStyle="1">
    <w:name w:val="标题 3 Char"/>
    <w:uiPriority w:val="0"/>
    <w:qFormat/>
    <w:rPr>
      <w:rFonts w:ascii="宋体" w:hAnsi="宋体" w:eastAsia="宋体" w:cs="Times New Roman"/>
      <w:b/>
      <w:bCs/>
      <w:sz w:val="24"/>
      <w:szCs w:val="32"/>
      <w:lang w:val="en-US" w:eastAsia="zh-CN" w:bidi="ar-SA"/>
    </w:rPr>
  </w:style>
  <w:style w:type="paragraph" w:styleId="1384" w:customStyle="1">
    <w:name w:val="00-表格的正文"/>
    <w:basedOn w:val="876"/>
    <w:uiPriority w:val="0"/>
    <w:qFormat/>
    <w:pPr>
      <w:ind w:firstLine="562"/>
      <w:spacing w:line="440" w:lineRule="exact"/>
    </w:pPr>
    <w:rPr>
      <w:rFonts w:ascii="楷体" w:hAnsi="楷体" w:cs="Times New Roman"/>
      <w:color w:val="000000"/>
      <w:sz w:val="20"/>
      <w:szCs w:val="24"/>
      <w:lang w:val="en-US" w:bidi="ar-SA"/>
    </w:rPr>
  </w:style>
  <w:style w:type="paragraph" w:styleId="1385" w:customStyle="1">
    <w:name w:val="Char Char Char Char Char Char Char Char Char Char Char Char Char"/>
    <w:basedOn w:val="896"/>
    <w:uiPriority w:val="0"/>
    <w:qFormat/>
    <w:rPr>
      <w:rFonts w:ascii="Tahoma" w:hAnsi="Tahoma" w:cs="Times New Roman"/>
    </w:rPr>
  </w:style>
  <w:style w:type="paragraph" w:styleId="1386" w:customStyle="1">
    <w:name w:val="一级条标题"/>
    <w:basedOn w:val="1387"/>
    <w:next w:val="1324"/>
    <w:uiPriority w:val="0"/>
    <w:qFormat/>
    <w:pPr>
      <w:outlineLvl w:val="2"/>
    </w:pPr>
    <w:rPr>
      <w:rFonts w:ascii="Calibri" w:hAnsi="Calibri"/>
      <w:szCs w:val="21"/>
    </w:rPr>
  </w:style>
  <w:style w:type="paragraph" w:styleId="1387" w:customStyle="1">
    <w:name w:val="章标题"/>
    <w:next w:val="132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88" w:customStyle="1">
    <w:name w:val="标准文本"/>
    <w:basedOn w:val="876"/>
    <w:uiPriority w:val="0"/>
    <w:qFormat/>
    <w:pPr>
      <w:ind w:firstLine="480"/>
      <w:jc w:val="both"/>
      <w:spacing w:line="360" w:lineRule="auto"/>
    </w:pPr>
    <w:rPr>
      <w:rFonts w:ascii="Times New Roman" w:hAnsi="Times New Roman"/>
      <w:sz w:val="24"/>
      <w:szCs w:val="24"/>
      <w:lang w:val="en-US" w:bidi="ar-SA"/>
    </w:rPr>
  </w:style>
  <w:style w:type="paragraph" w:styleId="1389" w:customStyle="1">
    <w:name w:val="font9"/>
    <w:basedOn w:val="876"/>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90" w:customStyle="1">
    <w:name w:val="style13"/>
    <w:uiPriority w:val="0"/>
    <w:qFormat/>
    <w:rPr>
      <w:rFonts w:ascii="Times New Roman" w:hAnsi="Times New Roman" w:eastAsia="宋体" w:cs="Times New Roman"/>
      <w:sz w:val="18"/>
      <w:szCs w:val="18"/>
    </w:rPr>
  </w:style>
  <w:style w:type="character" w:styleId="1391" w:customStyle="1">
    <w:name w:val="标准文本 Char"/>
    <w:uiPriority w:val="0"/>
    <w:qFormat/>
    <w:rPr>
      <w:rFonts w:ascii="Times New Roman" w:hAnsi="Times New Roman" w:eastAsia="宋体" w:cs="宋体"/>
      <w:sz w:val="24"/>
      <w:szCs w:val="24"/>
      <w:lang w:val="en-US" w:eastAsia="zh-CN" w:bidi="ar-SA"/>
    </w:rPr>
  </w:style>
  <w:style w:type="paragraph" w:styleId="1392" w:customStyle="1">
    <w:name w:val="样式2"/>
    <w:basedOn w:val="876"/>
    <w:uiPriority w:val="0"/>
    <w:qFormat/>
    <w:pPr>
      <w:ind w:left="200" w:firstLine="562"/>
      <w:jc w:val="both"/>
      <w:spacing w:line="360" w:lineRule="auto"/>
    </w:pPr>
    <w:rPr>
      <w:rFonts w:cs="Times New Roman"/>
      <w:b/>
      <w:sz w:val="24"/>
      <w:szCs w:val="24"/>
      <w:lang w:val="en-US" w:bidi="ar-SA"/>
    </w:rPr>
  </w:style>
  <w:style w:type="paragraph" w:styleId="1393" w:customStyle="1">
    <w:name w:val="马刚标题4"/>
    <w:basedOn w:val="1274"/>
    <w:next w:val="876"/>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94" w:customStyle="1">
    <w:name w:val="小四 段落 宋体 Char"/>
    <w:basedOn w:val="892"/>
    <w:uiPriority w:val="0"/>
    <w:qFormat/>
    <w:pPr>
      <w:ind w:left="0" w:right="-33" w:firstLine="600"/>
      <w:jc w:val="left"/>
      <w:tabs>
        <w:tab w:val="clear" w:pos="2952" w:leader="none"/>
      </w:tabs>
    </w:pPr>
    <w:rPr>
      <w:rFonts w:ascii="仿宋_GB2312" w:eastAsia="仿宋_GB2312"/>
      <w:sz w:val="30"/>
      <w:szCs w:val="30"/>
    </w:rPr>
  </w:style>
  <w:style w:type="paragraph" w:styleId="1395" w:customStyle="1">
    <w:name w:val="Normal1"/>
    <w:basedOn w:val="876"/>
    <w:uiPriority w:val="0"/>
    <w:qFormat/>
    <w:pPr>
      <w:ind w:firstLine="562"/>
      <w:jc w:val="both"/>
      <w:spacing w:line="360" w:lineRule="auto"/>
    </w:pPr>
    <w:rPr>
      <w:rFonts w:ascii="Calibri" w:hAnsi="Calibri" w:eastAsia="Calibri"/>
      <w:sz w:val="24"/>
      <w:szCs w:val="24"/>
      <w:lang w:bidi="ar-SA"/>
    </w:rPr>
  </w:style>
  <w:style w:type="paragraph" w:styleId="1396" w:customStyle="1">
    <w:name w:val="样式 样式 标题 3H3sect1.2.3BOD 0Heading 3 - oldh3l3CTLevel 3 Head... +..."/>
    <w:basedOn w:val="876"/>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97" w:customStyle="1">
    <w:name w:val="xl41"/>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98" w:customStyle="1">
    <w:name w:val="Char Char28"/>
    <w:uiPriority w:val="0"/>
    <w:qFormat/>
    <w:rPr>
      <w:rFonts w:ascii="Arial" w:hAnsi="Arial" w:eastAsia="黑体" w:cs="Arial"/>
      <w:b/>
      <w:bCs/>
      <w:sz w:val="32"/>
      <w:szCs w:val="32"/>
    </w:rPr>
  </w:style>
  <w:style w:type="paragraph" w:styleId="1399" w:customStyle="1">
    <w:name w:val="xl26"/>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400" w:customStyle="1">
    <w:name w:val="Char Char1 Char Char Char Char1 Char Char Char Char Char Char"/>
    <w:basedOn w:val="876"/>
    <w:uiPriority w:val="0"/>
    <w:qFormat/>
    <w:pPr>
      <w:ind w:firstLine="562"/>
      <w:jc w:val="both"/>
      <w:spacing w:line="360" w:lineRule="auto"/>
    </w:pPr>
    <w:rPr>
      <w:rFonts w:ascii="Tahoma" w:hAnsi="Tahoma" w:cs="Times New Roman"/>
      <w:sz w:val="24"/>
      <w:szCs w:val="24"/>
      <w:lang w:val="en-US" w:bidi="ar-SA"/>
    </w:rPr>
  </w:style>
  <w:style w:type="paragraph" w:styleId="1401" w:customStyle="1">
    <w:name w:val="xl57"/>
    <w:basedOn w:val="876"/>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402" w:customStyle="1">
    <w:name w:val="xl34"/>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403" w:customStyle="1">
    <w:name w:val="Char Char24"/>
    <w:uiPriority w:val="0"/>
    <w:qFormat/>
    <w:rPr>
      <w:rFonts w:ascii="Times New Roman" w:hAnsi="Times New Roman" w:eastAsia="宋体" w:cs="Times New Roman"/>
      <w:b/>
      <w:bCs/>
      <w:sz w:val="28"/>
      <w:szCs w:val="28"/>
    </w:rPr>
  </w:style>
  <w:style w:type="paragraph" w:styleId="1404" w:customStyle="1">
    <w:name w:val="样式 样式 首行缩进:  0.74 厘米 行距: 1.5 倍行距 + 段后: 0.5 行"/>
    <w:basedOn w:val="876"/>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405" w:customStyle="1">
    <w:name w:val="表蕊"/>
    <w:basedOn w:val="876"/>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406" w:customStyle="1">
    <w:name w:val="默认段落字体 Para Char Char Char Char Char Char Char Char Char1 Char Char Char Char Char Char Char"/>
    <w:basedOn w:val="896"/>
    <w:uiPriority w:val="0"/>
    <w:qFormat/>
    <w:rPr>
      <w:rFonts w:ascii="Times New Roman" w:hAnsi="Times New Roman" w:cs="Times New Roman"/>
    </w:rPr>
  </w:style>
  <w:style w:type="character" w:styleId="1407" w:customStyle="1">
    <w:name w:val="正文缩进 Char1"/>
    <w:link w:val="1408"/>
    <w:uiPriority w:val="0"/>
    <w:qFormat/>
  </w:style>
  <w:style w:type="paragraph" w:styleId="1408" w:customStyle="1">
    <w:name w:val="Normal Indent1"/>
    <w:basedOn w:val="876"/>
    <w:link w:val="1407"/>
    <w:uiPriority w:val="0"/>
    <w:qFormat/>
    <w:pPr>
      <w:ind w:firstLine="420"/>
      <w:jc w:val="both"/>
      <w:spacing w:line="360" w:lineRule="auto"/>
    </w:pPr>
    <w:rPr>
      <w:rFonts w:ascii="Times New Roman" w:hAnsi="Times New Roman" w:cs="Times New Roman"/>
      <w:sz w:val="20"/>
      <w:szCs w:val="20"/>
      <w:lang w:val="en-US" w:bidi="ar-SA"/>
    </w:rPr>
  </w:style>
  <w:style w:type="paragraph" w:styleId="1409" w:customStyle="1">
    <w:name w:val="Char Char Char Char"/>
    <w:basedOn w:val="876"/>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410" w:customStyle="1">
    <w:name w:val="t1"/>
    <w:uiPriority w:val="0"/>
    <w:qFormat/>
    <w:rPr>
      <w:rFonts w:ascii="Times New Roman" w:hAnsi="Times New Roman" w:eastAsia="宋体" w:cs="Times New Roman"/>
    </w:rPr>
  </w:style>
  <w:style w:type="paragraph" w:styleId="141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12" w:customStyle="1">
    <w:name w:val="xl32"/>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413" w:customStyle="1">
    <w:name w:val="l-selected2"/>
    <w:uiPriority w:val="0"/>
    <w:qFormat/>
    <w:rPr>
      <w:rFonts w:ascii="Times New Roman" w:hAnsi="Times New Roman" w:eastAsia="宋体" w:cs="Times New Roman"/>
      <w:color w:val="355686"/>
      <w:shd w:val="clear" w:color="auto" w:fill="ffffff"/>
    </w:rPr>
  </w:style>
  <w:style w:type="paragraph" w:styleId="1414" w:customStyle="1">
    <w:name w:val="表"/>
    <w:uiPriority w:val="0"/>
    <w:qFormat/>
    <w:pPr>
      <w:jc w:val="center"/>
      <w:spacing w:before="20" w:after="20"/>
    </w:pPr>
    <w:rPr>
      <w:rFonts w:ascii="Times New Roman" w:hAnsi="Times New Roman" w:eastAsia="微软雅黑" w:cstheme="minorBidi"/>
      <w:sz w:val="21"/>
      <w:szCs w:val="22"/>
      <w:lang w:val="en-US" w:eastAsia="zh-CN" w:bidi="ar-SA"/>
    </w:rPr>
  </w:style>
  <w:style w:type="paragraph" w:styleId="1415" w:customStyle="1">
    <w:name w:val="xl55"/>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416" w:customStyle="1">
    <w:name w:val="Char Char23"/>
    <w:uiPriority w:val="0"/>
    <w:qFormat/>
    <w:rPr>
      <w:rFonts w:ascii="Arial" w:hAnsi="Arial" w:eastAsia="黑体" w:cs="Times New Roman"/>
      <w:b/>
      <w:bCs/>
      <w:sz w:val="24"/>
      <w:szCs w:val="24"/>
    </w:rPr>
  </w:style>
  <w:style w:type="paragraph" w:styleId="1417" w:customStyle="1">
    <w:name w:val="_Style 1"/>
    <w:basedOn w:val="876"/>
    <w:uiPriority w:val="0"/>
    <w:qFormat/>
    <w:pPr>
      <w:ind w:firstLine="420"/>
      <w:jc w:val="both"/>
      <w:spacing w:line="360" w:lineRule="auto"/>
    </w:pPr>
    <w:rPr>
      <w:rFonts w:ascii="Calibri" w:hAnsi="Calibri" w:cs="Times New Roman"/>
      <w:sz w:val="24"/>
      <w:lang w:val="en-US" w:bidi="ar-SA"/>
    </w:rPr>
  </w:style>
  <w:style w:type="paragraph" w:styleId="1418" w:customStyle="1">
    <w:name w:val="正文lzq"/>
    <w:basedOn w:val="876"/>
    <w:uiPriority w:val="0"/>
    <w:qFormat/>
    <w:pPr>
      <w:ind w:firstLine="480"/>
      <w:jc w:val="both"/>
      <w:spacing w:line="360" w:lineRule="auto"/>
    </w:pPr>
    <w:rPr>
      <w:rFonts w:ascii="Times New Roman" w:hAnsi="Times New Roman" w:cs="Times New Roman"/>
      <w:sz w:val="24"/>
      <w:szCs w:val="24"/>
      <w:lang w:val="en-US" w:bidi="ar-SA"/>
    </w:rPr>
  </w:style>
  <w:style w:type="character" w:styleId="1419" w:customStyle="1">
    <w:name w:val="表格抬头 Char"/>
    <w:link w:val="1266"/>
    <w:uiPriority w:val="0"/>
    <w:qFormat/>
    <w:rPr>
      <w:rFonts w:ascii="黑体" w:hAnsi="宋体" w:eastAsia="黑体" w:cs="宋体"/>
      <w:b/>
      <w:sz w:val="24"/>
      <w:szCs w:val="24"/>
    </w:rPr>
  </w:style>
  <w:style w:type="paragraph" w:styleId="1420" w:customStyle="1">
    <w:name w:val="标题3，章节第三层"/>
    <w:basedOn w:val="876"/>
    <w:next w:val="1241"/>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421" w:customStyle="1">
    <w:name w:val="表格文字"/>
    <w:basedOn w:val="876"/>
    <w:uiPriority w:val="0"/>
    <w:qFormat/>
    <w:pPr>
      <w:ind w:firstLine="200"/>
      <w:spacing w:line="360" w:lineRule="auto"/>
    </w:pPr>
    <w:rPr>
      <w:rFonts w:ascii="Arial" w:hAnsi="Arial" w:cs="Times New Roman"/>
      <w:sz w:val="24"/>
      <w:szCs w:val="24"/>
      <w:lang w:val="en-US" w:bidi="ar-SA"/>
    </w:rPr>
  </w:style>
  <w:style w:type="character" w:styleId="1422" w:customStyle="1">
    <w:name w:val="listbenefit"/>
    <w:uiPriority w:val="0"/>
    <w:qFormat/>
    <w:rPr>
      <w:rFonts w:ascii="Times New Roman" w:hAnsi="Times New Roman" w:eastAsia="宋体" w:cs="Times New Roman"/>
    </w:rPr>
  </w:style>
  <w:style w:type="paragraph" w:styleId="1423" w:customStyle="1">
    <w:name w:val="表格"/>
    <w:basedOn w:val="876"/>
    <w:uiPriority w:val="0"/>
    <w:qFormat/>
    <w:pPr>
      <w:ind w:firstLine="21"/>
      <w:jc w:val="both"/>
      <w:spacing w:line="360" w:lineRule="auto"/>
    </w:pPr>
    <w:rPr>
      <w:sz w:val="20"/>
      <w:szCs w:val="24"/>
      <w:lang w:val="en-US" w:bidi="ar-SA"/>
    </w:rPr>
  </w:style>
  <w:style w:type="paragraph" w:styleId="1424" w:customStyle="1">
    <w:name w:val="纯文本1"/>
    <w:basedOn w:val="876"/>
    <w:uiPriority w:val="0"/>
    <w:qFormat/>
    <w:pPr>
      <w:ind w:firstLine="562"/>
      <w:jc w:val="both"/>
      <w:spacing w:line="360" w:lineRule="auto"/>
    </w:pPr>
    <w:rPr>
      <w:rFonts w:eastAsia="楷体_GB2312"/>
      <w:sz w:val="28"/>
      <w:szCs w:val="24"/>
      <w:lang w:val="en-US" w:bidi="ar-SA"/>
    </w:rPr>
  </w:style>
  <w:style w:type="paragraph" w:styleId="1425" w:customStyle="1">
    <w:name w:val="xl52"/>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426" w:customStyle="1">
    <w:name w:val="font12"/>
    <w:basedOn w:val="876"/>
    <w:uiPriority w:val="0"/>
    <w:qFormat/>
    <w:pPr>
      <w:ind w:firstLine="562"/>
      <w:spacing w:before="100" w:beforeAutospacing="1" w:after="100" w:afterAutospacing="1" w:line="360" w:lineRule="auto"/>
      <w:widowControl/>
    </w:pPr>
    <w:rPr>
      <w:sz w:val="36"/>
      <w:szCs w:val="36"/>
      <w:lang w:val="en-US" w:bidi="ar-SA"/>
    </w:rPr>
  </w:style>
  <w:style w:type="paragraph" w:styleId="1427" w:customStyle="1">
    <w:name w:val="xl46"/>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428" w:customStyle="1">
    <w:name w:val="项目符号，一级"/>
    <w:basedOn w:val="1241"/>
    <w:next w:val="1241"/>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429" w:customStyle="1">
    <w:name w:val="标题2，章节第二层"/>
    <w:basedOn w:val="876"/>
    <w:next w:val="1241"/>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430" w:customStyle="1">
    <w:name w:val="正文 居中"/>
    <w:basedOn w:val="876"/>
    <w:uiPriority w:val="0"/>
    <w:qFormat/>
    <w:pPr>
      <w:ind w:firstLine="562"/>
      <w:jc w:val="center"/>
      <w:spacing w:line="360" w:lineRule="auto"/>
    </w:pPr>
    <w:rPr>
      <w:rFonts w:ascii="Times New Roman" w:hAnsi="Times New Roman" w:cs="Times New Roman"/>
      <w:sz w:val="24"/>
      <w:szCs w:val="24"/>
      <w:lang w:val="en-US" w:bidi="ar-SA"/>
    </w:rPr>
  </w:style>
  <w:style w:type="paragraph" w:styleId="1431" w:customStyle="1">
    <w:name w:val="丁华标题3"/>
    <w:basedOn w:val="1177"/>
    <w:next w:val="1178"/>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432" w:customStyle="1">
    <w:name w:val="para_small"/>
    <w:uiPriority w:val="0"/>
    <w:qFormat/>
    <w:rPr>
      <w:rFonts w:ascii="Times New Roman" w:hAnsi="Times New Roman" w:eastAsia="宋体" w:cs="Times New Roman"/>
    </w:rPr>
  </w:style>
  <w:style w:type="paragraph" w:styleId="1433" w:customStyle="1">
    <w:name w:val="a"/>
    <w:basedOn w:val="876"/>
    <w:uiPriority w:val="0"/>
    <w:qFormat/>
    <w:pPr>
      <w:ind w:firstLine="562"/>
      <w:jc w:val="both"/>
      <w:spacing w:before="100" w:beforeAutospacing="1" w:after="100" w:afterAutospacing="1" w:line="360" w:lineRule="auto"/>
      <w:widowControl/>
    </w:pPr>
    <w:rPr>
      <w:sz w:val="24"/>
      <w:szCs w:val="24"/>
      <w:lang w:val="en-US" w:bidi="ar-SA"/>
    </w:rPr>
  </w:style>
  <w:style w:type="paragraph" w:styleId="1434" w:customStyle="1">
    <w:name w:val="Char Char Char Char Char Char Char Char Char Char Char1 Char Char Char1"/>
    <w:basedOn w:val="876"/>
    <w:uiPriority w:val="0"/>
    <w:qFormat/>
    <w:pPr>
      <w:ind w:firstLine="200"/>
      <w:spacing w:line="360" w:lineRule="auto"/>
    </w:pPr>
    <w:rPr>
      <w:rFonts w:ascii="Tahoma" w:hAnsi="Tahoma" w:cs="Times New Roman"/>
      <w:sz w:val="24"/>
      <w:szCs w:val="24"/>
      <w:lang w:val="en-US" w:bidi="ar-SA"/>
    </w:rPr>
  </w:style>
  <w:style w:type="character" w:styleId="1435" w:customStyle="1">
    <w:name w:val="小四 段落 宋体 Char1"/>
    <w:uiPriority w:val="0"/>
    <w:qFormat/>
    <w:rPr>
      <w:rFonts w:ascii="Times New Roman" w:hAnsi="Times New Roman" w:eastAsia="宋体" w:cs="Times New Roman"/>
      <w:sz w:val="24"/>
      <w:szCs w:val="24"/>
      <w:lang w:val="en-US" w:eastAsia="zh-CN" w:bidi="ar-SA"/>
    </w:rPr>
  </w:style>
  <w:style w:type="paragraph" w:styleId="1436" w:customStyle="1">
    <w:name w:val="正文 + Arial Char"/>
    <w:basedOn w:val="876"/>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437" w:customStyle="1">
    <w:name w:val="font10"/>
    <w:basedOn w:val="876"/>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43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39" w:customStyle="1">
    <w:name w:val="font8"/>
    <w:basedOn w:val="876"/>
    <w:uiPriority w:val="0"/>
    <w:qFormat/>
    <w:pPr>
      <w:ind w:firstLine="562"/>
      <w:spacing w:before="100" w:beforeAutospacing="1" w:after="100" w:afterAutospacing="1" w:line="360" w:lineRule="auto"/>
      <w:widowControl/>
    </w:pPr>
    <w:rPr>
      <w:b/>
      <w:bCs/>
      <w:i/>
      <w:iCs/>
      <w:sz w:val="20"/>
      <w:szCs w:val="24"/>
      <w:lang w:val="en-US" w:bidi="ar-SA"/>
    </w:rPr>
  </w:style>
  <w:style w:type="paragraph" w:styleId="1440" w:customStyle="1">
    <w:name w:val="Char2 Char Char Char Char Char Char1"/>
    <w:basedOn w:val="876"/>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41" w:customStyle="1">
    <w:name w:val="样式 非加粗"/>
    <w:uiPriority w:val="0"/>
    <w:qFormat/>
    <w:rPr>
      <w:rFonts w:ascii="Times New Roman" w:hAnsi="Times New Roman" w:eastAsia="宋体" w:cs="Times New Roman"/>
      <w:sz w:val="28"/>
    </w:rPr>
  </w:style>
  <w:style w:type="paragraph" w:styleId="1442" w:customStyle="1">
    <w:name w:val="部分1"/>
    <w:basedOn w:val="876"/>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43" w:customStyle="1">
    <w:name w:val="xl60"/>
    <w:basedOn w:val="876"/>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44" w:customStyle="1">
    <w:name w:val="符号与编号"/>
    <w:basedOn w:val="876"/>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45" w:customStyle="1">
    <w:name w:val="No Spacing1"/>
    <w:uiPriority w:val="0"/>
    <w:qFormat/>
    <w:pPr>
      <w:jc w:val="both"/>
      <w:widowControl w:val="off"/>
    </w:pPr>
    <w:rPr>
      <w:rFonts w:ascii="Times New Roman" w:hAnsi="Times New Roman" w:eastAsia="微软雅黑" w:cs="Times New Roman"/>
      <w:sz w:val="24"/>
      <w:szCs w:val="22"/>
      <w:lang w:val="en-US" w:eastAsia="zh-CN" w:bidi="ar-SA"/>
    </w:rPr>
  </w:style>
  <w:style w:type="paragraph" w:styleId="1446" w:customStyle="1">
    <w:name w:val="样式3"/>
    <w:basedOn w:val="876"/>
    <w:next w:val="876"/>
    <w:uiPriority w:val="0"/>
    <w:qFormat/>
    <w:pPr>
      <w:ind w:firstLine="562"/>
      <w:jc w:val="both"/>
      <w:spacing w:line="360" w:lineRule="auto"/>
    </w:pPr>
    <w:rPr>
      <w:rFonts w:ascii="Times New Roman" w:hAnsi="Times New Roman" w:cs="Times New Roman"/>
      <w:sz w:val="24"/>
      <w:szCs w:val="24"/>
      <w:lang w:val="en-US" w:bidi="ar-SA"/>
    </w:rPr>
  </w:style>
  <w:style w:type="character" w:styleId="1447" w:customStyle="1">
    <w:name w:val="标准小四 Char Char"/>
    <w:uiPriority w:val="0"/>
    <w:qFormat/>
    <w:rPr>
      <w:rFonts w:ascii="Arial" w:hAnsi="Arial" w:eastAsia="宋体" w:cs="Times New Roman"/>
      <w:sz w:val="24"/>
      <w:szCs w:val="21"/>
      <w:lang w:val="en-US" w:eastAsia="zh-CN" w:bidi="ar-SA"/>
    </w:rPr>
  </w:style>
  <w:style w:type="character" w:styleId="1448" w:customStyle="1">
    <w:name w:val="Char Char17"/>
    <w:uiPriority w:val="0"/>
    <w:qFormat/>
    <w:rPr>
      <w:rFonts w:ascii="宋体" w:hAnsi="Courier New" w:eastAsia="宋体" w:cs="Times New Roman"/>
      <w:sz w:val="21"/>
      <w:szCs w:val="21"/>
    </w:rPr>
  </w:style>
  <w:style w:type="paragraph" w:styleId="1449" w:customStyle="1">
    <w:name w:val="表格内文字"/>
    <w:basedOn w:val="876"/>
    <w:uiPriority w:val="0"/>
    <w:qFormat/>
    <w:pPr>
      <w:ind w:firstLine="562"/>
      <w:jc w:val="both"/>
      <w:spacing w:line="300" w:lineRule="atLeast"/>
    </w:pPr>
    <w:rPr>
      <w:rFonts w:ascii="Times New Roman" w:hAnsi="Times New Roman" w:cs="Times New Roman"/>
      <w:sz w:val="18"/>
      <w:szCs w:val="24"/>
      <w:lang w:val="en-US" w:bidi="ar-SA"/>
    </w:rPr>
  </w:style>
  <w:style w:type="paragraph" w:styleId="1450" w:customStyle="1">
    <w:name w:val="1"/>
    <w:basedOn w:val="876"/>
    <w:next w:val="932"/>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51" w:customStyle="1">
    <w:name w:val="正文文本 New New"/>
    <w:basedOn w:val="876"/>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52" w:customStyle="1">
    <w:name w:val="font13"/>
    <w:basedOn w:val="876"/>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53" w:customStyle="1">
    <w:name w:val="正文 + 宋体"/>
    <w:basedOn w:val="876"/>
    <w:uiPriority w:val="0"/>
    <w:qFormat/>
    <w:pPr>
      <w:ind w:firstLine="420"/>
      <w:jc w:val="both"/>
      <w:spacing w:line="360" w:lineRule="auto"/>
    </w:pPr>
    <w:rPr>
      <w:rFonts w:ascii="Times New Roman" w:hAnsi="Times New Roman" w:cs="Times New Roman"/>
      <w:sz w:val="24"/>
      <w:szCs w:val="24"/>
      <w:lang w:val="en-US" w:bidi="ar-SA"/>
    </w:rPr>
  </w:style>
  <w:style w:type="character" w:styleId="1454" w:customStyle="1">
    <w:name w:val="style131"/>
    <w:uiPriority w:val="0"/>
    <w:qFormat/>
    <w:rPr>
      <w:rFonts w:ascii="Times New Roman" w:hAnsi="Times New Roman" w:eastAsia="宋体" w:cs="Times New Roman"/>
      <w:sz w:val="18"/>
      <w:szCs w:val="18"/>
    </w:rPr>
  </w:style>
  <w:style w:type="paragraph" w:styleId="1455" w:customStyle="1">
    <w:name w:val="标题1，章节第一层"/>
    <w:basedOn w:val="1241"/>
    <w:next w:val="1241"/>
    <w:uiPriority w:val="0"/>
    <w:qFormat/>
    <w:pPr>
      <w:ind w:left="482"/>
      <w:spacing w:before="0"/>
      <w:tabs>
        <w:tab w:val="left" w:pos="693" w:leader="none"/>
      </w:tabs>
      <w:outlineLvl w:val="0"/>
    </w:pPr>
    <w:rPr>
      <w:rFonts w:ascii="Times New Roman" w:hAnsi="Times New Roman"/>
      <w:color w:val="000000"/>
      <w:szCs w:val="24"/>
    </w:rPr>
  </w:style>
  <w:style w:type="paragraph" w:styleId="1456" w:customStyle="1">
    <w:name w:val="a0"/>
    <w:basedOn w:val="876"/>
    <w:uiPriority w:val="0"/>
    <w:qFormat/>
    <w:pPr>
      <w:ind w:firstLine="562"/>
      <w:jc w:val="both"/>
      <w:spacing w:before="100" w:beforeAutospacing="1" w:after="100" w:afterAutospacing="1" w:line="360" w:lineRule="auto"/>
      <w:widowControl/>
    </w:pPr>
    <w:rPr>
      <w:sz w:val="24"/>
      <w:szCs w:val="24"/>
      <w:lang w:val="en-US" w:bidi="ar-SA"/>
    </w:rPr>
  </w:style>
  <w:style w:type="character" w:styleId="1457" w:customStyle="1">
    <w:name w:val="font101"/>
    <w:uiPriority w:val="0"/>
    <w:qFormat/>
    <w:rPr>
      <w:rFonts w:hint="eastAsia" w:ascii="宋体" w:hAnsi="宋体" w:eastAsia="宋体" w:cs="宋体"/>
      <w:color w:val="000000"/>
      <w:sz w:val="16"/>
      <w:szCs w:val="16"/>
      <w:u w:val="none"/>
    </w:rPr>
  </w:style>
  <w:style w:type="paragraph" w:styleId="1458" w:customStyle="1">
    <w:name w:val="xl42"/>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59" w:customStyle="1">
    <w:name w:val="列表内容"/>
    <w:basedOn w:val="876"/>
    <w:next w:val="876"/>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60" w:customStyle="1">
    <w:name w:val="正文表标题"/>
    <w:next w:val="132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61" w:customStyle="1">
    <w:name w:val="二级条标题"/>
    <w:basedOn w:val="876"/>
    <w:next w:val="1324"/>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62" w:customStyle="1">
    <w:name w:val="apple-converted-space"/>
    <w:uiPriority w:val="0"/>
    <w:qFormat/>
    <w:rPr>
      <w:rFonts w:ascii="Times New Roman" w:hAnsi="Times New Roman" w:eastAsia="宋体" w:cs="Times New Roman"/>
    </w:rPr>
  </w:style>
  <w:style w:type="paragraph" w:styleId="1463" w:customStyle="1">
    <w:name w:val="xl47"/>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64" w:customStyle="1">
    <w:name w:val="NormalCharacter"/>
    <w:uiPriority w:val="0"/>
    <w:qFormat/>
    <w:rPr>
      <w:rFonts w:ascii="Times New Roman" w:hAnsi="Times New Roman" w:eastAsia="宋体" w:cs="Times New Roman"/>
      <w:sz w:val="21"/>
      <w:szCs w:val="22"/>
      <w:lang w:val="en-US" w:eastAsia="zh-CN" w:bidi="ar-SA"/>
    </w:rPr>
  </w:style>
  <w:style w:type="paragraph" w:styleId="1465" w:customStyle="1">
    <w:name w:val="丁华标题1"/>
    <w:basedOn w:val="877"/>
    <w:next w:val="1178"/>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66" w:customStyle="1">
    <w:name w:val="正文--表格内正文"/>
    <w:basedOn w:val="876"/>
    <w:uiPriority w:val="0"/>
    <w:qFormat/>
    <w:pPr>
      <w:ind w:firstLine="562"/>
      <w:jc w:val="center"/>
      <w:spacing w:before="156" w:line="0" w:lineRule="atLeast"/>
    </w:pPr>
    <w:rPr>
      <w:rFonts w:cs="Times New Roman"/>
      <w:color w:val="000000"/>
      <w:sz w:val="24"/>
      <w:szCs w:val="24"/>
      <w:lang w:val="en-US" w:bidi="ar-SA"/>
    </w:rPr>
  </w:style>
  <w:style w:type="character" w:styleId="1467"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68" w:customStyle="1">
    <w:name w:val="标准文本 Char Char"/>
    <w:uiPriority w:val="0"/>
    <w:qFormat/>
    <w:rPr>
      <w:rFonts w:ascii="Times New Roman" w:hAnsi="Times New Roman" w:eastAsia="宋体" w:cs="宋体"/>
      <w:sz w:val="24"/>
      <w:szCs w:val="24"/>
      <w:lang w:val="en-US" w:eastAsia="zh-CN" w:bidi="ar-SA"/>
    </w:rPr>
  </w:style>
  <w:style w:type="paragraph" w:styleId="146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70" w:customStyle="1">
    <w:name w:val="样式 首行缩进:  2 字符 Char"/>
    <w:uiPriority w:val="0"/>
    <w:qFormat/>
    <w:rPr>
      <w:rFonts w:ascii="Times New Roman" w:hAnsi="Times New Roman" w:eastAsia="宋体" w:cs="宋体"/>
      <w:sz w:val="24"/>
      <w:lang w:val="en-US" w:eastAsia="zh-CN" w:bidi="ar-SA"/>
    </w:rPr>
  </w:style>
  <w:style w:type="paragraph" w:styleId="1471" w:customStyle="1">
    <w:name w:val="flType"/>
    <w:basedOn w:val="1174"/>
    <w:uiPriority w:val="0"/>
    <w:qFormat/>
    <w:pPr>
      <w:spacing w:after="284"/>
    </w:pPr>
  </w:style>
  <w:style w:type="paragraph" w:styleId="1472" w:customStyle="1">
    <w:name w:val="四号正文"/>
    <w:basedOn w:val="876"/>
    <w:uiPriority w:val="0"/>
    <w:qFormat/>
    <w:pPr>
      <w:ind w:firstLine="560"/>
      <w:jc w:val="both"/>
      <w:spacing w:line="360" w:lineRule="auto"/>
    </w:pPr>
    <w:rPr>
      <w:rFonts w:ascii="Times New Roman" w:hAnsi="Times New Roman" w:cs="Times New Roman"/>
      <w:sz w:val="28"/>
      <w:szCs w:val="28"/>
      <w:lang w:val="en-US" w:bidi="ar-SA"/>
    </w:rPr>
  </w:style>
  <w:style w:type="character" w:styleId="1473"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74" w:customStyle="1">
    <w:name w:val="Char Char26"/>
    <w:uiPriority w:val="0"/>
    <w:qFormat/>
    <w:rPr>
      <w:rFonts w:ascii="Times New Roman" w:hAnsi="Times New Roman" w:eastAsia="宋体" w:cs="Times New Roman"/>
      <w:b/>
      <w:bCs/>
      <w:sz w:val="32"/>
      <w:szCs w:val="32"/>
    </w:rPr>
  </w:style>
  <w:style w:type="paragraph" w:styleId="1475" w:customStyle="1">
    <w:name w:val="xl54"/>
    <w:basedOn w:val="876"/>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paragraph" w:styleId="1476" w:customStyle="1">
    <w:name w:val="BodyText"/>
    <w:basedOn w:val="876"/>
    <w:uiPriority w:val="0"/>
    <w:qFormat/>
    <w:pPr>
      <w:spacing w:after="120"/>
    </w:pPr>
    <w:rPr>
      <w:rFonts w:ascii="Calibri"/>
      <w:sz w:val="20"/>
    </w:rPr>
  </w:style>
  <w:style w:type="paragraph" w:styleId="147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1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image" Target="media/image3.wmf"/><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E1A2C88-A795-4F57-9062-ED3D2CD487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268</cp:revision>
  <dcterms:created xsi:type="dcterms:W3CDTF">2025-06-16T07:37:00Z</dcterms:created>
  <dcterms:modified xsi:type="dcterms:W3CDTF">2026-10-26T05:54:08Z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2052-12.1.0.29161</vt:lpwstr>
  </property>
  <property fmtid="{D5CDD505-2E9C-101B-9397-08002B2CF9AE}" pid="6" name="ICV">
    <vt:lpwstr>4832A4ADCF354F39BC9963A0C50106A8_13</vt:lpwstr>
  </property>
  <property fmtid="{D5CDD505-2E9C-101B-9397-08002B2CF9AE}" pid="7" name="KSOTemplateDocerSaveRecord">
    <vt:lpwstr>eyJoZGlkIjoiN2I3ZmQwYzZkOTFkOWUzNWExNDQyN2NlOTM3ZmQyNTQiLCJ1c2VySWQiOiIxODUyMzkyNjcxIn0=</vt:lpwstr>
  </property>
</Properties>
</file>