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JSZC-320000-JSSJ-G2026-0011</w:t>
      </w:r>
      <w:r/>
    </w:p>
    <w:p>
      <w:pPr>
        <w:ind w:left="2437" w:hanging="1446"/>
        <w:rPr>
          <w:rFonts w:hint="eastAsia" w:ascii="宋体" w:hAnsi="宋体"/>
          <w:sz w:val="32"/>
          <w:szCs w:val="32"/>
        </w:rPr>
      </w:pPr>
      <w:r>
        <w:rPr>
          <w:rFonts w:hint="eastAsia" w:ascii="宋体" w:hAnsi="宋体"/>
          <w:sz w:val="32"/>
          <w:szCs w:val="32"/>
        </w:rPr>
        <w:t xml:space="preserve">项目名称：</w:t>
      </w:r>
      <w:bookmarkStart w:id="0" w:name="OLE_LINK15"/>
      <w:r>
        <w:rPr>
          <w:rFonts w:hint="eastAsia" w:ascii="宋体" w:hAnsi="宋体"/>
          <w:sz w:val="32"/>
          <w:szCs w:val="32"/>
        </w:rPr>
        <w:t xml:space="preserve">太湖流域水环境综合治理资金项目管理</w:t>
      </w:r>
      <w:bookmarkEnd w:id="0"/>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二〇二六年十月</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709"/>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719"/>
            <w:rFonts w:ascii="宋体" w:hAnsi="宋体" w:eastAsia="宋体"/>
            <w:color w:val="auto"/>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Ansi="宋体"/>
            <w:sz w:val="32"/>
            <w:szCs w:val="32"/>
          </w:rPr>
          <w:t xml:space="preserve">3</w:t>
        </w:r>
        <w:r>
          <w:rPr>
            <w:rFonts w:hAnsi="宋体"/>
            <w:sz w:val="32"/>
            <w:szCs w:val="32"/>
          </w:rPr>
          <w:fldChar w:fldCharType="end"/>
        </w:r>
      </w:hyperlink>
      <w:r/>
      <w:r/>
    </w:p>
    <w:p>
      <w:pPr>
        <w:pStyle w:val="709"/>
        <w:rPr>
          <w:rFonts w:hint="eastAsia" w:hAnsi="宋体" w:cstheme="minorBidi"/>
          <w:sz w:val="32"/>
          <w:szCs w:val="32"/>
        </w:rPr>
      </w:pPr>
      <w:r/>
      <w:hyperlink w:tooltip="#_Toc129876262" w:anchor="_Toc129876262" w:history="1">
        <w:r>
          <w:rPr>
            <w:rStyle w:val="719"/>
            <w:rFonts w:ascii="宋体" w:hAnsi="宋体" w:eastAsia="宋体"/>
            <w:color w:val="auto"/>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Ansi="宋体"/>
            <w:sz w:val="32"/>
            <w:szCs w:val="32"/>
          </w:rPr>
          <w:t xml:space="preserve">6</w:t>
        </w:r>
        <w:r>
          <w:rPr>
            <w:rFonts w:hAnsi="宋体"/>
            <w:sz w:val="32"/>
            <w:szCs w:val="32"/>
          </w:rPr>
          <w:fldChar w:fldCharType="end"/>
        </w:r>
      </w:hyperlink>
      <w:r/>
      <w:r/>
    </w:p>
    <w:p>
      <w:pPr>
        <w:pStyle w:val="709"/>
        <w:rPr>
          <w:rFonts w:hint="eastAsia" w:hAnsi="宋体" w:cstheme="minorBidi"/>
          <w:sz w:val="32"/>
          <w:szCs w:val="32"/>
        </w:rPr>
      </w:pPr>
      <w:r/>
      <w:hyperlink w:tooltip="#_Toc129876269" w:anchor="_Toc129876269" w:history="1">
        <w:r>
          <w:rPr>
            <w:rStyle w:val="719"/>
            <w:rFonts w:ascii="宋体" w:hAnsi="宋体" w:eastAsia="宋体"/>
            <w:color w:val="auto"/>
            <w:sz w:val="32"/>
            <w:szCs w:val="32"/>
          </w:rPr>
          <w:t xml:space="preserve">第三章 </w:t>
        </w:r>
        <w:r>
          <w:rPr>
            <w:rStyle w:val="719"/>
            <w:rFonts w:hint="eastAsia" w:ascii="宋体" w:hAnsi="宋体" w:eastAsia="宋体"/>
            <w:color w:val="auto"/>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Ansi="宋体"/>
            <w:sz w:val="32"/>
            <w:szCs w:val="32"/>
          </w:rPr>
          <w:t xml:space="preserve">16</w:t>
        </w:r>
        <w:r>
          <w:rPr>
            <w:rFonts w:hAnsi="宋体"/>
            <w:sz w:val="32"/>
            <w:szCs w:val="32"/>
          </w:rPr>
          <w:fldChar w:fldCharType="end"/>
        </w:r>
      </w:hyperlink>
      <w:r/>
      <w:r/>
    </w:p>
    <w:p>
      <w:pPr>
        <w:pStyle w:val="709"/>
        <w:rPr>
          <w:rFonts w:hint="eastAsia" w:hAnsi="宋体" w:cstheme="minorBidi"/>
          <w:sz w:val="32"/>
          <w:szCs w:val="32"/>
        </w:rPr>
      </w:pPr>
      <w:r/>
      <w:hyperlink w:tooltip="#_Toc129876276" w:anchor="_Toc129876276" w:history="1">
        <w:r>
          <w:rPr>
            <w:rStyle w:val="719"/>
            <w:rFonts w:ascii="宋体" w:hAnsi="宋体" w:eastAsia="宋体"/>
            <w:color w:val="auto"/>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Ansi="宋体"/>
            <w:sz w:val="32"/>
            <w:szCs w:val="32"/>
          </w:rPr>
          <w:t xml:space="preserve">20</w:t>
        </w:r>
        <w:r>
          <w:rPr>
            <w:rFonts w:hAnsi="宋体"/>
            <w:sz w:val="32"/>
            <w:szCs w:val="32"/>
          </w:rPr>
          <w:fldChar w:fldCharType="end"/>
        </w:r>
      </w:hyperlink>
      <w:r/>
      <w:r/>
    </w:p>
    <w:p>
      <w:pPr>
        <w:pStyle w:val="709"/>
        <w:rPr>
          <w:rFonts w:hint="eastAsia" w:hAnsi="宋体" w:cstheme="minorBidi"/>
          <w:sz w:val="32"/>
          <w:szCs w:val="32"/>
        </w:rPr>
      </w:pPr>
      <w:r/>
      <w:hyperlink w:tooltip="#_Toc129876277" w:anchor="_Toc129876277" w:history="1">
        <w:r>
          <w:rPr>
            <w:rStyle w:val="719"/>
            <w:rFonts w:ascii="宋体" w:hAnsi="宋体" w:eastAsia="宋体"/>
            <w:color w:val="auto"/>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Ansi="宋体"/>
            <w:sz w:val="32"/>
            <w:szCs w:val="32"/>
          </w:rPr>
          <w:t xml:space="preserve">23</w:t>
        </w:r>
        <w:r>
          <w:rPr>
            <w:rFonts w:hAnsi="宋体"/>
            <w:sz w:val="32"/>
            <w:szCs w:val="32"/>
          </w:rPr>
          <w:fldChar w:fldCharType="end"/>
        </w:r>
      </w:hyperlink>
      <w:r/>
      <w:r/>
    </w:p>
    <w:p>
      <w:pPr>
        <w:pStyle w:val="709"/>
        <w:rPr>
          <w:rFonts w:hint="eastAsia" w:hAnsi="宋体" w:cstheme="minorBidi"/>
          <w:sz w:val="32"/>
          <w:szCs w:val="32"/>
        </w:rPr>
      </w:pPr>
      <w:r/>
      <w:hyperlink w:tooltip="#_Toc129876278" w:anchor="_Toc129876278" w:history="1">
        <w:r>
          <w:rPr>
            <w:rStyle w:val="719"/>
            <w:rFonts w:ascii="宋体" w:hAnsi="宋体" w:eastAsia="宋体"/>
            <w:color w:val="auto"/>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Ansi="宋体"/>
            <w:sz w:val="32"/>
            <w:szCs w:val="32"/>
          </w:rPr>
          <w:t xml:space="preserve">28</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689"/>
        <w:jc w:val="center"/>
      </w:pPr>
      <w:r/>
      <w:bookmarkStart w:id="1" w:name="_Toc129876261"/>
      <w:r>
        <w:rPr>
          <w:rFonts w:hint="eastAsia"/>
        </w:rPr>
        <w:t xml:space="preserve">第一章</w:t>
      </w:r>
      <w:r>
        <w:rPr>
          <w:rFonts w:hint="eastAsia"/>
        </w:rPr>
        <w:t xml:space="preserve">  </w:t>
      </w:r>
      <w:r>
        <w:rPr>
          <w:rFonts w:hint="eastAsia"/>
        </w:rPr>
        <w:t xml:space="preserve">投标邀请</w:t>
      </w:r>
      <w:bookmarkEnd w:id="1"/>
      <w:r/>
      <w:r/>
    </w:p>
    <w:p>
      <w:pPr>
        <w:ind w:firstLine="480"/>
        <w:spacing w:line="400" w:lineRule="exact"/>
        <w:rPr>
          <w:rFonts w:hint="eastAsia" w:ascii="宋体" w:hAnsi="宋体"/>
          <w:sz w:val="24"/>
          <w:szCs w:val="24"/>
        </w:rPr>
      </w:pPr>
      <w:r/>
      <w:bookmarkStart w:id="2"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太湖流域水环境综合治理资金项目管理项目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bookmarkStart w:id="3" w:name="_Hlk237419263"/>
      <w:r>
        <w:rPr>
          <w:rFonts w:ascii="宋体" w:hAnsi="宋体"/>
          <w:sz w:val="24"/>
          <w:szCs w:val="24"/>
        </w:rPr>
        <w:t xml:space="preserve">JSZC-320000-JSSJ-G2026-0011 </w:t>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项目名称：太湖流域水环境综合治理资金项目管理</w:t>
      </w:r>
      <w:r/>
    </w:p>
    <w:p>
      <w:pPr>
        <w:ind w:firstLine="480"/>
        <w:spacing w:line="400" w:lineRule="exact"/>
        <w:rPr>
          <w:rFonts w:hint="eastAsia" w:ascii="宋体" w:hAnsi="宋体"/>
          <w:sz w:val="24"/>
          <w:szCs w:val="24"/>
        </w:rPr>
      </w:pPr>
      <w:r>
        <w:rPr>
          <w:rFonts w:hint="eastAsia" w:ascii="宋体" w:hAnsi="宋体"/>
          <w:sz w:val="24"/>
          <w:szCs w:val="24"/>
        </w:rPr>
        <w:t xml:space="preserve">预算金额：</w:t>
      </w:r>
      <w:bookmarkStart w:id="4" w:name="OLE_LINK37"/>
      <w:r>
        <w:rPr>
          <w:rFonts w:hint="eastAsia" w:ascii="宋体" w:hAnsi="宋体"/>
          <w:sz w:val="24"/>
          <w:szCs w:val="24"/>
        </w:rPr>
        <w:t xml:space="preserve">人民币</w:t>
      </w:r>
      <w:r>
        <w:rPr>
          <w:rFonts w:ascii="宋体" w:hAnsi="宋体"/>
          <w:sz w:val="24"/>
          <w:szCs w:val="24"/>
        </w:rPr>
        <w:t xml:space="preserve">1</w:t>
      </w:r>
      <w:r>
        <w:rPr>
          <w:rFonts w:hint="eastAsia" w:ascii="宋体" w:hAnsi="宋体"/>
          <w:sz w:val="24"/>
          <w:szCs w:val="24"/>
        </w:rPr>
        <w:t xml:space="preserve">95万元</w:t>
      </w:r>
      <w:bookmarkEnd w:id="4"/>
      <w:r/>
      <w:r/>
    </w:p>
    <w:p>
      <w:pPr>
        <w:ind w:firstLine="480"/>
        <w:spacing w:line="400" w:lineRule="exact"/>
        <w:rPr>
          <w:rFonts w:hint="eastAsia" w:ascii="宋体" w:hAnsi="宋体"/>
          <w:sz w:val="24"/>
          <w:szCs w:val="24"/>
        </w:rPr>
      </w:pPr>
      <w:r>
        <w:rPr>
          <w:rFonts w:hint="eastAsia" w:ascii="宋体" w:hAnsi="宋体"/>
          <w:sz w:val="24"/>
          <w:szCs w:val="24"/>
        </w:rPr>
        <w:t xml:space="preserve">最高限价：</w:t>
      </w:r>
      <w:bookmarkStart w:id="5" w:name="OLE_LINK4"/>
      <w:r>
        <w:rPr>
          <w:rFonts w:hint="eastAsia" w:ascii="宋体" w:hAnsi="宋体"/>
          <w:sz w:val="24"/>
          <w:szCs w:val="24"/>
        </w:rPr>
        <w:t xml:space="preserve">人民币</w:t>
      </w:r>
      <w:r>
        <w:rPr>
          <w:rFonts w:ascii="宋体" w:hAnsi="宋体"/>
          <w:sz w:val="24"/>
          <w:szCs w:val="24"/>
        </w:rPr>
        <w:t xml:space="preserve">1</w:t>
      </w:r>
      <w:r>
        <w:rPr>
          <w:rFonts w:hint="eastAsia" w:ascii="宋体" w:hAnsi="宋体"/>
          <w:sz w:val="24"/>
          <w:szCs w:val="24"/>
        </w:rPr>
        <w:t xml:space="preserve">95万元</w:t>
      </w:r>
      <w:bookmarkEnd w:id="5"/>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w:t>
      </w:r>
      <w:r>
        <w:rPr>
          <w:rFonts w:hint="eastAsia" w:ascii="宋体" w:hAnsi="宋体"/>
          <w:sz w:val="24"/>
          <w:szCs w:val="24"/>
        </w:rPr>
        <w:t xml:space="preserve">11</w:t>
      </w:r>
      <w:r>
        <w:rPr>
          <w:rFonts w:hint="eastAsia" w:ascii="宋体" w:hAnsi="宋体"/>
          <w:sz w:val="24"/>
          <w:szCs w:val="24"/>
        </w:rPr>
        <w:t xml:space="preserve">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6" w:name="OLE_LINK75"/>
      <w:r>
        <w:rPr>
          <w:rFonts w:hint="eastAsia" w:ascii="宋体" w:hAnsi="宋体"/>
          <w:sz w:val="24"/>
          <w:szCs w:val="24"/>
        </w:rPr>
        <w:t xml:space="preserve">有依法缴纳税收和社会保障资金的良好记录，提供开标前十二个月内（2025年</w:t>
      </w:r>
      <w:r>
        <w:rPr>
          <w:rFonts w:hint="eastAsia" w:ascii="宋体" w:hAnsi="宋体"/>
          <w:sz w:val="24"/>
          <w:szCs w:val="24"/>
        </w:rPr>
        <w:t xml:space="preserve">11</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bookmarkEnd w:id="6"/>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2.落实采购政策需满足的资格要求：无</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w:t>
      </w:r>
      <w:r>
        <w:rPr>
          <w:rFonts w:hint="eastAsia" w:ascii="宋体" w:hAnsi="宋体"/>
          <w:sz w:val="24"/>
          <w:szCs w:val="24"/>
        </w:rPr>
        <w:t xml:space="preserve">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方式: 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11</w:t>
      </w:r>
      <w:r>
        <w:rPr>
          <w:rFonts w:hint="eastAsia" w:ascii="宋体" w:hAnsi="宋体"/>
          <w:sz w:val="24"/>
          <w:szCs w:val="24"/>
        </w:rPr>
        <w:t xml:space="preserve">月</w:t>
      </w:r>
      <w:r>
        <w:rPr>
          <w:rFonts w:hint="eastAsia" w:ascii="宋体" w:hAnsi="宋体"/>
          <w:sz w:val="24"/>
          <w:szCs w:val="24"/>
        </w:rPr>
        <w:t xml:space="preserve">5</w:t>
      </w:r>
      <w:r>
        <w:rPr>
          <w:rFonts w:hint="eastAsia" w:ascii="宋体" w:hAnsi="宋体"/>
          <w:sz w:val="24"/>
          <w:szCs w:val="24"/>
        </w:rPr>
        <w:t xml:space="preserve">日14点00分（北京时间）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地点：江苏政府采购网“苏采云”政府采购交易系统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w:t>
      </w:r>
      <w:r>
        <w:rPr>
          <w:rFonts w:hint="eastAsia" w:ascii="宋体" w:hAnsi="宋体"/>
          <w:sz w:val="24"/>
          <w:szCs w:val="24"/>
        </w:rPr>
        <w:t xml:space="preserve">kedt</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t xml:space="preserve">李先生</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7" w:name="OLE_LINK6"/>
      <w:r>
        <w:rPr>
          <w:rFonts w:hint="eastAsia" w:ascii="宋体" w:hAnsi="宋体"/>
          <w:sz w:val="24"/>
          <w:szCs w:val="24"/>
        </w:rPr>
        <w:t xml:space="preserve">025-86266141</w:t>
      </w:r>
      <w:bookmarkEnd w:id="7"/>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sz w:val="24"/>
          <w:szCs w:val="24"/>
        </w:rPr>
      </w:pPr>
      <w:r>
        <w:rPr>
          <w:rFonts w:hint="eastAsia" w:ascii="宋体" w:hAnsi="宋体"/>
          <w:sz w:val="24"/>
          <w:szCs w:val="24"/>
        </w:rPr>
        <w:t xml:space="preserve">项目联系人:</w:t>
      </w:r>
      <w:r>
        <w:rPr>
          <w:rFonts w:hint="eastAsia" w:ascii="宋体" w:hAnsi="宋体" w:cs="宋体"/>
          <w:sz w:val="24"/>
          <w:szCs w:val="24"/>
        </w:rPr>
        <w:t xml:space="preserve">范工</w:t>
      </w:r>
      <w:r/>
    </w:p>
    <w:p>
      <w:pPr>
        <w:ind w:firstLine="480"/>
        <w:spacing w:line="380" w:lineRule="exact"/>
        <w:rPr>
          <w:rFonts w:hint="eastAsia" w:ascii="宋体" w:hAnsi="宋体"/>
          <w:sz w:val="24"/>
          <w:szCs w:val="24"/>
        </w:rPr>
      </w:pPr>
      <w:r>
        <w:rPr>
          <w:rFonts w:hint="eastAsia" w:ascii="宋体" w:hAnsi="宋体" w:cs="宋体"/>
          <w:sz w:val="24"/>
          <w:szCs w:val="24"/>
        </w:rPr>
        <w:t xml:space="preserve">电话：</w:t>
      </w:r>
      <w:r>
        <w:rPr>
          <w:rFonts w:ascii="宋体" w:hAnsi="宋体" w:cs="宋体"/>
          <w:sz w:val="24"/>
          <w:szCs w:val="24"/>
        </w:rPr>
        <w:t xml:space="preserve">025-52165836</w:t>
      </w:r>
      <w:r/>
    </w:p>
    <w:p>
      <w:pPr>
        <w:jc w:val="left"/>
        <w:widowControl/>
        <w:rPr>
          <w:rFonts w:eastAsia="方正小标宋_GBK"/>
          <w:b/>
          <w:bCs/>
          <w:sz w:val="28"/>
          <w:szCs w:val="44"/>
        </w:rPr>
      </w:pPr>
      <w:r>
        <w:br w:type="page" w:clear="all"/>
      </w:r>
      <w:r/>
    </w:p>
    <w:p>
      <w:pPr>
        <w:pStyle w:val="689"/>
        <w:jc w:val="center"/>
        <w:rPr>
          <w:rFonts w:hint="eastAsia" w:ascii="黑体" w:hAnsi="黑体" w:eastAsia="黑体"/>
          <w:szCs w:val="28"/>
        </w:rPr>
      </w:pPr>
      <w:r/>
      <w:bookmarkStart w:id="8" w:name="_Toc129876262"/>
      <w:r>
        <w:rPr>
          <w:rFonts w:hint="eastAsia" w:ascii="黑体" w:hAnsi="黑体" w:eastAsia="黑体"/>
          <w:szCs w:val="28"/>
        </w:rPr>
        <w:t xml:space="preserve">第二章  投标人须知</w:t>
      </w:r>
      <w:r/>
    </w:p>
    <w:p>
      <w:pPr>
        <w:pStyle w:val="690"/>
        <w:jc w:val="left"/>
        <w:rPr>
          <w:rFonts w:hint="eastAsia" w:ascii="黑体" w:hAnsi="黑体"/>
          <w:sz w:val="28"/>
          <w:szCs w:val="28"/>
        </w:rPr>
      </w:pPr>
      <w:r/>
      <w:bookmarkStart w:id="9"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10"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10"/>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《招标代理服务收费管理暂行办法》（国家发展计划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1980号）收费标准中服务项目的80%计算，向采购代理机构支付采购服务费，不足3000元的按3000收取。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690"/>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w:t>
      </w:r>
      <w:r>
        <w:rPr>
          <w:rFonts w:hint="eastAsia" w:hAnsi="宋体"/>
          <w:sz w:val="24"/>
          <w:szCs w:val="24"/>
        </w:rPr>
        <w:t xml:space="preserve">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690"/>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9"/>
      <w:r/>
    </w:p>
    <w:p>
      <w:pPr>
        <w:pStyle w:val="690"/>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690"/>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b/>
          <w:bCs/>
          <w:sz w:val="24"/>
          <w:szCs w:val="24"/>
        </w:rPr>
      </w:pPr>
      <w:r>
        <w:rPr>
          <w:rFonts w:hint="eastAsia" w:hAnsi="宋体"/>
          <w:sz w:val="24"/>
          <w:szCs w:val="24"/>
        </w:rPr>
        <w:t xml:space="preserve">5.3.7.1</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w:t>
      </w:r>
      <w:r>
        <w:rPr>
          <w:rFonts w:hint="eastAsia" w:hAnsi="宋体"/>
          <w:sz w:val="24"/>
          <w:szCs w:val="24"/>
        </w:rPr>
        <w:t xml:space="preserve">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690"/>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w:t>
      </w:r>
      <w:r>
        <w:rPr>
          <w:rFonts w:hint="eastAsia" w:hAnsi="宋体"/>
          <w:sz w:val="24"/>
          <w:szCs w:val="24"/>
        </w:rPr>
        <w:t xml:space="preserve">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w:t>
      </w:r>
      <w:r>
        <w:rPr>
          <w:rFonts w:hint="eastAsia" w:hAnsi="宋体"/>
          <w:sz w:val="24"/>
          <w:szCs w:val="24"/>
        </w:rPr>
        <w:t xml:space="preserve">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690"/>
        <w:rPr>
          <w:rFonts w:hint="eastAsia" w:ascii="黑体" w:hAnsi="黑体"/>
          <w:sz w:val="28"/>
          <w:szCs w:val="28"/>
        </w:rPr>
      </w:pPr>
      <w:r>
        <w:rPr>
          <w:rFonts w:hint="eastAsia" w:ascii="黑体" w:hAnsi="黑体"/>
          <w:sz w:val="28"/>
          <w:szCs w:val="28"/>
        </w:rPr>
        <w:t xml:space="preserve">七、其他相关说明</w:t>
      </w:r>
      <w:r/>
    </w:p>
    <w:p>
      <w:pPr>
        <w:pStyle w:val="700"/>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2"/>
      <w:bookmarkEnd w:id="8"/>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11" w:name="_Toc479500548"/>
      <w:r>
        <w:rPr>
          <w:rFonts w:ascii="宋体" w:hAnsi="宋体"/>
          <w:b/>
          <w:szCs w:val="28"/>
        </w:rPr>
        <w:br w:type="page" w:clear="all"/>
      </w:r>
      <w:r/>
    </w:p>
    <w:p>
      <w:pPr>
        <w:pStyle w:val="689"/>
        <w:jc w:val="center"/>
        <w:spacing w:line="240" w:lineRule="auto"/>
        <w:rPr>
          <w:szCs w:val="28"/>
        </w:rPr>
      </w:pPr>
      <w:r/>
      <w:bookmarkStart w:id="12" w:name="_Toc129876269"/>
      <w:r/>
      <w:bookmarkStart w:id="13" w:name="_Toc76893581"/>
      <w:r/>
      <w:bookmarkEnd w:id="11"/>
      <w:r>
        <w:rPr>
          <w:rFonts w:hint="eastAsia"/>
          <w:szCs w:val="28"/>
        </w:rPr>
        <w:t xml:space="preserve">第三章</w:t>
      </w:r>
      <w:r>
        <w:rPr>
          <w:rFonts w:hint="eastAsia"/>
          <w:szCs w:val="28"/>
        </w:rPr>
        <w:t xml:space="preserve"> </w:t>
      </w:r>
      <w:r>
        <w:rPr>
          <w:rFonts w:hint="eastAsia"/>
          <w:szCs w:val="28"/>
        </w:rPr>
        <w:t xml:space="preserve">评标办法和定标原则</w:t>
      </w:r>
      <w:bookmarkEnd w:id="12"/>
      <w:r/>
      <w:bookmarkEnd w:id="13"/>
      <w:r/>
      <w:r/>
    </w:p>
    <w:p>
      <w:pPr>
        <w:ind w:firstLine="480"/>
        <w:rPr>
          <w:sz w:val="24"/>
          <w:szCs w:val="24"/>
        </w:rPr>
      </w:pPr>
      <w:r/>
      <w:bookmarkStart w:id="14" w:name="_Toc449081332"/>
      <w:r/>
      <w:bookmarkStart w:id="15" w:name="_Toc449539274"/>
      <w:r/>
      <w:bookmarkStart w:id="16" w:name="_Toc479456121"/>
      <w:r/>
      <w:bookmarkStart w:id="17" w:name="_Toc444852399"/>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700"/>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704"/>
        <w:rPr>
          <w:rFonts w:hint="default" w:ascii="Times New Roman" w:hAnsi="Times New Roman"/>
          <w:sz w:val="24"/>
          <w:szCs w:val="24"/>
        </w:rPr>
      </w:pPr>
      <w:r/>
      <w:bookmarkStart w:id="18" w:name="_Toc128419270"/>
      <w:r>
        <w:rPr>
          <w:rFonts w:ascii="Times New Roman" w:hAnsi="Times New Roman"/>
          <w:sz w:val="24"/>
          <w:szCs w:val="24"/>
        </w:rPr>
        <w:t xml:space="preserve">具体评标办法如下：</w:t>
      </w:r>
      <w:r/>
    </w:p>
    <w:tbl>
      <w:tblPr>
        <w:tblW w:w="935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2"/>
        <w:gridCol w:w="729"/>
        <w:gridCol w:w="6725"/>
        <w:gridCol w:w="850"/>
      </w:tblGrid>
      <w:tr>
        <w:trPr>
          <w:trHeight w:val="394"/>
        </w:trPr>
        <w:tc>
          <w:tcPr>
            <w:gridSpan w:val="2"/>
            <w:tcW w:w="1781"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序号</w:t>
            </w:r>
            <w:r/>
          </w:p>
        </w:tc>
        <w:tc>
          <w:tcPr>
            <w:tcW w:w="6725"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评分标准</w:t>
            </w:r>
            <w:r/>
          </w:p>
        </w:tc>
        <w:tc>
          <w:tcPr>
            <w:tcW w:w="85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分值</w:t>
            </w:r>
            <w:r/>
          </w:p>
        </w:tc>
      </w:tr>
      <w:tr>
        <w:trPr>
          <w:trHeight w:val="1307"/>
        </w:trPr>
        <w:tc>
          <w:tcPr>
            <w:gridSpan w:val="2"/>
            <w:tcW w:w="1781"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（一）价格</w:t>
            </w:r>
            <w:r/>
          </w:p>
          <w:p>
            <w:pPr>
              <w:jc w:val="center"/>
              <w:rPr>
                <w:rFonts w:hint="eastAsia" w:ascii="宋体" w:hAnsi="宋体"/>
                <w:sz w:val="24"/>
                <w:szCs w:val="24"/>
              </w:rPr>
            </w:pPr>
            <w:r>
              <w:rPr>
                <w:rFonts w:ascii="宋体" w:hAnsi="宋体"/>
                <w:b/>
                <w:sz w:val="24"/>
                <w:szCs w:val="24"/>
              </w:rPr>
              <w:t xml:space="preserve">（10分）</w:t>
            </w:r>
            <w:r/>
          </w:p>
        </w:tc>
        <w:tc>
          <w:tcPr>
            <w:tcW w:w="6725" w:type="dxa"/>
            <w:vAlign w:val="center"/>
            <w:textDirection w:val="lrTb"/>
            <w:noWrap w:val="false"/>
          </w:tcPr>
          <w:p>
            <w:pPr>
              <w:rPr>
                <w:rFonts w:hint="eastAsia" w:ascii="宋体" w:hAnsi="宋体"/>
                <w:sz w:val="24"/>
                <w:szCs w:val="24"/>
              </w:rPr>
            </w:pPr>
            <w:r>
              <w:rPr>
                <w:rFonts w:ascii="宋体" w:hAnsi="宋体"/>
                <w:sz w:val="24"/>
                <w:szCs w:val="24"/>
              </w:rPr>
              <w:t xml:space="preserve">价格分采用低价优先法计算，即满足采购文件要求且报价最低的供应商报价为评标基准价，其价格分为满分10分，其它投标供应商的价格分统一按照以下公式计算：投标报价得分=(评标基准价/该投标供应商的投标报价)×10分。（小数点保留两位）</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trHeight w:val="1803"/>
        </w:trPr>
        <w:tc>
          <w:tcPr>
            <w:tcW w:w="1052" w:type="dxa"/>
            <w:vAlign w:val="center"/>
            <w:vMerge w:val="restart"/>
            <w:textDirection w:val="lrTb"/>
            <w:noWrap w:val="false"/>
          </w:tcPr>
          <w:p>
            <w:pPr>
              <w:jc w:val="center"/>
              <w:rPr>
                <w:rFonts w:hint="eastAsia" w:ascii="宋体" w:hAnsi="宋体"/>
                <w:b/>
                <w:sz w:val="24"/>
                <w:szCs w:val="24"/>
              </w:rPr>
            </w:pPr>
            <w:r>
              <w:rPr>
                <w:rFonts w:ascii="宋体" w:hAnsi="宋体"/>
                <w:b/>
                <w:sz w:val="24"/>
                <w:szCs w:val="24"/>
              </w:rPr>
              <w:t xml:space="preserve">（二）技术方案（50分）</w:t>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2.1</w:t>
            </w:r>
            <w:r/>
          </w:p>
        </w:tc>
        <w:tc>
          <w:tcPr>
            <w:tcW w:w="6725"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项目理解（5分）</w:t>
            </w:r>
            <w:r/>
          </w:p>
          <w:p>
            <w:pPr>
              <w:rPr>
                <w:rFonts w:hint="eastAsia" w:ascii="宋体" w:hAnsi="宋体"/>
                <w:sz w:val="24"/>
                <w:szCs w:val="24"/>
              </w:rPr>
            </w:pPr>
            <w:r>
              <w:rPr>
                <w:rFonts w:ascii="宋体" w:hAnsi="宋体"/>
                <w:sz w:val="24"/>
                <w:szCs w:val="24"/>
              </w:rPr>
              <w:t xml:space="preserve">根据投标人提供的本项目需求理解（包括针对本项目背景、现状、服务目标等方面的理解材料等）综合评分：</w:t>
            </w:r>
            <w:r/>
          </w:p>
          <w:p>
            <w:pPr>
              <w:rPr>
                <w:rFonts w:hint="eastAsia" w:ascii="宋体" w:hAnsi="宋体"/>
                <w:sz w:val="24"/>
                <w:szCs w:val="24"/>
              </w:rPr>
            </w:pPr>
            <w:r>
              <w:rPr>
                <w:rFonts w:ascii="宋体" w:hAnsi="宋体"/>
                <w:sz w:val="24"/>
                <w:szCs w:val="24"/>
              </w:rPr>
              <w:t xml:space="preserve">能贴合采购人的需求，项目理解深刻，内容全面，得5分；</w:t>
            </w:r>
            <w:r/>
          </w:p>
          <w:p>
            <w:pPr>
              <w:rPr>
                <w:rFonts w:hint="eastAsia" w:ascii="宋体" w:hAnsi="宋体"/>
                <w:sz w:val="24"/>
                <w:szCs w:val="24"/>
              </w:rPr>
            </w:pPr>
            <w:r>
              <w:rPr>
                <w:rFonts w:ascii="宋体" w:hAnsi="宋体"/>
                <w:sz w:val="24"/>
                <w:szCs w:val="24"/>
              </w:rPr>
              <w:t xml:space="preserve">能满足采购人基本需求，项目理解较完整，内容较全面，得3分；</w:t>
            </w:r>
            <w:r/>
          </w:p>
          <w:p>
            <w:pPr>
              <w:rPr>
                <w:rFonts w:hint="eastAsia" w:ascii="宋体" w:hAnsi="宋体"/>
                <w:sz w:val="24"/>
                <w:szCs w:val="24"/>
              </w:rPr>
            </w:pPr>
            <w:r>
              <w:rPr>
                <w:rFonts w:ascii="宋体" w:hAnsi="宋体"/>
                <w:sz w:val="24"/>
                <w:szCs w:val="24"/>
              </w:rPr>
              <w:t xml:space="preserve">内容空泛，套用标准模板，可操作性较差，得1分；</w:t>
            </w:r>
            <w:r/>
          </w:p>
          <w:p>
            <w:pPr>
              <w:rPr>
                <w:rFonts w:hint="eastAsia" w:ascii="宋体" w:hAnsi="宋体"/>
                <w:b/>
                <w:bCs/>
                <w:sz w:val="24"/>
                <w:szCs w:val="24"/>
              </w:rPr>
            </w:pPr>
            <w:r>
              <w:rPr>
                <w:rFonts w:ascii="宋体" w:hAnsi="宋体"/>
                <w:sz w:val="24"/>
                <w:szCs w:val="24"/>
              </w:rPr>
              <w:t xml:space="preserve">未提供不得分。</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5</w:t>
            </w:r>
            <w:r/>
          </w:p>
        </w:tc>
      </w:tr>
      <w:tr>
        <w:trPr>
          <w:trHeight w:val="1803"/>
        </w:trPr>
        <w:tc>
          <w:tcPr>
            <w:tcW w:w="1052"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2.2</w:t>
            </w:r>
            <w:r/>
          </w:p>
        </w:tc>
        <w:tc>
          <w:tcPr>
            <w:tcW w:w="6725"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专项资金相关政策文件适用性评估、省本级项目及省重点项目申报指南（建议稿）及评审标准（建议稿）编制工作方案（8分）</w:t>
            </w:r>
            <w:r/>
          </w:p>
          <w:p>
            <w:pPr>
              <w:rPr>
                <w:rFonts w:hint="eastAsia" w:ascii="宋体" w:hAnsi="宋体"/>
                <w:sz w:val="24"/>
                <w:szCs w:val="24"/>
              </w:rPr>
            </w:pPr>
            <w:r>
              <w:rPr>
                <w:rFonts w:hint="eastAsia" w:ascii="宋体" w:hAnsi="宋体"/>
                <w:sz w:val="24"/>
                <w:szCs w:val="24"/>
              </w:rPr>
              <w:t xml:space="preserve">对照省级太湖流域水环境治理专项资金管理要求，开展专项资金相关政策文件适用性评估；结合年度省本级项目组织和统筹资金项目申报工作需要，编制省本级项目及省重点项目申报技术指南（建议稿）、评审标准（建议稿），形成相应工作方案。</w:t>
            </w:r>
            <w:r/>
          </w:p>
          <w:p>
            <w:pPr>
              <w:rPr>
                <w:rFonts w:hint="eastAsia" w:ascii="宋体" w:hAnsi="宋体"/>
                <w:sz w:val="24"/>
                <w:szCs w:val="24"/>
              </w:rPr>
            </w:pPr>
            <w:r>
              <w:rPr>
                <w:rFonts w:ascii="宋体" w:hAnsi="宋体"/>
                <w:sz w:val="24"/>
                <w:szCs w:val="24"/>
              </w:rPr>
              <w:t xml:space="preserve">内容思路清晰、内容全面，得</w:t>
            </w:r>
            <w:r>
              <w:rPr>
                <w:rFonts w:hint="eastAsia" w:ascii="宋体" w:hAnsi="宋体"/>
                <w:sz w:val="24"/>
                <w:szCs w:val="24"/>
              </w:rPr>
              <w:t xml:space="preserve">8</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内容思路基本清晰、内容基本全面，得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内容思路不</w:t>
            </w:r>
            <w:r>
              <w:rPr>
                <w:rFonts w:hint="eastAsia" w:ascii="宋体" w:hAnsi="宋体"/>
                <w:sz w:val="24"/>
                <w:szCs w:val="24"/>
              </w:rPr>
              <w:t xml:space="preserve">够</w:t>
            </w:r>
            <w:r>
              <w:rPr>
                <w:rFonts w:ascii="宋体" w:hAnsi="宋体"/>
                <w:sz w:val="24"/>
                <w:szCs w:val="24"/>
              </w:rPr>
              <w:t xml:space="preserve">清晰、内容不</w:t>
            </w:r>
            <w:r>
              <w:rPr>
                <w:rFonts w:hint="eastAsia" w:ascii="宋体" w:hAnsi="宋体"/>
                <w:sz w:val="24"/>
                <w:szCs w:val="24"/>
              </w:rPr>
              <w:t xml:space="preserve">够</w:t>
            </w:r>
            <w:r>
              <w:rPr>
                <w:rFonts w:ascii="宋体" w:hAnsi="宋体"/>
                <w:sz w:val="24"/>
                <w:szCs w:val="24"/>
              </w:rPr>
              <w:t xml:space="preserve">全面，得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p>
          <w:p>
            <w:pPr>
              <w:rPr>
                <w:rFonts w:hint="eastAsia" w:ascii="宋体" w:hAnsi="宋体"/>
                <w:sz w:val="24"/>
                <w:szCs w:val="24"/>
              </w:rPr>
            </w:pPr>
            <w:r>
              <w:rPr>
                <w:rFonts w:ascii="宋体" w:hAnsi="宋体"/>
                <w:sz w:val="24"/>
                <w:szCs w:val="24"/>
              </w:rPr>
              <w:t xml:space="preserve">未提供不得分。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r>
      <w:tr>
        <w:trPr>
          <w:trHeight w:val="90"/>
        </w:trPr>
        <w:tc>
          <w:tcPr>
            <w:tcW w:w="1052"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2.3</w:t>
            </w:r>
            <w:r/>
          </w:p>
        </w:tc>
        <w:tc>
          <w:tcPr>
            <w:tcW w:w="6725" w:type="dxa"/>
            <w:vAlign w:val="center"/>
            <w:textDirection w:val="lrTb"/>
            <w:noWrap w:val="false"/>
          </w:tcPr>
          <w:p>
            <w:pPr>
              <w:rPr>
                <w:rFonts w:hint="eastAsia" w:ascii="宋体" w:hAnsi="宋体"/>
                <w:sz w:val="24"/>
                <w:szCs w:val="24"/>
              </w:rPr>
            </w:pPr>
            <w:r>
              <w:rPr>
                <w:rFonts w:hint="eastAsia" w:ascii="宋体" w:hAnsi="宋体"/>
                <w:b/>
                <w:bCs/>
                <w:sz w:val="24"/>
                <w:szCs w:val="24"/>
              </w:rPr>
              <w:t xml:space="preserve">太湖治理重点</w:t>
            </w:r>
            <w:r>
              <w:rPr>
                <w:rFonts w:ascii="宋体" w:hAnsi="宋体"/>
                <w:b/>
                <w:bCs/>
                <w:sz w:val="24"/>
                <w:szCs w:val="24"/>
              </w:rPr>
              <w:t xml:space="preserve">项目入库审核管理</w:t>
            </w:r>
            <w:r>
              <w:rPr>
                <w:rFonts w:hint="eastAsia" w:ascii="宋体" w:hAnsi="宋体"/>
                <w:b/>
                <w:bCs/>
                <w:sz w:val="24"/>
                <w:szCs w:val="24"/>
              </w:rPr>
              <w:t xml:space="preserve">技术服务方案</w:t>
            </w:r>
            <w:r>
              <w:rPr>
                <w:rFonts w:ascii="宋体" w:hAnsi="宋体"/>
                <w:b/>
                <w:bCs/>
                <w:sz w:val="24"/>
                <w:szCs w:val="24"/>
              </w:rPr>
              <w:t xml:space="preserve">（</w:t>
            </w:r>
            <w:r>
              <w:rPr>
                <w:rFonts w:hint="eastAsia" w:ascii="宋体" w:hAnsi="宋体"/>
                <w:b/>
                <w:bCs/>
                <w:sz w:val="24"/>
                <w:szCs w:val="24"/>
              </w:rPr>
              <w:t xml:space="preserve">8</w:t>
            </w:r>
            <w:r>
              <w:rPr>
                <w:rFonts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入库审核管理</w:t>
            </w:r>
            <w:r>
              <w:rPr>
                <w:rFonts w:hint="eastAsia" w:ascii="宋体" w:hAnsi="宋体"/>
                <w:sz w:val="24"/>
                <w:szCs w:val="24"/>
              </w:rPr>
              <w:t xml:space="preserve">技术服务</w:t>
            </w:r>
            <w:r>
              <w:rPr>
                <w:rFonts w:ascii="宋体" w:hAnsi="宋体"/>
                <w:sz w:val="24"/>
                <w:szCs w:val="24"/>
              </w:rPr>
              <w:t xml:space="preserve">方案包含但不限于入库信息收集梳理、项目位置信息校核及缺失信息调研补充完善、项目入库审核技术要求及审核指标、申请变更调增调出项目技术咨询和专家评审组织等。</w:t>
            </w:r>
            <w:r/>
          </w:p>
          <w:p>
            <w:pPr>
              <w:rPr>
                <w:rStyle w:val="779"/>
                <w:rFonts w:hint="eastAsia" w:ascii="宋体" w:hAnsi="宋体"/>
                <w:sz w:val="24"/>
                <w:szCs w:val="24"/>
              </w:rPr>
            </w:pPr>
            <w:r>
              <w:rPr>
                <w:rFonts w:hint="eastAsia" w:ascii="宋体" w:hAnsi="宋体"/>
                <w:sz w:val="24"/>
                <w:szCs w:val="24"/>
              </w:rPr>
              <w:t xml:space="preserve">（1）内容完整性：方案包含以上所有内容，内容全面详实，框架完整的得4分；方案内容较为全面，框架基本完整的得2分；方案内容存在疏漏或不够完整，框架存在不足的得1分；未提</w:t>
            </w:r>
            <w:r>
              <w:rPr>
                <w:rFonts w:hint="eastAsia" w:ascii="宋体" w:hAnsi="宋体"/>
                <w:sz w:val="24"/>
                <w:szCs w:val="24"/>
              </w:rPr>
              <w:t xml:space="preserve">供不得分。</w:t>
            </w:r>
            <w:r>
              <w:rPr>
                <w:rFonts w:hint="eastAsia" w:ascii="宋体" w:hAnsi="宋体"/>
                <w:sz w:val="24"/>
                <w:szCs w:val="24"/>
              </w:rPr>
              <w:br/>
              <w:t xml:space="preserve">（2）方案的针对性、合理性：</w:t>
            </w:r>
            <w:r>
              <w:rPr>
                <w:rStyle w:val="779"/>
                <w:rFonts w:hint="eastAsia" w:ascii="宋体" w:hAnsi="宋体"/>
                <w:sz w:val="24"/>
                <w:szCs w:val="24"/>
              </w:rPr>
              <w:t xml:space="preserve">思路清晰，技术路线合理可行，符合项目实际情况，完全满足采购需求的得4分；思路基本清晰，技术路线基本合理，基本符合采购需求的得2分；路线不够明确，可行性低，难以满足采购需求的得1分；未提供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r>
      <w:tr>
        <w:trPr>
          <w:trHeight w:val="90"/>
        </w:trPr>
        <w:tc>
          <w:tcPr>
            <w:tcW w:w="1052"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2.4</w:t>
            </w:r>
            <w:r/>
          </w:p>
        </w:tc>
        <w:tc>
          <w:tcPr>
            <w:tcW w:w="6725" w:type="dxa"/>
            <w:vAlign w:val="center"/>
            <w:textDirection w:val="lrTb"/>
            <w:noWrap w:val="false"/>
          </w:tcPr>
          <w:p>
            <w:pPr>
              <w:rPr>
                <w:rStyle w:val="779"/>
                <w:rFonts w:hint="eastAsia" w:ascii="宋体" w:hAnsi="宋体"/>
                <w:b/>
                <w:bCs/>
                <w:sz w:val="24"/>
                <w:szCs w:val="24"/>
              </w:rPr>
            </w:pPr>
            <w:r>
              <w:rPr>
                <w:rStyle w:val="779"/>
                <w:rFonts w:hint="eastAsia" w:ascii="宋体" w:hAnsi="宋体"/>
                <w:b/>
                <w:bCs/>
                <w:sz w:val="24"/>
                <w:szCs w:val="24"/>
              </w:rPr>
              <w:t xml:space="preserve">太湖专项资金绩效评价工作方案（8分）</w:t>
            </w:r>
            <w:r/>
          </w:p>
          <w:p>
            <w:pPr>
              <w:rPr>
                <w:rFonts w:hint="eastAsia" w:ascii="宋体" w:hAnsi="宋体"/>
                <w:sz w:val="24"/>
                <w:szCs w:val="24"/>
              </w:rPr>
            </w:pPr>
            <w:r>
              <w:rPr>
                <w:rFonts w:hint="eastAsia" w:ascii="宋体" w:hAnsi="宋体"/>
                <w:sz w:val="24"/>
                <w:szCs w:val="24"/>
              </w:rPr>
              <w:t xml:space="preserve">太湖专项资金绩效评价工作方案包含但不限于相关项目单位绩效自评价组织、绩效评价内容和指标体系制定、现场抽查复核、整体绩效评价及绩效评价报告编制等。</w:t>
            </w:r>
            <w:r/>
          </w:p>
          <w:p>
            <w:pPr>
              <w:rPr>
                <w:rFonts w:hint="eastAsia" w:ascii="宋体" w:hAnsi="宋体"/>
                <w:sz w:val="24"/>
                <w:szCs w:val="24"/>
              </w:rPr>
            </w:pPr>
            <w:r>
              <w:rPr>
                <w:rFonts w:hint="eastAsia" w:ascii="宋体" w:hAnsi="宋体"/>
                <w:sz w:val="24"/>
                <w:szCs w:val="24"/>
              </w:rPr>
              <w:t xml:space="preserve">（1）内容完整性：方案包含以上所有内容，内容全面详实，框架完整的得4分；方案内容较为全面，框架基本完整的得2分；方案内容存在疏漏或不够完整，框架存在不足的得1分；未提供不得分。</w:t>
            </w:r>
            <w:r>
              <w:rPr>
                <w:rFonts w:hint="eastAsia" w:ascii="宋体" w:hAnsi="宋体"/>
                <w:sz w:val="24"/>
                <w:szCs w:val="24"/>
              </w:rPr>
              <w:br/>
              <w:t xml:space="preserve">（2）方案的针对性、合理性：</w:t>
            </w:r>
            <w:r>
              <w:rPr>
                <w:rStyle w:val="779"/>
                <w:rFonts w:hint="eastAsia" w:ascii="宋体" w:hAnsi="宋体"/>
                <w:sz w:val="24"/>
                <w:szCs w:val="24"/>
              </w:rPr>
              <w:t xml:space="preserve">思路清晰，技术路线合理可行，符合项目实际情况，完全满足采购需求的得4分；思路基本清晰，技术路线基本合理，基本符合采购需求的得2分；路线不够明确，可行性低，难以满足采购需求的得1分；未提供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r>
      <w:tr>
        <w:trPr>
          <w:trHeight w:val="90"/>
        </w:trPr>
        <w:tc>
          <w:tcPr>
            <w:tcW w:w="1052"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2.5</w:t>
            </w:r>
            <w:r/>
          </w:p>
        </w:tc>
        <w:tc>
          <w:tcPr>
            <w:tcW w:w="6725" w:type="dxa"/>
            <w:vAlign w:val="center"/>
            <w:textDirection w:val="lrTb"/>
            <w:noWrap w:val="false"/>
          </w:tcPr>
          <w:p>
            <w:pPr>
              <w:rPr>
                <w:rStyle w:val="779"/>
                <w:rFonts w:hint="eastAsia" w:ascii="宋体" w:hAnsi="宋体"/>
                <w:b/>
                <w:bCs/>
                <w:sz w:val="24"/>
                <w:szCs w:val="24"/>
              </w:rPr>
            </w:pPr>
            <w:r>
              <w:rPr>
                <w:rStyle w:val="779"/>
                <w:rFonts w:hint="eastAsia" w:ascii="宋体" w:hAnsi="宋体"/>
                <w:b/>
                <w:bCs/>
                <w:sz w:val="24"/>
                <w:szCs w:val="24"/>
              </w:rPr>
              <w:t xml:space="preserve">项目库系统功能拓展设计方案（10分）</w:t>
            </w:r>
            <w:r/>
          </w:p>
          <w:p>
            <w:pPr>
              <w:rPr>
                <w:rFonts w:hint="eastAsia" w:ascii="宋体" w:hAnsi="宋体"/>
                <w:sz w:val="24"/>
                <w:szCs w:val="24"/>
              </w:rPr>
            </w:pPr>
            <w:r>
              <w:rPr>
                <w:rFonts w:hint="eastAsia" w:ascii="宋体" w:hAnsi="宋体"/>
                <w:sz w:val="24"/>
                <w:szCs w:val="24"/>
              </w:rPr>
              <w:t xml:space="preserve">项目库系统功能拓展设计方案</w:t>
            </w:r>
            <w:r>
              <w:rPr>
                <w:rFonts w:ascii="宋体" w:hAnsi="宋体"/>
                <w:sz w:val="24"/>
                <w:szCs w:val="24"/>
              </w:rPr>
              <w:t xml:space="preserve">包含但不限于</w:t>
            </w:r>
            <w:r>
              <w:rPr>
                <w:rFonts w:hint="eastAsia" w:ascii="宋体" w:hAnsi="宋体"/>
                <w:sz w:val="24"/>
                <w:szCs w:val="24"/>
              </w:rPr>
              <w:t xml:space="preserve">项目管理、资金评审、资金管理、用户权限等方面，涉及“项目池”设计、资金评审设计、资金管理设计，工作流转流程设计等。</w:t>
            </w:r>
            <w:r/>
          </w:p>
          <w:p>
            <w:pPr>
              <w:rPr>
                <w:rStyle w:val="779"/>
                <w:rFonts w:hint="eastAsia" w:ascii="宋体" w:hAnsi="宋体"/>
                <w:sz w:val="24"/>
                <w:szCs w:val="24"/>
              </w:rPr>
            </w:pPr>
            <w:r>
              <w:rPr>
                <w:rFonts w:hint="eastAsia" w:ascii="宋体" w:hAnsi="宋体"/>
                <w:sz w:val="24"/>
                <w:szCs w:val="24"/>
              </w:rPr>
              <w:t xml:space="preserve">（1）内容完整性：方案包含以上所有内容，内容全面详实，框架完整的得5分；方案内容较为全面，框架基本完整的得3分；方案内容存在疏漏或不够完整，框架存在不足的得1分；未提供不得分。</w:t>
            </w:r>
            <w:r>
              <w:rPr>
                <w:rFonts w:hint="eastAsia" w:ascii="宋体" w:hAnsi="宋体"/>
                <w:sz w:val="24"/>
                <w:szCs w:val="24"/>
              </w:rPr>
              <w:br/>
              <w:t xml:space="preserve">（2）方案的针对性、合理性：</w:t>
            </w:r>
            <w:r>
              <w:rPr>
                <w:rStyle w:val="779"/>
                <w:rFonts w:hint="eastAsia" w:ascii="宋体" w:hAnsi="宋体"/>
                <w:sz w:val="24"/>
                <w:szCs w:val="24"/>
              </w:rPr>
              <w:t xml:space="preserve">思路清晰，技术路线合理可行，符合项目实际情况，完全满足采购需求的得5分；思路基本清晰，技术路线基本合理，基本符合采购需求的得3分；路线不够明确，可行性低，难以满足采购需求的得1分；未提供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p>
        </w:tc>
      </w:tr>
      <w:tr>
        <w:trPr>
          <w:trHeight w:val="90"/>
        </w:trPr>
        <w:tc>
          <w:tcPr>
            <w:tcW w:w="1052"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2.6</w:t>
            </w:r>
            <w:r/>
          </w:p>
        </w:tc>
        <w:tc>
          <w:tcPr>
            <w:tcW w:w="6725" w:type="dxa"/>
            <w:vAlign w:val="center"/>
            <w:textDirection w:val="lrTb"/>
            <w:noWrap w:val="false"/>
          </w:tcPr>
          <w:p>
            <w:pPr>
              <w:rPr>
                <w:rStyle w:val="779"/>
                <w:rFonts w:hint="eastAsia" w:ascii="宋体" w:hAnsi="宋体"/>
                <w:b/>
                <w:bCs/>
                <w:sz w:val="24"/>
                <w:szCs w:val="24"/>
              </w:rPr>
            </w:pPr>
            <w:r>
              <w:rPr>
                <w:rStyle w:val="779"/>
                <w:rFonts w:ascii="宋体" w:hAnsi="宋体"/>
                <w:b/>
                <w:bCs/>
                <w:sz w:val="24"/>
                <w:szCs w:val="24"/>
              </w:rPr>
              <w:t xml:space="preserve">“十四五”治太</w:t>
            </w:r>
            <w:r>
              <w:rPr>
                <w:rStyle w:val="779"/>
                <w:rFonts w:hint="eastAsia" w:ascii="宋体" w:hAnsi="宋体"/>
                <w:b/>
                <w:bCs/>
                <w:sz w:val="24"/>
                <w:szCs w:val="24"/>
              </w:rPr>
              <w:t xml:space="preserve">工程</w:t>
            </w:r>
            <w:r>
              <w:rPr>
                <w:rStyle w:val="779"/>
                <w:rFonts w:ascii="宋体" w:hAnsi="宋体"/>
                <w:b/>
                <w:bCs/>
                <w:sz w:val="24"/>
                <w:szCs w:val="24"/>
              </w:rPr>
              <w:t xml:space="preserve">项目上图入库工作方案（</w:t>
            </w:r>
            <w:r>
              <w:rPr>
                <w:rStyle w:val="779"/>
                <w:rFonts w:hint="eastAsia" w:ascii="宋体" w:hAnsi="宋体"/>
                <w:b/>
                <w:bCs/>
                <w:sz w:val="24"/>
                <w:szCs w:val="24"/>
              </w:rPr>
              <w:t xml:space="preserve">6</w:t>
            </w:r>
            <w:r>
              <w:rPr>
                <w:rStyle w:val="779"/>
                <w:rFonts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对太湖五市“十四五”期间治太</w:t>
            </w:r>
            <w:r>
              <w:rPr>
                <w:rFonts w:hint="eastAsia" w:ascii="宋体" w:hAnsi="宋体"/>
                <w:sz w:val="24"/>
                <w:szCs w:val="24"/>
              </w:rPr>
              <w:t xml:space="preserve">工程</w:t>
            </w:r>
            <w:r>
              <w:rPr>
                <w:rFonts w:ascii="宋体" w:hAnsi="宋体"/>
                <w:sz w:val="24"/>
                <w:szCs w:val="24"/>
              </w:rPr>
              <w:t xml:space="preserve">项目进行梳理并校核项目入库基本信息，包括项目位置、关联河湖断面、项目类型、主要建设内容、项目状态、项目投资和</w:t>
            </w:r>
            <w:r>
              <w:rPr>
                <w:rFonts w:hint="eastAsia" w:ascii="宋体" w:hAnsi="宋体"/>
                <w:sz w:val="24"/>
                <w:szCs w:val="24"/>
              </w:rPr>
              <w:t xml:space="preserve">治太</w:t>
            </w:r>
            <w:r>
              <w:rPr>
                <w:rFonts w:ascii="宋体" w:hAnsi="宋体"/>
                <w:sz w:val="24"/>
                <w:szCs w:val="24"/>
              </w:rPr>
              <w:t xml:space="preserve">专项资金等方面，完成项目入库，</w:t>
            </w:r>
            <w:r>
              <w:rPr>
                <w:rFonts w:hint="eastAsia" w:ascii="宋体" w:hAnsi="宋体"/>
                <w:sz w:val="24"/>
                <w:szCs w:val="24"/>
              </w:rPr>
              <w:t xml:space="preserve">并</w:t>
            </w:r>
            <w:r>
              <w:rPr>
                <w:rFonts w:ascii="宋体" w:hAnsi="宋体"/>
                <w:sz w:val="24"/>
                <w:szCs w:val="24"/>
              </w:rPr>
              <w:t xml:space="preserve">具备统计分析及上图展示。</w:t>
            </w:r>
            <w:r/>
          </w:p>
          <w:p>
            <w:pPr>
              <w:rPr>
                <w:rFonts w:hint="eastAsia" w:ascii="宋体" w:hAnsi="宋体"/>
                <w:sz w:val="24"/>
                <w:szCs w:val="24"/>
              </w:rPr>
            </w:pPr>
            <w:r>
              <w:rPr>
                <w:rFonts w:ascii="宋体" w:hAnsi="宋体"/>
                <w:sz w:val="24"/>
                <w:szCs w:val="24"/>
              </w:rPr>
              <w:t xml:space="preserve">工作方案内容安排详实，完全涵盖需求内容，思路清晰，得</w:t>
            </w:r>
            <w:r>
              <w:rPr>
                <w:rFonts w:hint="eastAsia" w:ascii="宋体" w:hAnsi="宋体"/>
                <w:sz w:val="24"/>
                <w:szCs w:val="24"/>
              </w:rPr>
              <w:t xml:space="preserve">6</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工作方案内容安排较详实，较好涵盖需求内容，思路较清晰，得</w:t>
            </w:r>
            <w:r>
              <w:rPr>
                <w:rFonts w:hint="eastAsia" w:ascii="宋体" w:hAnsi="宋体"/>
                <w:sz w:val="24"/>
                <w:szCs w:val="24"/>
              </w:rPr>
              <w:t xml:space="preserve">4</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未结合项目特点，思路不</w:t>
            </w:r>
            <w:r>
              <w:rPr>
                <w:rFonts w:hint="eastAsia" w:ascii="宋体" w:hAnsi="宋体"/>
                <w:sz w:val="24"/>
                <w:szCs w:val="24"/>
              </w:rPr>
              <w:t xml:space="preserve">够</w:t>
            </w:r>
            <w:r>
              <w:rPr>
                <w:rFonts w:ascii="宋体" w:hAnsi="宋体"/>
                <w:sz w:val="24"/>
                <w:szCs w:val="24"/>
              </w:rPr>
              <w:t xml:space="preserve">清晰，得</w:t>
            </w:r>
            <w:r>
              <w:rPr>
                <w:rFonts w:hint="eastAsia" w:ascii="宋体" w:hAnsi="宋体"/>
                <w:sz w:val="24"/>
                <w:szCs w:val="24"/>
              </w:rPr>
              <w:t xml:space="preserve">2</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未提供不得分。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r>
      <w:tr>
        <w:trPr>
          <w:trHeight w:val="90"/>
        </w:trPr>
        <w:tc>
          <w:tcPr>
            <w:tcW w:w="1052"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2.7</w:t>
            </w:r>
            <w:r/>
          </w:p>
        </w:tc>
        <w:tc>
          <w:tcPr>
            <w:tcW w:w="6725" w:type="dxa"/>
            <w:vAlign w:val="center"/>
            <w:textDirection w:val="lrTb"/>
            <w:noWrap w:val="false"/>
          </w:tcPr>
          <w:p>
            <w:pPr>
              <w:rPr>
                <w:rStyle w:val="779"/>
                <w:rFonts w:hint="eastAsia" w:ascii="宋体" w:hAnsi="宋体"/>
                <w:b/>
                <w:bCs/>
                <w:sz w:val="24"/>
                <w:szCs w:val="24"/>
              </w:rPr>
            </w:pPr>
            <w:r/>
            <w:bookmarkStart w:id="19" w:name="OLE_LINK16"/>
            <w:r>
              <w:rPr>
                <w:rStyle w:val="779"/>
                <w:rFonts w:ascii="宋体" w:hAnsi="宋体"/>
                <w:b/>
                <w:bCs/>
                <w:sz w:val="24"/>
                <w:szCs w:val="24"/>
              </w:rPr>
              <w:t xml:space="preserve">进度保障和质量保障措施（5分）</w:t>
            </w:r>
            <w:r/>
          </w:p>
          <w:p>
            <w:pPr>
              <w:rPr>
                <w:rFonts w:hint="eastAsia" w:ascii="宋体" w:hAnsi="宋体"/>
                <w:sz w:val="24"/>
                <w:szCs w:val="24"/>
              </w:rPr>
            </w:pPr>
            <w:r>
              <w:rPr>
                <w:rFonts w:ascii="宋体" w:hAnsi="宋体"/>
                <w:sz w:val="24"/>
                <w:szCs w:val="24"/>
              </w:rPr>
              <w:t xml:space="preserve">根据供应商提供的进度安排和质量保证措施的合理性、可靠性等方面进行综合打分。</w:t>
            </w:r>
            <w:bookmarkEnd w:id="19"/>
            <w:r/>
          </w:p>
          <w:p>
            <w:pPr>
              <w:rPr>
                <w:rFonts w:hint="eastAsia" w:ascii="宋体" w:hAnsi="宋体"/>
                <w:sz w:val="24"/>
                <w:szCs w:val="24"/>
              </w:rPr>
            </w:pPr>
            <w:r>
              <w:rPr>
                <w:rFonts w:ascii="宋体" w:hAnsi="宋体"/>
                <w:sz w:val="24"/>
                <w:szCs w:val="24"/>
              </w:rPr>
              <w:t xml:space="preserve">工作时间计划和进度安排科学合理、能有效完成任务，质量措施合理可靠，成果质量能够得到有效保障，优于项目需求的，得5分；</w:t>
            </w:r>
            <w:r/>
          </w:p>
          <w:p>
            <w:pPr>
              <w:rPr>
                <w:rFonts w:hint="eastAsia" w:ascii="宋体" w:hAnsi="宋体"/>
                <w:sz w:val="24"/>
                <w:szCs w:val="24"/>
              </w:rPr>
            </w:pPr>
            <w:r>
              <w:rPr>
                <w:rFonts w:ascii="宋体" w:hAnsi="宋体"/>
                <w:sz w:val="24"/>
                <w:szCs w:val="24"/>
              </w:rPr>
              <w:t xml:space="preserve">工作时间计划和进度安排较科学合理，质量保证措施较合理可行，符合项目需求的，得3分；</w:t>
            </w:r>
            <w:r/>
          </w:p>
          <w:p>
            <w:pPr>
              <w:rPr>
                <w:rFonts w:hint="eastAsia" w:ascii="宋体" w:hAnsi="宋体"/>
                <w:sz w:val="24"/>
                <w:szCs w:val="24"/>
              </w:rPr>
            </w:pPr>
            <w:r>
              <w:rPr>
                <w:rFonts w:ascii="宋体" w:hAnsi="宋体"/>
                <w:sz w:val="24"/>
                <w:szCs w:val="24"/>
              </w:rPr>
              <w:t xml:space="preserve">进度安排和质量保证措施有欠缺的，得1分；</w:t>
            </w:r>
            <w:r/>
          </w:p>
          <w:p>
            <w:pPr>
              <w:rPr>
                <w:rFonts w:hint="eastAsia" w:ascii="宋体" w:hAnsi="宋体"/>
                <w:sz w:val="24"/>
                <w:szCs w:val="24"/>
              </w:rPr>
            </w:pPr>
            <w:r>
              <w:rPr>
                <w:rFonts w:ascii="宋体" w:hAnsi="宋体"/>
                <w:sz w:val="24"/>
                <w:szCs w:val="24"/>
              </w:rPr>
              <w:t xml:space="preserve">未提供不得分。</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5</w:t>
            </w:r>
            <w:r/>
          </w:p>
        </w:tc>
      </w:tr>
      <w:tr>
        <w:trPr>
          <w:trHeight w:val="229"/>
        </w:trPr>
        <w:tc>
          <w:tcPr>
            <w:tcW w:w="1052" w:type="dxa"/>
            <w:vAlign w:val="center"/>
            <w:vMerge w:val="restart"/>
            <w:textDirection w:val="lrTb"/>
            <w:noWrap w:val="false"/>
          </w:tcPr>
          <w:p>
            <w:pPr>
              <w:jc w:val="center"/>
              <w:widowControl/>
              <w:rPr>
                <w:rFonts w:hint="eastAsia" w:ascii="宋体" w:hAnsi="宋体"/>
                <w:sz w:val="24"/>
                <w:szCs w:val="24"/>
              </w:rPr>
            </w:pPr>
            <w:r>
              <w:rPr>
                <w:rFonts w:ascii="宋体" w:hAnsi="宋体"/>
                <w:b/>
                <w:sz w:val="24"/>
                <w:szCs w:val="24"/>
              </w:rPr>
              <w:t xml:space="preserve">（三）履约能力（40分）</w:t>
            </w:r>
            <w:r/>
          </w:p>
        </w:tc>
        <w:tc>
          <w:tcPr>
            <w:tcW w:w="729" w:type="dxa"/>
            <w:vAlign w:val="center"/>
            <w:textDirection w:val="lrTb"/>
            <w:noWrap w:val="false"/>
          </w:tcPr>
          <w:p>
            <w:pPr>
              <w:jc w:val="center"/>
              <w:widowControl/>
              <w:rPr>
                <w:rFonts w:hint="eastAsia" w:ascii="宋体" w:hAnsi="宋体"/>
                <w:b/>
                <w:bCs/>
                <w:sz w:val="24"/>
                <w:szCs w:val="24"/>
              </w:rPr>
            </w:pPr>
            <w:r>
              <w:rPr>
                <w:rFonts w:ascii="宋体" w:hAnsi="宋体"/>
                <w:b/>
                <w:bCs/>
                <w:sz w:val="24"/>
                <w:szCs w:val="24"/>
              </w:rPr>
              <w:t xml:space="preserve">3.1</w:t>
            </w:r>
            <w:r/>
          </w:p>
        </w:tc>
        <w:tc>
          <w:tcPr>
            <w:tcW w:w="6725"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项目负责人实力（</w:t>
            </w:r>
            <w:r>
              <w:rPr>
                <w:rFonts w:hint="eastAsia" w:ascii="宋体" w:hAnsi="宋体"/>
                <w:b/>
                <w:bCs/>
                <w:sz w:val="24"/>
                <w:szCs w:val="24"/>
              </w:rPr>
              <w:t xml:space="preserve">8</w:t>
            </w:r>
            <w:r>
              <w:rPr>
                <w:rFonts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1、项目负责人具有</w:t>
            </w:r>
            <w:r>
              <w:rPr>
                <w:rFonts w:hint="eastAsia" w:ascii="宋体" w:hAnsi="宋体"/>
                <w:sz w:val="24"/>
                <w:szCs w:val="24"/>
              </w:rPr>
              <w:t xml:space="preserve">生态环境工程系列</w:t>
            </w:r>
            <w:r>
              <w:rPr>
                <w:rFonts w:ascii="宋体" w:hAnsi="宋体"/>
                <w:sz w:val="24"/>
                <w:szCs w:val="24"/>
              </w:rPr>
              <w:t xml:space="preserve">正高级技术职称</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2</w:t>
            </w:r>
            <w:r>
              <w:rPr>
                <w:rFonts w:ascii="宋体" w:hAnsi="宋体"/>
                <w:sz w:val="24"/>
                <w:szCs w:val="24"/>
              </w:rPr>
              <w:t xml:space="preserve">分；具有</w:t>
            </w:r>
            <w:r>
              <w:rPr>
                <w:rFonts w:hint="eastAsia" w:ascii="宋体" w:hAnsi="宋体"/>
                <w:sz w:val="24"/>
                <w:szCs w:val="24"/>
              </w:rPr>
              <w:t xml:space="preserve">生态环境工程系列副</w:t>
            </w:r>
            <w:r>
              <w:rPr>
                <w:rFonts w:ascii="宋体" w:hAnsi="宋体"/>
                <w:sz w:val="24"/>
                <w:szCs w:val="24"/>
              </w:rPr>
              <w:t xml:space="preserve">高级技术职称</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分。本项最高得</w:t>
            </w:r>
            <w:r>
              <w:rPr>
                <w:rFonts w:hint="eastAsia" w:ascii="宋体" w:hAnsi="宋体"/>
                <w:sz w:val="24"/>
                <w:szCs w:val="24"/>
              </w:rPr>
              <w:t xml:space="preserve">2</w:t>
            </w:r>
            <w:r>
              <w:rPr>
                <w:rFonts w:ascii="宋体" w:hAnsi="宋体"/>
                <w:sz w:val="24"/>
                <w:szCs w:val="24"/>
              </w:rPr>
              <w:t xml:space="preserve">分。（须</w:t>
            </w:r>
            <w:r>
              <w:rPr>
                <w:rFonts w:hint="eastAsia" w:ascii="宋体" w:hAnsi="宋体"/>
                <w:sz w:val="24"/>
                <w:szCs w:val="24"/>
              </w:rPr>
              <w:t xml:space="preserve">提供职称</w:t>
            </w:r>
            <w:r>
              <w:rPr>
                <w:rFonts w:ascii="宋体" w:hAnsi="宋体"/>
                <w:sz w:val="24"/>
                <w:szCs w:val="24"/>
              </w:rPr>
              <w:t xml:space="preserve">证书复印件</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项目负责人承担过流域水环境综合治理类规划或方案编制的，得2分。</w:t>
            </w:r>
            <w:r>
              <w:rPr>
                <w:rFonts w:ascii="宋体" w:hAnsi="宋体"/>
                <w:sz w:val="24"/>
                <w:szCs w:val="24"/>
              </w:rPr>
              <w:t xml:space="preserve">（须</w:t>
            </w:r>
            <w:r>
              <w:rPr>
                <w:rFonts w:hint="eastAsia" w:ascii="宋体" w:hAnsi="宋体"/>
                <w:sz w:val="24"/>
                <w:szCs w:val="24"/>
              </w:rPr>
              <w:t xml:space="preserve">提供合同复印件或相关证明材料，内容须反应负责人姓名）</w:t>
            </w:r>
            <w:r/>
          </w:p>
          <w:p>
            <w:pPr>
              <w:rPr>
                <w:rFonts w:hint="eastAsia" w:ascii="宋体" w:hAnsi="宋体"/>
                <w:sz w:val="24"/>
                <w:szCs w:val="24"/>
              </w:rPr>
            </w:pPr>
            <w:r>
              <w:rPr>
                <w:rFonts w:hint="eastAsia" w:ascii="宋体" w:hAnsi="宋体"/>
                <w:sz w:val="24"/>
                <w:szCs w:val="24"/>
              </w:rPr>
              <w:t xml:space="preserve">3、项目负责人主持过生态环境类相关科研课题或相关管理课题并通过结题或验收，省部级及以上每项得2分；市厅级每项得1分。本项最高得2分。</w:t>
            </w:r>
            <w:r>
              <w:rPr>
                <w:rFonts w:ascii="宋体" w:hAnsi="宋体"/>
                <w:sz w:val="24"/>
                <w:szCs w:val="24"/>
              </w:rPr>
              <w:t xml:space="preserve">（须提供</w:t>
            </w:r>
            <w:r>
              <w:rPr>
                <w:rFonts w:hint="eastAsia" w:ascii="宋体" w:hAnsi="宋体"/>
                <w:sz w:val="24"/>
                <w:szCs w:val="24"/>
              </w:rPr>
              <w:t xml:space="preserve">合同复印件及验收证明材料）</w:t>
            </w:r>
            <w:r/>
          </w:p>
          <w:p>
            <w:pPr>
              <w:rPr>
                <w:rFonts w:hint="eastAsia" w:ascii="宋体" w:hAnsi="宋体"/>
                <w:sz w:val="24"/>
                <w:szCs w:val="24"/>
              </w:rPr>
            </w:pPr>
            <w:r>
              <w:rPr>
                <w:rFonts w:hint="eastAsia" w:ascii="宋体" w:hAnsi="宋体"/>
                <w:sz w:val="24"/>
                <w:szCs w:val="24"/>
              </w:rPr>
              <w:t xml:space="preserve">4、</w:t>
            </w:r>
            <w:bookmarkStart w:id="20" w:name="OLE_LINK8"/>
            <w:r>
              <w:rPr>
                <w:rFonts w:hint="eastAsia" w:ascii="宋体" w:hAnsi="宋体"/>
                <w:sz w:val="24"/>
                <w:szCs w:val="24"/>
              </w:rPr>
              <w:t xml:space="preserve">项目负责人获得过与本项目服务内容直接相关的工程咨询、工程技术或科学技术类奖项的，每提供1个得1分，本项最高得2分。（须提供相关证书复印件或网站公示等证明材料等有效证明，并能够清晰体现获奖人员姓名）</w:t>
            </w:r>
            <w:bookmarkEnd w:id="20"/>
            <w:r/>
            <w:r/>
          </w:p>
          <w:p>
            <w:pPr>
              <w:rPr>
                <w:rFonts w:hint="eastAsia" w:ascii="宋体" w:hAnsi="宋体"/>
                <w:sz w:val="24"/>
                <w:szCs w:val="24"/>
              </w:rPr>
            </w:pPr>
            <w:r/>
            <w:bookmarkStart w:id="21" w:name="OLE_LINK7"/>
            <w:r>
              <w:rPr>
                <w:rFonts w:hint="eastAsia" w:ascii="宋体" w:hAnsi="宋体"/>
                <w:sz w:val="24"/>
                <w:szCs w:val="24"/>
              </w:rPr>
              <w:t xml:space="preserve">注：</w:t>
            </w:r>
            <w:r>
              <w:rPr>
                <w:rFonts w:ascii="宋体" w:hAnsi="宋体"/>
                <w:sz w:val="24"/>
                <w:szCs w:val="24"/>
              </w:rPr>
              <w:t xml:space="preserve">须</w:t>
            </w:r>
            <w:r>
              <w:rPr>
                <w:rFonts w:hint="eastAsia" w:ascii="宋体" w:hAnsi="宋体"/>
                <w:sz w:val="24"/>
                <w:szCs w:val="24"/>
              </w:rPr>
              <w:t xml:space="preserve">提供</w:t>
            </w:r>
            <w:r>
              <w:rPr>
                <w:rFonts w:ascii="宋体" w:hAnsi="宋体"/>
                <w:sz w:val="24"/>
                <w:szCs w:val="24"/>
              </w:rPr>
              <w:t xml:space="preserve">投标供应商与该负责人有效劳动合同或者202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5</w:t>
            </w:r>
            <w:r>
              <w:rPr>
                <w:rFonts w:ascii="宋体" w:hAnsi="宋体"/>
                <w:sz w:val="24"/>
                <w:szCs w:val="24"/>
              </w:rPr>
              <w:t xml:space="preserve">月至今为其缴纳的任意一个月社会保险证明，否则不得分</w:t>
            </w:r>
            <w:r>
              <w:rPr>
                <w:rFonts w:hint="eastAsia" w:ascii="宋体" w:hAnsi="宋体"/>
                <w:sz w:val="24"/>
                <w:szCs w:val="24"/>
              </w:rPr>
              <w:t xml:space="preserve">。</w:t>
            </w:r>
            <w:bookmarkEnd w:id="21"/>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r>
      <w:tr>
        <w:trPr>
          <w:trHeight w:val="578"/>
        </w:trPr>
        <w:tc>
          <w:tcPr>
            <w:tcW w:w="1052"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3.2</w:t>
            </w:r>
            <w:r/>
          </w:p>
        </w:tc>
        <w:tc>
          <w:tcPr>
            <w:tcW w:w="6725" w:type="dxa"/>
            <w:vAlign w:val="center"/>
            <w:textDirection w:val="lrTb"/>
            <w:noWrap w:val="false"/>
          </w:tcPr>
          <w:p>
            <w:pPr>
              <w:pStyle w:val="714"/>
              <w:ind w:firstLine="0"/>
              <w:spacing w:after="0"/>
              <w:rPr>
                <w:rFonts w:hint="eastAsia" w:ascii="宋体" w:hAnsi="宋体"/>
                <w:sz w:val="24"/>
                <w:szCs w:val="24"/>
              </w:rPr>
            </w:pPr>
            <w:r>
              <w:rPr>
                <w:rFonts w:ascii="宋体" w:hAnsi="宋体"/>
                <w:b/>
                <w:bCs/>
                <w:sz w:val="24"/>
                <w:szCs w:val="24"/>
              </w:rPr>
              <w:t xml:space="preserve">项目组人员配置（</w:t>
            </w:r>
            <w:r>
              <w:rPr>
                <w:rFonts w:hint="eastAsia" w:ascii="宋体" w:hAnsi="宋体"/>
                <w:b/>
                <w:bCs/>
                <w:sz w:val="24"/>
                <w:szCs w:val="24"/>
              </w:rPr>
              <w:t xml:space="preserve">12</w:t>
            </w:r>
            <w:r>
              <w:rPr>
                <w:rFonts w:ascii="宋体" w:hAnsi="宋体"/>
                <w:b/>
                <w:bCs/>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1、除项目负责人外，项目组成员具</w:t>
            </w:r>
            <w:r>
              <w:rPr>
                <w:rFonts w:hint="eastAsia" w:ascii="宋体" w:hAnsi="宋体"/>
                <w:sz w:val="24"/>
                <w:szCs w:val="24"/>
              </w:rPr>
              <w:t xml:space="preserve">有生态环境工程系列</w:t>
            </w:r>
            <w:r>
              <w:rPr>
                <w:rFonts w:ascii="宋体" w:hAnsi="宋体"/>
                <w:sz w:val="24"/>
                <w:szCs w:val="24"/>
              </w:rPr>
              <w:t xml:space="preserve">正高级技术职称</w:t>
            </w:r>
            <w:r>
              <w:rPr>
                <w:rFonts w:hint="eastAsia" w:ascii="宋体" w:hAnsi="宋体"/>
                <w:sz w:val="24"/>
                <w:szCs w:val="24"/>
              </w:rPr>
              <w:t xml:space="preserve">的</w:t>
            </w:r>
            <w:r>
              <w:rPr>
                <w:rFonts w:ascii="宋体" w:hAnsi="宋体"/>
                <w:sz w:val="24"/>
                <w:szCs w:val="24"/>
              </w:rPr>
              <w:t xml:space="preserve">，每有一人得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具有</w:t>
            </w:r>
            <w:r>
              <w:rPr>
                <w:rFonts w:hint="eastAsia" w:ascii="宋体" w:hAnsi="宋体"/>
                <w:sz w:val="24"/>
                <w:szCs w:val="24"/>
              </w:rPr>
              <w:t xml:space="preserve">生态环境工程系列副</w:t>
            </w:r>
            <w:r>
              <w:rPr>
                <w:rFonts w:ascii="宋体" w:hAnsi="宋体"/>
                <w:sz w:val="24"/>
                <w:szCs w:val="24"/>
              </w:rPr>
              <w:t xml:space="preserve">高级技术职称</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；具有生态环境工程系列中级技术职称的，每有一人得0.5分；</w:t>
            </w:r>
            <w:r>
              <w:rPr>
                <w:rFonts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8</w:t>
            </w:r>
            <w:r>
              <w:rPr>
                <w:rFonts w:ascii="宋体" w:hAnsi="宋体"/>
                <w:sz w:val="24"/>
                <w:szCs w:val="24"/>
              </w:rPr>
              <w:t xml:space="preserve">分。（须</w:t>
            </w:r>
            <w:r>
              <w:rPr>
                <w:rFonts w:hint="eastAsia" w:ascii="宋体" w:hAnsi="宋体"/>
                <w:sz w:val="24"/>
                <w:szCs w:val="24"/>
              </w:rPr>
              <w:t xml:space="preserve">提供职称</w:t>
            </w:r>
            <w:r>
              <w:rPr>
                <w:rFonts w:ascii="宋体" w:hAnsi="宋体"/>
                <w:sz w:val="24"/>
                <w:szCs w:val="24"/>
              </w:rPr>
              <w:t xml:space="preserve">证书复印件</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、除项目负责人外，项目组成员具</w:t>
            </w:r>
            <w:r>
              <w:rPr>
                <w:rFonts w:hint="eastAsia" w:ascii="宋体" w:hAnsi="宋体"/>
                <w:sz w:val="24"/>
                <w:szCs w:val="24"/>
              </w:rPr>
              <w:t xml:space="preserve">有博士学位的</w:t>
            </w:r>
            <w:r>
              <w:rPr>
                <w:rFonts w:ascii="宋体" w:hAnsi="宋体"/>
                <w:sz w:val="24"/>
                <w:szCs w:val="24"/>
              </w:rPr>
              <w:t xml:space="preserve">，每有一人得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具有</w:t>
            </w:r>
            <w:r>
              <w:rPr>
                <w:rFonts w:hint="eastAsia" w:ascii="宋体" w:hAnsi="宋体"/>
                <w:sz w:val="24"/>
                <w:szCs w:val="24"/>
              </w:rPr>
              <w:t xml:space="preserve">硕士学位的</w:t>
            </w:r>
            <w:r>
              <w:rPr>
                <w:rFonts w:ascii="宋体" w:hAnsi="宋体"/>
                <w:sz w:val="24"/>
                <w:szCs w:val="24"/>
              </w:rPr>
              <w:t xml:space="preserve">，得</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4</w:t>
            </w:r>
            <w:r>
              <w:rPr>
                <w:rFonts w:ascii="宋体" w:hAnsi="宋体"/>
                <w:sz w:val="24"/>
                <w:szCs w:val="24"/>
              </w:rPr>
              <w:t xml:space="preserve">分。</w:t>
            </w:r>
            <w:r>
              <w:rPr>
                <w:rFonts w:hint="eastAsia" w:ascii="宋体" w:hAnsi="宋体"/>
                <w:sz w:val="24"/>
                <w:szCs w:val="24"/>
              </w:rPr>
              <w:t xml:space="preserve">（须提供学位证书复印件）</w:t>
            </w:r>
            <w:r/>
          </w:p>
          <w:p>
            <w:pPr>
              <w:pStyle w:val="714"/>
              <w:ind w:firstLine="0"/>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须</w:t>
            </w:r>
            <w:r>
              <w:rPr>
                <w:rFonts w:hint="eastAsia" w:ascii="宋体" w:hAnsi="宋体"/>
                <w:sz w:val="24"/>
                <w:szCs w:val="24"/>
              </w:rPr>
              <w:t xml:space="preserve">提供</w:t>
            </w:r>
            <w:r>
              <w:rPr>
                <w:rFonts w:ascii="宋体" w:hAnsi="宋体"/>
                <w:sz w:val="24"/>
                <w:szCs w:val="24"/>
              </w:rPr>
              <w:t xml:space="preserve">投标供应商与该负责人有效劳动合同或者202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5</w:t>
            </w:r>
            <w:r>
              <w:rPr>
                <w:rFonts w:ascii="宋体" w:hAnsi="宋体"/>
                <w:sz w:val="24"/>
                <w:szCs w:val="24"/>
              </w:rPr>
              <w:t xml:space="preserve">月至今为其缴纳的任意一个月社会保险证明，否则不得分</w:t>
            </w:r>
            <w:r>
              <w:rPr>
                <w:rFonts w:hint="eastAsia"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r>
      <w:tr>
        <w:trPr>
          <w:trHeight w:val="294"/>
        </w:trPr>
        <w:tc>
          <w:tcPr>
            <w:tcW w:w="1052"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3.3</w:t>
            </w:r>
            <w:r/>
          </w:p>
        </w:tc>
        <w:tc>
          <w:tcPr>
            <w:tcW w:w="6725" w:type="dxa"/>
            <w:vAlign w:val="center"/>
            <w:textDirection w:val="lrTb"/>
            <w:noWrap w:val="false"/>
          </w:tcPr>
          <w:p>
            <w:pPr>
              <w:pStyle w:val="715"/>
              <w:ind w:left="0" w:firstLine="0"/>
              <w:spacing w:after="0"/>
              <w:rPr>
                <w:rFonts w:hint="eastAsia" w:ascii="宋体" w:hAnsi="宋体" w:eastAsia="宋体"/>
                <w:b/>
                <w:bCs/>
                <w:sz w:val="24"/>
                <w:szCs w:val="24"/>
              </w:rPr>
            </w:pPr>
            <w:r>
              <w:rPr>
                <w:rFonts w:ascii="宋体" w:hAnsi="宋体" w:eastAsia="宋体"/>
                <w:b/>
                <w:bCs/>
                <w:sz w:val="24"/>
                <w:szCs w:val="24"/>
              </w:rPr>
              <w:t xml:space="preserve">供应商能力（</w:t>
            </w:r>
            <w:r>
              <w:rPr>
                <w:rFonts w:hint="eastAsia" w:ascii="宋体" w:hAnsi="宋体" w:eastAsia="宋体"/>
                <w:b/>
                <w:bCs/>
                <w:sz w:val="24"/>
                <w:szCs w:val="24"/>
              </w:rPr>
              <w:t xml:space="preserve">8</w:t>
            </w:r>
            <w:r>
              <w:rPr>
                <w:rFonts w:ascii="宋体" w:hAnsi="宋体" w:eastAsia="宋体"/>
                <w:b/>
                <w:bCs/>
                <w:sz w:val="24"/>
                <w:szCs w:val="24"/>
              </w:rPr>
              <w:t xml:space="preserve">分）</w:t>
            </w:r>
            <w:r/>
          </w:p>
          <w:p>
            <w:pPr>
              <w:rPr>
                <w:rFonts w:hint="eastAsia" w:ascii="宋体" w:hAnsi="宋体"/>
                <w:sz w:val="24"/>
                <w:szCs w:val="24"/>
              </w:rPr>
            </w:pPr>
            <w:r>
              <w:rPr>
                <w:rFonts w:ascii="宋体" w:hAnsi="宋体"/>
                <w:sz w:val="24"/>
                <w:szCs w:val="24"/>
              </w:rPr>
              <w:t xml:space="preserve">1、</w:t>
            </w:r>
            <w:r>
              <w:rPr>
                <w:rFonts w:ascii="宋体" w:hAnsi="宋体"/>
                <w:bCs/>
                <w:sz w:val="24"/>
                <w:szCs w:val="24"/>
              </w:rPr>
              <w:t xml:space="preserve">供应商承担过</w:t>
            </w:r>
            <w:r>
              <w:rPr>
                <w:rFonts w:hint="eastAsia" w:ascii="宋体" w:hAnsi="宋体"/>
                <w:bCs/>
                <w:sz w:val="24"/>
                <w:szCs w:val="24"/>
              </w:rPr>
              <w:t xml:space="preserve">生</w:t>
            </w:r>
            <w:r>
              <w:rPr>
                <w:rFonts w:ascii="宋体" w:hAnsi="宋体"/>
                <w:sz w:val="24"/>
                <w:szCs w:val="24"/>
              </w:rPr>
              <w:t xml:space="preserve">态环境领域</w:t>
            </w:r>
            <w:r>
              <w:rPr>
                <w:rFonts w:ascii="宋体" w:hAnsi="宋体"/>
                <w:bCs/>
                <w:sz w:val="24"/>
                <w:szCs w:val="24"/>
              </w:rPr>
              <w:t xml:space="preserve">科技重大专项项目或重点研发计划项目</w:t>
            </w:r>
            <w:r>
              <w:rPr>
                <w:rFonts w:hint="eastAsia" w:ascii="宋体" w:hAnsi="宋体"/>
                <w:bCs/>
                <w:sz w:val="24"/>
                <w:szCs w:val="24"/>
              </w:rPr>
              <w:t xml:space="preserve">的，每项得2分，</w:t>
            </w:r>
            <w:r>
              <w:rPr>
                <w:rFonts w:hint="eastAsia" w:ascii="宋体" w:hAnsi="宋体"/>
                <w:sz w:val="24"/>
                <w:szCs w:val="24"/>
              </w:rPr>
              <w:t xml:space="preserve">本项最高得6分。</w:t>
            </w:r>
            <w:r/>
          </w:p>
          <w:p>
            <w:pPr>
              <w:rPr>
                <w:rFonts w:hint="eastAsia" w:ascii="宋体" w:hAnsi="宋体"/>
                <w:sz w:val="24"/>
                <w:szCs w:val="24"/>
              </w:rPr>
            </w:pPr>
            <w:r>
              <w:rPr>
                <w:rFonts w:ascii="宋体" w:hAnsi="宋体"/>
                <w:sz w:val="24"/>
                <w:szCs w:val="24"/>
              </w:rPr>
              <w:t xml:space="preserve">（须提供合同复印件，合同须能反映项目名称、主要标的</w:t>
            </w:r>
            <w:r>
              <w:rPr>
                <w:rFonts w:hint="eastAsia" w:ascii="宋体" w:hAnsi="宋体"/>
                <w:sz w:val="24"/>
                <w:szCs w:val="24"/>
              </w:rPr>
              <w:t xml:space="preserve">。</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2、供应商具备生态环境</w:t>
            </w:r>
            <w:r>
              <w:rPr>
                <w:rFonts w:hint="eastAsia" w:ascii="宋体" w:hAnsi="宋体"/>
                <w:sz w:val="24"/>
                <w:szCs w:val="24"/>
              </w:rPr>
              <w:t xml:space="preserve">管理类</w:t>
            </w:r>
            <w:r>
              <w:rPr>
                <w:rFonts w:ascii="宋体" w:hAnsi="宋体"/>
                <w:sz w:val="24"/>
                <w:szCs w:val="24"/>
              </w:rPr>
              <w:t xml:space="preserve">系统</w:t>
            </w:r>
            <w:r>
              <w:rPr>
                <w:rFonts w:hint="eastAsia" w:ascii="宋体" w:hAnsi="宋体"/>
                <w:sz w:val="24"/>
                <w:szCs w:val="24"/>
              </w:rPr>
              <w:t xml:space="preserve">平台</w:t>
            </w:r>
            <w:r>
              <w:rPr>
                <w:rFonts w:ascii="宋体" w:hAnsi="宋体"/>
                <w:sz w:val="24"/>
                <w:szCs w:val="24"/>
              </w:rPr>
              <w:t xml:space="preserve">开发成果</w:t>
            </w:r>
            <w:r>
              <w:rPr>
                <w:rFonts w:hint="eastAsia" w:ascii="宋体" w:hAnsi="宋体"/>
                <w:sz w:val="24"/>
                <w:szCs w:val="24"/>
              </w:rPr>
              <w:t xml:space="preserve">的,得2分。</w:t>
            </w:r>
            <w:r/>
          </w:p>
          <w:p>
            <w:pPr>
              <w:rPr>
                <w:rFonts w:hint="eastAsia" w:ascii="宋体" w:hAnsi="宋体"/>
                <w:sz w:val="24"/>
                <w:szCs w:val="24"/>
              </w:rPr>
            </w:pPr>
            <w:r>
              <w:rPr>
                <w:rFonts w:ascii="宋体" w:hAnsi="宋体"/>
                <w:sz w:val="24"/>
                <w:szCs w:val="24"/>
              </w:rPr>
              <w:t xml:space="preserve">（须提供相关</w:t>
            </w:r>
            <w:r>
              <w:rPr>
                <w:rFonts w:hint="eastAsia" w:ascii="宋体" w:hAnsi="宋体"/>
                <w:sz w:val="24"/>
                <w:szCs w:val="24"/>
              </w:rPr>
              <w:t xml:space="preserve">系统平台软件著作权证书复印件。）</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r>
      <w:tr>
        <w:trPr>
          <w:trHeight w:val="1809"/>
        </w:trPr>
        <w:tc>
          <w:tcPr>
            <w:tcW w:w="1052"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729"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3.4</w:t>
            </w:r>
            <w:r/>
          </w:p>
        </w:tc>
        <w:tc>
          <w:tcPr>
            <w:tcW w:w="6725" w:type="dxa"/>
            <w:vAlign w:val="center"/>
            <w:textDirection w:val="lrTb"/>
            <w:noWrap w:val="false"/>
          </w:tcPr>
          <w:p>
            <w:pPr>
              <w:rPr>
                <w:rFonts w:hint="eastAsia" w:ascii="宋体" w:hAnsi="宋体"/>
                <w:b/>
                <w:bCs/>
                <w:sz w:val="24"/>
                <w:szCs w:val="24"/>
              </w:rPr>
            </w:pPr>
            <w:r>
              <w:rPr>
                <w:rFonts w:ascii="宋体" w:hAnsi="宋体"/>
                <w:b/>
                <w:bCs/>
                <w:sz w:val="24"/>
                <w:szCs w:val="24"/>
              </w:rPr>
              <w:t xml:space="preserve">经验业绩（1</w:t>
            </w:r>
            <w:r>
              <w:rPr>
                <w:rFonts w:hint="eastAsia" w:ascii="宋体" w:hAnsi="宋体"/>
                <w:b/>
                <w:bCs/>
                <w:sz w:val="24"/>
                <w:szCs w:val="24"/>
              </w:rPr>
              <w:t xml:space="preserve">2</w:t>
            </w:r>
            <w:r>
              <w:rPr>
                <w:rFonts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202</w:t>
            </w:r>
            <w:r>
              <w:rPr>
                <w:rFonts w:hint="eastAsia" w:ascii="宋体" w:hAnsi="宋体"/>
                <w:sz w:val="24"/>
                <w:szCs w:val="24"/>
              </w:rPr>
              <w:t xml:space="preserve">4</w:t>
            </w:r>
            <w:r>
              <w:rPr>
                <w:rFonts w:ascii="宋体" w:hAnsi="宋体"/>
                <w:sz w:val="24"/>
                <w:szCs w:val="24"/>
              </w:rPr>
              <w:t xml:space="preserve">年1月1日以来，供应商</w:t>
            </w:r>
            <w:r>
              <w:rPr>
                <w:rFonts w:hint="eastAsia" w:ascii="宋体" w:hAnsi="宋体"/>
                <w:sz w:val="24"/>
                <w:szCs w:val="24"/>
              </w:rPr>
              <w:t xml:space="preserve">具有项目数字化管理、省级专项资金</w:t>
            </w:r>
            <w:r>
              <w:rPr>
                <w:rFonts w:ascii="宋体" w:hAnsi="宋体"/>
                <w:sz w:val="24"/>
                <w:szCs w:val="24"/>
              </w:rPr>
              <w:t xml:space="preserve">项目技术</w:t>
            </w:r>
            <w:r>
              <w:rPr>
                <w:rFonts w:hint="eastAsia" w:ascii="宋体" w:hAnsi="宋体"/>
                <w:sz w:val="24"/>
                <w:szCs w:val="24"/>
              </w:rPr>
              <w:t xml:space="preserve">审核、省级专项资金项目监督检查、项目调查评估类似业绩</w:t>
            </w:r>
            <w:r>
              <w:rPr>
                <w:rFonts w:ascii="宋体" w:hAnsi="宋体"/>
                <w:sz w:val="24"/>
                <w:szCs w:val="24"/>
              </w:rPr>
              <w:t xml:space="preserve">，</w:t>
            </w:r>
            <w:r>
              <w:rPr>
                <w:rFonts w:hint="eastAsia" w:ascii="宋体" w:hAnsi="宋体"/>
                <w:sz w:val="24"/>
                <w:szCs w:val="24"/>
              </w:rPr>
              <w:t xml:space="preserve">每类业绩最多提供2个项目，</w:t>
            </w:r>
            <w:r>
              <w:rPr>
                <w:rFonts w:ascii="宋体" w:hAnsi="宋体"/>
                <w:sz w:val="24"/>
                <w:szCs w:val="24"/>
              </w:rPr>
              <w:t xml:space="preserve">每提供一个业绩</w:t>
            </w:r>
            <w:r>
              <w:rPr>
                <w:rFonts w:hint="eastAsia" w:ascii="宋体" w:hAnsi="宋体"/>
                <w:sz w:val="24"/>
                <w:szCs w:val="24"/>
              </w:rPr>
              <w:t xml:space="preserve">项目</w:t>
            </w:r>
            <w:r>
              <w:rPr>
                <w:rFonts w:ascii="宋体" w:hAnsi="宋体"/>
                <w:sz w:val="24"/>
                <w:szCs w:val="24"/>
              </w:rPr>
              <w:t xml:space="preserve">得</w:t>
            </w:r>
            <w:r>
              <w:rPr>
                <w:rFonts w:hint="eastAsia" w:ascii="宋体" w:hAnsi="宋体"/>
                <w:sz w:val="24"/>
                <w:szCs w:val="24"/>
              </w:rPr>
              <w:t xml:space="preserve">2</w:t>
            </w:r>
            <w:r>
              <w:rPr>
                <w:rFonts w:ascii="宋体" w:hAnsi="宋体"/>
                <w:sz w:val="24"/>
                <w:szCs w:val="24"/>
              </w:rPr>
              <w:t xml:space="preserve">分，本项最高得</w:t>
            </w:r>
            <w:r>
              <w:rPr>
                <w:rFonts w:hint="eastAsia" w:ascii="宋体" w:hAnsi="宋体"/>
                <w:sz w:val="24"/>
                <w:szCs w:val="24"/>
              </w:rPr>
              <w:t xml:space="preserve">12</w:t>
            </w:r>
            <w:r>
              <w:rPr>
                <w:rFonts w:ascii="宋体" w:hAnsi="宋体"/>
                <w:sz w:val="24"/>
                <w:szCs w:val="24"/>
              </w:rPr>
              <w:t xml:space="preserve">分。</w:t>
            </w:r>
            <w:r/>
          </w:p>
          <w:p>
            <w:pPr>
              <w:pStyle w:val="715"/>
              <w:ind w:left="0" w:firstLine="0"/>
              <w:rPr>
                <w:rFonts w:hint="eastAsia" w:ascii="宋体" w:hAnsi="宋体" w:eastAsia="宋体"/>
                <w:b/>
                <w:bCs/>
                <w:sz w:val="24"/>
                <w:szCs w:val="24"/>
              </w:rPr>
            </w:pPr>
            <w:r>
              <w:rPr>
                <w:rFonts w:ascii="宋体" w:hAnsi="宋体" w:eastAsia="宋体"/>
                <w:sz w:val="24"/>
                <w:szCs w:val="24"/>
              </w:rPr>
              <w:t xml:space="preserve">（须提供合同复印件</w:t>
            </w:r>
            <w:r>
              <w:rPr>
                <w:rFonts w:hint="eastAsia" w:ascii="宋体" w:hAnsi="宋体" w:eastAsia="宋体"/>
                <w:sz w:val="24"/>
                <w:szCs w:val="24"/>
              </w:rPr>
              <w:t xml:space="preserve">或相关证明文件</w:t>
            </w:r>
            <w:r>
              <w:rPr>
                <w:rFonts w:ascii="宋体" w:hAnsi="宋体" w:eastAsia="宋体"/>
                <w:sz w:val="24"/>
                <w:szCs w:val="24"/>
              </w:rPr>
              <w:t xml:space="preserve">，须能反映项目名称、主要标的，以合同签订</w:t>
            </w:r>
            <w:r>
              <w:rPr>
                <w:rFonts w:hint="eastAsia" w:ascii="宋体" w:hAnsi="宋体" w:eastAsia="宋体"/>
                <w:sz w:val="24"/>
                <w:szCs w:val="24"/>
              </w:rPr>
              <w:t xml:space="preserve">或材料签署</w:t>
            </w:r>
            <w:r>
              <w:rPr>
                <w:rFonts w:ascii="宋体" w:hAnsi="宋体" w:eastAsia="宋体"/>
                <w:sz w:val="24"/>
                <w:szCs w:val="24"/>
              </w:rPr>
              <w:t xml:space="preserve">时间为准，未提供不得分。）</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r>
      <w:tr>
        <w:trPr>
          <w:trHeight w:val="90"/>
        </w:trPr>
        <w:tc>
          <w:tcPr>
            <w:gridSpan w:val="3"/>
            <w:tcW w:w="8506" w:type="dxa"/>
            <w:vAlign w:val="center"/>
            <w:textDirection w:val="lrTb"/>
            <w:noWrap w:val="false"/>
          </w:tcPr>
          <w:p>
            <w:pPr>
              <w:jc w:val="center"/>
              <w:rPr>
                <w:rFonts w:hint="eastAsia" w:ascii="宋体" w:hAnsi="宋体"/>
                <w:sz w:val="24"/>
                <w:szCs w:val="24"/>
              </w:rPr>
            </w:pPr>
            <w:r>
              <w:rPr>
                <w:rFonts w:ascii="宋体" w:hAnsi="宋体"/>
                <w:b/>
                <w:bCs/>
                <w:sz w:val="24"/>
                <w:szCs w:val="24"/>
              </w:rPr>
              <w:t xml:space="preserve">合计</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100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firstLine="480"/>
        <w:spacing w:line="276" w:lineRule="auto"/>
        <w:rPr>
          <w:rFonts w:hint="eastAsia" w:ascii="宋体" w:hAnsi="宋体" w:eastAsia="方正小标宋_GBK"/>
          <w:b/>
          <w:bCs/>
          <w:sz w:val="28"/>
          <w:szCs w:val="28"/>
        </w:rPr>
      </w:pPr>
      <w:r>
        <w:rPr>
          <w:sz w:val="24"/>
          <w:szCs w:val="24"/>
        </w:rPr>
        <w:t xml:space="preserve">5</w:t>
      </w:r>
      <w:r>
        <w:rPr>
          <w:sz w:val="24"/>
          <w:szCs w:val="24"/>
        </w:rPr>
        <w:t xml:space="preserve">、本项目为服务类采购，采购内容不涉及货物类产品的生产、制造或进口认定。不适用本国产品的价格扣除比率。</w:t>
      </w:r>
      <w:bookmarkStart w:id="22" w:name="_Toc449539280"/>
      <w:r/>
      <w:bookmarkStart w:id="23" w:name="_Toc479456127"/>
      <w:r/>
      <w:bookmarkStart w:id="24" w:name="_Toc76893592"/>
      <w:r/>
      <w:bookmarkStart w:id="25" w:name="_Toc129876276"/>
      <w:r/>
      <w:bookmarkEnd w:id="14"/>
      <w:r/>
      <w:bookmarkEnd w:id="15"/>
      <w:r/>
      <w:bookmarkEnd w:id="16"/>
      <w:r/>
      <w:bookmarkEnd w:id="17"/>
      <w:r/>
      <w:bookmarkEnd w:id="18"/>
      <w:r/>
      <w:r/>
    </w:p>
    <w:p>
      <w:pPr>
        <w:jc w:val="left"/>
        <w:widowControl/>
        <w:rPr>
          <w:rFonts w:hint="eastAsia" w:ascii="宋体" w:hAnsi="宋体" w:eastAsia="方正小标宋_GBK"/>
          <w:b/>
          <w:bCs/>
          <w:sz w:val="28"/>
          <w:szCs w:val="28"/>
        </w:rPr>
      </w:pPr>
      <w:r>
        <w:rPr>
          <w:rFonts w:hint="eastAsia" w:ascii="宋体" w:hAnsi="宋体"/>
          <w:szCs w:val="28"/>
        </w:rPr>
        <w:br w:type="page" w:clear="all"/>
      </w:r>
      <w:r/>
    </w:p>
    <w:p>
      <w:pPr>
        <w:pStyle w:val="689"/>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6" w:name="_Toc449081337"/>
      <w:r/>
      <w:bookmarkStart w:id="27" w:name="_Toc479456128"/>
      <w:r/>
      <w:bookmarkEnd w:id="22"/>
      <w:r/>
      <w:bookmarkEnd w:id="23"/>
      <w:r/>
      <w:bookmarkEnd w:id="24"/>
      <w:r/>
      <w:bookmarkEnd w:id="25"/>
      <w:r/>
      <w:r/>
    </w:p>
    <w:p>
      <w:r/>
      <w:bookmarkStart w:id="28" w:name="_Toc97295833"/>
      <w:r/>
      <w:bookmarkStart w:id="29" w:name="_Toc76893593"/>
      <w:r/>
      <w:r/>
    </w:p>
    <w:p>
      <w:pPr>
        <w:pStyle w:val="690"/>
        <w:jc w:val="left"/>
        <w:spacing w:before="0" w:after="0" w:line="440" w:lineRule="exact"/>
      </w:pPr>
      <w:r/>
      <w:bookmarkStart w:id="30" w:name="OLE_LINK28"/>
      <w:r/>
      <w:bookmarkEnd w:id="28"/>
      <w:r>
        <w:rPr>
          <w:rFonts w:hint="eastAsia"/>
        </w:rPr>
        <w:t xml:space="preserve">一、项目简介</w:t>
      </w:r>
      <w:r/>
    </w:p>
    <w:p>
      <w:pPr>
        <w:ind w:firstLine="480"/>
        <w:spacing w:line="440" w:lineRule="exact"/>
        <w:rPr>
          <w:rFonts w:hint="eastAsia" w:ascii="宋体" w:hAnsi="宋体"/>
          <w:sz w:val="24"/>
          <w:szCs w:val="28"/>
        </w:rPr>
      </w:pPr>
      <w:r>
        <w:rPr>
          <w:rFonts w:hint="eastAsia" w:ascii="宋体" w:hAnsi="宋体"/>
          <w:sz w:val="24"/>
          <w:szCs w:val="28"/>
        </w:rPr>
        <w:t xml:space="preserve">支撑2026-2028年省重点项目清单管理；开展省级太湖流域水环境治理专项资金相关政策文件适用性</w:t>
      </w:r>
      <w:r>
        <w:rPr>
          <w:rFonts w:ascii="宋体" w:hAnsi="宋体"/>
          <w:sz w:val="24"/>
          <w:szCs w:val="28"/>
        </w:rPr>
        <w:t xml:space="preserve">评估</w:t>
      </w:r>
      <w:r>
        <w:rPr>
          <w:rFonts w:hint="eastAsia" w:ascii="宋体" w:hAnsi="宋体"/>
          <w:sz w:val="24"/>
          <w:szCs w:val="28"/>
        </w:rPr>
        <w:t xml:space="preserve">，协助开展年度省本级项目、统筹资金项目申报相关技术服务；支撑年度太湖专项资金分配方案测算；支撑开展2025年度太湖专项资金绩效管理，研究提出专项资金管理建议。建立健全太湖综合治理重点项目库，深化项目库系统功能拓展设计；支撑“十四五”期间省级太湖水环境综合治理项目上图入库。</w:t>
      </w:r>
      <w:r/>
    </w:p>
    <w:p>
      <w:pPr>
        <w:pStyle w:val="690"/>
        <w:jc w:val="left"/>
        <w:spacing w:before="0" w:after="0" w:line="440" w:lineRule="exact"/>
      </w:pPr>
      <w:r>
        <w:rPr>
          <w:rFonts w:hint="eastAsia"/>
        </w:rPr>
        <w:t xml:space="preserve">二、项目建设必要性</w:t>
      </w:r>
      <w:r/>
    </w:p>
    <w:p>
      <w:pPr>
        <w:ind w:firstLine="480"/>
        <w:spacing w:line="440" w:lineRule="exact"/>
        <w:rPr>
          <w:rFonts w:hint="eastAsia" w:ascii="宋体" w:hAnsi="宋体"/>
          <w:sz w:val="24"/>
          <w:szCs w:val="28"/>
        </w:rPr>
      </w:pPr>
      <w:r>
        <w:rPr>
          <w:rFonts w:hint="eastAsia" w:ascii="宋体" w:hAnsi="宋体"/>
          <w:sz w:val="24"/>
          <w:szCs w:val="28"/>
        </w:rPr>
        <w:t xml:space="preserve">为深入推进新一轮太湖治理，根据《太湖综合治理统筹资金管理办法》（苏财规〔2026〕3号）要求，省生态环境厅会同省级相关业务部门共同建立“太湖综合治理统筹资金项目库”平台，实行“线上申报、分级审核、省级评审、动态调整”的管理模式”，进一步提升治太统筹项目储备数量和质量，保证治太重点项目切实符合我省太湖水污染防治工作部署的实际需求，是全面提升太湖治理环境效益，规范有序推进太湖治理重点工程落地落实的重要举措。</w:t>
      </w:r>
      <w:r/>
    </w:p>
    <w:p>
      <w:pPr>
        <w:pStyle w:val="690"/>
        <w:jc w:val="left"/>
        <w:spacing w:before="0" w:after="0" w:line="440" w:lineRule="exact"/>
      </w:pPr>
      <w:r>
        <w:rPr>
          <w:rFonts w:hint="eastAsia"/>
        </w:rPr>
        <w:t xml:space="preserve">三、项目建设具体内容</w:t>
      </w:r>
      <w:r/>
    </w:p>
    <w:p>
      <w:pPr>
        <w:ind w:firstLine="480"/>
        <w:spacing w:line="440" w:lineRule="exact"/>
        <w:rPr>
          <w:rFonts w:hint="eastAsia" w:ascii="宋体" w:hAnsi="宋体"/>
          <w:sz w:val="24"/>
          <w:szCs w:val="28"/>
        </w:rPr>
      </w:pPr>
      <w:r>
        <w:rPr>
          <w:rFonts w:hint="eastAsia" w:ascii="宋体" w:hAnsi="宋体"/>
          <w:sz w:val="24"/>
          <w:szCs w:val="28"/>
        </w:rPr>
        <w:t xml:space="preserve">（一）工作具体内容</w:t>
      </w:r>
      <w:r/>
    </w:p>
    <w:p>
      <w:pPr>
        <w:ind w:firstLine="480"/>
        <w:spacing w:line="440" w:lineRule="exact"/>
        <w:rPr>
          <w:rFonts w:hint="eastAsia" w:ascii="宋体" w:hAnsi="宋体"/>
          <w:sz w:val="24"/>
          <w:szCs w:val="28"/>
        </w:rPr>
      </w:pPr>
      <w:r>
        <w:rPr>
          <w:rFonts w:hint="eastAsia" w:ascii="宋体" w:hAnsi="宋体"/>
          <w:sz w:val="24"/>
          <w:szCs w:val="28"/>
        </w:rPr>
        <w:t xml:space="preserve">1. 对太湖五市2026-2028年省重点项目开展入库管理，包括收集梳理入库信息、校核项目位置信息、对缺失信息进行调研补充完善，审核入库项目符合性。制定项目入库审核技术要求，明确项目类型符合性、建设内容合理性、投资规模匹配性、绩效目标可达性等审核指标；编制省重点项目库管理办法（草案）。按年度对申请变更、调增、调出的项目提供技术咨询和专家评审，组织专家评审会议，形成技术咨询意见和评审结论。</w:t>
      </w:r>
      <w:r/>
    </w:p>
    <w:p>
      <w:pPr>
        <w:ind w:firstLine="480"/>
        <w:spacing w:line="440" w:lineRule="exact"/>
        <w:rPr>
          <w:rFonts w:hint="eastAsia" w:ascii="宋体" w:hAnsi="宋体"/>
          <w:sz w:val="24"/>
          <w:szCs w:val="28"/>
        </w:rPr>
      </w:pPr>
      <w:r>
        <w:rPr>
          <w:rFonts w:hint="eastAsia" w:ascii="宋体" w:hAnsi="宋体"/>
          <w:sz w:val="24"/>
          <w:szCs w:val="28"/>
        </w:rPr>
        <w:t xml:space="preserve">2. 系统梳理“十四五”以来省级太湖流域水环境治理专项资金相关政策文件，结合最新财政资金管理要求，</w:t>
      </w:r>
      <w:r>
        <w:rPr>
          <w:rFonts w:ascii="宋体" w:hAnsi="宋体"/>
          <w:sz w:val="24"/>
          <w:szCs w:val="28"/>
        </w:rPr>
        <w:t xml:space="preserve">评估文件有效性</w:t>
      </w:r>
      <w:r>
        <w:rPr>
          <w:rFonts w:hint="eastAsia" w:ascii="宋体" w:hAnsi="宋体"/>
          <w:sz w:val="24"/>
          <w:szCs w:val="28"/>
        </w:rPr>
        <w:t xml:space="preserve">、</w:t>
      </w:r>
      <w:r>
        <w:rPr>
          <w:rFonts w:ascii="宋体" w:hAnsi="宋体"/>
          <w:sz w:val="24"/>
          <w:szCs w:val="28"/>
        </w:rPr>
        <w:t xml:space="preserve">适配性</w:t>
      </w:r>
      <w:r>
        <w:rPr>
          <w:rFonts w:hint="eastAsia" w:ascii="宋体" w:hAnsi="宋体"/>
          <w:sz w:val="24"/>
          <w:szCs w:val="28"/>
        </w:rPr>
        <w:t xml:space="preserve">，</w:t>
      </w:r>
      <w:r>
        <w:rPr>
          <w:rFonts w:ascii="宋体" w:hAnsi="宋体"/>
          <w:sz w:val="24"/>
          <w:szCs w:val="28"/>
        </w:rPr>
        <w:t xml:space="preserve">形成政策优化建议</w:t>
      </w:r>
      <w:r>
        <w:rPr>
          <w:rFonts w:hint="eastAsia" w:ascii="宋体" w:hAnsi="宋体"/>
          <w:sz w:val="24"/>
          <w:szCs w:val="28"/>
        </w:rPr>
        <w:t xml:space="preserve">和工作建议；编制省生态环境保护专项资金太湖方向省本级项目、重点工程项目申报技术要求，构建项目审核技术体系，提出评审标准，为统筹资金科学配置、规范管理提供技术支撑。</w:t>
      </w:r>
      <w:r/>
    </w:p>
    <w:p>
      <w:pPr>
        <w:ind w:firstLine="480"/>
        <w:spacing w:line="440" w:lineRule="exact"/>
        <w:rPr>
          <w:rFonts w:hint="eastAsia" w:ascii="宋体" w:hAnsi="宋体"/>
          <w:sz w:val="24"/>
          <w:szCs w:val="28"/>
        </w:rPr>
      </w:pPr>
      <w:r>
        <w:rPr>
          <w:rFonts w:hint="eastAsia" w:ascii="宋体" w:hAnsi="宋体"/>
          <w:sz w:val="24"/>
          <w:szCs w:val="28"/>
        </w:rPr>
        <w:t xml:space="preserve">3.组织相关单位开展2025年省太湖流域水环境综合治理专项资金绩效自评价，根据自评价材料，结合现场抽查复核等方式，对2025年省太湖专项资金进行整体绩效评</w:t>
      </w:r>
      <w:r>
        <w:rPr>
          <w:rFonts w:hint="eastAsia" w:ascii="宋体" w:hAnsi="宋体"/>
          <w:sz w:val="24"/>
          <w:szCs w:val="28"/>
        </w:rPr>
        <w:t xml:space="preserve">价。</w:t>
      </w:r>
      <w:r/>
    </w:p>
    <w:p>
      <w:pPr>
        <w:ind w:firstLine="480"/>
        <w:spacing w:line="440" w:lineRule="exact"/>
        <w:rPr>
          <w:rFonts w:hint="eastAsia" w:ascii="宋体" w:hAnsi="宋体"/>
          <w:sz w:val="24"/>
          <w:szCs w:val="28"/>
        </w:rPr>
      </w:pPr>
      <w:r>
        <w:rPr>
          <w:rFonts w:hint="eastAsia" w:ascii="宋体" w:hAnsi="宋体"/>
          <w:sz w:val="24"/>
          <w:szCs w:val="28"/>
        </w:rPr>
        <w:t xml:space="preserve">4. 深化项目库系统项目管理、资金评审、资金管理、用户权限功能拓展设计。构建“项目池”，健全“前期、实施、运行、报废”项目全过程状态，实现统筹资金的“申请、审核、申报、评审、储备、实施、监管”；依据业务要求，科学制定工作流转流程，形成工作流程图，提供功能开发过程需求对接及实例测试；编制《太湖综合治理统筹资金项目库操作手册》，定期开展培训并提供系统使用技术咨询。</w:t>
      </w:r>
      <w:r/>
    </w:p>
    <w:p>
      <w:pPr>
        <w:ind w:firstLine="480"/>
        <w:spacing w:line="440" w:lineRule="exact"/>
        <w:rPr>
          <w:rFonts w:hint="eastAsia" w:ascii="宋体" w:hAnsi="宋体"/>
          <w:sz w:val="24"/>
          <w:szCs w:val="28"/>
        </w:rPr>
      </w:pPr>
      <w:r>
        <w:rPr>
          <w:rFonts w:hint="eastAsia" w:ascii="宋体" w:hAnsi="宋体"/>
          <w:sz w:val="24"/>
          <w:szCs w:val="28"/>
        </w:rPr>
        <w:t xml:space="preserve">5. 对太湖五市十四五期间治太项目进行梳理，梳理并校核项目入库基本信息，包括项目位置、关联河湖断面、项目类型、主要建设内容、项目状态、项目投资和专项资金等方面，完成项目入库，具备统计分析及上图展示。</w:t>
      </w:r>
      <w:r/>
    </w:p>
    <w:p>
      <w:pPr>
        <w:ind w:firstLine="480"/>
        <w:spacing w:line="440" w:lineRule="exact"/>
        <w:rPr>
          <w:rFonts w:hint="eastAsia" w:ascii="宋体" w:hAnsi="宋体"/>
          <w:sz w:val="24"/>
          <w:szCs w:val="28"/>
        </w:rPr>
      </w:pPr>
      <w:r>
        <w:rPr>
          <w:rFonts w:hint="eastAsia" w:ascii="宋体" w:hAnsi="宋体"/>
          <w:sz w:val="24"/>
          <w:szCs w:val="28"/>
        </w:rPr>
        <w:t xml:space="preserve">（二）工作要求</w:t>
      </w:r>
      <w:r/>
    </w:p>
    <w:p>
      <w:pPr>
        <w:ind w:firstLine="480"/>
        <w:spacing w:line="440" w:lineRule="exact"/>
        <w:rPr>
          <w:rFonts w:hint="eastAsia" w:ascii="宋体" w:hAnsi="宋体"/>
          <w:sz w:val="24"/>
          <w:szCs w:val="28"/>
        </w:rPr>
      </w:pPr>
      <w:r>
        <w:rPr>
          <w:rFonts w:hint="eastAsia" w:ascii="宋体" w:hAnsi="宋体"/>
          <w:sz w:val="24"/>
          <w:szCs w:val="28"/>
        </w:rPr>
        <w:t xml:space="preserve">1、采购单位需自行负责现场调查工作。</w:t>
      </w:r>
      <w:r/>
    </w:p>
    <w:p>
      <w:pPr>
        <w:ind w:firstLine="480"/>
        <w:spacing w:line="440" w:lineRule="exact"/>
        <w:rPr>
          <w:rFonts w:hint="eastAsia" w:ascii="宋体" w:hAnsi="宋体"/>
          <w:sz w:val="24"/>
          <w:szCs w:val="28"/>
        </w:rPr>
      </w:pPr>
      <w:r>
        <w:rPr>
          <w:rFonts w:hint="eastAsia" w:ascii="宋体" w:hAnsi="宋体"/>
          <w:sz w:val="24"/>
          <w:szCs w:val="28"/>
        </w:rPr>
        <w:t xml:space="preserve">2、采购单位需要进行项目预审和实施过程监管，应熟悉太湖流域现状并具备类似项目管理的经验，擅长工业、城镇生活、农业、生态等多行业，且具备多专业较强的理论和实践积累。</w:t>
      </w:r>
      <w:r/>
    </w:p>
    <w:p>
      <w:pPr>
        <w:pStyle w:val="690"/>
        <w:jc w:val="left"/>
        <w:spacing w:before="0" w:after="0" w:line="440" w:lineRule="exact"/>
      </w:pPr>
      <w:r>
        <w:rPr>
          <w:rFonts w:hint="eastAsia"/>
        </w:rPr>
        <w:t xml:space="preserve">四、成果产出</w:t>
      </w:r>
      <w:r/>
    </w:p>
    <w:p>
      <w:pPr>
        <w:ind w:firstLine="480"/>
        <w:spacing w:line="440" w:lineRule="exact"/>
        <w:rPr>
          <w:rFonts w:hint="eastAsia" w:ascii="宋体" w:hAnsi="宋体"/>
          <w:sz w:val="24"/>
          <w:szCs w:val="28"/>
        </w:rPr>
      </w:pPr>
      <w:r>
        <w:rPr>
          <w:rFonts w:hint="eastAsia" w:ascii="宋体" w:hAnsi="宋体"/>
          <w:sz w:val="24"/>
          <w:szCs w:val="28"/>
        </w:rPr>
        <w:t xml:space="preserve">按照项目实施计划，开展项目实施和监督管理工作，编制2026-2028年省重点项目入库情况说明1份，形成省重点项目库管理办法（草案）1份，省级太湖流域水环境治理专项资金相关政策优化建议1份，制定省本级项目及省重点项目申报技术指南（建议稿）、评审标准（建议稿）各1份，编制2025年太湖专项资金绩效评价报告1份，形成《项目库填报说明手册》1份。梳理“十四五”治太项目清单1份，形成可视化分布图。</w:t>
      </w:r>
      <w:r/>
    </w:p>
    <w:p>
      <w:pPr>
        <w:pStyle w:val="690"/>
        <w:jc w:val="left"/>
        <w:spacing w:before="0" w:after="0" w:line="440" w:lineRule="exact"/>
      </w:pPr>
      <w:r>
        <w:rPr>
          <w:rFonts w:hint="eastAsia"/>
        </w:rPr>
        <w:t xml:space="preserve">五、商务条款要求</w:t>
      </w:r>
      <w:r/>
    </w:p>
    <w:p>
      <w:pPr>
        <w:ind w:firstLine="480"/>
        <w:spacing w:line="440" w:lineRule="exact"/>
        <w:rPr>
          <w:rFonts w:hint="eastAsia" w:ascii="宋体" w:hAnsi="宋体"/>
          <w:sz w:val="24"/>
          <w:szCs w:val="28"/>
        </w:rPr>
      </w:pPr>
      <w:r>
        <w:rPr>
          <w:rFonts w:hint="eastAsia" w:ascii="宋体" w:hAnsi="宋体"/>
          <w:sz w:val="24"/>
          <w:szCs w:val="28"/>
        </w:rPr>
        <w:t xml:space="preserve">1、合同履行期限：合同签订之日至2027年6月底前完成。</w:t>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2、服务地点：江苏省</w:t>
      </w:r>
      <w:r/>
    </w:p>
    <w:p>
      <w:pPr>
        <w:ind w:firstLine="480"/>
        <w:spacing w:line="440" w:lineRule="exact"/>
        <w:rPr>
          <w:rFonts w:hint="eastAsia" w:ascii="宋体" w:hAnsi="宋体"/>
          <w:sz w:val="24"/>
          <w:szCs w:val="28"/>
        </w:rPr>
      </w:pPr>
      <w:r>
        <w:rPr>
          <w:rFonts w:hint="eastAsia" w:ascii="宋体" w:hAnsi="宋体"/>
          <w:sz w:val="24"/>
          <w:szCs w:val="28"/>
        </w:rPr>
        <w:t xml:space="preserve">3、付款方式：合同签订后30日内，支付合同总金额的30%；项目成果初稿提交后，支付合同总金额的60%；项目成果通过验收后，支付合同总金额的10%。</w:t>
      </w:r>
      <w:r/>
    </w:p>
    <w:p>
      <w:pPr>
        <w:ind w:left="-15" w:firstLine="480"/>
        <w:spacing w:line="440" w:lineRule="exact"/>
        <w:widowControl/>
        <w:rPr>
          <w:rFonts w:hint="eastAsia" w:ascii="宋体" w:hAnsi="宋体"/>
          <w:sz w:val="24"/>
        </w:rPr>
      </w:pPr>
      <w:r>
        <w:rPr>
          <w:rFonts w:hint="eastAsia" w:ascii="宋体" w:hAnsi="宋体"/>
          <w:sz w:val="24"/>
          <w:szCs w:val="24"/>
        </w:rPr>
        <w:t xml:space="preserve">4、成果交付：根据采购人及合同要求，在服务期满前，提交相关成果材料，提交形式包括电子或纸质材料。</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5、报价要求：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w:t>
      </w:r>
      <w:r>
        <w:rPr>
          <w:rFonts w:hint="eastAsia" w:ascii="宋体" w:hAnsi="宋体"/>
          <w:sz w:val="24"/>
          <w:szCs w:val="28"/>
          <w14:ligatures w14:val="standardContextual"/>
        </w:rPr>
        <w:t xml:space="preserve">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验收标准：采购人在合同履行期间，有权依照采购文件相关要求对中标人提供的相关服务或交付的工作成果进行验收。合同约定的履约验收条件达到时，由采购人依据《江苏省政府采购履约验收管理办法》（苏财规〔2024〕7号），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7、知识产权：</w:t>
      </w:r>
      <w:bookmarkStart w:id="31" w:name="OLE_LINK17"/>
      <w:r>
        <w:rPr>
          <w:rFonts w:ascii="宋体" w:hAnsi="宋体"/>
          <w:sz w:val="24"/>
          <w:szCs w:val="28"/>
          <w14:ligatures w14:val="standardContextual"/>
        </w:rPr>
        <w:t xml:space="preserve">本项目实施过程中所形成的</w:t>
      </w:r>
      <w:bookmarkEnd w:id="31"/>
      <w:r>
        <w:rPr>
          <w:rFonts w:ascii="宋体" w:hAnsi="宋体"/>
          <w:sz w:val="24"/>
          <w:szCs w:val="28"/>
          <w14:ligatures w14:val="standardContextual"/>
        </w:rPr>
        <w:t xml:space="preserve">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9、保密要求：采购人未公开发布前，任何单位和个人未经采购人同意都无权以任何形式向社会公开展示研究成果。</w:t>
      </w:r>
      <w:r/>
    </w:p>
    <w:p>
      <w:pPr>
        <w:pStyle w:val="690"/>
        <w:jc w:val="left"/>
        <w:spacing w:before="0" w:after="0" w:line="440" w:lineRule="exact"/>
      </w:pPr>
      <w:r>
        <w:rPr>
          <w:rFonts w:hint="eastAsia"/>
        </w:rPr>
        <w:t xml:space="preserve">六、其他要求</w:t>
      </w:r>
      <w:r/>
    </w:p>
    <w:p>
      <w:pPr>
        <w:pStyle w:val="704"/>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704"/>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left="-15" w:firstLine="480"/>
        <w:spacing w:line="440" w:lineRule="exact"/>
        <w:widowControl/>
        <w:rPr>
          <w:rFonts w:hint="eastAsia" w:ascii="宋体" w:hAnsi="宋体"/>
          <w:sz w:val="24"/>
        </w:rPr>
      </w:pPr>
      <w:r>
        <w:rPr>
          <w:rFonts w:hint="eastAsia" w:ascii="宋体" w:hAnsi="宋体"/>
          <w:sz w:val="24"/>
          <w:szCs w:val="24"/>
        </w:rPr>
        <w:t xml:space="preserve">（1）项目理解：针对本项目背景、现状、服务目标等方面有详细深刻的理解。</w:t>
      </w:r>
      <w:r/>
    </w:p>
    <w:p>
      <w:pPr>
        <w:ind w:left="-15" w:firstLine="480"/>
        <w:spacing w:line="440" w:lineRule="exact"/>
        <w:widowControl/>
        <w:rPr>
          <w:rFonts w:hint="eastAsia" w:ascii="宋体" w:hAnsi="宋体"/>
          <w:sz w:val="24"/>
          <w:szCs w:val="24"/>
        </w:rPr>
      </w:pPr>
      <w:r>
        <w:rPr>
          <w:rFonts w:hint="eastAsia" w:ascii="宋体" w:hAnsi="宋体"/>
          <w:sz w:val="24"/>
          <w:szCs w:val="24"/>
        </w:rPr>
        <w:t xml:space="preserve">（2）专项资金相关政策文件适用性评估、省本级项目及省重点项目申报指南（建议稿）及评审标准（建议稿）编制工作方案：系统梳理“十四五”以来省级太湖流域水环境治理专项资金相关政策文件，对照最新省级财政资金管理要求，评估文件有效性、适配性</w:t>
      </w:r>
      <w:r>
        <w:rPr>
          <w:rFonts w:hint="eastAsia" w:ascii="宋体" w:hAnsi="宋体"/>
          <w:sz w:val="24"/>
          <w:szCs w:val="24"/>
        </w:rPr>
        <w:t xml:space="preserve">，提出政策优化建议和下一步工作举措</w:t>
      </w:r>
      <w:r>
        <w:rPr>
          <w:rFonts w:hint="eastAsia" w:ascii="宋体" w:hAnsi="宋体"/>
          <w:sz w:val="24"/>
          <w:szCs w:val="24"/>
        </w:rPr>
        <w:t xml:space="preserve">；根据资金政策要求，结合年度省本级项目、统筹资金项目申报组织需求，编制省本级项目及省重点项目申报指南（建议稿）、评审标准（建议稿）。</w:t>
      </w:r>
      <w:r/>
    </w:p>
    <w:p>
      <w:pPr>
        <w:ind w:left="-15" w:firstLine="480"/>
        <w:spacing w:line="440" w:lineRule="exact"/>
        <w:widowControl/>
        <w:rPr>
          <w:rFonts w:hint="eastAsia" w:ascii="宋体" w:hAnsi="宋体"/>
          <w:sz w:val="24"/>
          <w:szCs w:val="24"/>
        </w:rPr>
      </w:pPr>
      <w:r>
        <w:rPr>
          <w:rFonts w:hint="eastAsia" w:ascii="宋体" w:hAnsi="宋体"/>
          <w:sz w:val="24"/>
          <w:szCs w:val="24"/>
        </w:rPr>
        <w:t xml:space="preserve">（3）太湖治理重点项目入库审核管理技术服务方案：入库审核管理技术服务方案包含但不限于入库信息收集梳理、项目位置信息校核及缺失信息调研补充完善、项目入库审核技术要求及审核指标、申请变更调增调出项目技术咨询和专家评审组织。</w:t>
      </w:r>
      <w:r/>
    </w:p>
    <w:p>
      <w:pPr>
        <w:ind w:left="-15" w:firstLine="480"/>
        <w:spacing w:line="440" w:lineRule="exact"/>
        <w:widowControl/>
        <w:rPr>
          <w:rFonts w:hint="eastAsia" w:ascii="宋体" w:hAnsi="宋体"/>
          <w:sz w:val="24"/>
          <w:szCs w:val="24"/>
        </w:rPr>
      </w:pPr>
      <w:r>
        <w:rPr>
          <w:rFonts w:hint="eastAsia" w:ascii="宋体" w:hAnsi="宋体"/>
          <w:sz w:val="24"/>
          <w:szCs w:val="24"/>
        </w:rPr>
        <w:t xml:space="preserve">（4）“十四五”治太工程项目上图入库工作方案：对太湖五市“十四五”期间治太工程项目进行梳理并校核项目入库基本信息，包括项目位置、关联河湖断面、项目类型、</w:t>
      </w:r>
      <w:r>
        <w:rPr>
          <w:rFonts w:hint="eastAsia" w:ascii="宋体" w:hAnsi="宋体"/>
          <w:sz w:val="24"/>
          <w:szCs w:val="24"/>
        </w:rPr>
        <w:t xml:space="preserve">主要建设内容、项目状态、项目投资和治太专项资金等方面，完成项目入库，并具备统计分析及上图展示。</w:t>
      </w:r>
      <w:r/>
    </w:p>
    <w:p>
      <w:pPr>
        <w:ind w:left="-15" w:firstLine="480"/>
        <w:spacing w:line="440" w:lineRule="exact"/>
        <w:widowControl/>
        <w:rPr>
          <w:rFonts w:hint="eastAsia" w:ascii="宋体" w:hAnsi="宋体"/>
          <w:sz w:val="24"/>
          <w:szCs w:val="24"/>
        </w:rPr>
      </w:pPr>
      <w:r>
        <w:rPr>
          <w:rFonts w:hint="eastAsia" w:ascii="宋体" w:hAnsi="宋体"/>
          <w:sz w:val="24"/>
          <w:szCs w:val="24"/>
        </w:rPr>
        <w:t xml:space="preserve">（5）项目库系统功能拓展设计方案：包含但不限于项目管理、资金评审、资金管理、用户权限等方面，涉及“项目池”设计、资金评审设计、资金管理设计，工作流转流程设计等。</w:t>
      </w:r>
      <w:r/>
    </w:p>
    <w:p>
      <w:pPr>
        <w:ind w:firstLine="480"/>
        <w:spacing w:line="440" w:lineRule="exact"/>
        <w:rPr>
          <w:rFonts w:hint="eastAsia" w:ascii="宋体" w:hAnsi="宋体"/>
          <w:bCs/>
          <w:szCs w:val="21"/>
        </w:rPr>
      </w:pPr>
      <w:r>
        <w:rPr>
          <w:rFonts w:hint="eastAsia" w:ascii="宋体" w:hAnsi="宋体"/>
          <w:sz w:val="24"/>
          <w:szCs w:val="24"/>
        </w:rPr>
        <w:t xml:space="preserve">（6）进度保障和质量保障措施：制定细化的阶段性进度计划表，明确各工作模块完成时限。结合供应商的内部管理流程、技术力量、质量保证体系等因素，科学、合理地提出本项目质量保障举措。</w:t>
      </w:r>
      <w:bookmarkStart w:id="32" w:name="_Toc129876277"/>
      <w:r/>
      <w:bookmarkStart w:id="33" w:name="_Toc101206002"/>
      <w:r/>
      <w:bookmarkEnd w:id="30"/>
      <w:r>
        <w:rPr>
          <w:rFonts w:hint="eastAsia" w:ascii="宋体" w:hAnsi="宋体"/>
          <w:sz w:val="32"/>
          <w:szCs w:val="32"/>
        </w:rPr>
        <w:br w:type="page" w:clear="all"/>
      </w:r>
      <w:bookmarkEnd w:id="32"/>
      <w:bookmarkEnd w:id="33"/>
      <w:r/>
    </w:p>
    <w:p>
      <w:pPr>
        <w:spacing w:before="19"/>
        <w:widowControl/>
        <w:rPr>
          <w:rFonts w:hint="eastAsia" w:ascii="宋体" w:hAnsi="宋体"/>
          <w:sz w:val="32"/>
          <w:szCs w:val="32"/>
        </w:rPr>
      </w:pPr>
      <w:r>
        <w:rPr>
          <w:rFonts w:hint="eastAsia" w:ascii="宋体" w:hAnsi="宋体"/>
          <w:sz w:val="32"/>
          <w:szCs w:val="32"/>
        </w:rPr>
      </w:r>
      <w:r/>
    </w:p>
    <w:p>
      <w:pPr>
        <w:pStyle w:val="689"/>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JSZC-320000-JSSJ-G2026-0011</w:t>
      </w:r>
      <w:r>
        <w:rPr>
          <w:rFonts w:hint="eastAsia" w:ascii="宋体" w:hAnsi="宋体"/>
          <w:sz w:val="24"/>
          <w:szCs w:val="24"/>
        </w:rPr>
        <w:t xml:space="preserve">的</w:t>
      </w:r>
      <w:r>
        <w:rPr>
          <w:rFonts w:hint="eastAsia" w:ascii="宋体" w:hAnsi="宋体"/>
          <w:sz w:val="24"/>
          <w:szCs w:val="24"/>
          <w:u w:val="single"/>
        </w:rPr>
        <w:t xml:space="preserve">太湖流域水环境综合治理资金项目管理项目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太湖流域水环境综合治理资金项目管理</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4" w:name="hetong_bigmoney"/>
      <w:r/>
      <w:bookmarkEnd w:id="34"/>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bookmarkStart w:id="35" w:name="hetong_money"/>
      <w:r/>
      <w:bookmarkEnd w:id="35"/>
      <w:r>
        <w:rPr>
          <w:rFonts w:hint="eastAsia" w:ascii="宋体" w:hAnsi="宋体"/>
          <w:sz w:val="24"/>
          <w:szCs w:val="24"/>
          <w:u w:val="single"/>
        </w:rPr>
        <w:t xml:space="preserve">        .)</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1.甲方在合同履行期间，有权对乙方提供的相关服务或交付的工作成果进行验收，验收时甲方可对每一项服务的履约情况进行确认。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6" w:name="purchase_relation_name"/>
      <w:r/>
      <w:bookmarkEnd w:id="36"/>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7" w:name="purchase_relation_tel"/>
      <w:r/>
      <w:bookmarkEnd w:id="37"/>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8" w:name="supplier_relation_name"/>
      <w:r/>
      <w:bookmarkEnd w:id="38"/>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9" w:name="supplier_relation_tel"/>
      <w:r/>
      <w:bookmarkEnd w:id="39"/>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b/>
          <w:bCs/>
          <w:sz w:val="24"/>
          <w:szCs w:val="24"/>
        </w:rPr>
      </w:pPr>
      <w:r>
        <w:rPr>
          <w:rFonts w:hint="eastAsia" w:ascii="宋体" w:hAnsi="宋体"/>
          <w:sz w:val="24"/>
          <w:szCs w:val="28"/>
        </w:rPr>
        <w:t xml:space="preserve">合同签订后30日内，支付合同总金额的30%；项目成果初稿提交后，支付合同总金额的60%；项目成果通过验收后，支付合同总金额的10%。</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sz w:val="24"/>
          <w:szCs w:val="24"/>
          <w:lang w:val="zh-CN"/>
        </w:rPr>
      </w:pPr>
      <w:r/>
      <w:bookmarkStart w:id="40" w:name="_Hlk225518649"/>
      <w:r>
        <w:rPr>
          <w:rFonts w:hint="eastAsia" w:ascii="宋体" w:hAnsi="宋体"/>
          <w:sz w:val="24"/>
          <w:szCs w:val="24"/>
          <w:lang w:val="zh-CN"/>
        </w:rPr>
        <w:t xml:space="preserve">1.甲方无正当理由拒收服务、拒付服务款的，甲方向乙方偿付合同总价的</w:t>
      </w:r>
      <w:r>
        <w:rPr>
          <w:rFonts w:hint="eastAsia" w:ascii="宋体" w:hAnsi="宋体"/>
          <w:sz w:val="24"/>
          <w:szCs w:val="24"/>
          <w:u w:val="single"/>
          <w:lang w:val="zh-CN"/>
        </w:rPr>
        <w:t xml:space="preserve"> </w:t>
      </w:r>
      <w:r>
        <w:rPr>
          <w:rFonts w:ascii="宋体" w:hAnsi="宋体"/>
          <w:sz w:val="24"/>
          <w:szCs w:val="24"/>
          <w:u w:val="single"/>
          <w:lang w:val="zh-CN"/>
        </w:rPr>
        <w:t xml:space="preserve">5</w:t>
      </w:r>
      <w:r>
        <w:rPr>
          <w:rFonts w:hint="eastAsia" w:ascii="宋体" w:hAnsi="宋体"/>
          <w:sz w:val="24"/>
          <w:szCs w:val="24"/>
          <w:u w:val="single"/>
          <w:lang w:val="zh-CN"/>
        </w:rPr>
        <w:t xml:space="preserve"> </w:t>
      </w:r>
      <w:r>
        <w:rPr>
          <w:rFonts w:hint="eastAsia" w:ascii="宋体" w:hAnsi="宋体"/>
          <w:sz w:val="24"/>
          <w:szCs w:val="24"/>
          <w:lang w:val="zh-CN"/>
        </w:rPr>
        <w:t xml:space="preserve">%违约金。</w:t>
      </w:r>
      <w:r/>
    </w:p>
    <w:p>
      <w:pPr>
        <w:ind w:firstLine="420"/>
        <w:rPr>
          <w:rFonts w:hint="eastAsia" w:ascii="宋体" w:hAnsi="宋体"/>
          <w:sz w:val="24"/>
          <w:szCs w:val="24"/>
          <w:lang w:val="zh-CN"/>
        </w:rPr>
      </w:pPr>
      <w:r>
        <w:rPr>
          <w:rFonts w:hint="eastAsia" w:ascii="宋体" w:hAnsi="宋体"/>
          <w:sz w:val="24"/>
          <w:szCs w:val="24"/>
          <w:lang w:val="zh-CN"/>
        </w:rPr>
        <w:t xml:space="preserve">2.甲方未按合同规定的期限向乙方支付服务款的，每逾期1天甲方向乙方偿付欠款总额的</w:t>
      </w:r>
      <w:r>
        <w:rPr>
          <w:rFonts w:hint="eastAsia" w:ascii="宋体" w:hAnsi="宋体"/>
          <w:sz w:val="24"/>
          <w:szCs w:val="24"/>
          <w:u w:val="single"/>
          <w:lang w:val="zh-CN"/>
        </w:rPr>
        <w:t xml:space="preserve"> </w:t>
      </w:r>
      <w:r>
        <w:rPr>
          <w:rFonts w:ascii="宋体" w:hAnsi="宋体"/>
          <w:sz w:val="24"/>
          <w:szCs w:val="24"/>
          <w:u w:val="single"/>
          <w:lang w:val="zh-CN"/>
        </w:rPr>
        <w:t xml:space="preserve">0.5</w:t>
      </w:r>
      <w:r>
        <w:rPr>
          <w:rFonts w:hint="eastAsia" w:ascii="宋体" w:hAnsi="宋体"/>
          <w:sz w:val="24"/>
          <w:szCs w:val="24"/>
          <w:u w:val="single"/>
          <w:lang w:val="zh-CN"/>
        </w:rPr>
        <w:t xml:space="preserve"> </w:t>
      </w:r>
      <w:r>
        <w:rPr>
          <w:rFonts w:hint="eastAsia" w:ascii="宋体" w:hAnsi="宋体"/>
          <w:sz w:val="24"/>
          <w:szCs w:val="24"/>
          <w:lang w:val="zh-CN"/>
        </w:rPr>
        <w:t xml:space="preserve">‰滞纳金，但累计滞纳金总额不超过欠款总额的</w:t>
      </w:r>
      <w:r>
        <w:rPr>
          <w:rFonts w:hint="eastAsia" w:ascii="宋体" w:hAnsi="宋体"/>
          <w:sz w:val="24"/>
          <w:szCs w:val="24"/>
          <w:u w:val="single"/>
          <w:lang w:val="zh-CN"/>
        </w:rPr>
        <w:t xml:space="preserve"> </w:t>
      </w:r>
      <w:r>
        <w:rPr>
          <w:rFonts w:ascii="宋体" w:hAnsi="宋体"/>
          <w:sz w:val="24"/>
          <w:szCs w:val="24"/>
          <w:u w:val="single"/>
          <w:lang w:val="zh-CN"/>
        </w:rPr>
        <w:t xml:space="preserve">1</w:t>
      </w:r>
      <w:r>
        <w:rPr>
          <w:rFonts w:hint="eastAsia" w:ascii="宋体" w:hAnsi="宋体"/>
          <w:sz w:val="24"/>
          <w:szCs w:val="24"/>
          <w:u w:val="single"/>
          <w:lang w:val="zh-CN"/>
        </w:rPr>
        <w:t xml:space="preserve"> </w:t>
      </w:r>
      <w:r>
        <w:rPr>
          <w:rFonts w:hint="eastAsia" w:ascii="宋体" w:hAnsi="宋体"/>
          <w:sz w:val="24"/>
          <w:szCs w:val="24"/>
          <w:lang w:val="zh-CN"/>
        </w:rPr>
        <w:t xml:space="preserve">%。</w:t>
      </w:r>
      <w:r/>
    </w:p>
    <w:p>
      <w:pPr>
        <w:ind w:firstLine="420"/>
        <w:rPr>
          <w:rFonts w:hint="eastAsia" w:ascii="宋体" w:hAnsi="宋体"/>
          <w:sz w:val="24"/>
          <w:szCs w:val="24"/>
          <w:lang w:val="zh-CN"/>
        </w:rPr>
      </w:pPr>
      <w:r>
        <w:rPr>
          <w:rFonts w:hint="eastAsia" w:ascii="宋体" w:hAnsi="宋体"/>
          <w:sz w:val="24"/>
          <w:szCs w:val="24"/>
          <w:lang w:val="zh-CN"/>
        </w:rPr>
        <w:t xml:space="preserve">3.如乙方不能交付服务的，应向甲方支付合同总价</w:t>
      </w:r>
      <w:r>
        <w:rPr>
          <w:rFonts w:hint="eastAsia" w:ascii="宋体" w:hAnsi="宋体"/>
          <w:sz w:val="24"/>
          <w:szCs w:val="24"/>
          <w:u w:val="single"/>
          <w:lang w:val="zh-CN"/>
        </w:rPr>
        <w:t xml:space="preserve"> </w:t>
      </w:r>
      <w:r>
        <w:rPr>
          <w:rFonts w:ascii="宋体" w:hAnsi="宋体"/>
          <w:sz w:val="24"/>
          <w:szCs w:val="24"/>
          <w:u w:val="single"/>
          <w:lang w:val="zh-CN"/>
        </w:rPr>
        <w:t xml:space="preserve">10</w:t>
      </w:r>
      <w:r>
        <w:rPr>
          <w:rFonts w:hint="eastAsia" w:ascii="宋体" w:hAnsi="宋体"/>
          <w:sz w:val="24"/>
          <w:szCs w:val="24"/>
          <w:u w:val="single"/>
          <w:lang w:val="zh-CN"/>
        </w:rPr>
        <w:t xml:space="preserve"> </w:t>
      </w:r>
      <w:r>
        <w:rPr>
          <w:rFonts w:hint="eastAsia" w:ascii="宋体" w:hAnsi="宋体"/>
          <w:sz w:val="24"/>
          <w:szCs w:val="24"/>
          <w:lang w:val="zh-CN"/>
        </w:rPr>
        <w:t xml:space="preserve">%的违约金。</w:t>
      </w:r>
      <w:r/>
    </w:p>
    <w:p>
      <w:pPr>
        <w:ind w:firstLine="420"/>
        <w:rPr>
          <w:rFonts w:hint="eastAsia" w:ascii="宋体" w:hAnsi="宋体"/>
          <w:sz w:val="24"/>
          <w:szCs w:val="24"/>
          <w:lang w:val="zh-CN"/>
        </w:rPr>
      </w:pPr>
      <w:r>
        <w:rPr>
          <w:rFonts w:hint="eastAsia" w:ascii="宋体" w:hAnsi="宋体"/>
          <w:sz w:val="24"/>
          <w:szCs w:val="24"/>
          <w:lang w:val="zh-CN"/>
        </w:rPr>
        <w:t xml:space="preserve">4.乙方逾期交付的，每逾期1天，乙方向甲方偿付合同总额的</w:t>
      </w:r>
      <w:r>
        <w:rPr>
          <w:rFonts w:hint="eastAsia" w:ascii="宋体" w:hAnsi="宋体"/>
          <w:sz w:val="24"/>
          <w:szCs w:val="24"/>
          <w:u w:val="single"/>
          <w:lang w:val="zh-CN"/>
        </w:rPr>
        <w:t xml:space="preserve">  </w:t>
      </w:r>
      <w:r>
        <w:rPr>
          <w:rFonts w:ascii="宋体" w:hAnsi="宋体"/>
          <w:sz w:val="24"/>
          <w:szCs w:val="24"/>
          <w:u w:val="single"/>
          <w:lang w:val="zh-CN"/>
        </w:rPr>
        <w:t xml:space="preserve">0.5</w:t>
      </w:r>
      <w:r>
        <w:rPr>
          <w:rFonts w:hint="eastAsia" w:ascii="宋体" w:hAnsi="宋体"/>
          <w:sz w:val="24"/>
          <w:szCs w:val="24"/>
          <w:u w:val="single"/>
          <w:lang w:val="zh-CN"/>
        </w:rPr>
        <w:t xml:space="preserve">  </w:t>
      </w:r>
      <w:r>
        <w:rPr>
          <w:rFonts w:hint="eastAsia" w:ascii="宋体" w:hAnsi="宋体"/>
          <w:sz w:val="24"/>
          <w:szCs w:val="24"/>
          <w:lang w:val="zh-CN"/>
        </w:rPr>
        <w:t xml:space="preserve">‰的滞纳金。如乙方逾期交付达</w:t>
      </w:r>
      <w:r>
        <w:rPr>
          <w:rFonts w:hint="eastAsia" w:ascii="宋体" w:hAnsi="宋体"/>
          <w:sz w:val="24"/>
          <w:szCs w:val="24"/>
          <w:u w:val="single"/>
          <w:lang w:val="zh-CN"/>
        </w:rPr>
        <w:t xml:space="preserve"> </w:t>
      </w:r>
      <w:r>
        <w:rPr>
          <w:rFonts w:ascii="宋体" w:hAnsi="宋体"/>
          <w:sz w:val="24"/>
          <w:szCs w:val="24"/>
          <w:u w:val="single"/>
          <w:lang w:val="zh-CN"/>
        </w:rPr>
        <w:t xml:space="preserve">30</w:t>
      </w:r>
      <w:r>
        <w:rPr>
          <w:rFonts w:hint="eastAsia" w:ascii="宋体" w:hAnsi="宋体"/>
          <w:sz w:val="24"/>
          <w:szCs w:val="24"/>
          <w:u w:val="single"/>
          <w:lang w:val="zh-CN"/>
        </w:rPr>
        <w:t xml:space="preserve"> </w:t>
      </w:r>
      <w:r>
        <w:rPr>
          <w:rFonts w:hint="eastAsia" w:ascii="宋体" w:hAnsi="宋体"/>
          <w:sz w:val="24"/>
          <w:szCs w:val="24"/>
          <w:lang w:val="zh-CN"/>
        </w:rPr>
        <w:t xml:space="preserve">天，甲方有权解除合同，解除合同的通知自到达乙方时生效。</w:t>
      </w:r>
      <w:r/>
    </w:p>
    <w:p>
      <w:pPr>
        <w:ind w:firstLine="420"/>
        <w:rPr>
          <w:rFonts w:hint="eastAsia" w:ascii="宋体" w:hAnsi="宋体"/>
          <w:sz w:val="24"/>
          <w:szCs w:val="24"/>
          <w:lang w:val="zh-CN"/>
        </w:rPr>
      </w:pPr>
      <w:r>
        <w:rPr>
          <w:rFonts w:hint="eastAsia" w:ascii="宋体" w:hAnsi="宋体"/>
          <w:sz w:val="24"/>
          <w:szCs w:val="24"/>
          <w:lang w:val="zh-CN"/>
        </w:rPr>
        <w:t xml:space="preserve">5.乙方所交付的服务不符合合同规定的，甲方有权拒收。甲方拒收的，乙方应向甲方支付合同总款</w:t>
      </w:r>
      <w:r>
        <w:rPr>
          <w:rFonts w:hint="eastAsia" w:ascii="宋体" w:hAnsi="宋体"/>
          <w:sz w:val="24"/>
          <w:szCs w:val="24"/>
          <w:u w:val="single"/>
          <w:lang w:val="zh-CN"/>
        </w:rPr>
        <w:t xml:space="preserve"> </w:t>
      </w:r>
      <w:r>
        <w:rPr>
          <w:rFonts w:ascii="宋体" w:hAnsi="宋体"/>
          <w:sz w:val="24"/>
          <w:szCs w:val="24"/>
          <w:u w:val="single"/>
          <w:lang w:val="zh-CN"/>
        </w:rPr>
        <w:t xml:space="preserve">10</w:t>
      </w:r>
      <w:r>
        <w:rPr>
          <w:rFonts w:hint="eastAsia" w:ascii="宋体" w:hAnsi="宋体"/>
          <w:sz w:val="24"/>
          <w:szCs w:val="24"/>
          <w:u w:val="single"/>
          <w:lang w:val="zh-CN"/>
        </w:rPr>
        <w:t xml:space="preserve"> </w:t>
      </w:r>
      <w:r>
        <w:rPr>
          <w:rFonts w:hint="eastAsia" w:ascii="宋体" w:hAnsi="宋体"/>
          <w:sz w:val="24"/>
          <w:szCs w:val="24"/>
          <w:lang w:val="zh-CN"/>
        </w:rPr>
        <w:t xml:space="preserve">%的违约金。</w:t>
      </w:r>
      <w:r/>
    </w:p>
    <w:p>
      <w:pPr>
        <w:ind w:firstLine="420"/>
        <w:rPr>
          <w:rFonts w:hint="eastAsia" w:ascii="宋体" w:hAnsi="宋体"/>
          <w:sz w:val="24"/>
          <w:szCs w:val="24"/>
          <w:lang w:val="zh-CN"/>
        </w:rPr>
      </w:pPr>
      <w:r>
        <w:rPr>
          <w:rFonts w:hint="eastAsia" w:ascii="宋体" w:hAnsi="宋体"/>
          <w:sz w:val="24"/>
          <w:szCs w:val="24"/>
          <w:lang w:val="zh-CN"/>
        </w:rPr>
        <w:t xml:space="preserve">6.在乙方承诺的或国家规定的质量保证期内（取两者中最长的期限），如经乙方</w:t>
      </w:r>
      <w:r>
        <w:rPr>
          <w:rFonts w:hint="eastAsia" w:ascii="宋体" w:hAnsi="宋体"/>
          <w:sz w:val="24"/>
          <w:szCs w:val="24"/>
          <w:u w:val="single"/>
          <w:lang w:val="zh-CN"/>
        </w:rPr>
        <w:t xml:space="preserve"> </w:t>
      </w:r>
      <w:r>
        <w:rPr>
          <w:rFonts w:ascii="宋体" w:hAnsi="宋体"/>
          <w:sz w:val="24"/>
          <w:szCs w:val="24"/>
          <w:u w:val="single"/>
          <w:lang w:val="zh-CN"/>
        </w:rPr>
        <w:t xml:space="preserve">3</w:t>
      </w:r>
      <w:r>
        <w:rPr>
          <w:rFonts w:hint="eastAsia" w:ascii="宋体" w:hAnsi="宋体"/>
          <w:sz w:val="24"/>
          <w:szCs w:val="24"/>
          <w:u w:val="single"/>
          <w:lang w:val="zh-CN"/>
        </w:rPr>
        <w:t xml:space="preserve"> </w:t>
      </w:r>
      <w:r>
        <w:rPr>
          <w:rFonts w:hint="eastAsia" w:ascii="宋体" w:hAnsi="宋体"/>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sz w:val="24"/>
          <w:szCs w:val="24"/>
          <w:lang w:val="zh-CN"/>
        </w:rPr>
      </w:pPr>
      <w:r>
        <w:rPr>
          <w:rFonts w:hint="eastAsia" w:ascii="宋体" w:hAnsi="宋体"/>
          <w:sz w:val="24"/>
          <w:szCs w:val="24"/>
          <w:lang w:val="zh-CN"/>
        </w:rPr>
        <w:t xml:space="preserve">7.乙方未按本合同的规定和服务承诺提供伴随服务/售后服务的，应按合同总价款的</w:t>
      </w:r>
      <w:r>
        <w:rPr>
          <w:rFonts w:hint="eastAsia" w:ascii="宋体" w:hAnsi="宋体"/>
          <w:sz w:val="24"/>
          <w:szCs w:val="24"/>
          <w:u w:val="single"/>
          <w:lang w:val="zh-CN"/>
        </w:rPr>
        <w:t xml:space="preserve"> </w:t>
      </w:r>
      <w:r>
        <w:rPr>
          <w:rFonts w:ascii="宋体" w:hAnsi="宋体"/>
          <w:sz w:val="24"/>
          <w:szCs w:val="24"/>
          <w:u w:val="single"/>
          <w:lang w:val="zh-CN"/>
        </w:rPr>
        <w:t xml:space="preserve">10</w:t>
      </w:r>
      <w:r>
        <w:rPr>
          <w:rFonts w:hint="eastAsia" w:ascii="宋体" w:hAnsi="宋体"/>
          <w:sz w:val="24"/>
          <w:szCs w:val="24"/>
          <w:u w:val="single"/>
          <w:lang w:val="zh-CN"/>
        </w:rPr>
        <w:t xml:space="preserve"> </w:t>
      </w:r>
      <w:r>
        <w:rPr>
          <w:rFonts w:hint="eastAsia" w:ascii="宋体" w:hAnsi="宋体"/>
          <w:sz w:val="24"/>
          <w:szCs w:val="24"/>
          <w:lang w:val="zh-CN"/>
        </w:rPr>
        <w:t xml:space="preserve">%向甲方承担违约责任。</w:t>
      </w:r>
      <w:r/>
    </w:p>
    <w:p>
      <w:pPr>
        <w:ind w:firstLine="420"/>
        <w:rPr>
          <w:rFonts w:hint="eastAsia" w:ascii="宋体" w:hAnsi="宋体"/>
          <w:sz w:val="24"/>
          <w:szCs w:val="24"/>
          <w:lang w:val="zh-CN"/>
        </w:rPr>
      </w:pPr>
      <w:r>
        <w:rPr>
          <w:rFonts w:hint="eastAsia" w:ascii="宋体" w:hAnsi="宋体"/>
          <w:sz w:val="24"/>
          <w:szCs w:val="24"/>
          <w:lang w:val="zh-CN"/>
        </w:rPr>
        <w:t xml:space="preserve">8.乙方在承担上述4-7款一项或多项违约责任后，仍应继续履行合同规定的义务（甲</w:t>
      </w:r>
      <w:r>
        <w:rPr>
          <w:rFonts w:hint="eastAsia" w:ascii="宋体" w:hAnsi="宋体"/>
          <w:sz w:val="24"/>
          <w:szCs w:val="24"/>
          <w:lang w:val="zh-CN"/>
        </w:rPr>
        <w:t xml:space="preserve">方解除合同的除外）。甲方未能及时追究乙方的任何一项违约责任并不表明甲方放弃追究乙方该项或其他违约责任。</w:t>
      </w:r>
      <w:r/>
    </w:p>
    <w:p>
      <w:pPr>
        <w:ind w:firstLine="420"/>
        <w:rPr>
          <w:rFonts w:hint="eastAsia" w:ascii="宋体" w:hAnsi="宋体"/>
          <w:sz w:val="24"/>
          <w:szCs w:val="24"/>
          <w:lang w:val="zh-CN"/>
        </w:rPr>
      </w:pPr>
      <w:r>
        <w:rPr>
          <w:rFonts w:hint="eastAsia" w:ascii="宋体" w:hAnsi="宋体"/>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sz w:val="24"/>
          <w:szCs w:val="24"/>
          <w:u w:val="single"/>
          <w:lang w:val="zh-CN"/>
        </w:rPr>
        <w:t xml:space="preserve"> </w:t>
      </w:r>
      <w:r>
        <w:rPr>
          <w:rFonts w:ascii="宋体" w:hAnsi="宋体"/>
          <w:sz w:val="24"/>
          <w:szCs w:val="24"/>
          <w:u w:val="single"/>
          <w:lang w:val="zh-CN"/>
        </w:rPr>
        <w:t xml:space="preserve">20</w:t>
      </w:r>
      <w:r>
        <w:rPr>
          <w:rFonts w:hint="eastAsia" w:ascii="宋体" w:hAnsi="宋体"/>
          <w:sz w:val="24"/>
          <w:szCs w:val="24"/>
          <w:u w:val="single"/>
          <w:lang w:val="zh-CN"/>
        </w:rPr>
        <w:t xml:space="preserve"> </w:t>
      </w:r>
      <w:r>
        <w:rPr>
          <w:rFonts w:hint="eastAsia" w:ascii="宋体" w:hAnsi="宋体"/>
          <w:sz w:val="24"/>
          <w:szCs w:val="24"/>
          <w:lang w:val="zh-CN"/>
        </w:rPr>
        <w:t xml:space="preserve">%赔偿金</w:t>
      </w:r>
      <w:bookmarkEnd w:id="40"/>
      <w:r>
        <w:rPr>
          <w:rFonts w:hint="eastAsia" w:ascii="宋体" w:hAnsi="宋体"/>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41" w:name="suppliers_name_one"/>
      <w:r/>
      <w:bookmarkEnd w:id="41"/>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32"/>
          <w:szCs w:val="32"/>
        </w:rPr>
        <w:br/>
      </w:r>
      <w:r>
        <w:rPr>
          <w:rFonts w:ascii="宋体" w:hAnsi="宋体"/>
          <w:sz w:val="32"/>
          <w:szCs w:val="32"/>
        </w:rPr>
        <w:br/>
      </w: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p>
    <w:p>
      <w:pPr>
        <w:spacing w:before="19"/>
        <w:widowControl/>
        <w:rPr>
          <w:rFonts w:hint="eastAsia" w:ascii="宋体" w:hAnsi="宋体"/>
          <w:sz w:val="32"/>
          <w:szCs w:val="32"/>
        </w:rPr>
      </w:pPr>
      <w:r>
        <w:rPr>
          <w:rFonts w:hint="eastAsia" w:ascii="宋体" w:hAnsi="宋体"/>
          <w:sz w:val="32"/>
          <w:szCs w:val="32"/>
        </w:rPr>
      </w:r>
      <w:r/>
    </w:p>
    <w:p>
      <w:pPr>
        <w:pStyle w:val="689"/>
        <w:jc w:val="center"/>
        <w:spacing w:line="240" w:lineRule="auto"/>
        <w:rPr>
          <w:rFonts w:hint="eastAsia" w:ascii="宋体" w:hAnsi="宋体"/>
          <w:sz w:val="40"/>
          <w:szCs w:val="40"/>
        </w:rPr>
      </w:pPr>
      <w:r/>
      <w:bookmarkStart w:id="42"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6"/>
      <w:r/>
      <w:bookmarkEnd w:id="27"/>
      <w:r/>
      <w:bookmarkEnd w:id="29"/>
      <w:r/>
      <w:bookmarkEnd w:id="42"/>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szCs w:val="21"/>
        </w:rPr>
      </w:r>
      <w:r>
        <w:rPr>
          <w:rFonts w:hint="eastAsia" w:ascii="宋体" w:hAnsi="宋体"/>
          <w:szCs w:val="21"/>
        </w:rPr>
      </w:r>
    </w:p>
    <w:p>
      <w:pPr>
        <w:jc w:val="center"/>
        <w:rPr>
          <w:rFonts w:hint="eastAsia" w:ascii="宋体" w:hAnsi="宋体"/>
        </w:rPr>
      </w:pPr>
      <w:r>
        <w:rPr>
          <w:rFonts w:hint="eastAsia" w:ascii="宋体" w:hAnsi="宋体"/>
        </w:rPr>
      </w:r>
      <w:r>
        <w:rPr>
          <w:rFonts w:hint="eastAsia" w:ascii="宋体" w:hAnsi="宋体"/>
        </w:rPr>
      </w:r>
    </w:p>
    <w:p>
      <w:pPr>
        <w:jc w:val="center"/>
        <w:rPr>
          <w:rFonts w:hint="eastAsia" w:ascii="宋体" w:hAnsi="宋体"/>
        </w:rPr>
      </w:pPr>
      <w:r>
        <w:rPr>
          <w:rFonts w:hint="eastAsia" w:ascii="宋体" w:hAnsi="宋体"/>
        </w:rPr>
      </w:r>
      <w:r>
        <w:rPr>
          <w:rFonts w:hint="eastAsia" w:ascii="宋体" w:hAnsi="宋体"/>
        </w:rP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43" w:name="_Toc351733256"/>
      <w:r/>
      <w:bookmarkStart w:id="44" w:name="_Toc384716020"/>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5" w:name="_Toc449539282"/>
      <w:r/>
      <w:bookmarkStart w:id="46" w:name="_Toc76893594"/>
      <w:r/>
      <w:bookmarkStart w:id="47" w:name="_Toc479456129"/>
      <w:r>
        <w:rPr>
          <w:szCs w:val="24"/>
        </w:rPr>
        <w:br w:type="page" w:clear="all"/>
      </w:r>
      <w:r/>
    </w:p>
    <w:p>
      <w:pPr>
        <w:pStyle w:val="690"/>
        <w:numPr>
          <w:ilvl w:val="0"/>
          <w:numId w:val="2"/>
        </w:numPr>
        <w:spacing w:line="240" w:lineRule="auto"/>
        <w:rPr>
          <w:sz w:val="28"/>
          <w:szCs w:val="28"/>
        </w:rPr>
      </w:pPr>
      <w:r/>
      <w:bookmarkStart w:id="48" w:name="_Toc129876279"/>
      <w:r/>
      <w:bookmarkStart w:id="49" w:name="_Toc128508979"/>
      <w:r>
        <w:rPr>
          <w:rFonts w:hint="eastAsia"/>
          <w:sz w:val="28"/>
          <w:szCs w:val="28"/>
        </w:rPr>
        <w:t xml:space="preserve">投标函、投标报价及项目相关文件</w:t>
      </w:r>
      <w:bookmarkEnd w:id="45"/>
      <w:r/>
      <w:bookmarkEnd w:id="46"/>
      <w:r/>
      <w:bookmarkEnd w:id="47"/>
      <w:r/>
      <w:bookmarkEnd w:id="48"/>
      <w:r/>
      <w:bookmarkEnd w:id="49"/>
      <w:r/>
      <w:r/>
    </w:p>
    <w:p>
      <w:r/>
      <w:r/>
    </w:p>
    <w:p>
      <w:pPr>
        <w:pStyle w:val="691"/>
        <w:jc w:val="center"/>
        <w:spacing w:line="240" w:lineRule="auto"/>
        <w:rPr>
          <w:rFonts w:hint="eastAsia" w:ascii="宋体" w:hAnsi="宋体"/>
          <w:sz w:val="24"/>
          <w:szCs w:val="24"/>
        </w:rPr>
      </w:pPr>
      <w:r/>
      <w:bookmarkStart w:id="50" w:name="_Toc101280174"/>
      <w:r/>
      <w:bookmarkStart w:id="51" w:name="_Toc76893595"/>
      <w:r/>
      <w:bookmarkStart w:id="52" w:name="_Toc101862114"/>
      <w:r/>
      <w:bookmarkStart w:id="53" w:name="_Toc128508980"/>
      <w:r/>
      <w:bookmarkStart w:id="54" w:name="_Toc101280227"/>
      <w:r/>
      <w:bookmarkStart w:id="55" w:name="_Toc78882146"/>
      <w:r/>
      <w:bookmarkStart w:id="56" w:name="_Toc449539283"/>
      <w:r/>
      <w:bookmarkStart w:id="57" w:name="_Toc101797548"/>
      <w:r/>
      <w:bookmarkStart w:id="58" w:name="_Toc129876280"/>
      <w:r>
        <w:rPr>
          <w:rFonts w:hint="eastAsia" w:ascii="宋体" w:hAnsi="宋体"/>
          <w:sz w:val="24"/>
          <w:szCs w:val="24"/>
        </w:rPr>
        <w:t xml:space="preserve">1.</w:t>
      </w:r>
      <w:bookmarkStart w:id="59" w:name="_Hlk227060039"/>
      <w:r/>
      <w:bookmarkStart w:id="60" w:name="OLE_LINK10"/>
      <w:r>
        <w:rPr>
          <w:rFonts w:hint="eastAsia" w:ascii="宋体" w:hAnsi="宋体"/>
          <w:sz w:val="24"/>
          <w:szCs w:val="24"/>
        </w:rPr>
        <w:t xml:space="preserve">投标函</w:t>
      </w:r>
      <w:bookmarkEnd w:id="50"/>
      <w:r/>
      <w:bookmarkEnd w:id="51"/>
      <w:r/>
      <w:bookmarkEnd w:id="52"/>
      <w:r/>
      <w:bookmarkEnd w:id="53"/>
      <w:r/>
      <w:bookmarkEnd w:id="54"/>
      <w:r/>
      <w:bookmarkEnd w:id="55"/>
      <w:r/>
      <w:bookmarkEnd w:id="56"/>
      <w:r/>
      <w:bookmarkEnd w:id="57"/>
      <w:r/>
      <w:bookmarkEnd w:id="58"/>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太湖流域水环境综合治理资金项目管理项目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JSZC-320000-JSSJ-G2026-0011</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投标人全称：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61" w:name="_Toc464044789"/>
      <w:r/>
      <w:bookmarkStart w:id="62"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59"/>
      <w:r/>
    </w:p>
    <w:p>
      <w:r/>
      <w:bookmarkEnd w:id="60"/>
      <w:r/>
    </w:p>
    <w:p>
      <w:pPr>
        <w:pStyle w:val="691"/>
        <w:jc w:val="center"/>
        <w:spacing w:line="240" w:lineRule="auto"/>
        <w:rPr>
          <w:rFonts w:hint="eastAsia" w:ascii="宋体" w:hAnsi="宋体"/>
          <w:sz w:val="24"/>
          <w:szCs w:val="24"/>
        </w:rPr>
      </w:pPr>
      <w:r>
        <w:br w:type="page" w:clear="all"/>
      </w:r>
      <w:bookmarkStart w:id="63" w:name="_Toc101797549"/>
      <w:r/>
      <w:bookmarkStart w:id="64" w:name="_Toc101280228"/>
      <w:r/>
      <w:bookmarkStart w:id="65" w:name="_Toc129876281"/>
      <w:r/>
      <w:bookmarkStart w:id="66" w:name="_Toc78882147"/>
      <w:r/>
      <w:bookmarkStart w:id="67" w:name="_Toc101862115"/>
      <w:r/>
      <w:bookmarkStart w:id="68" w:name="_Toc101280175"/>
      <w:r/>
      <w:bookmarkStart w:id="69" w:name="_Toc128508981"/>
      <w:r/>
      <w:bookmarkStart w:id="70" w:name="_Toc76893596"/>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sz w:val="24"/>
          <w:szCs w:val="24"/>
        </w:rPr>
        <w:t xml:space="preserve">注册于</w:t>
      </w:r>
      <w:r>
        <w:rPr>
          <w:bCs/>
          <w:sz w:val="24"/>
          <w:szCs w:val="24"/>
          <w:u w:val="single"/>
        </w:rPr>
        <w:t xml:space="preserve">       </w:t>
      </w:r>
      <w:r>
        <w:rPr>
          <w:bCs/>
          <w:sz w:val="24"/>
          <w:szCs w:val="24"/>
        </w:rPr>
        <w:t xml:space="preserve">（供应商住址）的</w:t>
      </w:r>
      <w:r>
        <w:rPr>
          <w:bCs/>
          <w:sz w:val="24"/>
          <w:szCs w:val="24"/>
          <w:u w:val="single"/>
        </w:rPr>
        <w:t xml:space="preserve">         </w:t>
      </w:r>
      <w:r>
        <w:rPr>
          <w:bCs/>
          <w:sz w:val="24"/>
          <w:szCs w:val="24"/>
        </w:rPr>
        <w:t xml:space="preserve">（供应商名称）法定代表人</w:t>
      </w:r>
      <w:r>
        <w:rPr>
          <w:bCs/>
          <w:sz w:val="24"/>
          <w:szCs w:val="24"/>
          <w:u w:val="single"/>
        </w:rPr>
        <w:t xml:space="preserve">             </w:t>
      </w:r>
      <w:r>
        <w:rPr>
          <w:bCs/>
          <w:sz w:val="24"/>
          <w:szCs w:val="24"/>
        </w:rPr>
        <w:t xml:space="preserve">（法定代表人姓名）代表本公司授权</w:t>
      </w:r>
      <w:r>
        <w:rPr>
          <w:bCs/>
          <w:sz w:val="24"/>
          <w:szCs w:val="24"/>
          <w:u w:val="single"/>
        </w:rPr>
        <w:t xml:space="preserve">           </w:t>
      </w:r>
      <w:r>
        <w:rPr>
          <w:bCs/>
          <w:sz w:val="24"/>
          <w:szCs w:val="24"/>
        </w:rPr>
        <w:t xml:space="preserve">（</w:t>
      </w:r>
      <w:r>
        <w:rPr>
          <w:rFonts w:hint="eastAsia"/>
          <w:bCs/>
          <w:sz w:val="24"/>
          <w:szCs w:val="24"/>
        </w:rPr>
        <w:t xml:space="preserve">被授权人的姓名</w:t>
      </w:r>
      <w:r>
        <w:rPr>
          <w:bCs/>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JSZC-320000-JSSJ-G2026-0011</w:t>
      </w:r>
      <w:r>
        <w:rPr>
          <w:rFonts w:hint="eastAsia" w:ascii="宋体" w:hAnsi="宋体"/>
          <w:sz w:val="24"/>
          <w:szCs w:val="24"/>
          <w:u w:val="single"/>
        </w:rPr>
        <w:t xml:space="preserve">）太湖流域水环境综合治理资金项目管理</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投标人全称（加盖CA电子公章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691"/>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61"/>
      <w:r/>
      <w:bookmarkEnd w:id="62"/>
      <w:r/>
      <w:bookmarkEnd w:id="63"/>
      <w:r/>
      <w:bookmarkEnd w:id="64"/>
      <w:r/>
      <w:bookmarkEnd w:id="65"/>
      <w:r/>
      <w:bookmarkEnd w:id="66"/>
      <w:r/>
      <w:bookmarkEnd w:id="67"/>
      <w:r/>
      <w:bookmarkEnd w:id="68"/>
      <w:r/>
      <w:bookmarkEnd w:id="69"/>
      <w:r/>
      <w:bookmarkEnd w:id="70"/>
      <w:r/>
      <w:r/>
    </w:p>
    <w:p>
      <w:pPr>
        <w:ind w:firstLine="482"/>
        <w:spacing w:line="0" w:lineRule="atLeast"/>
        <w:rPr>
          <w:rFonts w:ascii="宋体"/>
          <w:sz w:val="24"/>
          <w:szCs w:val="24"/>
        </w:rPr>
      </w:pPr>
      <w:r>
        <w:rPr>
          <w:rFonts w:hint="eastAsia" w:ascii="宋体"/>
          <w:sz w:val="24"/>
          <w:szCs w:val="24"/>
        </w:rPr>
        <w:t xml:space="preserve">投标人全称（加盖CA电子公章）：</w:t>
      </w:r>
      <w:r/>
    </w:p>
    <w:p>
      <w:pPr>
        <w:ind w:firstLine="482"/>
        <w:spacing w:line="0" w:lineRule="atLeast"/>
        <w:rPr>
          <w:sz w:val="24"/>
          <w:szCs w:val="24"/>
        </w:rPr>
      </w:pPr>
      <w:r>
        <w:rPr>
          <w:rFonts w:hint="eastAsia" w:ascii="宋体"/>
          <w:sz w:val="24"/>
          <w:szCs w:val="24"/>
        </w:rPr>
        <w:t xml:space="preserve">项目名称：</w:t>
      </w:r>
      <w:r/>
    </w:p>
    <w:p>
      <w:pPr>
        <w:ind w:firstLine="482"/>
        <w:spacing w:line="0" w:lineRule="atLeast"/>
        <w:rPr>
          <w:rFonts w:ascii="宋体"/>
          <w:sz w:val="24"/>
          <w:szCs w:val="24"/>
        </w:rPr>
      </w:pPr>
      <w:r>
        <w:rPr>
          <w:rFonts w:hint="eastAsia" w:ascii="宋体"/>
          <w:sz w:val="24"/>
          <w:szCs w:val="24"/>
        </w:rPr>
        <w:t xml:space="preserve">采购编号：                                   </w:t>
      </w:r>
      <w:r/>
    </w:p>
    <w:p>
      <w:pPr>
        <w:ind w:firstLine="482"/>
        <w:spacing w:line="0" w:lineRule="atLeast"/>
        <w:rPr>
          <w:rFonts w:ascii="宋体"/>
          <w:sz w:val="24"/>
          <w:szCs w:val="24"/>
        </w:rPr>
      </w:pPr>
      <w:r>
        <w:rPr>
          <w:rFonts w:hint="eastAsia" w:asci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sz w:val="24"/>
                <w:szCs w:val="24"/>
              </w:rPr>
            </w:pPr>
            <w:r>
              <w:rPr>
                <w:rFonts w:hint="eastAsia" w:ascii="宋体" w:cs="宋体"/>
                <w:sz w:val="24"/>
                <w:szCs w:val="24"/>
              </w:rPr>
              <w:t xml:space="preserve">                        </w:t>
            </w:r>
            <w:r>
              <w:rPr>
                <w:rFonts w:hint="eastAsia" w:ascii="宋体"/>
                <w:sz w:val="24"/>
                <w:szCs w:val="24"/>
              </w:rPr>
              <w:t xml:space="preserve">投标总报价</w:t>
            </w:r>
            <w:r/>
          </w:p>
        </w:tc>
      </w:tr>
      <w:tr>
        <w:trPr>
          <w:cantSplit/>
          <w:trHeight w:val="1060"/>
        </w:trPr>
        <w:tc>
          <w:tcPr>
            <w:tcW w:w="8780" w:type="dxa"/>
            <w:vAlign w:val="center"/>
            <w:textDirection w:val="lrTb"/>
            <w:noWrap w:val="false"/>
          </w:tcPr>
          <w:p>
            <w:pPr>
              <w:pStyle w:val="727"/>
              <w:ind w:firstLine="0"/>
              <w:spacing w:before="0" w:after="0" w:line="500" w:lineRule="exact"/>
              <w:rPr>
                <w:rFonts w:ascii="宋体"/>
                <w:szCs w:val="21"/>
              </w:rPr>
            </w:pPr>
            <w:r>
              <w:rPr>
                <w:rFonts w:hint="eastAsia" w:ascii="宋体" w:cs="宋体"/>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71" w:name="_Toc448871080"/>
      <w:r/>
      <w:bookmarkStart w:id="72" w:name="_Toc460850159"/>
      <w:r/>
      <w:bookmarkStart w:id="73" w:name="_Toc351733251"/>
      <w:r/>
      <w:bookmarkStart w:id="74"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75" w:name="_Hlk129938483"/>
      <w:r>
        <w:rPr>
          <w:rFonts w:hint="eastAsia" w:ascii="宋体" w:hAnsi="宋体"/>
          <w:sz w:val="24"/>
          <w:szCs w:val="24"/>
        </w:rPr>
        <w:t xml:space="preserve">有关本项目实施所涉及的一切费用均计入报价</w:t>
      </w:r>
      <w:bookmarkEnd w:id="75"/>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pPr>
        <w:pStyle w:val="691"/>
        <w:jc w:val="center"/>
        <w:tabs>
          <w:tab w:val="left" w:pos="2730" w:leader="none"/>
        </w:tabs>
        <w:rPr>
          <w:rFonts w:hint="eastAsia" w:ascii="宋体" w:hAnsi="宋体"/>
          <w:sz w:val="24"/>
          <w:szCs w:val="24"/>
        </w:rPr>
      </w:pPr>
      <w:r/>
      <w:bookmarkStart w:id="76" w:name="_Toc76893246"/>
      <w:r/>
      <w:bookmarkStart w:id="77" w:name="_Toc27654208"/>
      <w:r/>
      <w:bookmarkStart w:id="78" w:name="_Toc78882148"/>
      <w:r/>
      <w:bookmarkStart w:id="79" w:name="_Toc101438300"/>
      <w:r/>
      <w:bookmarkStart w:id="80" w:name="_Toc129876282"/>
      <w:r/>
      <w:bookmarkStart w:id="81" w:name="_Toc128508982"/>
      <w:r/>
      <w:bookmarkStart w:id="82" w:name="_Toc76893597"/>
      <w:r/>
      <w:bookmarkStart w:id="83" w:name="_Toc101280229"/>
      <w:r/>
      <w:bookmarkStart w:id="84" w:name="_Toc101280176"/>
      <w:r/>
      <w:bookmarkStart w:id="85" w:name="_Toc101862117"/>
      <w:r/>
      <w:bookmarkStart w:id="86" w:name="_Toc101280230"/>
      <w:r/>
      <w:bookmarkStart w:id="87" w:name="_Toc101797551"/>
      <w:r/>
      <w:bookmarkStart w:id="88" w:name="_Toc85454841"/>
      <w:r/>
      <w:bookmarkStart w:id="89" w:name="_Toc100764167"/>
      <w:r/>
      <w:bookmarkStart w:id="90" w:name="_Toc101280177"/>
      <w:r/>
      <w:bookmarkStart w:id="91" w:name="_Toc503997275"/>
      <w:r/>
      <w:bookmarkStart w:id="92" w:name="_Toc485301532"/>
      <w:r/>
      <w:bookmarkStart w:id="93" w:name="_Toc101206009"/>
      <w:r/>
      <w:bookmarkStart w:id="94" w:name="_Toc8068369"/>
      <w:r/>
      <w:bookmarkStart w:id="95" w:name="_Toc76396060"/>
      <w:r/>
      <w:bookmarkStart w:id="96" w:name="_Toc27654209"/>
      <w:r/>
      <w:bookmarkStart w:id="97" w:name="_Toc503997274"/>
      <w:r/>
      <w:bookmarkStart w:id="98" w:name="_Toc365968480"/>
      <w:r/>
      <w:bookmarkStart w:id="99" w:name="_Toc485301531"/>
      <w:r/>
      <w:bookmarkStart w:id="100" w:name="_Toc449539286"/>
      <w:r/>
      <w:bookmarkStart w:id="101" w:name="_Toc76893598"/>
      <w:r/>
      <w:bookmarkStart w:id="102" w:name="_Toc78882149"/>
      <w:r/>
      <w:bookmarkStart w:id="103" w:name="_Toc479456130"/>
      <w:r/>
      <w:bookmarkStart w:id="104" w:name="_Toc449539292"/>
      <w:r/>
      <w:bookmarkEnd w:id="71"/>
      <w:r/>
      <w:bookmarkEnd w:id="72"/>
      <w:r/>
      <w:bookmarkEnd w:id="73"/>
      <w:r/>
      <w:bookmarkEnd w:id="74"/>
      <w:r>
        <w:rPr>
          <w:rFonts w:hint="eastAsia" w:ascii="宋体" w:hAnsi="宋体"/>
          <w:sz w:val="24"/>
          <w:szCs w:val="24"/>
        </w:rPr>
        <w:t xml:space="preserve">4.</w:t>
      </w:r>
      <w:bookmarkEnd w:id="76"/>
      <w:r/>
      <w:bookmarkEnd w:id="77"/>
      <w:r>
        <w:rPr>
          <w:rFonts w:hint="eastAsia" w:ascii="宋体" w:hAnsi="宋体"/>
          <w:sz w:val="24"/>
          <w:szCs w:val="24"/>
        </w:rPr>
        <w:t xml:space="preserve"> </w:t>
      </w:r>
      <w:bookmarkStart w:id="105" w:name="OLE_LINK9"/>
      <w:r/>
      <w:bookmarkEnd w:id="78"/>
      <w:r/>
      <w:bookmarkEnd w:id="79"/>
      <w:r/>
      <w:bookmarkEnd w:id="80"/>
      <w:r/>
      <w:bookmarkEnd w:id="81"/>
      <w:r/>
      <w:bookmarkEnd w:id="82"/>
      <w:r/>
      <w:bookmarkEnd w:id="83"/>
      <w:r/>
      <w:bookmarkEnd w:id="84"/>
      <w:r>
        <w:rPr>
          <w:rFonts w:hint="eastAsia" w:ascii="宋体" w:hAnsi="宋体"/>
          <w:sz w:val="24"/>
          <w:szCs w:val="24"/>
        </w:rPr>
        <w:t xml:space="preserve">投标产品配置及分项报价表</w:t>
      </w:r>
      <w:bookmarkEnd w:id="105"/>
      <w:r/>
      <w:r/>
    </w:p>
    <w:p>
      <w:r>
        <w:rPr>
          <w:rFonts w:hint="eastAsia"/>
        </w:rPr>
        <w:tab/>
      </w:r>
      <w:r>
        <w:rPr>
          <w:rFonts w:hint="eastAsia"/>
        </w:rPr>
        <w:t xml:space="preserve">单位：元</w:t>
      </w:r>
      <w:r/>
    </w:p>
    <w:tbl>
      <w:tblPr>
        <w:tblW w:w="907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36"/>
        <w:gridCol w:w="1009"/>
        <w:gridCol w:w="890"/>
        <w:gridCol w:w="1525"/>
        <w:gridCol w:w="2127"/>
      </w:tblGrid>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pP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rPr>
                <w:b/>
                <w:bCs/>
              </w:rPr>
            </w:pPr>
            <w:r>
              <w:rPr>
                <w:rFonts w:hint="eastAsia"/>
                <w:b/>
                <w:bCs/>
              </w:rPr>
              <w:t xml:space="preserve">费用明细</w:t>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rPr>
                <w:b/>
                <w:bCs/>
              </w:rPr>
            </w:pPr>
            <w:r>
              <w:rPr>
                <w:rFonts w:hint="eastAsia"/>
                <w:b/>
                <w:bCs/>
              </w:rPr>
              <w:t xml:space="preserve">单位</w:t>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rPr>
                <w:b/>
                <w:bCs/>
              </w:rPr>
            </w:pPr>
            <w:r>
              <w:rPr>
                <w:rFonts w:hint="eastAsia"/>
                <w:b/>
                <w:bCs/>
              </w:rPr>
              <w:t xml:space="preserve">单价</w:t>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pPr>
              <w:rPr>
                <w:b/>
                <w:bCs/>
              </w:rPr>
            </w:pPr>
            <w:r>
              <w:rPr>
                <w:rFonts w:hint="eastAsia"/>
                <w:b/>
                <w:bCs/>
              </w:rPr>
              <w:t xml:space="preserve">总价</w:t>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601"/>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Pr>
                <w:rFonts w:hint="eastAsia"/>
              </w:rPr>
              <w:t xml:space="preserve">投标报价总价</w:t>
            </w:r>
            <w:r/>
          </w:p>
        </w:tc>
        <w:tc>
          <w:tcPr>
            <w:gridSpan w:val="5"/>
            <w:tcBorders>
              <w:top w:val="single" w:color="auto" w:sz="4" w:space="0"/>
              <w:left w:val="single" w:color="auto" w:sz="4" w:space="0"/>
              <w:bottom w:val="single" w:color="auto" w:sz="4" w:space="0"/>
              <w:right w:val="single" w:color="auto" w:sz="4" w:space="0"/>
            </w:tcBorders>
            <w:tcW w:w="8086" w:type="dxa"/>
            <w:vAlign w:val="center"/>
            <w:textDirection w:val="lrTb"/>
            <w:noWrap w:val="false"/>
          </w:tcPr>
          <w:p>
            <w:pPr>
              <w:rPr>
                <w:u w:val="single"/>
              </w:rPr>
            </w:pPr>
            <w:r>
              <w:rPr>
                <w:rFonts w:hint="eastAsia"/>
              </w:rPr>
              <w:t xml:space="preserve">人民币（大写）：</w:t>
            </w:r>
            <w:r>
              <w:rPr>
                <w:rFonts w:hint="eastAsia"/>
                <w:u w:val="single"/>
              </w:rPr>
              <w:t xml:space="preserve">             </w:t>
            </w:r>
            <w:r>
              <w:rPr>
                <w:rFonts w:hint="eastAsia"/>
              </w:rPr>
              <w:t xml:space="preserve">元整</w:t>
            </w:r>
            <w:r>
              <w:rPr>
                <w:rFonts w:hint="eastAsia"/>
              </w:rPr>
              <w:t xml:space="preserve"> </w:t>
            </w:r>
            <w:r>
              <w:rPr>
                <w:rFonts w:hint="eastAsia"/>
              </w:rPr>
              <w:t xml:space="preserve">￥</w:t>
            </w:r>
            <w:r>
              <w:rPr>
                <w:rFonts w:hint="eastAsia"/>
                <w:u w:val="single"/>
              </w:rPr>
              <w:t xml:space="preserve">             .</w:t>
            </w:r>
            <w:r/>
          </w:p>
        </w:tc>
      </w:tr>
    </w:tbl>
    <w:p>
      <w:pPr>
        <w:spacing w:before="4"/>
        <w:widowControl/>
        <w:rPr>
          <w:b/>
          <w:bCs/>
        </w:rPr>
      </w:pPr>
      <w:r>
        <w:rPr>
          <w:rFonts w:hint="eastAsia" w:ascii="宋体" w:hAnsi="宋体"/>
          <w:sz w:val="24"/>
          <w:szCs w:val="24"/>
        </w:rPr>
        <w:t xml:space="preserve">投标人全称（加盖CA电子公章）：   </w:t>
      </w:r>
      <w:r>
        <w:rPr>
          <w:rFonts w:hint="eastAsia"/>
          <w:b/>
          <w:bCs/>
        </w:rPr>
        <w:t xml:space="preserve">        </w:t>
      </w:r>
      <w:r/>
    </w:p>
    <w:p>
      <w:pPr>
        <w:rPr>
          <w:b/>
          <w:bCs/>
        </w:rPr>
      </w:pPr>
      <w:r>
        <w:rPr>
          <w:b/>
          <w:bCs/>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rPr>
          <w:rFonts w:hint="eastAsia" w:ascii="宋体" w:hAnsi="宋体"/>
          <w:sz w:val="24"/>
          <w:szCs w:val="24"/>
        </w:rPr>
      </w:pPr>
      <w:r>
        <w:rPr>
          <w:rFonts w:hint="eastAsia" w:ascii="宋体" w:hAnsi="宋体"/>
          <w:sz w:val="24"/>
          <w:szCs w:val="24"/>
        </w:rPr>
        <w:t xml:space="preserve">（3）总价=单价*数量，数量由投标人自行计算并填列。</w:t>
      </w:r>
      <w:r/>
    </w:p>
    <w:p>
      <w:pPr>
        <w:rPr>
          <w:rFonts w:hint="eastAsia" w:ascii="宋体" w:hAnsi="宋体"/>
          <w:sz w:val="24"/>
          <w:szCs w:val="24"/>
        </w:rPr>
      </w:pPr>
      <w:r>
        <w:rPr>
          <w:rFonts w:hint="eastAsia" w:ascii="宋体" w:hAnsi="宋体"/>
          <w:sz w:val="24"/>
          <w:szCs w:val="24"/>
        </w:rPr>
        <w:t xml:space="preserve">（4）此总计数应当等于“开标一览表”中“</w:t>
      </w:r>
      <w:r>
        <w:rPr>
          <w:rFonts w:hint="eastAsia" w:ascii="宋体" w:hAnsi="宋体"/>
          <w:sz w:val="24"/>
          <w:szCs w:val="24"/>
        </w:rPr>
        <w:t xml:space="preserve">投标总报价</w:t>
      </w:r>
      <w:r>
        <w:rPr>
          <w:rFonts w:hint="eastAsia" w:ascii="宋体" w:hAnsi="宋体"/>
          <w:sz w:val="24"/>
          <w:szCs w:val="24"/>
        </w:rPr>
        <w:t xml:space="preserve">”数。</w:t>
      </w:r>
      <w:r/>
    </w:p>
    <w:p>
      <w:r/>
      <w:r/>
    </w:p>
    <w:p>
      <w:pPr>
        <w:pStyle w:val="691"/>
        <w:jc w:val="center"/>
        <w:rPr>
          <w:sz w:val="24"/>
          <w:szCs w:val="24"/>
        </w:rPr>
      </w:pPr>
      <w:r/>
      <w:bookmarkStart w:id="106" w:name="_Toc107648609"/>
      <w:r/>
      <w:bookmarkStart w:id="107" w:name="_Toc129876283"/>
      <w:r/>
      <w:bookmarkStart w:id="108" w:name="_Toc128419294"/>
      <w:r/>
      <w:bookmarkStart w:id="109" w:name="_Toc128508983"/>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06"/>
      <w:r/>
      <w:bookmarkEnd w:id="107"/>
      <w:r/>
      <w:bookmarkEnd w:id="108"/>
      <w:r/>
      <w:bookmarkEnd w:id="109"/>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“第四章”中的“</w:t>
      </w:r>
      <w:r>
        <w:rPr>
          <w:rFonts w:hint="eastAsia" w:ascii="宋体" w:hAnsi="宋体"/>
          <w:b/>
          <w:bCs/>
          <w:sz w:val="24"/>
          <w:szCs w:val="24"/>
        </w:rPr>
        <w:t xml:space="preserve">项目建设具体内容</w:t>
      </w:r>
      <w:r>
        <w:rPr>
          <w:rFonts w:hint="eastAsia" w:ascii="宋体" w:hAnsi="宋体"/>
          <w:b/>
          <w:bCs/>
          <w:sz w:val="24"/>
          <w:szCs w:val="24"/>
        </w:rPr>
        <w:t xml:space="preserve">、</w:t>
      </w:r>
      <w:r>
        <w:rPr>
          <w:rFonts w:hint="eastAsia" w:ascii="宋体" w:hAnsi="宋体"/>
          <w:b/>
          <w:bCs/>
          <w:sz w:val="24"/>
          <w:szCs w:val="24"/>
        </w:rPr>
        <w:t xml:space="preserve">成果产出</w:t>
      </w:r>
      <w:r>
        <w:rPr>
          <w:rFonts w:hint="eastAsia" w:ascii="宋体" w:hAnsi="宋体"/>
          <w:b/>
          <w:bCs/>
          <w:sz w:val="24"/>
          <w:szCs w:val="24"/>
        </w:rPr>
        <w:t xml:space="preserve">”</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691"/>
        <w:jc w:val="center"/>
        <w:spacing w:line="240" w:lineRule="auto"/>
        <w:rPr>
          <w:rFonts w:hint="eastAsia" w:ascii="宋体" w:hAnsi="宋体"/>
          <w:sz w:val="24"/>
          <w:szCs w:val="24"/>
        </w:rPr>
      </w:pPr>
      <w:r/>
      <w:bookmarkStart w:id="110" w:name="_Toc128508984"/>
      <w:r/>
      <w:bookmarkStart w:id="111" w:name="_Toc129876284"/>
      <w:r>
        <w:rPr>
          <w:rFonts w:hint="eastAsia" w:ascii="宋体" w:hAnsi="宋体"/>
          <w:sz w:val="24"/>
          <w:szCs w:val="24"/>
        </w:rPr>
        <w:t xml:space="preserve">6.</w:t>
      </w:r>
      <w:bookmarkStart w:id="112" w:name="_Toc460850155"/>
      <w:r>
        <w:rPr>
          <w:rFonts w:hint="eastAsia"/>
        </w:rPr>
        <w:t xml:space="preserve"> </w:t>
      </w:r>
      <w:r>
        <w:rPr>
          <w:rFonts w:hint="eastAsia" w:ascii="宋体" w:hAnsi="宋体"/>
          <w:sz w:val="24"/>
          <w:szCs w:val="24"/>
        </w:rPr>
        <w:t xml:space="preserve">商务响应偏离表</w:t>
      </w:r>
      <w:bookmarkEnd w:id="85"/>
      <w:r/>
      <w:bookmarkEnd w:id="86"/>
      <w:r/>
      <w:bookmarkEnd w:id="87"/>
      <w:r/>
      <w:bookmarkEnd w:id="88"/>
      <w:r/>
      <w:bookmarkEnd w:id="89"/>
      <w:r/>
      <w:bookmarkEnd w:id="90"/>
      <w:r/>
      <w:bookmarkEnd w:id="91"/>
      <w:r/>
      <w:bookmarkEnd w:id="92"/>
      <w:r/>
      <w:bookmarkEnd w:id="93"/>
      <w:r/>
      <w:bookmarkEnd w:id="94"/>
      <w:r/>
      <w:bookmarkEnd w:id="95"/>
      <w:r/>
      <w:bookmarkEnd w:id="110"/>
      <w:r/>
      <w:bookmarkEnd w:id="111"/>
      <w:r/>
      <w:bookmarkEnd w:id="112"/>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13" w:name="OLE_LINK33"/>
      <w:r>
        <w:rPr>
          <w:rFonts w:ascii="宋体" w:hAnsi="宋体"/>
          <w:b/>
          <w:bCs/>
          <w:sz w:val="24"/>
          <w:szCs w:val="24"/>
        </w:rPr>
        <w:t xml:space="preserve">投标人全称（</w:t>
      </w:r>
      <w:r>
        <w:rPr>
          <w:rFonts w:hint="eastAsia" w:ascii="宋体"/>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13"/>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pStyle w:val="691"/>
        <w:jc w:val="left"/>
        <w:rPr>
          <w:rFonts w:hint="eastAsia" w:ascii="宋体" w:hAnsi="宋体"/>
          <w:sz w:val="24"/>
          <w:szCs w:val="24"/>
        </w:rPr>
      </w:pPr>
      <w:r/>
      <w:bookmarkStart w:id="114" w:name="_Toc101280178"/>
      <w:r/>
      <w:bookmarkStart w:id="115" w:name="_Toc129876285"/>
      <w:r/>
      <w:bookmarkStart w:id="116" w:name="_Toc128508985"/>
      <w:r/>
      <w:bookmarkStart w:id="117" w:name="_Toc101280231"/>
      <w:r/>
      <w:bookmarkStart w:id="118" w:name="_Toc101862118"/>
      <w:r/>
      <w:bookmarkStart w:id="119" w:name="_Toc101797552"/>
      <w:r/>
      <w:bookmarkStart w:id="120" w:name="OLE_LINK30"/>
      <w:r>
        <w:rPr>
          <w:rFonts w:hint="eastAsia" w:ascii="宋体" w:hAnsi="宋体"/>
          <w:sz w:val="24"/>
          <w:szCs w:val="24"/>
        </w:rPr>
        <w:t xml:space="preserve">7.</w:t>
      </w:r>
      <w:bookmarkEnd w:id="96"/>
      <w:r/>
      <w:bookmarkEnd w:id="97"/>
      <w:r/>
      <w:bookmarkEnd w:id="98"/>
      <w:r/>
      <w:bookmarkEnd w:id="99"/>
      <w:r/>
      <w:bookmarkEnd w:id="100"/>
      <w:r/>
      <w:bookmarkEnd w:id="101"/>
      <w:r/>
      <w:bookmarkEnd w:id="102"/>
      <w:r>
        <w:rPr>
          <w:rFonts w:hint="eastAsia"/>
          <w:sz w:val="24"/>
          <w:szCs w:val="24"/>
        </w:rPr>
        <w:t xml:space="preserve"> </w:t>
      </w:r>
      <w:bookmarkEnd w:id="114"/>
      <w:r/>
      <w:bookmarkEnd w:id="115"/>
      <w:r/>
      <w:bookmarkEnd w:id="116"/>
      <w:r/>
      <w:bookmarkEnd w:id="117"/>
      <w:r/>
      <w:bookmarkEnd w:id="118"/>
      <w:r/>
      <w:bookmarkEnd w:id="119"/>
      <w:r>
        <w:rPr>
          <w:rFonts w:hint="eastAsia" w:ascii="宋体" w:hAnsi="宋体"/>
          <w:sz w:val="24"/>
          <w:szCs w:val="24"/>
        </w:rPr>
        <w:t xml:space="preserve">技术方案</w:t>
      </w:r>
      <w:bookmarkEnd w:id="120"/>
      <w:r/>
    </w:p>
    <w:p>
      <w:pPr>
        <w:ind w:firstLine="5100"/>
        <w:rPr>
          <w:rFonts w:hint="eastAsia" w:ascii="宋体" w:hAnsi="宋体"/>
          <w:sz w:val="24"/>
          <w:szCs w:val="24"/>
        </w:rPr>
      </w:pPr>
      <w:r>
        <w:rPr>
          <w:rFonts w:hint="eastAsia" w:ascii="宋体" w:hAnsi="宋体"/>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691"/>
        <w:jc w:val="left"/>
        <w:spacing w:before="0" w:line="415" w:lineRule="auto"/>
        <w:rPr>
          <w:sz w:val="24"/>
          <w:szCs w:val="24"/>
        </w:rPr>
      </w:pPr>
      <w:r/>
      <w:bookmarkStart w:id="121" w:name="_Toc69395108"/>
      <w:r/>
      <w:bookmarkStart w:id="122" w:name="_Toc504506078"/>
      <w:r/>
      <w:bookmarkStart w:id="123" w:name="_Toc101206012"/>
      <w:r/>
      <w:bookmarkStart w:id="124" w:name="_Toc437438934"/>
      <w:r/>
      <w:bookmarkStart w:id="125" w:name="_Toc397549032"/>
      <w:r/>
      <w:bookmarkStart w:id="126" w:name="_Toc85454843"/>
      <w:r/>
      <w:bookmarkStart w:id="127" w:name="_Toc9881478"/>
      <w:r/>
      <w:bookmarkStart w:id="128" w:name="_Toc536528804"/>
      <w:r/>
      <w:bookmarkStart w:id="129" w:name="_Toc100764170"/>
      <w:r/>
      <w:bookmarkStart w:id="130" w:name="_Toc128508986"/>
      <w:r/>
      <w:bookmarkStart w:id="131" w:name="_Toc101280232"/>
      <w:r/>
      <w:bookmarkStart w:id="132" w:name="_Toc101862119"/>
      <w:r/>
      <w:bookmarkStart w:id="133" w:name="_Toc129876286"/>
      <w:r/>
      <w:bookmarkStart w:id="134" w:name="_Toc101797553"/>
      <w:r/>
      <w:bookmarkStart w:id="135" w:name="_Toc101280179"/>
      <w:r/>
      <w:bookmarkStart w:id="136" w:name="_Toc78882152"/>
      <w:r/>
      <w:bookmarkStart w:id="137" w:name="_Toc76893601"/>
      <w:r/>
      <w:bookmarkStart w:id="138" w:name="_Toc6167775"/>
      <w:r>
        <w:rPr>
          <w:rFonts w:hint="eastAsia" w:ascii="宋体" w:hAnsi="宋体"/>
          <w:sz w:val="24"/>
          <w:szCs w:val="24"/>
        </w:rPr>
        <w:t xml:space="preserve">8.</w:t>
      </w:r>
      <w:bookmarkEnd w:id="121"/>
      <w:r/>
      <w:bookmarkEnd w:id="122"/>
      <w:r/>
      <w:bookmarkEnd w:id="123"/>
      <w:r/>
      <w:bookmarkEnd w:id="124"/>
      <w:r/>
      <w:bookmarkEnd w:id="125"/>
      <w:r/>
      <w:bookmarkEnd w:id="126"/>
      <w:r/>
      <w:bookmarkEnd w:id="127"/>
      <w:r/>
      <w:bookmarkEnd w:id="128"/>
      <w:r/>
      <w:bookmarkEnd w:id="129"/>
      <w:r>
        <w:rPr>
          <w:rFonts w:hint="eastAsia" w:ascii="宋体" w:hAnsi="宋体"/>
          <w:sz w:val="24"/>
          <w:szCs w:val="24"/>
        </w:rPr>
        <w:t xml:space="preserve">项目团队一览表</w:t>
      </w:r>
      <w:bookmarkEnd w:id="130"/>
      <w:r/>
      <w:bookmarkEnd w:id="131"/>
      <w:r/>
      <w:bookmarkEnd w:id="132"/>
      <w:r/>
      <w:bookmarkEnd w:id="133"/>
      <w:r/>
      <w:bookmarkEnd w:id="134"/>
      <w:r/>
      <w:bookmarkEnd w:id="135"/>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证书</w:t>
            </w:r>
            <w:r/>
          </w:p>
        </w:tc>
        <w:tc>
          <w:tcPr>
            <w:tcW w:w="198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工作经验</w:t>
            </w:r>
            <w:r/>
          </w:p>
        </w:tc>
        <w:tc>
          <w:tcPr>
            <w:tcW w:w="157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spacing w:before="4" w:line="0" w:lineRule="atLeast"/>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94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98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75"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94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48"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98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75"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94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48"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98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75"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94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48"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984"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75"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bl>
    <w:p>
      <w:pPr>
        <w:rPr>
          <w:b/>
          <w:bCs/>
          <w:sz w:val="24"/>
          <w:szCs w:val="24"/>
        </w:rPr>
      </w:pPr>
      <w:r>
        <w:rPr>
          <w:b/>
          <w:bCs/>
          <w:sz w:val="24"/>
          <w:szCs w:val="24"/>
        </w:rPr>
        <w:t xml:space="preserve">            </w:t>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sz w:val="24"/>
          <w:szCs w:val="24"/>
        </w:rPr>
      </w:pPr>
      <w:r>
        <w:rPr>
          <w:rFonts w:hint="eastAsia" w:ascii="宋体" w:hAnsi="宋体"/>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sz w:val="24"/>
          <w:szCs w:val="24"/>
        </w:rPr>
        <w:t xml:space="preserve">。</w:t>
      </w:r>
      <w:bookmarkEnd w:id="136"/>
      <w:bookmarkEnd w:id="137"/>
      <w:bookmarkEnd w:id="138"/>
      <w:r/>
    </w:p>
    <w:p>
      <w:pPr>
        <w:ind w:right="422"/>
        <w:jc w:val="left"/>
        <w:rPr>
          <w:rFonts w:hint="eastAsia" w:ascii="宋体" w:hAnsi="宋体"/>
          <w:b/>
          <w:bCs/>
          <w:szCs w:val="21"/>
        </w:rPr>
      </w:pPr>
      <w:r>
        <w:rPr>
          <w:rFonts w:hint="eastAsia" w:ascii="宋体" w:hAnsi="宋体"/>
          <w:b/>
          <w:bCs/>
          <w:szCs w:val="21"/>
        </w:rPr>
      </w:r>
      <w:r/>
    </w:p>
    <w:p>
      <w:pPr>
        <w:pStyle w:val="691"/>
        <w:jc w:val="left"/>
        <w:spacing w:line="240" w:lineRule="auto"/>
        <w:rPr>
          <w:rFonts w:hint="eastAsia" w:ascii="宋体" w:hAnsi="宋体"/>
          <w:sz w:val="24"/>
          <w:szCs w:val="24"/>
        </w:rPr>
      </w:pPr>
      <w:r/>
      <w:bookmarkStart w:id="139" w:name="_Toc129876289"/>
      <w:r>
        <w:rPr>
          <w:rFonts w:hint="eastAsia" w:ascii="宋体" w:hAnsi="宋体"/>
          <w:sz w:val="24"/>
          <w:szCs w:val="24"/>
        </w:rPr>
        <w:t xml:space="preserve">9</w:t>
      </w:r>
      <w:r>
        <w:rPr>
          <w:rFonts w:ascii="宋体" w:hAnsi="宋体"/>
          <w:sz w:val="24"/>
          <w:szCs w:val="24"/>
        </w:rPr>
        <w:t xml:space="preserve">.</w:t>
      </w:r>
      <w:bookmarkStart w:id="140" w:name="_Toc78882153"/>
      <w:r/>
      <w:bookmarkStart w:id="141" w:name="_Toc76893602"/>
      <w:r/>
      <w:bookmarkStart w:id="142" w:name="_Toc128508989"/>
      <w:r>
        <w:rPr>
          <w:rFonts w:hint="eastAsia" w:ascii="宋体" w:hAnsi="宋体"/>
          <w:sz w:val="24"/>
          <w:szCs w:val="24"/>
        </w:rPr>
        <w:t xml:space="preserve">业绩</w:t>
      </w:r>
      <w:bookmarkEnd w:id="139"/>
      <w:r/>
      <w:bookmarkEnd w:id="140"/>
      <w:r/>
      <w:bookmarkEnd w:id="141"/>
      <w:r/>
      <w:bookmarkEnd w:id="142"/>
      <w:r/>
      <w:r/>
    </w:p>
    <w:tbl>
      <w:tblPr>
        <w:tblW w:w="91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134"/>
        <w:gridCol w:w="2552"/>
        <w:gridCol w:w="1701"/>
        <w:gridCol w:w="1417"/>
        <w:gridCol w:w="1496"/>
      </w:tblGrid>
      <w:tr>
        <w:trPr>
          <w:trHeight w:val="41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49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sz w:val="24"/>
          <w:szCs w:val="24"/>
        </w:rPr>
      </w:pPr>
      <w:r>
        <w:rPr>
          <w:rFonts w:hint="eastAsia" w:ascii="宋体" w:hAnsi="宋体"/>
          <w:b/>
          <w:bCs/>
          <w:sz w:val="24"/>
          <w:szCs w:val="24"/>
        </w:rPr>
        <w:t xml:space="preserve">（2）按评分办法要求提供相关证明材料附后</w:t>
      </w:r>
      <w:r>
        <w:rPr>
          <w:rFonts w:hint="eastAsia" w:ascii="宋体" w:hAnsi="宋体"/>
          <w:b/>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691"/>
        <w:jc w:val="left"/>
        <w:spacing w:line="240" w:lineRule="auto"/>
        <w:rPr>
          <w:sz w:val="24"/>
          <w:szCs w:val="24"/>
        </w:rPr>
      </w:pPr>
      <w:r/>
      <w:bookmarkStart w:id="143" w:name="_Toc128419298"/>
      <w:r/>
      <w:bookmarkStart w:id="144" w:name="_Toc129876290"/>
      <w:r/>
      <w:bookmarkStart w:id="145" w:name="_Toc128508990"/>
      <w:r>
        <w:rPr>
          <w:rFonts w:hint="eastAsia" w:ascii="宋体" w:hAnsi="宋体"/>
          <w:sz w:val="24"/>
          <w:szCs w:val="24"/>
        </w:rPr>
        <w:t xml:space="preserve">10</w:t>
      </w:r>
      <w:r>
        <w:rPr>
          <w:rFonts w:ascii="宋体" w:hAnsi="宋体"/>
          <w:sz w:val="24"/>
          <w:szCs w:val="24"/>
        </w:rPr>
        <w:t xml:space="preserve">.</w:t>
      </w:r>
      <w:bookmarkEnd w:id="143"/>
      <w:r>
        <w:rPr>
          <w:rFonts w:hint="eastAsia" w:ascii="宋体" w:hAnsi="宋体"/>
          <w:sz w:val="24"/>
          <w:szCs w:val="24"/>
        </w:rPr>
        <w:t xml:space="preserve">供应商能力</w:t>
      </w:r>
      <w:r/>
    </w:p>
    <w:tbl>
      <w:tblPr>
        <w:tblW w:w="927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987"/>
        <w:gridCol w:w="3680"/>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36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691"/>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44"/>
      <w:r/>
      <w:bookmarkEnd w:id="145"/>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w:t>
      </w:r>
      <w:bookmarkStart w:id="146" w:name="OLE_LINK76"/>
      <w:r>
        <w:rPr>
          <w:rFonts w:hint="eastAsia"/>
          <w:b/>
          <w:sz w:val="32"/>
          <w:szCs w:val="32"/>
        </w:rPr>
        <w:t xml:space="preserve">未提供或未按要求提供将不能通过符合性审查。</w:t>
      </w:r>
      <w:bookmarkEnd w:id="146"/>
      <w:r>
        <w:rPr>
          <w:rFonts w:ascii="宋体" w:hAnsi="宋体"/>
          <w:szCs w:val="21"/>
        </w:rPr>
        <w:br w:type="page" w:clear="all"/>
      </w:r>
      <w:r/>
    </w:p>
    <w:p>
      <w:pPr>
        <w:pStyle w:val="690"/>
        <w:spacing w:line="240" w:lineRule="auto"/>
        <w:rPr>
          <w:rFonts w:hint="eastAsia" w:ascii="宋体" w:hAnsi="宋体"/>
          <w:sz w:val="28"/>
          <w:szCs w:val="28"/>
        </w:rPr>
      </w:pPr>
      <w:r/>
      <w:bookmarkStart w:id="147" w:name="_Toc128508991"/>
      <w:r/>
      <w:bookmarkStart w:id="148" w:name="_Toc129876291"/>
      <w:r/>
      <w:bookmarkStart w:id="149" w:name="_Toc76893604"/>
      <w:r>
        <w:rPr>
          <w:rFonts w:hint="eastAsia" w:ascii="宋体" w:hAnsi="宋体"/>
          <w:sz w:val="28"/>
          <w:szCs w:val="28"/>
        </w:rPr>
        <w:t xml:space="preserve">二、资格证明文件</w:t>
      </w:r>
      <w:bookmarkEnd w:id="103"/>
      <w:r/>
      <w:bookmarkEnd w:id="104"/>
      <w:r/>
      <w:bookmarkEnd w:id="147"/>
      <w:r/>
      <w:bookmarkEnd w:id="148"/>
      <w:r/>
      <w:bookmarkEnd w:id="149"/>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法人或者其他组织的营业执照等证明文件，自然人的身份证明</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11</w:t>
            </w:r>
            <w:r>
              <w:rPr>
                <w:rFonts w:hint="eastAsia"/>
                <w:sz w:val="24"/>
                <w:szCs w:val="24"/>
              </w:rPr>
              <w:t xml:space="preserve">月至今）任一月份的财务报表复印件（法人或者其他组织成立未满三个月的可以不提供）；</w:t>
            </w:r>
            <w:r>
              <w:rPr>
                <w:rFonts w:ascii="宋体" w:hAnsi="宋体"/>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w:t>
            </w:r>
            <w:r>
              <w:rPr>
                <w:rFonts w:hint="eastAsia" w:ascii="宋体" w:hAnsi="宋体"/>
                <w:sz w:val="24"/>
                <w:szCs w:val="24"/>
              </w:rPr>
              <w:t xml:space="preserve">11</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50" w:name="_Toc449539293"/>
      <w:r/>
      <w:bookmarkStart w:id="151"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690"/>
        <w:spacing w:line="240" w:lineRule="auto"/>
        <w:rPr>
          <w:rFonts w:hint="eastAsia" w:ascii="宋体" w:hAnsi="宋体"/>
          <w:sz w:val="28"/>
          <w:szCs w:val="28"/>
        </w:rPr>
      </w:pPr>
      <w:r/>
      <w:bookmarkStart w:id="152" w:name="_Toc129876292"/>
      <w:r/>
      <w:bookmarkStart w:id="153" w:name="_Toc128508992"/>
      <w:r/>
      <w:bookmarkStart w:id="154" w:name="_Toc76893605"/>
      <w:r>
        <w:rPr>
          <w:rFonts w:hint="eastAsia" w:ascii="宋体" w:hAnsi="宋体"/>
          <w:sz w:val="28"/>
          <w:szCs w:val="28"/>
        </w:rPr>
        <w:t xml:space="preserve">三、相关附表格式</w:t>
      </w:r>
      <w:bookmarkEnd w:id="150"/>
      <w:r/>
      <w:bookmarkEnd w:id="151"/>
      <w:r/>
      <w:bookmarkEnd w:id="152"/>
      <w:r/>
      <w:bookmarkEnd w:id="153"/>
      <w:r/>
      <w:bookmarkEnd w:id="154"/>
      <w:r>
        <w:rPr>
          <w:rFonts w:ascii="宋体" w:hAnsi="宋体"/>
          <w:sz w:val="28"/>
          <w:szCs w:val="28"/>
        </w:rPr>
        <w:br/>
      </w:r>
      <w:r/>
    </w:p>
    <w:p>
      <w:pPr>
        <w:pStyle w:val="691"/>
        <w:jc w:val="left"/>
        <w:rPr>
          <w:rFonts w:hint="eastAsia" w:ascii="宋体" w:hAnsi="宋体"/>
          <w:sz w:val="24"/>
          <w:szCs w:val="24"/>
        </w:rPr>
      </w:pPr>
      <w:r/>
      <w:bookmarkStart w:id="155" w:name="_Toc129876293"/>
      <w:r/>
      <w:bookmarkStart w:id="156" w:name="_Toc128508993"/>
      <w:r/>
      <w:bookmarkStart w:id="157" w:name="_Toc128419303"/>
      <w:r/>
      <w:bookmarkStart w:id="158" w:name="_Toc128126367"/>
      <w:r/>
      <w:bookmarkStart w:id="159" w:name="_Toc101206016"/>
      <w:r/>
      <w:bookmarkStart w:id="160" w:name="_Toc69395114"/>
      <w:r/>
      <w:bookmarkStart w:id="161" w:name="_Toc85454848"/>
      <w:r/>
      <w:bookmarkStart w:id="162" w:name="_Toc81210621"/>
      <w:r/>
      <w:bookmarkStart w:id="163" w:name="_Toc100764174"/>
      <w:r/>
      <w:bookmarkStart w:id="164" w:name="_Toc101872358"/>
      <w:r/>
      <w:bookmarkStart w:id="165" w:name="_Toc102746690"/>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bookmarkEnd w:id="155"/>
      <w:r/>
      <w:bookmarkEnd w:id="156"/>
      <w:r/>
      <w:bookmarkEnd w:id="157"/>
      <w:r/>
      <w:bookmarkEnd w:id="158"/>
      <w:r>
        <w:rPr>
          <w:rFonts w:ascii="宋体" w:hAnsi="宋体"/>
          <w:sz w:val="24"/>
          <w:szCs w:val="24"/>
        </w:rPr>
        <w:t xml:space="preserve">法人或者其他组织的营业执照等证明文件，自然人的身份证明</w:t>
      </w:r>
      <w:r/>
    </w:p>
    <w:p>
      <w:pPr>
        <w:ind w:firstLine="480"/>
        <w:jc w:val="left"/>
        <w:widowControl/>
        <w:rPr>
          <w:sz w:val="24"/>
          <w:szCs w:val="24"/>
        </w:rPr>
      </w:pPr>
      <w:r>
        <w:rPr>
          <w:rFonts w:hint="eastAsia"/>
          <w:sz w:val="24"/>
          <w:szCs w:val="24"/>
        </w:rPr>
        <w:t xml:space="preserve">提供证明文件复印件</w:t>
      </w:r>
      <w:bookmarkEnd w:id="159"/>
      <w:r/>
      <w:bookmarkEnd w:id="160"/>
      <w:r/>
      <w:bookmarkEnd w:id="161"/>
      <w:r/>
      <w:bookmarkEnd w:id="162"/>
      <w:r/>
      <w:bookmarkEnd w:id="163"/>
      <w:r/>
      <w:bookmarkEnd w:id="164"/>
      <w:r/>
      <w:bookmarkEnd w:id="165"/>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691"/>
        <w:jc w:val="left"/>
        <w:rPr>
          <w:rFonts w:hint="eastAsia" w:ascii="宋体" w:hAnsi="宋体"/>
          <w:sz w:val="24"/>
          <w:szCs w:val="24"/>
        </w:rPr>
      </w:pPr>
      <w:r/>
      <w:bookmarkStart w:id="166" w:name="_Toc129876294"/>
      <w:r/>
      <w:bookmarkStart w:id="167" w:name="_Toc1285089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66"/>
      <w:r/>
      <w:bookmarkEnd w:id="167"/>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11</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691"/>
        <w:jc w:val="left"/>
        <w:rPr>
          <w:rFonts w:hint="eastAsia" w:ascii="宋体" w:hAnsi="宋体"/>
          <w:sz w:val="24"/>
          <w:szCs w:val="24"/>
        </w:rPr>
      </w:pPr>
      <w:r/>
      <w:bookmarkStart w:id="168" w:name="_Toc101797558"/>
      <w:r/>
      <w:bookmarkStart w:id="169" w:name="_Toc101280237"/>
      <w:r/>
      <w:bookmarkStart w:id="170" w:name="_Toc101862124"/>
      <w:r/>
      <w:bookmarkStart w:id="171" w:name="_Toc101206019"/>
      <w:r/>
      <w:bookmarkStart w:id="172" w:name="_Toc100764175"/>
      <w:r/>
      <w:bookmarkStart w:id="173" w:name="_Toc128508996"/>
      <w:r/>
      <w:bookmarkStart w:id="174" w:name="_Toc129876296"/>
      <w:r/>
      <w:bookmarkStart w:id="175" w:name="_Toc101280184"/>
      <w:r/>
      <w:bookmarkStart w:id="176" w:name="_Toc29244197"/>
      <w:r/>
      <w:bookmarkEnd w:id="43"/>
      <w:r/>
      <w:bookmarkEnd w:id="44"/>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11</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691"/>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68"/>
      <w:r/>
      <w:bookmarkEnd w:id="169"/>
      <w:r/>
      <w:bookmarkEnd w:id="170"/>
      <w:r/>
      <w:bookmarkEnd w:id="171"/>
      <w:r/>
      <w:bookmarkEnd w:id="172"/>
      <w:r/>
      <w:bookmarkEnd w:id="173"/>
      <w:r/>
      <w:bookmarkEnd w:id="174"/>
      <w:r/>
      <w:bookmarkEnd w:id="175"/>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691"/>
        <w:jc w:val="left"/>
        <w:spacing w:line="240" w:lineRule="auto"/>
        <w:rPr>
          <w:rFonts w:hint="eastAsia" w:ascii="宋体" w:hAnsi="宋体"/>
          <w:sz w:val="24"/>
          <w:szCs w:val="24"/>
        </w:rPr>
      </w:pPr>
      <w:r/>
      <w:bookmarkStart w:id="177" w:name="_Toc101280185"/>
      <w:r/>
      <w:bookmarkStart w:id="178" w:name="_Toc101862125"/>
      <w:r/>
      <w:bookmarkStart w:id="179" w:name="_Toc27654219"/>
      <w:r/>
      <w:bookmarkStart w:id="180" w:name="_Toc101280238"/>
      <w:r/>
      <w:bookmarkStart w:id="181" w:name="_Toc101797559"/>
      <w:r/>
      <w:bookmarkStart w:id="182" w:name="_Toc76893608"/>
      <w:r/>
      <w:bookmarkStart w:id="183" w:name="_Toc129876297"/>
      <w:r/>
      <w:bookmarkStart w:id="184" w:name="_Toc128508997"/>
      <w:r/>
      <w:bookmarkStart w:id="185" w:name="_Toc78882159"/>
      <w:r/>
      <w:bookmarkEnd w:id="176"/>
      <w:r>
        <w:rPr>
          <w:rFonts w:ascii="宋体" w:hAnsi="宋体"/>
          <w:sz w:val="22"/>
          <w:szCs w:val="22"/>
        </w:rPr>
        <w:t xml:space="preserve">5</w:t>
      </w:r>
      <w:r>
        <w:rPr>
          <w:rFonts w:hint="eastAsia" w:ascii="宋体" w:hAnsi="宋体"/>
          <w:sz w:val="24"/>
          <w:szCs w:val="24"/>
        </w:rPr>
        <w:t xml:space="preserve">.声明</w:t>
      </w:r>
      <w:bookmarkEnd w:id="177"/>
      <w:r/>
      <w:bookmarkEnd w:id="178"/>
      <w:r/>
      <w:bookmarkEnd w:id="179"/>
      <w:r/>
      <w:bookmarkEnd w:id="180"/>
      <w:r/>
      <w:bookmarkEnd w:id="181"/>
      <w:r/>
      <w:bookmarkEnd w:id="182"/>
      <w:r/>
      <w:bookmarkEnd w:id="183"/>
      <w:r/>
      <w:bookmarkEnd w:id="184"/>
      <w:r/>
      <w:bookmarkEnd w:id="185"/>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86" w:name="_Toc509751133"/>
      <w:r/>
      <w:bookmarkStart w:id="187" w:name="_Toc27654220"/>
      <w:r/>
      <w:bookmarkStart w:id="188"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691"/>
        <w:jc w:val="left"/>
        <w:spacing w:line="240" w:lineRule="auto"/>
        <w:rPr>
          <w:rFonts w:hint="eastAsia" w:ascii="宋体" w:hAnsi="宋体"/>
          <w:sz w:val="24"/>
          <w:szCs w:val="24"/>
        </w:rPr>
      </w:pPr>
      <w:r/>
      <w:bookmarkStart w:id="189" w:name="_Toc128508998"/>
      <w:r/>
      <w:bookmarkStart w:id="190" w:name="_Toc101280186"/>
      <w:r/>
      <w:bookmarkStart w:id="191" w:name="_Toc101797560"/>
      <w:r/>
      <w:bookmarkStart w:id="192" w:name="_Toc101280239"/>
      <w:r/>
      <w:bookmarkStart w:id="193" w:name="_Toc76893611"/>
      <w:r/>
      <w:bookmarkStart w:id="194" w:name="_Toc101862126"/>
      <w:r/>
      <w:bookmarkStart w:id="195" w:name="_Toc78882162"/>
      <w:r/>
      <w:bookmarkStart w:id="196" w:name="_Toc129876298"/>
      <w:r>
        <w:rPr>
          <w:rFonts w:ascii="宋体" w:hAnsi="宋体"/>
          <w:sz w:val="24"/>
          <w:szCs w:val="24"/>
        </w:rPr>
        <w:t xml:space="preserve">6.</w:t>
      </w:r>
      <w:r>
        <w:rPr>
          <w:rFonts w:hint="eastAsia" w:ascii="宋体" w:hAnsi="宋体"/>
          <w:sz w:val="24"/>
          <w:szCs w:val="24"/>
        </w:rPr>
        <w:t xml:space="preserve">中小企业声明函</w:t>
      </w:r>
      <w:bookmarkEnd w:id="186"/>
      <w:r/>
      <w:bookmarkEnd w:id="187"/>
      <w:r/>
      <w:bookmarkEnd w:id="188"/>
      <w:r/>
      <w:bookmarkEnd w:id="189"/>
      <w:r/>
      <w:bookmarkEnd w:id="190"/>
      <w:r/>
      <w:bookmarkEnd w:id="191"/>
      <w:r/>
      <w:bookmarkEnd w:id="192"/>
      <w:r/>
      <w:bookmarkEnd w:id="193"/>
      <w:r/>
      <w:bookmarkEnd w:id="194"/>
      <w:r/>
      <w:bookmarkEnd w:id="195"/>
      <w:r/>
      <w:bookmarkEnd w:id="196"/>
      <w:r/>
      <w:r/>
    </w:p>
    <w:p>
      <w:pPr>
        <w:pStyle w:val="785"/>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785"/>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JSZC-320000-JSSJ-G2026-0011</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太湖流域水环境综合治理资金项目管理</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85"/>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太湖流域水环境综合治理资金项目管理</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785"/>
        <w:ind w:firstLine="480"/>
        <w:rPr>
          <w:rFonts w:hint="eastAsia" w:ascii="宋体" w:hAnsi="宋体" w:eastAsia="宋体"/>
          <w:sz w:val="24"/>
          <w:szCs w:val="24"/>
        </w:rPr>
      </w:pPr>
      <w:r>
        <w:rPr>
          <w:rFonts w:ascii="宋体" w:hAnsi="宋体" w:eastAsia="宋体"/>
          <w:sz w:val="24"/>
          <w:szCs w:val="24"/>
        </w:rPr>
        <w:t xml:space="preserve">…… </w:t>
      </w:r>
      <w:r/>
    </w:p>
    <w:p>
      <w:pPr>
        <w:pStyle w:val="785"/>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785"/>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785"/>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785"/>
        <w:ind w:firstLine="4800"/>
        <w:rPr>
          <w:rFonts w:hint="eastAsia" w:ascii="宋体" w:hAnsi="宋体" w:eastAsia="宋体"/>
          <w:sz w:val="24"/>
          <w:szCs w:val="24"/>
        </w:rPr>
      </w:pPr>
      <w:r>
        <w:rPr>
          <w:rFonts w:ascii="宋体" w:hAnsi="宋体" w:eastAsia="宋体"/>
          <w:sz w:val="24"/>
          <w:szCs w:val="24"/>
        </w:rPr>
        <w:t xml:space="preserve">日 期：</w:t>
      </w:r>
      <w:r/>
    </w:p>
    <w:p>
      <w:pPr>
        <w:pStyle w:val="785"/>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691"/>
        <w:jc w:val="left"/>
        <w:spacing w:line="240" w:lineRule="auto"/>
        <w:rPr>
          <w:rFonts w:hint="eastAsia" w:ascii="宋体" w:hAnsi="宋体"/>
          <w:sz w:val="24"/>
          <w:szCs w:val="24"/>
        </w:rPr>
      </w:pPr>
      <w:r/>
      <w:bookmarkStart w:id="197" w:name="_Toc29244199"/>
      <w:r/>
      <w:bookmarkStart w:id="198" w:name="_Toc101280187"/>
      <w:r/>
      <w:bookmarkStart w:id="199" w:name="_Toc128508999"/>
      <w:r/>
      <w:bookmarkStart w:id="200" w:name="_Toc101280240"/>
      <w:r/>
      <w:bookmarkStart w:id="201" w:name="_Toc101862127"/>
      <w:r/>
      <w:bookmarkStart w:id="202" w:name="_Toc76893612"/>
      <w:r/>
      <w:bookmarkStart w:id="203" w:name="_Toc28902621"/>
      <w:r/>
      <w:bookmarkStart w:id="204" w:name="_Toc129876299"/>
      <w:r/>
      <w:bookmarkStart w:id="205" w:name="_Toc78882163"/>
      <w:r/>
      <w:bookmarkStart w:id="206" w:name="_Toc101797561"/>
      <w:r/>
      <w:bookmarkStart w:id="207" w:name="OLE_LINK14"/>
      <w:r/>
      <w:bookmarkStart w:id="208" w:name="OLE_LINK13"/>
      <w:r>
        <w:rPr>
          <w:rFonts w:ascii="宋体" w:hAnsi="宋体"/>
          <w:sz w:val="24"/>
          <w:szCs w:val="24"/>
        </w:rPr>
        <w:t xml:space="preserve">7.</w:t>
      </w:r>
      <w:bookmarkStart w:id="209" w:name="_Hlk28902389"/>
      <w:r>
        <w:rPr>
          <w:rFonts w:hint="eastAsia" w:ascii="宋体" w:hAnsi="宋体"/>
          <w:sz w:val="24"/>
          <w:szCs w:val="24"/>
        </w:rPr>
        <w:t xml:space="preserve">残疾人福利性单位声明函</w:t>
      </w:r>
      <w:bookmarkEnd w:id="197"/>
      <w:r/>
      <w:bookmarkEnd w:id="198"/>
      <w:r/>
      <w:bookmarkEnd w:id="199"/>
      <w:r/>
      <w:bookmarkEnd w:id="200"/>
      <w:r/>
      <w:bookmarkEnd w:id="201"/>
      <w:r/>
      <w:bookmarkEnd w:id="202"/>
      <w:r/>
      <w:bookmarkEnd w:id="203"/>
      <w:r/>
      <w:bookmarkEnd w:id="204"/>
      <w:r/>
      <w:bookmarkEnd w:id="205"/>
      <w:r/>
      <w:bookmarkEnd w:id="206"/>
      <w:r/>
      <w:bookmarkEnd w:id="209"/>
      <w:r/>
      <w:bookmarkEnd w:id="207"/>
      <w:bookmarkEnd w:id="208"/>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JSZC-320000-JSSJ-G2026-0011</w:t>
      </w:r>
      <w:r>
        <w:rPr>
          <w:rFonts w:hint="eastAsia" w:ascii="宋体" w:hAnsi="宋体"/>
          <w:sz w:val="24"/>
          <w:szCs w:val="24"/>
          <w:u w:val="single"/>
        </w:rPr>
        <w:t xml:space="preserve">太湖流域水环境综合治理资金项目管理项目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691"/>
        <w:jc w:val="left"/>
        <w:spacing w:line="240" w:lineRule="auto"/>
        <w:rPr>
          <w:rFonts w:hint="eastAsia" w:ascii="宋体" w:hAnsi="宋体"/>
          <w:sz w:val="24"/>
          <w:szCs w:val="24"/>
        </w:rPr>
      </w:pPr>
      <w:r/>
      <w:bookmarkStart w:id="210" w:name="_Toc129876300"/>
      <w:r/>
      <w:bookmarkStart w:id="211" w:name="_Toc128509000"/>
      <w:r>
        <w:rPr>
          <w:rFonts w:ascii="宋体" w:hAnsi="宋体"/>
          <w:sz w:val="24"/>
          <w:szCs w:val="24"/>
        </w:rPr>
        <w:t xml:space="preserve">8</w:t>
      </w:r>
      <w:r>
        <w:rPr>
          <w:rFonts w:hint="eastAsia" w:ascii="宋体" w:hAnsi="宋体"/>
          <w:sz w:val="24"/>
          <w:szCs w:val="24"/>
        </w:rPr>
        <w:t xml:space="preserve">.</w:t>
      </w:r>
      <w:bookmarkStart w:id="212" w:name="OLE_LINK5"/>
      <w:r>
        <w:rPr>
          <w:rFonts w:hint="eastAsia" w:ascii="宋体" w:hAnsi="宋体"/>
          <w:sz w:val="24"/>
          <w:szCs w:val="24"/>
        </w:rPr>
        <w:t xml:space="preserve"> </w:t>
      </w:r>
      <w:bookmarkStart w:id="213" w:name="OLE_LINK3"/>
      <w:r>
        <w:rPr>
          <w:rFonts w:hint="eastAsia" w:ascii="宋体" w:hAnsi="宋体"/>
          <w:sz w:val="24"/>
          <w:szCs w:val="24"/>
        </w:rPr>
        <w:t xml:space="preserve">监狱和戒毒企业证明材料</w:t>
      </w:r>
      <w:bookmarkEnd w:id="210"/>
      <w:r/>
      <w:bookmarkEnd w:id="211"/>
      <w:r/>
      <w:r/>
    </w:p>
    <w:p>
      <w:pPr>
        <w:ind w:firstLine="960"/>
        <w:rPr>
          <w:sz w:val="24"/>
          <w:szCs w:val="24"/>
        </w:rPr>
      </w:pPr>
      <w:r>
        <w:rPr>
          <w:rFonts w:hint="eastAsia"/>
          <w:sz w:val="24"/>
          <w:szCs w:val="24"/>
        </w:rPr>
        <w:t xml:space="preserve">（提供证明材料）</w:t>
      </w:r>
      <w:bookmarkEnd w:id="212"/>
      <w:bookmarkEnd w:id="213"/>
      <w:r/>
    </w:p>
    <w:p>
      <w:pPr>
        <w:ind w:firstLine="960"/>
        <w:rPr>
          <w:sz w:val="24"/>
          <w:szCs w:val="24"/>
        </w:rPr>
      </w:pPr>
      <w:r>
        <w:rPr>
          <w:sz w:val="24"/>
          <w:szCs w:val="24"/>
        </w:rPr>
      </w:r>
      <w:r/>
    </w:p>
    <w:p>
      <w:pPr>
        <w:pStyle w:val="691"/>
        <w:jc w:val="left"/>
        <w:spacing w:line="240" w:lineRule="auto"/>
        <w:rPr>
          <w:rFonts w:hint="eastAsia" w:ascii="宋体" w:hAnsi="宋体"/>
          <w:sz w:val="24"/>
          <w:szCs w:val="24"/>
        </w:rPr>
      </w:pPr>
      <w:r/>
      <w:bookmarkStart w:id="214" w:name="_Toc129876301"/>
      <w:r/>
      <w:bookmarkStart w:id="215" w:name="_Toc128509001"/>
      <w:r>
        <w:rPr>
          <w:rFonts w:ascii="宋体" w:hAnsi="宋体"/>
          <w:sz w:val="24"/>
          <w:szCs w:val="24"/>
        </w:rPr>
        <w:t xml:space="preserve">9.</w:t>
      </w:r>
      <w:r>
        <w:rPr>
          <w:rFonts w:hint="eastAsia" w:ascii="宋体" w:hAnsi="宋体"/>
          <w:sz w:val="24"/>
          <w:szCs w:val="24"/>
        </w:rPr>
        <w:t xml:space="preserve">其他</w:t>
      </w:r>
      <w:bookmarkEnd w:id="214"/>
      <w:r/>
      <w:bookmarkEnd w:id="215"/>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707"/>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767"/>
      <w:isLgl w:val="false"/>
      <w:suff w:val="space"/>
      <w:lvlText w:val="%1."/>
      <w:lvlJc w:val="left"/>
      <w:pPr>
        <w:ind w:left="425" w:hanging="425"/>
      </w:pPr>
      <w:rPr>
        <w:rFonts w:hint="default" w:ascii="Times New Roman" w:hAnsi="Times New Roman" w:eastAsia="黑体"/>
      </w:rPr>
    </w:lvl>
    <w:lvl w:ilvl="1">
      <w:start w:val="1"/>
      <w:numFmt w:val="chineseCountingThousand"/>
      <w:pStyle w:val="776"/>
      <w:isLgl w:val="false"/>
      <w:suff w:val="space"/>
      <w:lvlText w:val="（%2）"/>
      <w:lvlJc w:val="left"/>
      <w:pPr>
        <w:ind w:left="567" w:hanging="567"/>
      </w:pPr>
      <w:rPr>
        <w:rFonts w:hint="default" w:ascii="Times New Roman" w:hAnsi="Times New Roman" w:eastAsia="黑体"/>
      </w:rPr>
    </w:lvl>
    <w:lvl w:ilvl="2">
      <w:start w:val="1"/>
      <w:numFmt w:val="decimal"/>
      <w:pStyle w:val="771"/>
      <w:isLgl w:val="false"/>
      <w:suff w:val="space"/>
      <w:lvlText w:val="%3."/>
      <w:lvlJc w:val="left"/>
      <w:pPr>
        <w:ind w:left="709" w:hanging="369"/>
      </w:pPr>
      <w:rPr>
        <w:rFonts w:hint="default" w:ascii="Times New Roman" w:hAnsi="Times New Roman" w:eastAsia="黑体"/>
      </w:rPr>
    </w:lvl>
    <w:lvl w:ilvl="3">
      <w:start w:val="1"/>
      <w:numFmt w:val="decimal"/>
      <w:pStyle w:val="770"/>
      <w:isLgl w:val="false"/>
      <w:suff w:val="space"/>
      <w:lvlText w:val="（%4）"/>
      <w:lvlJc w:val="left"/>
      <w:pPr>
        <w:ind w:left="851" w:hanging="567"/>
      </w:pPr>
      <w:rPr>
        <w:rFonts w:hint="default" w:ascii="Times New Roman" w:hAnsi="Times New Roman" w:eastAsia="黑体"/>
      </w:rPr>
    </w:lvl>
    <w:lvl w:ilvl="4">
      <w:start w:val="1"/>
      <w:numFmt w:val="lowerLetter"/>
      <w:pStyle w:val="773"/>
      <w:isLgl w:val="false"/>
      <w:suff w:val="space"/>
      <w:lvlText w:val="%5."/>
      <w:lvlJc w:val="left"/>
      <w:pPr>
        <w:ind w:left="992" w:hanging="425"/>
      </w:pPr>
      <w:rPr>
        <w:rFonts w:hint="default" w:ascii="Times New Roman" w:hAnsi="Times New Roman" w:eastAsia="黑体"/>
      </w:rPr>
    </w:lvl>
    <w:lvl w:ilvl="5">
      <w:start w:val="1"/>
      <w:numFmt w:val="lowerLetter"/>
      <w:pStyle w:val="774"/>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689"/>
    <w:uiPriority w:val="9"/>
    <w:rPr>
      <w:rFonts w:ascii="Arial" w:hAnsi="Arial" w:eastAsia="Arial" w:cs="Arial"/>
      <w:sz w:val="40"/>
      <w:szCs w:val="40"/>
    </w:rPr>
  </w:style>
  <w:style w:type="character" w:styleId="15">
    <w:name w:val="Heading 2 Char"/>
    <w:basedOn w:val="695"/>
    <w:link w:val="690"/>
    <w:uiPriority w:val="9"/>
    <w:rPr>
      <w:rFonts w:ascii="Arial" w:hAnsi="Arial" w:eastAsia="Arial" w:cs="Arial"/>
      <w:sz w:val="34"/>
    </w:rPr>
  </w:style>
  <w:style w:type="character" w:styleId="17">
    <w:name w:val="Heading 3 Char"/>
    <w:basedOn w:val="695"/>
    <w:link w:val="691"/>
    <w:uiPriority w:val="9"/>
    <w:rPr>
      <w:rFonts w:ascii="Arial" w:hAnsi="Arial" w:eastAsia="Arial" w:cs="Arial"/>
      <w:sz w:val="30"/>
      <w:szCs w:val="30"/>
    </w:rPr>
  </w:style>
  <w:style w:type="character" w:styleId="19">
    <w:name w:val="Heading 4 Char"/>
    <w:basedOn w:val="695"/>
    <w:link w:val="692"/>
    <w:uiPriority w:val="9"/>
    <w:rPr>
      <w:rFonts w:ascii="Arial" w:hAnsi="Arial" w:eastAsia="Arial" w:cs="Arial"/>
      <w:b/>
      <w:bCs/>
      <w:sz w:val="26"/>
      <w:szCs w:val="26"/>
    </w:rPr>
  </w:style>
  <w:style w:type="character" w:styleId="21">
    <w:name w:val="Heading 5 Char"/>
    <w:basedOn w:val="695"/>
    <w:link w:val="693"/>
    <w:uiPriority w:val="9"/>
    <w:rPr>
      <w:rFonts w:ascii="Arial" w:hAnsi="Arial" w:eastAsia="Arial" w:cs="Arial"/>
      <w:b/>
      <w:bCs/>
      <w:sz w:val="24"/>
      <w:szCs w:val="24"/>
    </w:rPr>
  </w:style>
  <w:style w:type="character" w:styleId="23">
    <w:name w:val="Heading 6 Char"/>
    <w:basedOn w:val="695"/>
    <w:link w:val="694"/>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5"/>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5"/>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5"/>
    <w:link w:val="28"/>
    <w:uiPriority w:val="9"/>
    <w:rPr>
      <w:rFonts w:ascii="Arial" w:hAnsi="Arial" w:eastAsia="Arial" w:cs="Arial"/>
      <w:i/>
      <w:iCs/>
      <w:sz w:val="21"/>
      <w:szCs w:val="21"/>
    </w:r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95"/>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08"/>
    <w:uiPriority w:val="99"/>
  </w:style>
  <w:style w:type="character" w:styleId="44">
    <w:name w:val="Footer Char"/>
    <w:basedOn w:val="695"/>
    <w:link w:val="707"/>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0"/>
    <w:uiPriority w:val="99"/>
    <w:rPr>
      <w:sz w:val="18"/>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qFormat/>
    <w:pPr>
      <w:jc w:val="both"/>
      <w:widowControl w:val="off"/>
    </w:pPr>
    <w:rPr>
      <w:sz w:val="21"/>
      <w:szCs w:val="22"/>
    </w:rPr>
  </w:style>
  <w:style w:type="paragraph" w:styleId="689">
    <w:name w:val="Heading 1"/>
    <w:basedOn w:val="688"/>
    <w:next w:val="688"/>
    <w:link w:val="724"/>
    <w:qFormat/>
    <w:pPr>
      <w:keepLines/>
      <w:keepNext/>
      <w:spacing w:before="340" w:after="330" w:line="578" w:lineRule="auto"/>
      <w:outlineLvl w:val="0"/>
    </w:pPr>
    <w:rPr>
      <w:rFonts w:eastAsia="方正小标宋_GBK"/>
      <w:b/>
      <w:bCs/>
      <w:sz w:val="28"/>
      <w:szCs w:val="44"/>
    </w:rPr>
  </w:style>
  <w:style w:type="paragraph" w:styleId="690">
    <w:name w:val="Heading 2"/>
    <w:basedOn w:val="688"/>
    <w:next w:val="688"/>
    <w:link w:val="725"/>
    <w:qFormat/>
    <w:pPr>
      <w:jc w:val="center"/>
      <w:keepLines/>
      <w:keepNext/>
      <w:spacing w:before="260" w:after="260" w:line="416" w:lineRule="auto"/>
      <w:outlineLvl w:val="1"/>
    </w:pPr>
    <w:rPr>
      <w:rFonts w:ascii="Arial" w:hAnsi="Arial" w:eastAsia="黑体"/>
      <w:bCs/>
      <w:sz w:val="24"/>
      <w:szCs w:val="32"/>
    </w:rPr>
  </w:style>
  <w:style w:type="paragraph" w:styleId="691">
    <w:name w:val="Heading 3"/>
    <w:basedOn w:val="688"/>
    <w:next w:val="688"/>
    <w:link w:val="729"/>
    <w:unhideWhenUsed/>
    <w:qFormat/>
    <w:pPr>
      <w:keepLines/>
      <w:keepNext/>
      <w:spacing w:before="260" w:after="260" w:line="416" w:lineRule="auto"/>
      <w:outlineLvl w:val="2"/>
    </w:pPr>
    <w:rPr>
      <w:b/>
      <w:bCs/>
      <w:sz w:val="32"/>
      <w:szCs w:val="32"/>
    </w:rPr>
  </w:style>
  <w:style w:type="paragraph" w:styleId="692">
    <w:name w:val="Heading 4"/>
    <w:basedOn w:val="688"/>
    <w:next w:val="688"/>
    <w:link w:val="730"/>
    <w:uiPriority w:val="9"/>
    <w:qFormat/>
    <w:p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31"/>
    <w:uiPriority w:val="9"/>
    <w:qFormat/>
    <w:pPr>
      <w:keepLines/>
      <w:keepNext/>
      <w:spacing w:before="280" w:after="290" w:line="376" w:lineRule="auto"/>
      <w:outlineLvl w:val="4"/>
    </w:pPr>
    <w:rPr>
      <w:b/>
      <w:bCs/>
      <w:sz w:val="28"/>
      <w:szCs w:val="28"/>
    </w:rPr>
  </w:style>
  <w:style w:type="paragraph" w:styleId="694">
    <w:name w:val="Heading 6"/>
    <w:basedOn w:val="688"/>
    <w:next w:val="688"/>
    <w:link w:val="732"/>
    <w:uiPriority w:val="9"/>
    <w:qFormat/>
    <w:pPr>
      <w:keepLines/>
      <w:keepNext/>
      <w:spacing w:before="240" w:after="64" w:line="320" w:lineRule="auto"/>
      <w:outlineLvl w:val="5"/>
    </w:pPr>
    <w:rPr>
      <w:rFonts w:ascii="Cambria" w:hAnsi="Cambria"/>
      <w:b/>
      <w:bCs/>
      <w:sz w:val="24"/>
      <w:szCs w:val="24"/>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Normal Indent"/>
    <w:basedOn w:val="688"/>
    <w:link w:val="757"/>
    <w:uiPriority w:val="99"/>
    <w:qFormat/>
    <w:pPr>
      <w:ind w:firstLine="420"/>
      <w:jc w:val="left"/>
    </w:pPr>
    <w:rPr>
      <w:rFonts w:ascii="宋体"/>
      <w:sz w:val="24"/>
      <w:szCs w:val="20"/>
    </w:rPr>
  </w:style>
  <w:style w:type="paragraph" w:styleId="699">
    <w:name w:val="annotation text"/>
    <w:basedOn w:val="688"/>
    <w:link w:val="726"/>
    <w:qFormat/>
    <w:pPr>
      <w:jc w:val="left"/>
    </w:pPr>
    <w:rPr>
      <w:rFonts w:ascii="宋体"/>
      <w:sz w:val="20"/>
      <w:szCs w:val="20"/>
    </w:rPr>
  </w:style>
  <w:style w:type="paragraph" w:styleId="700">
    <w:name w:val="Body Text"/>
    <w:basedOn w:val="688"/>
    <w:link w:val="733"/>
    <w:qFormat/>
    <w:pPr>
      <w:jc w:val="center"/>
    </w:pPr>
    <w:rPr>
      <w:sz w:val="44"/>
      <w:szCs w:val="24"/>
    </w:rPr>
  </w:style>
  <w:style w:type="paragraph" w:styleId="701">
    <w:name w:val="Body Text Indent"/>
    <w:basedOn w:val="688"/>
    <w:link w:val="734"/>
    <w:uiPriority w:val="99"/>
    <w:unhideWhenUsed/>
    <w:qFormat/>
    <w:pPr>
      <w:ind w:left="420"/>
      <w:spacing w:after="120"/>
    </w:pPr>
  </w:style>
  <w:style w:type="paragraph" w:styleId="702">
    <w:name w:val="index 4"/>
    <w:basedOn w:val="688"/>
    <w:next w:val="688"/>
    <w:unhideWhenUsed/>
    <w:qFormat/>
    <w:rPr>
      <w:rFonts w:ascii="宋体" w:hAnsi="宋体" w:cs="宋体"/>
      <w:sz w:val="22"/>
      <w:lang w:val="zh-CN" w:bidi="zh-CN"/>
    </w:rPr>
  </w:style>
  <w:style w:type="paragraph" w:styleId="703">
    <w:name w:val="toc 3"/>
    <w:basedOn w:val="688"/>
    <w:next w:val="688"/>
    <w:uiPriority w:val="39"/>
    <w:unhideWhenUsed/>
    <w:qFormat/>
    <w:pPr>
      <w:ind w:left="840"/>
    </w:pPr>
  </w:style>
  <w:style w:type="paragraph" w:styleId="704">
    <w:name w:val="Plain Text"/>
    <w:basedOn w:val="688"/>
    <w:link w:val="735"/>
    <w:qFormat/>
    <w:rPr>
      <w:rFonts w:hint="eastAsia" w:ascii="宋体" w:hAnsi="Courier New"/>
      <w:szCs w:val="21"/>
    </w:rPr>
  </w:style>
  <w:style w:type="paragraph" w:styleId="705">
    <w:name w:val="Date"/>
    <w:basedOn w:val="688"/>
    <w:next w:val="688"/>
    <w:link w:val="736"/>
    <w:qFormat/>
    <w:rPr>
      <w:sz w:val="28"/>
      <w:szCs w:val="20"/>
    </w:rPr>
  </w:style>
  <w:style w:type="paragraph" w:styleId="706">
    <w:name w:val="Balloon Text"/>
    <w:basedOn w:val="688"/>
    <w:link w:val="737"/>
    <w:semiHidden/>
    <w:qFormat/>
    <w:rPr>
      <w:sz w:val="18"/>
      <w:szCs w:val="18"/>
    </w:rPr>
  </w:style>
  <w:style w:type="paragraph" w:styleId="707">
    <w:name w:val="Footer"/>
    <w:basedOn w:val="688"/>
    <w:link w:val="723"/>
    <w:uiPriority w:val="99"/>
    <w:unhideWhenUsed/>
    <w:qFormat/>
    <w:pPr>
      <w:jc w:val="left"/>
      <w:tabs>
        <w:tab w:val="center" w:pos="4153" w:leader="none"/>
        <w:tab w:val="right" w:pos="8306" w:leader="none"/>
      </w:tabs>
    </w:pPr>
    <w:rPr>
      <w:sz w:val="18"/>
      <w:szCs w:val="18"/>
    </w:rPr>
  </w:style>
  <w:style w:type="paragraph" w:styleId="708">
    <w:name w:val="Header"/>
    <w:basedOn w:val="688"/>
    <w:link w:val="7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8"/>
    <w:next w:val="688"/>
    <w:uiPriority w:val="39"/>
    <w:qFormat/>
    <w:pPr>
      <w:jc w:val="center"/>
      <w:spacing w:line="500" w:lineRule="exact"/>
      <w:tabs>
        <w:tab w:val="right" w:pos="8296" w:leader="dot"/>
      </w:tabs>
    </w:pPr>
    <w:rPr>
      <w:rFonts w:ascii="宋体"/>
      <w:sz w:val="20"/>
      <w:szCs w:val="20"/>
    </w:rPr>
  </w:style>
  <w:style w:type="paragraph" w:styleId="710">
    <w:name w:val="footnote text"/>
    <w:basedOn w:val="688"/>
    <w:link w:val="738"/>
    <w:uiPriority w:val="99"/>
    <w:unhideWhenUsed/>
    <w:qFormat/>
    <w:pPr>
      <w:jc w:val="left"/>
    </w:pPr>
    <w:rPr>
      <w:sz w:val="18"/>
      <w:szCs w:val="18"/>
    </w:rPr>
  </w:style>
  <w:style w:type="paragraph" w:styleId="711">
    <w:name w:val="toc 2"/>
    <w:basedOn w:val="688"/>
    <w:next w:val="688"/>
    <w:uiPriority w:val="39"/>
    <w:qFormat/>
    <w:pPr>
      <w:ind w:left="420"/>
      <w:jc w:val="left"/>
    </w:pPr>
    <w:rPr>
      <w:rFonts w:ascii="宋体"/>
      <w:sz w:val="20"/>
      <w:szCs w:val="20"/>
    </w:rPr>
  </w:style>
  <w:style w:type="paragraph" w:styleId="712">
    <w:name w:val="Normal (Web)"/>
    <w:basedOn w:val="688"/>
    <w:unhideWhenUsed/>
    <w:qFormat/>
    <w:pPr>
      <w:jc w:val="left"/>
      <w:spacing w:before="100" w:beforeAutospacing="1" w:after="100" w:afterAutospacing="1"/>
      <w:widowControl/>
    </w:pPr>
    <w:rPr>
      <w:rFonts w:ascii="宋体" w:hAnsi="宋体" w:cs="宋体"/>
      <w:sz w:val="24"/>
      <w:szCs w:val="24"/>
    </w:rPr>
  </w:style>
  <w:style w:type="paragraph" w:styleId="713">
    <w:name w:val="annotation subject"/>
    <w:basedOn w:val="699"/>
    <w:next w:val="699"/>
    <w:link w:val="739"/>
    <w:semiHidden/>
    <w:qFormat/>
    <w:rPr>
      <w:rFonts w:ascii="Times New Roman"/>
      <w:b/>
      <w:bCs/>
      <w:sz w:val="21"/>
      <w:szCs w:val="22"/>
    </w:rPr>
  </w:style>
  <w:style w:type="paragraph" w:styleId="714">
    <w:name w:val="Body Text First Indent"/>
    <w:basedOn w:val="700"/>
    <w:link w:val="795"/>
    <w:uiPriority w:val="99"/>
    <w:unhideWhenUsed/>
    <w:qFormat/>
    <w:pPr>
      <w:ind w:firstLine="420"/>
      <w:jc w:val="both"/>
      <w:spacing w:after="120"/>
    </w:pPr>
    <w:rPr>
      <w:sz w:val="21"/>
      <w:szCs w:val="22"/>
    </w:rPr>
  </w:style>
  <w:style w:type="paragraph" w:styleId="715">
    <w:name w:val="Body Text First Indent 2"/>
    <w:basedOn w:val="701"/>
    <w:link w:val="791"/>
    <w:uiPriority w:val="99"/>
    <w:unhideWhenUsed/>
    <w:qFormat/>
    <w:pPr>
      <w:ind w:firstLine="420"/>
    </w:pPr>
    <w:rPr>
      <w:rFonts w:asciiTheme="minorHAnsi" w:hAnsiTheme="minorHAnsi" w:eastAsiaTheme="minorEastAsia" w:cstheme="minorBidi"/>
    </w:rPr>
  </w:style>
  <w:style w:type="table" w:styleId="716">
    <w:name w:val="Table Grid"/>
    <w:basedOn w:val="6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uiPriority w:val="22"/>
    <w:qFormat/>
    <w:rPr>
      <w:b/>
      <w:bCs/>
    </w:rPr>
  </w:style>
  <w:style w:type="character" w:styleId="718">
    <w:name w:val="page number"/>
    <w:qFormat/>
  </w:style>
  <w:style w:type="character" w:styleId="719">
    <w:name w:val="Hyperlink"/>
    <w:uiPriority w:val="99"/>
    <w:qFormat/>
    <w:rPr>
      <w:rFonts w:ascii="仿宋_GB2312" w:eastAsia="仿宋_GB2312"/>
      <w:b/>
      <w:color w:val="0000ff"/>
      <w:sz w:val="24"/>
      <w:szCs w:val="24"/>
      <w:u w:val="single"/>
      <w:lang w:val="en-US" w:eastAsia="zh-CN" w:bidi="ar-SA"/>
    </w:rPr>
  </w:style>
  <w:style w:type="character" w:styleId="720">
    <w:name w:val="annotation reference"/>
    <w:qFormat/>
    <w:rPr>
      <w:rFonts w:ascii="仿宋_GB2312" w:eastAsia="仿宋_GB2312"/>
      <w:b/>
      <w:sz w:val="21"/>
      <w:szCs w:val="21"/>
      <w:lang w:val="en-US" w:eastAsia="zh-CN" w:bidi="ar-SA"/>
    </w:rPr>
  </w:style>
  <w:style w:type="character" w:styleId="721">
    <w:name w:val="footnote reference"/>
    <w:uiPriority w:val="99"/>
    <w:unhideWhenUsed/>
    <w:qFormat/>
    <w:rPr>
      <w:vertAlign w:val="superscript"/>
    </w:rPr>
  </w:style>
  <w:style w:type="character" w:styleId="722" w:customStyle="1">
    <w:name w:val="页眉 字符"/>
    <w:basedOn w:val="695"/>
    <w:link w:val="708"/>
    <w:uiPriority w:val="99"/>
    <w:qFormat/>
    <w:rPr>
      <w:sz w:val="18"/>
      <w:szCs w:val="18"/>
    </w:rPr>
  </w:style>
  <w:style w:type="character" w:styleId="723" w:customStyle="1">
    <w:name w:val="页脚 字符"/>
    <w:basedOn w:val="695"/>
    <w:link w:val="707"/>
    <w:uiPriority w:val="99"/>
    <w:qFormat/>
    <w:rPr>
      <w:sz w:val="18"/>
      <w:szCs w:val="18"/>
    </w:rPr>
  </w:style>
  <w:style w:type="character" w:styleId="724" w:customStyle="1">
    <w:name w:val="标题 1 字符"/>
    <w:basedOn w:val="695"/>
    <w:link w:val="689"/>
    <w:qFormat/>
    <w:rPr>
      <w:rFonts w:ascii="Times New Roman" w:hAnsi="Times New Roman" w:eastAsia="方正小标宋_GBK" w:cs="Times New Roman"/>
      <w:b/>
      <w:bCs/>
      <w:sz w:val="28"/>
      <w:szCs w:val="44"/>
    </w:rPr>
  </w:style>
  <w:style w:type="character" w:styleId="725" w:customStyle="1">
    <w:name w:val="标题 2 字符"/>
    <w:basedOn w:val="695"/>
    <w:link w:val="690"/>
    <w:qFormat/>
    <w:rPr>
      <w:rFonts w:ascii="Arial" w:hAnsi="Arial" w:eastAsia="黑体" w:cs="Times New Roman"/>
      <w:bCs/>
      <w:sz w:val="24"/>
      <w:szCs w:val="32"/>
    </w:rPr>
  </w:style>
  <w:style w:type="character" w:styleId="726" w:customStyle="1">
    <w:name w:val="批注文字 字符"/>
    <w:basedOn w:val="695"/>
    <w:link w:val="699"/>
    <w:qFormat/>
    <w:rPr>
      <w:rFonts w:ascii="宋体" w:hAnsi="Times New Roman" w:eastAsia="宋体" w:cs="Times New Roman"/>
      <w:sz w:val="20"/>
      <w:szCs w:val="20"/>
    </w:rPr>
  </w:style>
  <w:style w:type="paragraph" w:styleId="727" w:customStyle="1">
    <w:name w:val="普通正文"/>
    <w:basedOn w:val="688"/>
    <w:qFormat/>
    <w:pPr>
      <w:ind w:firstLine="480"/>
      <w:jc w:val="left"/>
      <w:spacing w:before="120" w:after="120" w:line="360" w:lineRule="auto"/>
    </w:pPr>
    <w:rPr>
      <w:rFonts w:ascii="Arial" w:hAnsi="Arial"/>
      <w:sz w:val="24"/>
      <w:szCs w:val="24"/>
    </w:rPr>
  </w:style>
  <w:style w:type="paragraph" w:styleId="728">
    <w:name w:val="List Paragraph"/>
    <w:basedOn w:val="688"/>
    <w:uiPriority w:val="34"/>
    <w:qFormat/>
    <w:pPr>
      <w:ind w:firstLine="420"/>
    </w:pPr>
  </w:style>
  <w:style w:type="character" w:styleId="729" w:customStyle="1">
    <w:name w:val="标题 3 字符"/>
    <w:basedOn w:val="695"/>
    <w:link w:val="691"/>
    <w:qFormat/>
    <w:rPr>
      <w:rFonts w:ascii="Times New Roman" w:hAnsi="Times New Roman" w:eastAsia="宋体" w:cs="Times New Roman"/>
      <w:b/>
      <w:bCs/>
      <w:sz w:val="32"/>
      <w:szCs w:val="32"/>
    </w:rPr>
  </w:style>
  <w:style w:type="character" w:styleId="730" w:customStyle="1">
    <w:name w:val="标题 4 字符"/>
    <w:basedOn w:val="695"/>
    <w:link w:val="692"/>
    <w:uiPriority w:val="9"/>
    <w:qFormat/>
    <w:rPr>
      <w:rFonts w:ascii="Cambria" w:hAnsi="Cambria" w:eastAsia="宋体" w:cs="Times New Roman"/>
      <w:b/>
      <w:bCs/>
      <w:sz w:val="28"/>
      <w:szCs w:val="28"/>
    </w:rPr>
  </w:style>
  <w:style w:type="character" w:styleId="731" w:customStyle="1">
    <w:name w:val="标题 5 字符"/>
    <w:basedOn w:val="695"/>
    <w:link w:val="693"/>
    <w:uiPriority w:val="9"/>
    <w:qFormat/>
    <w:rPr>
      <w:rFonts w:ascii="Times New Roman" w:hAnsi="Times New Roman" w:eastAsia="宋体" w:cs="Times New Roman"/>
      <w:b/>
      <w:bCs/>
      <w:sz w:val="28"/>
      <w:szCs w:val="28"/>
    </w:rPr>
  </w:style>
  <w:style w:type="character" w:styleId="732" w:customStyle="1">
    <w:name w:val="标题 6 字符"/>
    <w:basedOn w:val="695"/>
    <w:link w:val="694"/>
    <w:uiPriority w:val="9"/>
    <w:qFormat/>
    <w:rPr>
      <w:rFonts w:ascii="Cambria" w:hAnsi="Cambria" w:eastAsia="宋体" w:cs="Times New Roman"/>
      <w:b/>
      <w:bCs/>
      <w:sz w:val="24"/>
      <w:szCs w:val="24"/>
    </w:rPr>
  </w:style>
  <w:style w:type="character" w:styleId="733" w:customStyle="1">
    <w:name w:val="正文文本 字符"/>
    <w:basedOn w:val="695"/>
    <w:link w:val="700"/>
    <w:qFormat/>
    <w:rPr>
      <w:rFonts w:ascii="Times New Roman" w:hAnsi="Times New Roman" w:eastAsia="宋体" w:cs="Times New Roman"/>
      <w:sz w:val="44"/>
      <w:szCs w:val="24"/>
    </w:rPr>
  </w:style>
  <w:style w:type="character" w:styleId="734" w:customStyle="1">
    <w:name w:val="正文文本缩进 字符"/>
    <w:basedOn w:val="695"/>
    <w:link w:val="701"/>
    <w:uiPriority w:val="99"/>
    <w:qFormat/>
    <w:rPr>
      <w:rFonts w:ascii="Times New Roman" w:hAnsi="Times New Roman" w:eastAsia="宋体" w:cs="Times New Roman"/>
    </w:rPr>
  </w:style>
  <w:style w:type="character" w:styleId="735" w:customStyle="1">
    <w:name w:val="纯文本 字符"/>
    <w:basedOn w:val="695"/>
    <w:link w:val="704"/>
    <w:qFormat/>
    <w:rPr>
      <w:rFonts w:ascii="宋体" w:hAnsi="Courier New" w:eastAsia="宋体" w:cs="Times New Roman"/>
      <w:szCs w:val="20"/>
    </w:rPr>
  </w:style>
  <w:style w:type="character" w:styleId="736" w:customStyle="1">
    <w:name w:val="日期 字符"/>
    <w:basedOn w:val="695"/>
    <w:link w:val="705"/>
    <w:qFormat/>
    <w:rPr>
      <w:rFonts w:ascii="Times New Roman" w:hAnsi="Times New Roman" w:eastAsia="宋体" w:cs="Times New Roman"/>
      <w:sz w:val="28"/>
      <w:szCs w:val="20"/>
    </w:rPr>
  </w:style>
  <w:style w:type="character" w:styleId="737" w:customStyle="1">
    <w:name w:val="批注框文本 字符"/>
    <w:basedOn w:val="695"/>
    <w:link w:val="706"/>
    <w:semiHidden/>
    <w:qFormat/>
    <w:rPr>
      <w:rFonts w:ascii="Times New Roman" w:hAnsi="Times New Roman" w:eastAsia="宋体" w:cs="Times New Roman"/>
      <w:sz w:val="18"/>
      <w:szCs w:val="18"/>
    </w:rPr>
  </w:style>
  <w:style w:type="character" w:styleId="738" w:customStyle="1">
    <w:name w:val="脚注文本 字符"/>
    <w:basedOn w:val="695"/>
    <w:link w:val="710"/>
    <w:uiPriority w:val="99"/>
    <w:qFormat/>
    <w:rPr>
      <w:rFonts w:ascii="Times New Roman" w:hAnsi="Times New Roman" w:eastAsia="宋体" w:cs="Times New Roman"/>
      <w:sz w:val="18"/>
      <w:szCs w:val="18"/>
    </w:rPr>
  </w:style>
  <w:style w:type="character" w:styleId="739" w:customStyle="1">
    <w:name w:val="批注主题 字符"/>
    <w:basedOn w:val="726"/>
    <w:link w:val="713"/>
    <w:semiHidden/>
    <w:qFormat/>
    <w:rPr>
      <w:rFonts w:ascii="Times New Roman" w:hAnsi="Times New Roman" w:eastAsia="宋体" w:cs="Times New Roman"/>
      <w:b/>
      <w:bCs/>
      <w:sz w:val="20"/>
      <w:szCs w:val="20"/>
    </w:rPr>
  </w:style>
  <w:style w:type="character" w:styleId="740" w:customStyle="1">
    <w:name w:val="font151"/>
    <w:qFormat/>
    <w:rPr>
      <w:rFonts w:hint="eastAsia" w:ascii="宋体" w:hAnsi="宋体" w:eastAsia="宋体" w:cs="宋体"/>
      <w:b/>
      <w:color w:val="dd0806"/>
      <w:sz w:val="18"/>
      <w:szCs w:val="18"/>
      <w:u w:val="none"/>
    </w:rPr>
  </w:style>
  <w:style w:type="character" w:styleId="741" w:customStyle="1">
    <w:name w:val="font161"/>
    <w:qFormat/>
    <w:rPr>
      <w:rFonts w:hint="eastAsia" w:ascii="宋体" w:hAnsi="宋体" w:eastAsia="宋体" w:cs="宋体"/>
      <w:color w:val="000000"/>
      <w:sz w:val="18"/>
      <w:szCs w:val="18"/>
      <w:u w:val="none"/>
    </w:rPr>
  </w:style>
  <w:style w:type="character" w:styleId="742" w:customStyle="1">
    <w:name w:val="页脚 字符1"/>
    <w:qFormat/>
    <w:rPr>
      <w:sz w:val="18"/>
      <w:szCs w:val="18"/>
    </w:rPr>
  </w:style>
  <w:style w:type="character" w:styleId="743" w:customStyle="1">
    <w:name w:val="z-窗体顶端 Char"/>
    <w:link w:val="744"/>
    <w:uiPriority w:val="99"/>
    <w:qFormat/>
    <w:rPr>
      <w:rFonts w:ascii="Arial" w:hAnsi="Arial" w:eastAsia="宋体" w:cs="Arial"/>
      <w:vanish/>
      <w:sz w:val="16"/>
      <w:szCs w:val="16"/>
    </w:rPr>
  </w:style>
  <w:style w:type="paragraph" w:styleId="744" w:customStyle="1">
    <w:name w:val="_Style 27"/>
    <w:basedOn w:val="688"/>
    <w:next w:val="688"/>
    <w:link w:val="743"/>
    <w:uiPriority w:val="99"/>
    <w:unhideWhenUsed/>
    <w:qFormat/>
    <w:pPr>
      <w:jc w:val="center"/>
      <w:widowControl/>
      <w:pBdr>
        <w:bottom w:val="single" w:color="auto" w:sz="6" w:space="1"/>
      </w:pBdr>
    </w:pPr>
    <w:rPr>
      <w:rFonts w:ascii="Arial" w:hAnsi="Arial" w:cs="Arial"/>
      <w:vanish/>
      <w:sz w:val="16"/>
      <w:szCs w:val="16"/>
    </w:rPr>
  </w:style>
  <w:style w:type="character" w:styleId="745" w:customStyle="1">
    <w:name w:val="font212"/>
    <w:qFormat/>
    <w:rPr>
      <w:rFonts w:hint="eastAsia" w:ascii="宋体" w:hAnsi="宋体" w:eastAsia="宋体" w:cs="宋体"/>
      <w:color w:val="000000"/>
      <w:sz w:val="18"/>
      <w:szCs w:val="18"/>
      <w:u w:val="none"/>
    </w:rPr>
  </w:style>
  <w:style w:type="character" w:styleId="746" w:customStyle="1">
    <w:name w:val="font11"/>
    <w:qFormat/>
    <w:rPr>
      <w:rFonts w:hint="default" w:ascii="Arial" w:hAnsi="Arial" w:cs="Arial"/>
      <w:color w:val="000000"/>
      <w:sz w:val="20"/>
      <w:szCs w:val="20"/>
      <w:u w:val="none"/>
    </w:rPr>
  </w:style>
  <w:style w:type="character" w:styleId="747" w:customStyle="1">
    <w:name w:val="font231"/>
    <w:qFormat/>
    <w:rPr>
      <w:rFonts w:hint="eastAsia" w:ascii="宋体" w:hAnsi="宋体" w:eastAsia="宋体" w:cs="宋体"/>
      <w:color w:val="000000"/>
      <w:sz w:val="18"/>
      <w:szCs w:val="18"/>
      <w:u w:val="none"/>
    </w:rPr>
  </w:style>
  <w:style w:type="character" w:styleId="748" w:customStyle="1">
    <w:name w:val="font211"/>
    <w:qFormat/>
    <w:rPr>
      <w:rFonts w:hint="eastAsia" w:ascii="宋体" w:hAnsi="宋体" w:eastAsia="宋体" w:cs="宋体"/>
      <w:color w:val="000000"/>
      <w:sz w:val="18"/>
      <w:szCs w:val="18"/>
      <w:u w:val="none"/>
    </w:rPr>
  </w:style>
  <w:style w:type="character" w:styleId="749" w:customStyle="1">
    <w:name w:val="Char Char21"/>
    <w:qFormat/>
    <w:rPr>
      <w:b/>
      <w:bCs/>
      <w:sz w:val="44"/>
      <w:szCs w:val="44"/>
    </w:rPr>
  </w:style>
  <w:style w:type="character" w:styleId="750" w:customStyle="1">
    <w:name w:val="未处理的提及1"/>
    <w:uiPriority w:val="99"/>
    <w:unhideWhenUsed/>
    <w:qFormat/>
    <w:rPr>
      <w:color w:val="605e5c"/>
      <w:shd w:val="clear" w:color="auto" w:fill="e1dfdd"/>
    </w:rPr>
  </w:style>
  <w:style w:type="character" w:styleId="751" w:customStyle="1">
    <w:name w:val="z-窗体底端 Char"/>
    <w:link w:val="752"/>
    <w:uiPriority w:val="99"/>
    <w:qFormat/>
    <w:rPr>
      <w:rFonts w:ascii="Arial" w:hAnsi="Arial" w:eastAsia="宋体" w:cs="Arial"/>
      <w:vanish/>
      <w:sz w:val="16"/>
      <w:szCs w:val="16"/>
    </w:rPr>
  </w:style>
  <w:style w:type="paragraph" w:styleId="752" w:customStyle="1">
    <w:name w:val="_Style 26"/>
    <w:basedOn w:val="688"/>
    <w:next w:val="688"/>
    <w:link w:val="751"/>
    <w:uiPriority w:val="99"/>
    <w:unhideWhenUsed/>
    <w:qFormat/>
    <w:pPr>
      <w:jc w:val="center"/>
      <w:widowControl/>
      <w:pBdr>
        <w:top w:val="single" w:color="auto" w:sz="6" w:space="1"/>
      </w:pBdr>
    </w:pPr>
    <w:rPr>
      <w:rFonts w:ascii="Arial" w:hAnsi="Arial" w:cs="Arial"/>
      <w:vanish/>
      <w:sz w:val="16"/>
      <w:szCs w:val="16"/>
    </w:rPr>
  </w:style>
  <w:style w:type="character" w:styleId="753" w:customStyle="1">
    <w:name w:val="font51"/>
    <w:qFormat/>
    <w:rPr>
      <w:rFonts w:hint="eastAsia" w:ascii="宋体" w:hAnsi="宋体" w:eastAsia="宋体" w:cs="宋体"/>
      <w:color w:val="000000"/>
      <w:sz w:val="20"/>
      <w:szCs w:val="20"/>
      <w:u w:val="none"/>
    </w:rPr>
  </w:style>
  <w:style w:type="character" w:styleId="754" w:customStyle="1">
    <w:name w:val="日期 Char1"/>
    <w:uiPriority w:val="99"/>
    <w:semiHidden/>
    <w:qFormat/>
    <w:rPr>
      <w:sz w:val="21"/>
      <w:szCs w:val="22"/>
    </w:rPr>
  </w:style>
  <w:style w:type="character" w:styleId="755" w:customStyle="1">
    <w:name w:val="font241"/>
    <w:qFormat/>
    <w:rPr>
      <w:rFonts w:hint="default" w:ascii="Tahoma" w:hAnsi="Tahoma" w:eastAsia="Tahoma" w:cs="Tahoma"/>
      <w:color w:val="000000"/>
      <w:sz w:val="18"/>
      <w:szCs w:val="18"/>
      <w:u w:val="none"/>
    </w:rPr>
  </w:style>
  <w:style w:type="character" w:styleId="756" w:customStyle="1">
    <w:name w:val="页眉 字符1"/>
    <w:uiPriority w:val="99"/>
    <w:qFormat/>
    <w:rPr>
      <w:sz w:val="18"/>
      <w:szCs w:val="18"/>
    </w:rPr>
  </w:style>
  <w:style w:type="character" w:styleId="757" w:customStyle="1">
    <w:name w:val="正文缩进 字符"/>
    <w:link w:val="698"/>
    <w:qFormat/>
    <w:rPr>
      <w:rFonts w:ascii="宋体" w:hAnsi="Times New Roman" w:eastAsia="宋体" w:cs="Times New Roman"/>
      <w:sz w:val="24"/>
      <w:szCs w:val="20"/>
    </w:rPr>
  </w:style>
  <w:style w:type="character" w:styleId="758" w:customStyle="1">
    <w:name w:val="批注文字 字符2"/>
    <w:qFormat/>
    <w:rPr>
      <w:sz w:val="21"/>
      <w:szCs w:val="22"/>
    </w:rPr>
  </w:style>
  <w:style w:type="character" w:styleId="759" w:customStyle="1">
    <w:name w:val="批注文字 字符1"/>
    <w:uiPriority w:val="99"/>
    <w:qFormat/>
    <w:rPr>
      <w:sz w:val="21"/>
      <w:szCs w:val="22"/>
    </w:rPr>
  </w:style>
  <w:style w:type="character" w:styleId="760" w:customStyle="1">
    <w:name w:val="font191"/>
    <w:qFormat/>
    <w:rPr>
      <w:rFonts w:ascii="Tahoma" w:hAnsi="Tahoma" w:eastAsia="Tahoma" w:cs="Tahoma"/>
      <w:color w:val="000000"/>
      <w:sz w:val="18"/>
      <w:szCs w:val="18"/>
      <w:u w:val="none"/>
    </w:rPr>
  </w:style>
  <w:style w:type="character" w:styleId="761" w:customStyle="1">
    <w:name w:val="font271"/>
    <w:qFormat/>
    <w:rPr>
      <w:rFonts w:hint="eastAsia" w:ascii="宋体" w:hAnsi="宋体" w:eastAsia="宋体" w:cs="宋体"/>
      <w:b/>
      <w:color w:val="dd0806"/>
      <w:sz w:val="20"/>
      <w:szCs w:val="20"/>
      <w:u w:val="none"/>
    </w:rPr>
  </w:style>
  <w:style w:type="character" w:styleId="762" w:customStyle="1">
    <w:name w:val="font222"/>
    <w:qFormat/>
    <w:rPr>
      <w:rFonts w:hint="eastAsia" w:ascii="宋体" w:hAnsi="宋体" w:eastAsia="宋体" w:cs="宋体"/>
      <w:color w:val="dd0806"/>
      <w:sz w:val="18"/>
      <w:szCs w:val="18"/>
      <w:u w:val="none"/>
    </w:rPr>
  </w:style>
  <w:style w:type="character" w:styleId="763" w:customStyle="1">
    <w:name w:val="font221"/>
    <w:qFormat/>
    <w:rPr>
      <w:rFonts w:hint="eastAsia" w:ascii="宋体" w:hAnsi="宋体" w:eastAsia="宋体" w:cs="宋体"/>
      <w:color w:val="dd0806"/>
      <w:sz w:val="18"/>
      <w:szCs w:val="18"/>
      <w:u w:val="none"/>
    </w:rPr>
  </w:style>
  <w:style w:type="paragraph" w:styleId="764" w:customStyle="1">
    <w:name w:val="无间隔1"/>
    <w:uiPriority w:val="1"/>
    <w:qFormat/>
    <w:pPr>
      <w:jc w:val="both"/>
      <w:widowControl w:val="off"/>
    </w:pPr>
    <w:rPr>
      <w:sz w:val="21"/>
      <w:szCs w:val="24"/>
    </w:rPr>
  </w:style>
  <w:style w:type="paragraph" w:styleId="765" w:customStyle="1">
    <w:name w:val="Blockquote"/>
    <w:basedOn w:val="688"/>
    <w:qFormat/>
    <w:pPr>
      <w:ind w:left="360" w:right="360"/>
      <w:jc w:val="left"/>
      <w:spacing w:before="100" w:after="100"/>
    </w:pPr>
    <w:rPr>
      <w:sz w:val="24"/>
      <w:szCs w:val="20"/>
    </w:rPr>
  </w:style>
  <w:style w:type="paragraph" w:styleId="766" w:customStyle="1">
    <w:name w:val="_Style 24"/>
    <w:basedOn w:val="688"/>
    <w:qFormat/>
    <w:pPr>
      <w:ind w:firstLine="420"/>
    </w:pPr>
  </w:style>
  <w:style w:type="paragraph" w:styleId="767" w:customStyle="1">
    <w:name w:val="公文标题1"/>
    <w:basedOn w:val="689"/>
    <w:next w:val="688"/>
    <w:qFormat/>
    <w:pPr>
      <w:numPr>
        <w:numId w:val="1"/>
      </w:numPr>
    </w:pPr>
    <w:rPr>
      <w:rFonts w:eastAsia="黑体"/>
      <w:sz w:val="36"/>
    </w:rPr>
  </w:style>
  <w:style w:type="paragraph" w:styleId="768" w:customStyle="1">
    <w:name w:val="列出段落1"/>
    <w:basedOn w:val="688"/>
    <w:uiPriority w:val="99"/>
    <w:unhideWhenUsed/>
    <w:qFormat/>
    <w:pPr>
      <w:ind w:firstLine="420"/>
    </w:pPr>
  </w:style>
  <w:style w:type="paragraph" w:styleId="769" w:customStyle="1">
    <w:name w:val="_Style 1"/>
    <w:basedOn w:val="688"/>
    <w:uiPriority w:val="34"/>
    <w:qFormat/>
    <w:pPr>
      <w:ind w:firstLine="420"/>
    </w:pPr>
    <w:rPr>
      <w:szCs w:val="20"/>
    </w:rPr>
  </w:style>
  <w:style w:type="paragraph" w:styleId="770" w:customStyle="1">
    <w:name w:val="公文标题4"/>
    <w:basedOn w:val="692"/>
    <w:next w:val="688"/>
    <w:qFormat/>
    <w:pPr>
      <w:numPr>
        <w:ilvl w:val="3"/>
        <w:numId w:val="1"/>
      </w:numPr>
    </w:pPr>
    <w:rPr>
      <w:rFonts w:ascii="Times New Roman" w:hAnsi="Times New Roman" w:eastAsia="黑体"/>
    </w:rPr>
  </w:style>
  <w:style w:type="paragraph" w:styleId="771" w:customStyle="1">
    <w:name w:val="公文标题3"/>
    <w:basedOn w:val="691"/>
    <w:next w:val="688"/>
    <w:qFormat/>
    <w:pPr>
      <w:numPr>
        <w:ilvl w:val="2"/>
        <w:numId w:val="1"/>
      </w:numPr>
    </w:pPr>
    <w:rPr>
      <w:rFonts w:eastAsia="黑体"/>
      <w:sz w:val="30"/>
    </w:rPr>
  </w:style>
  <w:style w:type="paragraph" w:styleId="772" w:customStyle="1">
    <w:name w:val="_Style 25"/>
    <w:basedOn w:val="689"/>
    <w:next w:val="688"/>
    <w:uiPriority w:val="39"/>
    <w:qFormat/>
    <w:pPr>
      <w:jc w:val="left"/>
      <w:spacing w:before="480" w:after="0" w:line="276" w:lineRule="auto"/>
      <w:widowControl/>
      <w:outlineLvl w:val="9"/>
    </w:pPr>
    <w:rPr>
      <w:rFonts w:ascii="Cambria" w:hAnsi="Cambria" w:eastAsia="宋体"/>
      <w:color w:val="365f91"/>
      <w:szCs w:val="28"/>
    </w:rPr>
  </w:style>
  <w:style w:type="paragraph" w:styleId="773" w:customStyle="1">
    <w:name w:val="公文标题5"/>
    <w:basedOn w:val="693"/>
    <w:next w:val="688"/>
    <w:qFormat/>
    <w:pPr>
      <w:numPr>
        <w:ilvl w:val="4"/>
        <w:numId w:val="1"/>
      </w:numPr>
    </w:pPr>
    <w:rPr>
      <w:rFonts w:eastAsia="黑体"/>
      <w:sz w:val="24"/>
    </w:rPr>
  </w:style>
  <w:style w:type="paragraph" w:styleId="774" w:customStyle="1">
    <w:name w:val="公文标题6"/>
    <w:basedOn w:val="694"/>
    <w:next w:val="688"/>
    <w:qFormat/>
    <w:pPr>
      <w:numPr>
        <w:ilvl w:val="5"/>
        <w:numId w:val="1"/>
      </w:numPr>
    </w:pPr>
    <w:rPr>
      <w:rFonts w:ascii="Times New Roman" w:hAnsi="Times New Roman" w:eastAsia="黑体"/>
    </w:rPr>
  </w:style>
  <w:style w:type="paragraph" w:styleId="775" w:customStyle="1">
    <w:name w:val="reader-word-layer"/>
    <w:basedOn w:val="688"/>
    <w:qFormat/>
    <w:pPr>
      <w:jc w:val="left"/>
      <w:spacing w:before="100" w:beforeAutospacing="1" w:after="100" w:afterAutospacing="1"/>
      <w:widowControl/>
    </w:pPr>
    <w:rPr>
      <w:rFonts w:ascii="宋体" w:hAnsi="宋体" w:cs="宋体"/>
      <w:sz w:val="24"/>
      <w:szCs w:val="24"/>
    </w:rPr>
  </w:style>
  <w:style w:type="paragraph" w:styleId="776" w:customStyle="1">
    <w:name w:val="公文标题2"/>
    <w:basedOn w:val="690"/>
    <w:next w:val="688"/>
    <w:qFormat/>
    <w:pPr>
      <w:numPr>
        <w:ilvl w:val="1"/>
        <w:numId w:val="1"/>
      </w:numPr>
      <w:jc w:val="both"/>
    </w:pPr>
    <w:rPr>
      <w:rFonts w:ascii="Times New Roman" w:hAnsi="Times New Roman"/>
      <w:b/>
      <w:sz w:val="32"/>
    </w:rPr>
  </w:style>
  <w:style w:type="character" w:styleId="777" w:customStyle="1">
    <w:name w:val="正文文本 字符1"/>
    <w:qFormat/>
    <w:rPr>
      <w:rFonts w:ascii="Times New Roman" w:hAnsi="Times New Roman" w:eastAsia="宋体" w:cs="Times New Roman"/>
      <w:sz w:val="44"/>
      <w:szCs w:val="24"/>
    </w:rPr>
  </w:style>
  <w:style w:type="character" w:styleId="778" w:customStyle="1">
    <w:name w:val="标题 3 字符1"/>
    <w:qFormat/>
    <w:rPr>
      <w:b/>
      <w:bCs/>
      <w:sz w:val="32"/>
      <w:szCs w:val="32"/>
    </w:rPr>
  </w:style>
  <w:style w:type="character" w:styleId="779" w:customStyle="1">
    <w:name w:val="NormalCharacter"/>
    <w:semiHidden/>
    <w:qFormat/>
  </w:style>
  <w:style w:type="paragraph" w:styleId="780">
    <w:name w:val="No Spacing"/>
    <w:uiPriority w:val="1"/>
    <w:qFormat/>
    <w:pPr>
      <w:jc w:val="both"/>
      <w:widowControl w:val="off"/>
    </w:pPr>
    <w:rPr>
      <w:rFonts w:asciiTheme="minorHAnsi" w:hAnsiTheme="minorHAnsi" w:eastAsiaTheme="minorEastAsia" w:cstheme="minorBidi"/>
      <w:sz w:val="21"/>
      <w:szCs w:val="22"/>
    </w:rPr>
  </w:style>
  <w:style w:type="paragraph" w:styleId="781" w:customStyle="1">
    <w:name w:val="纯文本1"/>
    <w:basedOn w:val="688"/>
    <w:qFormat/>
    <w:rPr>
      <w:rFonts w:ascii="宋体" w:hAnsi="Courier New"/>
      <w:szCs w:val="20"/>
    </w:rPr>
  </w:style>
  <w:style w:type="paragraph" w:styleId="782" w:customStyle="1">
    <w:name w:val="Plain Text1"/>
    <w:basedOn w:val="688"/>
    <w:qFormat/>
    <w:rPr>
      <w:rFonts w:hint="eastAsia" w:ascii="宋体" w:hAnsi="Courier New" w:eastAsia="楷体_GB2312"/>
      <w:sz w:val="28"/>
      <w:szCs w:val="20"/>
    </w:rPr>
  </w:style>
  <w:style w:type="character" w:styleId="783" w:customStyle="1">
    <w:name w:val="二级目录 Char"/>
    <w:link w:val="784"/>
    <w:qFormat/>
    <w:rPr>
      <w:b/>
      <w:sz w:val="30"/>
      <w:szCs w:val="28"/>
    </w:rPr>
  </w:style>
  <w:style w:type="paragraph" w:styleId="784" w:customStyle="1">
    <w:name w:val="二级目录"/>
    <w:next w:val="688"/>
    <w:link w:val="783"/>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785" w:customStyle="1">
    <w:name w:val="无间隔2"/>
    <w:link w:val="786"/>
    <w:uiPriority w:val="1"/>
    <w:qFormat/>
    <w:pPr>
      <w:jc w:val="both"/>
      <w:widowControl w:val="off"/>
    </w:pPr>
    <w:rPr>
      <w:rFonts w:asciiTheme="minorHAnsi" w:hAnsiTheme="minorHAnsi" w:eastAsiaTheme="minorEastAsia" w:cstheme="minorBidi"/>
      <w:sz w:val="21"/>
      <w:szCs w:val="22"/>
    </w:rPr>
  </w:style>
  <w:style w:type="character" w:styleId="786" w:customStyle="1">
    <w:name w:val="无间隔 字符"/>
    <w:link w:val="785"/>
    <w:uiPriority w:val="1"/>
    <w:qFormat/>
  </w:style>
  <w:style w:type="paragraph" w:styleId="787" w:customStyle="1">
    <w:name w:val="[Normal]"/>
    <w:qFormat/>
    <w:rPr>
      <w:rFonts w:ascii="方正仿宋简体" w:hAnsi="方正仿宋简体" w:eastAsia="方正仿宋简体" w:cs="Courier New"/>
      <w:sz w:val="24"/>
      <w:szCs w:val="22"/>
      <w:lang w:val="zh-CN"/>
    </w:rPr>
  </w:style>
  <w:style w:type="paragraph" w:styleId="788" w:customStyle="1">
    <w:name w:val="修订1"/>
    <w:hidden/>
    <w:uiPriority w:val="99"/>
    <w:semiHidden/>
    <w:qFormat/>
    <w:rPr>
      <w:sz w:val="21"/>
      <w:szCs w:val="22"/>
    </w:rPr>
  </w:style>
  <w:style w:type="paragraph" w:styleId="789" w:customStyle="1">
    <w:name w:val="修订2"/>
    <w:hidden/>
    <w:uiPriority w:val="99"/>
    <w:semiHidden/>
    <w:qFormat/>
    <w:rPr>
      <w:sz w:val="21"/>
      <w:szCs w:val="22"/>
    </w:rPr>
  </w:style>
  <w:style w:type="paragraph" w:styleId="790" w:customStyle="1">
    <w:name w:val="首行缩进"/>
    <w:basedOn w:val="688"/>
    <w:qFormat/>
    <w:pPr>
      <w:ind w:firstLine="480"/>
      <w:jc w:val="left"/>
      <w:spacing w:line="360" w:lineRule="auto"/>
    </w:pPr>
    <w:rPr>
      <w:rFonts w:ascii="宋体" w:hAnsi="宋体" w:cs="宋体"/>
      <w:sz w:val="24"/>
      <w:lang w:val="zh-CN" w:bidi="zh-CN"/>
    </w:rPr>
  </w:style>
  <w:style w:type="character" w:styleId="791" w:customStyle="1">
    <w:name w:val="正文文本首行缩进 2 字符"/>
    <w:basedOn w:val="734"/>
    <w:link w:val="715"/>
    <w:uiPriority w:val="99"/>
    <w:qFormat/>
    <w:rPr>
      <w:rFonts w:ascii="Times New Roman" w:hAnsi="Times New Roman" w:eastAsia="宋体" w:cs="Times New Roman"/>
      <w:sz w:val="21"/>
      <w:szCs w:val="22"/>
    </w:rPr>
  </w:style>
  <w:style w:type="paragraph" w:styleId="792" w:customStyle="1">
    <w:name w:val="p"/>
    <w:basedOn w:val="688"/>
    <w:qFormat/>
    <w:pPr>
      <w:ind w:firstLine="375"/>
      <w:jc w:val="left"/>
      <w:spacing w:line="525" w:lineRule="atLeast"/>
      <w:widowControl/>
    </w:pPr>
    <w:rPr>
      <w:sz w:val="24"/>
      <w:szCs w:val="24"/>
    </w:rPr>
  </w:style>
  <w:style w:type="paragraph" w:styleId="793" w:customStyle="1">
    <w:name w:val="修订3"/>
    <w:hidden/>
    <w:uiPriority w:val="99"/>
    <w:semiHidden/>
    <w:qFormat/>
    <w:rPr>
      <w:sz w:val="21"/>
      <w:szCs w:val="22"/>
    </w:rPr>
  </w:style>
  <w:style w:type="paragraph" w:styleId="794" w:customStyle="1">
    <w:name w:val="修订4"/>
    <w:hidden/>
    <w:uiPriority w:val="99"/>
    <w:semiHidden/>
    <w:qFormat/>
    <w:rPr>
      <w:sz w:val="21"/>
      <w:szCs w:val="22"/>
    </w:rPr>
  </w:style>
  <w:style w:type="character" w:styleId="795" w:customStyle="1">
    <w:name w:val="正文文本首行缩进 字符"/>
    <w:basedOn w:val="733"/>
    <w:link w:val="714"/>
    <w:uiPriority w:val="99"/>
    <w:qFormat/>
    <w:rPr>
      <w:rFonts w:ascii="Times New Roman" w:hAnsi="Times New Roman" w:eastAsia="宋体" w:cs="Times New Roman"/>
      <w:sz w:val="21"/>
      <w:szCs w:val="22"/>
    </w:rPr>
  </w:style>
  <w:style w:type="paragraph" w:styleId="796" w:customStyle="1">
    <w:name w:val="paragraph"/>
    <w:basedOn w:val="688"/>
    <w:qFormat/>
    <w:pPr>
      <w:jc w:val="left"/>
      <w:spacing w:before="100" w:beforeAutospacing="1" w:after="100" w:afterAutospacing="1"/>
      <w:widowControl/>
    </w:pPr>
    <w:rPr>
      <w:rFonts w:ascii="宋体" w:hAnsi="宋体" w:cs="宋体"/>
      <w:sz w:val="24"/>
      <w:szCs w:val="24"/>
    </w:rPr>
  </w:style>
  <w:style w:type="paragraph" w:styleId="797" w:customStyle="1">
    <w:name w:val="修订5"/>
    <w:hidden/>
    <w:uiPriority w:val="99"/>
    <w:unhideWhenUsed/>
    <w:qFormat/>
    <w:rPr>
      <w:sz w:val="21"/>
      <w:szCs w:val="22"/>
    </w:rPr>
  </w:style>
  <w:style w:type="character" w:styleId="798" w:customStyle="1">
    <w:name w:val="15"/>
    <w:basedOn w:val="695"/>
    <w:qFormat/>
    <w:rPr>
      <w:sz w:val="21"/>
      <w:szCs w:val="21"/>
    </w:rPr>
  </w:style>
  <w:style w:type="paragraph" w:styleId="799" w:customStyle="1">
    <w:name w:val="修订6"/>
    <w:hidden/>
    <w:uiPriority w:val="99"/>
    <w:unhideWhenUsed/>
    <w:qFormat/>
    <w:rPr>
      <w:sz w:val="21"/>
      <w:szCs w:val="22"/>
    </w:rPr>
  </w:style>
  <w:style w:type="paragraph" w:styleId="800" w:customStyle="1">
    <w:name w:val="修订7"/>
    <w:hidden/>
    <w:uiPriority w:val="99"/>
    <w:unhideWhenUsed/>
    <w:qFormat/>
    <w:rPr>
      <w:sz w:val="21"/>
      <w:szCs w:val="22"/>
    </w:rPr>
  </w:style>
  <w:style w:type="paragraph" w:styleId="801" w:customStyle="1">
    <w:name w:val="修订8"/>
    <w:hidden/>
    <w:uiPriority w:val="99"/>
    <w:unhideWhenUsed/>
    <w:qFormat/>
    <w:rPr>
      <w:sz w:val="21"/>
      <w:szCs w:val="22"/>
    </w:rPr>
  </w:style>
  <w:style w:type="paragraph" w:styleId="802" w:customStyle="1">
    <w:name w:val="修订9"/>
    <w:hidden/>
    <w:uiPriority w:val="99"/>
    <w:unhideWhenUsed/>
    <w:qFormat/>
    <w:rPr>
      <w:sz w:val="21"/>
      <w:szCs w:val="22"/>
    </w:rPr>
  </w:style>
  <w:style w:type="paragraph" w:styleId="803" w:customStyle="1">
    <w:name w:val="修订10"/>
    <w:hidden/>
    <w:uiPriority w:val="99"/>
    <w:semiHidden/>
    <w:qFormat/>
    <w:rPr>
      <w:sz w:val="21"/>
      <w:szCs w:val="22"/>
    </w:rPr>
  </w:style>
  <w:style w:type="paragraph" w:styleId="804" w:customStyle="1">
    <w:name w:val="修订11"/>
    <w:hidden/>
    <w:uiPriority w:val="99"/>
    <w:unhideWhenUsed/>
    <w:qFormat/>
    <w:rPr>
      <w:sz w:val="21"/>
      <w:szCs w:val="22"/>
    </w:rPr>
  </w:style>
  <w:style w:type="paragraph" w:styleId="805" w:customStyle="1">
    <w:name w:val="修订12"/>
    <w:hidden/>
    <w:uiPriority w:val="99"/>
    <w:unhideWhenUsed/>
    <w:qFormat/>
    <w:rPr>
      <w:sz w:val="21"/>
      <w:szCs w:val="22"/>
    </w:rPr>
  </w:style>
  <w:style w:type="paragraph" w:styleId="806" w:customStyle="1">
    <w:name w:val="修订13"/>
    <w:hidden/>
    <w:uiPriority w:val="99"/>
    <w:unhideWhenUsed/>
    <w:qFormat/>
    <w:rPr>
      <w:sz w:val="21"/>
      <w:szCs w:val="22"/>
    </w:rPr>
  </w:style>
  <w:style w:type="paragraph" w:styleId="807" w:customStyle="1">
    <w:name w:val="修订14"/>
    <w:hidden/>
    <w:uiPriority w:val="99"/>
    <w:unhideWhenUsed/>
    <w:qFormat/>
    <w:rPr>
      <w:sz w:val="21"/>
      <w:szCs w:val="22"/>
    </w:rPr>
  </w:style>
  <w:style w:type="paragraph" w:styleId="808">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58dca67c-2029-4892-a40a-78554945b02e</errorID>
      <errorWord xmlns="http://schemas.wps.cn/vas-ai-hub/contract-review">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报告</item>
      </candidateList>
      <explain xmlns="http://schemas.wps.cn/vas-ai-hub/contract-review">❶〈动〉把事情或意见正式告诉上级或群众：你应当把事情的经过向领导～｜大会主席～了开会宗旨。❷〈名〉用口头或书面的形式向上级或群众所做的正式陈述：总结～｜动员～。</explain>
      <paraID xmlns="http://schemas.wps.cn/vas-ai-hub/contract-review">75E4E692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604e7969-0913-4c6e-878a-c38fe4eb2b5b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7A15B18A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6df5b947-7b72-4384-a168-dee4eb06350c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655BE433</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c2bf102a-459a-4e84-96b4-0a27d3c6a21f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655BE433</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b579bb09-ef3d-4f71-a2aa-869e7b4ec9c0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3422A71B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60aa8b3f-0926-4062-9f8b-0f452c52de72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3071894E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4a3ba604-2e2d-4092-b6e6-4c2645ac1111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97cc2ebe-a4b3-47e1-92bd-31e136c143f5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4aeb70c8-3f8d-4ac2-ab1c-d1f2b1a42da9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714430f0-8d8f-442c-a0ba-09369dd98c4c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ef68082b-988d-419a-b3c8-6d41c2a7ce3c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a69eed50-d66f-4a02-b10b-731a16c2ec39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6EF9F219</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b5cfe6bf-e1f3-44b1-9995-5cf1257d8e30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03ac93e3-54f8-4378-a8b1-cdaf215616b5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6EF9F219</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781913c0-2730-4984-9415-740a8d2f1e04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fb5544b9-1264-4c17-bdad-604a067cbd3f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b930fbaa-2b58-4c8d-b063-c0fc093a40f6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c1a0c24a-14be-406f-ac34-337440a0d1c8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434c21a8-dfca-41c6-89ab-6cc02543f730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4dc737db-348b-4b21-8a3c-c624f8ff0f0b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67f024de-c7aa-4303-9a5e-c0675295e6a3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155</start>
      <end xmlns="http://schemas.wps.cn/vas-ai-hub/contract-review">156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3fd94b7c-8095-434b-9684-42ce7dea1ffc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159</start>
      <end xmlns="http://schemas.wps.cn/vas-ai-hub/contract-review">160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de17a935-487f-4d4c-a1e9-d838ef916c8a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5FFCF945</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76a867c1-7612-43d9-b069-623bf9149899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6F3AB27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b99f56a7-a0ab-462e-9996-0cd19355ff6f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6F3AB27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01d4c2d9-2567-46ac-b723-29979f25625c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604f7c10-fa57-462d-8b11-2ae52522d695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4CF9BDE6</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222ac00d-6d2e-4349-b091-f1a227288c8f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62e70bd8-970b-474f-be39-b1ebe9bb7438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dec13530-cf4b-4c0f-be97-062d4606f78b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be3e383e-511f-4a38-b290-84f017b6125f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6a00aaee-a9ce-45f0-9f98-790e550d9e32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39f526b0-b3d3-4b7a-8d03-32b5eac92c22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23F70C61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05263f8a-3a54-49d9-b4a2-145c15d6d00d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23F70C61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a85c38bf-6bf3-4714-abdc-667df0c2090a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23F70C61</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1c53ffb7-8ce5-42ca-a5ad-d6094f99c889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23F70C61</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68c2ae68-f65f-4f01-ac5b-394140396aa6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57A2A753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538dfab5-16e3-431a-bbea-1c12977c45da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7717D881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7a89df97-6356-48ae-896f-587d190c9e91</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2F182ED5</paraID>
      <start xmlns="http://schemas.wps.cn/vas-ai-hub/contract-review">77</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d78ad0d5-3a37-4623-a2d7-ee5fde88b310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4F6C07EF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e7d8797d-2679-4b8b-bbeb-64ad936892de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4F6C07EF</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d0c1acda-3259-48ae-9d07-d46baa1f5a93</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 AE72E1D</paraID>
      <start xmlns="http://schemas.wps.cn/vas-ai-hub/contract-review">42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05d010dd-e4c6-460d-84c7-08d3cdf4e23a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3BA06034</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e3569cd5-dc61-4db0-a514-7597648887fd</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5EB06ABC</paraID>
      <start xmlns="http://schemas.wps.cn/vas-ai-hub/contract-review">80</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356c7849-7c02-4e0f-9298-b08004a8ce47</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49BA4582</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53608ba1-66dd-4bda-91af-ad61ed85fe83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2146730A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e83a5e33-a7f5-4044-aa47-db04840ecc5a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2146730A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da085132-01ef-4cae-af9f-f04c96cdb1fc</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7DBA4B9C</paraID>
      <start xmlns="http://schemas.wps.cn/vas-ai-hub/contract-review">104</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a8b4ba51-0389-49ca-8c1e-496437e51792</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11964AF9</paraID>
      <start xmlns="http://schemas.wps.cn/vas-ai-hub/contract-review">18</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df0fb2a6-0779-49dc-8663-7d75fb9ebf4a</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74CEC98B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fc285e23-1a91-49a4-9416-99dd6594e59a</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3C16C1A6</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301fa981-cb64-4781-8a1a-95f204746e14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 7C69A42</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4ba0d2c6-011c-4db6-9998-eddf35ca27ee</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6F5DA1CA</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25f6e06d-22a1-4f63-afe5-7ba6e882d8af</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7614BD7D</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fcaac4c7-01d6-4efa-a999-743f87ca2a17</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14B64F09</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9b98502b-a010-4828-b206-af721d186927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54403481</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e4a97c70-8d0d-4d07-9b54-785c5e2706d3</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52E51796</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fe9123cb-8ce0-48d1-b30b-4be69a16867a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14398FB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b7019c18-a457-41d9-a517-8e73e7f396bc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39EE5862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01ca0953-e788-41e2-9949-d88e7a855bfb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24730A87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a3d52ec1-2249-4e74-b63a-03c3e6ec824c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17E1B7F</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8225f615-237e-4321-ac5a-785236bbd648</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17E1B7F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fcbea01f-4eb6-4970-97dc-348937927291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4CA12269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aa782d2a-0796-47b6-8fee-abe1e03338e7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3643D2A3</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c8aa337c-13c0-4528-914b-6ffe3d0cc20a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7A1A25E9</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def23431-20ef-4548-b645-6dcea8a0338f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2E1456B3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43431b6d-ced3-4398-9556-c4251261261e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2E1456B3</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88be3087-83b6-4998-b6c1-7c8f157bfb0c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38CA8926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0b74b28a-b6bf-4362-b178-cd95fafa8464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38CA8926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bc25a381-44a7-4fba-8452-2c288eba31e9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53E39195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223c28a5-bcfb-4794-8a66-ae2ec505f750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5C54E7DB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a03bcb0d-d1cd-458b-b40c-77479497dc94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404F9786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ac4ec2fc-03d3-4ef3-954b-1ce9fd5ed2e1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4874B6C9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20ed5fe0-fff7-4fc1-8960-52e1f8c5d0c5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4874B6C9</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6167d9c6-a7e0-4b64-ba75-77a5351816f2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40952552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b313a53a-3db9-4574-bb1f-12ff7a728bc9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353B8E13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6421fb66-8b0d-4b37-abb8-b0413d73033b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48E068BB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e94c58c1-9d63-43d4-97ba-2c0f2e31dc8d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67511CD6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5bfdf009-d4ad-4889-8106-f59108a5d482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74197864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73ad981d-9f7e-41f8-b794-56690a64309b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74197864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e8e258a0-4f20-443d-9ba6-17d871205254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329438A9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b8e36393-5664-4dd6-b61b-748a9f56adc4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354C5D2B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7d09b803-4e68-4ec2-9b76-6a65cddc1e97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7D5B6590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d0834f1f-ec27-4041-b8c8-0e63612a0151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36544EF5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88743279-2603-4c57-8364-ef9c01d3f8ba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60C025D8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74851f4c-b0e1-420b-a07f-65a0854fcc28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297F67AF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85cf7670-0ba3-4dc7-b36d-e81413c3898a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9661154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6b371943-bd25-4806-8948-1c6cbfa80c17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21899A24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3dd1226d-a193-48af-8e75-7680ebf7ea36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72DB316D</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282f6917-2ed7-47b2-8a9e-61fe847aae3c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72DB316D</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571baed0-06ee-4904-b2c1-e630e561c4fc</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5E041C0E</paraID>
      <start xmlns="http://schemas.wps.cn/vas-ai-hub/contract-review">38</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060f3b0c-f535-48f5-9f48-d623ca8067af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5EB52FDB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561c505d-deea-4b37-8fec-83b8e580e1a7</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757127F5</paraID>
      <start xmlns="http://schemas.wps.cn/vas-ai-hub/contract-review">397</start>
      <end xmlns="http://schemas.wps.cn/vas-ai-hub/contract-review">403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5afbb0d7-795a-4456-9ea7-1a0ed5afce7a</errorID>
      <errorWord xmlns="http://schemas.wps.cn/vas-ai-hub/contract-review">环境影响报书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环境影响报告</item>
      </candidateList>
      <explain xmlns="http://schemas.wps.cn/vas-ai-hub/contract-review"/>
      <paraID xmlns="http://schemas.wps.cn/vas-ai-hub/contract-review">3CA1757B</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69b80d85-7bb2-44a3-a79c-2939b465e800</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3F779DD5</paraID>
      <start xmlns="http://schemas.wps.cn/vas-ai-hub/contract-review">111</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716834e0-fff0-449c-abb6-8fdba4d8a11f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6AEECAFE</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cfc49eee-70bb-48d9-93d3-7a9051acf80d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65EE7193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1ad60952-5d15-40b0-93f6-55982b01af09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788059F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34c62d16-630b-4563-925d-b7a9c8f9baf2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84C69D9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4d1b31b8-768b-4b78-b035-dfdd01a186df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76856F70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eb498131-5b3a-447c-82bf-b79f300a2236</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76856F70</paraID>
      <start xmlns="http://schemas.wps.cn/vas-ai-hub/contract-review">32</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452b97a4-dc4b-48ad-a108-725a87bcc5be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41EF3C71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8bb63637-ae24-4375-810d-573eea8208aa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11EE974A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abb9cda7-432f-4776-a399-55c3a41ec99f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92EBC5D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6b1d24d8-7d32-4e87-b42b-a704bb752ebf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60FD0464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9ebe960d-1062-42fa-bae7-69d95140d4af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659E4A8A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7d99d1b1-2583-4752-b0c7-7da210be4bbf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49E84A6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2d50b020-421f-410c-a458-ea0c500c0d58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50539917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e223447c-0567-4585-959c-576cf9daa313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3224D774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fa210fcb-1c38-49ce-abcc-c56ae7e4abba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5CF4EE32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0c6cf5e0-0ae6-4dac-8345-5720b57d6674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3B62E5FB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4c361de8-deae-4e2f-85fa-4b5a60ff4a22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5C1DA4A6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6d7fdb84-a308-43cb-bcb9-d1993e7defb2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784265AB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29e4b235-e0cf-4095-909a-53570fc0b873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26434A82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11c95e77-091b-4f94-8c08-cb411b1fdbe9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7E8E1A97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0ba55bb5-c764-41fc-b35b-c50c920dc7eb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2C9F09FE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31529199-b64d-4249-9071-a6441adf0049</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评等</item>
      </candidateList>
      <explain xmlns="http://schemas.wps.cn/vas-ai-hub/contract-review"/>
      <paraID xmlns="http://schemas.wps.cn/vas-ai-hub/contract-review">2C9F09FE</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5cf027a3-9f66-45f2-99c2-4fc5f43b7a70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6C4F27EB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9ac57783-16b0-46a2-ab03-8026e222f7f1</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6C4F27EB</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20f3e47f-c621-4671-9cde-d7f553cac6a4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33BB49A0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fbb69a8c-d7c8-4873-8ae1-359cfad7016d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DC67F1B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a97216a5-d8b6-4190-a111-aeb7f38960e5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7167B80C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7fa5cfeb-ce3b-4147-a06f-45eb292d038b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3EB9DDD8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d74a0af9-deb6-4193-b84c-c8d5199a9040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31A78442</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ce3e5211-68e0-43da-ab44-bb04e9e0a133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289B0C5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1b096025-21d8-4b15-a82d-882c7177b416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344DAC81</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bc646de6-062f-42f2-bb1e-d55862bfaefd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344DAC81</paraID>
      <start xmlns="http://schemas.wps.cn/vas-ai-hub/contract-review">97</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7033c7c2-7f97-4b22-8a4f-deff566a96cd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344DAC81</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c5a1e2c3-09c9-47cc-9411-309f81e32dc2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7A904274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09cac421-159f-4d1b-a47c-3102bcdb4166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B52633D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5defd4f7-e42d-4967-a3ce-78d8a177d9bf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754B5366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095d6abb-bcf0-4423-b7c8-5aade5d055f4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754B5366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8cf2aff4-9f7e-419a-97ae-48946188852f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65CB6EAE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74ce3cf0-0924-4142-8c58-c3d6eca39b7a</errorID>
      <errorWord xmlns="http://schemas.wps.cn/vas-ai-hub/contract-review">环境影响报书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环境影响报告</item>
      </candidateList>
      <explain xmlns="http://schemas.wps.cn/vas-ai-hub/contract-review"/>
      <paraID xmlns="http://schemas.wps.cn/vas-ai-hub/contract-review">65CB6EAE</paraID>
      <start xmlns="http://schemas.wps.cn/vas-ai-hub/contract-review">4</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394bc629-adaf-47ee-8494-53ed0499c1e7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48620884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241d67f3-666f-496b-946b-408cddea314b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73ED7ABB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5739dcf0-eb0b-4d35-bfa4-587d4dfc436e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788A3C69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5f4414fa-5b41-4c3a-b7fe-166eefedd84b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788A3C69</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5ea881a9-b587-4881-bafd-9f47ce548244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788A3C69</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a9e3dd1f-c288-495c-8544-058f270f4b81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6A3C784F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7a6d9de2-1a69-4e82-bcc1-56efe8e63e12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2CE06BC2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f988c0bf-cd9b-426f-babb-98c748681d1f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7f4e8824-82db-446a-8d94-76a2dbee14c9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a6ca6dfd-34a5-46fc-b287-329f606f5586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6941c94e-0d39-432f-aa38-f9e19ca438df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3c2f2f93-40e4-4949-995f-e441698c8b15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163</start>
      <end xmlns="http://schemas.wps.cn/vas-ai-hub/contract-review">164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78bdd3f4-2266-4d81-8c77-afc5c054d0e7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3BC7958F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2f2db4ec-e787-45bc-af54-95f6186683a6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72C165A3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1de35d6e-0270-4beb-b83c-f7cdcd007e5b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65247E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89b01109-373d-4f10-ac1b-fcb6d750082a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65247E</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fdd13213-5cad-48bb-9eff-d4b6d00b055d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43359611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48c70dc0-970c-4c5a-9cbe-9669845a74db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20eecc18-a968-408c-8b28-e76bfcaf7487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7cb64f8a-1719-49df-9949-82b5d8f5ded9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05a657d6-c9f0-4341-81d6-8bf243f590c8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dc78609d-f88c-4acc-9372-b44680a33a91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79CAEF07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6a7eda86-ef24-4023-89a7-e756c9573031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480B3D30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6c413eab-4d09-453f-9bb6-eaab49bbc1db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7237286F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4efd4f4e-38e4-402b-ac52-5bdf6054c6b2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49172DE6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9ebb5afd-095a-41be-ac18-7e2763909d18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1948A8E6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5b2a5e25-816a-4d22-a285-76a49b38e850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138438F4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eb2ac62e-ec9a-4ffe-ba57-3de8e5ffe40c</errorID>
      <errorWord xmlns="http://schemas.wps.cn/vas-ai-hub/contract-review">是由于乙方的过错造成</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是由于乙方的过错</item>
      </candidateList>
      <explain xmlns="http://schemas.wps.cn/vas-ai-hub/contract-review">该表达中的“是由于乙方的过错造成”存在语义重复。</explain>
      <paraID xmlns="http://schemas.wps.cn/vas-ai-hub/contract-review">4AF9011D</paraID>
      <start xmlns="http://schemas.wps.cn/vas-ai-hub/contract-review">41</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c486d61c-7fc1-474f-91ca-5a276daca4ff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35C960E0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d883db0e-b47d-48d0-810e-39707db17f50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9964825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753ca97d-ee8a-4b29-a2e3-d4249ec04c3d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2A27FF0E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19c119cc-68e6-4c07-a40c-30e0b36374b5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5B708A76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87426e33-4cd0-43d4-ac20-547d70e068cf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6865D8DF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5cd0de21-8c64-4a88-9ece-8c37964c8b2a</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6865D8DF</paraID>
      <start xmlns="http://schemas.wps.cn/vas-ai-hub/contract-review">14</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d26de712-3056-4ac9-ac4e-73cc6499f23c</errorID>
      <errorWord xmlns="http://schemas.wps.cn/vas-ai-hub/contract-review">第22条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第二十二条</item>
      </candidateList>
      <explain xmlns="http://schemas.wps.cn/vas-ai-hub/contract-review">法律条目书写应使用汉字数字，不使用阿拉伯数字。</explain>
      <paraID xmlns="http://schemas.wps.cn/vas-ai-hub/contract-review">6865D8DF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fe09f5b4-8d7a-4e0e-889b-e90933779c5b</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6865D8DF</paraID>
      <start xmlns="http://schemas.wps.cn/vas-ai-hub/contract-review">37</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97887037-9998-46da-90e6-618d13fcda72</errorID>
      <errorWord xmlns="http://schemas.wps.cn/vas-ai-hub/contract-review">第77条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第七十七条</item>
      </candidateList>
      <explain xmlns="http://schemas.wps.cn/vas-ai-hub/contract-review">法律条目书写应使用汉字数字，不使用阿拉伯数字。</explain>
      <paraID xmlns="http://schemas.wps.cn/vas-ai-hub/contract-review">6865D8DF</paraID>
      <start xmlns="http://schemas.wps.cn/vas-ai-hub/contract-review">44</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94c13c2f-0e4f-4159-afb4-41d835074208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263DD761</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fddddc2b-9ec3-4ce3-ab4d-ade549d366ff</errorID>
      <errorWord xmlns="http://schemas.wps.cn/vas-ai-hub/contract-review">所有的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所有</item>
      </candidateList>
      <explain xmlns="http://schemas.wps.cn/vas-ai-hub/contract-review"/>
      <paraID xmlns="http://schemas.wps.cn/vas-ai-hub/contract-review">263DD761</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f180c764-9e50-4a69-b215-db346eea9f09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2D7C5B16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599f7b95-a7df-491e-a3e2-e50cddc0758c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16BF3356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a8c10f18-3d25-406c-8358-c5bd1ba38bfc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402123A3</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8365a174-5c92-4ae0-829a-b00002a4188a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5261034C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cc5d8e84-879c-4afb-8b5d-bea8962a0e76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4FB6B116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cd622136-82a7-432e-8d77-cc36a6bee8cd</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 2818E89</paraID>
      <start xmlns="http://schemas.wps.cn/vas-ai-hub/contract-review">32</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626f5010-3f28-4680-9fa4-ecc5b0ac6683</errorID>
      <errorWord xmlns="http://schemas.wps.cn/vas-ai-hub/contract-review">其它所有</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其他所有</item>
      </candidateList>
      <explain xmlns="http://schemas.wps.cn/vas-ai-hub/contract-review">词汇[其它所有]为不规范表述或旧称，其规范书面表述为[其他所有]。</explain>
      <paraID xmlns="http://schemas.wps.cn/vas-ai-hub/contract-review">12902611</paraID>
      <start xmlns="http://schemas.wps.cn/vas-ai-hub/contract-review">88</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fb0b5a76-a491-42e0-954d-a567945751f7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6E8509DE</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b6275d83-d9c4-403d-b740-8ebc00d89b26</errorID>
      <errorWord xmlns="http://schemas.wps.cn/vas-ai-hub/contract-review">评委会会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评委会</item>
      </candidateList>
      <explain xmlns="http://schemas.wps.cn/vas-ai-hub/contract-review"/>
      <paraID xmlns="http://schemas.wps.cn/vas-ai-hub/contract-review"> 9A2FE0F</paraID>
      <start xmlns="http://schemas.wps.cn/vas-ai-hub/contract-review">98</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b24ba93c-128a-4dd7-9a7e-a0309ac07802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2AF5075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1f59e8f5-9855-4ab8-8149-f929cd5fe840</errorID>
      <errorWord xmlns="http://schemas.wps.cn/vas-ai-hub/contract-review">所将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item>
      </candidateList>
      <explain xmlns="http://schemas.wps.cn/vas-ai-hub/contract-review"/>
      <paraID xmlns="http://schemas.wps.cn/vas-ai-hub/contract-review">47F27CBF</paraID>
      <start xmlns="http://schemas.wps.cn/vas-ai-hub/contract-review">71</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2ae731a3-f1de-46b6-9597-ee20ff6edca1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2F183816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f2d747db-bdd4-4b2f-9857-645ae4bcb5e0</errorID>
      <errorWord xmlns="http://schemas.wps.cn/vas-ai-hub/contract-review">采购采购活动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采购活动</item>
      </candidateList>
      <explain xmlns="http://schemas.wps.cn/vas-ai-hub/contract-review"/>
      <paraID xmlns="http://schemas.wps.cn/vas-ai-hub/contract-review"> 6FA834E</paraID>
      <start xmlns="http://schemas.wps.cn/vas-ai-hub/contract-review">6</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11b3311a-0eb3-4c8c-9482-8674922b6b91</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20E8092F</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017505-4E5B-4ED3-9908-223CA770341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范工</cp:lastModifiedBy>
  <cp:revision>2</cp:revision>
  <dcterms:created xsi:type="dcterms:W3CDTF">2026-10-14T03:42:00Z</dcterms:created>
  <dcterms:modified xsi:type="dcterms:W3CDTF">2026-10-14T14:09:41Z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3DEF0155437F4612888CD618DFE9B539_13</vt:lpwstr>
  </property>
  <property fmtid="{D5CDD505-2E9C-101B-9397-08002B2CF9AE}" pid="4" name="KSOTemplateDocerSaveRecord">
    <vt:lpwstr>eyJoZGlkIjoiZTU2NTY1MzJhNGQwODc5NjE1MDhmN2VjMDI1NTE3NDciLCJ1c2VySWQiOiIxNDYzMDU3NDI2In0=</vt:lpwstr>
  </property>
</Properties>
</file>