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连云港市重大项目全生命周期管理服务平台（三期）</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JSZC-320700-JZCG-G2026-0129</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7"/>
        <w:rPr>
          <w:sz w:val="28"/>
        </w:rPr>
      </w:pPr>
      <w:r>
        <w:rPr>
          <w:sz w:val="28"/>
        </w:rPr>
      </w:r>
      <w:r/>
    </w:p>
    <w:p>
      <w:pPr>
        <w:pStyle w:val="857"/>
        <w:rPr>
          <w:sz w:val="28"/>
        </w:rPr>
      </w:pPr>
      <w:r>
        <w:rPr>
          <w:rFonts w:hint="eastAsia"/>
          <w:sz w:val="28"/>
        </w:rPr>
        <w:t xml:space="preserve">第一章投标邀请</w:t>
      </w:r>
      <w:r>
        <w:rPr>
          <w:rFonts w:hint="eastAsia"/>
          <w:sz w:val="28"/>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7"/>
        <w:rPr>
          <w:sz w:val="28"/>
        </w:rPr>
      </w:pPr>
      <w:r>
        <w:rPr>
          <w:rFonts w:hint="eastAsia"/>
          <w:sz w:val="28"/>
        </w:rPr>
        <w:t xml:space="preserve">第二章投标人须知</w:t>
      </w:r>
      <w:r>
        <w:rPr>
          <w:rFonts w:hint="eastAsia"/>
          <w:sz w:val="28"/>
        </w:rPr>
        <w:t xml:space="preserve">...............................................................................</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7"/>
        <w:rPr>
          <w:sz w:val="28"/>
        </w:rPr>
      </w:pPr>
      <w:r>
        <w:rPr>
          <w:rFonts w:hint="eastAsia"/>
          <w:sz w:val="28"/>
        </w:rPr>
        <w:t xml:space="preserve">第三章合同文本</w:t>
      </w:r>
      <w:r>
        <w:rPr>
          <w:rFonts w:hint="eastAsia"/>
          <w:sz w:val="28"/>
        </w:rPr>
        <w:t xml:space="preserve">.................................................................................</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57"/>
        <w:rPr>
          <w:sz w:val="28"/>
        </w:rPr>
      </w:pPr>
      <w:r>
        <w:rPr>
          <w:rFonts w:hint="eastAsia"/>
          <w:sz w:val="28"/>
        </w:rPr>
        <w:t xml:space="preserve">第四章采购需求</w:t>
      </w:r>
      <w:r>
        <w:rPr>
          <w:rFonts w:hint="eastAsia"/>
          <w:sz w:val="28"/>
        </w:rPr>
        <w:t xml:space="preserve">.................................................................................</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57"/>
        <w:rPr>
          <w:sz w:val="28"/>
        </w:rPr>
      </w:pPr>
      <w:r>
        <w:rPr>
          <w:rFonts w:hint="eastAsia"/>
          <w:sz w:val="28"/>
        </w:rPr>
        <w:t xml:space="preserve">第五章评标方法与评标标准</w:t>
      </w:r>
      <w:r>
        <w:rPr>
          <w:rFonts w:hint="eastAsia"/>
          <w:sz w:val="28"/>
        </w:rPr>
        <w:t xml:space="preserve">.............................................................</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57"/>
        <w:rPr>
          <w:sz w:val="28"/>
        </w:rPr>
      </w:pPr>
      <w:r>
        <w:rPr>
          <w:rFonts w:hint="eastAsia"/>
          <w:sz w:val="28"/>
        </w:rPr>
        <w:t xml:space="preserve">第六章投标文件格式</w:t>
      </w:r>
      <w:r>
        <w:rPr>
          <w:rFonts w:hint="eastAsia"/>
          <w:sz w:val="28"/>
        </w:rPr>
        <w:t xml:space="preserve">.........................................................................</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3"/>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受连云港市政务大厅服务中心的委托，连云港市公共资源交易中心就连云港市重大项目全生命周期管理服务平台（</w:t>
      </w:r>
      <w:r>
        <w:rPr>
          <w:rFonts w:hint="eastAsia" w:asciiTheme="minorEastAsia" w:hAnsiTheme="minorEastAsia"/>
          <w:sz w:val="24"/>
          <w:szCs w:val="24"/>
        </w:rPr>
        <w:t xml:space="preserve">三期）（</w:t>
      </w:r>
      <w:r>
        <w:rPr>
          <w:rFonts w:asciiTheme="minorEastAsia" w:hAnsiTheme="minorEastAsia"/>
          <w:sz w:val="24"/>
          <w:szCs w:val="24"/>
        </w:rPr>
        <w:t xml:space="preserve">JSZC-320700-JZCG-G2026-0129</w:t>
      </w:r>
      <w:r>
        <w:rPr>
          <w:rFonts w:hint="eastAsia" w:asciiTheme="minorEastAsia" w:hAnsiTheme="minorEastAsia"/>
          <w:sz w:val="24"/>
          <w:szCs w:val="24"/>
        </w:rPr>
        <w:t xml:space="preserve">）</w:t>
      </w:r>
      <w:r>
        <w:rPr>
          <w:rFonts w:hint="eastAsia" w:asciiTheme="minorEastAsia" w:hAnsiTheme="minorEastAsia"/>
          <w:sz w:val="24"/>
          <w:szCs w:val="24"/>
        </w:rPr>
        <w:t xml:space="preserve">项目进行公开招标采购，欢迎符合条件的供应商投标。</w:t>
      </w:r>
      <w:r/>
    </w:p>
    <w:tbl>
      <w:tblPr>
        <w:tblStyle w:val="859"/>
        <w:tblW w:w="0" w:type="auto"/>
        <w:tblInd w:w="150" w:type="dxa"/>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rPr>
                <w:highlight w:val="none"/>
              </w:rP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连云港市重大项目全生命周期管理服务平台（三期）招标项目的潜在投标人应在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2026年11月17日10:30:00</w:t>
            </w:r>
            <w:r>
              <w:rPr>
                <w:rFonts w:hint="eastAsia" w:asciiTheme="minorEastAsia" w:hAnsiTheme="minorEastAsia"/>
                <w:sz w:val="24"/>
                <w:szCs w:val="24"/>
                <w:highlight w:val="none"/>
              </w:rPr>
              <w:t xml:space="preserve">（北京时间）前递交（上传）投标文件。</w:t>
            </w:r>
            <w:r>
              <w:rPr>
                <w:highlight w:val="none"/>
              </w:rPr>
            </w:r>
          </w:p>
        </w:tc>
      </w:tr>
    </w:tbl>
    <w:p>
      <w:pPr>
        <w:pStyle w:val="844"/>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一、项目基本情况</w:t>
      </w:r>
      <w:r>
        <w:rPr>
          <w:highlight w:val="none"/>
        </w:rP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JSZC-320700-JZCG-G2026-0129</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asciiTheme="minorEastAsia" w:hAnsiTheme="minorEastAsia"/>
          <w:sz w:val="24"/>
          <w:szCs w:val="24"/>
        </w:rPr>
        <w:t xml:space="preserve">连云港市重大项目全生命周期管理服务平台（三期）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highlight w:val="none"/>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人民币45万元</w:t>
      </w:r>
      <w:r>
        <w:rPr>
          <w:rFonts w:hint="eastAsia" w:asciiTheme="minorEastAsia" w:hAnsiTheme="minorEastAsia"/>
          <w:sz w:val="24"/>
          <w:szCs w:val="24"/>
          <w:highlight w:val="none"/>
        </w:rPr>
        <w:t xml:space="preserve">，</w:t>
      </w:r>
      <w:r>
        <w:rPr>
          <w:rFonts w:hint="eastAsia" w:cs="Times New Roman" w:asciiTheme="minorEastAsia" w:hAnsiTheme="minorEastAsia"/>
          <w:color w:val="000000"/>
          <w:sz w:val="24"/>
          <w:szCs w:val="24"/>
          <w:highlight w:val="none"/>
        </w:rPr>
        <w:t xml:space="preserve">投标报价超过</w:t>
      </w:r>
      <w:r>
        <w:rPr>
          <w:rFonts w:hint="eastAsia" w:cs="Times New Roman" w:asciiTheme="minorEastAsia" w:hAnsiTheme="minorEastAsia"/>
          <w:b/>
          <w:color w:val="000000"/>
          <w:sz w:val="24"/>
          <w:szCs w:val="24"/>
          <w:highlight w:val="none"/>
        </w:rPr>
        <w:t xml:space="preserve">预算金额</w:t>
      </w:r>
      <w:r>
        <w:rPr>
          <w:rFonts w:hint="eastAsia" w:cs="Times New Roman" w:asciiTheme="minorEastAsia" w:hAnsiTheme="minorEastAsia"/>
          <w:color w:val="000000"/>
          <w:sz w:val="24"/>
          <w:szCs w:val="24"/>
          <w:highlight w:val="none"/>
        </w:rPr>
        <w:t xml:space="preserve">的投标无效。</w:t>
      </w:r>
      <w:r>
        <w:rPr>
          <w:highlight w:val="none"/>
        </w:rP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采购需求：</w:t>
      </w:r>
      <w:r>
        <w:rPr>
          <w:rFonts w:hint="eastAsia" w:asciiTheme="minorEastAsia" w:hAnsiTheme="minorEastAsia"/>
          <w:sz w:val="24"/>
          <w:szCs w:val="24"/>
          <w:highlight w:val="none"/>
        </w:rPr>
        <w:t xml:space="preserve">依据重大项目管理要求，对连云港市重大项目全生命周期管理服务平台原功能进行新增和升级，本次连云港市重大项目全生命周期管理服务平台（三期）项目主要建设内容包括我的首页面，月度填报（项目调度）功能优化，手续配置，手续管理，项目调整，模块数字提醒，转让功能，导出功能，竣工达产模块，项目全流程手续管理，系统对接，市签约项目库。具体服务要求详见第四章项目需求。</w:t>
      </w:r>
      <w:r>
        <w:rPr>
          <w:rFonts w:hint="eastAsia" w:asciiTheme="minorEastAsia" w:hAnsiTheme="minorEastAsia"/>
          <w:sz w:val="24"/>
          <w:szCs w:val="24"/>
          <w:highlight w:val="none"/>
        </w:rPr>
      </w:r>
      <w:r>
        <w:rPr>
          <w:highlight w:val="none"/>
        </w:rPr>
      </w:r>
      <w:r>
        <w:rPr>
          <w:rFonts w:asciiTheme="minorEastAsia" w:hAnsiTheme="minorEastAsia"/>
          <w:sz w:val="24"/>
          <w:szCs w:val="24"/>
        </w:rPr>
      </w:r>
      <w:r/>
      <w:r>
        <w:rPr>
          <w:rFonts w:asciiTheme="minorEastAsia" w:hAnsiTheme="minorEastAsia"/>
          <w:sz w:val="24"/>
          <w:szCs w:val="24"/>
          <w:highlight w:val="none"/>
        </w:rP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r>
        <w:rPr>
          <w:rFonts w:hint="eastAsia" w:asciiTheme="minorEastAsia" w:hAnsiTheme="minorEastAsia"/>
          <w:sz w:val="24"/>
          <w:szCs w:val="24"/>
        </w:rPr>
        <w:t xml:space="preserve">合同签订后</w:t>
      </w:r>
      <w:r>
        <w:rPr>
          <w:rFonts w:asciiTheme="minorEastAsia" w:hAnsiTheme="minorEastAsia"/>
          <w:sz w:val="24"/>
          <w:szCs w:val="24"/>
        </w:rPr>
        <w:t xml:space="preserve">2个月内完成平台建设。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时间：自招标公告发布之日起至2026年11月02日（北京时间）</w:t>
      </w:r>
      <w:r>
        <w:rPr>
          <w:highlight w:val="none"/>
        </w:rP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提交投标文件截止时间：2026年11月17日10:30:00（北京时间）</w:t>
      </w:r>
      <w:r>
        <w:rPr>
          <w:highlight w:val="none"/>
        </w:rP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w:t>
      </w:r>
      <w:r>
        <w:rPr>
          <w:rFonts w:hint="eastAsia" w:asciiTheme="minorEastAsia" w:hAnsiTheme="minorEastAsia"/>
          <w:sz w:val="24"/>
          <w:szCs w:val="24"/>
          <w:highlight w:val="none"/>
        </w:rPr>
        <w:t xml:space="preserve">2026年11月17日10:30:00</w:t>
      </w:r>
      <w:r>
        <w:rPr>
          <w:rFonts w:hint="eastAsia" w:asciiTheme="minorEastAsia" w:hAnsiTheme="minorEastAsia"/>
          <w:sz w:val="24"/>
          <w:szCs w:val="24"/>
          <w:highlight w:val="none"/>
        </w:rPr>
        <w:t xml:space="preserve">（北京时间）</w:t>
      </w:r>
      <w:r>
        <w:rPr>
          <w:highlight w:val="none"/>
        </w:rPr>
      </w:r>
    </w:p>
    <w:p>
      <w:pPr>
        <w:ind w:firstLine="480"/>
        <w:spacing w:line="500" w:lineRule="exact"/>
        <w:rPr>
          <w:rFonts w:asciiTheme="minorEastAsia" w:hAnsiTheme="minorEastAsia"/>
          <w:highlight w:val="none"/>
        </w:rPr>
      </w:pPr>
      <w:r>
        <w:rPr>
          <w:rFonts w:hint="eastAsia" w:asciiTheme="minorEastAsia" w:hAnsiTheme="minorEastAsia"/>
          <w:sz w:val="24"/>
          <w:szCs w:val="24"/>
          <w:highlight w:val="none"/>
        </w:rPr>
        <w:t xml:space="preserve">开标地点：“苏采云”政府采购交易系统网上开标大厅</w:t>
      </w:r>
      <w:r>
        <w:rPr>
          <w:highlight w:val="none"/>
        </w:rP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w:t>
      </w:r>
      <w:r>
        <w:rPr>
          <w:rFonts w:asciiTheme="minorEastAsia" w:hAnsiTheme="minorEastAsia"/>
          <w:sz w:val="24"/>
          <w:szCs w:val="24"/>
        </w:rPr>
        <w:t xml:space="preserve">    </w:t>
      </w:r>
      <w:r>
        <w:rPr>
          <w:rFonts w:hint="eastAsia" w:asciiTheme="minorEastAsia" w:hAnsiTheme="minorEastAsia"/>
          <w:sz w:val="24"/>
          <w:szCs w:val="24"/>
        </w:rPr>
        <w:t xml:space="preserve">称：连云港市政务大厅服务中心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w:t>
      </w:r>
      <w:r>
        <w:rPr>
          <w:rFonts w:asciiTheme="minorEastAsia" w:hAnsiTheme="minorEastAsia"/>
          <w:sz w:val="24"/>
          <w:szCs w:val="24"/>
        </w:rPr>
        <w:t xml:space="preserve">    </w:t>
      </w:r>
      <w:r>
        <w:rPr>
          <w:rFonts w:hint="eastAsia" w:asciiTheme="minorEastAsia" w:hAnsiTheme="minorEastAsia"/>
          <w:sz w:val="24"/>
          <w:szCs w:val="24"/>
        </w:rPr>
        <w:t xml:space="preserve">址：</w:t>
      </w:r>
      <w:r>
        <w:rPr>
          <w:rFonts w:hint="eastAsia" w:asciiTheme="minorEastAsia" w:hAnsiTheme="minorEastAsia"/>
          <w:sz w:val="24"/>
          <w:szCs w:val="24"/>
        </w:rPr>
        <w:t xml:space="preserve">连云港市海州区凌洲东路</w:t>
      </w:r>
      <w:r>
        <w:rPr>
          <w:rFonts w:asciiTheme="minorEastAsia" w:hAnsiTheme="minorEastAsia"/>
          <w:sz w:val="24"/>
          <w:szCs w:val="24"/>
        </w:rPr>
        <w:t xml:space="preserve">9号1号楼227室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联系方式：于晓宇</w:t>
      </w:r>
      <w:r>
        <w:rPr>
          <w:rFonts w:asciiTheme="minorEastAsia" w:hAnsiTheme="minorEastAsia"/>
          <w:sz w:val="24"/>
          <w:szCs w:val="24"/>
        </w:rPr>
        <w:t xml:space="preserve"> 0518-85868018</w:t>
      </w:r>
      <w:r/>
    </w:p>
    <w:p>
      <w:pPr>
        <w:ind w:firstLine="480"/>
        <w:spacing w:line="500" w:lineRule="exact"/>
        <w:rPr>
          <w:rFonts w:asciiTheme="minorEastAsia" w:hAnsiTheme="minorEastAsia"/>
          <w:sz w:val="24"/>
          <w:szCs w:val="24"/>
        </w:rPr>
      </w:pPr>
      <w:r>
        <w:rPr>
          <w:rFonts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w:t>
      </w:r>
      <w:r>
        <w:rPr>
          <w:rFonts w:asciiTheme="minorEastAsia" w:hAnsiTheme="minorEastAsia"/>
          <w:sz w:val="24"/>
          <w:szCs w:val="24"/>
        </w:rPr>
        <w:t xml:space="preserve">    </w:t>
      </w:r>
      <w:r>
        <w:rPr>
          <w:rFonts w:hint="eastAsia" w:asciiTheme="minorEastAsia" w:hAnsiTheme="minorEastAsia"/>
          <w:sz w:val="24"/>
          <w:szCs w:val="24"/>
        </w:rPr>
        <w:t xml:space="preserve">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w:t>
      </w:r>
      <w:r>
        <w:rPr>
          <w:rFonts w:asciiTheme="minorEastAsia" w:hAnsiTheme="minorEastAsia"/>
          <w:sz w:val="24"/>
          <w:szCs w:val="24"/>
        </w:rPr>
        <w:t xml:space="preserve">    </w:t>
      </w:r>
      <w:r>
        <w:rPr>
          <w:rFonts w:hint="eastAsia" w:asciiTheme="minorEastAsia" w:hAnsiTheme="minorEastAsia"/>
          <w:sz w:val="24"/>
          <w:szCs w:val="24"/>
        </w:rPr>
        <w:t xml:space="preserve">址：连云港市海州区凌洲东路</w:t>
      </w:r>
      <w:r>
        <w:rPr>
          <w:rFonts w:asciiTheme="minorEastAsia" w:hAnsiTheme="minorEastAsia"/>
          <w:sz w:val="24"/>
          <w:szCs w:val="24"/>
        </w:rPr>
        <w:t xml:space="preserve">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w:t>
      </w:r>
      <w:r>
        <w:rPr>
          <w:rFonts w:hint="eastAsia" w:asciiTheme="minorEastAsia" w:hAnsiTheme="minorEastAsia"/>
          <w:sz w:val="24"/>
          <w:szCs w:val="24"/>
        </w:rPr>
        <w:t xml:space="preserve">王工</w:t>
      </w:r>
      <w:r>
        <w:rPr>
          <w:rFonts w:cs="Times New Roman" w:asciiTheme="minorEastAsia" w:hAnsiTheme="minorEastAsia"/>
          <w:sz w:val="24"/>
          <w:szCs w:val="24"/>
        </w:rPr>
        <w:t xml:space="preserve">  0518-8586</w:t>
      </w:r>
      <w:r>
        <w:rPr>
          <w:rFonts w:hint="eastAsia" w:cs="Times New Roman" w:asciiTheme="minorEastAsia" w:hAnsiTheme="minorEastAsia"/>
          <w:sz w:val="24"/>
          <w:szCs w:val="24"/>
        </w:rPr>
        <w:t xml:space="preserve">2316</w:t>
      </w:r>
      <w:r/>
    </w:p>
    <w:p>
      <w:pPr>
        <w:ind w:firstLine="480"/>
        <w:spacing w:line="500" w:lineRule="exact"/>
        <w:rPr>
          <w:rFonts w:asciiTheme="minorEastAsia" w:hAnsiTheme="minorEastAsia"/>
          <w:sz w:val="24"/>
          <w:szCs w:val="24"/>
        </w:rPr>
      </w:pPr>
      <w:r>
        <w:rPr>
          <w:rFonts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项目联系人：于晓宇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w:t>
      </w:r>
      <w:r>
        <w:rPr>
          <w:rFonts w:asciiTheme="minorEastAsia" w:hAnsiTheme="minorEastAsia"/>
          <w:sz w:val="24"/>
          <w:szCs w:val="24"/>
        </w:rPr>
        <w:t xml:space="preserve">      </w:t>
      </w:r>
      <w:r>
        <w:rPr>
          <w:rFonts w:hint="eastAsia" w:asciiTheme="minorEastAsia" w:hAnsiTheme="minorEastAsia"/>
          <w:sz w:val="24"/>
          <w:szCs w:val="24"/>
        </w:rPr>
        <w:t xml:space="preserve">话：</w:t>
      </w:r>
      <w:r>
        <w:rPr>
          <w:rFonts w:asciiTheme="minorEastAsia" w:hAnsiTheme="minorEastAsia"/>
          <w:sz w:val="24"/>
          <w:szCs w:val="24"/>
        </w:rPr>
        <w:t xml:space="preserve"> 0518-85868018</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43"/>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9.4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《关于推动解决政府采购异常低价问题的通知》（财库〔2026〕2号）中规定：采购人可以结合具体项目实际情况，提高上述第1项至第3项中启动异常低价投标（响应）审查的数值标准，但是最高不得超过</w:t>
      </w:r>
      <w:r>
        <w:rPr>
          <w:rFonts w:ascii="宋体" w:hAnsi="宋体" w:eastAsia="宋体" w:cs="宋体"/>
          <w:bCs/>
          <w:sz w:val="24"/>
          <w:szCs w:val="24"/>
        </w:rPr>
        <w:t xml:space="preserve">65%</w:t>
      </w:r>
      <w:r>
        <w:rPr>
          <w:rFonts w:hint="eastAsia" w:ascii="宋体" w:hAnsi="宋体" w:eastAsia="宋体" w:cs="宋体"/>
          <w:bCs/>
          <w:sz w:val="24"/>
          <w:szCs w:val="24"/>
        </w:rPr>
        <w:t xml:space="preserve">。相关法律法规对供应商报价有规定的，从其规定。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2"/>
        <w:spacing w:line="500" w:lineRule="exact"/>
        <w:rPr>
          <w:rFonts w:asciiTheme="minorEastAsia" w:hAnsiTheme="minorEastAsia"/>
          <w:b/>
          <w:sz w:val="24"/>
        </w:rPr>
      </w:pPr>
      <w:r>
        <w:rPr>
          <w:rFonts w:hint="eastAsia" w:asciiTheme="minorEastAsia" w:hAnsiTheme="minorEastAsia"/>
          <w:b/>
          <w:sz w:val="24"/>
        </w:rPr>
        <w:t xml:space="preserve">37.其他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 未尽事宜，依照有关法律、法规执行。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4"/>
      <w:r/>
      <w:bookmarkStart w:id="7"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rFonts w:hint="eastAsia"/>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乙方逾期交付合同标的的，乙方应按逾期交付总额每日千分之六向甲方支付违约金，由甲方从待付合同款中扣除。逾期超过约定日期</w:t>
      </w:r>
      <w:r>
        <w:rPr>
          <w:rFonts w:hint="eastAsia"/>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15.4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w:t>
      </w:r>
      <w:r>
        <w:rPr>
          <w:rFonts w:hint="eastAsia"/>
          <w:sz w:val="24"/>
          <w:szCs w:val="24"/>
        </w:rPr>
        <w:t xml:space="preserve">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bookmarkEnd w:id="6"/>
      <w:r/>
      <w:bookmarkEnd w:id="7"/>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ascii="仿宋" w:hAnsi="仿宋" w:eastAsia="仿宋" w:cs="仿宋"/>
          <w:color w:val="000000"/>
          <w:sz w:val="28"/>
          <w:szCs w:val="28"/>
          <w:shd w:val="clear" w:color="auto" w:fill="ffffff"/>
        </w:rPr>
        <w:t xml:space="preserve">软件和信息技术服务业</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ind w:firstLine="480"/>
        <w:jc w:val="left"/>
        <w:spacing w:line="500" w:lineRule="exact"/>
        <w:widowControl/>
        <w:rPr>
          <w:sz w:val="24"/>
        </w:rPr>
      </w:pPr>
      <w:r>
        <w:rPr>
          <w:rFonts w:hint="eastAsia" w:ascii="宋体" w:hAnsi="宋体" w:eastAsia="宋体" w:cs="Times New Roman"/>
          <w:sz w:val="24"/>
          <w:szCs w:val="24"/>
        </w:rPr>
        <w:t xml:space="preserve">本次主要建设内容包括我的首页面，月度填报（项目调度）功能优化，手续配置，手续管理，项目调整，模块数字提醒，转让功能，导出功能，竣工达产模块，项目全流程手续管理，系统对接，市签约项目库。</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sz w:val="24"/>
        </w:rPr>
      </w:pPr>
      <w:r>
        <w:rPr>
          <w:rFonts w:hint="eastAsia"/>
          <w:sz w:val="24"/>
        </w:rPr>
        <w:t xml:space="preserve">详细描述本项目采购内容，至少包含下列内容。</w:t>
      </w:r>
      <w:r/>
    </w:p>
    <w:p>
      <w:pPr>
        <w:ind w:firstLine="480"/>
        <w:spacing w:line="360" w:lineRule="auto"/>
        <w:rPr>
          <w:rFonts w:asciiTheme="minorEastAsia" w:hAnsiTheme="minorEastAsia"/>
          <w:sz w:val="24"/>
        </w:rPr>
      </w:pPr>
      <w:r>
        <w:rPr>
          <w:rFonts w:hint="eastAsia" w:asciiTheme="minorEastAsia" w:hAnsiTheme="minorEastAsia"/>
          <w:sz w:val="24"/>
        </w:rPr>
        <w:t xml:space="preserve">1.服务范围（服务内容）</w:t>
      </w:r>
      <w:r/>
    </w:p>
    <w:p>
      <w:pPr>
        <w:ind w:firstLine="480"/>
        <w:spacing w:line="360" w:lineRule="auto"/>
        <w:rPr>
          <w:rFonts w:asciiTheme="minorEastAsia" w:hAnsiTheme="minorEastAsia"/>
          <w:sz w:val="24"/>
        </w:rPr>
      </w:pPr>
      <w:r>
        <w:rPr>
          <w:rFonts w:hint="eastAsia" w:asciiTheme="minorEastAsia" w:hAnsiTheme="minorEastAsia"/>
          <w:sz w:val="24"/>
        </w:rPr>
        <w:t xml:space="preserve">（1）我的首页面</w:t>
      </w:r>
      <w:r/>
    </w:p>
    <w:p>
      <w:pPr>
        <w:ind w:firstLine="480"/>
        <w:spacing w:line="360" w:lineRule="auto"/>
        <w:rPr>
          <w:rFonts w:asciiTheme="minorEastAsia" w:hAnsiTheme="minorEastAsia"/>
          <w:sz w:val="24"/>
        </w:rPr>
      </w:pPr>
      <w:r>
        <w:rPr>
          <w:rFonts w:hint="eastAsia" w:asciiTheme="minorEastAsia" w:hAnsiTheme="minorEastAsia"/>
          <w:sz w:val="24"/>
        </w:rPr>
        <w:t xml:space="preserve">①事项办理动态记录</w:t>
      </w:r>
      <w:r/>
    </w:p>
    <w:p>
      <w:pPr>
        <w:ind w:firstLine="480"/>
        <w:spacing w:line="360" w:lineRule="auto"/>
        <w:rPr>
          <w:rFonts w:asciiTheme="minorEastAsia" w:hAnsiTheme="minorEastAsia"/>
          <w:sz w:val="24"/>
        </w:rPr>
      </w:pPr>
      <w:r>
        <w:rPr>
          <w:rFonts w:hint="eastAsia" w:asciiTheme="minorEastAsia" w:hAnsiTheme="minorEastAsia"/>
          <w:sz w:val="24"/>
        </w:rPr>
        <w:t xml:space="preserve">需针对重大项目三期平台我的首页开发事项办理动态记录功能。在首页面增加“事项办理动态”模块，以列表形式展示系统所有项目事项办理记录，包含项目名称、事项名称、操作内容、操作时间，按操作时间降序排列。操作内容完整记录从事项配置到事项办结全流程事项动态管理操作，包含新增事项、事项认领、事项删除、事项转交、事项状态更新、事项延期操作记录。支持点击更多打开事项办理动态详细列表，支持按操作时间、事项名称、事项类型多维度筛选，支持数据导出。</w:t>
      </w:r>
      <w:r/>
    </w:p>
    <w:p>
      <w:pPr>
        <w:ind w:firstLine="480"/>
        <w:spacing w:line="360" w:lineRule="auto"/>
        <w:rPr>
          <w:rFonts w:asciiTheme="minorEastAsia" w:hAnsiTheme="minorEastAsia"/>
          <w:sz w:val="24"/>
        </w:rPr>
      </w:pPr>
      <w:r>
        <w:rPr>
          <w:rFonts w:hint="eastAsia" w:asciiTheme="minorEastAsia" w:hAnsiTheme="minorEastAsia"/>
          <w:sz w:val="24"/>
        </w:rPr>
        <w:t xml:space="preserve">②事项提醒分析</w:t>
      </w:r>
      <w:r/>
    </w:p>
    <w:p>
      <w:pPr>
        <w:ind w:firstLine="480"/>
        <w:spacing w:line="360" w:lineRule="auto"/>
        <w:rPr>
          <w:rFonts w:asciiTheme="minorEastAsia" w:hAnsiTheme="minorEastAsia"/>
          <w:sz w:val="24"/>
        </w:rPr>
      </w:pPr>
      <w:r>
        <w:rPr>
          <w:rFonts w:hint="eastAsia" w:asciiTheme="minorEastAsia" w:hAnsiTheme="minorEastAsia"/>
          <w:sz w:val="24"/>
        </w:rPr>
        <w:t xml:space="preserve">需针对重大项目三期平台我的首页开发事项提醒分析功能。在首页面增加“事项提醒分析”模块，以列表形式展示系统所有项目事项提醒记录，包含事项名称、已推送提醒数、已超期数、已延期数、已办结数；支持切换本月、本周、当天统计维度。支持点击更多打开事项提醒分析详细列表，支持按事项名称、事项类型、事项办理状态多维度筛选，支持数据导出。支持点击统计数字跳转对应明细记录，明细列表包含项目名称、建设性质、项目辖区、事项名称、认领情况、责任人、责任部门，支持按项目名称、项目辖区、认领情况、责任部门多维度筛选，支持数据导出。</w:t>
      </w:r>
      <w:r/>
    </w:p>
    <w:p>
      <w:pPr>
        <w:ind w:firstLine="480"/>
        <w:spacing w:line="360" w:lineRule="auto"/>
        <w:rPr>
          <w:rFonts w:asciiTheme="minorEastAsia" w:hAnsiTheme="minorEastAsia"/>
          <w:sz w:val="24"/>
        </w:rPr>
      </w:pPr>
      <w:r>
        <w:rPr>
          <w:rFonts w:hint="eastAsia" w:asciiTheme="minorEastAsia" w:hAnsiTheme="minorEastAsia"/>
          <w:sz w:val="24"/>
        </w:rPr>
        <w:t xml:space="preserve">③页面权限</w:t>
      </w:r>
      <w:r/>
    </w:p>
    <w:p>
      <w:pPr>
        <w:ind w:firstLine="480"/>
        <w:spacing w:line="360" w:lineRule="auto"/>
        <w:rPr>
          <w:rFonts w:asciiTheme="minorEastAsia" w:hAnsiTheme="minorEastAsia"/>
          <w:sz w:val="24"/>
        </w:rPr>
      </w:pPr>
      <w:r>
        <w:rPr>
          <w:rFonts w:hint="eastAsia" w:asciiTheme="minorEastAsia" w:hAnsiTheme="minorEastAsia"/>
          <w:sz w:val="24"/>
        </w:rPr>
        <w:t xml:space="preserve">我的首页面全部数据实现权限联动，不同权限角色查看对应权限范围内的数据。</w:t>
      </w:r>
      <w:r/>
    </w:p>
    <w:p>
      <w:pPr>
        <w:ind w:firstLine="480"/>
        <w:spacing w:line="360" w:lineRule="auto"/>
        <w:rPr>
          <w:rFonts w:asciiTheme="minorEastAsia" w:hAnsiTheme="minorEastAsia"/>
          <w:sz w:val="24"/>
        </w:rPr>
      </w:pPr>
      <w:r>
        <w:rPr>
          <w:rFonts w:hint="eastAsia" w:asciiTheme="minorEastAsia" w:hAnsiTheme="minorEastAsia"/>
          <w:sz w:val="24"/>
        </w:rPr>
        <w:t xml:space="preserve">④页面排版调整</w:t>
      </w:r>
      <w:r/>
    </w:p>
    <w:p>
      <w:pPr>
        <w:ind w:firstLine="480"/>
        <w:spacing w:line="360" w:lineRule="auto"/>
        <w:rPr>
          <w:rFonts w:asciiTheme="minorEastAsia" w:hAnsiTheme="minorEastAsia"/>
          <w:sz w:val="24"/>
        </w:rPr>
      </w:pPr>
      <w:r>
        <w:rPr>
          <w:rFonts w:hint="eastAsia" w:asciiTheme="minorEastAsia" w:hAnsiTheme="minorEastAsia"/>
          <w:sz w:val="24"/>
        </w:rPr>
        <w:t xml:space="preserve">对首页页面重新排版设计，将新增的事项办理动态、事项提醒分析模块融入首页页面。</w:t>
      </w:r>
      <w:r/>
    </w:p>
    <w:p>
      <w:pPr>
        <w:ind w:firstLine="480"/>
        <w:spacing w:line="360" w:lineRule="auto"/>
        <w:rPr>
          <w:rFonts w:asciiTheme="minorEastAsia" w:hAnsiTheme="minorEastAsia"/>
          <w:sz w:val="24"/>
        </w:rPr>
      </w:pPr>
      <w:r>
        <w:rPr>
          <w:rFonts w:hint="eastAsia" w:asciiTheme="minorEastAsia" w:hAnsiTheme="minorEastAsia"/>
          <w:sz w:val="24"/>
        </w:rPr>
        <w:t xml:space="preserve">（2）月度填报（项目调度）功能优化</w:t>
      </w:r>
      <w:r/>
    </w:p>
    <w:p>
      <w:pPr>
        <w:ind w:firstLine="480"/>
        <w:spacing w:line="360" w:lineRule="auto"/>
        <w:rPr>
          <w:rFonts w:asciiTheme="minorEastAsia" w:hAnsiTheme="minorEastAsia"/>
          <w:sz w:val="24"/>
        </w:rPr>
      </w:pPr>
      <w:r>
        <w:rPr>
          <w:rFonts w:hint="eastAsia" w:asciiTheme="minorEastAsia" w:hAnsiTheme="minorEastAsia"/>
          <w:sz w:val="24"/>
        </w:rPr>
        <w:t xml:space="preserve">①开工/竣工信息填写逻辑调整</w:t>
      </w:r>
      <w:r/>
    </w:p>
    <w:p>
      <w:pPr>
        <w:ind w:firstLine="480"/>
        <w:spacing w:line="360" w:lineRule="auto"/>
        <w:rPr>
          <w:rFonts w:asciiTheme="minorEastAsia" w:hAnsiTheme="minorEastAsia"/>
          <w:sz w:val="24"/>
        </w:rPr>
      </w:pPr>
      <w:r>
        <w:rPr>
          <w:rFonts w:hint="eastAsia" w:asciiTheme="minorEastAsia" w:hAnsiTheme="minorEastAsia"/>
          <w:sz w:val="24"/>
        </w:rPr>
        <w:t xml:space="preserve">对月度填报开工、竣工信息填报逻辑进行调整，设置开工时间、竣工时间为必填项；已开工、已竣工项目信息无需重复填报。</w:t>
      </w:r>
      <w:r/>
    </w:p>
    <w:p>
      <w:pPr>
        <w:ind w:firstLine="480"/>
        <w:spacing w:line="360" w:lineRule="auto"/>
        <w:rPr>
          <w:rFonts w:asciiTheme="minorEastAsia" w:hAnsiTheme="minorEastAsia"/>
          <w:sz w:val="24"/>
        </w:rPr>
      </w:pPr>
      <w:r>
        <w:rPr>
          <w:rFonts w:hint="eastAsia" w:asciiTheme="minorEastAsia" w:hAnsiTheme="minorEastAsia"/>
          <w:sz w:val="24"/>
        </w:rPr>
        <w:t xml:space="preserve">②页面内容调整</w:t>
      </w:r>
      <w:r/>
    </w:p>
    <w:p>
      <w:pPr>
        <w:ind w:firstLine="480"/>
        <w:spacing w:line="360" w:lineRule="auto"/>
        <w:rPr>
          <w:rFonts w:asciiTheme="minorEastAsia" w:hAnsiTheme="minorEastAsia"/>
          <w:sz w:val="24"/>
        </w:rPr>
      </w:pPr>
      <w:r>
        <w:rPr>
          <w:rFonts w:hint="eastAsia" w:asciiTheme="minorEastAsia" w:hAnsiTheme="minorEastAsia"/>
          <w:sz w:val="24"/>
        </w:rPr>
        <w:t xml:space="preserve">调整月度填报页面布局，开工/竣工信息与当月形象进度信息分开展示；调度信息去除上月调度信息，仅展示本月信息，增加导出功能。</w:t>
      </w:r>
      <w:r/>
    </w:p>
    <w:p>
      <w:pPr>
        <w:ind w:firstLine="480"/>
        <w:spacing w:line="360" w:lineRule="auto"/>
        <w:rPr>
          <w:rFonts w:asciiTheme="minorEastAsia" w:hAnsiTheme="minorEastAsia"/>
          <w:sz w:val="24"/>
        </w:rPr>
      </w:pPr>
      <w:r>
        <w:rPr>
          <w:rFonts w:hint="eastAsia" w:asciiTheme="minorEastAsia" w:hAnsiTheme="minorEastAsia"/>
          <w:sz w:val="24"/>
        </w:rPr>
        <w:t xml:space="preserve">③填报开关控制配置</w:t>
      </w:r>
      <w:r/>
    </w:p>
    <w:p>
      <w:pPr>
        <w:ind w:firstLine="480"/>
        <w:spacing w:line="360" w:lineRule="auto"/>
        <w:rPr>
          <w:rFonts w:asciiTheme="minorEastAsia" w:hAnsiTheme="minorEastAsia"/>
          <w:sz w:val="24"/>
        </w:rPr>
      </w:pPr>
      <w:r>
        <w:rPr>
          <w:rFonts w:hint="eastAsia" w:asciiTheme="minorEastAsia" w:hAnsiTheme="minorEastAsia"/>
          <w:sz w:val="24"/>
        </w:rPr>
        <w:t xml:space="preserve">针对月度填报增加填报开放时间配置能力，支持设置每月填报起止时间，支持跨月时间配置；非填报时间点击提交审核，页面弹出提示，展示允许填报的时间范围。</w:t>
      </w:r>
      <w:r/>
    </w:p>
    <w:p>
      <w:pPr>
        <w:ind w:firstLine="480"/>
        <w:spacing w:line="360" w:lineRule="auto"/>
        <w:rPr>
          <w:rFonts w:asciiTheme="minorEastAsia" w:hAnsiTheme="minorEastAsia"/>
          <w:sz w:val="24"/>
        </w:rPr>
      </w:pPr>
      <w:r>
        <w:rPr>
          <w:rFonts w:hint="eastAsia" w:asciiTheme="minorEastAsia" w:hAnsiTheme="minorEastAsia"/>
          <w:sz w:val="24"/>
        </w:rPr>
        <w:t xml:space="preserve">（3）手续配置</w:t>
      </w:r>
      <w:r/>
    </w:p>
    <w:p>
      <w:pPr>
        <w:ind w:firstLine="480"/>
        <w:spacing w:line="360" w:lineRule="auto"/>
        <w:rPr>
          <w:rFonts w:asciiTheme="minorEastAsia" w:hAnsiTheme="minorEastAsia"/>
          <w:sz w:val="24"/>
        </w:rPr>
      </w:pPr>
      <w:r>
        <w:rPr>
          <w:rFonts w:hint="eastAsia" w:asciiTheme="minorEastAsia" w:hAnsiTheme="minorEastAsia"/>
          <w:sz w:val="24"/>
        </w:rPr>
        <w:t xml:space="preserve">①配置页面改造</w:t>
      </w:r>
      <w:r/>
    </w:p>
    <w:p>
      <w:pPr>
        <w:ind w:firstLine="480"/>
        <w:spacing w:line="360" w:lineRule="auto"/>
        <w:rPr>
          <w:rFonts w:asciiTheme="minorEastAsia" w:hAnsiTheme="minorEastAsia"/>
          <w:sz w:val="24"/>
        </w:rPr>
      </w:pPr>
      <w:r>
        <w:rPr>
          <w:rFonts w:hint="eastAsia" w:asciiTheme="minorEastAsia" w:hAnsiTheme="minorEastAsia"/>
          <w:sz w:val="24"/>
        </w:rPr>
        <w:t xml:space="preserve">改造手续配置页面，页面展示配置模板内全部事项及事项选取次数，选取次数统计为事项关联去年、当年项目总数量，按选取次数降序排序。</w:t>
      </w:r>
      <w:r/>
    </w:p>
    <w:p>
      <w:pPr>
        <w:ind w:firstLine="480"/>
        <w:spacing w:line="360" w:lineRule="auto"/>
        <w:rPr>
          <w:rFonts w:asciiTheme="minorEastAsia" w:hAnsiTheme="minorEastAsia"/>
          <w:sz w:val="24"/>
        </w:rPr>
      </w:pPr>
      <w:r>
        <w:rPr>
          <w:rFonts w:hint="eastAsia" w:asciiTheme="minorEastAsia" w:hAnsiTheme="minorEastAsia"/>
          <w:sz w:val="24"/>
        </w:rPr>
        <w:t xml:space="preserve">②操作指南维护</w:t>
      </w:r>
      <w:r/>
    </w:p>
    <w:p>
      <w:pPr>
        <w:ind w:firstLine="480"/>
        <w:spacing w:line="360" w:lineRule="auto"/>
        <w:rPr>
          <w:rFonts w:asciiTheme="minorEastAsia" w:hAnsiTheme="minorEastAsia"/>
          <w:sz w:val="24"/>
        </w:rPr>
      </w:pPr>
      <w:r>
        <w:rPr>
          <w:rFonts w:hint="eastAsia" w:asciiTheme="minorEastAsia" w:hAnsiTheme="minorEastAsia"/>
          <w:sz w:val="24"/>
        </w:rPr>
        <w:t xml:space="preserve">在手续配置模板页面增加各事项办事指南、政策要求查看入口，配置人员可查看对应事项相关资料；后台开发事项办事指南信息上传维护通道。</w:t>
      </w:r>
      <w:r/>
    </w:p>
    <w:p>
      <w:pPr>
        <w:ind w:firstLine="480"/>
        <w:spacing w:line="360" w:lineRule="auto"/>
        <w:rPr>
          <w:rFonts w:asciiTheme="minorEastAsia" w:hAnsiTheme="minorEastAsia"/>
          <w:sz w:val="24"/>
        </w:rPr>
      </w:pPr>
      <w:r>
        <w:rPr>
          <w:rFonts w:hint="eastAsia" w:asciiTheme="minorEastAsia" w:hAnsiTheme="minorEastAsia"/>
          <w:sz w:val="24"/>
        </w:rPr>
        <w:t xml:space="preserve">③基础手续设置</w:t>
      </w:r>
      <w:r/>
    </w:p>
    <w:p>
      <w:pPr>
        <w:ind w:firstLine="480"/>
        <w:spacing w:line="360" w:lineRule="auto"/>
        <w:rPr>
          <w:rFonts w:asciiTheme="minorEastAsia" w:hAnsiTheme="minorEastAsia"/>
          <w:sz w:val="24"/>
        </w:rPr>
      </w:pPr>
      <w:r>
        <w:rPr>
          <w:rFonts w:hint="eastAsia" w:asciiTheme="minorEastAsia" w:hAnsiTheme="minorEastAsia"/>
          <w:sz w:val="24"/>
        </w:rPr>
        <w:t xml:space="preserve">后台实现项目基础手续配置功能，不同类型项目自动匹配默认办理手续，手续初始化配置时基础手续默认勾选；支持后台条件设置，可读取项目基础信息，基于项目信息条件匹配对应基础手续。</w:t>
      </w:r>
      <w:r/>
    </w:p>
    <w:p>
      <w:pPr>
        <w:ind w:firstLine="480"/>
        <w:spacing w:line="360" w:lineRule="auto"/>
        <w:rPr>
          <w:rFonts w:asciiTheme="minorEastAsia" w:hAnsiTheme="minorEastAsia"/>
          <w:sz w:val="24"/>
        </w:rPr>
      </w:pPr>
      <w:r>
        <w:rPr>
          <w:rFonts w:hint="eastAsia" w:asciiTheme="minorEastAsia" w:hAnsiTheme="minorEastAsia"/>
          <w:sz w:val="24"/>
        </w:rPr>
        <w:t xml:space="preserve">④手续关联预选设置</w:t>
      </w:r>
      <w:r/>
    </w:p>
    <w:p>
      <w:pPr>
        <w:ind w:firstLine="480"/>
        <w:spacing w:line="360" w:lineRule="auto"/>
        <w:rPr>
          <w:rFonts w:asciiTheme="minorEastAsia" w:hAnsiTheme="minorEastAsia"/>
          <w:sz w:val="24"/>
        </w:rPr>
      </w:pPr>
      <w:r>
        <w:rPr>
          <w:rFonts w:hint="eastAsia" w:asciiTheme="minorEastAsia" w:hAnsiTheme="minorEastAsia"/>
          <w:sz w:val="24"/>
        </w:rPr>
        <w:t xml:space="preserve">实现手续关联预选功能，后台支持配置手续主从绑定关联关系；配置主手续时弹窗提醒关联从手续，从手续自动预选，工作人员可手动取消预选。</w:t>
      </w:r>
      <w:r/>
    </w:p>
    <w:p>
      <w:pPr>
        <w:ind w:firstLine="480"/>
        <w:spacing w:line="360" w:lineRule="auto"/>
        <w:rPr>
          <w:rFonts w:asciiTheme="minorEastAsia" w:hAnsiTheme="minorEastAsia"/>
          <w:sz w:val="24"/>
        </w:rPr>
      </w:pPr>
      <w:r>
        <w:rPr>
          <w:rFonts w:hint="eastAsia" w:asciiTheme="minorEastAsia" w:hAnsiTheme="minorEastAsia"/>
          <w:sz w:val="24"/>
        </w:rPr>
        <w:t xml:space="preserve">（4）手续管理</w:t>
      </w:r>
      <w:r/>
    </w:p>
    <w:p>
      <w:pPr>
        <w:ind w:firstLine="480"/>
        <w:spacing w:line="360" w:lineRule="auto"/>
        <w:rPr>
          <w:rFonts w:asciiTheme="minorEastAsia" w:hAnsiTheme="minorEastAsia"/>
          <w:sz w:val="24"/>
        </w:rPr>
      </w:pPr>
      <w:r>
        <w:rPr>
          <w:rFonts w:hint="eastAsia" w:asciiTheme="minorEastAsia" w:hAnsiTheme="minorEastAsia"/>
          <w:sz w:val="24"/>
        </w:rPr>
        <w:t xml:space="preserve">①办理提醒</w:t>
      </w:r>
      <w:r/>
    </w:p>
    <w:p>
      <w:pPr>
        <w:ind w:firstLine="480"/>
        <w:spacing w:line="360" w:lineRule="auto"/>
        <w:rPr>
          <w:rFonts w:asciiTheme="minorEastAsia" w:hAnsiTheme="minorEastAsia"/>
          <w:sz w:val="24"/>
        </w:rPr>
      </w:pPr>
      <w:r>
        <w:rPr>
          <w:rFonts w:hint="eastAsia" w:asciiTheme="minorEastAsia" w:hAnsiTheme="minorEastAsia"/>
          <w:sz w:val="24"/>
        </w:rPr>
        <w:t xml:space="preserve">汇总统计办理状态为“未提交”的事项记录，总览列表展示事项基础信息、提醒汇总记录、延期汇总记录，每个手续已提醒次数及最近一次提醒时间显示在项目流程图该手续方格内，“未提交”事项每个月需提醒一次；支持点击数字跳转二级明细页面；表格支持导出，按角色权限做数据隔离，县区发改委仅查看本县区数据。提供提醒操作能力，市发改委可执行提醒操作，系统自动向手续责任人发送短信提醒，完整记录提醒次数、提醒时间。</w:t>
      </w:r>
      <w:r/>
    </w:p>
    <w:p>
      <w:pPr>
        <w:ind w:firstLine="480"/>
        <w:spacing w:line="360" w:lineRule="auto"/>
        <w:rPr>
          <w:rFonts w:asciiTheme="minorEastAsia" w:hAnsiTheme="minorEastAsia"/>
          <w:sz w:val="24"/>
        </w:rPr>
      </w:pPr>
      <w:r>
        <w:rPr>
          <w:rFonts w:hint="eastAsia" w:asciiTheme="minorEastAsia" w:hAnsiTheme="minorEastAsia"/>
          <w:sz w:val="24"/>
        </w:rPr>
        <w:t xml:space="preserve">②项目预警</w:t>
      </w:r>
      <w:r/>
    </w:p>
    <w:p>
      <w:pPr>
        <w:ind w:firstLine="480"/>
        <w:spacing w:line="360" w:lineRule="auto"/>
        <w:rPr>
          <w:rFonts w:asciiTheme="minorEastAsia" w:hAnsiTheme="minorEastAsia"/>
          <w:sz w:val="24"/>
        </w:rPr>
      </w:pPr>
      <w:r>
        <w:rPr>
          <w:rFonts w:hint="eastAsia" w:asciiTheme="minorEastAsia" w:hAnsiTheme="minorEastAsia"/>
          <w:sz w:val="24"/>
        </w:rPr>
        <w:t xml:space="preserve">汇总统计办理状态非“未提交”的事项记录，总览列表展示事项基础信息、预警汇总记录、延期汇总记录</w:t>
      </w:r>
      <w:r>
        <w:rPr>
          <w:rFonts w:hint="eastAsia" w:ascii="宋体" w:hAnsi="宋体" w:eastAsia="宋体" w:cs="Times New Roman"/>
          <w:sz w:val="24"/>
        </w:rPr>
        <w:t xml:space="preserve">，每个手续已预警次数及最近一次预警时间显示在项目流程图该手续方格内</w:t>
      </w:r>
      <w:r>
        <w:rPr>
          <w:rFonts w:hint="eastAsia" w:asciiTheme="minorEastAsia" w:hAnsiTheme="minorEastAsia"/>
          <w:sz w:val="24"/>
        </w:rPr>
        <w:t xml:space="preserve">；支持点击数字跳转二级明细页面；表格支持导出，按角色权限做数据隔离，县区发改委仅查看本县区数据。提供提醒操作能力，市发改委可执行提醒操作，系统自动向手续责任人发送短信提醒，完整记录提醒次数、提醒时间。</w:t>
      </w:r>
      <w:r/>
    </w:p>
    <w:p>
      <w:pPr>
        <w:ind w:firstLine="480"/>
        <w:spacing w:line="360" w:lineRule="auto"/>
        <w:rPr>
          <w:rFonts w:asciiTheme="minorEastAsia" w:hAnsiTheme="minorEastAsia"/>
          <w:sz w:val="24"/>
        </w:rPr>
      </w:pPr>
      <w:r>
        <w:rPr>
          <w:rFonts w:hint="eastAsia" w:asciiTheme="minorEastAsia" w:hAnsiTheme="minorEastAsia"/>
          <w:sz w:val="24"/>
        </w:rPr>
        <w:t xml:space="preserve">（5）项目调整</w:t>
      </w:r>
      <w:r/>
    </w:p>
    <w:p>
      <w:pPr>
        <w:ind w:firstLine="480"/>
        <w:spacing w:line="360" w:lineRule="auto"/>
        <w:rPr>
          <w:rFonts w:asciiTheme="minorEastAsia" w:hAnsiTheme="minorEastAsia"/>
          <w:sz w:val="24"/>
        </w:rPr>
      </w:pPr>
      <w:r>
        <w:rPr>
          <w:rFonts w:hint="eastAsia" w:asciiTheme="minorEastAsia" w:hAnsiTheme="minorEastAsia"/>
          <w:sz w:val="24"/>
        </w:rPr>
        <w:t xml:space="preserve">①项目调出/调入</w:t>
      </w:r>
      <w:r/>
    </w:p>
    <w:p>
      <w:pPr>
        <w:ind w:firstLine="480"/>
        <w:spacing w:line="360" w:lineRule="auto"/>
        <w:rPr>
          <w:rFonts w:asciiTheme="minorEastAsia" w:hAnsiTheme="minorEastAsia"/>
          <w:sz w:val="24"/>
        </w:rPr>
      </w:pPr>
      <w:r>
        <w:rPr>
          <w:rFonts w:hint="eastAsia" w:asciiTheme="minorEastAsia" w:hAnsiTheme="minorEastAsia"/>
          <w:sz w:val="24"/>
        </w:rPr>
        <w:t xml:space="preserve">开发项目调出调入功能，县区发改部门可在项目调整申请中勾选调出项目填写调出原因，新增调入项目，第一步填写项目基础信息，提供导入模板支持批量导入，第二步完成项目手续配置；系统校验调出、调入项目数量、投资额，遵循投资不减、数量不减原则；提交申请后由市发改委审核，审核通过系统自动同步业务数据。设置项目调出库，存储调出项目数据；开发项目调整情况汇总表，支持查看月度、年度、各县区项目调整情况，支持导出，点击统计数字跳转二级明细。</w:t>
      </w:r>
      <w:r/>
    </w:p>
    <w:p>
      <w:pPr>
        <w:ind w:firstLine="480"/>
        <w:spacing w:line="360" w:lineRule="auto"/>
        <w:rPr>
          <w:rFonts w:asciiTheme="minorEastAsia" w:hAnsiTheme="minorEastAsia"/>
          <w:sz w:val="24"/>
        </w:rPr>
      </w:pPr>
      <w:r>
        <w:rPr>
          <w:rFonts w:hint="eastAsia" w:asciiTheme="minorEastAsia" w:hAnsiTheme="minorEastAsia"/>
          <w:sz w:val="24"/>
        </w:rPr>
        <w:t xml:space="preserve">②项目申报</w:t>
      </w:r>
      <w:r/>
    </w:p>
    <w:p>
      <w:pPr>
        <w:ind w:firstLine="480"/>
        <w:spacing w:line="360" w:lineRule="auto"/>
      </w:pPr>
      <w:r>
        <w:rPr>
          <w:rFonts w:hint="eastAsia" w:asciiTheme="minorEastAsia" w:hAnsiTheme="minorEastAsia"/>
          <w:sz w:val="24"/>
        </w:rPr>
        <w:t xml:space="preserve">开发项目申报功能，县区相关部门提交项目申报申请，填写项目基础信息，提供导入模板支持批量导入，可选择性配置项目手续，提交后由市发改委审核，审核通过项目正式入库。</w:t>
      </w:r>
      <w:r/>
    </w:p>
    <w:p>
      <w:pPr>
        <w:ind w:firstLine="480"/>
        <w:spacing w:line="360" w:lineRule="auto"/>
        <w:rPr>
          <w:rFonts w:asciiTheme="minorEastAsia" w:hAnsiTheme="minorEastAsia"/>
          <w:sz w:val="24"/>
        </w:rPr>
      </w:pPr>
      <w:r>
        <w:rPr>
          <w:rFonts w:hint="eastAsia" w:asciiTheme="minorEastAsia" w:hAnsiTheme="minorEastAsia"/>
          <w:sz w:val="24"/>
        </w:rPr>
        <w:t xml:space="preserve">③项目结转</w:t>
      </w:r>
      <w:r/>
    </w:p>
    <w:p>
      <w:pPr>
        <w:ind w:firstLine="480"/>
        <w:spacing w:line="360" w:lineRule="auto"/>
        <w:rPr>
          <w:rFonts w:asciiTheme="minorEastAsia" w:hAnsiTheme="minorEastAsia"/>
          <w:sz w:val="24"/>
        </w:rPr>
      </w:pPr>
      <w:r>
        <w:rPr>
          <w:rFonts w:hint="eastAsia" w:asciiTheme="minorEastAsia" w:hAnsiTheme="minorEastAsia"/>
          <w:sz w:val="24"/>
        </w:rPr>
        <w:t xml:space="preserve">对各县区拟结转至下一年度的市重点项目，支持一键结转，项目所有数据全部结转至下一年度。</w:t>
      </w:r>
      <w:r/>
    </w:p>
    <w:p>
      <w:pPr>
        <w:ind w:firstLine="480"/>
        <w:spacing w:line="360" w:lineRule="auto"/>
        <w:rPr>
          <w:rFonts w:asciiTheme="minorEastAsia" w:hAnsiTheme="minorEastAsia"/>
          <w:sz w:val="24"/>
        </w:rPr>
      </w:pPr>
      <w:r>
        <w:rPr>
          <w:rFonts w:hint="eastAsia" w:asciiTheme="minorEastAsia" w:hAnsiTheme="minorEastAsia"/>
          <w:sz w:val="24"/>
        </w:rPr>
        <w:t xml:space="preserve">（6）模块数字提醒</w:t>
      </w:r>
      <w:r/>
    </w:p>
    <w:p>
      <w:pPr>
        <w:ind w:firstLine="480"/>
        <w:spacing w:line="360" w:lineRule="auto"/>
        <w:rPr>
          <w:rFonts w:asciiTheme="minorEastAsia" w:hAnsiTheme="minorEastAsia"/>
          <w:sz w:val="24"/>
        </w:rPr>
      </w:pPr>
      <w:r>
        <w:rPr>
          <w:rFonts w:hint="eastAsia" w:asciiTheme="minorEastAsia" w:hAnsiTheme="minorEastAsia"/>
          <w:sz w:val="24"/>
        </w:rPr>
        <w:t xml:space="preserve">①模块数字提醒</w:t>
      </w:r>
      <w:r/>
    </w:p>
    <w:p>
      <w:pPr>
        <w:ind w:firstLine="480"/>
        <w:spacing w:line="360" w:lineRule="auto"/>
        <w:rPr>
          <w:rFonts w:asciiTheme="minorEastAsia" w:hAnsiTheme="minorEastAsia"/>
          <w:sz w:val="24"/>
        </w:rPr>
      </w:pPr>
      <w:r>
        <w:rPr>
          <w:rFonts w:hint="eastAsia" w:asciiTheme="minorEastAsia" w:hAnsiTheme="minorEastAsia"/>
          <w:sz w:val="24"/>
        </w:rPr>
        <w:t xml:space="preserve">左侧导航模块名称后增加待办数字提醒展示，直观展示各模块待办业务数量。</w:t>
      </w:r>
      <w:r/>
    </w:p>
    <w:p>
      <w:pPr>
        <w:ind w:firstLine="480"/>
        <w:spacing w:line="360" w:lineRule="auto"/>
        <w:rPr>
          <w:rFonts w:asciiTheme="minorEastAsia" w:hAnsiTheme="minorEastAsia"/>
          <w:sz w:val="24"/>
        </w:rPr>
      </w:pPr>
      <w:r>
        <w:rPr>
          <w:rFonts w:hint="eastAsia" w:asciiTheme="minorEastAsia" w:hAnsiTheme="minorEastAsia"/>
          <w:sz w:val="24"/>
        </w:rPr>
        <w:t xml:space="preserve">（7）转让功能</w:t>
      </w:r>
      <w:r/>
    </w:p>
    <w:p>
      <w:pPr>
        <w:ind w:firstLine="480"/>
        <w:spacing w:line="360" w:lineRule="auto"/>
        <w:rPr>
          <w:rFonts w:asciiTheme="minorEastAsia" w:hAnsiTheme="minorEastAsia"/>
          <w:sz w:val="24"/>
        </w:rPr>
      </w:pPr>
      <w:r>
        <w:rPr>
          <w:rFonts w:hint="eastAsia" w:asciiTheme="minorEastAsia" w:hAnsiTheme="minorEastAsia"/>
          <w:sz w:val="24"/>
        </w:rPr>
        <w:t xml:space="preserve">开发业务转让功能，业务人员发起转让申请并填写转让原因，将本人角色权限、已办业务转让其他人员，提交后由市级发改委完成审核。</w:t>
      </w:r>
      <w:r/>
    </w:p>
    <w:p>
      <w:pPr>
        <w:ind w:firstLine="480"/>
        <w:spacing w:line="360" w:lineRule="auto"/>
        <w:rPr>
          <w:rFonts w:asciiTheme="minorEastAsia" w:hAnsiTheme="minorEastAsia"/>
          <w:sz w:val="24"/>
        </w:rPr>
      </w:pPr>
      <w:r>
        <w:rPr>
          <w:rFonts w:hint="eastAsia" w:asciiTheme="minorEastAsia" w:hAnsiTheme="minorEastAsia"/>
          <w:sz w:val="24"/>
        </w:rPr>
        <w:t xml:space="preserve">（8）导出功能</w:t>
      </w:r>
      <w:r/>
    </w:p>
    <w:p>
      <w:pPr>
        <w:ind w:firstLine="480"/>
        <w:spacing w:line="360" w:lineRule="auto"/>
        <w:rPr>
          <w:rFonts w:asciiTheme="minorEastAsia" w:hAnsiTheme="minorEastAsia"/>
          <w:sz w:val="24"/>
        </w:rPr>
      </w:pPr>
      <w:r>
        <w:rPr>
          <w:rFonts w:hint="eastAsia" w:asciiTheme="minorEastAsia" w:hAnsiTheme="minorEastAsia"/>
          <w:sz w:val="24"/>
        </w:rPr>
        <w:t xml:space="preserve">配置多类业务记录导出字段：待认领记录导出字段：项目名称、项目地区、建设性质、事项名称、待认领部门。已认领记录导出字段：项目名称、项目地区、建设性质、事项名称、责任人、责任部门、事项办理状态。市级退回记录导出字段：项目名称、项目地区、建设性质、事项名称、待认领部门、退回原因。已转市级导出字段：项目名称、项目地区、建设性质、事项名称、待认领部门、转上级原因。</w:t>
      </w:r>
      <w:r/>
    </w:p>
    <w:p>
      <w:pPr>
        <w:ind w:firstLine="480"/>
        <w:spacing w:line="360" w:lineRule="auto"/>
        <w:rPr>
          <w:rFonts w:asciiTheme="minorEastAsia" w:hAnsiTheme="minorEastAsia"/>
          <w:sz w:val="24"/>
        </w:rPr>
      </w:pPr>
      <w:r>
        <w:rPr>
          <w:rFonts w:hint="eastAsia" w:asciiTheme="minorEastAsia" w:hAnsiTheme="minorEastAsia"/>
          <w:sz w:val="24"/>
        </w:rPr>
        <w:t xml:space="preserve">（9）竣工达产模块</w:t>
      </w:r>
      <w:r/>
    </w:p>
    <w:p>
      <w:pPr>
        <w:ind w:firstLine="480"/>
        <w:spacing w:line="360" w:lineRule="auto"/>
        <w:rPr>
          <w:rFonts w:asciiTheme="minorEastAsia" w:hAnsiTheme="minorEastAsia"/>
          <w:sz w:val="24"/>
        </w:rPr>
      </w:pPr>
      <w:r>
        <w:rPr>
          <w:rFonts w:hint="eastAsia" w:asciiTheme="minorEastAsia" w:hAnsiTheme="minorEastAsia"/>
          <w:sz w:val="24"/>
        </w:rPr>
        <w:t xml:space="preserve">开发竣工达产模块，形象进度模块中累计投资完成率100%或者已竣工项目自动同步至本模块；模块实现权限控制，部门仅查看本部门关联项目；预留填报审批流程，相关负责人填报竣工达产信息，责任单位审核，按月开展填报。</w:t>
      </w:r>
      <w:r/>
    </w:p>
    <w:p>
      <w:pPr>
        <w:ind w:firstLine="480"/>
        <w:spacing w:line="360" w:lineRule="auto"/>
        <w:rPr>
          <w:rFonts w:asciiTheme="minorEastAsia" w:hAnsiTheme="minorEastAsia"/>
          <w:sz w:val="24"/>
        </w:rPr>
      </w:pPr>
      <w:r>
        <w:rPr>
          <w:rFonts w:hint="eastAsia" w:asciiTheme="minorEastAsia" w:hAnsiTheme="minorEastAsia"/>
          <w:sz w:val="24"/>
        </w:rPr>
        <w:t xml:space="preserve">（10）项目全流程手续管理</w:t>
      </w:r>
      <w:r/>
    </w:p>
    <w:p>
      <w:pPr>
        <w:ind w:firstLine="480"/>
        <w:spacing w:line="360" w:lineRule="auto"/>
        <w:rPr>
          <w:rFonts w:asciiTheme="minorEastAsia" w:hAnsiTheme="minorEastAsia"/>
          <w:sz w:val="24"/>
        </w:rPr>
      </w:pPr>
      <w:r>
        <w:rPr>
          <w:rFonts w:hint="eastAsia" w:asciiTheme="minorEastAsia" w:hAnsiTheme="minorEastAsia"/>
          <w:sz w:val="24"/>
        </w:rPr>
        <w:t xml:space="preserve">①项目手续初始化生成</w:t>
      </w:r>
      <w:r/>
    </w:p>
    <w:p>
      <w:pPr>
        <w:ind w:firstLine="480"/>
        <w:spacing w:line="360" w:lineRule="auto"/>
        <w:rPr>
          <w:rFonts w:asciiTheme="minorEastAsia" w:hAnsiTheme="minorEastAsia"/>
          <w:sz w:val="24"/>
        </w:rPr>
      </w:pPr>
      <w:r>
        <w:rPr>
          <w:rFonts w:hint="eastAsia" w:asciiTheme="minorEastAsia" w:hAnsiTheme="minorEastAsia"/>
          <w:sz w:val="24"/>
        </w:rPr>
        <w:t xml:space="preserve">后台实现条线与部门关系配置，完成发改、环保等条线与各县区部门绑定；搭建事项库管理，维护事项名称、所属条线、承诺办结时限；后台支持自定义项目阶段配置，各阶段关联对应办理事项；项目初始化阶段，项目负责人确认项目手续事项，结合项目所属区域、事项所属条线匹配对应责任部门。</w:t>
      </w:r>
      <w:r/>
    </w:p>
    <w:p>
      <w:pPr>
        <w:ind w:firstLine="480"/>
        <w:spacing w:line="360" w:lineRule="auto"/>
        <w:rPr>
          <w:rFonts w:asciiTheme="minorEastAsia" w:hAnsiTheme="minorEastAsia"/>
          <w:sz w:val="24"/>
        </w:rPr>
      </w:pPr>
      <w:r>
        <w:rPr>
          <w:rFonts w:hint="eastAsia" w:asciiTheme="minorEastAsia" w:hAnsiTheme="minorEastAsia"/>
          <w:sz w:val="24"/>
        </w:rPr>
        <w:t xml:space="preserve">②项目事项认领功能</w:t>
      </w:r>
      <w:r/>
    </w:p>
    <w:p>
      <w:pPr>
        <w:ind w:firstLine="480"/>
        <w:spacing w:line="360" w:lineRule="auto"/>
        <w:rPr>
          <w:rFonts w:asciiTheme="minorEastAsia" w:hAnsiTheme="minorEastAsia"/>
          <w:sz w:val="24"/>
        </w:rPr>
      </w:pPr>
      <w:r>
        <w:rPr>
          <w:rFonts w:hint="eastAsia" w:asciiTheme="minorEastAsia" w:hAnsiTheme="minorEastAsia"/>
          <w:sz w:val="24"/>
        </w:rPr>
        <w:t xml:space="preserve">项目手续初始化完成后，事项推送至县区责任部门账号，支持单条认领、批量认领，认领完成事项与责任部门绑定；县区可将事项转交市级部门认领，填写转交原因，市级部门支持认领、退回操作，退回需填写退回原因。完整记录认领全流程记录，包含已认领、待认领、退回状态，记录操作时间、操作人、处理意见；5天未认领事项进行红灯预警，短信通知对应部门人员。</w:t>
      </w:r>
      <w:r/>
    </w:p>
    <w:p>
      <w:pPr>
        <w:ind w:firstLine="480"/>
        <w:spacing w:line="360" w:lineRule="auto"/>
        <w:rPr>
          <w:rFonts w:asciiTheme="minorEastAsia" w:hAnsiTheme="minorEastAsia"/>
          <w:sz w:val="24"/>
        </w:rPr>
      </w:pPr>
      <w:r>
        <w:rPr>
          <w:rFonts w:hint="eastAsia" w:asciiTheme="minorEastAsia" w:hAnsiTheme="minorEastAsia"/>
          <w:sz w:val="24"/>
        </w:rPr>
        <w:t xml:space="preserve">③手续填报功能</w:t>
      </w:r>
      <w:r/>
    </w:p>
    <w:p>
      <w:pPr>
        <w:ind w:firstLine="480"/>
        <w:spacing w:line="360" w:lineRule="auto"/>
        <w:rPr>
          <w:rFonts w:asciiTheme="minorEastAsia" w:hAnsiTheme="minorEastAsia"/>
          <w:sz w:val="24"/>
        </w:rPr>
      </w:pPr>
      <w:r>
        <w:rPr>
          <w:rFonts w:hint="eastAsia" w:asciiTheme="minorEastAsia" w:hAnsiTheme="minorEastAsia"/>
          <w:sz w:val="24"/>
        </w:rPr>
        <w:t xml:space="preserve">基于原有要素信息填报功能升级改造，</w:t>
      </w:r>
      <w:r>
        <w:rPr>
          <w:rFonts w:hint="eastAsia" w:asciiTheme="minorEastAsia" w:hAnsiTheme="minorEastAsia"/>
          <w:sz w:val="24"/>
        </w:rPr>
        <w:t xml:space="preserve">填报细化至各阶段全部事项办理情况；按职责部门分配填报权限，各部门仅可填报本部门负责手续；调整填报字段与业务逻辑，事项包含未办理、在修改、已受理、已办结四种状态。在修改状态维护预计完成时间；已受理状态根据事项承诺办理时限自动生成不可修改的预计完成时间；已办结自动记录操作时间作为办结时间；页面配置字段校验、显隐控制。针对施工许可手续细分状态：未办理、准备材料阶段（承诺办理时限11个工作日）、方案审批阶段（预计完成时间）、挂牌阶段（承诺办理时限32天）、土地出让金缴纳（预计完成时间）、已拿地（记录拿地操作时间）。</w:t>
      </w:r>
      <w:r/>
    </w:p>
    <w:p>
      <w:pPr>
        <w:ind w:firstLine="480"/>
        <w:spacing w:line="360" w:lineRule="auto"/>
        <w:rPr>
          <w:rFonts w:asciiTheme="minorEastAsia" w:hAnsiTheme="minorEastAsia"/>
          <w:sz w:val="24"/>
        </w:rPr>
      </w:pPr>
      <w:r>
        <w:rPr>
          <w:rFonts w:hint="eastAsia" w:asciiTheme="minorEastAsia" w:hAnsiTheme="minorEastAsia"/>
          <w:sz w:val="24"/>
        </w:rPr>
        <w:t xml:space="preserve">④全生命周期流程图</w:t>
      </w:r>
      <w:r/>
    </w:p>
    <w:p>
      <w:pPr>
        <w:ind w:firstLine="480"/>
        <w:spacing w:line="360" w:lineRule="auto"/>
        <w:rPr>
          <w:rFonts w:asciiTheme="minorEastAsia" w:hAnsiTheme="minorEastAsia"/>
          <w:sz w:val="24"/>
        </w:rPr>
      </w:pPr>
      <w:r>
        <w:rPr>
          <w:rFonts w:hint="eastAsia" w:asciiTheme="minorEastAsia" w:hAnsiTheme="minorEastAsia"/>
          <w:sz w:val="24"/>
        </w:rPr>
        <w:t xml:space="preserve">根据项目填报信息、手续办理情况自动生成项目全生命周期流程图；支持切换项目基本信息、项目手续办理情况、项目投资完成情况（待定）栏目。手续办理情况展示立项 用地规划 工程建设 施工许可 竣工验收五大阶段关联事项，展示阶段名称、事项名称、办理部门、承诺办理时限、办理状态；结合预计完成时间自动红黄灯预警；点击事项查看办理详情，包含责任部门、当前状态、预计完成时间、实际完成时间。</w:t>
      </w:r>
      <w:r/>
    </w:p>
    <w:p>
      <w:pPr>
        <w:ind w:firstLine="480"/>
        <w:spacing w:line="360" w:lineRule="auto"/>
        <w:rPr>
          <w:rFonts w:asciiTheme="minorEastAsia" w:hAnsiTheme="minorEastAsia"/>
          <w:sz w:val="24"/>
        </w:rPr>
      </w:pPr>
      <w:r>
        <w:rPr>
          <w:rFonts w:hint="eastAsia" w:asciiTheme="minorEastAsia" w:hAnsiTheme="minorEastAsia"/>
          <w:sz w:val="24"/>
        </w:rPr>
        <w:t xml:space="preserve">（11）系统对接</w:t>
      </w:r>
      <w:r/>
    </w:p>
    <w:p>
      <w:pPr>
        <w:ind w:firstLine="480"/>
        <w:spacing w:line="360" w:lineRule="auto"/>
        <w:rPr>
          <w:rFonts w:asciiTheme="minorEastAsia" w:hAnsiTheme="minorEastAsia"/>
          <w:sz w:val="24"/>
        </w:rPr>
      </w:pPr>
      <w:r>
        <w:rPr>
          <w:rFonts w:hint="eastAsia" w:asciiTheme="minorEastAsia" w:hAnsiTheme="minorEastAsia"/>
          <w:sz w:val="24"/>
        </w:rPr>
        <w:t xml:space="preserve">①监控对接</w:t>
      </w:r>
      <w:r/>
    </w:p>
    <w:p>
      <w:pPr>
        <w:ind w:firstLine="480"/>
        <w:spacing w:line="360" w:lineRule="auto"/>
        <w:rPr>
          <w:rFonts w:asciiTheme="minorEastAsia" w:hAnsiTheme="minorEastAsia"/>
          <w:sz w:val="24"/>
        </w:rPr>
      </w:pPr>
      <w:r>
        <w:rPr>
          <w:rFonts w:hint="eastAsia" w:asciiTheme="minorEastAsia" w:hAnsiTheme="minorEastAsia"/>
          <w:sz w:val="24"/>
        </w:rPr>
        <w:t xml:space="preserve">完成项目现场监控摄像头对接，系统支持查看项目现场实时监控。</w:t>
      </w:r>
      <w:r/>
    </w:p>
    <w:p>
      <w:pPr>
        <w:ind w:firstLine="480"/>
        <w:spacing w:line="360" w:lineRule="auto"/>
        <w:rPr>
          <w:rFonts w:asciiTheme="minorEastAsia" w:hAnsiTheme="minorEastAsia"/>
          <w:sz w:val="24"/>
        </w:rPr>
      </w:pPr>
      <w:r>
        <w:rPr>
          <w:rFonts w:hint="eastAsia" w:asciiTheme="minorEastAsia" w:hAnsiTheme="minorEastAsia"/>
          <w:sz w:val="24"/>
        </w:rPr>
        <w:t xml:space="preserve">（12）市签约项目库</w:t>
      </w:r>
      <w:r/>
    </w:p>
    <w:p>
      <w:pPr>
        <w:ind w:firstLine="480"/>
        <w:spacing w:line="360" w:lineRule="auto"/>
        <w:rPr>
          <w:rFonts w:asciiTheme="minorEastAsia" w:hAnsiTheme="minorEastAsia"/>
          <w:sz w:val="24"/>
        </w:rPr>
      </w:pPr>
      <w:r>
        <w:rPr>
          <w:rFonts w:hint="eastAsia" w:asciiTheme="minorEastAsia" w:hAnsiTheme="minorEastAsia"/>
          <w:sz w:val="24"/>
        </w:rPr>
        <w:t xml:space="preserve">①签约库</w:t>
      </w:r>
      <w:r/>
    </w:p>
    <w:p>
      <w:pPr>
        <w:ind w:firstLine="480"/>
        <w:spacing w:line="360" w:lineRule="auto"/>
        <w:rPr>
          <w:rFonts w:asciiTheme="minorEastAsia" w:hAnsiTheme="minorEastAsia"/>
          <w:sz w:val="24"/>
        </w:rPr>
      </w:pPr>
      <w:r>
        <w:rPr>
          <w:rFonts w:hint="eastAsia" w:asciiTheme="minorEastAsia" w:hAnsiTheme="minorEastAsia"/>
          <w:sz w:val="24"/>
        </w:rPr>
        <w:t xml:space="preserve">接收市商务局推送亿元以上签约项目进入签约库。</w:t>
      </w:r>
      <w:r/>
    </w:p>
    <w:p>
      <w:pPr>
        <w:ind w:firstLine="480"/>
        <w:spacing w:line="360" w:lineRule="auto"/>
        <w:rPr>
          <w:rFonts w:asciiTheme="minorEastAsia" w:hAnsiTheme="minorEastAsia"/>
          <w:sz w:val="24"/>
        </w:rPr>
      </w:pPr>
      <w:r>
        <w:rPr>
          <w:rFonts w:hint="eastAsia" w:asciiTheme="minorEastAsia" w:hAnsiTheme="minorEastAsia"/>
          <w:sz w:val="24"/>
        </w:rPr>
        <w:t xml:space="preserve">②备案库</w:t>
      </w:r>
      <w:r/>
    </w:p>
    <w:p>
      <w:pPr>
        <w:ind w:firstLine="480"/>
        <w:spacing w:line="360" w:lineRule="auto"/>
        <w:rPr>
          <w:rFonts w:asciiTheme="minorEastAsia" w:hAnsiTheme="minorEastAsia"/>
          <w:sz w:val="24"/>
        </w:rPr>
      </w:pPr>
      <w:r>
        <w:rPr>
          <w:rFonts w:hint="eastAsia" w:asciiTheme="minorEastAsia" w:hAnsiTheme="minorEastAsia"/>
          <w:sz w:val="24"/>
        </w:rPr>
        <w:t xml:space="preserve">签约项目完成备案，录入项目代码、备案证信息，可流转至备案库。</w:t>
      </w:r>
      <w:r/>
    </w:p>
    <w:p>
      <w:pPr>
        <w:ind w:firstLine="480"/>
        <w:spacing w:line="360" w:lineRule="auto"/>
        <w:rPr>
          <w:rFonts w:asciiTheme="minorEastAsia" w:hAnsiTheme="minorEastAsia"/>
          <w:sz w:val="24"/>
        </w:rPr>
      </w:pPr>
      <w:r>
        <w:rPr>
          <w:rFonts w:hint="eastAsia" w:asciiTheme="minorEastAsia" w:hAnsiTheme="minorEastAsia"/>
          <w:sz w:val="24"/>
        </w:rPr>
        <w:t xml:space="preserve">③开工库</w:t>
      </w:r>
      <w:r/>
    </w:p>
    <w:p>
      <w:pPr>
        <w:ind w:firstLine="480"/>
        <w:spacing w:line="360" w:lineRule="auto"/>
        <w:rPr>
          <w:rFonts w:asciiTheme="minorEastAsia" w:hAnsiTheme="minorEastAsia"/>
          <w:sz w:val="24"/>
        </w:rPr>
      </w:pPr>
      <w:r>
        <w:rPr>
          <w:rFonts w:hint="eastAsia" w:asciiTheme="minorEastAsia" w:hAnsiTheme="minorEastAsia"/>
          <w:sz w:val="24"/>
        </w:rPr>
        <w:t xml:space="preserve">项目达到列统标准，录入列统编号，经市发改委审核后流转至开工库。</w:t>
      </w:r>
      <w:r/>
    </w:p>
    <w:p>
      <w:pPr>
        <w:ind w:firstLine="480"/>
        <w:spacing w:line="360" w:lineRule="auto"/>
        <w:rPr>
          <w:rFonts w:asciiTheme="minorEastAsia" w:hAnsiTheme="minorEastAsia"/>
          <w:sz w:val="24"/>
        </w:rPr>
      </w:pPr>
      <w:r>
        <w:rPr>
          <w:rFonts w:hint="eastAsia" w:asciiTheme="minorEastAsia" w:hAnsiTheme="minorEastAsia"/>
          <w:sz w:val="24"/>
        </w:rPr>
        <w:t xml:space="preserve">④投产库</w:t>
      </w:r>
      <w:r/>
    </w:p>
    <w:p>
      <w:pPr>
        <w:ind w:firstLine="480"/>
        <w:spacing w:line="360" w:lineRule="auto"/>
        <w:rPr>
          <w:rFonts w:asciiTheme="minorEastAsia" w:hAnsiTheme="minorEastAsia"/>
          <w:sz w:val="24"/>
        </w:rPr>
      </w:pPr>
      <w:r>
        <w:rPr>
          <w:rFonts w:hint="eastAsia" w:asciiTheme="minorEastAsia" w:hAnsiTheme="minorEastAsia"/>
          <w:sz w:val="24"/>
        </w:rPr>
        <w:t xml:space="preserve">项目达到投产标准，录入竣工验收、产值、税收等信息，经市发改委审核后流转至投产库。</w:t>
      </w:r>
      <w:r/>
    </w:p>
    <w:p>
      <w:pPr>
        <w:ind w:firstLine="480"/>
        <w:spacing w:line="360" w:lineRule="auto"/>
        <w:rPr>
          <w:rFonts w:asciiTheme="minorEastAsia" w:hAnsiTheme="minorEastAsia"/>
          <w:sz w:val="24"/>
        </w:rPr>
      </w:pPr>
      <w:r>
        <w:rPr>
          <w:rFonts w:hint="eastAsia" w:asciiTheme="minorEastAsia" w:hAnsiTheme="minorEastAsia"/>
          <w:sz w:val="24"/>
        </w:rPr>
        <w:t xml:space="preserve">⑤五率统计</w:t>
      </w:r>
      <w:r/>
    </w:p>
    <w:p>
      <w:pPr>
        <w:ind w:firstLine="480"/>
        <w:spacing w:line="360" w:lineRule="auto"/>
        <w:rPr>
          <w:rFonts w:asciiTheme="minorEastAsia" w:hAnsiTheme="minorEastAsia"/>
          <w:sz w:val="24"/>
        </w:rPr>
      </w:pPr>
      <w:r>
        <w:rPr>
          <w:rFonts w:hint="eastAsia" w:asciiTheme="minorEastAsia" w:hAnsiTheme="minorEastAsia"/>
          <w:sz w:val="24"/>
        </w:rPr>
        <w:t xml:space="preserve">按签约投产业务链路统计，按月记录各库项目流转情况，展示备案率、开工率、投资完成率、投产率等指标。</w:t>
      </w:r>
      <w:r/>
    </w:p>
    <w:p>
      <w:pPr>
        <w:ind w:firstLine="480"/>
        <w:spacing w:line="360" w:lineRule="auto"/>
        <w:rPr>
          <w:rFonts w:asciiTheme="minorEastAsia" w:hAnsiTheme="minorEastAsia"/>
          <w:sz w:val="24"/>
        </w:rPr>
      </w:pPr>
      <w:r>
        <w:rPr>
          <w:rFonts w:hint="eastAsia" w:asciiTheme="minorEastAsia" w:hAnsiTheme="minorEastAsia"/>
          <w:sz w:val="24"/>
        </w:rPr>
        <w:t xml:space="preserve">⑥系统培训</w:t>
      </w:r>
      <w:r/>
    </w:p>
    <w:p>
      <w:pPr>
        <w:ind w:firstLine="480"/>
        <w:spacing w:line="360" w:lineRule="auto"/>
        <w:rPr>
          <w:rFonts w:asciiTheme="minorEastAsia" w:hAnsiTheme="minorEastAsia"/>
          <w:sz w:val="24"/>
        </w:rPr>
      </w:pPr>
      <w:r>
        <w:rPr>
          <w:rFonts w:hint="eastAsia" w:asciiTheme="minorEastAsia" w:hAnsiTheme="minorEastAsia"/>
          <w:sz w:val="24"/>
        </w:rPr>
        <w:t xml:space="preserve">需提供系统培训服务，支持视频培训，线下培训，操作文档方式。</w:t>
      </w:r>
      <w:r/>
    </w:p>
    <w:p>
      <w:pPr>
        <w:ind w:firstLine="480"/>
        <w:spacing w:line="360" w:lineRule="auto"/>
        <w:rPr>
          <w:rFonts w:asciiTheme="minorEastAsia" w:hAnsiTheme="minorEastAsia"/>
          <w:sz w:val="24"/>
        </w:rPr>
      </w:pPr>
      <w:r>
        <w:rPr>
          <w:rFonts w:hint="eastAsia" w:asciiTheme="minorEastAsia" w:hAnsiTheme="minorEastAsia"/>
          <w:sz w:val="24"/>
        </w:rPr>
        <w:t xml:space="preserve">⑦试运行保障</w:t>
      </w:r>
      <w:r/>
    </w:p>
    <w:p>
      <w:pPr>
        <w:ind w:firstLine="480"/>
        <w:spacing w:line="360" w:lineRule="auto"/>
        <w:rPr>
          <w:rFonts w:asciiTheme="minorEastAsia" w:hAnsiTheme="minorEastAsia"/>
          <w:sz w:val="24"/>
        </w:rPr>
      </w:pPr>
      <w:r>
        <w:rPr>
          <w:rFonts w:hint="eastAsia" w:asciiTheme="minorEastAsia" w:hAnsiTheme="minorEastAsia"/>
          <w:sz w:val="24"/>
        </w:rPr>
        <w:t xml:space="preserve">需对重大项目三期优化项目运行提供保障，保障系统各项新增功能稳定运行。</w:t>
      </w:r>
      <w:r/>
    </w:p>
    <w:p>
      <w:pPr>
        <w:ind w:firstLine="480"/>
        <w:spacing w:line="360" w:lineRule="auto"/>
        <w:rPr>
          <w:rFonts w:asciiTheme="minorEastAsia" w:hAnsiTheme="minorEastAsia"/>
          <w:sz w:val="24"/>
        </w:rPr>
      </w:pPr>
      <w:r>
        <w:rPr>
          <w:rFonts w:hint="eastAsia" w:asciiTheme="minorEastAsia" w:hAnsiTheme="minorEastAsia"/>
          <w:sz w:val="24"/>
        </w:rPr>
        <w:t xml:space="preserve">2.服务技术要求</w:t>
      </w:r>
      <w:r/>
    </w:p>
    <w:p>
      <w:pPr>
        <w:ind w:firstLine="480"/>
        <w:spacing w:line="360" w:lineRule="auto"/>
        <w:rPr>
          <w:rFonts w:asciiTheme="minorEastAsia" w:hAnsiTheme="minorEastAsia"/>
          <w:sz w:val="24"/>
        </w:rPr>
      </w:pPr>
      <w:r>
        <w:rPr>
          <w:rFonts w:hint="eastAsia" w:asciiTheme="minorEastAsia" w:hAnsiTheme="minorEastAsia"/>
          <w:sz w:val="24"/>
        </w:rPr>
        <w:t xml:space="preserve">（1）技术路线要求</w:t>
      </w:r>
      <w:r/>
    </w:p>
    <w:p>
      <w:pPr>
        <w:ind w:firstLine="480"/>
        <w:spacing w:line="360" w:lineRule="auto"/>
        <w:rPr>
          <w:rFonts w:asciiTheme="minorEastAsia" w:hAnsiTheme="minorEastAsia"/>
          <w:sz w:val="24"/>
        </w:rPr>
      </w:pPr>
      <w:r>
        <w:rPr>
          <w:rFonts w:hint="eastAsia" w:asciiTheme="minorEastAsia" w:hAnsiTheme="minorEastAsia"/>
          <w:sz w:val="24"/>
        </w:rPr>
        <w:t xml:space="preserve">基于</w:t>
      </w:r>
      <w:r>
        <w:rPr>
          <w:rFonts w:hint="eastAsia" w:asciiTheme="minorEastAsia" w:hAnsiTheme="minorEastAsia"/>
          <w:sz w:val="24"/>
        </w:rPr>
        <w:t xml:space="preserve">JavaEE</w:t>
      </w:r>
      <w:r>
        <w:rPr>
          <w:rFonts w:hint="eastAsia" w:asciiTheme="minorEastAsia" w:hAnsiTheme="minorEastAsia"/>
          <w:sz w:val="24"/>
        </w:rPr>
        <w:t xml:space="preserve">技术路线进行设计实现，平台需支持在高并发用户访问、海量数据高频存取、智能数据快速检索等方面的特性；平台业务基于微服务架构设计原则实现业务的服务化、组件化，避免传统烟囱式应用中资源难以共享、资源利用率低、无法快速响应客户需求变化等问题；平台需要能支持微服务架构下的分布式事务，提供回滚机制，确保业务流程数据的一致性；需要支持服务调用链分析，自动分析服务依赖的压力点、易故障点和瓶颈点，实现业务的隔离解耦、敏捷运维。</w:t>
      </w:r>
      <w:r/>
    </w:p>
    <w:p>
      <w:pPr>
        <w:ind w:firstLine="480"/>
        <w:spacing w:line="360" w:lineRule="auto"/>
        <w:rPr>
          <w:rFonts w:asciiTheme="minorEastAsia" w:hAnsiTheme="minorEastAsia"/>
          <w:sz w:val="24"/>
        </w:rPr>
      </w:pPr>
      <w:r>
        <w:rPr>
          <w:rFonts w:hint="eastAsia" w:asciiTheme="minorEastAsia" w:hAnsiTheme="minorEastAsia"/>
          <w:sz w:val="24"/>
        </w:rPr>
        <w:t xml:space="preserve">（2）安全能力要求</w:t>
      </w:r>
      <w:r/>
    </w:p>
    <w:p>
      <w:pPr>
        <w:ind w:firstLine="480"/>
        <w:spacing w:line="360" w:lineRule="auto"/>
        <w:rPr>
          <w:rFonts w:ascii="黑体" w:hAnsi="黑体" w:eastAsia="黑体"/>
          <w:b/>
          <w:sz w:val="24"/>
        </w:rPr>
      </w:pPr>
      <w:r>
        <w:rPr>
          <w:rFonts w:hint="eastAsia" w:asciiTheme="minorEastAsia" w:hAnsiTheme="minorEastAsia"/>
          <w:sz w:val="24"/>
        </w:rPr>
        <w:t xml:space="preserve">系统不仅要提供稳定可靠、质量保证的各类政务服务，还要存储大量政府、个人信息，因此系统要最大限度的保障数据信息资源的安全，保障系统平台运行的安全。</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应根据项目开展内容组织相关人员形成服务团队。服务人员应具备一定的项目经验和专业素养，并建立完善、稳定的项目组织管理机制，保证服务团队的稳定。项目团队成员均应参与过信息化项目建设工作，熟悉信息化项目的基本要求和工作流程，具备较好的沟通协调能力和网络数据安全风险防范能力。</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团队成员基本要求如下：（1）团队成员具备计算机技术与软件相关专业技能。（2）工作责任心强，态度良好，具备较好的数据安全管理和风险防范意识，能够快速准确识别和解决技术问题，并提供有效的解决方案。（3）具备良好的沟通协调能力、良好的业务理解能力；具备较好的文字写作能力，能够清晰准确的描述技术概念、技术问题。（4）具备良好的网络和数据安全防范意识和能力。</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sz w:val="24"/>
        </w:rPr>
      </w:pPr>
      <w:r>
        <w:rPr>
          <w:rFonts w:hint="eastAsia"/>
          <w:sz w:val="24"/>
        </w:rPr>
        <w:t xml:space="preserve">1</w:t>
      </w:r>
      <w:r>
        <w:rPr>
          <w:rFonts w:hint="eastAsia"/>
          <w:sz w:val="24"/>
        </w:rPr>
        <w:t xml:space="preserve">、服务期限</w:t>
      </w:r>
      <w:r/>
    </w:p>
    <w:p>
      <w:pPr>
        <w:ind w:firstLine="480"/>
        <w:spacing w:line="360" w:lineRule="auto"/>
        <w:rPr>
          <w:sz w:val="24"/>
        </w:rPr>
      </w:pPr>
      <w:r>
        <w:rPr>
          <w:rFonts w:hint="eastAsia"/>
          <w:sz w:val="24"/>
        </w:rPr>
        <w:t xml:space="preserve">服务期限：合同签订后</w:t>
      </w:r>
      <w:r>
        <w:rPr>
          <w:rFonts w:hint="eastAsia"/>
          <w:sz w:val="24"/>
        </w:rPr>
        <w:t xml:space="preserve">2</w:t>
      </w:r>
      <w:r>
        <w:rPr>
          <w:rFonts w:hint="eastAsia"/>
          <w:sz w:val="24"/>
        </w:rPr>
        <w:t xml:space="preserve">个月内完成平台建设。</w:t>
      </w:r>
      <w:r/>
    </w:p>
    <w:p>
      <w:pPr>
        <w:ind w:firstLine="480"/>
        <w:spacing w:line="360" w:lineRule="auto"/>
        <w:rPr>
          <w:sz w:val="24"/>
        </w:rPr>
      </w:pPr>
      <w:r>
        <w:rPr>
          <w:rFonts w:hint="eastAsia"/>
          <w:sz w:val="24"/>
        </w:rPr>
        <w:t xml:space="preserve">2</w:t>
      </w:r>
      <w:r>
        <w:rPr>
          <w:rFonts w:hint="eastAsia"/>
          <w:sz w:val="24"/>
        </w:rPr>
        <w:t xml:space="preserve">、平台维护要求</w:t>
      </w:r>
      <w:r/>
    </w:p>
    <w:p>
      <w:pPr>
        <w:ind w:firstLine="480"/>
        <w:spacing w:line="360" w:lineRule="auto"/>
        <w:rPr>
          <w:sz w:val="24"/>
        </w:rPr>
      </w:pPr>
      <w:r>
        <w:rPr>
          <w:rFonts w:hint="eastAsia"/>
          <w:sz w:val="24"/>
        </w:rPr>
        <w:t xml:space="preserve">1.</w:t>
      </w:r>
      <w:r>
        <w:rPr>
          <w:rFonts w:hint="eastAsia"/>
          <w:sz w:val="24"/>
        </w:rPr>
        <w:t xml:space="preserve">维护期</w:t>
      </w:r>
      <w:r>
        <w:rPr>
          <w:rFonts w:hint="eastAsia"/>
          <w:sz w:val="24"/>
        </w:rPr>
        <w:t xml:space="preserve">1</w:t>
      </w:r>
      <w:r>
        <w:rPr>
          <w:rFonts w:hint="eastAsia"/>
          <w:sz w:val="24"/>
        </w:rPr>
        <w:t xml:space="preserve">年，自项目终验合格之日起计算。维护期内应提供技术服务和支持，保障系统正常运行。服务内容包括：不限定时间技术服务、现场开发技术服务、故障排除等。建立应急响应方案，包括但不限于安全应急方案或突发事件等。</w:t>
      </w:r>
      <w:r/>
    </w:p>
    <w:p>
      <w:pPr>
        <w:ind w:firstLine="480"/>
        <w:spacing w:line="360" w:lineRule="auto"/>
        <w:rPr>
          <w:rFonts w:ascii="黑体" w:hAnsi="黑体" w:eastAsia="黑体"/>
          <w:b/>
          <w:sz w:val="24"/>
        </w:rPr>
      </w:pPr>
      <w:r>
        <w:rPr>
          <w:rFonts w:hint="eastAsia"/>
          <w:sz w:val="24"/>
        </w:rPr>
        <w:t xml:space="preserve">2.</w:t>
      </w:r>
      <w:r>
        <w:rPr>
          <w:rFonts w:hint="eastAsia"/>
          <w:sz w:val="24"/>
        </w:rPr>
        <w:t xml:space="preserve">具备完善的维护服务方案，包括服务方式、服务范围、故障响应、应急保障等方面的内容。服务期内需保证</w:t>
      </w:r>
      <w:r>
        <w:rPr>
          <w:rFonts w:hint="eastAsia"/>
          <w:sz w:val="24"/>
        </w:rPr>
        <w:t xml:space="preserve">24</w:t>
      </w:r>
      <w:r>
        <w:rPr>
          <w:rFonts w:hint="eastAsia"/>
          <w:sz w:val="24"/>
        </w:rPr>
        <w:t xml:space="preserve">小时服务，在接到用户故障报告后响应时间不超过</w:t>
      </w:r>
      <w:r>
        <w:rPr>
          <w:rFonts w:hint="eastAsia"/>
          <w:sz w:val="24"/>
        </w:rPr>
        <w:t xml:space="preserve">1</w:t>
      </w:r>
      <w:r>
        <w:rPr>
          <w:rFonts w:hint="eastAsia"/>
          <w:sz w:val="24"/>
        </w:rPr>
        <w:t xml:space="preserve">小时，故障恢复时间：一般故障，恢复系统正常运行所需时间不超过</w:t>
      </w:r>
      <w:r>
        <w:rPr>
          <w:rFonts w:hint="eastAsia"/>
          <w:sz w:val="24"/>
        </w:rPr>
        <w:t xml:space="preserve">2</w:t>
      </w:r>
      <w:r>
        <w:rPr>
          <w:rFonts w:hint="eastAsia"/>
          <w:sz w:val="24"/>
        </w:rPr>
        <w:t xml:space="preserve">小时；严重故障，不超过</w:t>
      </w:r>
      <w:r>
        <w:rPr>
          <w:rFonts w:hint="eastAsia"/>
          <w:sz w:val="24"/>
        </w:rPr>
        <w:t xml:space="preserve">4</w:t>
      </w:r>
      <w:r>
        <w:rPr>
          <w:rFonts w:hint="eastAsia"/>
          <w:sz w:val="24"/>
        </w:rPr>
        <w:t xml:space="preserve">小时；特别严重的故障，与采购人讨论后</w:t>
      </w:r>
      <w:r>
        <w:rPr>
          <w:rFonts w:hint="eastAsia"/>
          <w:sz w:val="24"/>
        </w:rPr>
        <w:t xml:space="preserve">24</w:t>
      </w:r>
      <w:r>
        <w:rPr>
          <w:rFonts w:hint="eastAsia"/>
          <w:sz w:val="24"/>
        </w:rPr>
        <w:t xml:space="preserve">小时内提供故障修复方案。</w:t>
      </w:r>
      <w:r/>
    </w:p>
    <w:p>
      <w:pPr>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sz w:val="24"/>
        </w:rPr>
      </w:pPr>
      <w:r>
        <w:rPr>
          <w:rFonts w:hint="eastAsia"/>
          <w:sz w:val="24"/>
        </w:rPr>
        <w:t xml:space="preserve">符合国家及现行有关规范、规定的要求，满足采购人需求。</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bookmarkStart w:id="9" w:name="_GoBack"/>
      <w:r/>
      <w:bookmarkEnd w:id="9"/>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培训过程应提供各类的培训资料给采购人，培训资料以电子文档和纸质文档两种通用格式为主，结合多媒体介绍和演示进行。</w:t>
      </w:r>
      <w:r/>
    </w:p>
    <w:p>
      <w:pPr>
        <w:ind w:firstLine="480"/>
        <w:jc w:val="left"/>
        <w:spacing w:line="360" w:lineRule="auto"/>
        <w:rPr>
          <w:rFonts w:ascii="黑体" w:hAnsi="黑体" w:eastAsia="黑体"/>
          <w:b/>
          <w:sz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提供应用系统软件、其它相关软硬件的现场技术培训，人员不限。应具备详细的培训方案，包括培训组织流程、培训计划、培训内容、培训目标成果。</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七、知识产权归属和处理方式</w:t>
      </w:r>
      <w:r/>
    </w:p>
    <w:p>
      <w:pPr>
        <w:ind w:firstLine="480"/>
        <w:spacing w:line="360" w:lineRule="auto"/>
        <w:rPr>
          <w:sz w:val="24"/>
        </w:rPr>
      </w:pPr>
      <w:r>
        <w:rPr>
          <w:rFonts w:hint="eastAsia"/>
          <w:sz w:val="24"/>
        </w:rPr>
        <w:t xml:space="preserve">系统软件、通用软件必须具有在中国境内的合法使用权或版权的正版软件，涉及到第三方提出侵权或知识产权的起诉及支付版税等责任及费用由成交供应商承担。供应商提供的原有功能部分的知识产权归投标人所有，本项目合同履行过程中新产生的技术成果的知识产权归采购方和成交供应商共有。</w:t>
      </w:r>
      <w:r/>
    </w:p>
    <w:p>
      <w:pPr>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八、履约验收</w:t>
      </w:r>
      <w:r/>
    </w:p>
    <w:p>
      <w:pPr>
        <w:ind w:firstLine="480"/>
        <w:spacing w:line="360" w:lineRule="auto"/>
        <w:rPr>
          <w:sz w:val="24"/>
        </w:rPr>
      </w:pPr>
      <w:r>
        <w:rPr>
          <w:rFonts w:hint="eastAsia"/>
          <w:sz w:val="24"/>
        </w:rPr>
        <w:t xml:space="preserve">项目验收由采购人统一组织进行验收并签字。采购人根据国家有关规定、磋商文件、成交供应商的响应文件以及合同约定的内容和验收标准进行验收，验收情况作为支付货款的依据。</w:t>
      </w:r>
      <w:r/>
    </w:p>
    <w:p>
      <w:pPr>
        <w:ind w:firstLine="480"/>
        <w:spacing w:line="360" w:lineRule="auto"/>
        <w:rPr>
          <w:sz w:val="24"/>
        </w:rPr>
      </w:pPr>
      <w:r>
        <w:rPr>
          <w:rFonts w:hint="eastAsia"/>
          <w:sz w:val="24"/>
        </w:rPr>
        <w:t xml:space="preserve">在系统开发完成并上线试运行后，所有功能、性能指标达到双方确认的技术规范要求时，由双方共同进行系统的最终验收。</w:t>
      </w:r>
      <w:r/>
    </w:p>
    <w:p>
      <w:pPr>
        <w:ind w:firstLine="480"/>
        <w:spacing w:line="360" w:lineRule="auto"/>
        <w:rPr>
          <w:sz w:val="24"/>
        </w:rPr>
      </w:pPr>
      <w:r>
        <w:rPr>
          <w:rFonts w:hint="eastAsia"/>
          <w:sz w:val="24"/>
        </w:rPr>
        <w:t xml:space="preserve">成交供应商向采购人提出验收申请，填写项目验收申请表，成交供应商项目经理根据相关规范或与采购人商定的内容、步骤制定项目验收方案，并至少提前</w:t>
      </w:r>
      <w:r>
        <w:rPr>
          <w:rFonts w:hint="eastAsia"/>
          <w:sz w:val="24"/>
        </w:rPr>
        <w:t xml:space="preserve">10</w:t>
      </w:r>
      <w:r>
        <w:rPr>
          <w:rFonts w:hint="eastAsia"/>
          <w:sz w:val="24"/>
        </w:rPr>
        <w:t xml:space="preserve">日提交给采购人，双方对验收方案进行确认。终验包括对所有交付品的检查、功能验收及性能验收。验收合格后，经双方确认，形成验收报告，由双方项目负责人签字生效。</w:t>
      </w:r>
      <w:r/>
    </w:p>
    <w:p>
      <w:pPr>
        <w:pStyle w:val="871"/>
      </w:p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九、付款方式与履约保证金</w:t>
      </w:r>
      <w:r/>
    </w:p>
    <w:p>
      <w:pPr>
        <w:ind w:firstLine="480"/>
        <w:spacing w:line="360" w:lineRule="auto"/>
        <w:rPr>
          <w:rFonts w:asciiTheme="minorEastAsia" w:hAnsiTheme="minorEastAsia"/>
          <w:sz w:val="24"/>
        </w:rPr>
      </w:pPr>
      <w:r>
        <w:rPr>
          <w:rFonts w:hint="eastAsia" w:asciiTheme="minorEastAsia" w:hAnsiTheme="minorEastAsia"/>
          <w:sz w:val="24"/>
        </w:rPr>
        <w:t xml:space="preserve">1.付款方式：合同签订后，2个月内完成平台建设后，采购人在试运行合格后支付合同金额的60%，剩余合同金额的40%在终验</w:t>
      </w:r>
      <w:r>
        <w:rPr>
          <w:rFonts w:hint="eastAsia" w:asciiTheme="minorEastAsia" w:hAnsiTheme="minorEastAsia"/>
          <w:sz w:val="24"/>
        </w:rPr>
        <w:t xml:space="preserve">合格后付清</w:t>
      </w:r>
      <w:r>
        <w:rPr>
          <w:rFonts w:hint="eastAsia" w:asciiTheme="minorEastAsia" w:hAnsiTheme="minorEastAsia"/>
          <w:sz w:val="24"/>
        </w:rPr>
        <w:t xml:space="preserve">（无息）。</w:t>
      </w:r>
      <w:r/>
    </w:p>
    <w:p>
      <w:pPr>
        <w:ind w:firstLine="480"/>
        <w:spacing w:line="360" w:lineRule="auto"/>
        <w:rPr>
          <w:rFonts w:asciiTheme="minorEastAsia" w:hAnsiTheme="minorEastAsia"/>
          <w:sz w:val="24"/>
        </w:rPr>
      </w:pPr>
      <w:r>
        <w:rPr>
          <w:rFonts w:hint="eastAsia" w:asciiTheme="minorEastAsia" w:hAnsiTheme="minorEastAsia"/>
          <w:sz w:val="24"/>
        </w:rPr>
        <w:t xml:space="preserve">2.履约保证金本项目不收取履约保证金。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十、报价要求</w:t>
      </w:r>
      <w:r/>
    </w:p>
    <w:p>
      <w:pPr>
        <w:ind w:firstLine="480"/>
        <w:spacing w:line="360" w:lineRule="auto"/>
        <w:rPr>
          <w:sz w:val="24"/>
        </w:rPr>
      </w:pPr>
      <w:r>
        <w:rPr>
          <w:rFonts w:hint="eastAsia"/>
          <w:sz w:val="24"/>
        </w:rPr>
        <w:t xml:space="preserve">1.</w:t>
      </w:r>
      <w:r>
        <w:rPr>
          <w:rFonts w:hint="eastAsia"/>
          <w:sz w:val="24"/>
        </w:rPr>
        <w:t xml:space="preserve">本项目报价不得超过预算价，报价币种为人民币。应根据国家收费标准并结合市场实际进行报价，总价包干。报价包括开发、测试、验收、培训、保险、人工费用、管理、质保、税费、利润、完成合同所需的一切本身和不可或缺的所有工作开支，政策性文件规定及合同包含的所有风险、责任和管理等各项全部费用。采购人不支付报价以外的任何费用。</w:t>
      </w:r>
      <w:r/>
    </w:p>
    <w:p>
      <w:pPr>
        <w:ind w:firstLine="480"/>
        <w:spacing w:line="360" w:lineRule="auto"/>
        <w:rPr>
          <w:sz w:val="24"/>
        </w:rPr>
      </w:pPr>
      <w:r>
        <w:rPr>
          <w:rFonts w:hint="eastAsia"/>
          <w:sz w:val="24"/>
        </w:rPr>
        <w:t xml:space="preserve">2.</w:t>
      </w:r>
      <w:r>
        <w:rPr>
          <w:rFonts w:hint="eastAsia"/>
          <w:sz w:val="24"/>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spacing w:line="360" w:lineRule="auto"/>
        <w:rPr>
          <w:sz w:val="24"/>
        </w:rPr>
      </w:pPr>
      <w:r>
        <w:rPr>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843"/>
        <w:jc w:val="center"/>
        <w:spacing w:line="360" w:lineRule="auto"/>
        <w:rPr>
          <w:rFonts w:ascii="黑体" w:hAnsi="黑体" w:eastAsia="黑体"/>
          <w:b w:val="0"/>
        </w:rPr>
      </w:pPr>
      <w:r/>
      <w:bookmarkStart w:id="10"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sz w:val="24"/>
          <w:szCs w:val="24"/>
        </w:rPr>
      </w:pPr>
      <w:r>
        <w:rPr>
          <w:rFonts w:hint="eastAsia" w:asciiTheme="minorEastAsia" w:hAnsiTheme="minorEastAsia"/>
          <w:sz w:val="24"/>
          <w:szCs w:val="24"/>
        </w:rPr>
        <w:t xml:space="preserve">评标结果按评审后得分由高到低顺序排</w:t>
      </w:r>
      <w:r>
        <w:rPr>
          <w:rFonts w:hint="eastAsia" w:asciiTheme="minorEastAsia" w:hAnsiTheme="minorEastAsia"/>
          <w:sz w:val="24"/>
          <w:szCs w:val="24"/>
        </w:rPr>
        <w:t xml:space="preserve">列。得分相同的，按投标报价由低到高顺序排列。得分且投标报价相同的并列。</w:t>
      </w:r>
      <w:r>
        <w:rPr>
          <w:rFonts w:hint="eastAsia" w:asciiTheme="minorEastAsia" w:hAnsiTheme="minorEastAsia"/>
          <w:sz w:val="24"/>
          <w:szCs w:val="24"/>
        </w:rPr>
        <w:t xml:space="preserve">评标委员会按照评审得分由高到低顺序推荐</w:t>
      </w:r>
      <w:r>
        <w:rPr>
          <w:rFonts w:asciiTheme="minorEastAsia" w:hAnsiTheme="minorEastAsia"/>
          <w:sz w:val="24"/>
          <w:szCs w:val="24"/>
        </w:rPr>
        <w:t xml:space="preserve">3名中标候选人。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asciiTheme="minorEastAsia" w:hAnsiTheme="minorEastAsia"/>
          <w:b/>
          <w:sz w:val="24"/>
          <w:szCs w:val="24"/>
        </w:rPr>
        <w:t xml:space="preserve">1.价格分（15</w:t>
      </w:r>
      <w:r>
        <w:rPr>
          <w:rFonts w:hint="eastAsia" w:asciiTheme="minorEastAsia" w:hAnsiTheme="minorEastAsia"/>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15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2.商务分（50分）</w:t>
      </w:r>
      <w:r/>
    </w:p>
    <w:tbl>
      <w:tblPr>
        <w:tblW w:w="86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1"/>
        <w:gridCol w:w="6949"/>
      </w:tblGrid>
      <w:tr>
        <w:trP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评审标准</w:t>
            </w:r>
            <w:r/>
          </w:p>
        </w:tc>
      </w:tr>
      <w:tr>
        <w:trP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服务能力</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1.供应商具有信息技术服务管理体系认证证书的得1分。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2.供应商具有信息安全管理体系认证证书的得1分。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3.供应商具有质量管理体系认证证书的得1分。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（上述1-3项响应文件中须提供有效期内证书扫描件并加盖供应商公章，否则不得分）</w:t>
            </w:r>
            <w:r/>
          </w:p>
        </w:tc>
      </w:tr>
      <w:tr>
        <w:trP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业绩</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（17分）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1、自2023年1月1日以来，供应商具有“重大项目”类项目业绩，每提供一个业绩的得2分，最高得10分。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2、自2023年1月1日以来，供应商具有“政务服务”类项目业绩，每提供一个业绩的得1分，最高得7分。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（响应文件中提供合同关键页扫描件并加盖供应商公章，否则不得分。时间、服务内容以合同为准。）</w:t>
            </w:r>
            <w:r/>
          </w:p>
        </w:tc>
      </w:tr>
      <w:tr>
        <w:trP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平台建设能力</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（14分）</w:t>
            </w:r>
            <w:r/>
          </w:p>
        </w:tc>
        <w:tc>
          <w:tcPr>
            <w:tcBorders>
              <w:top w:val="single" w:color="000000" w:sz="4" w:space="0"/>
              <w:left w:val="single" w:color="000000" w:sz="4" w:space="0"/>
              <w:bottom w:val="single" w:color="000000" w:sz="4" w:space="0"/>
              <w:right w:val="single" w:color="000000" w:sz="4" w:space="0"/>
            </w:tcBorders>
            <w:tcW w:w="69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1、供应商需提供与本项目建设内容相关且自主持有的“</w:t>
            </w:r>
            <w:r>
              <w:rPr>
                <w:rFonts w:hint="eastAsia" w:cs="Times New Roman" w:asciiTheme="minorEastAsia" w:hAnsiTheme="minorEastAsia"/>
                <w:bCs/>
                <w:color w:val="000000"/>
                <w:sz w:val="24"/>
                <w:szCs w:val="24"/>
              </w:rPr>
              <w:t xml:space="preserve">事项动态管理</w:t>
            </w:r>
            <w:r>
              <w:rPr>
                <w:rFonts w:hint="eastAsia" w:cs="Times New Roman" w:asciiTheme="minorEastAsia" w:hAnsiTheme="minorEastAsia"/>
                <w:bCs/>
                <w:color w:val="000000"/>
                <w:sz w:val="24"/>
                <w:szCs w:val="24"/>
              </w:rPr>
              <w:t xml:space="preserve">”类相关软件著作权证书的，“</w:t>
            </w:r>
            <w:r>
              <w:rPr>
                <w:rFonts w:hint="eastAsia" w:cs="Times New Roman" w:asciiTheme="minorEastAsia" w:hAnsiTheme="minorEastAsia"/>
                <w:bCs/>
                <w:color w:val="000000"/>
                <w:sz w:val="24"/>
                <w:szCs w:val="24"/>
              </w:rPr>
              <w:t xml:space="preserve">风险预警</w:t>
            </w:r>
            <w:r>
              <w:rPr>
                <w:rFonts w:hint="eastAsia" w:cs="Times New Roman" w:asciiTheme="minorEastAsia" w:hAnsiTheme="minorEastAsia"/>
                <w:bCs/>
                <w:color w:val="000000"/>
                <w:sz w:val="24"/>
                <w:szCs w:val="24"/>
              </w:rPr>
              <w:t xml:space="preserve">”类相关软件著作权证书的</w:t>
            </w:r>
            <w:r>
              <w:rPr>
                <w:rFonts w:cs="Times New Roman" w:asciiTheme="minorEastAsia" w:hAnsiTheme="minorEastAsia"/>
                <w:bCs/>
                <w:color w:val="000000"/>
                <w:sz w:val="24"/>
                <w:szCs w:val="24"/>
              </w:rPr>
              <w:t xml:space="preserve">,“业务流程”类相关软件著作权证书的,“</w:t>
            </w:r>
            <w:r>
              <w:rPr>
                <w:rFonts w:hint="eastAsia" w:cs="Times New Roman" w:asciiTheme="minorEastAsia" w:hAnsiTheme="minorEastAsia"/>
                <w:bCs/>
                <w:color w:val="000000"/>
                <w:sz w:val="24"/>
                <w:szCs w:val="24"/>
              </w:rPr>
              <w:t xml:space="preserve">全生命周期</w:t>
            </w:r>
            <w:r>
              <w:rPr>
                <w:rFonts w:hint="eastAsia" w:cs="Times New Roman" w:asciiTheme="minorEastAsia" w:hAnsiTheme="minorEastAsia"/>
                <w:bCs/>
                <w:color w:val="000000"/>
                <w:sz w:val="24"/>
                <w:szCs w:val="24"/>
              </w:rPr>
              <w:t xml:space="preserve">”类相关软件著作权证书的</w:t>
            </w:r>
            <w:r>
              <w:rPr>
                <w:rFonts w:cs="Times New Roman" w:asciiTheme="minorEastAsia" w:hAnsiTheme="minorEastAsia"/>
                <w:bCs/>
                <w:color w:val="000000"/>
                <w:sz w:val="24"/>
                <w:szCs w:val="24"/>
              </w:rPr>
              <w:t xml:space="preserve">,“监控”类相关软件著作权证书的,</w:t>
            </w:r>
            <w:r>
              <w:rPr>
                <w:rFonts w:hint="eastAsia" w:cs="Times New Roman" w:asciiTheme="minorEastAsia" w:hAnsiTheme="minorEastAsia"/>
                <w:bCs/>
                <w:color w:val="000000"/>
                <w:sz w:val="24"/>
                <w:szCs w:val="24"/>
              </w:rPr>
              <w:t xml:space="preserve">每提供一类得2分，最高得10分。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2、供应商需提供与本项目建设内容相关且自主持有的“事项动态管理”类相关软件测试报告的，“全生命周期”类相关软件测试报告的，每提供一类得2分，最高得4分。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注：如响应文件中提供的著作权/检测报告名称表述与评审标准描述的关键字段不一致，能够在响应文件中证明供应商拥有的著作权/检测报告具有相同或相似功能和效果的，视同符合要求。提供著作权/检测报告证书复印件并加盖投标人公章，且著作权/检测报告证书获得时间为招标公告公布之日前获得，否则不得分）</w:t>
            </w:r>
            <w:r/>
          </w:p>
        </w:tc>
      </w:tr>
      <w:tr>
        <w:trP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项目团队服务能力（16分）</w:t>
            </w:r>
            <w:r/>
          </w:p>
        </w:tc>
        <w:tc>
          <w:tcPr>
            <w:tcBorders>
              <w:top w:val="single" w:color="000000" w:sz="4" w:space="0"/>
              <w:left w:val="single" w:color="000000" w:sz="4" w:space="0"/>
              <w:bottom w:val="single" w:color="000000" w:sz="4" w:space="0"/>
              <w:right w:val="single" w:color="000000" w:sz="4" w:space="0"/>
            </w:tcBorders>
            <w:tcW w:w="69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1.供应商拟本项目配备的项目经理具有信息系统项目管理师、高级工程师、软件设计师，有一个得2分。最多得6分。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2.供应商拟为本项目配备的技术负责人具有信息系统项目管理师、系统分析师，有一个得1分。具有政府机关（或事业单位）委托的政务服务项目业绩的得1分。最多得3分。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拟派项目团队成员（不包含项目经理）中具有高级系统架构师、高级系统分析师、注册信息安全专业人员（CISP）、网络规划设计师、中级信息安全工程师、中级软件评测师、网络安全高级工程师证书的，每提供一个证书得1分，最高得7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rPr>
                <w:rFonts w:ascii="SimSun" w:hAnsi="SimSun" w:eastAsia="SimSun" w:cs="SimSun"/>
                <w:color w:val="000000"/>
                <w:sz w:val="24"/>
              </w:rPr>
              <w:t xml:space="preserve">（上述1-3项响应文件中提供有效相关证书，技术负责人提供被服务单位的相关证明材料及2025年1月1日（含）以来任意一个月由供应商为其缴纳的社保证明材料扫描件并加盖供应商公章，缺项或未提供均不得分。一人多证不重复得分）</w:t>
            </w:r>
            <w:r>
              <w:rPr>
                <w:rFonts w:hint="eastAsia" w:cs="Times New Roman" w:asciiTheme="minorEastAsia" w:hAnsiTheme="minorEastAsia"/>
                <w:bCs/>
                <w:color w:val="000000"/>
                <w:sz w:val="24"/>
                <w:szCs w:val="24"/>
              </w:rPr>
            </w:r>
            <w:r/>
          </w:p>
        </w:tc>
      </w:tr>
    </w:tbl>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3.技术分（35分）</w:t>
      </w:r>
      <w:r/>
    </w:p>
    <w:tbl>
      <w:tblPr>
        <w:tblW w:w="8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1"/>
        <w:gridCol w:w="6949"/>
      </w:tblGrid>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评审标准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项目建设总体方案（5分）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供应商结合项目提供平台建设总体方案，方案包含但不限于对项目整体建设需求内容的理解、设计原则、设计思路、技术路线、总体架构等内容进行阐述。</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项目总体理解透彻，结构清晰，内容详细，关键点把握到位，的得5分；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项目总体理解较透彻，结构比较清晰，内容较详细，关键点把握比较到位，的得3分；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项目总体理解有偏差，结构及内容简单粗糙，重难点把握不到位的得1分；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该项未见描述不得分。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项目技术方案（5分）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供应商结合项目提供项目技术方案，方案包含但不限于我的首页面，月度填报（项目调度）功能优化，手续配置，手续管理，项目调整，模块数字提醒，转让功能，导出功能，竣工达产模块，项目全流程手续管理，系统对接，市签约项目库服务内容进行阐述。</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方案完善，功能详尽，逻辑清晰的得5分；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方案较完善，功能较详尽、逻辑较清晰的得3分；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内容有缺项，功能不完善的，得1分；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该项未见描述不得分。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项目实施方案（5分）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供应商结合项目需求提供本项目的组织实施方案，内容包括但不限于组织和实施流程、服务完善程度、平台建设进度安排、各岗位人员职责等内容。</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实施流程清晰，进度计划内容详细，服务措施完善，可操作性强的，得5分；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流程较清晰，进度计划内容较详细，服务措施较完善，可操作性较强的，得3分；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流程一般，进度计划内容一般，措施简单粗糙，可操作性不强的，得1分；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该项未见阐述不得分。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维护服务方案(5分)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供应商结合项目需求提供维护服务方案，内容包括但不限于维护服务、响应时间、故障处理、支撑保障等。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维护服务贴合项目需求，响应时间及故障处理及时，支撑保障措施完善的得5分；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维护服务较贴合项目需求，响应时间及故障处理较及时，支撑保障措施较完善的得3分；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响应时间及故障处理时效性一般，支撑保障措施一般的，得1分；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该项未见阐述不得分。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安全管理方案（5分）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供应商结合项目需求制定完善的安全管理方案，方案内容包含但不限于安全运维体系、安全运维场景、安全运维管理等。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方案全面完善，内容详细，可实施性强的得5分；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方案较为完善，内容较详细，可实施性较强的得3分；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方案内容缺失，与项目需求存在偏差，可实施性不强的得1分；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该项未见阐述不得分。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应急策略方案（5分）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供应商结合项目需求制定完善的应急策略方案，方案内容包含但不限于应急响应分级、应急响应流程、应急预案等。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响应流程合理，预案内容完善详尽，保障能力强的，得5分；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响应流程较合理，预案内容较详尽，保障能力较强的，得3分；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响应流程一般，预案内容一般，保障能力一般的，得1分；</w:t>
            </w:r>
            <w:r>
              <w:rPr>
                <w:rFonts w:hint="eastAsia" w:cs="Times New Roman" w:asciiTheme="minorEastAsia" w:hAnsiTheme="minorEastAsia"/>
                <w:bCs/>
                <w:color w:val="000000"/>
                <w:sz w:val="24"/>
                <w:szCs w:val="24"/>
              </w:rPr>
              <w:br/>
              <w:t xml:space="preserve">该项未见阐述不得分。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风险管理方案（5分）</w:t>
            </w:r>
            <w:r/>
          </w:p>
        </w:tc>
        <w:tc>
          <w:tcPr>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供应商结合项目需求制定完善的风险管理方案，方案内容包含但不限于风险分析与管理、风险识别与分析、风险控制与规避、风险应对措施等。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阐述详细，实施流程、实现思路等内容可实施性强，贴合本项目需求的得5分；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阐述较详细，实施流程、实现思路等内容可实施性较强，较能够满足本项目需求的得3分；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阐述一般，合理性一般，可实施性不强，基本能够满足本项目需求的得1分；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该项未见阐述不得分。</w:t>
            </w:r>
            <w:r/>
          </w:p>
        </w:tc>
      </w:tr>
    </w:tbl>
    <w:p>
      <w:pPr>
        <w:spacing w:line="360" w:lineRule="auto"/>
        <w:rPr>
          <w:rFonts w:ascii="宋体" w:hAnsi="宋体" w:cs="Calibri"/>
          <w:b/>
          <w:color w:val="000000"/>
          <w:sz w:val="24"/>
          <w:szCs w:val="24"/>
          <w:highlight w:val="yellow"/>
        </w:rPr>
      </w:pPr>
      <w:r>
        <w:rPr>
          <w:rFonts w:ascii="宋体" w:hAnsi="宋体" w:cs="Calibri"/>
          <w:b/>
          <w:color w:val="000000"/>
          <w:sz w:val="24"/>
          <w:szCs w:val="24"/>
          <w:highlight w:val="yellow"/>
        </w:rPr>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注</w:t>
      </w:r>
      <w:r>
        <w:rPr>
          <w:rFonts w:ascii="宋体" w:hAnsi="宋体" w:cs="Calibri"/>
          <w:b/>
          <w:color w:val="000000"/>
          <w:sz w:val="24"/>
          <w:szCs w:val="24"/>
        </w:rPr>
        <w:t xml:space="preserve">;</w:t>
      </w:r>
      <w:r/>
    </w:p>
    <w:p>
      <w:pPr>
        <w:spacing w:line="360" w:lineRule="auto"/>
        <w:rPr>
          <w:rFonts w:ascii="宋体" w:hAnsi="宋体" w:cs="Calibri"/>
          <w:b/>
          <w:color w:val="000000"/>
          <w:sz w:val="24"/>
          <w:szCs w:val="24"/>
        </w:rPr>
      </w:pPr>
      <w:r>
        <w:rPr>
          <w:rFonts w:ascii="宋体" w:hAnsi="宋体" w:cs="Calibri"/>
          <w:b/>
          <w:color w:val="000000"/>
          <w:sz w:val="24"/>
          <w:szCs w:val="24"/>
        </w:rPr>
        <w:t xml:space="preserve">1.本项目评标标准中的技术分（35分）采用暗标方式进行评审。</w:t>
      </w:r>
      <w:r/>
    </w:p>
    <w:p>
      <w:pPr>
        <w:spacing w:line="360" w:lineRule="auto"/>
        <w:rPr>
          <w:rFonts w:ascii="宋体" w:hAnsi="宋体" w:cs="Calibri"/>
          <w:b/>
          <w:color w:val="000000"/>
          <w:sz w:val="24"/>
          <w:szCs w:val="24"/>
        </w:rPr>
      </w:pPr>
      <w:r>
        <w:rPr>
          <w:rFonts w:ascii="宋体" w:hAnsi="宋体" w:cs="Calibri"/>
          <w:b/>
          <w:color w:val="000000"/>
          <w:sz w:val="24"/>
          <w:szCs w:val="24"/>
        </w:rPr>
        <w:t xml:space="preserve">2.编制要求：</w:t>
      </w:r>
      <w:r/>
    </w:p>
    <w:p>
      <w:pPr>
        <w:spacing w:line="360" w:lineRule="auto"/>
        <w:rPr>
          <w:rFonts w:ascii="宋体" w:hAnsi="宋体" w:cs="Calibri"/>
          <w:b/>
          <w:color w:val="000000"/>
          <w:sz w:val="24"/>
          <w:szCs w:val="24"/>
        </w:rPr>
      </w:pPr>
      <w:r>
        <w:rPr>
          <w:rFonts w:ascii="宋体" w:hAnsi="宋体" w:cs="Calibri"/>
          <w:b/>
          <w:color w:val="000000"/>
          <w:sz w:val="24"/>
          <w:szCs w:val="24"/>
        </w:rPr>
        <w:t xml:space="preserve">2.1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spacing w:line="360" w:lineRule="auto"/>
        <w:rPr>
          <w:rFonts w:ascii="宋体" w:hAnsi="宋体" w:cs="Calibri"/>
          <w:b/>
          <w:color w:val="000000"/>
          <w:sz w:val="24"/>
          <w:szCs w:val="24"/>
        </w:rPr>
      </w:pPr>
      <w:r>
        <w:rPr>
          <w:rFonts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spacing w:line="360" w:lineRule="auto"/>
        <w:rPr>
          <w:rFonts w:ascii="宋体" w:hAnsi="宋体" w:cs="Calibri"/>
          <w:b/>
          <w:color w:val="000000"/>
          <w:sz w:val="24"/>
          <w:szCs w:val="24"/>
        </w:rPr>
      </w:pPr>
      <w:r>
        <w:rPr>
          <w:rFonts w:ascii="宋体" w:hAnsi="宋体" w:cs="Calibri"/>
          <w:b/>
          <w:color w:val="000000"/>
          <w:sz w:val="24"/>
          <w:szCs w:val="24"/>
        </w:rPr>
        <w:t xml:space="preserve">2.3供应商需按照上述要求编制方案，未按要求编制的本项不得分。</w:t>
      </w:r>
      <w:r/>
    </w:p>
    <w:p>
      <w:pPr>
        <w:spacing w:line="360" w:lineRule="auto"/>
        <w:rPr>
          <w:rFonts w:ascii="宋体" w:hAnsi="宋体" w:cs="Calibri"/>
          <w:b/>
          <w:color w:val="000000"/>
          <w:sz w:val="24"/>
          <w:szCs w:val="24"/>
          <w:highlight w:val="yellow"/>
        </w:rPr>
      </w:pPr>
      <w:r>
        <w:rPr>
          <w:rFonts w:ascii="宋体" w:hAnsi="宋体" w:cs="Calibri"/>
          <w:b/>
          <w:color w:val="000000"/>
          <w:sz w:val="24"/>
          <w:szCs w:val="24"/>
          <w:highlight w:val="yellow"/>
        </w:rPr>
      </w:r>
      <w:r/>
    </w:p>
    <w:p>
      <w:pPr>
        <w:spacing w:line="360" w:lineRule="auto"/>
        <w:rPr>
          <w:rFonts w:ascii="宋体" w:hAnsi="宋体" w:cs="Calibri"/>
          <w:b/>
          <w:color w:val="000000"/>
          <w:sz w:val="24"/>
          <w:szCs w:val="24"/>
          <w:highlight w:val="yellow"/>
        </w:rPr>
      </w:pPr>
      <w:r>
        <w:rPr>
          <w:rFonts w:ascii="宋体" w:hAnsi="宋体" w:cs="Calibri"/>
          <w:b/>
          <w:color w:val="000000"/>
          <w:sz w:val="24"/>
          <w:szCs w:val="24"/>
          <w:highlight w:val="yellow"/>
        </w:rPr>
      </w:r>
      <w:r/>
    </w:p>
    <w:p>
      <w:pPr>
        <w:spacing w:line="360" w:lineRule="auto"/>
        <w:rPr>
          <w:rFonts w:ascii="宋体" w:hAnsi="宋体" w:cs="Calibri"/>
          <w:b/>
          <w:color w:val="000000"/>
          <w:sz w:val="24"/>
          <w:szCs w:val="24"/>
          <w:highlight w:val="yellow"/>
        </w:rPr>
      </w:pPr>
      <w:r>
        <w:rPr>
          <w:rFonts w:ascii="宋体" w:hAnsi="宋体" w:cs="Calibri"/>
          <w:b/>
          <w:color w:val="000000"/>
          <w:sz w:val="24"/>
          <w:szCs w:val="24"/>
          <w:highlight w:val="yellow"/>
        </w:rPr>
      </w:r>
      <w:r/>
    </w:p>
    <w:p>
      <w:pPr>
        <w:spacing w:line="360" w:lineRule="auto"/>
        <w:rPr>
          <w:rFonts w:ascii="宋体" w:hAnsi="宋体" w:cs="Calibri"/>
          <w:b/>
          <w:color w:val="000000"/>
          <w:sz w:val="24"/>
          <w:szCs w:val="24"/>
          <w:highlight w:val="yellow"/>
        </w:rPr>
      </w:pPr>
      <w:r>
        <w:rPr>
          <w:rFonts w:ascii="宋体" w:hAnsi="宋体" w:cs="Calibri"/>
          <w:b/>
          <w:color w:val="000000"/>
          <w:sz w:val="24"/>
          <w:szCs w:val="24"/>
          <w:highlight w:val="yellow"/>
        </w:rPr>
      </w:r>
      <w:r/>
    </w:p>
    <w:p>
      <w:pPr>
        <w:pStyle w:val="843"/>
        <w:jc w:val="center"/>
        <w:spacing w:line="360" w:lineRule="auto"/>
        <w:rPr>
          <w:rFonts w:ascii="黑体" w:hAnsi="黑体" w:eastAsia="黑体"/>
          <w:b w:val="0"/>
        </w:rPr>
      </w:pPr>
      <w:r/>
      <w:bookmarkStart w:id="11" w:name="_Toc162361615"/>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二、上一年度的财务状况报告（成立不满一年无需提供）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w:t>
      </w:r>
      <w:r>
        <w:rPr>
          <w:rFonts w:hint="eastAsia"/>
          <w:sz w:val="24"/>
          <w:szCs w:val="24"/>
        </w:rPr>
        <w:t xml:space="preserve">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2" w:name="_Hlt26955054"/>
      <w:r/>
      <w:bookmarkEnd w:id="12"/>
      <w:r>
        <w:rPr>
          <w:rFonts w:hint="eastAsia" w:ascii="Arial" w:hAnsi="Arial" w:eastAsia="宋体" w:cs="Arial"/>
          <w:b/>
          <w:iCs/>
          <w:sz w:val="36"/>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3" w:name="_Hlt26782999"/>
            <w:r/>
            <w:bookmarkStart w:id="14" w:name="_Hlt26671343"/>
            <w:r/>
            <w:bookmarkStart w:id="15" w:name="_Hlt26580838"/>
            <w:r/>
            <w:bookmarkStart w:id="16" w:name="_Hlt26955056"/>
            <w:r/>
            <w:bookmarkStart w:id="17" w:name="_Hlt26609391"/>
            <w:r/>
            <w:bookmarkStart w:id="18" w:name="_Hlt26671372"/>
            <w:r/>
            <w:bookmarkStart w:id="19" w:name="_Hlt24879081"/>
            <w:r/>
            <w:bookmarkStart w:id="20" w:name="_Hlt26955064"/>
            <w:r/>
            <w:bookmarkEnd w:id="13"/>
            <w:r/>
            <w:bookmarkEnd w:id="14"/>
            <w:r/>
            <w:bookmarkEnd w:id="15"/>
            <w:r/>
            <w:bookmarkEnd w:id="16"/>
            <w:r/>
            <w:bookmarkEnd w:id="17"/>
            <w:r/>
            <w:bookmarkEnd w:id="18"/>
            <w:r/>
            <w:bookmarkEnd w:id="19"/>
            <w:r/>
            <w:bookmarkEnd w:id="20"/>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21" w:name="_Hlt26955066"/>
      <w:r/>
      <w:bookmarkStart w:id="22" w:name="_Hlt26609389"/>
      <w:r/>
      <w:bookmarkStart w:id="23" w:name="_格式2__法定代表人授权书"/>
      <w:r/>
      <w:bookmarkStart w:id="24" w:name="_Hlt26671374"/>
      <w:r/>
      <w:bookmarkEnd w:id="21"/>
      <w:r/>
      <w:bookmarkEnd w:id="22"/>
      <w:r/>
      <w:bookmarkEnd w:id="23"/>
      <w:r/>
      <w:bookmarkEnd w:id="24"/>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59"/>
        <w:tblW w:w="0" w:type="auto"/>
        <w:tblInd w:w="114" w:type="dxa"/>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2"/>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黑体">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
  </w:p>
  <w:p>
    <w:pPr>
      <w:pStyle w:val="8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5"/>
          <w:jc w:val="center"/>
        </w:pPr>
        <w:r>
          <w:fldChar w:fldCharType="begin"/>
        </w:r>
        <w:r>
          <w:instrText xml:space="preserve"> PAGE   \* MERGEFORMAT </w:instrText>
        </w:r>
        <w:r>
          <w:fldChar w:fldCharType="separate"/>
        </w:r>
        <w:r>
          <w:rPr>
            <w:lang w:val="zh-CN"/>
          </w:rPr>
          <w:t xml:space="preserve">57</w:t>
        </w:r>
        <w:r>
          <w:rPr>
            <w:lang w:val="zh-CN"/>
          </w:rPr>
          <w:fldChar w:fldCharType="end"/>
        </w:r>
        <w:r/>
      </w:p>
    </w:sdtContent>
  </w:sdt>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3"/>
    <w:uiPriority w:val="9"/>
    <w:rPr>
      <w:rFonts w:ascii="Arial" w:hAnsi="Arial" w:eastAsia="Arial" w:cs="Arial"/>
      <w:sz w:val="40"/>
      <w:szCs w:val="40"/>
    </w:rPr>
  </w:style>
  <w:style w:type="character" w:styleId="673">
    <w:name w:val="Heading 2 Char"/>
    <w:basedOn w:val="846"/>
    <w:link w:val="844"/>
    <w:uiPriority w:val="9"/>
    <w:rPr>
      <w:rFonts w:ascii="Arial" w:hAnsi="Arial" w:eastAsia="Arial" w:cs="Arial"/>
      <w:sz w:val="34"/>
    </w:rPr>
  </w:style>
  <w:style w:type="character" w:styleId="674">
    <w:name w:val="Heading 3 Char"/>
    <w:basedOn w:val="846"/>
    <w:link w:val="845"/>
    <w:uiPriority w:val="9"/>
    <w:rPr>
      <w:rFonts w:ascii="Arial" w:hAnsi="Arial" w:eastAsia="Arial" w:cs="Arial"/>
      <w:sz w:val="30"/>
      <w:szCs w:val="30"/>
    </w:rPr>
  </w:style>
  <w:style w:type="paragraph" w:styleId="675">
    <w:name w:val="Heading 4"/>
    <w:basedOn w:val="842"/>
    <w:next w:val="842"/>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6"/>
    <w:link w:val="675"/>
    <w:uiPriority w:val="9"/>
    <w:rPr>
      <w:rFonts w:ascii="Arial" w:hAnsi="Arial" w:eastAsia="Arial" w:cs="Arial"/>
      <w:b/>
      <w:bCs/>
      <w:sz w:val="26"/>
      <w:szCs w:val="26"/>
    </w:rPr>
  </w:style>
  <w:style w:type="paragraph" w:styleId="677">
    <w:name w:val="Heading 5"/>
    <w:basedOn w:val="842"/>
    <w:next w:val="842"/>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6"/>
    <w:link w:val="677"/>
    <w:uiPriority w:val="9"/>
    <w:rPr>
      <w:rFonts w:ascii="Arial" w:hAnsi="Arial" w:eastAsia="Arial" w:cs="Arial"/>
      <w:b/>
      <w:bCs/>
      <w:sz w:val="24"/>
      <w:szCs w:val="24"/>
    </w:rPr>
  </w:style>
  <w:style w:type="paragraph" w:styleId="679">
    <w:name w:val="Heading 6"/>
    <w:basedOn w:val="842"/>
    <w:next w:val="842"/>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6"/>
    <w:link w:val="679"/>
    <w:uiPriority w:val="9"/>
    <w:rPr>
      <w:rFonts w:ascii="Arial" w:hAnsi="Arial" w:eastAsia="Arial" w:cs="Arial"/>
      <w:b/>
      <w:bCs/>
      <w:sz w:val="22"/>
      <w:szCs w:val="22"/>
    </w:rPr>
  </w:style>
  <w:style w:type="paragraph" w:styleId="681">
    <w:name w:val="Heading 7"/>
    <w:basedOn w:val="842"/>
    <w:next w:val="842"/>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6"/>
    <w:link w:val="681"/>
    <w:uiPriority w:val="9"/>
    <w:rPr>
      <w:rFonts w:ascii="Arial" w:hAnsi="Arial" w:eastAsia="Arial" w:cs="Arial"/>
      <w:b/>
      <w:bCs/>
      <w:i/>
      <w:iCs/>
      <w:sz w:val="22"/>
      <w:szCs w:val="22"/>
    </w:rPr>
  </w:style>
  <w:style w:type="paragraph" w:styleId="683">
    <w:name w:val="Heading 8"/>
    <w:basedOn w:val="842"/>
    <w:next w:val="842"/>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6"/>
    <w:link w:val="683"/>
    <w:uiPriority w:val="9"/>
    <w:rPr>
      <w:rFonts w:ascii="Arial" w:hAnsi="Arial" w:eastAsia="Arial" w:cs="Arial"/>
      <w:i/>
      <w:iCs/>
      <w:sz w:val="22"/>
      <w:szCs w:val="22"/>
    </w:rPr>
  </w:style>
  <w:style w:type="paragraph" w:styleId="685">
    <w:name w:val="Heading 9"/>
    <w:basedOn w:val="842"/>
    <w:next w:val="842"/>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6"/>
    <w:link w:val="685"/>
    <w:uiPriority w:val="9"/>
    <w:rPr>
      <w:rFonts w:ascii="Arial" w:hAnsi="Arial" w:eastAsia="Arial" w:cs="Arial"/>
      <w:i/>
      <w:iCs/>
      <w:sz w:val="21"/>
      <w:szCs w:val="21"/>
    </w:rPr>
  </w:style>
  <w:style w:type="paragraph" w:styleId="687">
    <w:name w:val="List Paragraph"/>
    <w:basedOn w:val="842"/>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46"/>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6"/>
    <w:uiPriority w:val="99"/>
  </w:style>
  <w:style w:type="character" w:styleId="698">
    <w:name w:val="Footer Char"/>
    <w:basedOn w:val="846"/>
    <w:link w:val="855"/>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5"/>
    <w:uiPriority w:val="99"/>
  </w:style>
  <w:style w:type="table" w:styleId="701">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qFormat/>
    <w:pPr>
      <w:jc w:val="both"/>
      <w:widowControl w:val="off"/>
    </w:pPr>
    <w:rPr>
      <w:rFonts w:asciiTheme="minorHAnsi" w:hAnsiTheme="minorHAnsi" w:eastAsiaTheme="minorEastAsia" w:cstheme="minorBidi"/>
      <w:sz w:val="21"/>
      <w:szCs w:val="22"/>
    </w:rPr>
  </w:style>
  <w:style w:type="paragraph" w:styleId="843">
    <w:name w:val="Heading 1"/>
    <w:basedOn w:val="842"/>
    <w:next w:val="842"/>
    <w:link w:val="864"/>
    <w:uiPriority w:val="9"/>
    <w:qFormat/>
    <w:pPr>
      <w:keepLines/>
      <w:keepNext/>
      <w:spacing w:before="340" w:after="330" w:line="578" w:lineRule="auto"/>
      <w:outlineLvl w:val="0"/>
    </w:pPr>
    <w:rPr>
      <w:b/>
      <w:bCs/>
      <w:sz w:val="44"/>
      <w:szCs w:val="44"/>
    </w:rPr>
  </w:style>
  <w:style w:type="paragraph" w:styleId="844">
    <w:name w:val="Heading 2"/>
    <w:basedOn w:val="842"/>
    <w:next w:val="842"/>
    <w:link w:val="86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link w:val="867"/>
    <w:uiPriority w:val="9"/>
    <w:unhideWhenUsed/>
    <w:qFormat/>
    <w:pPr>
      <w:keepLines/>
      <w:keepNext/>
      <w:spacing w:before="260" w:after="260" w:line="416" w:lineRule="auto"/>
      <w:outlineLvl w:val="2"/>
    </w:pPr>
    <w:rPr>
      <w:b/>
      <w:bCs/>
      <w:sz w:val="32"/>
      <w:szCs w:val="32"/>
    </w:rPr>
  </w:style>
  <w:style w:type="character" w:styleId="846" w:default="1">
    <w:name w:val="Default Paragraph Font"/>
    <w:uiPriority w:val="1"/>
    <w:semiHidden/>
    <w:unhideWhenUsed/>
  </w:style>
  <w:style w:type="table" w:styleId="847" w:default="1">
    <w:name w:val="Normal Table"/>
    <w:uiPriority w:val="99"/>
    <w:semiHidden/>
    <w:unhideWhenUsed/>
    <w:qFormat/>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Document Map"/>
    <w:basedOn w:val="842"/>
    <w:link w:val="865"/>
    <w:uiPriority w:val="99"/>
    <w:semiHidden/>
    <w:unhideWhenUsed/>
    <w:qFormat/>
    <w:rPr>
      <w:rFonts w:ascii="宋体" w:eastAsia="宋体"/>
      <w:sz w:val="18"/>
      <w:szCs w:val="18"/>
    </w:rPr>
  </w:style>
  <w:style w:type="paragraph" w:styleId="850">
    <w:name w:val="annotation text"/>
    <w:basedOn w:val="842"/>
    <w:link w:val="869"/>
    <w:qFormat/>
    <w:pPr>
      <w:ind w:firstLine="922"/>
      <w:jc w:val="left"/>
      <w:spacing w:line="360" w:lineRule="auto"/>
    </w:pPr>
    <w:rPr>
      <w:rFonts w:ascii="Times New Roman" w:hAnsi="Times New Roman" w:eastAsia="宋体" w:cs="Times New Roman"/>
      <w:szCs w:val="24"/>
    </w:rPr>
  </w:style>
  <w:style w:type="paragraph" w:styleId="851">
    <w:name w:val="Body Text Indent"/>
    <w:basedOn w:val="842"/>
    <w:link w:val="874"/>
    <w:uiPriority w:val="99"/>
    <w:semiHidden/>
    <w:unhideWhenUsed/>
    <w:qFormat/>
    <w:pPr>
      <w:ind w:left="420"/>
      <w:spacing w:after="120"/>
    </w:pPr>
  </w:style>
  <w:style w:type="paragraph" w:styleId="852">
    <w:name w:val="Plain Text"/>
    <w:basedOn w:val="842"/>
    <w:link w:val="873"/>
    <w:qFormat/>
    <w:rPr>
      <w:rFonts w:ascii="宋体" w:hAnsi="Courier New" w:eastAsia="宋体" w:cs="Times New Roman"/>
      <w:szCs w:val="20"/>
    </w:rPr>
  </w:style>
  <w:style w:type="paragraph" w:styleId="853">
    <w:name w:val="Date"/>
    <w:basedOn w:val="842"/>
    <w:next w:val="842"/>
    <w:link w:val="868"/>
    <w:uiPriority w:val="99"/>
    <w:semiHidden/>
    <w:unhideWhenUsed/>
    <w:qFormat/>
    <w:pPr>
      <w:ind w:left="100"/>
    </w:pPr>
  </w:style>
  <w:style w:type="paragraph" w:styleId="854">
    <w:name w:val="Balloon Text"/>
    <w:basedOn w:val="842"/>
    <w:link w:val="870"/>
    <w:uiPriority w:val="99"/>
    <w:semiHidden/>
    <w:unhideWhenUsed/>
    <w:qFormat/>
    <w:rPr>
      <w:sz w:val="18"/>
      <w:szCs w:val="18"/>
    </w:rPr>
  </w:style>
  <w:style w:type="paragraph" w:styleId="855">
    <w:name w:val="Footer"/>
    <w:basedOn w:val="842"/>
    <w:link w:val="863"/>
    <w:uiPriority w:val="99"/>
    <w:unhideWhenUsed/>
    <w:qFormat/>
    <w:pPr>
      <w:jc w:val="left"/>
      <w:tabs>
        <w:tab w:val="center" w:pos="4153" w:leader="none"/>
        <w:tab w:val="right" w:pos="8306" w:leader="none"/>
      </w:tabs>
    </w:pPr>
    <w:rPr>
      <w:sz w:val="18"/>
      <w:szCs w:val="18"/>
    </w:rPr>
  </w:style>
  <w:style w:type="paragraph" w:styleId="856">
    <w:name w:val="Header"/>
    <w:basedOn w:val="842"/>
    <w:link w:val="8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7">
    <w:name w:val="toc 1"/>
    <w:basedOn w:val="842"/>
    <w:next w:val="842"/>
    <w:uiPriority w:val="39"/>
    <w:unhideWhenUsed/>
    <w:qFormat/>
    <w:pPr>
      <w:jc w:val="center"/>
      <w:spacing w:line="360" w:lineRule="auto"/>
      <w:tabs>
        <w:tab w:val="right" w:pos="9628" w:leader="dot"/>
      </w:tabs>
    </w:pPr>
    <w:rPr>
      <w:sz w:val="32"/>
    </w:rPr>
  </w:style>
  <w:style w:type="paragraph" w:styleId="858">
    <w:name w:val="Normal (Web)"/>
    <w:basedOn w:val="842"/>
    <w:uiPriority w:val="99"/>
    <w:semiHidden/>
    <w:unhideWhenUsed/>
    <w:qFormat/>
    <w:rPr>
      <w:sz w:val="24"/>
    </w:rPr>
  </w:style>
  <w:style w:type="table" w:styleId="859">
    <w:name w:val="Table Grid"/>
    <w:basedOn w:val="84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Hyperlink"/>
    <w:uiPriority w:val="99"/>
    <w:qFormat/>
    <w:rPr>
      <w:color w:val="0000ff"/>
      <w:u w:val="none"/>
    </w:rPr>
  </w:style>
  <w:style w:type="character" w:styleId="861">
    <w:name w:val="annotation reference"/>
    <w:qFormat/>
    <w:rPr>
      <w:sz w:val="21"/>
      <w:szCs w:val="21"/>
    </w:rPr>
  </w:style>
  <w:style w:type="character" w:styleId="862" w:customStyle="1">
    <w:name w:val="页眉 Char"/>
    <w:basedOn w:val="846"/>
    <w:link w:val="856"/>
    <w:uiPriority w:val="99"/>
    <w:qFormat/>
    <w:rPr>
      <w:sz w:val="18"/>
      <w:szCs w:val="18"/>
    </w:rPr>
  </w:style>
  <w:style w:type="character" w:styleId="863" w:customStyle="1">
    <w:name w:val="页脚 Char"/>
    <w:basedOn w:val="846"/>
    <w:link w:val="855"/>
    <w:uiPriority w:val="99"/>
    <w:qFormat/>
    <w:rPr>
      <w:sz w:val="18"/>
      <w:szCs w:val="18"/>
    </w:rPr>
  </w:style>
  <w:style w:type="character" w:styleId="864" w:customStyle="1">
    <w:name w:val="标题 1 Char"/>
    <w:basedOn w:val="846"/>
    <w:link w:val="843"/>
    <w:uiPriority w:val="9"/>
    <w:qFormat/>
    <w:rPr>
      <w:b/>
      <w:bCs/>
      <w:sz w:val="44"/>
      <w:szCs w:val="44"/>
    </w:rPr>
  </w:style>
  <w:style w:type="character" w:styleId="865" w:customStyle="1">
    <w:name w:val="文档结构图 Char"/>
    <w:basedOn w:val="846"/>
    <w:link w:val="849"/>
    <w:uiPriority w:val="99"/>
    <w:semiHidden/>
    <w:qFormat/>
    <w:rPr>
      <w:rFonts w:ascii="宋体" w:eastAsia="宋体"/>
      <w:sz w:val="18"/>
      <w:szCs w:val="18"/>
    </w:rPr>
  </w:style>
  <w:style w:type="character" w:styleId="866" w:customStyle="1">
    <w:name w:val="标题 2 Char"/>
    <w:basedOn w:val="846"/>
    <w:link w:val="844"/>
    <w:uiPriority w:val="9"/>
    <w:qFormat/>
    <w:rPr>
      <w:rFonts w:asciiTheme="majorHAnsi" w:hAnsiTheme="majorHAnsi" w:eastAsiaTheme="majorEastAsia" w:cstheme="majorBidi"/>
      <w:b/>
      <w:bCs/>
      <w:sz w:val="32"/>
      <w:szCs w:val="32"/>
    </w:rPr>
  </w:style>
  <w:style w:type="character" w:styleId="867" w:customStyle="1">
    <w:name w:val="标题 3 Char"/>
    <w:basedOn w:val="846"/>
    <w:link w:val="845"/>
    <w:uiPriority w:val="9"/>
    <w:qFormat/>
    <w:rPr>
      <w:b/>
      <w:bCs/>
      <w:sz w:val="32"/>
      <w:szCs w:val="32"/>
    </w:rPr>
  </w:style>
  <w:style w:type="character" w:styleId="868" w:customStyle="1">
    <w:name w:val="日期 Char"/>
    <w:basedOn w:val="846"/>
    <w:link w:val="853"/>
    <w:uiPriority w:val="99"/>
    <w:semiHidden/>
    <w:qFormat/>
  </w:style>
  <w:style w:type="character" w:styleId="869" w:customStyle="1">
    <w:name w:val="批注文字 Char"/>
    <w:basedOn w:val="846"/>
    <w:link w:val="850"/>
    <w:qFormat/>
    <w:rPr>
      <w:rFonts w:ascii="Times New Roman" w:hAnsi="Times New Roman" w:eastAsia="宋体" w:cs="Times New Roman"/>
      <w:szCs w:val="24"/>
    </w:rPr>
  </w:style>
  <w:style w:type="character" w:styleId="870" w:customStyle="1">
    <w:name w:val="批注框文本 Char"/>
    <w:basedOn w:val="846"/>
    <w:link w:val="854"/>
    <w:uiPriority w:val="99"/>
    <w:semiHidden/>
    <w:qFormat/>
    <w:rPr>
      <w:sz w:val="18"/>
      <w:szCs w:val="18"/>
    </w:rPr>
  </w:style>
  <w:style w:type="paragraph" w:styleId="871" w:customStyle="1">
    <w:name w:val="Default"/>
    <w:link w:val="872"/>
    <w:uiPriority w:val="99"/>
    <w:qFormat/>
    <w:pPr>
      <w:widowControl w:val="off"/>
    </w:pPr>
    <w:rPr>
      <w:rFonts w:ascii="MS Mincho" w:hAnsi="Calibri"/>
      <w:color w:val="000000"/>
      <w:sz w:val="21"/>
      <w:szCs w:val="24"/>
    </w:rPr>
  </w:style>
  <w:style w:type="character" w:styleId="872" w:customStyle="1">
    <w:name w:val="Default Char"/>
    <w:link w:val="871"/>
    <w:uiPriority w:val="99"/>
    <w:qFormat/>
    <w:rPr>
      <w:rFonts w:ascii="MS Mincho" w:hAnsi="Calibri" w:eastAsia="宋体" w:cs="Times New Roman"/>
      <w:color w:val="000000"/>
      <w:szCs w:val="24"/>
    </w:rPr>
  </w:style>
  <w:style w:type="character" w:styleId="873" w:customStyle="1">
    <w:name w:val="纯文本 Char"/>
    <w:basedOn w:val="846"/>
    <w:link w:val="852"/>
    <w:qFormat/>
    <w:rPr>
      <w:rFonts w:ascii="宋体" w:hAnsi="Courier New" w:eastAsia="宋体" w:cs="Times New Roman"/>
      <w:szCs w:val="20"/>
    </w:rPr>
  </w:style>
  <w:style w:type="character" w:styleId="874" w:customStyle="1">
    <w:name w:val="正文文本缩进 Char"/>
    <w:basedOn w:val="846"/>
    <w:link w:val="851"/>
    <w:qFormat/>
    <w:rPr>
      <w:rFonts w:hint="eastAsia" w:ascii="宋体" w:hAnsi="宋体" w:eastAsia="宋体" w:cs="宋体"/>
      <w:sz w:val="28"/>
      <w:szCs w:val="21"/>
    </w:rPr>
  </w:style>
  <w:style w:type="character" w:styleId="875" w:customStyle="1">
    <w:name w:val="正文文本首行缩进 2 字符"/>
    <w:basedOn w:val="874"/>
    <w:qFormat/>
    <w:rPr>
      <w:rFonts w:hint="eastAsia" w:ascii="宋体" w:hAnsi="宋体" w:eastAsia="宋体" w:cs="宋体"/>
      <w:sz w:val="28"/>
      <w:szCs w:val="21"/>
    </w:rPr>
  </w:style>
  <w:style w:type="character" w:styleId="876" w:customStyle="1">
    <w:name w:val="咨询-表内容 字符"/>
    <w:basedOn w:val="846"/>
    <w:link w:val="877"/>
    <w:qFormat/>
    <w:rPr>
      <w:rFonts w:hint="eastAsia" w:ascii="宋体" w:hAnsi="宋体" w:eastAsia="宋体" w:cs="宋体"/>
      <w:bCs/>
      <w:color w:val="000000"/>
      <w:sz w:val="21"/>
      <w:szCs w:val="21"/>
    </w:rPr>
  </w:style>
  <w:style w:type="paragraph" w:styleId="877" w:customStyle="1">
    <w:name w:val="咨询-表内容"/>
    <w:basedOn w:val="842"/>
    <w:link w:val="876"/>
    <w:qFormat/>
    <w:pPr>
      <w:jc w:val="left"/>
      <w:widowControl/>
    </w:pPr>
    <w:rPr>
      <w:rFonts w:hint="eastAsia" w:ascii="宋体" w:hAnsi="宋体" w:eastAsia="宋体" w:cs="Times New Roman"/>
      <w:bCs/>
      <w:color w:val="000000"/>
      <w:szCs w:val="21"/>
    </w:rPr>
  </w:style>
  <w:style w:type="paragraph" w:styleId="878" w:customStyle="1">
    <w:name w:val="修订1"/>
    <w:hidden/>
    <w:uiPriority w:val="99"/>
    <w:unhideWhenUsed/>
    <w:qFormat/>
    <w:rPr>
      <w:rFonts w:asciiTheme="minorHAnsi" w:hAnsiTheme="minorHAnsi" w:eastAsiaTheme="minorEastAsia" w:cstheme="minorBidi"/>
      <w:sz w:val="21"/>
      <w:szCs w:val="22"/>
    </w:rPr>
  </w:style>
  <w:style w:type="paragraph" w:styleId="879" w:customStyle="1">
    <w:name w:val="修订2"/>
    <w:hidden/>
    <w:uiPriority w:val="99"/>
    <w:unhideWhenUsed/>
    <w:qFormat/>
    <w:rPr>
      <w:rFonts w:asciiTheme="minorHAnsi" w:hAnsiTheme="minorHAnsi" w:eastAsiaTheme="minorEastAsia" w:cstheme="minorBidi"/>
      <w:sz w:val="21"/>
      <w:szCs w:val="22"/>
    </w:rPr>
  </w:style>
  <w:style w:type="paragraph" w:styleId="880">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5838E3-3FEE-43A0-89F2-080D57BC2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14</cp:revision>
  <dcterms:created xsi:type="dcterms:W3CDTF">2026-10-22T03:02:00Z</dcterms:created>
  <dcterms:modified xsi:type="dcterms:W3CDTF">2026-10-23T02:38:44Z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2052-12.1.0.29161</vt:lpwstr>
  </property>
  <property fmtid="{D5CDD505-2E9C-101B-9397-08002B2CF9AE}" pid="4" name="ICV">
    <vt:lpwstr>96D58098F8364808BC10C73439A7AA95_13</vt:lpwstr>
  </property>
</Properties>
</file>