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02"/>
        <w:ind w:firstLine="300"/>
        <w:spacing w:line="360" w:lineRule="auto"/>
        <w:rPr>
          <w:sz w:val="60"/>
          <w:szCs w:val="60"/>
        </w:rPr>
      </w:pPr>
      <w:r>
        <w:rPr>
          <w:sz w:val="60"/>
          <w:szCs w:val="60"/>
        </w:rPr>
      </w:r>
      <w:r/>
    </w:p>
    <w:p>
      <w:pPr>
        <w:pStyle w:val="1086"/>
        <w:rPr>
          <w:color w:val="000000"/>
          <w:sz w:val="60"/>
          <w:szCs w:val="60"/>
        </w:rPr>
      </w:pPr>
      <w:r>
        <w:rPr>
          <w:color w:val="000000"/>
          <w:sz w:val="60"/>
          <w:szCs w:val="60"/>
        </w:rPr>
      </w:r>
      <w:r/>
    </w:p>
    <w:p>
      <w:pPr>
        <w:pStyle w:val="1086"/>
        <w:rPr>
          <w:color w:val="000000"/>
          <w:sz w:val="60"/>
          <w:szCs w:val="60"/>
        </w:rPr>
      </w:pPr>
      <w:r>
        <w:rPr>
          <w:color w:val="000000"/>
          <w:sz w:val="60"/>
          <w:szCs w:val="60"/>
        </w:rPr>
      </w:r>
      <w:r/>
    </w:p>
    <w:p>
      <w:pPr>
        <w:pStyle w:val="1002"/>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1002"/>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1002"/>
        <w:jc w:val="center"/>
        <w:rPr>
          <w:rFonts w:hint="eastAsia" w:ascii="宋体" w:hAnsi="宋体" w:cs="宋体"/>
          <w:b/>
          <w:bCs/>
          <w:sz w:val="60"/>
          <w:szCs w:val="60"/>
        </w:rPr>
      </w:pPr>
      <w:r>
        <w:rPr>
          <w:rFonts w:hint="eastAsia" w:ascii="宋体" w:hAnsi="宋体" w:cs="宋体"/>
          <w:b/>
          <w:bCs/>
          <w:sz w:val="60"/>
          <w:szCs w:val="60"/>
        </w:rPr>
      </w:r>
      <w:r/>
    </w:p>
    <w:p>
      <w:pPr>
        <w:pStyle w:val="1002"/>
        <w:jc w:val="center"/>
        <w:spacing w:line="360" w:lineRule="auto"/>
        <w:rPr>
          <w:rFonts w:hint="eastAsia" w:ascii="宋体" w:hAnsi="宋体" w:cs="宋体"/>
          <w:sz w:val="60"/>
          <w:szCs w:val="60"/>
        </w:rPr>
      </w:pPr>
      <w:r>
        <w:rPr>
          <w:rFonts w:hint="eastAsia" w:ascii="宋体" w:hAnsi="宋体" w:cs="宋体"/>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02"/>
        <w:ind w:left="2877" w:hanging="160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项目名称：2026~2027年度大气多参数自动站运维及数据采集与联网提升服务</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JSZC-320400-CZZH-G2026-0047</w:t>
      </w:r>
      <w:r>
        <w:rPr>
          <w:rFonts w:hint="eastAsia" w:ascii="宋体" w:hAnsi="宋体" w:eastAsia="宋体" w:cs="宋体"/>
          <w:sz w:val="32"/>
          <w:szCs w:val="32"/>
          <w:lang w:eastAsia="zh-CN"/>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人：江苏省常州环境监测中心</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1002"/>
        <w:spacing w:line="360" w:lineRule="auto"/>
        <w:rPr>
          <w:rFonts w:hint="eastAsia" w:ascii="宋体" w:hAnsi="宋体" w:cs="宋体"/>
          <w:sz w:val="60"/>
          <w:szCs w:val="60"/>
        </w:rPr>
      </w:pPr>
      <w:r>
        <w:rPr>
          <w:rFonts w:hint="eastAsia" w:ascii="宋体" w:hAnsi="宋体" w:cs="宋体"/>
          <w:sz w:val="60"/>
          <w:szCs w:val="60"/>
        </w:rPr>
      </w:r>
      <w:r/>
    </w:p>
    <w:p>
      <w:pPr>
        <w:pStyle w:val="1002"/>
        <w:jc w:val="left"/>
        <w:widowControl/>
        <w:rPr>
          <w:b/>
          <w:bCs/>
          <w:sz w:val="44"/>
        </w:rPr>
      </w:pPr>
      <w:r>
        <w:rPr>
          <w:b/>
          <w:bCs/>
          <w:sz w:val="44"/>
        </w:rPr>
        <w:br w:type="page" w:clear="all"/>
      </w:r>
      <w:r>
        <w:rPr>
          <w:b/>
          <w:bCs/>
          <w:sz w:val="44"/>
        </w:rPr>
      </w:r>
      <w:r/>
    </w:p>
    <w:p>
      <w:pPr>
        <w:pStyle w:val="1002"/>
        <w:jc w:val="center"/>
        <w:spacing w:line="360" w:lineRule="auto"/>
        <w:rPr>
          <w:b/>
          <w:sz w:val="36"/>
          <w:szCs w:val="36"/>
        </w:rPr>
        <w:outlineLvl w:val="0"/>
      </w:pPr>
      <w:r/>
      <w:bookmarkStart w:id="0" w:name="_Toc11925"/>
      <w:r/>
      <w:bookmarkStart w:id="1" w:name="_Toc99301418"/>
      <w:r>
        <w:rPr>
          <w:b/>
          <w:sz w:val="36"/>
          <w:szCs w:val="36"/>
        </w:rPr>
        <w:t xml:space="preserve">目      录</w:t>
      </w:r>
      <w:bookmarkEnd w:id="0"/>
      <w:r/>
      <w:bookmarkEnd w:id="1"/>
      <w:r>
        <w:rPr>
          <w:b/>
          <w:sz w:val="36"/>
          <w:szCs w:val="36"/>
        </w:rPr>
      </w:r>
      <w:r/>
    </w:p>
    <w:p>
      <w:pPr>
        <w:pStyle w:val="1002"/>
      </w:pPr>
      <w:r/>
      <w:r/>
    </w:p>
    <w:p>
      <w:pPr>
        <w:pStyle w:val="1002"/>
      </w:pPr>
      <w:r/>
      <w:r/>
    </w:p>
    <w:p>
      <w:pPr>
        <w:pStyle w:val="1002"/>
      </w:pPr>
      <w:r/>
      <w:r/>
    </w:p>
    <w:p>
      <w:pPr>
        <w:pStyle w:val="1057"/>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_Toc11925 </w:instrText>
      </w:r>
      <w:r>
        <w:rPr>
          <w:rFonts w:ascii="Times New Roman" w:hAnsi="Times New Roman"/>
        </w:rPr>
        <w:fldChar w:fldCharType="separate"/>
      </w:r>
      <w:r>
        <w:rPr>
          <w:szCs w:val="36"/>
        </w:rPr>
        <w:t xml:space="preserve">目      录</w:t>
      </w:r>
      <w:r>
        <w:tab/>
      </w:r>
      <w:r>
        <w:fldChar w:fldCharType="begin"/>
      </w:r>
      <w:r>
        <w:instrText xml:space="preserve"> PAGEREF _Toc11925 \h </w:instrText>
      </w:r>
      <w:r>
        <w:fldChar w:fldCharType="separate"/>
      </w:r>
      <w:r>
        <w:t xml:space="preserve">2</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_Toc23708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_Toc23708 \h </w:instrText>
      </w:r>
      <w:r>
        <w:fldChar w:fldCharType="separate"/>
      </w:r>
      <w:r>
        <w:t xml:space="preserve">3</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_Toc32368 </w:instrText>
      </w:r>
      <w:r>
        <w:rPr>
          <w:rFonts w:ascii="Times New Roman" w:hAnsi="Times New Roman"/>
        </w:rPr>
        <w:fldChar w:fldCharType="separate"/>
      </w:r>
      <w:r>
        <w:rPr>
          <w:rFonts w:hint="eastAsia"/>
          <w:szCs w:val="36"/>
        </w:rPr>
        <w:t xml:space="preserve">第二章   投标人须知</w:t>
      </w:r>
      <w:r>
        <w:tab/>
      </w:r>
      <w:r>
        <w:fldChar w:fldCharType="begin"/>
      </w:r>
      <w:r>
        <w:instrText xml:space="preserve"> PAGEREF _Toc32368 \h </w:instrText>
      </w:r>
      <w:r>
        <w:fldChar w:fldCharType="separate"/>
      </w:r>
      <w:r>
        <w:t xml:space="preserve">7</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_Toc1581 </w:instrText>
      </w:r>
      <w:r>
        <w:rPr>
          <w:rFonts w:ascii="Times New Roman" w:hAnsi="Times New Roman"/>
        </w:rPr>
        <w:fldChar w:fldCharType="separate"/>
      </w:r>
      <w:r>
        <w:rPr>
          <w:szCs w:val="36"/>
        </w:rPr>
        <w:t xml:space="preserve">第三章   资格审查</w:t>
      </w:r>
      <w:r>
        <w:tab/>
      </w:r>
      <w:r>
        <w:fldChar w:fldCharType="begin"/>
      </w:r>
      <w:r>
        <w:instrText xml:space="preserve"> PAGEREF _Toc1581 \h </w:instrText>
      </w:r>
      <w:r>
        <w:fldChar w:fldCharType="separate"/>
      </w:r>
      <w:r>
        <w:t xml:space="preserve">23</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_Toc5240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_Toc5240 \h </w:instrText>
      </w:r>
      <w:r>
        <w:fldChar w:fldCharType="separate"/>
      </w:r>
      <w:r>
        <w:t xml:space="preserve">25</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_Toc29053 </w:instrText>
      </w:r>
      <w:r>
        <w:rPr>
          <w:rFonts w:ascii="Times New Roman" w:hAnsi="Times New Roman"/>
        </w:rPr>
        <w:fldChar w:fldCharType="separate"/>
      </w:r>
      <w:r>
        <w:rPr>
          <w:szCs w:val="36"/>
        </w:rPr>
        <w:t xml:space="preserve">第五章   采购需求</w:t>
      </w:r>
      <w:r>
        <w:tab/>
      </w:r>
      <w:r>
        <w:fldChar w:fldCharType="begin"/>
      </w:r>
      <w:r>
        <w:instrText xml:space="preserve"> PAGEREF _Toc29053 \h </w:instrText>
      </w:r>
      <w:r>
        <w:fldChar w:fldCharType="separate"/>
      </w:r>
      <w:r>
        <w:t xml:space="preserve">45</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_Toc6509 </w:instrText>
      </w:r>
      <w:r>
        <w:rPr>
          <w:rFonts w:ascii="Times New Roman" w:hAnsi="Times New Roman"/>
        </w:rPr>
        <w:fldChar w:fldCharType="separate"/>
      </w:r>
      <w:r>
        <w:rPr>
          <w:rFonts w:hint="eastAsia"/>
          <w:szCs w:val="44"/>
        </w:rPr>
        <w:t xml:space="preserve">第六章   拟签订的合同文本</w:t>
      </w:r>
      <w:r>
        <w:tab/>
      </w:r>
      <w:r>
        <w:fldChar w:fldCharType="begin"/>
      </w:r>
      <w:r>
        <w:instrText xml:space="preserve"> PAGEREF _Toc6509 \h </w:instrText>
      </w:r>
      <w:r>
        <w:fldChar w:fldCharType="separate"/>
      </w:r>
      <w:r>
        <w:t xml:space="preserve">48</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_Toc8339 </w:instrText>
      </w:r>
      <w:r>
        <w:rPr>
          <w:rFonts w:ascii="Times New Roman" w:hAnsi="Times New Roman"/>
        </w:rPr>
        <w:fldChar w:fldCharType="separate"/>
      </w:r>
      <w:r>
        <w:rPr>
          <w:szCs w:val="36"/>
        </w:rPr>
        <w:t xml:space="preserve">第七章   投标文件格式</w:t>
      </w:r>
      <w:r>
        <w:tab/>
      </w:r>
      <w:r>
        <w:fldChar w:fldCharType="begin"/>
      </w:r>
      <w:r>
        <w:instrText xml:space="preserve"> PAGEREF _Toc8339 \h </w:instrText>
      </w:r>
      <w:r>
        <w:fldChar w:fldCharType="separate"/>
      </w:r>
      <w:r>
        <w:t xml:space="preserve">51</w:t>
      </w:r>
      <w:r>
        <w:fldChar w:fldCharType="end"/>
      </w:r>
      <w:r>
        <w:rPr>
          <w:rFonts w:ascii="Times New Roman" w:hAnsi="Times New Roman"/>
        </w:rPr>
        <w:fldChar w:fldCharType="end"/>
      </w:r>
      <w:r/>
    </w:p>
    <w:p>
      <w:pPr>
        <w:pStyle w:val="1057"/>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jc w:val="center"/>
        <w:spacing w:line="360" w:lineRule="auto"/>
        <w:rPr>
          <w:rFonts w:hint="eastAsia" w:ascii="宋体" w:hAnsi="宋体" w:cs="宋体"/>
          <w:b/>
          <w:sz w:val="36"/>
          <w:szCs w:val="36"/>
        </w:rPr>
      </w:pPr>
      <w:r>
        <w:rPr>
          <w:sz w:val="24"/>
        </w:rPr>
        <w:br w:type="page" w:clear="all"/>
      </w:r>
      <w:bookmarkStart w:id="2" w:name="_Toc23708"/>
      <w:r>
        <w:rPr>
          <w:rStyle w:val="1014"/>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2"/>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1002"/>
              <w:ind w:firstLine="420"/>
              <w:jc w:val="left"/>
              <w:spacing w:line="360" w:lineRule="auto"/>
              <w:widowControl/>
              <w:rPr>
                <w:rFonts w:hint="eastAsia" w:ascii="宋体" w:hAnsi="宋体" w:cs="宋体"/>
                <w:szCs w:val="21"/>
              </w:rPr>
            </w:pPr>
            <w:r>
              <w:rPr>
                <w:rFonts w:hint="eastAsia" w:ascii="宋体" w:hAnsi="宋体" w:cs="宋体"/>
                <w:szCs w:val="21"/>
                <w:u w:val="single"/>
              </w:rPr>
              <w:t xml:space="preserve">2026~2027年度大气多参数自动站运维及数据采集与联网提升服务</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2026年10月</w:t>
            </w:r>
            <w:r>
              <w:rPr>
                <w:rFonts w:hint="eastAsia" w:ascii="宋体" w:hAnsi="宋体" w:cs="宋体"/>
                <w:b/>
                <w:szCs w:val="21"/>
                <w:lang w:val="en-US" w:eastAsia="zh-CN"/>
              </w:rPr>
              <w:t xml:space="preserve">1</w:t>
            </w:r>
            <w:r>
              <w:rPr>
                <w:rFonts w:hint="eastAsia" w:ascii="宋体" w:hAnsi="宋体" w:cs="宋体"/>
                <w:b/>
                <w:szCs w:val="21"/>
                <w:lang w:val="en-US" w:eastAsia="zh-CN"/>
              </w:rPr>
              <w:t xml:space="preserve">4</w:t>
            </w:r>
            <w:r>
              <w:rPr>
                <w:rFonts w:hint="eastAsia" w:ascii="宋体" w:hAnsi="宋体" w:cs="宋体"/>
                <w:b/>
                <w:szCs w:val="21"/>
              </w:rPr>
              <w:t xml:space="preserve">日09:30</w:t>
            </w:r>
            <w:r>
              <w:rPr>
                <w:rFonts w:hint="eastAsia" w:ascii="宋体" w:hAnsi="宋体" w:cs="宋体"/>
                <w:szCs w:val="21"/>
              </w:rPr>
              <w:t xml:space="preserve">（北京时间）前提交投标文件。</w:t>
            </w:r>
            <w:r>
              <w:rPr>
                <w:rFonts w:hint="eastAsia" w:ascii="宋体" w:hAnsi="宋体" w:cs="宋体"/>
                <w:szCs w:val="21"/>
              </w:rPr>
            </w:r>
            <w:r/>
          </w:p>
        </w:tc>
      </w:tr>
    </w:tbl>
    <w:p>
      <w:pPr>
        <w:pStyle w:val="1002"/>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1002"/>
        <w:spacing w:line="360" w:lineRule="auto"/>
        <w:rPr>
          <w:rFonts w:hint="eastAsia" w:ascii="宋体" w:hAnsi="宋体" w:cs="宋体"/>
          <w:szCs w:val="21"/>
        </w:rPr>
      </w:pPr>
      <w:r>
        <w:rPr>
          <w:rFonts w:hint="eastAsia" w:ascii="宋体" w:hAnsi="宋体" w:cs="宋体"/>
          <w:b/>
          <w:bCs/>
          <w:szCs w:val="21"/>
        </w:rPr>
        <w:t xml:space="preserve">1.项目名称：</w:t>
      </w:r>
      <w:r>
        <w:rPr>
          <w:rFonts w:hint="eastAsia" w:ascii="宋体" w:hAnsi="宋体" w:cs="宋体"/>
          <w:szCs w:val="21"/>
        </w:rPr>
        <w:t xml:space="preserve">2026~2027年度大气多参数自动站运维及数据采集与联网提升服务</w:t>
      </w:r>
      <w:r>
        <w:rPr>
          <w:rFonts w:hint="eastAsia" w:ascii="宋体" w:hAnsi="宋体" w:cs="宋体"/>
          <w:szCs w:val="21"/>
        </w:rPr>
      </w:r>
      <w:r/>
    </w:p>
    <w:p>
      <w:pPr>
        <w:pStyle w:val="1002"/>
        <w:spacing w:line="360" w:lineRule="auto"/>
        <w:rPr>
          <w:rFonts w:hint="eastAsia" w:ascii="宋体" w:hAnsi="宋体" w:eastAsia="宋体" w:cs="宋体"/>
          <w:spacing w:val="2"/>
          <w:szCs w:val="21"/>
          <w:lang w:eastAsia="zh-CN"/>
        </w:rPr>
      </w:pPr>
      <w:r>
        <w:rPr>
          <w:rFonts w:hint="eastAsia" w:ascii="宋体" w:hAnsi="宋体" w:cs="宋体"/>
          <w:b/>
          <w:bCs/>
          <w:szCs w:val="21"/>
        </w:rPr>
        <w:t xml:space="preserve">2.项目编号：</w:t>
      </w:r>
      <w:r>
        <w:rPr>
          <w:rFonts w:hint="eastAsia" w:ascii="宋体" w:hAnsi="宋体" w:cs="宋体"/>
          <w:szCs w:val="21"/>
          <w:lang w:eastAsia="zh-CN"/>
        </w:rPr>
        <w:t xml:space="preserve">JSZC-320400-CZZH-G2026-0047</w:t>
      </w:r>
      <w:r>
        <w:rPr>
          <w:rFonts w:hint="eastAsia" w:ascii="宋体" w:hAnsi="宋体" w:eastAsia="宋体" w:cs="宋体"/>
          <w:spacing w:val="2"/>
          <w:szCs w:val="21"/>
          <w:lang w:eastAsia="zh-CN"/>
        </w:rPr>
      </w:r>
      <w:r/>
    </w:p>
    <w:p>
      <w:pPr>
        <w:pStyle w:val="1002"/>
        <w:spacing w:line="360" w:lineRule="auto"/>
        <w:rPr>
          <w:rFonts w:hint="eastAsia"/>
          <w:b/>
          <w:spacing w:val="2"/>
        </w:rPr>
      </w:pPr>
      <w:r/>
      <w:bookmarkStart w:id="3" w:name="_Toc28359003"/>
      <w:r/>
      <w:bookmarkStart w:id="4" w:name="_Toc35393791"/>
      <w:r/>
      <w:bookmarkStart w:id="5" w:name="_Toc35393622"/>
      <w:r/>
      <w:bookmarkStart w:id="6" w:name="_Toc28359080"/>
      <w:r>
        <w:rPr>
          <w:rFonts w:hint="eastAsia"/>
          <w:b/>
        </w:rPr>
        <w:t xml:space="preserve">3.</w:t>
      </w:r>
      <w:r>
        <w:rPr>
          <w:rFonts w:hint="eastAsia"/>
          <w:b/>
          <w:spacing w:val="2"/>
        </w:rPr>
        <w:t xml:space="preserve">预算金额：人民币115.9万元</w:t>
      </w:r>
      <w:r>
        <w:rPr>
          <w:rFonts w:hint="eastAsia"/>
          <w:b/>
          <w:spacing w:val="2"/>
        </w:rPr>
      </w:r>
      <w:r/>
    </w:p>
    <w:p>
      <w:pPr>
        <w:pStyle w:val="1002"/>
        <w:spacing w:line="360" w:lineRule="auto"/>
        <w:rPr>
          <w:b/>
          <w:spacing w:val="2"/>
          <w:highlight w:val="none"/>
        </w:rPr>
      </w:pPr>
      <w:r>
        <w:rPr>
          <w:rFonts w:hint="eastAsia"/>
          <w:b/>
          <w:highlight w:val="none"/>
        </w:rPr>
        <w:t xml:space="preserve">4.</w:t>
      </w:r>
      <w:r>
        <w:rPr>
          <w:rFonts w:hint="eastAsia"/>
          <w:b/>
          <w:spacing w:val="2"/>
          <w:highlight w:val="none"/>
        </w:rPr>
        <w:t xml:space="preserve">最高限价：</w:t>
      </w:r>
      <w:r>
        <w:rPr>
          <w:rFonts w:hint="eastAsia"/>
          <w:b/>
          <w:spacing w:val="2"/>
          <w:highlight w:val="none"/>
          <w:lang w:val="zh-CN"/>
        </w:rPr>
        <w:t xml:space="preserve">人民币11</w:t>
      </w:r>
      <w:r>
        <w:rPr>
          <w:rFonts w:hint="eastAsia"/>
          <w:b/>
          <w:spacing w:val="2"/>
          <w:highlight w:val="none"/>
        </w:rPr>
        <w:t xml:space="preserve">4.4</w:t>
      </w:r>
      <w:r>
        <w:rPr>
          <w:rFonts w:hint="eastAsia"/>
          <w:b/>
          <w:spacing w:val="2"/>
          <w:highlight w:val="none"/>
          <w:lang w:val="zh-CN"/>
        </w:rPr>
        <w:t xml:space="preserve">万元。</w:t>
      </w:r>
      <w:r>
        <w:rPr>
          <w:rFonts w:hint="eastAsia"/>
          <w:b/>
          <w:spacing w:val="2"/>
          <w:highlight w:val="none"/>
        </w:rPr>
        <w:t xml:space="preserve">共分为三个包，包一：仪器设备托管运维（一），最高限价：57.05万元</w:t>
      </w:r>
      <w:r>
        <w:rPr>
          <w:rFonts w:hint="eastAsia"/>
          <w:b/>
          <w:spacing w:val="2"/>
          <w:highlight w:val="none"/>
          <w:lang w:eastAsia="zh-CN"/>
        </w:rPr>
        <w:t xml:space="preserve">；</w:t>
      </w:r>
      <w:r>
        <w:rPr>
          <w:rFonts w:hint="eastAsia"/>
          <w:b/>
          <w:spacing w:val="2"/>
          <w:highlight w:val="none"/>
        </w:rPr>
        <w:t xml:space="preserve">包二：仪器设备托管运维（二），最高限价：40.57万元</w:t>
      </w:r>
      <w:r>
        <w:rPr>
          <w:rFonts w:hint="eastAsia"/>
          <w:b/>
          <w:spacing w:val="2"/>
          <w:highlight w:val="none"/>
          <w:lang w:eastAsia="zh-CN"/>
        </w:rPr>
        <w:t xml:space="preserve">；</w:t>
      </w:r>
      <w:r>
        <w:rPr>
          <w:rFonts w:hint="eastAsia"/>
          <w:b/>
          <w:spacing w:val="2"/>
          <w:highlight w:val="none"/>
        </w:rPr>
        <w:t xml:space="preserve">包三：数据采集与联网提升服务，最高限价：16.78万元。兼投不兼中：允许投标人同时参与多个采购包的投标，但仅可在1个采购包中中标。</w:t>
      </w:r>
      <w:r>
        <w:rPr>
          <w:b/>
          <w:spacing w:val="2"/>
          <w:highlight w:val="none"/>
        </w:rPr>
      </w:r>
      <w:r/>
    </w:p>
    <w:p>
      <w:pPr>
        <w:pStyle w:val="1002"/>
        <w:jc w:val="left"/>
        <w:spacing w:line="360" w:lineRule="auto"/>
        <w:rPr>
          <w:rFonts w:hint="eastAsia" w:ascii="宋体" w:hAnsi="宋体" w:cs="宋体"/>
          <w:szCs w:val="21"/>
          <w:highlight w:val="none"/>
        </w:rPr>
      </w:pPr>
      <w:r>
        <w:rPr>
          <w:rFonts w:hint="eastAsia"/>
          <w:b/>
          <w:highlight w:val="none"/>
        </w:rPr>
        <w:t xml:space="preserve">5.</w:t>
      </w:r>
      <w:r>
        <w:rPr>
          <w:rFonts w:hint="eastAsia"/>
          <w:b/>
          <w:spacing w:val="2"/>
          <w:highlight w:val="none"/>
        </w:rPr>
        <w:t xml:space="preserve">采购需求：</w:t>
      </w:r>
      <w:r>
        <w:rPr>
          <w:rFonts w:hint="eastAsia"/>
          <w:bCs/>
          <w:spacing w:val="2"/>
          <w:highlight w:val="none"/>
        </w:rPr>
        <w:t xml:space="preserve">本项目为</w:t>
      </w:r>
      <w:r>
        <w:rPr>
          <w:rFonts w:hint="eastAsia" w:ascii="宋体" w:hAnsi="宋体" w:cs="宋体"/>
          <w:szCs w:val="21"/>
          <w:highlight w:val="none"/>
        </w:rPr>
        <w:t xml:space="preserve">2026~2027年度大气多参数自动站运维及数据采集与联网提升服务，具体详见采购需求。</w:t>
      </w:r>
      <w:r>
        <w:rPr>
          <w:rFonts w:hint="eastAsia" w:ascii="宋体" w:hAnsi="宋体" w:cs="宋体"/>
          <w:szCs w:val="21"/>
          <w:highlight w:val="none"/>
        </w:rPr>
      </w:r>
      <w:r/>
    </w:p>
    <w:p>
      <w:pPr>
        <w:pStyle w:val="1002"/>
        <w:spacing w:line="360" w:lineRule="auto"/>
        <w:rPr>
          <w:rFonts w:hint="eastAsia"/>
          <w:bCs/>
          <w:spacing w:val="2"/>
          <w:highlight w:val="none"/>
        </w:rPr>
      </w:pPr>
      <w:r>
        <w:rPr>
          <w:rFonts w:hint="eastAsia"/>
          <w:b/>
          <w:highlight w:val="none"/>
        </w:rPr>
        <w:t xml:space="preserve">6.</w:t>
      </w:r>
      <w:r>
        <w:rPr>
          <w:rFonts w:hint="eastAsia"/>
          <w:b/>
          <w:spacing w:val="2"/>
          <w:highlight w:val="none"/>
          <w:lang w:val="zh-CN"/>
        </w:rPr>
        <w:t xml:space="preserve">合同履行期限：2</w:t>
      </w:r>
      <w:r>
        <w:rPr>
          <w:b/>
          <w:spacing w:val="2"/>
          <w:highlight w:val="none"/>
          <w:lang w:val="zh-CN"/>
        </w:rPr>
        <w:t xml:space="preserve">026</w:t>
      </w:r>
      <w:r>
        <w:rPr>
          <w:rFonts w:hint="eastAsia"/>
          <w:b/>
          <w:spacing w:val="2"/>
          <w:highlight w:val="none"/>
          <w:lang w:val="zh-CN"/>
        </w:rPr>
        <w:t xml:space="preserve">年1</w:t>
      </w:r>
      <w:r>
        <w:rPr>
          <w:b/>
          <w:spacing w:val="2"/>
          <w:highlight w:val="none"/>
          <w:lang w:val="zh-CN"/>
        </w:rPr>
        <w:t xml:space="preserve">1</w:t>
      </w:r>
      <w:r>
        <w:rPr>
          <w:rFonts w:hint="eastAsia"/>
          <w:b/>
          <w:spacing w:val="2"/>
          <w:highlight w:val="none"/>
          <w:lang w:val="zh-CN"/>
        </w:rPr>
        <w:t xml:space="preserve">月1</w:t>
      </w:r>
      <w:r>
        <w:rPr>
          <w:b/>
          <w:spacing w:val="2"/>
          <w:highlight w:val="none"/>
          <w:lang w:val="zh-CN"/>
        </w:rPr>
        <w:t xml:space="preserve">0</w:t>
      </w:r>
      <w:r>
        <w:rPr>
          <w:rFonts w:hint="eastAsia"/>
          <w:b/>
          <w:spacing w:val="2"/>
          <w:highlight w:val="none"/>
          <w:lang w:val="zh-CN"/>
        </w:rPr>
        <w:t xml:space="preserve">日-</w:t>
      </w:r>
      <w:r>
        <w:rPr>
          <w:b/>
          <w:spacing w:val="2"/>
          <w:highlight w:val="none"/>
          <w:lang w:val="zh-CN"/>
        </w:rPr>
        <w:t xml:space="preserve">2027</w:t>
      </w:r>
      <w:r>
        <w:rPr>
          <w:rFonts w:hint="eastAsia"/>
          <w:b/>
          <w:spacing w:val="2"/>
          <w:highlight w:val="none"/>
          <w:lang w:val="zh-CN"/>
        </w:rPr>
        <w:t xml:space="preserve">年1</w:t>
      </w:r>
      <w:r>
        <w:rPr>
          <w:b/>
          <w:spacing w:val="2"/>
          <w:highlight w:val="none"/>
          <w:lang w:val="zh-CN"/>
        </w:rPr>
        <w:t xml:space="preserve">1</w:t>
      </w:r>
      <w:r>
        <w:rPr>
          <w:rFonts w:hint="eastAsia"/>
          <w:b/>
          <w:spacing w:val="2"/>
          <w:highlight w:val="none"/>
          <w:lang w:val="zh-CN"/>
        </w:rPr>
        <w:t xml:space="preserve">月9日</w:t>
      </w:r>
      <w:r>
        <w:rPr>
          <w:rFonts w:hint="eastAsia"/>
          <w:bCs/>
          <w:spacing w:val="2"/>
          <w:highlight w:val="none"/>
        </w:rPr>
      </w:r>
      <w:r/>
    </w:p>
    <w:p>
      <w:pPr>
        <w:pStyle w:val="1066"/>
        <w:spacing w:before="0" w:beforeAutospacing="0" w:after="210" w:afterAutospacing="0" w:line="12" w:lineRule="atLeast"/>
        <w:shd w:val="clear" w:color="auto" w:fill="ffffff"/>
        <w:rPr>
          <w:rFonts w:hint="eastAsia"/>
          <w:bCs/>
          <w:spacing w:val="2"/>
          <w:sz w:val="21"/>
          <w:szCs w:val="21"/>
        </w:rPr>
      </w:pPr>
      <w:r>
        <w:rPr>
          <w:rFonts w:hint="eastAsia" w:ascii="Times New Roman" w:hAnsi="Times New Roman" w:cs="Times New Roman"/>
          <w:b/>
          <w:sz w:val="21"/>
          <w:szCs w:val="21"/>
        </w:rPr>
        <w:t xml:space="preserve">7.本项目（是/否）接受进口产品：否。</w:t>
      </w:r>
      <w:r>
        <w:rPr>
          <w:rFonts w:hint="eastAsia"/>
          <w:bCs/>
          <w:spacing w:val="2"/>
          <w:sz w:val="21"/>
          <w:szCs w:val="21"/>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1002"/>
        <w:spacing w:line="360" w:lineRule="auto"/>
        <w:rPr>
          <w:rFonts w:hint="eastAsia" w:ascii="宋体" w:hAnsi="宋体" w:cs="宋体"/>
          <w:b/>
          <w:bCs/>
          <w:szCs w:val="21"/>
          <w:highlight w:val="none"/>
        </w:rPr>
      </w:pPr>
      <w:r>
        <w:rPr>
          <w:rFonts w:hint="eastAsia" w:ascii="宋体" w:hAnsi="宋体" w:cs="宋体"/>
          <w:b/>
          <w:spacing w:val="2"/>
          <w:szCs w:val="21"/>
          <w:highlight w:val="none"/>
        </w:rPr>
        <w:t xml:space="preserve">2.1 中小企业政策：</w:t>
      </w:r>
      <w:r>
        <w:rPr>
          <w:rFonts w:hint="eastAsia" w:ascii="宋体" w:hAnsi="宋体" w:cs="宋体"/>
          <w:b/>
          <w:szCs w:val="21"/>
          <w:highlight w:val="none"/>
        </w:rPr>
        <w:t xml:space="preserve">本项目不</w:t>
      </w:r>
      <w:r>
        <w:rPr>
          <w:rFonts w:hint="eastAsia" w:ascii="宋体" w:hAnsi="宋体" w:cs="宋体"/>
          <w:b/>
          <w:bCs/>
          <w:szCs w:val="21"/>
          <w:highlight w:val="none"/>
        </w:rPr>
        <w:t xml:space="preserve">专门面向中小企业预留采购份额。</w:t>
      </w:r>
      <w:r>
        <w:rPr>
          <w:rFonts w:hint="eastAsia" w:ascii="宋体" w:hAnsi="宋体" w:cs="宋体"/>
          <w:b/>
          <w:bCs/>
          <w:szCs w:val="21"/>
          <w:highlight w:val="none"/>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3.6其他特定资格要求：无</w:t>
      </w:r>
      <w:r>
        <w:rPr>
          <w:rFonts w:hint="eastAsia" w:ascii="宋体" w:hAnsi="宋体" w:cs="宋体"/>
          <w:bCs/>
          <w:spacing w:val="2"/>
          <w:szCs w:val="21"/>
        </w:rPr>
      </w:r>
      <w:r/>
    </w:p>
    <w:p>
      <w:pPr>
        <w:pStyle w:val="1004"/>
        <w:jc w:val="left"/>
        <w:spacing w:before="0" w:line="360" w:lineRule="auto"/>
        <w:widowControl/>
        <w:rPr>
          <w:rFonts w:hint="eastAsia" w:ascii="Times New Roman" w:hAnsi="Times New Roman" w:eastAsia="宋体"/>
          <w:bCs/>
          <w:sz w:val="21"/>
          <w:szCs w:val="32"/>
        </w:rPr>
      </w:pPr>
      <w:r/>
      <w:bookmarkStart w:id="7" w:name="_Toc35393623"/>
      <w:r/>
      <w:bookmarkStart w:id="8" w:name="_Toc35393792"/>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1002"/>
        <w:ind w:firstLine="420"/>
        <w:spacing w:line="360" w:lineRule="auto"/>
        <w:rPr>
          <w:rFonts w:hint="eastAsia"/>
          <w:szCs w:val="32"/>
        </w:rPr>
      </w:pPr>
      <w:r/>
      <w:bookmarkStart w:id="9" w:name="_Toc35393793"/>
      <w:r>
        <w:rPr>
          <w:rFonts w:hint="eastAsia"/>
          <w:szCs w:val="32"/>
        </w:rPr>
        <w:t xml:space="preserve">1.时间：自本公告发布之日起五个工作日，每天上午00:00-12:00，下午12:00-23:59（北京时间，法定节假日除外）</w:t>
      </w:r>
      <w:r>
        <w:rPr>
          <w:rFonts w:hint="eastAsia"/>
          <w:szCs w:val="32"/>
        </w:rPr>
      </w:r>
      <w:r/>
    </w:p>
    <w:p>
      <w:pPr>
        <w:pStyle w:val="1002"/>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002"/>
        <w:spacing w:line="360" w:lineRule="auto"/>
        <w:rPr>
          <w:rFonts w:hint="eastAsia"/>
          <w:b/>
          <w:bCs/>
          <w:szCs w:val="32"/>
        </w:rPr>
      </w:pPr>
      <w:r>
        <w:rPr>
          <w:rFonts w:hint="eastAsia"/>
          <w:b/>
          <w:bCs/>
          <w:szCs w:val="32"/>
        </w:rPr>
        <w:t xml:space="preserve">四、投标文件提交</w:t>
      </w:r>
      <w:r>
        <w:rPr>
          <w:rFonts w:hint="eastAsia"/>
          <w:b/>
          <w:bCs/>
          <w:szCs w:val="32"/>
        </w:rPr>
      </w:r>
      <w:r/>
    </w:p>
    <w:p>
      <w:pPr>
        <w:pStyle w:val="1002"/>
        <w:ind w:firstLine="420"/>
        <w:spacing w:line="360" w:lineRule="auto"/>
        <w:rPr>
          <w:rFonts w:hint="eastAsia"/>
          <w:szCs w:val="32"/>
        </w:rPr>
      </w:pPr>
      <w:r/>
      <w:bookmarkEnd w:id="9"/>
      <w:r/>
      <w:bookmarkStart w:id="10" w:name="XMTBJSR_1"/>
      <w:r>
        <w:rPr>
          <w:rFonts w:hint="eastAsia"/>
          <w:szCs w:val="32"/>
        </w:rPr>
        <w:t xml:space="preserve">截止时间：2026年10月</w:t>
      </w:r>
      <w:r>
        <w:rPr>
          <w:rFonts w:hint="eastAsia"/>
          <w:szCs w:val="32"/>
          <w:lang w:val="en-US" w:eastAsia="zh-CN"/>
        </w:rPr>
        <w:t xml:space="preserve">14</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1002"/>
        <w:spacing w:line="360" w:lineRule="auto"/>
        <w:rPr>
          <w:rFonts w:hint="eastAsia"/>
          <w:b/>
          <w:bCs/>
          <w:szCs w:val="32"/>
        </w:rPr>
      </w:pPr>
      <w:r>
        <w:rPr>
          <w:rFonts w:hint="eastAsia"/>
          <w:b/>
          <w:bCs/>
          <w:szCs w:val="32"/>
        </w:rPr>
        <w:t xml:space="preserve">五、开启</w:t>
      </w:r>
      <w:r>
        <w:rPr>
          <w:rFonts w:hint="eastAsia"/>
          <w:b/>
          <w:bCs/>
          <w:szCs w:val="32"/>
        </w:rPr>
      </w:r>
      <w:r/>
    </w:p>
    <w:p>
      <w:pPr>
        <w:pStyle w:val="1002"/>
        <w:ind w:firstLine="420"/>
        <w:spacing w:line="360" w:lineRule="auto"/>
        <w:rPr>
          <w:rFonts w:hint="eastAsia"/>
          <w:szCs w:val="32"/>
        </w:rPr>
      </w:pPr>
      <w:r/>
      <w:bookmarkEnd w:id="10"/>
      <w:r/>
      <w:bookmarkStart w:id="11" w:name="_Toc28359007"/>
      <w:r/>
      <w:bookmarkStart w:id="12" w:name="_Toc35393794"/>
      <w:r/>
      <w:bookmarkStart w:id="13" w:name="_Toc35393625"/>
      <w:r/>
      <w:bookmarkStart w:id="14" w:name="_Toc28359084"/>
      <w:r>
        <w:rPr>
          <w:rFonts w:hint="eastAsia"/>
          <w:szCs w:val="32"/>
        </w:rPr>
        <w:t xml:space="preserve">时间：</w:t>
      </w:r>
      <w:bookmarkStart w:id="15" w:name="XMTBJSR_2"/>
      <w:r>
        <w:rPr>
          <w:rFonts w:hint="eastAsia"/>
          <w:szCs w:val="32"/>
        </w:rPr>
        <w:t xml:space="preserve">2026年10月</w:t>
      </w:r>
      <w:r>
        <w:rPr>
          <w:rFonts w:hint="eastAsia"/>
          <w:szCs w:val="32"/>
          <w:lang w:val="en-US" w:eastAsia="zh-CN"/>
        </w:rPr>
        <w:t xml:space="preserve">14</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1004"/>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1002"/>
        <w:spacing w:line="360" w:lineRule="auto"/>
        <w:rPr>
          <w:rFonts w:hint="eastAsia"/>
          <w:szCs w:val="32"/>
        </w:rPr>
      </w:pPr>
      <w:r>
        <w:rPr>
          <w:rFonts w:hint="eastAsia"/>
          <w:szCs w:val="32"/>
        </w:rPr>
        <w:t xml:space="preserve">自本公告发布之日起5个工作日。</w:t>
      </w:r>
      <w:r>
        <w:rPr>
          <w:rFonts w:hint="eastAsia"/>
          <w:szCs w:val="32"/>
        </w:rPr>
      </w:r>
      <w:r/>
    </w:p>
    <w:p>
      <w:pPr>
        <w:pStyle w:val="1002"/>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002"/>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002"/>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002"/>
        <w:ind w:firstLine="420"/>
        <w:spacing w:line="360" w:lineRule="auto"/>
        <w:rPr>
          <w:rFonts w:hint="eastAsia"/>
          <w:szCs w:val="32"/>
        </w:rPr>
      </w:pPr>
      <w:r>
        <w:rPr>
          <w:rFonts w:hint="eastAsia"/>
          <w:szCs w:val="32"/>
        </w:rPr>
        <w:t xml:space="preserve">CA认证证书办理联系电话：0519-85588120    CA技术咨询服务电话：400-608-6099</w:t>
      </w:r>
      <w:r>
        <w:rPr>
          <w:rFonts w:hint="eastAsia"/>
          <w:szCs w:val="32"/>
        </w:rPr>
      </w:r>
      <w:r/>
    </w:p>
    <w:p>
      <w:pPr>
        <w:pStyle w:val="1002"/>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002"/>
        <w:ind w:firstLine="420"/>
        <w:spacing w:line="360" w:lineRule="auto"/>
        <w:rPr>
          <w:rFonts w:hint="eastAsia"/>
          <w:szCs w:val="32"/>
        </w:rPr>
      </w:pPr>
      <w:r>
        <w:rPr>
          <w:rFonts w:hint="eastAsia"/>
          <w:szCs w:val="32"/>
        </w:rPr>
        <w:t xml:space="preserve">1.1办理CA认证证书</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002"/>
        <w:ind w:firstLine="420"/>
        <w:spacing w:line="360" w:lineRule="auto"/>
        <w:rPr>
          <w:rFonts w:hint="eastAsia"/>
          <w:szCs w:val="32"/>
        </w:rPr>
      </w:pPr>
      <w:r>
        <w:rPr>
          <w:rFonts w:hint="eastAsia"/>
          <w:szCs w:val="32"/>
        </w:rPr>
        <w:t xml:space="preserve">2.2注册</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002"/>
        <w:ind w:firstLine="420"/>
        <w:spacing w:line="360" w:lineRule="auto"/>
        <w:rPr>
          <w:rFonts w:hint="eastAsia"/>
          <w:szCs w:val="32"/>
        </w:rPr>
      </w:pPr>
      <w:r>
        <w:rPr>
          <w:rFonts w:hint="eastAsia"/>
          <w:szCs w:val="32"/>
        </w:rPr>
        <w:t xml:space="preserve">2.3控件、客户端下载</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002"/>
        <w:ind w:firstLine="420"/>
        <w:spacing w:line="360" w:lineRule="auto"/>
        <w:rPr>
          <w:rFonts w:hint="eastAsia"/>
          <w:szCs w:val="32"/>
        </w:rPr>
      </w:pPr>
      <w:r>
        <w:rPr>
          <w:rFonts w:hint="eastAsia"/>
          <w:szCs w:val="32"/>
        </w:rPr>
        <w:t xml:space="preserve">2.4 获取电子招标文件</w:t>
      </w:r>
      <w:r>
        <w:rPr>
          <w:rFonts w:hint="eastAsia"/>
          <w:szCs w:val="32"/>
        </w:rPr>
      </w:r>
      <w:r/>
    </w:p>
    <w:p>
      <w:pPr>
        <w:pStyle w:val="1002"/>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1002"/>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1002"/>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1002"/>
        <w:ind w:firstLine="420"/>
        <w:spacing w:line="360" w:lineRule="auto"/>
        <w:rPr>
          <w:rFonts w:hint="eastAsia"/>
          <w:szCs w:val="32"/>
        </w:rPr>
      </w:pPr>
      <w:r>
        <w:rPr>
          <w:rFonts w:hint="eastAsia"/>
          <w:szCs w:val="32"/>
        </w:rPr>
        <w:t xml:space="preserve">2.7电子开标</w:t>
      </w:r>
      <w:r>
        <w:rPr>
          <w:rFonts w:hint="eastAsia"/>
          <w:szCs w:val="32"/>
        </w:rPr>
      </w:r>
      <w:r/>
    </w:p>
    <w:p>
      <w:pPr>
        <w:pStyle w:val="1002"/>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002"/>
        <w:ind w:firstLine="420"/>
        <w:spacing w:line="360" w:lineRule="auto"/>
        <w:rPr>
          <w:rFonts w:hint="eastAsia"/>
          <w:szCs w:val="32"/>
        </w:rPr>
      </w:pPr>
      <w:r>
        <w:rPr>
          <w:rFonts w:hint="eastAsia"/>
          <w:szCs w:val="32"/>
        </w:rPr>
        <w:t xml:space="preserve">2.8注意事项</w:t>
      </w:r>
      <w:r>
        <w:rPr>
          <w:rFonts w:hint="eastAsia"/>
          <w:szCs w:val="32"/>
        </w:rPr>
      </w:r>
      <w:r/>
    </w:p>
    <w:p>
      <w:pPr>
        <w:pStyle w:val="1002"/>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002"/>
        <w:ind w:firstLine="420"/>
        <w:jc w:val="left"/>
        <w:spacing w:line="360" w:lineRule="auto"/>
      </w:pPr>
      <w:r>
        <w:rPr>
          <w:rFonts w:hint="eastAsia" w:ascii="宋体" w:hAnsi="宋体" w:cs="宋体"/>
          <w:szCs w:val="21"/>
        </w:rPr>
        <w:t xml:space="preserve">4.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p>
    <w:p>
      <w:pPr>
        <w:pStyle w:val="1002"/>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002"/>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002"/>
        <w:spacing w:line="360" w:lineRule="auto"/>
        <w:rPr>
          <w:rFonts w:hint="eastAsia" w:cs="宋体"/>
          <w:bCs/>
          <w:spacing w:val="2"/>
          <w:lang w:val="zh-CN"/>
        </w:rPr>
      </w:pPr>
      <w:r>
        <w:rPr>
          <w:rFonts w:hint="eastAsia" w:cs="宋体"/>
          <w:bCs/>
          <w:spacing w:val="2"/>
          <w:lang w:val="zh-CN"/>
        </w:rPr>
        <w:t xml:space="preserve">名 称：江苏省常州环境监测中心 </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地址：天宁区青洋北路47号黑牡丹科技园27号楼</w:t>
      </w:r>
      <w:r>
        <w:rPr>
          <w:rFonts w:hint="eastAsia" w:cs="宋体"/>
          <w:bCs/>
          <w:spacing w:val="2"/>
          <w:lang w:val="zh-CN"/>
        </w:rPr>
      </w:r>
      <w:r/>
    </w:p>
    <w:p>
      <w:pPr>
        <w:pStyle w:val="1002"/>
        <w:spacing w:line="360" w:lineRule="auto"/>
        <w:rPr>
          <w:rFonts w:cs="宋体"/>
          <w:bCs/>
          <w:spacing w:val="2"/>
          <w:highlight w:val="none"/>
        </w:rPr>
      </w:pPr>
      <w:r>
        <w:rPr>
          <w:rFonts w:hint="eastAsia" w:cs="宋体"/>
          <w:bCs/>
          <w:spacing w:val="2"/>
          <w:highlight w:val="none"/>
          <w:lang w:val="zh-CN"/>
        </w:rPr>
        <w:t xml:space="preserve">联系人：章文斌</w:t>
      </w:r>
      <w:r>
        <w:rPr>
          <w:rFonts w:cs="宋体"/>
          <w:bCs/>
          <w:spacing w:val="2"/>
          <w:highlight w:val="none"/>
        </w:rPr>
      </w:r>
      <w:r/>
    </w:p>
    <w:p>
      <w:pPr>
        <w:pStyle w:val="1002"/>
        <w:spacing w:line="360" w:lineRule="auto"/>
        <w:rPr>
          <w:rFonts w:eastAsia="宋体" w:cs="宋体"/>
          <w:bCs/>
          <w:spacing w:val="2"/>
          <w:highlight w:val="none"/>
          <w:lang w:val="en-US" w:eastAsia="zh-CN"/>
        </w:rPr>
      </w:pPr>
      <w:r>
        <w:rPr>
          <w:rFonts w:hint="eastAsia" w:cs="宋体"/>
          <w:bCs/>
          <w:spacing w:val="2"/>
          <w:highlight w:val="none"/>
          <w:lang w:val="zh-CN"/>
        </w:rPr>
        <w:t xml:space="preserve">电　话：</w:t>
      </w:r>
      <w:r>
        <w:rPr>
          <w:rFonts w:hint="eastAsia" w:cs="宋体"/>
          <w:bCs/>
          <w:spacing w:val="2"/>
          <w:highlight w:val="none"/>
          <w:lang w:val="en-US" w:eastAsia="zh-CN"/>
        </w:rPr>
        <w:t xml:space="preserve">0</w:t>
      </w:r>
      <w:r>
        <w:rPr>
          <w:rFonts w:hint="eastAsia" w:cs="宋体"/>
          <w:bCs/>
          <w:spacing w:val="2"/>
          <w:highlight w:val="none"/>
          <w:lang w:val="en-US" w:eastAsia="zh-CN"/>
        </w:rPr>
        <w:t xml:space="preserve">519-89963696</w:t>
      </w:r>
      <w:r>
        <w:rPr>
          <w:rFonts w:eastAsia="宋体" w:cs="宋体"/>
          <w:bCs/>
          <w:spacing w:val="2"/>
          <w:highlight w:val="none"/>
          <w:lang w:val="en-US" w:eastAsia="zh-CN"/>
        </w:rPr>
      </w:r>
      <w:r/>
    </w:p>
    <w:p>
      <w:pPr>
        <w:pStyle w:val="1002"/>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002"/>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002"/>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002"/>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002"/>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002"/>
        <w:jc w:val="center"/>
        <w:spacing w:line="360" w:lineRule="auto"/>
        <w:rPr>
          <w:b/>
          <w:sz w:val="32"/>
          <w:szCs w:val="32"/>
        </w:rPr>
      </w:pPr>
      <w:r>
        <w:rPr>
          <w:rFonts w:hint="eastAsia" w:ascii="宋体" w:hAnsi="宋体" w:cs="宋体"/>
          <w:lang w:val="zh-CN"/>
        </w:rPr>
        <w:t xml:space="preserve">电　话：0519-85576566</w:t>
      </w:r>
      <w:r>
        <w:rPr>
          <w:rFonts w:hint="eastAsia"/>
        </w:rPr>
        <w:br w:type="page" w:clear="all"/>
      </w:r>
      <w:bookmarkStart w:id="16" w:name="_Toc150774783"/>
      <w:r/>
      <w:bookmarkStart w:id="17" w:name="_Toc127161488"/>
      <w:r/>
      <w:bookmarkStart w:id="18" w:name="_Toc512937850"/>
      <w:r/>
      <w:bookmarkStart w:id="19" w:name="_Toc195842950"/>
      <w:r/>
      <w:bookmarkStart w:id="20" w:name="_Toc305158854"/>
      <w:r/>
      <w:bookmarkStart w:id="21" w:name="_Toc32368"/>
      <w:r/>
      <w:bookmarkStart w:id="22" w:name="_Toc264969275"/>
      <w:r/>
      <w:bookmarkStart w:id="23" w:name="_Toc265228423"/>
      <w:r/>
      <w:bookmarkStart w:id="24" w:name="_Toc226965856"/>
      <w:r/>
      <w:bookmarkStart w:id="25" w:name="_Toc353825548"/>
      <w:r/>
      <w:bookmarkStart w:id="26" w:name="_Toc305158928"/>
      <w:r/>
      <w:bookmarkStart w:id="27" w:name="_Toc353873938"/>
      <w:r/>
      <w:bookmarkStart w:id="28" w:name="_Toc127151777"/>
      <w:r>
        <w:rPr>
          <w:rStyle w:val="1014"/>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1004"/>
        <w:spacing w:before="0" w:line="360" w:lineRule="auto"/>
        <w:tabs>
          <w:tab w:val="center" w:pos="4592" w:leader="none"/>
          <w:tab w:val="left" w:pos="7860" w:leader="none"/>
        </w:tabs>
        <w:rPr>
          <w:rFonts w:ascii="Times New Roman" w:hAnsi="Times New Roman" w:eastAsia="宋体"/>
          <w:sz w:val="28"/>
        </w:rPr>
      </w:pPr>
      <w:r/>
      <w:bookmarkStart w:id="29" w:name="_Toc150480757"/>
      <w:r/>
      <w:bookmarkStart w:id="30" w:name="_Toc164608788"/>
      <w:r/>
      <w:bookmarkStart w:id="31" w:name="_Toc142311021"/>
      <w:r/>
      <w:bookmarkStart w:id="32" w:name="_Toc151193617"/>
      <w:r/>
      <w:bookmarkStart w:id="33" w:name="_Toc226309763"/>
      <w:r/>
      <w:bookmarkStart w:id="34" w:name="_Toc520356144"/>
      <w:r/>
      <w:bookmarkStart w:id="35" w:name="_Toc164229360"/>
      <w:r/>
      <w:bookmarkStart w:id="36" w:name="_Toc226965709"/>
      <w:r/>
      <w:bookmarkStart w:id="37" w:name="_Toc150774619"/>
      <w:r/>
      <w:bookmarkStart w:id="38" w:name="_Toc127161433"/>
      <w:r/>
      <w:bookmarkStart w:id="39" w:name="_Toc195842884"/>
      <w:r/>
      <w:bookmarkStart w:id="40" w:name="_Toc151190146"/>
      <w:r/>
      <w:bookmarkStart w:id="41" w:name="_Toc150774724"/>
      <w:r/>
      <w:bookmarkStart w:id="42" w:name="_Toc149720812"/>
      <w:r/>
      <w:bookmarkStart w:id="43" w:name="_Toc127151720"/>
      <w:r/>
      <w:bookmarkStart w:id="44" w:name="_Toc127151519"/>
      <w:r/>
      <w:bookmarkStart w:id="45" w:name="_Toc164351613"/>
      <w:r/>
      <w:bookmarkStart w:id="46" w:name="_Toc226337215"/>
      <w:r/>
      <w:bookmarkStart w:id="47" w:name="_Toc151193689"/>
      <w:r/>
      <w:bookmarkStart w:id="48" w:name="_Toc226965792"/>
      <w:r/>
      <w:bookmarkStart w:id="49" w:name="_Toc151193833"/>
      <w:r/>
      <w:bookmarkStart w:id="50" w:name="_Toc151193907"/>
      <w:r/>
      <w:bookmarkStart w:id="51" w:name="_Toc164608633"/>
      <w:r/>
      <w:bookmarkStart w:id="52" w:name="_Toc150509270"/>
      <w:r/>
      <w:bookmarkStart w:id="53" w:name="_Toc164229214"/>
      <w:r/>
      <w:bookmarkStart w:id="54" w:name="_Toc151193761"/>
      <w:r>
        <w:rPr>
          <w:rFonts w:ascii="Times New Roman" w:hAnsi="Times New Roman" w:eastAsia="宋体"/>
          <w:sz w:val="28"/>
        </w:rPr>
        <w:t xml:space="preserve">投标人须知资料表</w:t>
      </w:r>
      <w:r>
        <w:rPr>
          <w:rFonts w:ascii="Times New Roman" w:hAnsi="Times New Roman" w:eastAsia="宋体"/>
          <w:sz w:val="28"/>
        </w:rPr>
      </w:r>
      <w:r/>
    </w:p>
    <w:p>
      <w:pPr>
        <w:pStyle w:val="1002"/>
        <w:jc w:val="center"/>
        <w:rPr>
          <w:b/>
          <w:sz w:val="28"/>
          <w:szCs w:val="28"/>
        </w:rPr>
      </w:pPr>
      <w:r>
        <w:rPr>
          <w:b/>
          <w:sz w:val="28"/>
          <w:szCs w:val="28"/>
        </w:rPr>
      </w:r>
      <w:r/>
    </w:p>
    <w:p>
      <w:pPr>
        <w:pStyle w:val="1002"/>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rPr>
        <w:tc>
          <w:tcPr>
            <w:tcW w:w="887" w:type="dxa"/>
            <w:vAlign w:val="center"/>
            <w:textDirection w:val="lrTb"/>
            <w:noWrap w:val="false"/>
          </w:tcPr>
          <w:p>
            <w:pPr>
              <w:pStyle w:val="1002"/>
              <w:jc w:val="center"/>
              <w:rPr>
                <w:b/>
                <w:bCs/>
                <w:szCs w:val="21"/>
              </w:rPr>
            </w:pPr>
            <w:r/>
            <w:bookmarkStart w:id="55" w:name="_Toc142311019"/>
            <w:r/>
            <w:bookmarkStart w:id="56" w:name="_Toc150480755"/>
            <w:r/>
            <w:bookmarkStart w:id="57" w:name="_Toc305158785"/>
            <w:r/>
            <w:bookmarkStart w:id="58" w:name="_Toc226337213"/>
            <w:r/>
            <w:bookmarkStart w:id="59" w:name="_Toc150774722"/>
            <w:r/>
            <w:bookmarkStart w:id="60" w:name="_Toc353873932"/>
            <w:r/>
            <w:bookmarkStart w:id="61" w:name="_Toc264969207"/>
            <w:r/>
            <w:bookmarkStart w:id="62" w:name="_Toc226965790"/>
            <w:r/>
            <w:bookmarkStart w:id="63" w:name="_Toc353825542"/>
            <w:r/>
            <w:bookmarkStart w:id="64" w:name="_Toc127151517"/>
            <w:r/>
            <w:bookmarkStart w:id="65" w:name="_Toc353873662"/>
            <w:r/>
            <w:bookmarkStart w:id="66" w:name="_Toc265228355"/>
            <w:r/>
            <w:bookmarkStart w:id="67" w:name="_Toc305158859"/>
            <w:r/>
            <w:bookmarkStart w:id="68" w:name="_Toc195842882"/>
            <w:r>
              <w:rPr>
                <w:b/>
                <w:szCs w:val="21"/>
              </w:rPr>
              <w:t xml:space="preserve">条款号</w:t>
            </w:r>
            <w:r>
              <w:rPr>
                <w:b/>
                <w:bCs/>
                <w:szCs w:val="21"/>
              </w:rPr>
            </w:r>
            <w:r/>
          </w:p>
        </w:tc>
        <w:tc>
          <w:tcPr>
            <w:tcW w:w="1557" w:type="dxa"/>
            <w:vAlign w:val="center"/>
            <w:textDirection w:val="lrTb"/>
            <w:noWrap w:val="false"/>
          </w:tcPr>
          <w:p>
            <w:pPr>
              <w:pStyle w:val="1002"/>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1002"/>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u w:val="single"/>
              </w:rPr>
            </w:pPr>
            <w:r>
              <w:rPr>
                <w:rFonts w:hint="eastAsia" w:ascii="宋体" w:hAnsi="宋体" w:cs="宋体"/>
                <w:szCs w:val="21"/>
              </w:rPr>
              <w:t xml:space="preserve">项目属性：服务</w:t>
            </w:r>
            <w:r>
              <w:rPr>
                <w:rFonts w:hint="eastAsia" w:ascii="宋体" w:hAnsi="宋体" w:cs="宋体"/>
                <w:szCs w:val="21"/>
                <w:u w:val="single"/>
              </w:rPr>
            </w:r>
            <w:r/>
          </w:p>
        </w:tc>
      </w:tr>
      <w:tr>
        <w:trPr>
          <w:trHeight w:val="65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1043"/>
              <w:rPr>
                <w:rFonts w:hAnsi="宋体" w:cs="宋体"/>
                <w:b/>
                <w:bCs/>
                <w:szCs w:val="21"/>
              </w:rPr>
            </w:pPr>
            <w:r>
              <w:rPr>
                <w:rFonts w:hAnsi="宋体" w:cs="宋体"/>
                <w:b/>
                <w:bCs/>
                <w:szCs w:val="21"/>
              </w:rPr>
              <w:t xml:space="preserve">☑</w:t>
            </w:r>
            <w:r>
              <w:rPr>
                <w:rFonts w:hAnsi="宋体" w:cs="宋体"/>
                <w:b/>
                <w:bCs/>
                <w:szCs w:val="21"/>
              </w:rPr>
              <w:t xml:space="preserve">关于核心产品本项目不适用。</w:t>
            </w:r>
            <w:r>
              <w:rPr>
                <w:rFonts w:hAnsi="宋体" w:cs="宋体"/>
                <w:b/>
                <w:bCs/>
                <w:szCs w:val="21"/>
              </w:rPr>
            </w:r>
            <w:r/>
          </w:p>
          <w:p>
            <w:pPr>
              <w:pStyle w:val="1043"/>
              <w:rPr>
                <w:rFonts w:hAnsi="宋体" w:cs="宋体"/>
                <w:szCs w:val="21"/>
              </w:rPr>
            </w:pPr>
            <w:r>
              <w:rPr>
                <w:rFonts w:hAnsi="宋体" w:cs="宋体"/>
                <w:szCs w:val="21"/>
              </w:rPr>
              <w:t xml:space="preserve">□</w:t>
            </w:r>
            <w:r>
              <w:rPr>
                <w:rFonts w:hAnsi="宋体" w:cs="宋体"/>
                <w:szCs w:val="21"/>
              </w:rPr>
              <w:t xml:space="preserve">本项目为单一产品采购项目。</w:t>
            </w:r>
            <w:r>
              <w:rPr>
                <w:rFonts w:hAnsi="宋体" w:cs="宋体"/>
                <w:szCs w:val="21"/>
              </w:rPr>
            </w:r>
            <w:r/>
          </w:p>
          <w:p>
            <w:pPr>
              <w:pStyle w:val="1043"/>
              <w:rPr>
                <w:rFonts w:hAnsi="宋体" w:cs="宋体"/>
                <w:strike/>
                <w:szCs w:val="21"/>
                <w:u w:val="single"/>
              </w:rPr>
            </w:pPr>
            <w:r>
              <w:rPr>
                <w:rFonts w:hAnsi="宋体" w:cs="宋体"/>
                <w:szCs w:val="21"/>
              </w:rPr>
              <w:t xml:space="preserve">□本项目为非单一产品采购项目，核心产品为：</w:t>
            </w:r>
            <w:r>
              <w:rPr>
                <w:rFonts w:hAnsi="宋体" w:cs="宋体"/>
                <w:szCs w:val="21"/>
                <w:u w:val="single"/>
              </w:rPr>
              <w:t xml:space="preserve">   。</w:t>
            </w:r>
            <w:r>
              <w:rPr>
                <w:rFonts w:hAnsi="宋体" w:cs="宋体"/>
                <w:strike/>
                <w:szCs w:val="21"/>
                <w:u w:val="single"/>
              </w:rPr>
            </w:r>
            <w:r/>
          </w:p>
        </w:tc>
      </w:tr>
      <w:tr>
        <w:trPr>
          <w:trHeight w:val="20"/>
        </w:trPr>
        <w:tc>
          <w:tcPr>
            <w:tcW w:w="887" w:type="dxa"/>
            <w:vAlign w:val="center"/>
            <w:vMerge w:val="restart"/>
            <w:textDirection w:val="lrTb"/>
            <w:noWrap w:val="false"/>
          </w:tcPr>
          <w:p>
            <w:pPr>
              <w:pStyle w:val="1043"/>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1002"/>
              <w:jc w:val="left"/>
              <w:spacing w:line="360" w:lineRule="auto"/>
              <w:rPr>
                <w:rFonts w:hint="eastAsia" w:ascii="宋体" w:hAnsi="宋体" w:cs="宋体"/>
                <w:szCs w:val="21"/>
              </w:rPr>
            </w:pPr>
            <w:r>
              <w:rPr>
                <w:rFonts w:hint="eastAsia" w:ascii="宋体" w:hAnsi="宋体" w:cs="宋体"/>
                <w:szCs w:val="21"/>
              </w:rPr>
              <w:t xml:space="preserve">☑不组织，如有需要可自行考察。</w:t>
            </w:r>
            <w:r>
              <w:rPr>
                <w:rFonts w:hint="eastAsia" w:ascii="宋体" w:hAnsi="宋体" w:cs="宋体"/>
                <w:szCs w:val="21"/>
              </w:rPr>
            </w:r>
            <w:r/>
          </w:p>
          <w:p>
            <w:pPr>
              <w:pStyle w:val="1043"/>
              <w:rPr>
                <w:rFonts w:hAnsi="宋体" w:cs="宋体"/>
                <w:szCs w:val="21"/>
                <w:u w:val="single"/>
              </w:rPr>
            </w:pPr>
            <w:r>
              <w:rPr>
                <w:rFonts w:hAnsi="宋体" w:cs="宋体"/>
                <w:szCs w:val="21"/>
              </w:rPr>
              <w:t xml:space="preserve">□统一组织，考察时间：</w:t>
            </w:r>
            <w:r>
              <w:rPr>
                <w:rFonts w:hAnsi="宋体" w:cs="宋体"/>
                <w:szCs w:val="21"/>
                <w:u w:val="single"/>
              </w:rPr>
              <w:t xml:space="preserve">  。</w:t>
            </w:r>
            <w:r>
              <w:rPr>
                <w:rFonts w:hAnsi="宋体" w:cs="宋体"/>
                <w:szCs w:val="21"/>
                <w:u w:val="single"/>
              </w:rPr>
            </w:r>
            <w:r/>
          </w:p>
        </w:tc>
      </w:tr>
      <w:tr>
        <w:trPr>
          <w:trHeight w:val="20"/>
        </w:trPr>
        <w:tc>
          <w:tcPr>
            <w:tcW w:w="887" w:type="dxa"/>
            <w:vAlign w:val="center"/>
            <w:vMerge w:val="continue"/>
            <w:textDirection w:val="lrTb"/>
            <w:noWrap w:val="false"/>
          </w:tcPr>
          <w:p>
            <w:pPr>
              <w:pStyle w:val="1043"/>
              <w:jc w:val="center"/>
              <w:rPr>
                <w:rFonts w:hAnsi="宋体" w:cs="宋体"/>
                <w:szCs w:val="21"/>
              </w:rPr>
            </w:pP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1043"/>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b/>
                <w:bCs/>
                <w:szCs w:val="21"/>
              </w:rPr>
              <w:t xml:space="preserve">包一、包二：</w:t>
            </w:r>
            <w:r>
              <w:rPr>
                <w:rFonts w:hint="eastAsia" w:ascii="宋体" w:hAnsi="宋体" w:cs="宋体"/>
                <w:b/>
                <w:bCs/>
                <w:szCs w:val="21"/>
                <w:u w:val="single"/>
              </w:rPr>
              <w:t xml:space="preserve">其他未列明行业。</w:t>
            </w:r>
            <w:r>
              <w:rPr>
                <w:rFonts w:hint="eastAsia" w:ascii="宋体" w:hAnsi="宋体" w:cs="宋体"/>
                <w:szCs w:val="21"/>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Cs w:val="21"/>
              </w:rPr>
            </w:r>
            <w:r/>
          </w:p>
          <w:p>
            <w:pPr>
              <w:pStyle w:val="1002"/>
              <w:jc w:val="left"/>
              <w:rPr>
                <w:rFonts w:hint="eastAsia" w:ascii="宋体" w:hAnsi="宋体" w:cs="宋体"/>
                <w:szCs w:val="21"/>
                <w:highlight w:val="yellow"/>
              </w:rPr>
            </w:pPr>
            <w:r>
              <w:rPr>
                <w:rFonts w:hint="eastAsia" w:ascii="宋体" w:hAnsi="宋体" w:cs="宋体"/>
                <w:b/>
                <w:bCs/>
                <w:szCs w:val="21"/>
              </w:rPr>
              <w:t xml:space="preserve">包三：</w:t>
            </w:r>
            <w:r>
              <w:rPr>
                <w:rFonts w:hint="eastAsia" w:ascii="宋体" w:hAnsi="宋体" w:cs="宋体"/>
                <w:b/>
                <w:bCs/>
                <w:szCs w:val="21"/>
                <w:u w:val="single"/>
              </w:rPr>
              <w:t xml:space="preserve">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1"/>
                <w:highlight w:val="yellow"/>
              </w:rPr>
            </w:r>
            <w:r/>
          </w:p>
        </w:tc>
      </w:tr>
      <w:tr>
        <w:trPr>
          <w:trHeight w:val="688"/>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02"/>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1002"/>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接受询问和质疑的联系方式</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收费对象：采购人</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1002"/>
              <w:rPr>
                <w:rFonts w:hint="eastAsia" w:ascii="宋体" w:hAnsi="宋体" w:cs="宋体"/>
                <w:szCs w:val="21"/>
              </w:rPr>
            </w:pPr>
            <w:r>
              <w:rPr>
                <w:rFonts w:hint="eastAsia" w:ascii="宋体" w:hAnsi="宋体" w:cs="宋体"/>
                <w:szCs w:val="21"/>
              </w:rPr>
              <w:t xml:space="preserve">（1）采购预算已包含本项目代理费。</w:t>
            </w:r>
            <w:r>
              <w:rPr>
                <w:rFonts w:hint="eastAsia" w:ascii="宋体" w:hAnsi="宋体" w:cs="宋体"/>
                <w:szCs w:val="21"/>
              </w:rPr>
            </w:r>
            <w:r/>
          </w:p>
          <w:p>
            <w:pPr>
              <w:pStyle w:val="1002"/>
              <w:jc w:val="left"/>
              <w:rPr>
                <w:rFonts w:hint="eastAsia" w:ascii="宋体" w:hAnsi="宋体" w:cs="宋体"/>
                <w:szCs w:val="21"/>
                <w:lang w:val="zh-CN"/>
              </w:rPr>
            </w:pPr>
            <w:r>
              <w:rPr>
                <w:rFonts w:hint="eastAsia" w:ascii="宋体" w:hAnsi="宋体" w:cs="宋体"/>
                <w:szCs w:val="21"/>
              </w:rPr>
              <w:t xml:space="preserve">（2）采购代理机构与采购人根据市场化调节原则协商，确定代理费为12500元，由采购人支付</w:t>
            </w:r>
            <w:r>
              <w:rPr>
                <w:rFonts w:hint="eastAsia" w:ascii="宋体" w:hAnsi="宋体" w:cs="宋体"/>
                <w:szCs w:val="21"/>
                <w:lang w:val="zh-CN"/>
              </w:rPr>
              <w:t xml:space="preserve">。</w:t>
            </w:r>
            <w:r>
              <w:rPr>
                <w:rFonts w:hint="eastAsia" w:ascii="宋体" w:hAnsi="宋体" w:cs="宋体"/>
                <w:szCs w:val="21"/>
                <w:lang w:val="zh-CN"/>
              </w:rPr>
            </w:r>
            <w:r/>
          </w:p>
          <w:p>
            <w:pPr>
              <w:pStyle w:val="1002"/>
              <w:jc w:val="lef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）评审费由采购人按实际支付：半天500元/人，超过半天的，每超过1小时增加100元/人，每天最高不超过1000元/人。</w:t>
            </w:r>
            <w:r>
              <w:rPr>
                <w:rFonts w:hint="eastAsia" w:ascii="宋体" w:hAnsi="宋体" w:cs="宋体"/>
                <w:szCs w:val="21"/>
                <w:lang w:val="zh-CN"/>
              </w:rPr>
            </w:r>
            <w:r/>
          </w:p>
          <w:p>
            <w:pPr>
              <w:pStyle w:val="1002"/>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1002"/>
        <w:jc w:val="center"/>
        <w:spacing w:before="240" w:after="240"/>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1004"/>
        <w:jc w:val="left"/>
        <w:spacing w:before="0" w:line="360" w:lineRule="auto"/>
        <w:tabs>
          <w:tab w:val="center" w:pos="4592" w:leader="none"/>
          <w:tab w:val="left" w:pos="7860" w:leader="none"/>
        </w:tabs>
        <w:rPr>
          <w:rFonts w:ascii="Times New Roman" w:hAnsi="Times New Roman" w:eastAsia="宋体"/>
          <w:sz w:val="28"/>
        </w:rPr>
      </w:pPr>
      <w:r/>
      <w:bookmarkStart w:id="69" w:name="_Toc520356143"/>
      <w:r/>
      <w:bookmarkStart w:id="70" w:name="_Toc127151518"/>
      <w:r>
        <w:rPr>
          <w:rFonts w:ascii="Times New Roman" w:hAnsi="Times New Roman" w:eastAsia="宋体"/>
          <w:sz w:val="28"/>
        </w:rPr>
        <w:tab/>
      </w:r>
      <w:bookmarkStart w:id="71" w:name="_Toc226309762"/>
      <w:r/>
      <w:bookmarkStart w:id="72" w:name="_Toc151193760"/>
      <w:r/>
      <w:bookmarkStart w:id="73" w:name="_Toc151193688"/>
      <w:r/>
      <w:bookmarkStart w:id="74" w:name="_Toc305158860"/>
      <w:r/>
      <w:bookmarkStart w:id="75" w:name="_Toc265228356"/>
      <w:r/>
      <w:bookmarkStart w:id="76" w:name="_Toc151193616"/>
      <w:r/>
      <w:bookmarkStart w:id="77" w:name="_Toc151193832"/>
      <w:r/>
      <w:bookmarkStart w:id="78" w:name="_Toc150480756"/>
      <w:r/>
      <w:bookmarkStart w:id="79" w:name="_Toc305158786"/>
      <w:r/>
      <w:bookmarkStart w:id="80" w:name="_Toc195842883"/>
      <w:r/>
      <w:bookmarkStart w:id="81" w:name="_Toc226965708"/>
      <w:r/>
      <w:bookmarkStart w:id="82" w:name="_Toc226965791"/>
      <w:r/>
      <w:bookmarkStart w:id="83" w:name="_Toc151190145"/>
      <w:r/>
      <w:bookmarkStart w:id="84" w:name="_Toc142311020"/>
      <w:r/>
      <w:bookmarkStart w:id="85" w:name="_Toc150509269"/>
      <w:r/>
      <w:bookmarkStart w:id="86" w:name="_Toc150774618"/>
      <w:r/>
      <w:bookmarkStart w:id="87" w:name="_Toc264969208"/>
      <w:r/>
      <w:bookmarkStart w:id="88" w:name="_Toc151193906"/>
      <w:r/>
      <w:bookmarkStart w:id="89" w:name="_Toc226337214"/>
      <w:r/>
      <w:bookmarkStart w:id="90" w:name="_Toc150774723"/>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1002"/>
        <w:numPr>
          <w:ilvl w:val="0"/>
          <w:numId w:val="10"/>
        </w:numPr>
        <w:ind w:left="357" w:hanging="357"/>
        <w:spacing w:line="360" w:lineRule="auto"/>
        <w:tabs>
          <w:tab w:val="left" w:pos="360" w:leader="none"/>
        </w:tabs>
        <w:rPr>
          <w:sz w:val="24"/>
        </w:rPr>
        <w:outlineLvl w:val="1"/>
      </w:pPr>
      <w:r/>
      <w:bookmarkStart w:id="91" w:name="_Toc305158787"/>
      <w:r/>
      <w:bookmarkStart w:id="92" w:name="_Toc264969209"/>
      <w:r/>
      <w:bookmarkStart w:id="93" w:name="_Toc305158861"/>
      <w:r/>
      <w:bookmarkStart w:id="94" w:name="_Toc265228357"/>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1002"/>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1002"/>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2"/>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2"/>
        <w:numPr>
          <w:ilvl w:val="0"/>
          <w:numId w:val="10"/>
        </w:numPr>
        <w:ind w:left="357" w:hanging="357"/>
        <w:spacing w:line="360" w:lineRule="auto"/>
        <w:tabs>
          <w:tab w:val="left" w:pos="360" w:leader="none"/>
        </w:tabs>
        <w:rPr>
          <w:sz w:val="24"/>
        </w:rPr>
        <w:outlineLvl w:val="1"/>
      </w:pPr>
      <w:r/>
      <w:bookmarkStart w:id="95" w:name="_Toc151193690"/>
      <w:r/>
      <w:bookmarkStart w:id="96" w:name="_Toc150480758"/>
      <w:r/>
      <w:bookmarkStart w:id="97" w:name="_Toc164229361"/>
      <w:r/>
      <w:bookmarkStart w:id="98" w:name="_Toc149720813"/>
      <w:r/>
      <w:bookmarkStart w:id="99" w:name="_Toc226965710"/>
      <w:r/>
      <w:bookmarkStart w:id="100" w:name="_Toc305158862"/>
      <w:r/>
      <w:bookmarkStart w:id="101" w:name="_Toc226965793"/>
      <w:r/>
      <w:bookmarkStart w:id="102" w:name="_Toc226337216"/>
      <w:r/>
      <w:bookmarkStart w:id="103" w:name="_Toc164229215"/>
      <w:r/>
      <w:bookmarkStart w:id="104" w:name="_Toc164351614"/>
      <w:r/>
      <w:bookmarkStart w:id="105" w:name="_Toc127151721"/>
      <w:r/>
      <w:bookmarkStart w:id="106" w:name="_Toc305158788"/>
      <w:r/>
      <w:bookmarkStart w:id="107" w:name="_Toc265228358"/>
      <w:r/>
      <w:bookmarkStart w:id="108" w:name="_Toc151190147"/>
      <w:r/>
      <w:bookmarkStart w:id="109" w:name="_Toc264969210"/>
      <w:r/>
      <w:bookmarkStart w:id="110" w:name="_Toc150774620"/>
      <w:r/>
      <w:bookmarkStart w:id="111" w:name="_Toc151193618"/>
      <w:r/>
      <w:bookmarkStart w:id="112" w:name="_Toc164608789"/>
      <w:r/>
      <w:bookmarkStart w:id="113" w:name="_Toc151193762"/>
      <w:r/>
      <w:bookmarkStart w:id="114" w:name="_Toc164608634"/>
      <w:r/>
      <w:bookmarkStart w:id="115" w:name="_Toc150774725"/>
      <w:r/>
      <w:bookmarkStart w:id="116" w:name="_Toc195842885"/>
      <w:r/>
      <w:bookmarkStart w:id="117" w:name="_Toc150509271"/>
      <w:r/>
      <w:bookmarkStart w:id="118" w:name="_Toc127161434"/>
      <w:r/>
      <w:bookmarkStart w:id="119" w:name="_Toc142311022"/>
      <w:r/>
      <w:bookmarkStart w:id="120" w:name="_Toc226309764"/>
      <w:r/>
      <w:bookmarkStart w:id="121" w:name="_Toc127151520"/>
      <w:r/>
      <w:bookmarkStart w:id="122" w:name="_Toc151193908"/>
      <w:r/>
      <w:bookmarkStart w:id="123" w:name="_Toc151193834"/>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2"/>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150774622"/>
      <w:r/>
      <w:bookmarkStart w:id="125" w:name="_Toc127151522"/>
      <w:r/>
      <w:bookmarkStart w:id="126" w:name="_Toc151193764"/>
      <w:r/>
      <w:bookmarkStart w:id="127" w:name="_Toc265228360"/>
      <w:r/>
      <w:bookmarkStart w:id="128" w:name="_Toc142311024"/>
      <w:r/>
      <w:bookmarkStart w:id="129" w:name="_Toc151193910"/>
      <w:r/>
      <w:bookmarkStart w:id="130" w:name="_Toc151193692"/>
      <w:r/>
      <w:bookmarkStart w:id="131" w:name="_Toc305158790"/>
      <w:r/>
      <w:bookmarkStart w:id="132" w:name="_Toc520356146"/>
      <w:r/>
      <w:bookmarkStart w:id="133" w:name="_Toc305158864"/>
      <w:r/>
      <w:bookmarkStart w:id="134" w:name="_Toc151193620"/>
      <w:r/>
      <w:bookmarkStart w:id="135" w:name="_Toc226337218"/>
      <w:r/>
      <w:bookmarkStart w:id="136" w:name="_Toc264969212"/>
      <w:r/>
      <w:bookmarkStart w:id="137" w:name="_Toc151193836"/>
      <w:r/>
      <w:bookmarkStart w:id="138" w:name="_Toc226965795"/>
      <w:r/>
      <w:bookmarkStart w:id="139" w:name="_Toc226965712"/>
      <w:r/>
      <w:bookmarkStart w:id="140" w:name="_Toc150480760"/>
      <w:r/>
      <w:bookmarkStart w:id="141" w:name="_Toc150509273"/>
      <w:r/>
      <w:bookmarkStart w:id="142" w:name="_Toc195842887"/>
      <w:r/>
      <w:bookmarkStart w:id="143" w:name="_Toc226309766"/>
      <w:r/>
      <w:bookmarkStart w:id="144" w:name="_Toc150774727"/>
      <w:r/>
      <w:bookmarkStart w:id="145" w:name="_Toc151190149"/>
      <w:r>
        <w:rPr>
          <w:sz w:val="28"/>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2"/>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02"/>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2"/>
        <w:numPr>
          <w:ilvl w:val="2"/>
          <w:numId w:val="10"/>
        </w:numPr>
        <w:spacing w:line="360" w:lineRule="auto"/>
        <w:tabs>
          <w:tab w:val="left" w:pos="1980" w:leader="none"/>
        </w:tabs>
        <w:rPr>
          <w:sz w:val="24"/>
        </w:rPr>
      </w:pPr>
      <w:r>
        <w:rPr>
          <w:sz w:val="24"/>
        </w:rPr>
        <w:t xml:space="preserve">中小企业定义：</w:t>
      </w:r>
      <w:r>
        <w:rPr>
          <w:sz w:val="24"/>
        </w:rPr>
      </w:r>
      <w:r/>
    </w:p>
    <w:p>
      <w:pPr>
        <w:pStyle w:val="1092"/>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2"/>
          <w:numId w:val="11"/>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02"/>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02"/>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02"/>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02"/>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2"/>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92"/>
        <w:numPr>
          <w:ilvl w:val="2"/>
          <w:numId w:val="11"/>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2"/>
        <w:numPr>
          <w:ilvl w:val="2"/>
          <w:numId w:val="11"/>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0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02"/>
        <w:numPr>
          <w:ilvl w:val="2"/>
          <w:numId w:val="10"/>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1002"/>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02"/>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02"/>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02"/>
        <w:numPr>
          <w:ilvl w:val="2"/>
          <w:numId w:val="10"/>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02"/>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02"/>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02"/>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02"/>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02"/>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02"/>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1002"/>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02"/>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1002"/>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1002"/>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1002"/>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1002"/>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002"/>
        <w:spacing w:line="360" w:lineRule="auto"/>
        <w:tabs>
          <w:tab w:val="left" w:pos="2014" w:leader="none"/>
        </w:tabs>
        <w:rPr>
          <w:sz w:val="24"/>
        </w:rPr>
      </w:pP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02"/>
        <w:ind w:left="1080"/>
        <w:spacing w:line="360" w:lineRule="auto"/>
        <w:tabs>
          <w:tab w:val="left" w:pos="1080" w:leader="none"/>
        </w:tabs>
        <w:rPr>
          <w:sz w:val="28"/>
        </w:rPr>
      </w:pPr>
      <w:r/>
      <w:bookmarkStart w:id="146" w:name="_1.8_计量单位"/>
      <w:r/>
      <w:bookmarkEnd w:id="146"/>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147" w:name="_Toc164229364"/>
      <w:r/>
      <w:bookmarkStart w:id="148" w:name="_Toc305158865"/>
      <w:r/>
      <w:bookmarkStart w:id="149" w:name="_Toc150774623"/>
      <w:r/>
      <w:bookmarkStart w:id="150" w:name="_Toc151193621"/>
      <w:r/>
      <w:bookmarkStart w:id="151" w:name="_Toc150480761"/>
      <w:r/>
      <w:bookmarkStart w:id="152" w:name="_Toc305158791"/>
      <w:r/>
      <w:bookmarkStart w:id="153" w:name="_Toc127151724"/>
      <w:r/>
      <w:bookmarkStart w:id="154" w:name="_Toc151190150"/>
      <w:r/>
      <w:bookmarkStart w:id="155" w:name="_Toc264969213"/>
      <w:r/>
      <w:bookmarkStart w:id="156" w:name="_Toc195842888"/>
      <w:r/>
      <w:bookmarkStart w:id="157" w:name="_Toc151193911"/>
      <w:r/>
      <w:bookmarkStart w:id="158" w:name="_Toc142311025"/>
      <w:r/>
      <w:bookmarkStart w:id="159" w:name="_Toc164351617"/>
      <w:r/>
      <w:bookmarkStart w:id="160" w:name="_Toc149720816"/>
      <w:r/>
      <w:bookmarkStart w:id="161" w:name="_Toc127151523"/>
      <w:r/>
      <w:bookmarkStart w:id="162" w:name="_Toc226337219"/>
      <w:r/>
      <w:bookmarkStart w:id="163" w:name="_Toc520356147"/>
      <w:r/>
      <w:bookmarkStart w:id="164" w:name="_Toc164229218"/>
      <w:r/>
      <w:bookmarkStart w:id="165" w:name="_Toc226309767"/>
      <w:r/>
      <w:bookmarkStart w:id="166" w:name="_Toc151193693"/>
      <w:r/>
      <w:bookmarkStart w:id="167" w:name="_Toc150509274"/>
      <w:r/>
      <w:bookmarkStart w:id="168" w:name="_Toc226965796"/>
      <w:r/>
      <w:bookmarkStart w:id="169" w:name="_Toc164608637"/>
      <w:r/>
      <w:bookmarkStart w:id="170" w:name="_Toc150774728"/>
      <w:r/>
      <w:bookmarkStart w:id="171" w:name="_Toc151193837"/>
      <w:r/>
      <w:bookmarkStart w:id="172" w:name="_Toc226965713"/>
      <w:r/>
      <w:bookmarkStart w:id="173" w:name="_Toc265228361"/>
      <w:r/>
      <w:bookmarkStart w:id="174" w:name="_Toc127161437"/>
      <w:r/>
      <w:bookmarkStart w:id="175" w:name="_Toc151193765"/>
      <w:r/>
      <w:bookmarkStart w:id="176" w:name="_Toc164608792"/>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02"/>
        <w:numPr>
          <w:ilvl w:val="0"/>
          <w:numId w:val="12"/>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100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0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0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0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0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02"/>
        <w:numPr>
          <w:ilvl w:val="0"/>
          <w:numId w:val="12"/>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02"/>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02"/>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02"/>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02"/>
        <w:ind w:left="1080"/>
        <w:spacing w:line="360" w:lineRule="auto"/>
        <w:tabs>
          <w:tab w:val="left" w:pos="1080" w:leader="none"/>
          <w:tab w:val="left" w:pos="1561" w:leader="none"/>
        </w:tabs>
        <w:rPr>
          <w:sz w:val="28"/>
        </w:rPr>
      </w:pPr>
      <w:r/>
      <w:bookmarkStart w:id="177" w:name="_Toc265228364"/>
      <w:r/>
      <w:bookmarkStart w:id="178" w:name="_Toc151190153"/>
      <w:r/>
      <w:bookmarkStart w:id="179" w:name="_Toc151193840"/>
      <w:r/>
      <w:bookmarkStart w:id="180" w:name="_Toc150774626"/>
      <w:r/>
      <w:bookmarkStart w:id="181" w:name="_Toc142311028"/>
      <w:r/>
      <w:bookmarkStart w:id="182" w:name="_Toc150509277"/>
      <w:r/>
      <w:bookmarkStart w:id="183" w:name="_Toc151193768"/>
      <w:r/>
      <w:bookmarkStart w:id="184" w:name="_Toc226309770"/>
      <w:r/>
      <w:bookmarkStart w:id="185" w:name="_Toc151193696"/>
      <w:r/>
      <w:bookmarkStart w:id="186" w:name="_Toc151193624"/>
      <w:r/>
      <w:bookmarkStart w:id="187" w:name="_Toc226965799"/>
      <w:r/>
      <w:bookmarkStart w:id="188" w:name="_Toc305158868"/>
      <w:r/>
      <w:bookmarkStart w:id="189" w:name="_Toc516367020"/>
      <w:r/>
      <w:bookmarkStart w:id="190" w:name="_Toc305158794"/>
      <w:r/>
      <w:bookmarkStart w:id="191" w:name="_Toc150480764"/>
      <w:r/>
      <w:bookmarkStart w:id="192" w:name="_Toc151193914"/>
      <w:r/>
      <w:bookmarkStart w:id="193" w:name="_Toc226965716"/>
      <w:r/>
      <w:bookmarkStart w:id="194" w:name="_Toc150774731"/>
      <w:r/>
      <w:bookmarkStart w:id="195" w:name="_Toc127151526"/>
      <w:r/>
      <w:bookmarkStart w:id="196" w:name="_Toc195842891"/>
      <w:r/>
      <w:bookmarkStart w:id="197" w:name="_Toc264969216"/>
      <w:r/>
      <w:bookmarkStart w:id="198" w:name="_Toc226337222"/>
      <w:r/>
      <w:bookmarkStart w:id="199" w:name="_Toc520356150"/>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200" w:name="_Toc142311029"/>
      <w:r/>
      <w:bookmarkStart w:id="201" w:name="_Toc164229222"/>
      <w:r/>
      <w:bookmarkStart w:id="202" w:name="_Toc151193769"/>
      <w:r/>
      <w:bookmarkStart w:id="203" w:name="_Toc151193841"/>
      <w:r/>
      <w:bookmarkStart w:id="204" w:name="_Toc164608641"/>
      <w:r/>
      <w:bookmarkStart w:id="205" w:name="_Toc226965800"/>
      <w:r/>
      <w:bookmarkStart w:id="206" w:name="_Toc150774732"/>
      <w:r/>
      <w:bookmarkStart w:id="207" w:name="_Toc265228365"/>
      <w:r/>
      <w:bookmarkStart w:id="208" w:name="_Toc149720820"/>
      <w:r/>
      <w:bookmarkStart w:id="209" w:name="_Toc264969217"/>
      <w:r/>
      <w:bookmarkStart w:id="210" w:name="_Toc164608796"/>
      <w:r/>
      <w:bookmarkStart w:id="211" w:name="_Toc127151728"/>
      <w:r/>
      <w:bookmarkStart w:id="212" w:name="_Toc150774627"/>
      <w:r/>
      <w:bookmarkStart w:id="213" w:name="_Toc151193915"/>
      <w:r/>
      <w:bookmarkStart w:id="214" w:name="_Toc164351621"/>
      <w:r/>
      <w:bookmarkStart w:id="215" w:name="_Toc226309771"/>
      <w:r/>
      <w:bookmarkStart w:id="216" w:name="_Toc127161441"/>
      <w:r/>
      <w:bookmarkStart w:id="217" w:name="_Toc150509278"/>
      <w:r/>
      <w:bookmarkStart w:id="218" w:name="_Toc305158869"/>
      <w:r/>
      <w:bookmarkStart w:id="219" w:name="_Toc164229368"/>
      <w:r/>
      <w:bookmarkStart w:id="220" w:name="_Toc305158795"/>
      <w:r/>
      <w:bookmarkStart w:id="221" w:name="_Toc520356151"/>
      <w:r/>
      <w:bookmarkStart w:id="222" w:name="_Toc151193625"/>
      <w:r/>
      <w:bookmarkStart w:id="223" w:name="_Toc150480765"/>
      <w:r/>
      <w:bookmarkStart w:id="224" w:name="_Toc195842892"/>
      <w:r/>
      <w:bookmarkStart w:id="225" w:name="_Toc127151527"/>
      <w:r/>
      <w:bookmarkStart w:id="226" w:name="_Toc151193697"/>
      <w:r/>
      <w:bookmarkStart w:id="227" w:name="_Toc151190154"/>
      <w:r/>
      <w:bookmarkStart w:id="228" w:name="_Toc516367021"/>
      <w:r/>
      <w:bookmarkStart w:id="229" w:name="_Toc226965717"/>
      <w:r/>
      <w:bookmarkStart w:id="230" w:name="_Toc226337223"/>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231" w:name="_Toc151193842"/>
      <w:r/>
      <w:bookmarkStart w:id="232" w:name="_Toc195842893"/>
      <w:r/>
      <w:bookmarkStart w:id="233" w:name="_Toc164229369"/>
      <w:r/>
      <w:bookmarkStart w:id="234" w:name="_Toc226965801"/>
      <w:r/>
      <w:bookmarkStart w:id="235" w:name="_Toc226337224"/>
      <w:r/>
      <w:bookmarkStart w:id="236" w:name="_Toc264969218"/>
      <w:r/>
      <w:bookmarkStart w:id="237" w:name="_Toc520356152"/>
      <w:r/>
      <w:bookmarkStart w:id="238" w:name="_Ref467306195"/>
      <w:r/>
      <w:bookmarkStart w:id="239" w:name="_Ref467306676"/>
      <w:r/>
      <w:bookmarkStart w:id="240" w:name="_Toc516367022"/>
      <w:r/>
      <w:bookmarkStart w:id="241" w:name="_Toc164608797"/>
      <w:r/>
      <w:bookmarkStart w:id="242" w:name="_Toc164351622"/>
      <w:r/>
      <w:bookmarkStart w:id="243" w:name="_Toc164229223"/>
      <w:r/>
      <w:bookmarkStart w:id="244" w:name="_Toc150774733"/>
      <w:r/>
      <w:bookmarkStart w:id="245" w:name="_Toc151193626"/>
      <w:r/>
      <w:bookmarkStart w:id="246" w:name="_Toc226309772"/>
      <w:r/>
      <w:bookmarkStart w:id="247" w:name="_Toc151190155"/>
      <w:r/>
      <w:bookmarkStart w:id="248" w:name="_Toc164608642"/>
      <w:r/>
      <w:bookmarkStart w:id="249" w:name="_Toc150774628"/>
      <w:r/>
      <w:bookmarkStart w:id="250" w:name="_Toc265228366"/>
      <w:r/>
      <w:bookmarkStart w:id="251" w:name="_Toc149720821"/>
      <w:r/>
      <w:bookmarkStart w:id="252" w:name="_Toc150509279"/>
      <w:r/>
      <w:bookmarkStart w:id="253" w:name="_Toc127151729"/>
      <w:r/>
      <w:bookmarkStart w:id="254" w:name="_Toc151193770"/>
      <w:r/>
      <w:bookmarkStart w:id="255" w:name="_Toc151193698"/>
      <w:r/>
      <w:bookmarkStart w:id="256" w:name="_Toc142311030"/>
      <w:r/>
      <w:bookmarkStart w:id="257" w:name="_Toc150480766"/>
      <w:r/>
      <w:bookmarkStart w:id="258" w:name="_Toc226965718"/>
      <w:r/>
      <w:bookmarkStart w:id="259" w:name="_Toc127161442"/>
      <w:r/>
      <w:bookmarkStart w:id="260" w:name="_Toc305158870"/>
      <w:r/>
      <w:bookmarkStart w:id="261" w:name="_Toc151193916"/>
      <w:r/>
      <w:bookmarkStart w:id="262" w:name="_Toc127151528"/>
      <w:r/>
      <w:bookmarkStart w:id="263" w:name="_Toc305158796"/>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265" w:name="_Toc164608799"/>
      <w:r/>
      <w:bookmarkStart w:id="266" w:name="_Toc127151731"/>
      <w:r/>
      <w:bookmarkStart w:id="267" w:name="_Toc127161444"/>
      <w:r/>
      <w:bookmarkStart w:id="268" w:name="_Toc520356155"/>
      <w:r/>
      <w:bookmarkStart w:id="269" w:name="_Toc151193628"/>
      <w:r/>
      <w:bookmarkStart w:id="270" w:name="_Toc151193844"/>
      <w:r/>
      <w:bookmarkStart w:id="271" w:name="_Toc151193700"/>
      <w:r/>
      <w:bookmarkStart w:id="272" w:name="_Toc150509281"/>
      <w:r/>
      <w:bookmarkStart w:id="273" w:name="_Toc164608644"/>
      <w:r/>
      <w:bookmarkStart w:id="274" w:name="_Toc142311032"/>
      <w:r/>
      <w:bookmarkStart w:id="275" w:name="_Toc149720823"/>
      <w:r/>
      <w:bookmarkStart w:id="276" w:name="_Toc150774630"/>
      <w:r/>
      <w:bookmarkStart w:id="277" w:name="_Toc164351624"/>
      <w:r/>
      <w:bookmarkStart w:id="278" w:name="_Toc151190157"/>
      <w:r/>
      <w:bookmarkStart w:id="279" w:name="_Toc150480768"/>
      <w:r/>
      <w:bookmarkStart w:id="280" w:name="_Toc150774735"/>
      <w:r/>
      <w:bookmarkStart w:id="281" w:name="_Toc151193772"/>
      <w:r/>
      <w:bookmarkStart w:id="282" w:name="_Toc195842895"/>
      <w:r/>
      <w:bookmarkStart w:id="283" w:name="_Toc164229371"/>
      <w:r/>
      <w:bookmarkStart w:id="284" w:name="_Toc127151530"/>
      <w:r/>
      <w:bookmarkStart w:id="285" w:name="_Toc164229225"/>
      <w:r/>
      <w:bookmarkStart w:id="286" w:name="_Toc151193918"/>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02"/>
        <w:numPr>
          <w:ilvl w:val="2"/>
          <w:numId w:val="10"/>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02"/>
        <w:numPr>
          <w:ilvl w:val="2"/>
          <w:numId w:val="10"/>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02"/>
        <w:numPr>
          <w:ilvl w:val="1"/>
          <w:numId w:val="10"/>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1002"/>
        <w:ind w:firstLine="241"/>
        <w:spacing w:line="360" w:lineRule="auto"/>
        <w:tabs>
          <w:tab w:val="left" w:pos="1080" w:leader="none"/>
          <w:tab w:val="left" w:pos="2014" w:leader="none"/>
        </w:tabs>
        <w:rPr>
          <w:rFonts w:ascii="宋体" w:hAnsi="宋体" w:cs="宋体"/>
          <w:b/>
          <w:bCs/>
          <w:sz w:val="24"/>
          <w:u w:val="single"/>
        </w:rPr>
      </w:pPr>
      <w:r/>
      <w:bookmarkStart w:id="287" w:name="_Toc127151531"/>
      <w:r/>
      <w:bookmarkStart w:id="288" w:name="_Toc150509282"/>
      <w:r/>
      <w:bookmarkStart w:id="289" w:name="_Toc151193845"/>
      <w:r/>
      <w:bookmarkStart w:id="290" w:name="_Ref467306513"/>
      <w:r/>
      <w:bookmarkStart w:id="291" w:name="_Toc226965721"/>
      <w:r/>
      <w:bookmarkStart w:id="292" w:name="_Toc142311033"/>
      <w:r/>
      <w:bookmarkStart w:id="293" w:name="_Toc151193629"/>
      <w:r/>
      <w:bookmarkStart w:id="294" w:name="_Toc226965804"/>
      <w:r/>
      <w:bookmarkStart w:id="295" w:name="_Toc520356156"/>
      <w:r/>
      <w:bookmarkStart w:id="296" w:name="_Toc127151732"/>
      <w:r/>
      <w:bookmarkStart w:id="297" w:name="_Toc264969221"/>
      <w:r/>
      <w:bookmarkStart w:id="298" w:name="_Toc305158873"/>
      <w:r/>
      <w:bookmarkStart w:id="299" w:name="_Toc151193773"/>
      <w:r/>
      <w:bookmarkStart w:id="300" w:name="_Toc265228369"/>
      <w:r/>
      <w:bookmarkStart w:id="301" w:name="_Toc164229226"/>
      <w:r/>
      <w:bookmarkStart w:id="302" w:name="_Toc149720824"/>
      <w:r/>
      <w:bookmarkStart w:id="303" w:name="_Toc164608800"/>
      <w:r/>
      <w:bookmarkStart w:id="304" w:name="_Toc195842896"/>
      <w:r/>
      <w:bookmarkStart w:id="305" w:name="_Toc164608645"/>
      <w:r/>
      <w:bookmarkStart w:id="306" w:name="_Toc150774736"/>
      <w:r/>
      <w:bookmarkStart w:id="307" w:name="_Toc226309775"/>
      <w:r/>
      <w:bookmarkStart w:id="308" w:name="_Toc127161445"/>
      <w:r/>
      <w:bookmarkStart w:id="309" w:name="_Toc150774631"/>
      <w:r/>
      <w:bookmarkStart w:id="310" w:name="_Toc151190158"/>
      <w:r/>
      <w:bookmarkStart w:id="311" w:name="_Toc226337227"/>
      <w:r/>
      <w:bookmarkStart w:id="312" w:name="_Toc151193919"/>
      <w:r/>
      <w:bookmarkStart w:id="313" w:name="_Toc164229372"/>
      <w:r/>
      <w:bookmarkStart w:id="314" w:name="_Toc151193701"/>
      <w:r/>
      <w:bookmarkStart w:id="315" w:name="_Toc305158799"/>
      <w:r/>
      <w:bookmarkStart w:id="316" w:name="_Toc164351625"/>
      <w:r/>
      <w:bookmarkStart w:id="317" w:name="_Toc150480769"/>
      <w:r>
        <w:rPr>
          <w:rFonts w:hint="eastAsia" w:ascii="宋体" w:hAnsi="宋体" w:cs="宋体"/>
          <w:b/>
          <w:bCs/>
          <w:sz w:val="24"/>
          <w:u w:val="single"/>
        </w:rPr>
        <w:t xml:space="preserve">11.5   </w:t>
      </w:r>
      <w:r>
        <w:rPr>
          <w:rFonts w:ascii="宋体" w:hAnsi="宋体" w:cs="宋体"/>
          <w:b/>
          <w:bCs/>
          <w:sz w:val="24"/>
          <w:u w:val="single"/>
        </w:rPr>
        <w:t xml:space="preserve">评审过程中出现下列情形之一的，</w:t>
      </w:r>
      <w:r>
        <w:rPr>
          <w:rFonts w:hint="eastAsia" w:ascii="宋体" w:hAnsi="宋体" w:cs="宋体"/>
          <w:b/>
          <w:bCs/>
          <w:sz w:val="24"/>
          <w:u w:val="single"/>
        </w:rPr>
        <w:t xml:space="preserve">评委会</w:t>
      </w:r>
      <w:r>
        <w:rPr>
          <w:rFonts w:ascii="宋体" w:hAnsi="宋体" w:cs="宋体"/>
          <w:b/>
          <w:bCs/>
          <w:sz w:val="24"/>
          <w:u w:val="single"/>
        </w:rPr>
        <w:t xml:space="preserve">应当</w:t>
      </w:r>
      <w:r>
        <w:rPr>
          <w:rFonts w:hint="eastAsia" w:ascii="宋体" w:hAnsi="宋体" w:cs="宋体"/>
          <w:b/>
          <w:bCs/>
          <w:sz w:val="24"/>
          <w:u w:val="single"/>
        </w:rPr>
        <w:t xml:space="preserve">启</w:t>
      </w:r>
      <w:r>
        <w:rPr>
          <w:rFonts w:ascii="宋体" w:hAnsi="宋体" w:cs="宋体"/>
          <w:b/>
          <w:bCs/>
          <w:sz w:val="24"/>
          <w:u w:val="single"/>
        </w:rPr>
        <w:t xml:space="preserve">动异常低价响应审查程序： </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11.5.1投标报价低于全部通过符合性审查供应商投标报价平均值50%的，即投标报价&lt;全部通过符合性审查供应商投标报价平均值×50%；</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11.5.2投标报价低于通过符合性审查的次低报价供应商投标报价50%的，即投标报价&lt;通过符合性审查的次低报价供应商投标报价×50%；</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11.5.3投标报价低于采购项目最高限价45%的，即投标报价&lt;采购项目最高限价×45%；</w:t>
      </w:r>
      <w:r>
        <w:rPr>
          <w:rFonts w:ascii="宋体" w:hAnsi="宋体" w:cs="宋体"/>
          <w:b/>
          <w:bCs/>
          <w:sz w:val="24"/>
          <w:u w:val="single"/>
        </w:rPr>
      </w:r>
      <w:r/>
    </w:p>
    <w:p>
      <w:pPr>
        <w:pStyle w:val="1002"/>
        <w:ind w:firstLine="241"/>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11.5.4评委会基于专业判断，认为供应商报价过低，有可能影响产品质量或者不能诚信履约的其他情形。</w:t>
      </w:r>
      <w:r>
        <w:rPr>
          <w:rFonts w:hint="eastAsia" w:ascii="宋体" w:hAnsi="宋体" w:cs="宋体"/>
          <w:b/>
          <w:bCs/>
          <w:sz w:val="24"/>
          <w:u w:val="single"/>
        </w:rPr>
      </w:r>
      <w:r/>
    </w:p>
    <w:p>
      <w:pPr>
        <w:pStyle w:val="1002"/>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启动异常低价投标审查后，属于前述11.5.1至11.5.4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11.5.3项情形，供应商已随响应文件一并提交相关书面说明及必要的证明材料的，在评审现场可不再重复提交。</w:t>
      </w:r>
      <w:r>
        <w:rPr>
          <w:rFonts w:hint="eastAsia" w:ascii="宋体" w:hAnsi="宋体" w:cs="宋体"/>
          <w:b/>
          <w:bCs/>
          <w:sz w:val="24"/>
          <w:u w:val="single"/>
        </w:rPr>
      </w:r>
      <w:r/>
    </w:p>
    <w:p>
      <w:pPr>
        <w:pStyle w:val="1002"/>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sz w:val="24"/>
          <w:u w:val="single"/>
        </w:rPr>
      </w:r>
      <w:r/>
    </w:p>
    <w:p>
      <w:pPr>
        <w:pStyle w:val="1245"/>
        <w:ind w:firstLine="482"/>
        <w:rPr>
          <w:u w:val="single"/>
        </w:rPr>
      </w:pPr>
      <w:r>
        <w:rPr>
          <w:rFonts w:hint="eastAsia" w:ascii="宋体" w:hAnsi="宋体" w:cs="宋体"/>
          <w:b/>
          <w:bCs/>
          <w:sz w:val="24"/>
          <w:u w:val="single"/>
        </w:rPr>
        <w:t xml:space="preserve">具体详见《关于推动解决政府采购异常低价问题的通知》财库〔2026〕2号</w:t>
      </w:r>
      <w:r>
        <w:rPr>
          <w:u w:val="single"/>
        </w:rPr>
      </w:r>
      <w:r/>
    </w:p>
    <w:p>
      <w:pPr>
        <w:pStyle w:val="1002"/>
        <w:numPr>
          <w:ilvl w:val="0"/>
          <w:numId w:val="10"/>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1002"/>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318" w:name="_Toc149720825"/>
      <w:r/>
      <w:bookmarkStart w:id="319" w:name="_Toc150480770"/>
      <w:r/>
      <w:bookmarkStart w:id="320" w:name="_Toc164608801"/>
      <w:r/>
      <w:bookmarkStart w:id="321" w:name="_Toc151193920"/>
      <w:r/>
      <w:bookmarkStart w:id="322" w:name="_Toc226965722"/>
      <w:r/>
      <w:bookmarkStart w:id="323" w:name="_Toc164229373"/>
      <w:r/>
      <w:bookmarkStart w:id="324" w:name="_Toc195842897"/>
      <w:r/>
      <w:bookmarkStart w:id="325" w:name="_Toc151193630"/>
      <w:r/>
      <w:bookmarkStart w:id="326" w:name="_Toc151193774"/>
      <w:r/>
      <w:bookmarkStart w:id="327" w:name="_Toc305158800"/>
      <w:r/>
      <w:bookmarkStart w:id="328" w:name="_Toc127161446"/>
      <w:r/>
      <w:bookmarkStart w:id="329" w:name="_Toc164351626"/>
      <w:r/>
      <w:bookmarkStart w:id="330" w:name="_Toc305158874"/>
      <w:r/>
      <w:bookmarkStart w:id="331" w:name="_Toc142311034"/>
      <w:r/>
      <w:bookmarkStart w:id="332" w:name="_Toc226965805"/>
      <w:r/>
      <w:bookmarkStart w:id="333" w:name="_Toc164608646"/>
      <w:r/>
      <w:bookmarkStart w:id="334" w:name="_Toc265228370"/>
      <w:r/>
      <w:bookmarkStart w:id="335" w:name="_Toc264969222"/>
      <w:r/>
      <w:bookmarkStart w:id="336" w:name="_Toc226337228"/>
      <w:r/>
      <w:bookmarkStart w:id="337" w:name="_Toc226309776"/>
      <w:r/>
      <w:bookmarkStart w:id="338" w:name="_Toc520356157"/>
      <w:r/>
      <w:bookmarkStart w:id="339" w:name="_Toc150774632"/>
      <w:r/>
      <w:bookmarkStart w:id="340" w:name="_Toc164229227"/>
      <w:r/>
      <w:bookmarkStart w:id="341" w:name="_Toc150774737"/>
      <w:r/>
      <w:bookmarkStart w:id="342" w:name="_Toc151190159"/>
      <w:r/>
      <w:bookmarkStart w:id="343" w:name="_Toc127151733"/>
      <w:r/>
      <w:bookmarkStart w:id="344" w:name="_Toc151193846"/>
      <w:r/>
      <w:bookmarkStart w:id="345" w:name="_Toc151193702"/>
      <w:r/>
      <w:bookmarkStart w:id="346" w:name="_Toc127151532"/>
      <w:r/>
      <w:bookmarkStart w:id="347" w:name="_Toc150509283"/>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348" w:name="_Toc151193921"/>
      <w:r/>
      <w:bookmarkStart w:id="349" w:name="_Toc150774738"/>
      <w:r/>
      <w:bookmarkStart w:id="350" w:name="_Toc305158875"/>
      <w:r/>
      <w:bookmarkStart w:id="351" w:name="_Toc127151533"/>
      <w:r/>
      <w:bookmarkStart w:id="352" w:name="_Toc151193703"/>
      <w:r/>
      <w:bookmarkStart w:id="353" w:name="_Toc265228371"/>
      <w:r/>
      <w:bookmarkStart w:id="354" w:name="_Toc195842898"/>
      <w:r/>
      <w:bookmarkStart w:id="355" w:name="_Toc226965806"/>
      <w:r/>
      <w:bookmarkStart w:id="356" w:name="_Toc150480771"/>
      <w:r/>
      <w:bookmarkStart w:id="357" w:name="_Toc127161447"/>
      <w:r/>
      <w:bookmarkStart w:id="358" w:name="_Toc226965723"/>
      <w:r/>
      <w:bookmarkStart w:id="359" w:name="_Toc164229374"/>
      <w:r/>
      <w:bookmarkStart w:id="360" w:name="_Toc150509284"/>
      <w:r/>
      <w:bookmarkStart w:id="361" w:name="_Toc164608802"/>
      <w:r/>
      <w:bookmarkStart w:id="362" w:name="_Toc164351627"/>
      <w:r/>
      <w:bookmarkStart w:id="363" w:name="_Toc127151734"/>
      <w:r/>
      <w:bookmarkStart w:id="364" w:name="_Toc151193775"/>
      <w:r/>
      <w:bookmarkStart w:id="365" w:name="_Toc150774633"/>
      <w:r/>
      <w:bookmarkStart w:id="366" w:name="_Toc520356158"/>
      <w:r/>
      <w:bookmarkStart w:id="367" w:name="_Toc305158801"/>
      <w:r/>
      <w:bookmarkStart w:id="368" w:name="_Toc151193847"/>
      <w:r/>
      <w:bookmarkStart w:id="369" w:name="_Toc151193631"/>
      <w:r/>
      <w:bookmarkStart w:id="370" w:name="_Toc149720826"/>
      <w:r/>
      <w:bookmarkStart w:id="371" w:name="_Toc226337229"/>
      <w:r/>
      <w:bookmarkStart w:id="372" w:name="_Toc151190160"/>
      <w:r/>
      <w:bookmarkStart w:id="373" w:name="_Toc164229228"/>
      <w:r/>
      <w:bookmarkStart w:id="374" w:name="_Toc264969223"/>
      <w:r/>
      <w:bookmarkStart w:id="375" w:name="_Toc142311035"/>
      <w:r/>
      <w:bookmarkStart w:id="376" w:name="_Toc164608647"/>
      <w:r/>
      <w:bookmarkStart w:id="377" w:name="_Toc226309777"/>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bookmarkStart w:id="378" w:name="_Toc127151534"/>
      <w:r/>
      <w:bookmarkStart w:id="379" w:name="_Toc195842899"/>
      <w:r/>
      <w:bookmarkStart w:id="380" w:name="_Toc305158802"/>
      <w:r/>
      <w:bookmarkStart w:id="381" w:name="_Toc520356159"/>
      <w:r/>
      <w:bookmarkStart w:id="382" w:name="_Toc151193632"/>
      <w:r/>
      <w:bookmarkStart w:id="383" w:name="_Toc150774739"/>
      <w:r/>
      <w:bookmarkStart w:id="384" w:name="_Toc226965724"/>
      <w:r/>
      <w:bookmarkStart w:id="385" w:name="_Toc151190161"/>
      <w:r/>
      <w:bookmarkStart w:id="386" w:name="_Toc264969224"/>
      <w:r/>
      <w:bookmarkStart w:id="387" w:name="_Toc150774634"/>
      <w:r/>
      <w:bookmarkStart w:id="388" w:name="_Toc150480772"/>
      <w:r/>
      <w:bookmarkStart w:id="389" w:name="_Toc151193776"/>
      <w:r/>
      <w:bookmarkStart w:id="390" w:name="_Toc226309778"/>
      <w:r/>
      <w:bookmarkStart w:id="391" w:name="_Toc305158876"/>
      <w:r/>
      <w:bookmarkStart w:id="392" w:name="_Toc151193848"/>
      <w:r/>
      <w:bookmarkStart w:id="393" w:name="_Toc226965807"/>
      <w:r/>
      <w:bookmarkStart w:id="394" w:name="_Toc265228372"/>
      <w:r/>
      <w:bookmarkStart w:id="395" w:name="_Toc226337230"/>
      <w:r/>
      <w:bookmarkStart w:id="396" w:name="_Toc151193704"/>
      <w:r/>
      <w:bookmarkStart w:id="397" w:name="_Toc150509285"/>
      <w:r/>
      <w:bookmarkStart w:id="398" w:name="_Toc151193922"/>
      <w:r/>
      <w:bookmarkStart w:id="399" w:name="_Toc14231103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02"/>
        <w:ind w:left="357"/>
        <w:spacing w:line="360" w:lineRule="auto"/>
        <w:tabs>
          <w:tab w:val="left" w:pos="900" w:leader="none"/>
          <w:tab w:val="left" w:pos="1080" w:leader="none"/>
        </w:tabs>
      </w:p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400" w:name="_Toc150480773"/>
      <w:r/>
      <w:bookmarkStart w:id="401" w:name="_Toc151193923"/>
      <w:r/>
      <w:bookmarkStart w:id="402" w:name="_Toc150774740"/>
      <w:r/>
      <w:bookmarkStart w:id="403" w:name="_Toc226965808"/>
      <w:r/>
      <w:bookmarkStart w:id="404" w:name="_Toc164608649"/>
      <w:r/>
      <w:bookmarkStart w:id="405" w:name="_Toc151190162"/>
      <w:r/>
      <w:bookmarkStart w:id="406" w:name="_Toc150509286"/>
      <w:r/>
      <w:bookmarkStart w:id="407" w:name="_Toc164351629"/>
      <w:r/>
      <w:bookmarkStart w:id="408" w:name="_Toc151193633"/>
      <w:r/>
      <w:bookmarkStart w:id="409" w:name="_Toc127151535"/>
      <w:r/>
      <w:bookmarkStart w:id="410" w:name="_Toc226309779"/>
      <w:r/>
      <w:bookmarkStart w:id="411" w:name="_Toc305158803"/>
      <w:r/>
      <w:bookmarkStart w:id="412" w:name="_Toc127161449"/>
      <w:r/>
      <w:bookmarkStart w:id="413" w:name="_Toc520356160"/>
      <w:r/>
      <w:bookmarkStart w:id="414" w:name="_Toc149720828"/>
      <w:r/>
      <w:bookmarkStart w:id="415" w:name="_Toc151193849"/>
      <w:r/>
      <w:bookmarkStart w:id="416" w:name="_Toc265228373"/>
      <w:r/>
      <w:bookmarkStart w:id="417" w:name="_Toc142311037"/>
      <w:r/>
      <w:bookmarkStart w:id="418" w:name="_Toc150774635"/>
      <w:r/>
      <w:bookmarkStart w:id="419" w:name="_Toc164608804"/>
      <w:r/>
      <w:bookmarkStart w:id="420" w:name="_Toc305158877"/>
      <w:r/>
      <w:bookmarkStart w:id="421" w:name="_Toc127151736"/>
      <w:r/>
      <w:bookmarkStart w:id="422" w:name="_Toc264969225"/>
      <w:r/>
      <w:bookmarkStart w:id="423" w:name="_Toc151193777"/>
      <w:r/>
      <w:bookmarkStart w:id="424" w:name="_Toc164229230"/>
      <w:r/>
      <w:bookmarkStart w:id="425" w:name="_Toc151193705"/>
      <w:r/>
      <w:bookmarkStart w:id="426" w:name="_Toc226337231"/>
      <w:r/>
      <w:bookmarkStart w:id="427" w:name="_Toc195842900"/>
      <w:r/>
      <w:bookmarkStart w:id="428" w:name="_Toc226965725"/>
      <w:r/>
      <w:bookmarkStart w:id="429" w:name="_Toc164229376"/>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430" w:name="_Toc127151737"/>
      <w:r/>
      <w:bookmarkStart w:id="431" w:name="_Toc151193778"/>
      <w:r/>
      <w:bookmarkStart w:id="432" w:name="_Toc265228374"/>
      <w:r/>
      <w:bookmarkStart w:id="433" w:name="_Toc151193924"/>
      <w:r/>
      <w:bookmarkStart w:id="434" w:name="_Toc305158804"/>
      <w:r/>
      <w:bookmarkStart w:id="435" w:name="_Toc195842901"/>
      <w:r/>
      <w:bookmarkStart w:id="436" w:name="_Toc520356161"/>
      <w:r/>
      <w:bookmarkStart w:id="437" w:name="_Toc305158878"/>
      <w:r/>
      <w:bookmarkStart w:id="438" w:name="_Toc150509287"/>
      <w:r/>
      <w:bookmarkStart w:id="439" w:name="_Toc226965809"/>
      <w:r/>
      <w:bookmarkStart w:id="440" w:name="_Toc127161450"/>
      <w:r/>
      <w:bookmarkStart w:id="441" w:name="_Toc164229377"/>
      <w:r/>
      <w:bookmarkStart w:id="442" w:name="_Toc226309780"/>
      <w:r/>
      <w:bookmarkStart w:id="443" w:name="_Toc150774636"/>
      <w:r/>
      <w:bookmarkStart w:id="444" w:name="_Toc164229231"/>
      <w:r/>
      <w:bookmarkStart w:id="445" w:name="_Toc164608650"/>
      <w:r/>
      <w:bookmarkStart w:id="446" w:name="_Toc164608805"/>
      <w:r/>
      <w:bookmarkStart w:id="447" w:name="_Toc151190163"/>
      <w:r/>
      <w:bookmarkStart w:id="448" w:name="_Toc151193634"/>
      <w:r/>
      <w:bookmarkStart w:id="449" w:name="_Toc127151536"/>
      <w:r/>
      <w:bookmarkStart w:id="450" w:name="_Toc151193706"/>
      <w:r/>
      <w:bookmarkStart w:id="451" w:name="_Toc226337232"/>
      <w:r/>
      <w:bookmarkStart w:id="452" w:name="_Toc164351630"/>
      <w:r/>
      <w:bookmarkStart w:id="453" w:name="_Toc264969226"/>
      <w:r/>
      <w:bookmarkStart w:id="454" w:name="_Toc151193850"/>
      <w:r/>
      <w:bookmarkStart w:id="455" w:name="_Toc142311038"/>
      <w:r/>
      <w:bookmarkStart w:id="456" w:name="_Toc150480774"/>
      <w:r/>
      <w:bookmarkStart w:id="457" w:name="_Toc150774741"/>
      <w:r/>
      <w:bookmarkStart w:id="458" w:name="_Toc226965726"/>
      <w:r/>
      <w:bookmarkStart w:id="459" w:name="_Toc149720829"/>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460" w:name="_Toc150774742"/>
      <w:r/>
      <w:bookmarkStart w:id="461" w:name="_Toc226965810"/>
      <w:r/>
      <w:bookmarkStart w:id="462" w:name="_Toc164608651"/>
      <w:r/>
      <w:bookmarkStart w:id="463" w:name="_Toc127161451"/>
      <w:r/>
      <w:bookmarkStart w:id="464" w:name="_Toc265228375"/>
      <w:r/>
      <w:bookmarkStart w:id="465" w:name="_Toc151193779"/>
      <w:r/>
      <w:bookmarkStart w:id="466" w:name="_Toc149720830"/>
      <w:r/>
      <w:bookmarkStart w:id="467" w:name="_Toc226337233"/>
      <w:r/>
      <w:bookmarkStart w:id="468" w:name="_Toc151193851"/>
      <w:r/>
      <w:bookmarkStart w:id="469" w:name="_Toc151193635"/>
      <w:r/>
      <w:bookmarkStart w:id="470" w:name="_Toc150480775"/>
      <w:r/>
      <w:bookmarkStart w:id="471" w:name="_Toc195842902"/>
      <w:r/>
      <w:bookmarkStart w:id="472" w:name="_Toc151190164"/>
      <w:r/>
      <w:bookmarkStart w:id="473" w:name="_Toc164608806"/>
      <w:r/>
      <w:bookmarkStart w:id="474" w:name="_Toc150509288"/>
      <w:r/>
      <w:bookmarkStart w:id="475" w:name="_Toc164351631"/>
      <w:r/>
      <w:bookmarkStart w:id="476" w:name="_Toc520356162"/>
      <w:r/>
      <w:bookmarkStart w:id="477" w:name="_Toc305158805"/>
      <w:r/>
      <w:bookmarkStart w:id="478" w:name="_Toc226309781"/>
      <w:r/>
      <w:bookmarkStart w:id="479" w:name="_Toc127151537"/>
      <w:r/>
      <w:bookmarkStart w:id="480" w:name="_Toc127151738"/>
      <w:r/>
      <w:bookmarkStart w:id="481" w:name="_Toc150774637"/>
      <w:r/>
      <w:bookmarkStart w:id="482" w:name="_Toc151193925"/>
      <w:r/>
      <w:bookmarkStart w:id="483" w:name="_Toc226965727"/>
      <w:r/>
      <w:bookmarkStart w:id="484" w:name="_Toc264969227"/>
      <w:r/>
      <w:bookmarkStart w:id="485" w:name="_Toc164229232"/>
      <w:r/>
      <w:bookmarkStart w:id="486" w:name="_Toc305158879"/>
      <w:r/>
      <w:bookmarkStart w:id="487" w:name="_Toc164229378"/>
      <w:r/>
      <w:bookmarkStart w:id="488" w:name="_Toc142311039"/>
      <w:r/>
      <w:bookmarkStart w:id="489" w:name="_Toc151193707"/>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02"/>
        <w:spacing w:line="360" w:lineRule="auto"/>
        <w:rPr>
          <w:sz w:val="24"/>
        </w:rPr>
      </w:pPr>
      <w:r>
        <w:rPr>
          <w:sz w:val="24"/>
        </w:rPr>
      </w:r>
      <w:r/>
    </w:p>
    <w:p>
      <w:pPr>
        <w:pStyle w:val="1004"/>
        <w:spacing w:before="0" w:line="360" w:lineRule="auto"/>
        <w:rPr>
          <w:rFonts w:ascii="Times New Roman" w:hAnsi="Times New Roman" w:eastAsia="宋体"/>
          <w:sz w:val="28"/>
        </w:rPr>
      </w:pPr>
      <w:r/>
      <w:bookmarkStart w:id="490" w:name="_Toc151193852"/>
      <w:r/>
      <w:bookmarkStart w:id="491" w:name="_Toc226309782"/>
      <w:r/>
      <w:bookmarkStart w:id="492" w:name="_Toc142311040"/>
      <w:r/>
      <w:bookmarkStart w:id="493" w:name="_Toc226965811"/>
      <w:r/>
      <w:bookmarkStart w:id="494" w:name="_Toc151193636"/>
      <w:r/>
      <w:bookmarkStart w:id="495" w:name="_Toc127151538"/>
      <w:r/>
      <w:bookmarkStart w:id="496" w:name="_Toc265228376"/>
      <w:r/>
      <w:bookmarkStart w:id="497" w:name="_Toc226965728"/>
      <w:r/>
      <w:bookmarkStart w:id="498" w:name="_Toc520356163"/>
      <w:r/>
      <w:bookmarkStart w:id="499" w:name="_Toc150509289"/>
      <w:r/>
      <w:bookmarkStart w:id="500" w:name="_Toc151193708"/>
      <w:r/>
      <w:bookmarkStart w:id="501" w:name="_Toc151190165"/>
      <w:r/>
      <w:bookmarkStart w:id="502" w:name="_Toc195842903"/>
      <w:r/>
      <w:bookmarkStart w:id="503" w:name="_Toc150774743"/>
      <w:r/>
      <w:bookmarkStart w:id="504" w:name="_Toc264969228"/>
      <w:r/>
      <w:bookmarkStart w:id="505" w:name="_Toc151193780"/>
      <w:r/>
      <w:bookmarkStart w:id="506" w:name="_Toc305158806"/>
      <w:r/>
      <w:bookmarkStart w:id="507" w:name="_Toc150774638"/>
      <w:r/>
      <w:bookmarkStart w:id="508" w:name="_Toc226337234"/>
      <w:r/>
      <w:bookmarkStart w:id="509" w:name="_Toc305158880"/>
      <w:r/>
      <w:bookmarkStart w:id="510" w:name="_Toc150480776"/>
      <w:r/>
      <w:bookmarkStart w:id="511" w:name="_Toc151193926"/>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512" w:name="_Toc164229380"/>
      <w:r/>
      <w:bookmarkStart w:id="513" w:name="_Toc151193853"/>
      <w:r/>
      <w:bookmarkStart w:id="514" w:name="_Toc164608808"/>
      <w:r/>
      <w:bookmarkStart w:id="515" w:name="_Toc127151740"/>
      <w:r/>
      <w:bookmarkStart w:id="516" w:name="_Toc164351633"/>
      <w:r/>
      <w:bookmarkStart w:id="517" w:name="_Toc226965729"/>
      <w:r/>
      <w:bookmarkStart w:id="518" w:name="_Toc151193709"/>
      <w:r/>
      <w:bookmarkStart w:id="519" w:name="_Toc265228377"/>
      <w:r/>
      <w:bookmarkStart w:id="520" w:name="_Toc127151539"/>
      <w:r/>
      <w:bookmarkStart w:id="521" w:name="_Toc151193927"/>
      <w:r/>
      <w:bookmarkStart w:id="522" w:name="_Toc164608653"/>
      <w:r/>
      <w:bookmarkStart w:id="523" w:name="_Toc150509290"/>
      <w:r/>
      <w:bookmarkStart w:id="524" w:name="_Toc195842904"/>
      <w:r/>
      <w:bookmarkStart w:id="525" w:name="_Toc264969229"/>
      <w:r/>
      <w:bookmarkStart w:id="526" w:name="_Toc149720832"/>
      <w:r/>
      <w:bookmarkStart w:id="527" w:name="_Toc520356164"/>
      <w:r/>
      <w:bookmarkStart w:id="528" w:name="_Toc151190166"/>
      <w:r/>
      <w:bookmarkStart w:id="529" w:name="_Toc164229234"/>
      <w:r/>
      <w:bookmarkStart w:id="530" w:name="_Toc142311041"/>
      <w:r/>
      <w:bookmarkStart w:id="531" w:name="_Toc150774639"/>
      <w:r/>
      <w:bookmarkStart w:id="532" w:name="_Toc127161453"/>
      <w:r/>
      <w:bookmarkStart w:id="533" w:name="_Toc151193637"/>
      <w:r/>
      <w:bookmarkStart w:id="534" w:name="_Toc305158881"/>
      <w:r/>
      <w:bookmarkStart w:id="535" w:name="_Toc226309783"/>
      <w:r/>
      <w:bookmarkStart w:id="536" w:name="_Toc226965812"/>
      <w:r/>
      <w:bookmarkStart w:id="537" w:name="_Toc150480777"/>
      <w:r/>
      <w:bookmarkStart w:id="538" w:name="_Toc226337235"/>
      <w:r/>
      <w:bookmarkStart w:id="539" w:name="_Toc151193781"/>
      <w:r/>
      <w:bookmarkStart w:id="540" w:name="_Toc150774744"/>
      <w:r/>
      <w:bookmarkStart w:id="541" w:name="_Toc305158807"/>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0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02"/>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End w:id="542"/>
      <w:r/>
      <w:bookmarkStart w:id="543" w:name="_Toc305158882"/>
      <w:r/>
      <w:bookmarkStart w:id="544" w:name="_Toc151193782"/>
      <w:r/>
      <w:bookmarkStart w:id="545" w:name="_Toc226965813"/>
      <w:r/>
      <w:bookmarkStart w:id="546" w:name="_Toc164229235"/>
      <w:r/>
      <w:bookmarkStart w:id="547" w:name="_Toc265228378"/>
      <w:r/>
      <w:bookmarkStart w:id="548" w:name="_Toc195842905"/>
      <w:r/>
      <w:bookmarkStart w:id="549" w:name="_Toc151193638"/>
      <w:r/>
      <w:bookmarkStart w:id="550" w:name="_Toc164608654"/>
      <w:r/>
      <w:bookmarkStart w:id="551" w:name="_Toc150509291"/>
      <w:r/>
      <w:bookmarkStart w:id="552" w:name="_Toc151193710"/>
      <w:r/>
      <w:bookmarkStart w:id="553" w:name="_Toc149720833"/>
      <w:r/>
      <w:bookmarkStart w:id="554" w:name="_Toc226337236"/>
      <w:r/>
      <w:bookmarkStart w:id="555" w:name="_Toc142311042"/>
      <w:r/>
      <w:bookmarkStart w:id="556" w:name="_Toc164608809"/>
      <w:r/>
      <w:bookmarkStart w:id="557" w:name="_Toc127161454"/>
      <w:r/>
      <w:bookmarkStart w:id="558" w:name="_Toc164351634"/>
      <w:r/>
      <w:bookmarkStart w:id="559" w:name="_Toc151193854"/>
      <w:r/>
      <w:bookmarkStart w:id="560" w:name="_Toc127151540"/>
      <w:r/>
      <w:bookmarkStart w:id="561" w:name="_Toc164229381"/>
      <w:r/>
      <w:bookmarkStart w:id="562" w:name="_Toc150774745"/>
      <w:r/>
      <w:bookmarkStart w:id="563" w:name="_Toc264969230"/>
      <w:r/>
      <w:bookmarkStart w:id="564" w:name="_Toc150774640"/>
      <w:r/>
      <w:bookmarkStart w:id="565" w:name="_Toc150480778"/>
      <w:r/>
      <w:bookmarkStart w:id="566" w:name="_Toc305158808"/>
      <w:r/>
      <w:bookmarkStart w:id="567" w:name="_Toc127151741"/>
      <w:r/>
      <w:bookmarkStart w:id="568" w:name="_Toc151193928"/>
      <w:r/>
      <w:bookmarkStart w:id="569" w:name="_Toc226309784"/>
      <w:r/>
      <w:bookmarkStart w:id="570" w:name="_Toc226965730"/>
      <w:r/>
      <w:bookmarkStart w:id="571" w:name="_Toc151190167"/>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02"/>
        <w:ind w:left="1080"/>
        <w:spacing w:line="360" w:lineRule="auto"/>
        <w:tabs>
          <w:tab w:val="left" w:pos="360" w:leader="none"/>
          <w:tab w:val="left" w:pos="1080" w:leader="none"/>
        </w:tabs>
        <w:rPr>
          <w:sz w:val="24"/>
        </w:rPr>
      </w:pPr>
      <w:r>
        <w:rPr>
          <w:sz w:val="24"/>
        </w:rPr>
      </w:r>
      <w:r/>
    </w:p>
    <w:p>
      <w:pPr>
        <w:pStyle w:val="1004"/>
        <w:spacing w:before="0" w:line="360" w:lineRule="auto"/>
        <w:rPr>
          <w:rFonts w:ascii="Times New Roman" w:hAnsi="Times New Roman" w:eastAsia="宋体"/>
          <w:sz w:val="28"/>
        </w:rPr>
      </w:pPr>
      <w:r/>
      <w:bookmarkStart w:id="574" w:name="_Toc150774645"/>
      <w:r/>
      <w:bookmarkStart w:id="575" w:name="_Toc226965735"/>
      <w:r/>
      <w:bookmarkStart w:id="576" w:name="_Toc151190172"/>
      <w:r/>
      <w:bookmarkStart w:id="577" w:name="_Toc151193933"/>
      <w:r/>
      <w:bookmarkStart w:id="578" w:name="_Toc150774750"/>
      <w:r/>
      <w:bookmarkStart w:id="579" w:name="_Toc265228383"/>
      <w:r/>
      <w:bookmarkStart w:id="580" w:name="_Toc264969235"/>
      <w:r/>
      <w:bookmarkStart w:id="581" w:name="_Toc226965818"/>
      <w:r/>
      <w:bookmarkStart w:id="582" w:name="_Toc195842910"/>
      <w:r/>
      <w:bookmarkStart w:id="583" w:name="_Toc226337241"/>
      <w:r/>
      <w:bookmarkStart w:id="584" w:name="_Toc226309789"/>
      <w:r/>
      <w:bookmarkStart w:id="585" w:name="_Toc151193715"/>
      <w:r/>
      <w:bookmarkStart w:id="586" w:name="_Toc305158813"/>
      <w:r/>
      <w:bookmarkStart w:id="587" w:name="_Toc127151545"/>
      <w:r/>
      <w:bookmarkStart w:id="588" w:name="_Toc151193643"/>
      <w:r/>
      <w:bookmarkStart w:id="589" w:name="_Toc150509296"/>
      <w:r/>
      <w:bookmarkStart w:id="590" w:name="_Toc142311047"/>
      <w:r/>
      <w:bookmarkStart w:id="591" w:name="_Toc151193859"/>
      <w:r/>
      <w:bookmarkStart w:id="592" w:name="_Toc151193787"/>
      <w:r/>
      <w:bookmarkStart w:id="593" w:name="_Toc305158887"/>
      <w:r/>
      <w:bookmarkStart w:id="594" w:name="_Toc150480783"/>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64351641"/>
      <w:r/>
      <w:bookmarkStart w:id="596" w:name="_Toc149720840"/>
      <w:r/>
      <w:bookmarkStart w:id="597" w:name="_Toc127151547"/>
      <w:r/>
      <w:bookmarkStart w:id="598" w:name="_Toc150480785"/>
      <w:r/>
      <w:bookmarkStart w:id="599" w:name="_Toc150774647"/>
      <w:r/>
      <w:bookmarkStart w:id="600" w:name="_Toc151193789"/>
      <w:r/>
      <w:bookmarkStart w:id="601" w:name="_Toc127151748"/>
      <w:r/>
      <w:bookmarkStart w:id="602" w:name="_Toc226965820"/>
      <w:r/>
      <w:bookmarkStart w:id="603" w:name="_Toc127161461"/>
      <w:r/>
      <w:bookmarkStart w:id="604" w:name="_Toc150774752"/>
      <w:r/>
      <w:bookmarkStart w:id="605" w:name="_Toc150509298"/>
      <w:r/>
      <w:bookmarkStart w:id="606" w:name="_Toc305158889"/>
      <w:r/>
      <w:bookmarkStart w:id="607" w:name="_Toc164608661"/>
      <w:r/>
      <w:bookmarkStart w:id="608" w:name="_Toc151193717"/>
      <w:r/>
      <w:bookmarkStart w:id="609" w:name="_Toc151193861"/>
      <w:r/>
      <w:bookmarkStart w:id="610" w:name="_Toc195842912"/>
      <w:r/>
      <w:bookmarkStart w:id="611" w:name="_Toc151193645"/>
      <w:r/>
      <w:bookmarkStart w:id="612" w:name="_Toc305158815"/>
      <w:r/>
      <w:bookmarkStart w:id="613" w:name="_Toc265228385"/>
      <w:r/>
      <w:bookmarkStart w:id="614" w:name="_Toc226337243"/>
      <w:r/>
      <w:bookmarkStart w:id="615" w:name="_Toc164229388"/>
      <w:r/>
      <w:bookmarkStart w:id="616" w:name="_Toc142311049"/>
      <w:r/>
      <w:bookmarkStart w:id="617" w:name="_Toc151190174"/>
      <w:r/>
      <w:bookmarkStart w:id="618" w:name="_Toc226309791"/>
      <w:r/>
      <w:bookmarkStart w:id="619" w:name="_Toc164608816"/>
      <w:r/>
      <w:bookmarkStart w:id="620" w:name="_Toc226965737"/>
      <w:r/>
      <w:bookmarkStart w:id="621" w:name="_Toc164229242"/>
      <w:r/>
      <w:bookmarkStart w:id="622" w:name="_Toc264969237"/>
      <w:r/>
      <w:bookmarkStart w:id="623" w:name="_Toc151193935"/>
      <w:r>
        <w:rPr>
          <w:rFonts w:ascii="Times New Roman" w:hAnsi="Times New Roman" w:eastAsia="宋体"/>
          <w:sz w:val="28"/>
        </w:rPr>
      </w:r>
      <w:r/>
    </w:p>
    <w:p>
      <w:pPr>
        <w:pStyle w:val="1002"/>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Start w:id="624" w:name="_Toc226965739"/>
      <w:r/>
      <w:bookmarkStart w:id="625" w:name="_Toc195842914"/>
      <w:r/>
      <w:bookmarkStart w:id="626" w:name="_Toc164229244"/>
      <w:r/>
      <w:bookmarkStart w:id="627" w:name="_Toc127161463"/>
      <w:r/>
      <w:bookmarkStart w:id="628" w:name="_Toc164229390"/>
      <w:r/>
      <w:bookmarkStart w:id="629" w:name="_Toc127151750"/>
      <w:r/>
      <w:bookmarkStart w:id="630" w:name="_Toc305158817"/>
      <w:r/>
      <w:bookmarkStart w:id="631" w:name="_Toc164608818"/>
      <w:r/>
      <w:bookmarkStart w:id="632" w:name="_Ref467307090"/>
      <w:r/>
      <w:bookmarkStart w:id="633" w:name="_Ref467306425"/>
      <w:r/>
      <w:bookmarkStart w:id="634" w:name="_Toc520356176"/>
      <w:r/>
      <w:bookmarkStart w:id="635" w:name="_Toc151193719"/>
      <w:r/>
      <w:bookmarkStart w:id="636" w:name="_Toc127151549"/>
      <w:r/>
      <w:bookmarkStart w:id="637" w:name="_Toc142311051"/>
      <w:r/>
      <w:bookmarkStart w:id="638" w:name="_Toc150774754"/>
      <w:r/>
      <w:bookmarkStart w:id="639" w:name="_Toc226337245"/>
      <w:r/>
      <w:bookmarkStart w:id="640" w:name="_Toc151193937"/>
      <w:r/>
      <w:bookmarkStart w:id="641" w:name="_Toc305158891"/>
      <w:r/>
      <w:bookmarkStart w:id="642" w:name="_Toc151193647"/>
      <w:r/>
      <w:bookmarkStart w:id="643" w:name="_Toc150509300"/>
      <w:r/>
      <w:bookmarkStart w:id="644" w:name="_Toc151190176"/>
      <w:r/>
      <w:bookmarkStart w:id="645" w:name="_Toc226309793"/>
      <w:r/>
      <w:bookmarkStart w:id="646" w:name="_Toc150480787"/>
      <w:r/>
      <w:bookmarkStart w:id="647" w:name="_Toc150774649"/>
      <w:r/>
      <w:bookmarkStart w:id="648" w:name="_Toc151193863"/>
      <w:r/>
      <w:bookmarkStart w:id="649" w:name="_Toc149720842"/>
      <w:r/>
      <w:bookmarkStart w:id="650" w:name="_Toc164608663"/>
      <w:r/>
      <w:bookmarkStart w:id="651" w:name="_Toc164351643"/>
      <w:r/>
      <w:bookmarkStart w:id="652" w:name="_Toc151193791"/>
      <w:r/>
      <w:bookmarkStart w:id="653" w:name="_Toc264969239"/>
      <w:r/>
      <w:bookmarkStart w:id="654" w:name="_Toc265228387"/>
      <w:r/>
      <w:bookmarkStart w:id="655" w:name="_Toc226965822"/>
      <w:r>
        <w:rPr>
          <w:sz w:val="24"/>
        </w:rPr>
        <w:t xml:space="preserve">中标公告与中标通知书</w:t>
      </w:r>
      <w:bookmarkEnd w:id="630"/>
      <w:r/>
      <w:bookmarkEnd w:id="641"/>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02"/>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02"/>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1002"/>
        <w:numPr>
          <w:ilvl w:val="2"/>
          <w:numId w:val="10"/>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02"/>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02"/>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7"/>
      <w:r/>
      <w:bookmarkEnd w:id="628"/>
      <w:r/>
      <w:bookmarkEnd w:id="629"/>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305158818"/>
      <w:r/>
      <w:bookmarkStart w:id="657" w:name="_Ref467306377"/>
      <w:r/>
      <w:bookmarkStart w:id="658" w:name="_Toc150509301"/>
      <w:r/>
      <w:bookmarkStart w:id="659" w:name="_Toc127151550"/>
      <w:r/>
      <w:bookmarkStart w:id="660" w:name="_Toc150480788"/>
      <w:r/>
      <w:bookmarkStart w:id="661" w:name="_Toc164351644"/>
      <w:r/>
      <w:bookmarkStart w:id="662" w:name="_Toc226965823"/>
      <w:r/>
      <w:bookmarkStart w:id="663" w:name="_Toc226309794"/>
      <w:r/>
      <w:bookmarkStart w:id="664" w:name="_Toc226337246"/>
      <w:r/>
      <w:bookmarkStart w:id="665" w:name="_Toc151193864"/>
      <w:r/>
      <w:bookmarkStart w:id="666" w:name="_Toc164229391"/>
      <w:r/>
      <w:bookmarkStart w:id="667" w:name="_Ref467307062"/>
      <w:r/>
      <w:bookmarkStart w:id="668" w:name="_Toc151193720"/>
      <w:r/>
      <w:bookmarkStart w:id="669" w:name="_Toc264969240"/>
      <w:r/>
      <w:bookmarkStart w:id="670" w:name="_Toc127161464"/>
      <w:r/>
      <w:bookmarkStart w:id="671" w:name="_Toc150774755"/>
      <w:r/>
      <w:bookmarkStart w:id="672" w:name="_Toc150774650"/>
      <w:r/>
      <w:bookmarkStart w:id="673" w:name="_Ref467306978"/>
      <w:r/>
      <w:bookmarkStart w:id="674" w:name="_Toc142311052"/>
      <w:r/>
      <w:bookmarkStart w:id="675" w:name="_Toc195842915"/>
      <w:r/>
      <w:bookmarkStart w:id="676" w:name="_Toc265228388"/>
      <w:r/>
      <w:bookmarkStart w:id="677" w:name="_Toc226965740"/>
      <w:r/>
      <w:bookmarkStart w:id="678" w:name="_Toc305158892"/>
      <w:r/>
      <w:bookmarkStart w:id="679" w:name="_Toc520356175"/>
      <w:r/>
      <w:bookmarkStart w:id="680" w:name="_Toc151193792"/>
      <w:r/>
      <w:bookmarkStart w:id="681" w:name="_Toc151193648"/>
      <w:r/>
      <w:bookmarkStart w:id="682" w:name="_Toc164608819"/>
      <w:r/>
      <w:bookmarkStart w:id="683" w:name="_Toc151193938"/>
      <w:r/>
      <w:bookmarkStart w:id="684" w:name="_Toc127151751"/>
      <w:r/>
      <w:bookmarkStart w:id="685" w:name="_Ref467307204"/>
      <w:r/>
      <w:bookmarkStart w:id="686" w:name="_Toc164608664"/>
      <w:r/>
      <w:bookmarkStart w:id="687" w:name="_Toc149720843"/>
      <w:r/>
      <w:bookmarkStart w:id="688" w:name="_Toc151190177"/>
      <w:r/>
      <w:bookmarkStart w:id="689" w:name="_Toc164229245"/>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02"/>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02"/>
        <w:numPr>
          <w:ilvl w:val="2"/>
          <w:numId w:val="10"/>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02"/>
        <w:numPr>
          <w:ilvl w:val="2"/>
          <w:numId w:val="10"/>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02"/>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1002"/>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4"/>
      <w:r/>
      <w:bookmarkStart w:id="692" w:name="_Hlt100653993"/>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1002"/>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02"/>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02"/>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0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1002"/>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02"/>
        <w:ind w:left="360"/>
        <w:spacing w:line="360" w:lineRule="auto"/>
        <w:tabs>
          <w:tab w:val="left" w:pos="360" w:leader="none"/>
          <w:tab w:val="left" w:pos="1080" w:leader="none"/>
        </w:tabs>
        <w:rPr>
          <w:sz w:val="24"/>
        </w:rPr>
      </w:pPr>
      <w:r>
        <w:rPr>
          <w:sz w:val="24"/>
        </w:rPr>
      </w:r>
      <w:r/>
    </w:p>
    <w:p>
      <w:pPr>
        <w:pStyle w:val="1002"/>
        <w:jc w:val="center"/>
        <w:spacing w:line="360" w:lineRule="auto"/>
        <w:rPr>
          <w:b/>
          <w:sz w:val="36"/>
          <w:szCs w:val="36"/>
        </w:rPr>
        <w:outlineLvl w:val="0"/>
      </w:pPr>
      <w:r/>
      <w:bookmarkStart w:id="693" w:name="_Toc305158896"/>
      <w:r/>
      <w:bookmarkStart w:id="694" w:name="_Toc150480792"/>
      <w:r/>
      <w:bookmarkStart w:id="695" w:name="_Toc353873664"/>
      <w:r/>
      <w:bookmarkStart w:id="696" w:name="_Toc353873934"/>
      <w:r/>
      <w:bookmarkStart w:id="697" w:name="_Toc142311056"/>
      <w:r/>
      <w:bookmarkStart w:id="698" w:name="_Toc265228392"/>
      <w:r/>
      <w:bookmarkStart w:id="699" w:name="_Toc226337250"/>
      <w:r/>
      <w:bookmarkStart w:id="700" w:name="_Toc127151554"/>
      <w:r/>
      <w:bookmarkStart w:id="701" w:name="_Toc150774759"/>
      <w:r/>
      <w:bookmarkStart w:id="702" w:name="_Toc305158822"/>
      <w:r/>
      <w:bookmarkStart w:id="703" w:name="_Toc226965827"/>
      <w:r/>
      <w:bookmarkStart w:id="704" w:name="_Toc264969244"/>
      <w:r/>
      <w:bookmarkStart w:id="705" w:name="_Toc353825544"/>
      <w:r>
        <w:rPr>
          <w:sz w:val="24"/>
        </w:rPr>
        <w:br w:type="page" w:clear="all"/>
      </w:r>
      <w:bookmarkStart w:id="706" w:name="_Toc1581"/>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1002"/>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1002"/>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02"/>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02"/>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02"/>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02"/>
        <w:jc w:val="left"/>
        <w:widowControl/>
        <w:rPr>
          <w:sz w:val="24"/>
        </w:rPr>
      </w:pPr>
      <w:r>
        <w:rPr>
          <w:sz w:val="24"/>
        </w:rPr>
      </w:r>
      <w:r/>
    </w:p>
    <w:p>
      <w:pPr>
        <w:pStyle w:val="1002"/>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2"/>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1002"/>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1002"/>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1002"/>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1002"/>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02"/>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02"/>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中小企业声明函</w:t>
            </w:r>
            <w:r>
              <w:rPr>
                <w:sz w:val="24"/>
                <w:highlight w:val="none"/>
              </w:rPr>
            </w:r>
            <w:r/>
          </w:p>
        </w:tc>
        <w:tc>
          <w:tcPr>
            <w:tcW w:w="4821" w:type="dxa"/>
            <w:vAlign w:val="center"/>
            <w:textDirection w:val="lrTb"/>
            <w:noWrap w:val="false"/>
          </w:tcPr>
          <w:p>
            <w:pPr>
              <w:pStyle w:val="1002"/>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1002"/>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1002"/>
              <w:tabs>
                <w:tab w:val="left" w:pos="1080" w:leader="none"/>
              </w:tabs>
              <w:rPr>
                <w:sz w:val="24"/>
              </w:rPr>
            </w:pPr>
            <w:r>
              <w:rPr>
                <w:rFonts w:hint="eastAsia"/>
                <w:sz w:val="24"/>
              </w:rPr>
              <w:t xml:space="preserve">其他</w:t>
            </w:r>
            <w:r>
              <w:rPr>
                <w:sz w:val="24"/>
              </w:rPr>
              <w:t xml:space="preserve">落实政府采购政策的资格要求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1558"/>
        </w:trPr>
        <w:tc>
          <w:tcPr>
            <w:tcW w:w="846" w:type="dxa"/>
            <w:vAlign w:val="center"/>
            <w:textDirection w:val="lrTb"/>
            <w:noWrap w:val="false"/>
          </w:tcPr>
          <w:p>
            <w:pPr>
              <w:pStyle w:val="1002"/>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0"/>
        </w:trPr>
        <w:tc>
          <w:tcPr>
            <w:tcW w:w="846" w:type="dxa"/>
            <w:vAlign w:val="center"/>
            <w:textDirection w:val="lrTb"/>
            <w:noWrap w:val="false"/>
          </w:tcPr>
          <w:p>
            <w:pPr>
              <w:pStyle w:val="1002"/>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1002"/>
              <w:ind w:firstLine="480"/>
              <w:jc w:val="center"/>
              <w:rPr>
                <w:sz w:val="24"/>
              </w:rPr>
            </w:pPr>
            <w:r>
              <w:rPr>
                <w:rFonts w:hint="eastAsia"/>
                <w:sz w:val="24"/>
              </w:rPr>
              <w:t xml:space="preserve">/</w:t>
            </w:r>
            <w:r>
              <w:rPr>
                <w:sz w:val="24"/>
              </w:rPr>
            </w:r>
            <w:r/>
          </w:p>
        </w:tc>
        <w:tc>
          <w:tcPr>
            <w:tcW w:w="1638" w:type="dxa"/>
            <w:vAlign w:val="center"/>
            <w:textDirection w:val="lrTb"/>
            <w:noWrap w:val="false"/>
          </w:tcPr>
          <w:p>
            <w:pPr>
              <w:pStyle w:val="1002"/>
              <w:jc w:val="left"/>
              <w:tabs>
                <w:tab w:val="left" w:pos="1080" w:leader="none"/>
              </w:tabs>
              <w:rPr>
                <w:rFonts w:hint="eastAsia"/>
                <w:sz w:val="24"/>
              </w:rPr>
            </w:pPr>
            <w:r>
              <w:rPr>
                <w:rFonts w:hint="eastAsia"/>
                <w:sz w:val="24"/>
              </w:rPr>
            </w:r>
            <w:r/>
          </w:p>
        </w:tc>
      </w:tr>
    </w:tbl>
    <w:p>
      <w:pPr>
        <w:pStyle w:val="1002"/>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51779"/>
      <w:r/>
      <w:bookmarkStart w:id="711" w:name="_Toc226965858"/>
      <w:r/>
      <w:bookmarkStart w:id="712" w:name="_Toc353873940"/>
      <w:r/>
      <w:bookmarkStart w:id="713" w:name="_Toc127161490"/>
      <w:r/>
      <w:bookmarkStart w:id="714" w:name="_Toc353825550"/>
      <w:r>
        <w:rPr>
          <w:sz w:val="24"/>
        </w:rPr>
        <w:br w:type="page" w:clear="all"/>
      </w:r>
      <w:r>
        <w:rPr>
          <w:sz w:val="24"/>
        </w:rPr>
      </w:r>
      <w:r/>
    </w:p>
    <w:p>
      <w:pPr>
        <w:pStyle w:val="1002"/>
        <w:jc w:val="center"/>
        <w:spacing w:line="360" w:lineRule="auto"/>
        <w:rPr>
          <w:b/>
          <w:sz w:val="36"/>
          <w:szCs w:val="36"/>
        </w:rPr>
        <w:outlineLvl w:val="0"/>
      </w:pPr>
      <w:r/>
      <w:bookmarkStart w:id="715" w:name="_Toc5240"/>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100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2"/>
        <w:numPr>
          <w:ilvl w:val="0"/>
          <w:numId w:val="14"/>
        </w:numPr>
        <w:spacing w:line="360" w:lineRule="auto"/>
        <w:tabs>
          <w:tab w:val="left" w:pos="360" w:leader="none"/>
          <w:tab w:val="left" w:pos="900" w:leader="none"/>
        </w:tabs>
        <w:rPr>
          <w:sz w:val="24"/>
        </w:rPr>
        <w:outlineLvl w:val="1"/>
      </w:pPr>
      <w:r/>
      <w:bookmarkStart w:id="717" w:name="_Toc142311043"/>
      <w:r/>
      <w:bookmarkStart w:id="718" w:name="_Toc127151742"/>
      <w:r/>
      <w:bookmarkStart w:id="719" w:name="_Toc305158809"/>
      <w:r/>
      <w:bookmarkStart w:id="720" w:name="_Toc226337237"/>
      <w:r/>
      <w:bookmarkStart w:id="721" w:name="_Toc151193639"/>
      <w:r/>
      <w:bookmarkStart w:id="722" w:name="_Toc151190168"/>
      <w:r/>
      <w:bookmarkStart w:id="723" w:name="_Toc149720834"/>
      <w:r/>
      <w:bookmarkStart w:id="724" w:name="_Toc164608810"/>
      <w:r/>
      <w:bookmarkStart w:id="725" w:name="_Toc151193711"/>
      <w:r/>
      <w:bookmarkStart w:id="726" w:name="_Toc151193929"/>
      <w:r/>
      <w:bookmarkStart w:id="727" w:name="_Toc150774746"/>
      <w:r/>
      <w:bookmarkStart w:id="728" w:name="_Toc164351635"/>
      <w:r/>
      <w:bookmarkStart w:id="729" w:name="_Toc127161455"/>
      <w:r/>
      <w:bookmarkStart w:id="730" w:name="_Toc226965731"/>
      <w:r/>
      <w:bookmarkStart w:id="731" w:name="_Toc150774641"/>
      <w:r/>
      <w:bookmarkStart w:id="732" w:name="_Toc150509292"/>
      <w:r/>
      <w:bookmarkStart w:id="733" w:name="_Toc164229236"/>
      <w:r/>
      <w:bookmarkStart w:id="734" w:name="_Toc265228379"/>
      <w:r/>
      <w:bookmarkStart w:id="735" w:name="_Toc264969231"/>
      <w:r/>
      <w:bookmarkStart w:id="736" w:name="_Toc164608655"/>
      <w:r/>
      <w:bookmarkStart w:id="737" w:name="_Toc127151541"/>
      <w:r/>
      <w:bookmarkStart w:id="738" w:name="_Toc226965814"/>
      <w:r/>
      <w:bookmarkStart w:id="739" w:name="_Toc150480779"/>
      <w:r/>
      <w:bookmarkStart w:id="740" w:name="_Toc195842906"/>
      <w:r/>
      <w:bookmarkStart w:id="741" w:name="_Toc151193783"/>
      <w:r/>
      <w:bookmarkStart w:id="742" w:name="_Toc226309785"/>
      <w:r/>
      <w:bookmarkStart w:id="743" w:name="_Toc164229382"/>
      <w:r/>
      <w:bookmarkStart w:id="744" w:name="_Toc151193855"/>
      <w:r/>
      <w:bookmarkStart w:id="745" w:name="_Toc305158883"/>
      <w:r/>
      <w:bookmarkStart w:id="746" w:name="_Toc353873941"/>
      <w:r/>
      <w:bookmarkStart w:id="747" w:name="_Toc353825551"/>
      <w:r/>
      <w:bookmarkStart w:id="748" w:name="_Toc305158823"/>
      <w:r/>
      <w:bookmarkStart w:id="749" w:name="_Toc142311057"/>
      <w:r/>
      <w:bookmarkStart w:id="750" w:name="_Toc226337251"/>
      <w:r/>
      <w:bookmarkStart w:id="751" w:name="_Toc127151555"/>
      <w:r/>
      <w:bookmarkStart w:id="752" w:name="_Toc305158897"/>
      <w:r/>
      <w:bookmarkStart w:id="753" w:name="_Toc353873665"/>
      <w:r/>
      <w:bookmarkStart w:id="754" w:name="_Toc353873935"/>
      <w:r/>
      <w:bookmarkStart w:id="755" w:name="_Toc265228393"/>
      <w:r/>
      <w:bookmarkStart w:id="756" w:name="_Toc353825545"/>
      <w:r/>
      <w:bookmarkStart w:id="757" w:name="_Toc264969245"/>
      <w:r/>
      <w:bookmarkStart w:id="758" w:name="_Toc226965828"/>
      <w:r/>
      <w:bookmarkStart w:id="759" w:name="_Toc195842920"/>
      <w:r/>
      <w:bookmarkStart w:id="760" w:name="_Toc150774760"/>
      <w:r/>
      <w:bookmarkStart w:id="761" w:name="_Toc150480793"/>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2"/>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2"/>
              <w:jc w:val="center"/>
              <w:widowControl/>
              <w:rPr>
                <w:b/>
                <w:sz w:val="24"/>
              </w:rPr>
            </w:pPr>
            <w:r>
              <w:rPr>
                <w:b/>
                <w:sz w:val="24"/>
              </w:rPr>
              <w:t xml:space="preserve">序号</w:t>
            </w:r>
            <w:r>
              <w:rPr>
                <w:b/>
                <w:sz w:val="24"/>
              </w:rPr>
            </w:r>
            <w:r/>
          </w:p>
        </w:tc>
        <w:tc>
          <w:tcPr>
            <w:tcW w:w="1813" w:type="dxa"/>
            <w:vAlign w:val="center"/>
            <w:textDirection w:val="lrTb"/>
            <w:noWrap w:val="false"/>
          </w:tcPr>
          <w:p>
            <w:pPr>
              <w:pStyle w:val="1002"/>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1002"/>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1002"/>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002"/>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2</w:t>
            </w:r>
            <w:r>
              <w:rPr>
                <w:sz w:val="24"/>
              </w:rPr>
            </w:r>
            <w:r/>
          </w:p>
        </w:tc>
        <w:tc>
          <w:tcPr>
            <w:tcW w:w="1813" w:type="dxa"/>
            <w:vAlign w:val="center"/>
            <w:textDirection w:val="lrTb"/>
            <w:noWrap w:val="false"/>
          </w:tcPr>
          <w:p>
            <w:pPr>
              <w:pStyle w:val="1002"/>
              <w:jc w:val="left"/>
              <w:widowControl/>
              <w:rPr>
                <w:sz w:val="24"/>
              </w:rPr>
            </w:pPr>
            <w:r>
              <w:rPr>
                <w:sz w:val="24"/>
              </w:rPr>
              <w:t xml:space="preserve">投标完整性</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3</w:t>
            </w:r>
            <w:r>
              <w:rPr>
                <w:sz w:val="24"/>
              </w:rPr>
            </w:r>
            <w:r/>
          </w:p>
        </w:tc>
        <w:tc>
          <w:tcPr>
            <w:tcW w:w="1813" w:type="dxa"/>
            <w:vAlign w:val="center"/>
            <w:textDirection w:val="lrTb"/>
            <w:noWrap w:val="false"/>
          </w:tcPr>
          <w:p>
            <w:pPr>
              <w:pStyle w:val="1002"/>
              <w:jc w:val="left"/>
              <w:widowControl/>
              <w:rPr>
                <w:sz w:val="24"/>
              </w:rPr>
            </w:pPr>
            <w:r>
              <w:rPr>
                <w:sz w:val="24"/>
              </w:rPr>
              <w:t xml:space="preserve">投标报价</w:t>
            </w:r>
            <w:r>
              <w:rPr>
                <w:sz w:val="24"/>
              </w:rPr>
            </w:r>
            <w:r/>
          </w:p>
        </w:tc>
        <w:tc>
          <w:tcPr>
            <w:tcW w:w="6725" w:type="dxa"/>
            <w:vAlign w:val="center"/>
            <w:textDirection w:val="lrTb"/>
            <w:noWrap w:val="false"/>
          </w:tcPr>
          <w:p>
            <w:pPr>
              <w:pStyle w:val="1002"/>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4</w:t>
            </w:r>
            <w:r>
              <w:rPr>
                <w:sz w:val="24"/>
              </w:rPr>
            </w:r>
            <w:r/>
          </w:p>
        </w:tc>
        <w:tc>
          <w:tcPr>
            <w:tcW w:w="1813" w:type="dxa"/>
            <w:vAlign w:val="center"/>
            <w:textDirection w:val="lrTb"/>
            <w:noWrap w:val="false"/>
          </w:tcPr>
          <w:p>
            <w:pPr>
              <w:pStyle w:val="1002"/>
              <w:jc w:val="left"/>
              <w:widowControl/>
              <w:rPr>
                <w:sz w:val="24"/>
              </w:rPr>
            </w:pPr>
            <w:r>
              <w:rPr>
                <w:sz w:val="24"/>
              </w:rPr>
              <w:t xml:space="preserve">报价唯一性</w:t>
            </w:r>
            <w:r>
              <w:rPr>
                <w:sz w:val="24"/>
              </w:rPr>
            </w:r>
            <w:r/>
          </w:p>
        </w:tc>
        <w:tc>
          <w:tcPr>
            <w:tcW w:w="6725" w:type="dxa"/>
            <w:vAlign w:val="center"/>
            <w:textDirection w:val="lrTb"/>
            <w:noWrap w:val="false"/>
          </w:tcPr>
          <w:p>
            <w:pPr>
              <w:pStyle w:val="1002"/>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5</w:t>
            </w:r>
            <w:r>
              <w:rPr>
                <w:sz w:val="24"/>
              </w:rPr>
            </w:r>
            <w:r/>
          </w:p>
        </w:tc>
        <w:tc>
          <w:tcPr>
            <w:tcW w:w="1813" w:type="dxa"/>
            <w:vAlign w:val="center"/>
            <w:textDirection w:val="lrTb"/>
            <w:noWrap w:val="false"/>
          </w:tcPr>
          <w:p>
            <w:pPr>
              <w:pStyle w:val="1002"/>
              <w:jc w:val="left"/>
              <w:widowControl/>
              <w:rPr>
                <w:sz w:val="24"/>
              </w:rPr>
            </w:pPr>
            <w:r>
              <w:rPr>
                <w:sz w:val="24"/>
              </w:rPr>
              <w:t xml:space="preserve">投标有效期</w:t>
            </w:r>
            <w:r>
              <w:rPr>
                <w:sz w:val="24"/>
              </w:rPr>
            </w:r>
            <w:r/>
          </w:p>
        </w:tc>
        <w:tc>
          <w:tcPr>
            <w:tcW w:w="6725" w:type="dxa"/>
            <w:vAlign w:val="center"/>
            <w:textDirection w:val="lrTb"/>
            <w:noWrap w:val="false"/>
          </w:tcPr>
          <w:p>
            <w:pPr>
              <w:pStyle w:val="1002"/>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1002"/>
              <w:jc w:val="center"/>
              <w:widowControl/>
              <w:rPr>
                <w:sz w:val="24"/>
              </w:rPr>
            </w:pPr>
            <w:r>
              <w:rPr>
                <w:sz w:val="24"/>
              </w:rPr>
              <w:t xml:space="preserve">6</w:t>
            </w:r>
            <w:r>
              <w:rPr>
                <w:sz w:val="24"/>
              </w:rPr>
            </w:r>
            <w:r/>
          </w:p>
        </w:tc>
        <w:tc>
          <w:tcPr>
            <w:tcW w:w="1813" w:type="dxa"/>
            <w:vAlign w:val="center"/>
            <w:textDirection w:val="lrTb"/>
            <w:noWrap w:val="false"/>
          </w:tcPr>
          <w:p>
            <w:pPr>
              <w:pStyle w:val="1002"/>
              <w:jc w:val="left"/>
              <w:widowControl/>
              <w:rPr>
                <w:sz w:val="24"/>
              </w:rPr>
            </w:pPr>
            <w:r>
              <w:rPr>
                <w:sz w:val="24"/>
              </w:rPr>
              <w:t xml:space="preserve">签署、加盖公章</w:t>
            </w:r>
            <w:r>
              <w:rPr>
                <w:sz w:val="24"/>
              </w:rPr>
            </w:r>
            <w:r/>
          </w:p>
        </w:tc>
        <w:tc>
          <w:tcPr>
            <w:tcW w:w="6725" w:type="dxa"/>
            <w:vAlign w:val="center"/>
            <w:textDirection w:val="lrTb"/>
            <w:noWrap w:val="false"/>
          </w:tcPr>
          <w:p>
            <w:pPr>
              <w:pStyle w:val="1002"/>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8</w:t>
            </w:r>
            <w:r>
              <w:rPr>
                <w:sz w:val="24"/>
              </w:rPr>
            </w:r>
            <w:r/>
          </w:p>
        </w:tc>
        <w:tc>
          <w:tcPr>
            <w:tcW w:w="1813" w:type="dxa"/>
            <w:vAlign w:val="center"/>
            <w:textDirection w:val="lrTb"/>
            <w:noWrap w:val="false"/>
          </w:tcPr>
          <w:p>
            <w:pPr>
              <w:pStyle w:val="100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1002"/>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9</w:t>
            </w:r>
            <w:r>
              <w:rPr>
                <w:sz w:val="24"/>
              </w:rPr>
            </w:r>
            <w:r/>
          </w:p>
        </w:tc>
        <w:tc>
          <w:tcPr>
            <w:tcW w:w="1813" w:type="dxa"/>
            <w:vAlign w:val="center"/>
            <w:textDirection w:val="lrTb"/>
            <w:noWrap w:val="false"/>
          </w:tcPr>
          <w:p>
            <w:pPr>
              <w:pStyle w:val="1002"/>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1002"/>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10</w:t>
            </w:r>
            <w:r>
              <w:rPr>
                <w:sz w:val="24"/>
              </w:rPr>
            </w:r>
            <w:r/>
          </w:p>
        </w:tc>
        <w:tc>
          <w:tcPr>
            <w:tcW w:w="1813" w:type="dxa"/>
            <w:vAlign w:val="center"/>
            <w:textDirection w:val="lrTb"/>
            <w:noWrap w:val="false"/>
          </w:tcPr>
          <w:p>
            <w:pPr>
              <w:pStyle w:val="1002"/>
              <w:jc w:val="left"/>
              <w:widowControl/>
              <w:rPr>
                <w:sz w:val="24"/>
              </w:rPr>
            </w:pPr>
            <w:r>
              <w:rPr>
                <w:sz w:val="24"/>
              </w:rPr>
              <w:t xml:space="preserve">分包意向协议</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11</w:t>
            </w:r>
            <w:r>
              <w:rPr>
                <w:sz w:val="24"/>
              </w:rPr>
            </w:r>
            <w:r/>
          </w:p>
        </w:tc>
        <w:tc>
          <w:tcPr>
            <w:tcW w:w="1813" w:type="dxa"/>
            <w:vAlign w:val="center"/>
            <w:textDirection w:val="lrTb"/>
            <w:noWrap w:val="false"/>
          </w:tcPr>
          <w:p>
            <w:pPr>
              <w:pStyle w:val="1002"/>
              <w:jc w:val="left"/>
              <w:widowControl/>
              <w:rPr>
                <w:sz w:val="24"/>
              </w:rPr>
            </w:pPr>
            <w:r>
              <w:rPr>
                <w:sz w:val="24"/>
              </w:rPr>
              <w:t xml:space="preserve">报价的修正（如有）</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12</w:t>
            </w:r>
            <w:r>
              <w:rPr>
                <w:sz w:val="24"/>
              </w:rPr>
            </w:r>
            <w:r/>
          </w:p>
        </w:tc>
        <w:tc>
          <w:tcPr>
            <w:tcW w:w="1813" w:type="dxa"/>
            <w:vAlign w:val="center"/>
            <w:textDirection w:val="lrTb"/>
            <w:noWrap w:val="false"/>
          </w:tcPr>
          <w:p>
            <w:pPr>
              <w:pStyle w:val="1002"/>
              <w:jc w:val="left"/>
              <w:widowControl/>
              <w:rPr>
                <w:sz w:val="24"/>
              </w:rPr>
            </w:pPr>
            <w:r>
              <w:rPr>
                <w:sz w:val="24"/>
              </w:rPr>
              <w:t xml:space="preserve">报价合理性</w:t>
            </w:r>
            <w:r>
              <w:rPr>
                <w:sz w:val="24"/>
              </w:rPr>
            </w:r>
            <w:r/>
          </w:p>
        </w:tc>
        <w:tc>
          <w:tcPr>
            <w:tcW w:w="6725" w:type="dxa"/>
            <w:vAlign w:val="center"/>
            <w:textDirection w:val="lrTb"/>
            <w:noWrap w:val="false"/>
          </w:tcPr>
          <w:p>
            <w:pPr>
              <w:pStyle w:val="1002"/>
              <w:jc w:val="left"/>
              <w:widowControl/>
              <w:rPr>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13</w:t>
            </w:r>
            <w:r>
              <w:rPr>
                <w:sz w:val="24"/>
              </w:rPr>
            </w:r>
            <w:r/>
          </w:p>
        </w:tc>
        <w:tc>
          <w:tcPr>
            <w:tcW w:w="1813" w:type="dxa"/>
            <w:vAlign w:val="center"/>
            <w:textDirection w:val="lrTb"/>
            <w:noWrap w:val="false"/>
          </w:tcPr>
          <w:p>
            <w:pPr>
              <w:pStyle w:val="1002"/>
              <w:jc w:val="left"/>
              <w:widowControl/>
              <w:rPr>
                <w:sz w:val="24"/>
              </w:rPr>
            </w:pPr>
            <w:r>
              <w:rPr>
                <w:sz w:val="24"/>
              </w:rPr>
              <w:t xml:space="preserve">进口产品</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14</w:t>
            </w:r>
            <w:r>
              <w:rPr>
                <w:sz w:val="24"/>
              </w:rPr>
            </w:r>
            <w:r/>
          </w:p>
        </w:tc>
        <w:tc>
          <w:tcPr>
            <w:tcW w:w="1813" w:type="dxa"/>
            <w:vAlign w:val="center"/>
            <w:textDirection w:val="lrTb"/>
            <w:noWrap w:val="false"/>
          </w:tcPr>
          <w:p>
            <w:pPr>
              <w:pStyle w:val="1002"/>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1002"/>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02"/>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002"/>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15</w:t>
            </w:r>
            <w:r>
              <w:rPr>
                <w:sz w:val="24"/>
              </w:rPr>
            </w:r>
            <w:r/>
          </w:p>
        </w:tc>
        <w:tc>
          <w:tcPr>
            <w:tcW w:w="1813" w:type="dxa"/>
            <w:vAlign w:val="center"/>
            <w:textDirection w:val="lrTb"/>
            <w:noWrap w:val="false"/>
          </w:tcPr>
          <w:p>
            <w:pPr>
              <w:pStyle w:val="1002"/>
              <w:jc w:val="left"/>
              <w:widowControl/>
              <w:rPr>
                <w:sz w:val="24"/>
              </w:rPr>
            </w:pPr>
            <w:r>
              <w:rPr>
                <w:sz w:val="24"/>
              </w:rPr>
              <w:t xml:space="preserve">公平竞争</w:t>
            </w:r>
            <w:r>
              <w:rPr>
                <w:sz w:val="24"/>
              </w:rPr>
            </w:r>
            <w:r/>
          </w:p>
        </w:tc>
        <w:tc>
          <w:tcPr>
            <w:tcW w:w="6725" w:type="dxa"/>
            <w:vAlign w:val="center"/>
            <w:textDirection w:val="lrTb"/>
            <w:noWrap w:val="false"/>
          </w:tcPr>
          <w:p>
            <w:pPr>
              <w:pStyle w:val="1002"/>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16</w:t>
            </w:r>
            <w:r>
              <w:rPr>
                <w:sz w:val="24"/>
              </w:rPr>
            </w:r>
            <w:r/>
          </w:p>
        </w:tc>
        <w:tc>
          <w:tcPr>
            <w:tcW w:w="1813" w:type="dxa"/>
            <w:vAlign w:val="center"/>
            <w:textDirection w:val="lrTb"/>
            <w:noWrap w:val="false"/>
          </w:tcPr>
          <w:p>
            <w:pPr>
              <w:pStyle w:val="1002"/>
              <w:jc w:val="left"/>
              <w:widowControl/>
              <w:rPr>
                <w:sz w:val="24"/>
              </w:rPr>
            </w:pPr>
            <w:r>
              <w:rPr>
                <w:sz w:val="24"/>
              </w:rPr>
              <w:t xml:space="preserve">串通投标</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17</w:t>
            </w:r>
            <w:r>
              <w:rPr>
                <w:sz w:val="24"/>
              </w:rPr>
            </w:r>
            <w:r/>
          </w:p>
        </w:tc>
        <w:tc>
          <w:tcPr>
            <w:tcW w:w="1813" w:type="dxa"/>
            <w:vAlign w:val="center"/>
            <w:textDirection w:val="lrTb"/>
            <w:noWrap w:val="false"/>
          </w:tcPr>
          <w:p>
            <w:pPr>
              <w:pStyle w:val="1002"/>
              <w:jc w:val="left"/>
              <w:widowControl/>
              <w:rPr>
                <w:sz w:val="24"/>
              </w:rPr>
            </w:pPr>
            <w:r>
              <w:rPr>
                <w:sz w:val="24"/>
              </w:rPr>
              <w:t xml:space="preserve">附加条件</w:t>
            </w:r>
            <w:r>
              <w:rPr>
                <w:sz w:val="24"/>
              </w:rPr>
            </w:r>
            <w:r/>
          </w:p>
        </w:tc>
        <w:tc>
          <w:tcPr>
            <w:tcW w:w="6725" w:type="dxa"/>
            <w:vAlign w:val="center"/>
            <w:textDirection w:val="lrTb"/>
            <w:noWrap w:val="false"/>
          </w:tcPr>
          <w:p>
            <w:pPr>
              <w:pStyle w:val="1002"/>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1002"/>
              <w:jc w:val="left"/>
              <w:widowControl/>
              <w:rPr>
                <w:sz w:val="24"/>
              </w:rPr>
            </w:pPr>
            <w:r>
              <w:rPr>
                <w:sz w:val="24"/>
              </w:rPr>
              <w:t xml:space="preserve">其他无效情形</w:t>
            </w:r>
            <w:r>
              <w:rPr>
                <w:sz w:val="24"/>
              </w:rPr>
            </w:r>
            <w:r/>
          </w:p>
        </w:tc>
        <w:tc>
          <w:tcPr>
            <w:tcW w:w="6725" w:type="dxa"/>
            <w:vAlign w:val="center"/>
            <w:textDirection w:val="lrTb"/>
            <w:noWrap w:val="false"/>
          </w:tcPr>
          <w:p>
            <w:pPr>
              <w:pStyle w:val="1002"/>
              <w:jc w:val="left"/>
              <w:widowControl/>
              <w:rPr>
                <w:sz w:val="24"/>
              </w:rPr>
            </w:pPr>
            <w:r>
              <w:rPr>
                <w:sz w:val="24"/>
              </w:rPr>
              <w:t xml:space="preserve">投标人、投标文件</w:t>
            </w:r>
            <w:r>
              <w:rPr>
                <w:rFonts w:hint="eastAsia"/>
                <w:sz w:val="24"/>
              </w:rPr>
              <w:t xml:space="preserve">不存在</w:t>
            </w:r>
            <w:r>
              <w:rPr>
                <w:sz w:val="24"/>
              </w:rPr>
              <w:t xml:space="preserve">不符合</w:t>
            </w:r>
            <w:r>
              <w:rPr>
                <w:rFonts w:hint="eastAsia"/>
                <w:sz w:val="24"/>
              </w:rPr>
              <w:t xml:space="preserve">法律法规</w:t>
            </w:r>
            <w:r>
              <w:rPr>
                <w:sz w:val="24"/>
              </w:rPr>
              <w:t xml:space="preserve">和招标文件规定的其他无效情形。</w:t>
            </w:r>
            <w:r>
              <w:rPr>
                <w:rFonts w:hint="eastAsia"/>
                <w:sz w:val="24"/>
              </w:rPr>
              <w:t xml:space="preserve">（由评标小组审查，无需供应商提供材料）</w:t>
            </w:r>
            <w:r>
              <w:rPr>
                <w:sz w:val="24"/>
              </w:rPr>
            </w:r>
            <w:r/>
          </w:p>
        </w:tc>
      </w:tr>
    </w:tbl>
    <w:p>
      <w:pPr>
        <w:pStyle w:val="1086"/>
        <w:rPr>
          <w:color w:val="000000"/>
        </w:rPr>
      </w:pPr>
      <w:r>
        <w:rPr>
          <w:color w:val="000000"/>
        </w:rPr>
      </w:r>
      <w:r/>
    </w:p>
    <w:p>
      <w:pPr>
        <w:pStyle w:val="1002"/>
        <w:numPr>
          <w:ilvl w:val="0"/>
          <w:numId w:val="14"/>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2"/>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02"/>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1002"/>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1002"/>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1002"/>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02"/>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1002"/>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15</w:t>
      </w:r>
      <w:r>
        <w:rPr>
          <w:sz w:val="24"/>
        </w:rPr>
        <w:t xml:space="preserve">%的扣除，用扣除后的价格参加评审。</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2"/>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2"/>
        <w:numPr>
          <w:ilvl w:val="2"/>
          <w:numId w:val="0"/>
        </w:numPr>
        <w:ind w:firstLine="482"/>
        <w:spacing w:line="360" w:lineRule="auto"/>
        <w:tabs>
          <w:tab w:val="left" w:pos="1080" w:leader="none"/>
          <w:tab w:val="left" w:pos="1589" w:leader="none"/>
          <w:tab w:val="left" w:pos="2035" w:leader="none"/>
        </w:tabs>
        <w:rPr>
          <w:sz w:val="24"/>
          <w:u w:val="single"/>
        </w:rPr>
      </w:pPr>
      <w:r>
        <w:rPr>
          <w:rFonts w:hint="eastAsia"/>
          <w:b/>
          <w:bCs/>
          <w:sz w:val="24"/>
          <w:u w:val="single"/>
        </w:rPr>
        <w:t xml:space="preserve">2.6   采购本国产品的支持政策</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2.6.1本项目政府采购活动中既有本国产品又有非本国产品参与竞争的，依法对本国产品给予价格评审优惠，对本国产品的报价给予20%的价格扣除，用扣除后的价格参与评审。</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2.6.2 当采购项目或者采购包中含有多种产品，</w:t>
      </w:r>
      <w:r>
        <w:rPr>
          <w:sz w:val="24"/>
          <w:u w:val="single"/>
        </w:rPr>
        <w:t xml:space="preserve">投标人</w:t>
      </w:r>
      <w:r>
        <w:rPr>
          <w:rFonts w:hint="eastAsia"/>
          <w:sz w:val="24"/>
          <w:u w:val="single"/>
        </w:rPr>
        <w:t xml:space="preserve">为该采购项目或者采购包提供的符合本国产品标准的产品成本之和占该供应商提供的全部产品成本之和的比例达到80%以上时（</w:t>
      </w:r>
      <w:r>
        <w:rPr>
          <w:b/>
          <w:bCs/>
          <w:sz w:val="24"/>
          <w:u w:val="single"/>
        </w:rPr>
        <w:t xml:space="preserve">投标人</w:t>
      </w:r>
      <w:r>
        <w:rPr>
          <w:rFonts w:hint="eastAsia"/>
          <w:b/>
          <w:bCs/>
          <w:sz w:val="24"/>
          <w:u w:val="single"/>
        </w:rPr>
        <w:t xml:space="preserve">需在“投标文件格式”的“投标分项报价表”中填写比例数值）</w:t>
      </w:r>
      <w:r>
        <w:rPr>
          <w:rFonts w:hint="eastAsia"/>
          <w:sz w:val="24"/>
          <w:u w:val="single"/>
        </w:rPr>
        <w:t xml:space="preserve">，依法对该</w:t>
      </w:r>
      <w:r>
        <w:rPr>
          <w:sz w:val="24"/>
          <w:u w:val="single"/>
        </w:rPr>
        <w:t xml:space="preserve">投标人</w:t>
      </w:r>
      <w:r>
        <w:rPr>
          <w:rFonts w:hint="eastAsia"/>
          <w:sz w:val="24"/>
          <w:u w:val="single"/>
        </w:rPr>
        <w:t xml:space="preserve">提供的全部产品给予价格评审优惠，即对该</w:t>
      </w:r>
      <w:r>
        <w:rPr>
          <w:sz w:val="24"/>
          <w:u w:val="single"/>
        </w:rPr>
        <w:t xml:space="preserve">投标人</w:t>
      </w:r>
      <w:r>
        <w:rPr>
          <w:rFonts w:hint="eastAsia"/>
          <w:sz w:val="24"/>
          <w:u w:val="single"/>
        </w:rPr>
        <w:t xml:space="preserve">提供的全部产品的总报价给予20%的价格扣除，用扣除后的价格参与评审。</w:t>
      </w:r>
      <w:r>
        <w:rPr>
          <w:sz w:val="24"/>
          <w:u w:val="single"/>
        </w:rPr>
        <w:t xml:space="preserve">投标人</w:t>
      </w:r>
      <w:r>
        <w:rPr>
          <w:rFonts w:hint="eastAsia"/>
          <w:sz w:val="24"/>
          <w:u w:val="single"/>
        </w:rPr>
        <w:t xml:space="preserve">未填写比例数值，或比例数值未达到80%的，将不享受本国产品价格评审优惠。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2.6.3 </w:t>
      </w:r>
      <w:r>
        <w:rPr>
          <w:sz w:val="24"/>
          <w:u w:val="single"/>
        </w:rPr>
        <w:t xml:space="preserve">投标人</w:t>
      </w:r>
      <w:r>
        <w:rPr>
          <w:rFonts w:hint="eastAsia"/>
          <w:sz w:val="24"/>
          <w:u w:val="single"/>
        </w:rPr>
        <w:t xml:space="preserve">需按照招标文件的要求提供《关于符合本国产品标准的声明函》（以下简称《声明函》），如不提供将不享受本国产品价格评审优惠。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2.6.4 </w:t>
      </w:r>
      <w:r>
        <w:rPr>
          <w:sz w:val="24"/>
          <w:u w:val="single"/>
        </w:rPr>
        <w:t xml:space="preserve">投标人</w:t>
      </w:r>
      <w:r>
        <w:rPr>
          <w:rFonts w:hint="eastAsia"/>
          <w:sz w:val="24"/>
          <w:u w:val="single"/>
        </w:rPr>
        <w:t xml:space="preserve">需在《声明函》中逐一、</w:t>
      </w:r>
      <w:r>
        <w:rPr>
          <w:sz w:val="24"/>
          <w:u w:val="single"/>
        </w:rPr>
        <w:t xml:space="preserve">准确</w:t>
      </w:r>
      <w:r>
        <w:rPr>
          <w:rFonts w:hint="eastAsia"/>
          <w:sz w:val="24"/>
          <w:u w:val="single"/>
        </w:rPr>
        <w:t xml:space="preserve">填写产品名称、厂名、生产厂址三项信息（《声明函》中用删除线划除的地方无需填写），三</w:t>
      </w:r>
      <w:r>
        <w:rPr>
          <w:sz w:val="24"/>
          <w:u w:val="single"/>
        </w:rPr>
        <w:t xml:space="preserve">项信息中</w:t>
      </w:r>
      <w:r>
        <w:rPr>
          <w:rFonts w:hint="eastAsia"/>
          <w:sz w:val="24"/>
          <w:u w:val="single"/>
        </w:rPr>
        <w:t xml:space="preserve">任意一项未填写的视为该项产品不符合本国产品标准，不享受本国产品价格评审优惠。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2.6.5 评标过程中，如发现供应商在《声明函》内容</w:t>
      </w:r>
      <w:r>
        <w:rPr>
          <w:sz w:val="24"/>
          <w:u w:val="single"/>
        </w:rPr>
        <w:t xml:space="preserve">含义不明确、同类事项与投</w:t>
      </w:r>
      <w:r>
        <w:rPr>
          <w:rFonts w:hint="eastAsia"/>
          <w:sz w:val="24"/>
          <w:u w:val="single"/>
        </w:rPr>
        <w:t xml:space="preserve">标</w:t>
      </w:r>
      <w:r>
        <w:rPr>
          <w:sz w:val="24"/>
          <w:u w:val="single"/>
        </w:rPr>
        <w:t xml:space="preserve">（</w:t>
      </w:r>
      <w:r>
        <w:rPr>
          <w:rFonts w:hint="eastAsia"/>
          <w:sz w:val="24"/>
          <w:u w:val="single"/>
        </w:rPr>
        <w:t xml:space="preserve">响应</w:t>
      </w:r>
      <w:r>
        <w:rPr>
          <w:sz w:val="24"/>
          <w:u w:val="single"/>
        </w:rPr>
        <w:t xml:space="preserve">）</w:t>
      </w:r>
      <w:r>
        <w:rPr>
          <w:rFonts w:hint="eastAsia"/>
          <w:sz w:val="24"/>
          <w:u w:val="single"/>
        </w:rPr>
        <w:t xml:space="preserve">文件</w:t>
      </w:r>
      <w:r>
        <w:rPr>
          <w:sz w:val="24"/>
          <w:u w:val="single"/>
        </w:rPr>
        <w:t xml:space="preserve">表述不一致或者有</w:t>
      </w:r>
      <w:r>
        <w:rPr>
          <w:rFonts w:hint="eastAsia"/>
          <w:sz w:val="24"/>
          <w:u w:val="single"/>
        </w:rPr>
        <w:t xml:space="preserve">明显</w:t>
      </w:r>
      <w:r>
        <w:rPr>
          <w:sz w:val="24"/>
          <w:u w:val="single"/>
        </w:rPr>
        <w:t xml:space="preserve">文字错误等情况的</w:t>
      </w:r>
      <w:r>
        <w:rPr>
          <w:rFonts w:hint="eastAsia"/>
          <w:sz w:val="24"/>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u w:val="single"/>
        </w:rPr>
      </w:r>
      <w:r/>
    </w:p>
    <w:p>
      <w:pPr>
        <w:pStyle w:val="1002"/>
        <w:numPr>
          <w:ilvl w:val="2"/>
          <w:numId w:val="0"/>
        </w:numPr>
        <w:ind w:left="2097" w:hanging="1039"/>
        <w:spacing w:line="360" w:lineRule="auto"/>
        <w:tabs>
          <w:tab w:val="left" w:pos="1080" w:leader="none"/>
          <w:tab w:val="left" w:pos="1589" w:leader="none"/>
          <w:tab w:val="left" w:pos="2035" w:leader="none"/>
        </w:tabs>
        <w:rPr>
          <w:sz w:val="24"/>
          <w:u w:val="single"/>
        </w:rPr>
      </w:pPr>
      <w:r>
        <w:rPr>
          <w:rFonts w:hint="eastAsia"/>
          <w:sz w:val="24"/>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u w:val="single"/>
        </w:rPr>
      </w:r>
      <w:r/>
    </w:p>
    <w:p>
      <w:pPr>
        <w:pStyle w:val="1002"/>
        <w:ind w:left="2097" w:hanging="1039"/>
        <w:spacing w:line="360" w:lineRule="auto"/>
        <w:tabs>
          <w:tab w:val="left" w:pos="1080" w:leader="none"/>
          <w:tab w:val="left" w:pos="1589" w:leader="none"/>
          <w:tab w:val="left" w:pos="2014" w:leader="none"/>
        </w:tabs>
        <w:rPr>
          <w:sz w:val="24"/>
          <w:u w:val="single"/>
        </w:rPr>
      </w:pPr>
      <w:r>
        <w:rPr>
          <w:rFonts w:hint="eastAsia"/>
          <w:sz w:val="24"/>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u w:val="single"/>
        </w:rPr>
      </w:r>
      <w:r/>
    </w:p>
    <w:p>
      <w:pPr>
        <w:pStyle w:val="1002"/>
        <w:numPr>
          <w:ilvl w:val="0"/>
          <w:numId w:val="14"/>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2"/>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2"/>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2"/>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rPr>
          <w:sz w:val="24"/>
        </w:rPr>
      </w:r>
      <w:r/>
    </w:p>
    <w:p>
      <w:pPr>
        <w:pStyle w:val="1002"/>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1002"/>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1002"/>
        <w:numPr>
          <w:ilvl w:val="0"/>
          <w:numId w:val="14"/>
        </w:numPr>
        <w:spacing w:line="360" w:lineRule="auto"/>
        <w:tabs>
          <w:tab w:val="left" w:pos="360" w:leader="none"/>
          <w:tab w:val="left" w:pos="900" w:leader="none"/>
        </w:tabs>
        <w:rPr>
          <w:sz w:val="24"/>
        </w:rPr>
        <w:outlineLvl w:val="1"/>
      </w:pPr>
      <w:r>
        <w:rPr>
          <w:sz w:val="24"/>
        </w:rPr>
        <w:t xml:space="preserve">确定</w:t>
      </w:r>
      <w:bookmarkStart w:id="763" w:name="_Toc520356170"/>
      <w:r/>
      <w:bookmarkStart w:id="764" w:name="_Toc164608815"/>
      <w:r/>
      <w:bookmarkStart w:id="765" w:name="_Toc164351640"/>
      <w:r/>
      <w:bookmarkStart w:id="766" w:name="_Toc150774751"/>
      <w:r/>
      <w:bookmarkStart w:id="767" w:name="_Toc150480784"/>
      <w:r/>
      <w:bookmarkStart w:id="768" w:name="_Toc226309790"/>
      <w:r/>
      <w:bookmarkStart w:id="769" w:name="_Toc142311048"/>
      <w:r/>
      <w:bookmarkStart w:id="770" w:name="_Toc265228384"/>
      <w:r/>
      <w:bookmarkStart w:id="771" w:name="_Toc151193788"/>
      <w:r/>
      <w:bookmarkStart w:id="772" w:name="_Toc151193860"/>
      <w:r/>
      <w:bookmarkStart w:id="773" w:name="_Toc226337242"/>
      <w:r/>
      <w:bookmarkStart w:id="774" w:name="_Toc305158888"/>
      <w:r/>
      <w:bookmarkStart w:id="775" w:name="_Toc151193934"/>
      <w:r/>
      <w:bookmarkStart w:id="776" w:name="_Toc127161460"/>
      <w:r/>
      <w:bookmarkStart w:id="777" w:name="_Toc195842911"/>
      <w:r/>
      <w:bookmarkStart w:id="778" w:name="_Ref467307010"/>
      <w:r/>
      <w:bookmarkStart w:id="779" w:name="_Toc151193716"/>
      <w:r/>
      <w:bookmarkStart w:id="780" w:name="_Toc226965736"/>
      <w:r/>
      <w:bookmarkStart w:id="781" w:name="_Toc151190173"/>
      <w:r/>
      <w:bookmarkStart w:id="782" w:name="_Toc151193644"/>
      <w:r/>
      <w:bookmarkStart w:id="783" w:name="_Toc164608660"/>
      <w:r/>
      <w:bookmarkStart w:id="784" w:name="_Toc150509297"/>
      <w:r/>
      <w:bookmarkStart w:id="785" w:name="_Toc226965819"/>
      <w:r/>
      <w:bookmarkStart w:id="786" w:name="_Toc264969236"/>
      <w:r/>
      <w:bookmarkStart w:id="787" w:name="_Toc305158814"/>
      <w:r/>
      <w:bookmarkStart w:id="788" w:name="_Toc164229387"/>
      <w:r/>
      <w:bookmarkStart w:id="789" w:name="_Toc127151747"/>
      <w:r/>
      <w:bookmarkStart w:id="790" w:name="_Toc127151546"/>
      <w:r/>
      <w:bookmarkStart w:id="791" w:name="_Toc149720839"/>
      <w:r/>
      <w:bookmarkStart w:id="792" w:name="_Toc164229241"/>
      <w:r/>
      <w:bookmarkStart w:id="793" w:name="_Toc150774646"/>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采用最低评标价法时，评标结果按本章2.4、2.5</w:t>
      </w:r>
      <w:r>
        <w:rPr>
          <w:rFonts w:hint="eastAsia"/>
          <w:sz w:val="24"/>
        </w:rPr>
        <w:t xml:space="preserve">、2.6</w:t>
      </w:r>
      <w:r>
        <w:rPr>
          <w:sz w:val="24"/>
        </w:rPr>
        <w:t xml:space="preserve">调整后的投标报价由低到高顺序排列。投标报价相同的并列。投标文件满足招标文件全部实质性要求且投标报价最低的投标人为排名第一的中标候选人。</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不少于1</w:t>
      </w:r>
      <w:r>
        <w:rPr>
          <w:sz w:val="24"/>
        </w:rPr>
        <w:t xml:space="preserve">名中标候选人。</w:t>
      </w:r>
      <w:r>
        <w:rPr>
          <w:sz w:val="24"/>
        </w:rPr>
      </w:r>
      <w:r/>
    </w:p>
    <w:p>
      <w:pPr>
        <w:pStyle w:val="1002"/>
        <w:numPr>
          <w:ilvl w:val="0"/>
          <w:numId w:val="14"/>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02"/>
        <w:numPr>
          <w:ilvl w:val="1"/>
          <w:numId w:val="14"/>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002"/>
        <w:numPr>
          <w:ilvl w:val="0"/>
          <w:numId w:val="0"/>
        </w:numPr>
        <w:jc w:val="center"/>
        <w:widowControl/>
      </w:pPr>
      <w:r>
        <w:rPr>
          <w:b/>
          <w:sz w:val="24"/>
        </w:rPr>
        <w:br w:type="page" w:clear="all"/>
      </w:r>
      <w:r>
        <w:rPr>
          <w:rFonts w:hint="eastAsia"/>
          <w:sz w:val="21"/>
          <w:szCs w:val="24"/>
          <w:lang w:val="en-US" w:eastAsia="zh-CN" w:bidi="ar-SA"/>
        </w:rPr>
        <w:t xml:space="preserve">二、</w:t>
      </w:r>
      <w:r>
        <w:rPr>
          <w:b/>
          <w:sz w:val="24"/>
        </w:rPr>
        <w:t xml:space="preserve">评标标准</w:t>
      </w:r>
      <w:r>
        <w:rPr>
          <w:rFonts w:hint="eastAsia"/>
          <w:b/>
          <w:sz w:val="24"/>
        </w:rPr>
        <w:t xml:space="preserve">（分为包一、包二、包三）</w:t>
      </w:r>
      <w:r/>
    </w:p>
    <w:p>
      <w:pPr>
        <w:pStyle w:val="1002"/>
        <w:spacing w:line="360" w:lineRule="auto"/>
        <w:rPr>
          <w:rFonts w:hint="eastAsia" w:ascii="Times New Roman" w:hAnsi="Times New Roman" w:eastAsia="宋体" w:cs="Times New Roman"/>
          <w:b/>
          <w:sz w:val="36"/>
          <w:szCs w:val="36"/>
        </w:rPr>
        <w:outlineLvl w:val="0"/>
      </w:pPr>
      <w:r>
        <w:rPr>
          <w:rFonts w:hint="eastAsia" w:ascii="Times New Roman" w:hAnsi="Times New Roman" w:eastAsia="宋体" w:cs="Times New Roman"/>
          <w:b/>
          <w:sz w:val="36"/>
          <w:szCs w:val="36"/>
        </w:rPr>
        <w:t xml:space="preserve">包一：</w:t>
      </w:r>
      <w:r>
        <w:rPr>
          <w:rFonts w:hint="eastAsia" w:ascii="Times New Roman" w:hAnsi="Times New Roman" w:eastAsia="宋体" w:cs="Times New Roman"/>
          <w:b/>
          <w:sz w:val="36"/>
          <w:szCs w:val="36"/>
        </w:rPr>
      </w:r>
      <w:r/>
    </w:p>
    <w:tbl>
      <w:tblPr>
        <w:tblW w:w="86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52"/>
        <w:gridCol w:w="827"/>
        <w:gridCol w:w="4430"/>
        <w:gridCol w:w="1452"/>
      </w:tblGrid>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4430"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452" w:type="dxa"/>
            <w:vAlign w:val="center"/>
            <w:textDirection w:val="lrTb"/>
            <w:noWrap w:val="false"/>
          </w:tcPr>
          <w:p>
            <w:pPr>
              <w:pStyle w:val="100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rPr>
                <w:rFonts w:hint="eastAsia" w:ascii="宋体" w:hAnsi="宋体" w:eastAsia="宋体" w:cs="宋体"/>
                <w:b/>
                <w:sz w:val="24"/>
                <w:szCs w:val="24"/>
              </w:rPr>
            </w:r>
            <w:r/>
          </w:p>
        </w:tc>
      </w:tr>
      <w:tr>
        <w:trPr>
          <w:trHeight w:val="632"/>
        </w:trPr>
        <w:tc>
          <w:tcPr>
            <w:tcW w:w="746"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投标报价得分＝（评标基准价/投标报价）×分值。</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t xml:space="preserve">此处投标报价指经过报价修正，及因落实政府采购政策进行价格调整后的报价</w:t>
            </w:r>
            <w:r>
              <w:rPr>
                <w:rFonts w:hint="eastAsia" w:ascii="宋体" w:hAnsi="宋体" w:eastAsia="宋体" w:cs="宋体"/>
                <w:sz w:val="24"/>
                <w:szCs w:val="24"/>
              </w:rPr>
            </w:r>
            <w:r/>
          </w:p>
          <w:p>
            <w:pPr>
              <w:pStyle w:val="1002"/>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对于未预留份额专门面向中小企业采购的采购项目，以及预留份额项目中的非预留部分采购包，</w:t>
            </w:r>
            <w:r>
              <w:rPr>
                <w:rFonts w:hint="eastAsia" w:ascii="宋体" w:hAnsi="宋体" w:eastAsia="宋体" w:cs="宋体"/>
                <w:b/>
                <w:bCs/>
                <w:sz w:val="24"/>
                <w:szCs w:val="24"/>
              </w:rPr>
              <w:t xml:space="preserve">对</w:t>
            </w:r>
            <w:r>
              <w:rPr>
                <w:rFonts w:hint="eastAsia" w:ascii="宋体" w:hAnsi="宋体" w:eastAsia="宋体" w:cs="宋体"/>
                <w:b/>
                <w:bCs/>
                <w:sz w:val="24"/>
                <w:szCs w:val="24"/>
              </w:rPr>
              <w:t xml:space="preserve">小微企业报价给予15%的扣除，</w:t>
            </w:r>
            <w:r>
              <w:rPr>
                <w:rFonts w:hint="eastAsia" w:ascii="宋体" w:hAnsi="宋体" w:eastAsia="宋体" w:cs="宋体"/>
                <w:sz w:val="24"/>
                <w:szCs w:val="24"/>
              </w:rPr>
              <w:t xml:space="preserve">用扣除后的价格参加评审。</w:t>
            </w:r>
            <w:r>
              <w:rPr>
                <w:rFonts w:hint="eastAsia" w:ascii="宋体" w:hAnsi="宋体" w:eastAsia="宋体" w:cs="宋体"/>
                <w:sz w:val="24"/>
                <w:szCs w:val="24"/>
              </w:rPr>
            </w:r>
            <w:r/>
          </w:p>
        </w:tc>
      </w:tr>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150"/>
        </w:trPr>
        <w:tc>
          <w:tcPr>
            <w:tcW w:w="746" w:type="dxa"/>
            <w:vAlign w:val="center"/>
            <w:textDirection w:val="lrTb"/>
            <w:noWrap w:val="false"/>
          </w:tcPr>
          <w:p>
            <w:pPr>
              <w:pStyle w:val="1002"/>
              <w:jc w:val="left"/>
              <w:spacing w:line="24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运维服务方案</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根据投标人提供的本项目的运维服务方案：包括（1）运维目标、（2）日常维护、（3）定期巡检、（4）仪器故障解决方案、（5）运维规范性等方面进行打分：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1、5项内容完整且有延伸、扩展，针对本项目运维范围，可操作性强，贴合项目需求的，得10分；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2、5项内容完整，较前述要求存在细微优化空间的，得7分；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3、缺少1-2项或多项内容笼统简单、存在较多缺陷，与项目需求偏差较大的，得4分；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4、缺少3项以上或方案残缺不全、有严重缺陷的，得1分；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62"/>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质控服务方案</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根据投标人提供的本项目的质控服务方案：包括（1）质量保证措施、（2）质量控制方案、（3）质控工作流程等方面进行打分：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1、3项内容完整且有延伸、扩展，针对本项目运维范围，可操作性强，贴合项目需求的，得10分；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2、3项内容完整，较前述要求存在细微优化空间的，得7分；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3、缺少2项或多项内容笼统简单、存在较多缺陷，与项目需求偏差较大的，得4分；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实施保障方案</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根据投标人提供的本项目的实施保障方案：包括（1）项目管理制度、（2）实施进度流程、（3）备品备件管理、（4）人员培训、（5）设备交接等方面进行打分：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1、5项内容完整且有延伸、扩展，针对本项目运维范围，可操作性强，贴合项目需求的，得10分；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2、5项内容完整，较前述要求存在细微优化空间的，得7分；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3、缺少1-2项或多项内容笼统简单、存在较多缺陷，与项目需求偏差较大的，得4分；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4、缺少3项以上或方案残缺不全、有严重缺陷的，得1分；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66"/>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应急方案</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根据投标人提供的应急方案，包括（1）突发事件类型及风险分析、（2）预警与报告机制、（3）应急响应流程、（4）应急保障与恢复措施等方案进行打分：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1、4项内容完整且有延伸、扩展，针对本项目运维范围，可操作性强，贴合项目需求的，得10分；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2、4项内容完整，较前述要求存在细微优化空间的，得7分；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3、缺少1-2项或多项内容笼统简单、存在较多缺陷，与项目需求偏差较大的，得4分；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4、缺少3项以上或方案残缺不全、有严重缺陷的，得1分；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90"/>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数据审核处理方案</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本项目的数据审核处理方案：包括（1）数据审核、（2）异常数据识别与处理、（3）数据联网（采集传输稳定性、与省级/国家级平台对接、实时上传、断点续传、联网故障排查）、（4）数据安全（数据存储备份、访问权限管理、传输加密、防篡改及安全审计）等方面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1、4项内容完整且有延伸、扩展，针对本项目运维范围，可操作性强，贴合项目需求的，得10分；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2、4项内容完整，较前述要求存在细微优化空间的，得7分；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3、缺少1-3项或多项内容笼统简单、存在较多缺陷，与项目需求偏差较大的，得4分；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4、缺少4项以上或方案残缺不全、有严重缺陷的，得1分；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体系认证</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1、根据投标人提供的环境管理体系认证证书、质量管理体系认证证书、信息安全管理体系认证证书，每提供一种得2分，最高得6分。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（提供证明材料复印件加盖公章）</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443"/>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业绩案例</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签订日期2023年1月1日以后（以合同签订日为准），具有与本项目同类的大气环境监测超站运维项目业绩，同一项目不同年份的合同按一份业绩算。业绩中至少包含「碳质气溶胶连续监测分析仪」「无机元素连续监测分析仪」「在线离子色谱」「细颗粒物分析仪（PM₁）」四类仪器中的任意一类，即视为有效业绩。</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投标人提供的所有有效业绩可合并计算其覆盖的仪器类别，按合计覆盖的类别数计分：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合计覆盖一类的，得2.5分；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合计覆盖两类的，得5分；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合计覆盖三类的，得7.5分；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合计覆盖四类的，得10分。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本项最高得10分。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同一类仪器无论出现在几份业绩中，只计一次，不重复计分。（注：投标文件中须提供相关业绩合同扫描件及所包含设备的证明材料，未按要求提供不得分。）</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人员技术实力</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1、项目负责人具有环境类高级工程师职称的得2分。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2、投标人团队中的专业运维技术人员具有环境监测机构或行业协会或设备原厂颁发的大气颗粒物组分自动监测相关培训合格证书，每提供1人得2分，最高得4分。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3、投标人团队中的数据质控审核人员具有大气颗粒物组分或光化学监测技术或数据分析等相关培训合格证书，每提供1人得2分，最高得4分。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注：投标文件中提供相关证书及投标截止日前半年内任意三个月投标人为上述人员缴纳的社保证明作为证明材料，否则不得分。</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23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质控与备品备件保障能力</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1、投标人具有CMA资质的检验检测实验室，且检测项目覆盖水溶性阴离子、阳离子的，得4分；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投标人无自有实验室，但委托具有CMA资质且检测项目覆盖上述指标的第三方实验室的（须提供委托协议及被委托方CMA资质证明），得4分；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投标人无自有实验室，但承诺中标后委托具有CMA资质且检测项目覆盖上述指标的第三方检验检测机构，并提供委托意向协议的，得2分；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本项</w:t>
            </w:r>
            <w:r>
              <w:rPr>
                <w:rFonts w:hint="eastAsia" w:ascii="宋体" w:hAnsi="宋体" w:eastAsia="宋体" w:cs="宋体"/>
                <w:sz w:val="24"/>
                <w:szCs w:val="24"/>
              </w:rPr>
              <w:t xml:space="preserve">最高得4分，未按要求提供上述检测能力证明的不得分。注：投标人下设机构或为投标人全资子公司或控股子公司的下属企业、下设机构，视为“投标人具有检验检测实验室”，响应文件中须出具相关有效证明材料，响应文件中须提供CMA资质证书及附表，响应文件中须提供检测能力范围覆盖的证明材料。</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2、投标人需配备有专业的仪器检测设备、校准设备、流量计等维修工具，设备需每年计量检定，提供证书复印件加盖公章的得2分，提供不完整不得分。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3、投标人提供同类型「碳质气溶胶连续监测分析仪」「无机元素连续监测分析仪」「在线离子色谱」「细颗粒物分析仪（PM₁）」备机的，每类得2分，最高得8分。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（1）投标时已拥有备机的，须提供备机权属或使用证明、设备清单及设备照片，得对应分值；</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（2）投标时尚未拥有备机，但承诺中标后30日内提供同类型备机，并提供备机供应保障方案的，得对应分值；</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（3）备机为租赁的，须提供租赁协议（租赁期限应覆盖本项目服务期）及设备清单、设备照片，得对应分值。</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备机可由投标人本公司或其下属公司提供，下属公司提供的还须提供与投标人的关系证明，并加盖公章。未按上述要求提供证明材料的，不得分。中标后未按期提供备机的，按合同约定承担违约责任。</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gridSpan w:val="2"/>
            <w:tcW w:w="1898"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5882"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02"/>
        <w:spacing w:line="360" w:lineRule="auto"/>
        <w:rPr>
          <w:b/>
          <w:sz w:val="36"/>
          <w:szCs w:val="36"/>
        </w:rPr>
        <w:outlineLvl w:val="0"/>
      </w:pPr>
      <w:r>
        <w:rPr>
          <w:rFonts w:hint="eastAsia"/>
          <w:b/>
          <w:sz w:val="36"/>
          <w:szCs w:val="36"/>
        </w:rPr>
        <w:t xml:space="preserve">包二：</w:t>
      </w:r>
      <w:r>
        <w:rPr>
          <w:b/>
          <w:sz w:val="36"/>
          <w:szCs w:val="36"/>
        </w:rPr>
      </w:r>
      <w:r/>
    </w:p>
    <w:tbl>
      <w:tblPr>
        <w:tblW w:w="86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52"/>
        <w:gridCol w:w="827"/>
        <w:gridCol w:w="4430"/>
        <w:gridCol w:w="1452"/>
      </w:tblGrid>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4430"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452" w:type="dxa"/>
            <w:vAlign w:val="center"/>
            <w:textDirection w:val="lrTb"/>
            <w:noWrap w:val="false"/>
          </w:tcPr>
          <w:p>
            <w:pPr>
              <w:pStyle w:val="100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rPr>
                <w:rFonts w:hint="eastAsia" w:ascii="宋体" w:hAnsi="宋体" w:eastAsia="宋体" w:cs="宋体"/>
                <w:b/>
                <w:sz w:val="24"/>
                <w:szCs w:val="24"/>
              </w:rPr>
            </w:r>
            <w:r/>
          </w:p>
        </w:tc>
      </w:tr>
      <w:tr>
        <w:trPr>
          <w:trHeight w:val="632"/>
        </w:trPr>
        <w:tc>
          <w:tcPr>
            <w:tcW w:w="746"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投标报价得分＝（评标基准价/投标报价）×分值。</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t xml:space="preserve">此处投标报价指经过报价修正，及因落实政府采购政策进行价格调整后的报价</w:t>
            </w:r>
            <w:r>
              <w:rPr>
                <w:rFonts w:hint="eastAsia" w:ascii="宋体" w:hAnsi="宋体" w:eastAsia="宋体" w:cs="宋体"/>
                <w:sz w:val="24"/>
                <w:szCs w:val="24"/>
              </w:rPr>
            </w:r>
            <w:r/>
          </w:p>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t xml:space="preserve">对于未预留份额专门面向中小企业采购的采购项目，以及预留份额项目中的非预留部分采购包，</w:t>
            </w:r>
            <w:r>
              <w:rPr>
                <w:rFonts w:hint="eastAsia" w:ascii="宋体" w:hAnsi="宋体" w:eastAsia="宋体" w:cs="宋体"/>
                <w:b/>
                <w:bCs/>
                <w:sz w:val="24"/>
                <w:szCs w:val="24"/>
              </w:rPr>
              <w:t xml:space="preserve">对</w:t>
            </w:r>
            <w:r>
              <w:rPr>
                <w:rFonts w:hint="eastAsia" w:ascii="宋体" w:hAnsi="宋体" w:eastAsia="宋体" w:cs="宋体"/>
                <w:b/>
                <w:bCs/>
                <w:sz w:val="24"/>
                <w:szCs w:val="24"/>
              </w:rPr>
              <w:t xml:space="preserve">小微企业报价给予15%的扣除，</w:t>
            </w:r>
            <w:r>
              <w:rPr>
                <w:rFonts w:hint="eastAsia" w:ascii="宋体" w:hAnsi="宋体" w:eastAsia="宋体" w:cs="宋体"/>
                <w:sz w:val="24"/>
                <w:szCs w:val="24"/>
              </w:rPr>
              <w:t xml:space="preserve">用扣除后的价格参加评审。</w:t>
            </w:r>
            <w:r>
              <w:rPr>
                <w:rFonts w:hint="eastAsia" w:ascii="宋体" w:hAnsi="宋体" w:eastAsia="宋体" w:cs="宋体"/>
                <w:sz w:val="24"/>
                <w:szCs w:val="24"/>
              </w:rPr>
            </w:r>
            <w:r/>
          </w:p>
        </w:tc>
      </w:tr>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150"/>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运维服务方案</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根据投标人提供的本项目的运维服务方案：包括（1）运维目标、（2）日常维护、（3）定期巡检、（4）仪器故障解决方案、（5）运维规范性等方面进行打分：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1、5项内容完整且有延伸、扩展，针对本项目运维范围，可操作性强，贴合项目需求的，得10分；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2、5项内容完整，较前述要求存在细微优化空间的，得7分；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3、缺少1-2项或多项内容笼统简单、存在较多缺陷，与项目需求偏差较大的，得4分；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4、缺少3项以上或方案残缺不全、有严重缺陷的，得1分；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62"/>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质控服务方案</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根据投标人提供的本项目的质控服务方案：包括（1）质量保证措施、（2）质量控制方案、（3）质控工作流程等方面进行打分：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1、3项内容完整且有延伸、扩展，针对本项目运维范围，可操作性强，贴合项目需求的，得10分；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2、3项内容完整，较前述要求存在细微优化空间的，得7分；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3、缺少2项或多项内容笼统简单、存在较多缺陷，与项目需求偏差较大的，得4分；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138"/>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实施保障方案</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根据投标人提供的本项目的实施保障方案：包括（1）项目管理制度、（2）实施进度流程、（3）备品备件管理、（4）人员培训、（5）设备交接等方面进行打分：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1、5项内容完整且有延伸、扩展，针对本项目运维范围，可操作性强，贴合项目需求的，得10分；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2、5项内容完整，较前述要求存在细微优化空间的，得7分；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3、缺少1-2项或多项内容笼统简单、存在较多缺陷，与项目需求偏差较大的，得4分；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4、缺少3项以上或方案残缺不全、有严重缺陷的，得1分；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66"/>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应急方案</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根据投标人提供的应急方案，包括（1）突发事件类型及风险分析、（2）预警与报告机制、（3）应急响应流程、（4）应急保障与恢复措施等方案进行打分：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1、4项内容完整且有延伸、扩展，针对本项目运维范围，可操作性强，贴合项目需求的，得10分；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2、4项内容完整，较前述要求存在细微优化空间的，得7分；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3、缺少1-2项或多项内容笼统简单、存在较多缺陷，与项目需求偏差较大的，得4分；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4、缺少3项以上或方案残缺不全、有严重缺陷的，得1分；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82"/>
        </w:trPr>
        <w:tc>
          <w:tcPr>
            <w:tcW w:w="746" w:type="dxa"/>
            <w:vAlign w:val="center"/>
            <w:textDirection w:val="lrTb"/>
            <w:noWrap w:val="false"/>
          </w:tcPr>
          <w:p>
            <w:pPr>
              <w:pStyle w:val="1002"/>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数据安全、审核处理方案</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本项目的数据审核处理方案：包括（1）数据审核、（2）异常数据识别与处理、（3）数据联网（采集传输稳定性、与省级/国家级平台对接、实时上传、断点续传、联网故障排查）、（4）数据安全（数据存储备份、访问权限管理、传输加密、防篡改及安全审计）等方面进行打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1、4项内容完整且有延伸、扩展，针对本项目运维范围，可操作性强，贴合项目需求的，得10分；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2、4项内容完整，较前述要求存在细微优化空间的，得7分；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3、缺少1-3项或多项内容笼统简单、存在较多缺陷，与项目需求偏差较大的，得4分；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4、缺少4项以上或方案残缺不全、有严重缺陷的，得1分；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5、未提供不得分。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体系认证</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1、根据投标人提供的环境管理体系认证证书、质量管理体系认证证书、信息安全管理体系认证证书，每提供一种得2分，最高得6分。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（提供证明材料复印件加盖公章）</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443"/>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业绩案例</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签订日期2023年1月1日以后（以合同签订日为准），具有与本项目同类的大气环境监测超站运维项目业绩，同一项目不同年份的合同按一份业绩算。业绩中至少包含「VOC在线分析仪」「大气气溶胶激光雷达」「激光云高仪」三类仪器中的任意一类，即视为有效业绩。</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投标人提供的所有有效业绩可合并计算其覆盖的仪器类别，按合计覆盖的类别数计分：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合计覆盖一类的，得3分；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合计覆盖两类的，得6分；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合计覆盖三类的，得10分。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本项最高得10分。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同一类仪器无论出现在几份业绩中，只计一次，不重复计分。（注：投标文件中须提供相关业绩合同扫描件及所包含设备的证明材料，未按要求提供不得分。）</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人员技术实力</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1、项目负责人具有环境类高级工程师职称的得2分。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2、投标人团队中的专业运维技术人员具有环境监测机构或行业协会或设备原厂颁发的挥发性有机物（VOCs）自动监测相关培训合格证书，每提供1人得2分，最高得4分。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3、投标人团队中的数据质控审核人员具有大气颗粒物组分或光化学监测技术或数据分析等相关培训合格证书，每提供1人得2分，最高得4分。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注：投标文件中提供相关证书及投标截止日前半年内任意三个月投标人为上述人员缴纳的社保证明作为证明材料，否则不得分。</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23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质控与备品备件保障能力</w:t>
            </w:r>
            <w:r>
              <w:rPr>
                <w:rFonts w:hint="eastAsia" w:ascii="宋体" w:hAnsi="宋体" w:eastAsia="宋体" w:cs="宋体"/>
                <w:sz w:val="24"/>
                <w:szCs w:val="24"/>
              </w:rPr>
            </w:r>
            <w:r/>
          </w:p>
        </w:tc>
        <w:tc>
          <w:tcPr>
            <w:tcW w:w="827" w:type="dxa"/>
            <w:vAlign w:val="top"/>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1、投标人具有CMA资质的检验检测实验室，且检测项目覆盖挥发性有机物的，得4分；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投标人无自有实验室，但委托具有CMA资质且检测项目覆盖上述指标的第三方实验室的（须提供委托协议及被委托方CMA资质证明），得4分；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投标人无自有实验室，但承诺中标后委托具有CMA资质且检测项目覆盖上述指标的第三方检验检测机构，并提供委托意向协议的，得2分；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本项</w:t>
            </w:r>
            <w:r>
              <w:rPr>
                <w:rFonts w:hint="eastAsia" w:ascii="宋体" w:hAnsi="宋体" w:eastAsia="宋体" w:cs="宋体"/>
                <w:sz w:val="24"/>
                <w:szCs w:val="24"/>
              </w:rPr>
              <w:t xml:space="preserve">最高得4分，未按要求提供上述检测能力证明的不得分。注：投标人下设机构或为投标人全资子公司或控股子公司的下属企业、下设机构，视为“投标人具有检验检测实验室”，响应文件中须出具相关有效证明材料，响应文件中须提供CMA资质证书及附表，响应文件中须提供检测能力范围覆盖的证明材料。</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2、投标人需配备有专业的仪器检测设备、校准设备、流量计等维修工具，设备需每年计量检定，提供证书复印件加盖公章的得1分，提供不完整不得分。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3、投标人提供同类型「VOC在线分析仪」「大气气溶胶激光雷达」「激光云高仪」备机的，每类得3分，最高得9分。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（1）投标时已拥有备机的，须提供备机权属或使用证明、设备清单及设备照片，得对应分值；</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（2）投标时尚未拥有备机，但承诺中标后30日内提供同类型备机，并提供备机供应保障方案的，得对应分值；</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（3）备机为租赁的，须提供租赁协议（租赁期限应覆盖本项目服务期）及设备清单、设备照片，得对应分值。</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备机可由投标人本公司或其下属公司提供，下属公司提供的还须提供与投标人的关系证明，并加盖公章。未按上述要求提供证明材料的，不得分。中标后未按期提供备机的，按合同约定承担违约责任。</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gridSpan w:val="2"/>
            <w:tcW w:w="1898"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5882"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02"/>
        <w:jc w:val="center"/>
        <w:spacing w:line="360" w:lineRule="auto"/>
        <w:rPr>
          <w:b/>
          <w:sz w:val="36"/>
          <w:szCs w:val="36"/>
        </w:rPr>
        <w:outlineLvl w:val="0"/>
      </w:pPr>
      <w:r>
        <w:rPr>
          <w:b/>
          <w:sz w:val="36"/>
          <w:szCs w:val="36"/>
        </w:rPr>
      </w:r>
      <w:r/>
    </w:p>
    <w:p>
      <w:pPr>
        <w:pStyle w:val="1002"/>
        <w:spacing w:line="360" w:lineRule="auto"/>
        <w:rPr>
          <w:b/>
          <w:sz w:val="36"/>
          <w:szCs w:val="36"/>
        </w:rPr>
        <w:outlineLvl w:val="0"/>
      </w:pPr>
      <w:r>
        <w:rPr>
          <w:rFonts w:hint="eastAsia"/>
          <w:b/>
          <w:sz w:val="36"/>
          <w:szCs w:val="36"/>
        </w:rPr>
        <w:t xml:space="preserve">包三：</w:t>
      </w:r>
      <w:r>
        <w:rPr>
          <w:b/>
          <w:sz w:val="36"/>
          <w:szCs w:val="36"/>
        </w:rPr>
      </w:r>
      <w:r/>
    </w:p>
    <w:tbl>
      <w:tblPr>
        <w:tblW w:w="86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52"/>
        <w:gridCol w:w="827"/>
        <w:gridCol w:w="4430"/>
        <w:gridCol w:w="1452"/>
      </w:tblGrid>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4430"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452" w:type="dxa"/>
            <w:vAlign w:val="center"/>
            <w:textDirection w:val="lrTb"/>
            <w:noWrap w:val="false"/>
          </w:tcPr>
          <w:p>
            <w:pPr>
              <w:pStyle w:val="100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rPr>
                <w:rFonts w:hint="eastAsia" w:ascii="宋体" w:hAnsi="宋体" w:eastAsia="宋体" w:cs="宋体"/>
                <w:b/>
                <w:sz w:val="24"/>
                <w:szCs w:val="24"/>
              </w:rPr>
            </w:r>
            <w:r/>
          </w:p>
        </w:tc>
      </w:tr>
      <w:tr>
        <w:trPr>
          <w:trHeight w:val="632"/>
        </w:trPr>
        <w:tc>
          <w:tcPr>
            <w:tcW w:w="746" w:type="dxa"/>
            <w:vAlign w:val="center"/>
            <w:textDirection w:val="lrTb"/>
            <w:noWrap w:val="false"/>
          </w:tcPr>
          <w:p>
            <w:pPr>
              <w:pStyle w:val="1002"/>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投标报价得分＝（评标基准价/投标报价）×分值。</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t xml:space="preserve">此处投标报价指经过报价修正，及因落实政府采购政策进行价格调整后的报价</w:t>
            </w:r>
            <w:r>
              <w:rPr>
                <w:rFonts w:hint="eastAsia" w:ascii="宋体" w:hAnsi="宋体" w:eastAsia="宋体" w:cs="宋体"/>
                <w:sz w:val="24"/>
                <w:szCs w:val="24"/>
              </w:rPr>
            </w:r>
            <w:r/>
          </w:p>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t xml:space="preserve">对于未预留份额专门面向中小企业采购的采购项目，以及预留份额项目中的非预留部分采购包，</w:t>
            </w:r>
            <w:r>
              <w:rPr>
                <w:rFonts w:hint="eastAsia" w:ascii="宋体" w:hAnsi="宋体" w:eastAsia="宋体" w:cs="宋体"/>
                <w:b/>
                <w:bCs/>
                <w:sz w:val="24"/>
                <w:szCs w:val="24"/>
              </w:rPr>
              <w:t xml:space="preserve">对</w:t>
            </w:r>
            <w:r>
              <w:rPr>
                <w:rFonts w:hint="eastAsia" w:ascii="宋体" w:hAnsi="宋体" w:eastAsia="宋体" w:cs="宋体"/>
                <w:b/>
                <w:bCs/>
                <w:sz w:val="24"/>
                <w:szCs w:val="24"/>
              </w:rPr>
              <w:t xml:space="preserve">小微企业报价给予15%的扣除，</w:t>
            </w:r>
            <w:r>
              <w:rPr>
                <w:rFonts w:hint="eastAsia" w:ascii="宋体" w:hAnsi="宋体" w:eastAsia="宋体" w:cs="宋体"/>
                <w:sz w:val="24"/>
                <w:szCs w:val="24"/>
              </w:rPr>
              <w:t xml:space="preserve">用扣除后的价格参加评审。</w:t>
            </w:r>
            <w:r>
              <w:rPr>
                <w:rFonts w:hint="eastAsia" w:ascii="宋体" w:hAnsi="宋体" w:eastAsia="宋体" w:cs="宋体"/>
                <w:sz w:val="24"/>
                <w:szCs w:val="24"/>
              </w:rPr>
            </w:r>
            <w:r/>
          </w:p>
        </w:tc>
      </w:tr>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sz w:val="24"/>
                <w:szCs w:val="24"/>
              </w:rPr>
            </w:r>
            <w:r/>
          </w:p>
        </w:tc>
        <w:tc>
          <w:tcPr>
            <w:tcW w:w="1152"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56"/>
        </w:trPr>
        <w:tc>
          <w:tcPr>
            <w:tcW w:w="746" w:type="dxa"/>
            <w:vAlign w:val="center"/>
            <w:textDirection w:val="lrTb"/>
            <w:noWrap w:val="false"/>
          </w:tcPr>
          <w:p>
            <w:pPr>
              <w:pStyle w:val="1002"/>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48</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150"/>
        </w:trPr>
        <w:tc>
          <w:tcPr>
            <w:tcW w:w="746" w:type="dxa"/>
            <w:vAlign w:val="center"/>
            <w:textDirection w:val="lrTb"/>
            <w:noWrap w:val="false"/>
          </w:tcPr>
          <w:p>
            <w:pPr>
              <w:pStyle w:val="1002"/>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项目需求理解与分析</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对采购人现状及业务、技术需求有充分认识和理解，准确理解本项目建设目标，分析科学深入，方案完整覆盖业务、技术、数据、安全等维度并有延伸思考的，得8分；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对采购人现状及业务、技术需求认识和理解较充分，对本项目建设目标理解基本准确，主要维度分析较科学、有合理延伸的，得5分；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对采购人现状及业务、技术需求认识和理解不足，对本项目建设目标理解有偏差，分析浅显、覆盖维度不全的，得2分；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未提供项目需求分析报告或报告与项目严重不符的，本项得0分。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62"/>
        </w:trPr>
        <w:tc>
          <w:tcPr>
            <w:tcW w:w="746" w:type="dxa"/>
            <w:vAlign w:val="center"/>
            <w:textDirection w:val="lrTb"/>
            <w:noWrap w:val="false"/>
          </w:tcPr>
          <w:p>
            <w:pPr>
              <w:pStyle w:val="1002"/>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2.1.2</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仪器端数据全量采集配置调试方案</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仪器端数据全量采集配置调试方案设计科学全面，能够针对本项目各类仪器的采集需求提供完整、可落地的仪器端数据全量采集配置调试方案，覆盖仪器清单、采集项、采集频率、通讯协议、数据格式、参数配置与调试方法、异常处理等，得8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方案较全面，针对本项目主要仪器的采集需求提供了仪器端数据全量采集配置与调试内容，覆盖主要采集参数配置与调试，得5分；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未提供仪器端采集配置调试方案或方案与项目严重不符，本项得0分。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746" w:type="dxa"/>
            <w:vAlign w:val="center"/>
            <w:textDirection w:val="lrTb"/>
            <w:noWrap w:val="false"/>
          </w:tcPr>
          <w:p>
            <w:pPr>
              <w:pStyle w:val="1002"/>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2.1.3</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国省审核数据回流接口部署设计方案</w:t>
            </w:r>
            <w:r>
              <w:rPr>
                <w:rFonts w:hint="eastAsia" w:ascii="宋体" w:hAnsi="宋体" w:eastAsia="宋体" w:cs="宋体"/>
                <w:sz w:val="24"/>
                <w:szCs w:val="24"/>
                <w:highlight w:val="none"/>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国省审核数据回流接口部署设计方案设计科学全面，能够针对国家大气颗粒物组分及光化学监测数据集成和综合分析平台与江苏省大气颗粒物组分及VOCs多元综合分析子系统提供详细的接口部署设计方案，覆盖接口清单、数据流向、接口规范、部署架构、安全认证、调用方式、异常处理等，得8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方案较全面，提供了上述主要接口的接口内容与对接部署设计方案，得5分；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未提供回流接口部署设计方案或方案与项目严重不符，本项得0分。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66"/>
        </w:trPr>
        <w:tc>
          <w:tcPr>
            <w:tcW w:w="746" w:type="dxa"/>
            <w:vAlign w:val="center"/>
            <w:textDirection w:val="lrTb"/>
            <w:noWrap w:val="false"/>
          </w:tcPr>
          <w:p>
            <w:pPr>
              <w:pStyle w:val="1002"/>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2.1.4</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加密VPN及总站上传链路配置调试设计方案</w:t>
            </w:r>
            <w:r>
              <w:rPr>
                <w:rFonts w:hint="eastAsia" w:ascii="宋体" w:hAnsi="宋体" w:eastAsia="宋体" w:cs="宋体"/>
                <w:sz w:val="24"/>
                <w:szCs w:val="24"/>
                <w:highlight w:val="none"/>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加密VPN及总站上传链路配置调试方案设计科学全面，能够出具链路逐点排查清单与故障定位方法，符合《国家大气颗粒物组分自动监测数据联网技术规定》的加密VPN组网与认证，覆盖组网架构、设备选型、加密认证、链路配置、上传调试、监控告警、故障排查与定位等，得8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方案较全面，具有主要排查与组网内容，得5分；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未提供VPN及链路配置调试设计方案或方案与项目严重不符，本项得0分。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653"/>
        </w:trPr>
        <w:tc>
          <w:tcPr>
            <w:tcW w:w="746" w:type="dxa"/>
            <w:vAlign w:val="center"/>
            <w:textDirection w:val="lrTb"/>
            <w:noWrap w:val="false"/>
          </w:tcPr>
          <w:p>
            <w:pPr>
              <w:pStyle w:val="1002"/>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2.1.5</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总体技术方案设计</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总体技术方案设计科学全面，与现有省/市平台衔接关系清晰，数据流向与对接方案符合政务数据归集共享要求，覆盖总体架构、平台衔接、数据流向、接口对接、安全与运维等，得8分；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方案较全面，方案设计基本合理，得5分；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未提供总体技术方案设计或方案与项目严重不符，本项得0分。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数据安全与自主可控方案</w:t>
            </w: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安全与自主可控方案科学全面，明确数据分级分类与传输/存储措施，具备访问权限、审计与日志管理，覆盖数据安全、自主可控、分级分类、加密传输与存储、权限管理、安全审计与日志等，得8分；方案较全面，具有主要安全措施，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未提供数据安全与自主可控方案或方案与项目严重不符，本项得0分。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1002"/>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 xml:space="preserve">2.2</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培训方案全面合理有效，制定的培训流程、培训计划合理规范，覆盖培训对象、培训内容、培训方式、培训周期与考核评估等，得5分；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培训方案较全面，有效性较好，制定的培训流程、培训计划基本合理规范，得3分；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培训方案较片面，培训流程、培训计划不清晰，得1分；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未提供的不得分。</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质量控制方案</w:t>
            </w:r>
            <w:r>
              <w:rPr>
                <w:rFonts w:hint="eastAsia" w:ascii="宋体" w:hAnsi="宋体" w:eastAsia="宋体" w:cs="宋体"/>
                <w:sz w:val="24"/>
                <w:szCs w:val="24"/>
                <w:highlight w:val="none"/>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质量控制方案内容合理、可操作性强，能满足项目建设与数据质量要求并有良好的质量控制保障措施，覆盖质量目标、质量控制措施、审核流程、问题闭环与保障手段等，得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方案内容基本响应需求，质量控制方案较有操作性，得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质量控制方案较片面，内容空洞或欠缺，可行性差的，得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未提供的不得分。</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2.2.3</w:t>
            </w:r>
            <w:r>
              <w:rPr>
                <w:rFonts w:hint="eastAsia" w:ascii="宋体" w:hAnsi="宋体" w:eastAsia="宋体" w:cs="宋体"/>
                <w:sz w:val="24"/>
                <w:szCs w:val="24"/>
                <w:lang w:val="en-US" w:eastAsia="zh-CN"/>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售后服务方案全面合理，服务流程及内容具体，响应时间迅速，服务人员齐备，明确免费运维期与故障升级机制，覆盖服务响应、服务流程、人员保障、免费运维期、故障升级机制与售后保障等，得5分；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售后服务方案较全面，有基本服务流程及内容，响应时间较为迅速，服务人员匹配基本满足需求，得3分；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售后服务方案较片面，服务流程及内容空洞或欠缺，响应时间缓慢，服务人员匹配欠缺，得1分。</w:t>
            </w:r>
            <w:r>
              <w:rPr>
                <w:rFonts w:hint="eastAsia" w:ascii="宋体" w:hAnsi="宋体" w:eastAsia="宋体" w:cs="宋体"/>
                <w:sz w:val="24"/>
                <w:szCs w:val="24"/>
              </w:rPr>
            </w:r>
            <w:r/>
          </w:p>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未提供的不得分。</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2"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443"/>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152" w:type="dxa"/>
            <w:vAlign w:val="center"/>
            <w:vMerge w:val="restart"/>
            <w:textDirection w:val="lrTb"/>
            <w:noWrap w:val="false"/>
          </w:tcPr>
          <w:p>
            <w:pPr>
              <w:pStyle w:val="1002"/>
              <w:spacing w:line="240" w:lineRule="auto"/>
              <w:rPr>
                <w:rFonts w:hint="eastAsia" w:ascii="宋体" w:hAnsi="宋体" w:eastAsia="宋体" w:cs="宋体"/>
                <w:sz w:val="24"/>
                <w:szCs w:val="24"/>
              </w:rPr>
            </w:pPr>
            <w:r/>
            <w:bookmarkStart w:id="794" w:name="_Hlk192240580"/>
            <w:r>
              <w:rPr>
                <w:rFonts w:hint="eastAsia" w:ascii="宋体" w:hAnsi="宋体" w:eastAsia="宋体" w:cs="宋体"/>
                <w:sz w:val="24"/>
                <w:szCs w:val="24"/>
              </w:rPr>
              <w:t xml:space="preserve">项目团队人员要求</w:t>
            </w:r>
            <w:bookmarkEnd w:id="794"/>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经理要求（1人）：具有信息系统项目管理师（高级）或系统集成项目管理工程师（中级）及以上证书的，得2分；其他不得分。本项最高2分。（提供证书复印件和投标截止之日前半年内任意三个月为其缴纳的社保证明材料并加盖公章）</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152" w:type="dxa"/>
            <w:vAlign w:val="center"/>
            <w:vMerge w:val="continue"/>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负责人要求（1人）（与项目经理不是同一人）：具有系统架构设计师、软件设计师、数据库系统工程师、网络工程师、系统集成项目管理工程师证书的，每提供一个证书得1分，最高得3分。（提供证书复印件和投标截止之日前半年内任意三个月以来任意一个月为其缴纳的社保证明材料并加盖公章）</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W w:w="1152" w:type="dxa"/>
            <w:vAlign w:val="center"/>
            <w:vMerge w:val="continue"/>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27" w:type="dxa"/>
            <w:vAlign w:val="center"/>
            <w:textDirection w:val="lrTb"/>
            <w:noWrap w:val="false"/>
          </w:tcPr>
          <w:p>
            <w:pPr>
              <w:pStyle w:val="1002"/>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其他项目成员要求（项目经理和技术负责人除外）：具有软件设计师、数据库系统工程师、网络工程师、系统集成项目管理工程师、信息安全工程师证书的，每提供1个得2分，最高得6分。（注：1、同一证书不重复计分，且同一个人具有多个证书的按1个证书计算；2、提供证书复印件和投标截止之日前半年内任意三个月以来任意一个月为其缴纳的社保证明材料并加盖公章）</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W w:w="1152"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供应商提供自2023年1月1日（含）以来承担过类似生态环境监测数据采集类、生态环境数据管理类、环境信息化类、系统集成类等项目业绩的，每提供1个得2分，最多得8分。（提供合同复印件加盖公章，提供的证明材料需能反映相关数据和内容，否则视为未提供不得分）</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W w:w="1152"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体系认证</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供应商具有有效的质量管理体系认证证书、信息安全管理体系认证证书、信息技术服务管理体系认证证书的，每提供1个得1分，最多得3分。（提供证书复印件并加盖公章）</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232"/>
        </w:trPr>
        <w:tc>
          <w:tcPr>
            <w:tcW w:w="746"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rPr>
            </w:r>
            <w:r/>
          </w:p>
        </w:tc>
        <w:tc>
          <w:tcPr>
            <w:tcW w:w="1152"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企业资质</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430"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t xml:space="preserve">供应商具有与本项目相关的自主知识产权软件著作权（监测数据采集类、监测联网类、监测数据管理类、环境信息化类、数据集成类等），每提供一个得1分，最多得4分。（注：以上证书获得时间要求在招标公告发布之日之前，需提供证书复印件加盖投标人公章。）</w:t>
            </w:r>
            <w:r>
              <w:rPr>
                <w:rFonts w:hint="eastAsia" w:ascii="宋体" w:hAnsi="宋体" w:eastAsia="宋体" w:cs="宋体"/>
                <w:sz w:val="24"/>
                <w:szCs w:val="24"/>
              </w:rPr>
            </w:r>
            <w:r/>
          </w:p>
        </w:tc>
        <w:tc>
          <w:tcPr>
            <w:tcW w:w="1452" w:type="dxa"/>
            <w:vAlign w:val="center"/>
            <w:textDirection w:val="lrTb"/>
            <w:noWrap w:val="false"/>
          </w:tcPr>
          <w:p>
            <w:pPr>
              <w:pStyle w:val="1002"/>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gridSpan w:val="2"/>
            <w:tcW w:w="1898"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827" w:type="dxa"/>
            <w:vAlign w:val="center"/>
            <w:textDirection w:val="lrTb"/>
            <w:noWrap w:val="false"/>
          </w:tcPr>
          <w:p>
            <w:pPr>
              <w:pStyle w:val="1002"/>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5882" w:type="dxa"/>
            <w:vAlign w:val="center"/>
            <w:textDirection w:val="lrTb"/>
            <w:noWrap w:val="false"/>
          </w:tcPr>
          <w:p>
            <w:pPr>
              <w:pStyle w:val="1002"/>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02"/>
        <w:rPr>
          <w:rFonts w:ascii="等线" w:hAnsi="等线" w:eastAsia="等线"/>
          <w:szCs w:val="22"/>
        </w:rPr>
      </w:pPr>
      <w:r>
        <w:rPr>
          <w:rFonts w:ascii="等线" w:hAnsi="等线" w:eastAsia="等线"/>
          <w:szCs w:val="22"/>
        </w:rPr>
      </w:r>
      <w:r/>
    </w:p>
    <w:p>
      <w:pPr>
        <w:pStyle w:val="1002"/>
        <w:numPr>
          <w:ilvl w:val="0"/>
          <w:numId w:val="0"/>
        </w:numPr>
        <w:jc w:val="center"/>
        <w:widowControl/>
        <w:rPr>
          <w:b/>
          <w:sz w:val="36"/>
          <w:szCs w:val="36"/>
        </w:rPr>
      </w:pPr>
      <w:r>
        <w:rPr>
          <w:b/>
          <w:sz w:val="36"/>
          <w:szCs w:val="36"/>
        </w:rPr>
        <w:br w:type="page" w:clear="all"/>
      </w:r>
      <w:bookmarkStart w:id="795" w:name="_Toc29053"/>
      <w:r>
        <w:rPr>
          <w:b/>
          <w:sz w:val="36"/>
          <w:szCs w:val="36"/>
        </w:rPr>
        <w:t xml:space="preserve">第五章   采购需求</w:t>
      </w:r>
      <w:bookmarkEnd w:id="795"/>
      <w:r>
        <w:rPr>
          <w:b/>
          <w:sz w:val="36"/>
          <w:szCs w:val="36"/>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1002"/>
        <w:ind w:firstLine="490"/>
        <w:spacing w:line="360" w:lineRule="auto"/>
        <w:rPr>
          <w:rFonts w:hint="eastAsia" w:ascii="宋体" w:hAnsi="宋体" w:cs="宋体"/>
          <w:sz w:val="24"/>
          <w:lang w:val="zh-CN"/>
        </w:rPr>
      </w:pPr>
      <w:r>
        <w:rPr>
          <w:rFonts w:hint="eastAsia" w:ascii="宋体" w:hAnsi="宋体" w:cs="宋体"/>
          <w:b/>
          <w:spacing w:val="2"/>
          <w:sz w:val="24"/>
        </w:rPr>
        <w:t xml:space="preserve">项目名称：</w:t>
      </w:r>
      <w:r>
        <w:rPr>
          <w:rFonts w:hint="eastAsia" w:ascii="宋体" w:hAnsi="宋体" w:cs="宋体"/>
          <w:bCs/>
          <w:spacing w:val="2"/>
          <w:sz w:val="24"/>
        </w:rPr>
        <w:t xml:space="preserve">2026~2027年度大气多参数自动站运维及数据采集与联网提升服务</w:t>
      </w:r>
      <w:r>
        <w:rPr>
          <w:rFonts w:hint="eastAsia" w:ascii="宋体" w:hAnsi="宋体" w:cs="宋体"/>
          <w:sz w:val="24"/>
          <w:lang w:val="zh-CN"/>
        </w:rPr>
      </w:r>
      <w:r/>
    </w:p>
    <w:p>
      <w:pPr>
        <w:pStyle w:val="1002"/>
        <w:ind w:firstLine="490"/>
        <w:spacing w:line="360" w:lineRule="auto"/>
        <w:rPr>
          <w:rFonts w:hint="eastAsia" w:ascii="宋体" w:hAnsi="宋体" w:cs="宋体"/>
          <w:b/>
          <w:spacing w:val="2"/>
          <w:sz w:val="24"/>
        </w:rPr>
      </w:pPr>
      <w:r>
        <w:rPr>
          <w:rFonts w:hint="eastAsia" w:ascii="宋体" w:hAnsi="宋体" w:cs="宋体"/>
          <w:b/>
          <w:spacing w:val="2"/>
          <w:sz w:val="24"/>
        </w:rPr>
        <w:t xml:space="preserve">采购方式：</w:t>
      </w:r>
      <w:r>
        <w:rPr>
          <w:rFonts w:hint="eastAsia" w:ascii="宋体" w:hAnsi="宋体" w:cs="宋体"/>
          <w:bCs/>
          <w:spacing w:val="2"/>
          <w:sz w:val="24"/>
        </w:rPr>
        <w:t xml:space="preserve">公开招标</w:t>
      </w:r>
      <w:r>
        <w:rPr>
          <w:rFonts w:hint="eastAsia" w:ascii="宋体" w:hAnsi="宋体" w:cs="宋体"/>
          <w:b/>
          <w:spacing w:val="2"/>
          <w:sz w:val="24"/>
        </w:rPr>
      </w:r>
      <w:r/>
    </w:p>
    <w:p>
      <w:pPr>
        <w:pStyle w:val="1066"/>
        <w:ind w:firstLine="490"/>
        <w:spacing w:before="20" w:beforeAutospacing="0" w:after="20" w:afterAutospacing="0" w:line="360" w:lineRule="auto"/>
        <w:rPr>
          <w:rFonts w:hint="eastAsia" w:ascii="宋体" w:hAnsi="宋体" w:cs="宋体"/>
          <w:b/>
          <w:spacing w:val="2"/>
          <w:sz w:val="24"/>
        </w:rPr>
      </w:pPr>
      <w:r>
        <w:rPr>
          <w:rFonts w:hint="eastAsia" w:ascii="宋体" w:hAnsi="宋体" w:eastAsia="宋体" w:cs="宋体"/>
          <w:b/>
          <w:spacing w:val="2"/>
          <w:sz w:val="24"/>
          <w:szCs w:val="24"/>
          <w:lang w:val="en-US" w:eastAsia="zh-CN" w:bidi="ar-SA"/>
        </w:rPr>
        <w:t xml:space="preserve">项目概况：</w:t>
      </w:r>
      <w:r>
        <w:rPr>
          <w:rFonts w:hint="eastAsia"/>
        </w:rPr>
        <w:t xml:space="preserve">本项目名称拟定为“2026~2027年度大气多参数自动站运维及数据采集与联网提升服务”，作为一个整体采购项目，为明确责任主体、提高服务专业化水平，本项目拟划分为三个包进行采购。</w:t>
      </w:r>
      <w:r>
        <w:rPr>
          <w:rFonts w:hint="eastAsia" w:ascii="宋体" w:hAnsi="宋体" w:cs="宋体"/>
          <w:b/>
          <w:spacing w:val="2"/>
          <w:sz w:val="24"/>
        </w:rPr>
      </w:r>
      <w:r/>
    </w:p>
    <w:p>
      <w:pPr>
        <w:pStyle w:val="1002"/>
        <w:ind w:firstLine="490"/>
        <w:spacing w:line="360" w:lineRule="auto"/>
        <w:rPr>
          <w:rFonts w:hint="eastAsia" w:ascii="宋体" w:hAnsi="宋体" w:cs="宋体"/>
          <w:bCs/>
          <w:spacing w:val="2"/>
          <w:sz w:val="24"/>
        </w:rPr>
      </w:pPr>
      <w:r>
        <w:rPr>
          <w:rFonts w:hint="eastAsia" w:ascii="宋体" w:hAnsi="宋体" w:cs="宋体"/>
          <w:b/>
          <w:spacing w:val="2"/>
          <w:sz w:val="24"/>
        </w:rPr>
        <w:t xml:space="preserve">预算金额：</w:t>
      </w:r>
      <w:r>
        <w:rPr>
          <w:rFonts w:hint="eastAsia" w:ascii="宋体" w:hAnsi="宋体" w:cs="宋体"/>
          <w:bCs/>
          <w:spacing w:val="2"/>
          <w:sz w:val="24"/>
        </w:rPr>
        <w:t xml:space="preserve">人民币115.9万元</w:t>
      </w:r>
      <w:r>
        <w:rPr>
          <w:rFonts w:hint="eastAsia" w:ascii="宋体" w:hAnsi="宋体" w:cs="宋体"/>
          <w:sz w:val="24"/>
          <w:lang w:val="zh-CN"/>
        </w:rPr>
        <w:t xml:space="preserve">。</w:t>
      </w:r>
      <w:r>
        <w:rPr>
          <w:rFonts w:hint="eastAsia" w:ascii="宋体" w:hAnsi="宋体" w:cs="宋体"/>
          <w:sz w:val="24"/>
        </w:rPr>
        <w:t xml:space="preserve">包一：仪器设备托管运维（一），预算57.8万元</w:t>
      </w:r>
      <w:r>
        <w:rPr>
          <w:rFonts w:hint="eastAsia" w:ascii="宋体" w:hAnsi="宋体" w:cs="宋体"/>
          <w:sz w:val="24"/>
          <w:lang w:eastAsia="zh-CN"/>
        </w:rPr>
        <w:t xml:space="preserve">；</w:t>
      </w:r>
      <w:r>
        <w:rPr>
          <w:rFonts w:hint="eastAsia" w:ascii="宋体" w:hAnsi="宋体" w:cs="宋体"/>
          <w:sz w:val="24"/>
        </w:rPr>
        <w:t xml:space="preserve">包二：仪器设备托管运维（二），预算41.1万元</w:t>
      </w:r>
      <w:r>
        <w:rPr>
          <w:rFonts w:hint="eastAsia" w:ascii="宋体" w:hAnsi="宋体" w:cs="宋体"/>
          <w:sz w:val="24"/>
          <w:lang w:eastAsia="zh-CN"/>
        </w:rPr>
        <w:t xml:space="preserve">；</w:t>
      </w:r>
      <w:r>
        <w:rPr>
          <w:rFonts w:hint="eastAsia" w:ascii="宋体" w:hAnsi="宋体" w:cs="宋体"/>
          <w:sz w:val="24"/>
        </w:rPr>
        <w:t xml:space="preserve">包三：数据采集与联网提升服务，预算17.0万元。</w:t>
      </w:r>
      <w:r>
        <w:rPr>
          <w:rFonts w:hint="eastAsia" w:ascii="宋体" w:hAnsi="宋体" w:cs="宋体"/>
          <w:bCs/>
          <w:spacing w:val="2"/>
          <w:sz w:val="24"/>
        </w:rPr>
      </w:r>
      <w:r/>
    </w:p>
    <w:p>
      <w:pPr>
        <w:pStyle w:val="1002"/>
        <w:ind w:firstLine="490"/>
        <w:spacing w:line="360" w:lineRule="auto"/>
        <w:rPr>
          <w:rFonts w:hint="eastAsia" w:ascii="宋体" w:hAnsi="宋体" w:cs="宋体"/>
          <w:sz w:val="24"/>
          <w:lang w:val="zh-CN"/>
        </w:rPr>
      </w:pPr>
      <w:r>
        <w:rPr>
          <w:rFonts w:hint="eastAsia" w:ascii="宋体" w:hAnsi="宋体" w:cs="宋体"/>
          <w:b/>
          <w:spacing w:val="2"/>
          <w:sz w:val="24"/>
        </w:rPr>
        <w:t xml:space="preserve">最高限价：</w:t>
      </w:r>
      <w:r>
        <w:rPr>
          <w:rFonts w:hint="eastAsia" w:ascii="宋体" w:hAnsi="宋体" w:cs="宋体"/>
          <w:sz w:val="24"/>
          <w:lang w:val="zh-CN"/>
        </w:rPr>
        <w:t xml:space="preserve">人民币114.4万元。共分为三个包，包一：仪器设备托管运维（一），最高限价：57.05万元。包二：仪器设备托管运维（二），最高限价：40.57万元。包三：数据采集与联网提升服务，最高限价：16.78万元。</w:t>
      </w:r>
      <w:r>
        <w:rPr>
          <w:rFonts w:hint="eastAsia" w:ascii="宋体" w:hAnsi="宋体" w:cs="宋体"/>
          <w:sz w:val="24"/>
          <w:lang w:val="zh-CN"/>
        </w:rPr>
      </w:r>
      <w:r/>
    </w:p>
    <w:p>
      <w:pPr>
        <w:pStyle w:val="1002"/>
        <w:ind w:firstLine="482"/>
        <w:spacing w:line="360" w:lineRule="auto"/>
        <w:rPr>
          <w:rFonts w:hint="eastAsia" w:ascii="宋体" w:hAnsi="宋体" w:eastAsia="宋体" w:cs="宋体"/>
          <w:sz w:val="24"/>
          <w:lang w:val="zh-CN"/>
        </w:rPr>
      </w:pPr>
      <w:r>
        <w:rPr>
          <w:rFonts w:hint="eastAsia" w:ascii="宋体" w:hAnsi="宋体" w:eastAsia="宋体" w:cs="宋体"/>
          <w:b/>
          <w:bCs/>
          <w:sz w:val="24"/>
          <w:lang w:val="zh-CN"/>
        </w:rPr>
        <w:t xml:space="preserve">兼投不兼中：</w:t>
      </w:r>
      <w:r>
        <w:rPr>
          <w:rFonts w:hint="eastAsia" w:ascii="宋体" w:hAnsi="宋体" w:eastAsia="宋体" w:cs="宋体"/>
          <w:sz w:val="24"/>
          <w:lang w:val="zh-CN"/>
        </w:rPr>
        <w:t xml:space="preserve">允许投标人同时参与多个采购包的投标，但仅可在1个采购包中中标。</w:t>
      </w:r>
      <w:r>
        <w:rPr>
          <w:rFonts w:hint="eastAsia" w:ascii="宋体" w:hAnsi="宋体" w:eastAsia="宋体" w:cs="宋体"/>
          <w:sz w:val="24"/>
          <w:lang w:val="zh-CN"/>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二、商务要求</w:t>
      </w:r>
      <w:r>
        <w:rPr>
          <w:rFonts w:hint="eastAsia" w:ascii="宋体" w:hAnsi="宋体" w:cs="宋体"/>
          <w:b/>
          <w:sz w:val="24"/>
          <w:szCs w:val="24"/>
        </w:rPr>
      </w:r>
      <w:r/>
    </w:p>
    <w:p>
      <w:pPr>
        <w:pStyle w:val="1002"/>
        <w:ind w:firstLine="480"/>
        <w:spacing w:line="360" w:lineRule="auto"/>
        <w:rPr>
          <w:rFonts w:hint="eastAsia" w:ascii="宋体" w:hAnsi="宋体" w:cs="宋体"/>
          <w:b/>
          <w:bCs/>
          <w:spacing w:val="2"/>
          <w:sz w:val="24"/>
          <w:highlight w:val="none"/>
        </w:rPr>
      </w:pPr>
      <w:r>
        <w:rPr>
          <w:rFonts w:hint="eastAsia" w:ascii="宋体" w:hAnsi="宋体" w:cs="宋体"/>
          <w:sz w:val="24"/>
          <w:lang w:val="zh-CN"/>
        </w:rPr>
        <w:t xml:space="preserve">包一、包二、包三：</w:t>
      </w:r>
      <w:r>
        <w:rPr>
          <w:rFonts w:hint="eastAsia" w:ascii="宋体" w:hAnsi="宋体" w:cs="宋体"/>
          <w:b/>
          <w:bCs/>
          <w:spacing w:val="2"/>
          <w:sz w:val="24"/>
          <w:highlight w:val="none"/>
        </w:rPr>
      </w:r>
      <w:r/>
    </w:p>
    <w:p>
      <w:pPr>
        <w:pStyle w:val="1002"/>
        <w:ind w:firstLine="490"/>
        <w:spacing w:line="360" w:lineRule="auto"/>
        <w:rPr>
          <w:rFonts w:hint="eastAsia" w:ascii="宋体" w:hAnsi="宋体" w:cs="宋体"/>
          <w:spacing w:val="2"/>
          <w:sz w:val="24"/>
          <w:highlight w:val="yellow"/>
        </w:rPr>
      </w:pPr>
      <w:r>
        <w:rPr>
          <w:rFonts w:hint="eastAsia" w:ascii="宋体" w:hAnsi="宋体" w:cs="宋体"/>
          <w:b/>
          <w:bCs/>
          <w:spacing w:val="2"/>
          <w:sz w:val="24"/>
          <w:highlight w:val="none"/>
        </w:rPr>
        <w:t xml:space="preserve">1、合同履行期限：2026年11月10日-2027年11月9日</w:t>
      </w:r>
      <w:r>
        <w:rPr>
          <w:rFonts w:hint="eastAsia" w:ascii="宋体" w:hAnsi="宋体" w:cs="宋体"/>
          <w:spacing w:val="2"/>
          <w:sz w:val="24"/>
          <w:highlight w:val="yellow"/>
        </w:rPr>
      </w:r>
      <w:r/>
    </w:p>
    <w:p>
      <w:pPr>
        <w:pStyle w:val="1002"/>
        <w:ind w:firstLine="490"/>
        <w:spacing w:line="360" w:lineRule="auto"/>
        <w:rPr>
          <w:rFonts w:ascii="宋体" w:hAnsi="宋体" w:eastAsia="宋体" w:cs="宋体"/>
          <w:b/>
          <w:bCs/>
          <w:spacing w:val="2"/>
          <w:sz w:val="24"/>
          <w:highlight w:val="none"/>
          <w:lang w:val="en-US" w:eastAsia="zh-CN"/>
        </w:rPr>
      </w:pPr>
      <w:r>
        <w:rPr>
          <w:rFonts w:hint="eastAsia" w:ascii="宋体" w:hAnsi="宋体" w:cs="宋体"/>
          <w:b/>
          <w:bCs/>
          <w:spacing w:val="2"/>
          <w:sz w:val="24"/>
          <w:highlight w:val="none"/>
        </w:rPr>
        <w:t xml:space="preserve">2、付款方式:合同签订后支付合同款的约11%；2027年5月中期支付合同款的约50%；项目经采购人验收合格后15个工作日内付清剩余合同款。</w:t>
      </w:r>
      <w:r>
        <w:rPr>
          <w:rFonts w:ascii="宋体" w:hAnsi="宋体" w:eastAsia="宋体" w:cs="宋体"/>
          <w:b/>
          <w:bCs/>
          <w:spacing w:val="2"/>
          <w:sz w:val="24"/>
          <w:highlight w:val="none"/>
          <w:lang w:val="en-US" w:eastAsia="zh-CN"/>
        </w:rPr>
      </w:r>
      <w:r/>
    </w:p>
    <w:p>
      <w:pPr>
        <w:pStyle w:val="1002"/>
        <w:ind w:firstLine="490"/>
        <w:spacing w:line="360" w:lineRule="auto"/>
        <w:rPr>
          <w:rFonts w:hint="eastAsia" w:ascii="宋体" w:hAnsi="宋体" w:cs="宋体"/>
          <w:b/>
          <w:bCs/>
          <w:spacing w:val="2"/>
          <w:sz w:val="24"/>
        </w:rPr>
      </w:pPr>
      <w:r>
        <w:rPr>
          <w:rFonts w:hint="eastAsia" w:ascii="宋体" w:hAnsi="宋体" w:cs="宋体"/>
          <w:b/>
          <w:bCs/>
          <w:spacing w:val="2"/>
          <w:sz w:val="24"/>
        </w:rPr>
        <w:t xml:space="preserve">3、报价方式</w:t>
      </w:r>
      <w:r>
        <w:rPr>
          <w:rFonts w:hint="eastAsia" w:ascii="宋体" w:hAnsi="宋体" w:cs="宋体"/>
          <w:b/>
          <w:bCs/>
          <w:spacing w:val="2"/>
          <w:sz w:val="24"/>
        </w:rPr>
      </w:r>
      <w:r/>
    </w:p>
    <w:p>
      <w:pPr>
        <w:pStyle w:val="1002"/>
        <w:ind w:firstLine="488"/>
        <w:spacing w:line="360" w:lineRule="auto"/>
        <w:rPr>
          <w:rFonts w:hint="eastAsia" w:ascii="宋体" w:hAnsi="宋体" w:cs="宋体"/>
          <w:spacing w:val="2"/>
          <w:sz w:val="24"/>
          <w:highlight w:val="none"/>
        </w:rPr>
      </w:pPr>
      <w:r>
        <w:rPr>
          <w:rFonts w:hint="eastAsia" w:ascii="宋体" w:hAnsi="宋体" w:cs="宋体"/>
          <w:spacing w:val="2"/>
          <w:sz w:val="24"/>
        </w:rPr>
        <w:t xml:space="preserve">本项目报价为固定总价，投标报价应包括招标文件所确定的采购范围相应货物或服务的提供、人员（包括工资和补贴等）、办公场所及设施、保险、劳保、管理、各</w:t>
      </w:r>
      <w:r>
        <w:rPr>
          <w:rFonts w:hint="eastAsia" w:ascii="宋体" w:hAnsi="宋体" w:cs="宋体"/>
          <w:spacing w:val="2"/>
          <w:sz w:val="24"/>
          <w:highlight w:val="none"/>
        </w:rPr>
        <w:t xml:space="preserve">种税费、利润、税金、政策性文件规定及包含的所有风险、责任等各项应有费用，以及为完成该项目所涉及到的一切相关费用，采购人不再支付其他任何费用。</w:t>
      </w:r>
      <w:r>
        <w:rPr>
          <w:rFonts w:hint="eastAsia" w:ascii="宋体" w:hAnsi="宋体" w:cs="宋体"/>
          <w:spacing w:val="2"/>
          <w:sz w:val="24"/>
          <w:highlight w:val="none"/>
        </w:rPr>
      </w:r>
      <w:r/>
    </w:p>
    <w:p>
      <w:pPr>
        <w:pStyle w:val="1002"/>
        <w:ind w:firstLine="488"/>
        <w:spacing w:line="360" w:lineRule="auto"/>
        <w:rPr>
          <w:rFonts w:hint="eastAsia" w:ascii="宋体" w:hAnsi="宋体" w:cs="宋体"/>
          <w:b/>
          <w:bCs/>
          <w:sz w:val="24"/>
          <w:highlight w:val="none"/>
        </w:rPr>
      </w:pPr>
      <w:r>
        <w:rPr>
          <w:rFonts w:hint="eastAsia" w:ascii="宋体" w:hAnsi="宋体" w:cs="宋体"/>
          <w:spacing w:val="2"/>
          <w:sz w:val="24"/>
          <w:highlight w:val="none"/>
        </w:rPr>
        <w:t xml:space="preserve">报价货币为人民币，评审时以人民币为准。</w:t>
      </w:r>
      <w:r>
        <w:rPr>
          <w:rFonts w:hint="eastAsia" w:ascii="宋体" w:hAnsi="宋体" w:cs="宋体"/>
          <w:b/>
          <w:bCs/>
          <w:sz w:val="24"/>
          <w:highlight w:val="none"/>
        </w:rPr>
      </w:r>
      <w:r/>
    </w:p>
    <w:p>
      <w:pPr>
        <w:pStyle w:val="1092"/>
        <w:contextualSpacing/>
        <w:ind w:firstLine="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三、技术要求</w:t>
      </w:r>
      <w:r>
        <w:rPr>
          <w:rFonts w:hint="eastAsia" w:ascii="宋体" w:hAnsi="宋体" w:cs="宋体"/>
          <w:b/>
          <w:bCs/>
          <w:sz w:val="24"/>
          <w:szCs w:val="24"/>
          <w:highlight w:val="none"/>
        </w:rPr>
      </w:r>
      <w:r/>
    </w:p>
    <w:p>
      <w:pPr>
        <w:pStyle w:val="1002"/>
        <w:ind w:firstLine="480"/>
        <w:spacing w:before="20" w:after="20" w:line="360" w:lineRule="auto"/>
        <w:widowControl/>
        <w:rPr>
          <w:rFonts w:hint="eastAsia" w:ascii="宋体" w:hAnsi="宋体" w:cs="宋体"/>
          <w:bCs/>
          <w:sz w:val="24"/>
        </w:rPr>
        <w:outlineLvl w:val="1"/>
      </w:pPr>
      <w:r>
        <w:rPr>
          <w:rFonts w:hint="eastAsia" w:ascii="宋体" w:hAnsi="宋体" w:cs="宋体"/>
          <w:bCs/>
          <w:sz w:val="24"/>
        </w:rPr>
        <w:t xml:space="preserve">包一：仪器设备托管运维（一）</w:t>
      </w:r>
      <w:r>
        <w:rPr>
          <w:rFonts w:hint="eastAsia" w:ascii="宋体" w:hAnsi="宋体" w:cs="宋体"/>
          <w:bCs/>
          <w:sz w:val="24"/>
        </w:rPr>
      </w:r>
      <w:r/>
    </w:p>
    <w:p>
      <w:pPr>
        <w:pStyle w:val="1002"/>
        <w:ind w:firstLine="480"/>
        <w:spacing w:before="20" w:after="20" w:line="360" w:lineRule="auto"/>
        <w:widowControl/>
        <w:rPr>
          <w:rFonts w:hint="eastAsia" w:ascii="宋体" w:hAnsi="宋体" w:cs="宋体"/>
          <w:sz w:val="24"/>
        </w:rPr>
      </w:pPr>
      <w:r>
        <w:rPr>
          <w:rFonts w:hint="eastAsia" w:ascii="宋体" w:hAnsi="宋体" w:cs="宋体"/>
          <w:sz w:val="24"/>
        </w:rPr>
        <w:t xml:space="preserve">覆盖以下4台（套）核心仪器的托管运维、维修、</w:t>
      </w:r>
      <w:bookmarkStart w:id="796" w:name="OLE_LINK6"/>
      <w:r>
        <w:rPr>
          <w:rFonts w:hint="eastAsia" w:ascii="宋体" w:hAnsi="宋体" w:cs="宋体"/>
          <w:sz w:val="24"/>
        </w:rPr>
        <w:t xml:space="preserve">质控、数据初审</w:t>
      </w:r>
      <w:bookmarkEnd w:id="796"/>
      <w:r>
        <w:rPr>
          <w:rFonts w:hint="eastAsia" w:ascii="宋体" w:hAnsi="宋体" w:cs="宋体"/>
          <w:sz w:val="24"/>
        </w:rPr>
        <w:t xml:space="preserve">、站房环境保障、配合数据传输等，所有相关费用均由中标单位承担。运维质控等相关工作执行国家和省有关标准（如HJ 1327—2023、HJ 1328—2023、HJ 1329—2023等）、《大气超级站质控质保体系技术规范》《国家大气光化学监测网自动监测数据审核技术指南（2021版）（试行）》及最新要求，应接受管理部门质控抽查及中心日常监督检查。</w:t>
      </w:r>
      <w:r>
        <w:rPr>
          <w:rFonts w:hint="eastAsia" w:ascii="宋体" w:hAnsi="宋体" w:cs="宋体"/>
          <w:sz w:val="24"/>
        </w:rPr>
      </w:r>
      <w:r/>
    </w:p>
    <w:tbl>
      <w:tblPr>
        <w:tblW w:w="5000" w:type="pct"/>
        <w:jc w:val="center"/>
        <w:tblInd w:w="-90" w:type="dxa"/>
        <w:tblLayout w:type="autofit"/>
        <w:tblCellMar>
          <w:left w:w="90" w:type="dxa"/>
          <w:top w:w="60" w:type="dxa"/>
          <w:right w:w="90" w:type="dxa"/>
          <w:bottom w:w="60" w:type="dxa"/>
        </w:tblCellMar>
        <w:tblLook w:val="04A0" w:firstRow="1" w:lastRow="0" w:firstColumn="1" w:lastColumn="0" w:noHBand="0" w:noVBand="1"/>
      </w:tblPr>
      <w:tblGrid>
        <w:gridCol w:w="1108"/>
        <w:gridCol w:w="5121"/>
        <w:gridCol w:w="1108"/>
        <w:gridCol w:w="1915"/>
      </w:tblGrid>
      <w:tr>
        <w:trPr/>
        <w:tc>
          <w:tcPr>
            <w:shd w:val="clear" w:color="auto" w:fill="f0f0f0"/>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shd w:val="clear" w:color="auto" w:fill="f0f0f0"/>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5121" w:type="dxa"/>
            <w:vAlign w:val="center"/>
            <w:textDirection w:val="lrTb"/>
            <w:noWrap w:val="false"/>
          </w:tcPr>
          <w:p>
            <w:pPr>
              <w:pStyle w:val="1002"/>
              <w:jc w:val="center"/>
              <w:spacing w:before="20" w:after="20" w:line="360" w:lineRule="auto"/>
              <w:widowControl/>
              <w:rPr>
                <w:rFonts w:hint="eastAsia" w:ascii="宋体" w:hAnsi="宋体" w:cs="宋体"/>
                <w:b/>
                <w:bCs/>
                <w:sz w:val="24"/>
              </w:rPr>
            </w:pPr>
            <w:r>
              <w:rPr>
                <w:rFonts w:hint="eastAsia" w:ascii="宋体" w:hAnsi="宋体" w:cs="宋体"/>
                <w:b/>
                <w:bCs/>
                <w:sz w:val="24"/>
              </w:rPr>
              <w:t xml:space="preserve">仪器名称</w:t>
            </w:r>
            <w:r>
              <w:rPr>
                <w:rFonts w:hint="eastAsia" w:ascii="宋体" w:hAnsi="宋体" w:cs="宋体"/>
                <w:b/>
                <w:bCs/>
                <w:sz w:val="24"/>
              </w:rPr>
            </w:r>
            <w:r/>
          </w:p>
        </w:tc>
        <w:tc>
          <w:tcPr>
            <w:shd w:val="clear" w:color="auto" w:fill="f0f0f0"/>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shd w:val="clear" w:color="auto" w:fill="f0f0f0"/>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915" w:type="dxa"/>
            <w:vAlign w:val="center"/>
            <w:textDirection w:val="lrTb"/>
            <w:noWrap w:val="false"/>
          </w:tcPr>
          <w:p>
            <w:pPr>
              <w:pStyle w:val="1002"/>
              <w:jc w:val="center"/>
              <w:spacing w:before="20" w:after="20" w:line="360" w:lineRule="auto"/>
              <w:widowControl/>
              <w:rPr>
                <w:rFonts w:hint="eastAsia" w:ascii="宋体" w:hAnsi="宋体" w:cs="宋体"/>
                <w:b/>
                <w:bCs/>
                <w:sz w:val="24"/>
              </w:rPr>
            </w:pPr>
            <w:r>
              <w:rPr>
                <w:rFonts w:hint="eastAsia" w:ascii="宋体" w:hAnsi="宋体" w:cs="宋体"/>
                <w:b/>
                <w:bCs/>
                <w:sz w:val="24"/>
              </w:rPr>
              <w:t xml:space="preserve">采购日期</w:t>
            </w:r>
            <w:r>
              <w:rPr>
                <w:rFonts w:hint="eastAsia" w:ascii="宋体" w:hAnsi="宋体" w:cs="宋体"/>
                <w:b/>
                <w:bCs/>
                <w:sz w:val="24"/>
              </w:rPr>
            </w:r>
            <w:r/>
          </w:p>
        </w:tc>
      </w:tr>
      <w:tr>
        <w:trPr/>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5121"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碳质气溶胶连续监测分析仪</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915"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2020年</w:t>
            </w: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5121"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无机元素连续监测分析仪</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915"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2020年</w:t>
            </w: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5121"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在线离子色谱</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915"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2016年</w:t>
            </w: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5121"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细颗粒物分析仪（PM</w:t>
            </w:r>
            <w:r>
              <w:rPr>
                <w:rFonts w:hint="eastAsia" w:ascii="宋体" w:hAnsi="宋体" w:cs="宋体"/>
                <w:sz w:val="24"/>
                <w:vertAlign w:val="subscript"/>
              </w:rPr>
              <w:t xml:space="preserve">1</w:t>
            </w:r>
            <w:r>
              <w:rPr>
                <w:rFonts w:hint="eastAsia" w:ascii="宋体" w:hAnsi="宋体" w:cs="宋体"/>
                <w:sz w:val="24"/>
              </w:rPr>
              <w:t xml:space="preserve">）</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08"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915" w:type="dxa"/>
            <w:vAlign w:val="center"/>
            <w:textDirection w:val="lrTb"/>
            <w:noWrap w:val="false"/>
          </w:tcPr>
          <w:p>
            <w:pPr>
              <w:pStyle w:val="1002"/>
              <w:jc w:val="center"/>
              <w:spacing w:before="20" w:after="20" w:line="360" w:lineRule="auto"/>
              <w:widowControl/>
              <w:rPr>
                <w:rFonts w:hint="eastAsia" w:ascii="宋体" w:hAnsi="宋体" w:cs="宋体"/>
                <w:sz w:val="24"/>
              </w:rPr>
            </w:pPr>
            <w:r>
              <w:rPr>
                <w:rFonts w:hint="eastAsia" w:ascii="宋体" w:hAnsi="宋体" w:cs="宋体"/>
                <w:sz w:val="24"/>
              </w:rPr>
              <w:t xml:space="preserve">2015年</w:t>
            </w:r>
            <w:r>
              <w:rPr>
                <w:rFonts w:hint="eastAsia" w:ascii="宋体" w:hAnsi="宋体" w:cs="宋体"/>
                <w:sz w:val="24"/>
              </w:rPr>
            </w:r>
            <w:r/>
          </w:p>
        </w:tc>
      </w:tr>
    </w:tbl>
    <w:p>
      <w:pPr>
        <w:pStyle w:val="1002"/>
        <w:ind w:firstLine="480"/>
        <w:spacing w:before="20" w:after="20" w:line="360" w:lineRule="auto"/>
        <w:widowControl/>
        <w:rPr>
          <w:rFonts w:hint="eastAsia" w:ascii="宋体" w:hAnsi="宋体" w:cs="宋体"/>
          <w:bCs/>
          <w:sz w:val="24"/>
        </w:rPr>
        <w:outlineLvl w:val="1"/>
      </w:pPr>
      <w:r>
        <w:rPr>
          <w:rFonts w:hint="eastAsia" w:ascii="宋体" w:hAnsi="宋体" w:cs="宋体"/>
          <w:bCs/>
          <w:sz w:val="24"/>
        </w:rPr>
        <w:t xml:space="preserve">包二：仪器设备托管运维（二）</w:t>
      </w:r>
      <w:r>
        <w:rPr>
          <w:rFonts w:hint="eastAsia" w:ascii="宋体" w:hAnsi="宋体" w:cs="宋体"/>
          <w:bCs/>
          <w:sz w:val="24"/>
        </w:rPr>
      </w:r>
      <w:r/>
    </w:p>
    <w:p>
      <w:pPr>
        <w:pStyle w:val="1002"/>
        <w:ind w:firstLine="480"/>
        <w:spacing w:before="20" w:after="20" w:line="360" w:lineRule="auto"/>
        <w:widowControl/>
        <w:rPr>
          <w:rFonts w:hint="eastAsia" w:ascii="宋体" w:hAnsi="宋体" w:cs="宋体"/>
          <w:sz w:val="24"/>
        </w:rPr>
      </w:pPr>
      <w:r>
        <w:rPr>
          <w:rFonts w:hint="eastAsia" w:ascii="宋体" w:hAnsi="宋体" w:cs="宋体"/>
          <w:sz w:val="24"/>
        </w:rPr>
        <w:t xml:space="preserve">覆盖以下3台（套）核心仪器的托管运维、维修、质控、数据初审、站房环境保障</w:t>
      </w:r>
      <w:bookmarkStart w:id="797" w:name="OLE_LINK8"/>
      <w:r/>
      <w:bookmarkStart w:id="798" w:name="OLE_LINK7"/>
      <w:r>
        <w:rPr>
          <w:rFonts w:hint="eastAsia" w:ascii="宋体" w:hAnsi="宋体" w:cs="宋体"/>
          <w:sz w:val="24"/>
        </w:rPr>
        <w:t xml:space="preserve">、配合数据传输</w:t>
      </w:r>
      <w:bookmarkEnd w:id="797"/>
      <w:r/>
      <w:bookmarkEnd w:id="798"/>
      <w:r>
        <w:rPr>
          <w:rFonts w:hint="eastAsia" w:ascii="宋体" w:hAnsi="宋体" w:cs="宋体"/>
          <w:sz w:val="24"/>
        </w:rPr>
        <w:t xml:space="preserve">等，所有相关费用均由中标单位承担。运维质控等相关工作执行《国家环境空气监测网环境空气挥发性有机物连续自动监测质量控制技术规定(试行) 》</w:t>
      </w:r>
      <w:bookmarkStart w:id="799" w:name="_Hlk236668308"/>
      <w:r>
        <w:rPr>
          <w:rFonts w:hint="eastAsia" w:ascii="宋体" w:hAnsi="宋体" w:cs="宋体"/>
          <w:sz w:val="24"/>
        </w:rPr>
        <w:t xml:space="preserve">《大气超级站质控质保体系技术规范》《国家大气光化学监测网自动监测数据审核技术指南（2021版）（试行）》</w:t>
      </w:r>
      <w:bookmarkEnd w:id="799"/>
      <w:r>
        <w:rPr>
          <w:rFonts w:hint="eastAsia" w:ascii="宋体" w:hAnsi="宋体" w:cs="宋体"/>
          <w:sz w:val="24"/>
        </w:rPr>
        <w:t xml:space="preserve">等。</w:t>
      </w:r>
      <w:r>
        <w:rPr>
          <w:rFonts w:hint="eastAsia" w:ascii="宋体" w:hAnsi="宋体" w:cs="宋体"/>
          <w:sz w:val="24"/>
        </w:rPr>
      </w:r>
      <w:r/>
    </w:p>
    <w:tbl>
      <w:tblPr>
        <w:tblW w:w="5000" w:type="pct"/>
        <w:tblInd w:w="-90" w:type="dxa"/>
        <w:tblLayout w:type="autofit"/>
        <w:tblCellMar>
          <w:left w:w="90" w:type="dxa"/>
          <w:top w:w="60" w:type="dxa"/>
          <w:right w:w="90" w:type="dxa"/>
          <w:bottom w:w="60" w:type="dxa"/>
        </w:tblCellMar>
        <w:tblLook w:val="04A0" w:firstRow="1" w:lastRow="0" w:firstColumn="1" w:lastColumn="0" w:noHBand="0" w:noVBand="1"/>
      </w:tblPr>
      <w:tblGrid>
        <w:gridCol w:w="1157"/>
        <w:gridCol w:w="4093"/>
        <w:gridCol w:w="1158"/>
        <w:gridCol w:w="2844"/>
      </w:tblGrid>
      <w:tr>
        <w:trPr/>
        <w:tc>
          <w:tcPr>
            <w:shd w:val="clear" w:color="auto" w:fill="f0f0f0"/>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57" w:type="dxa"/>
            <w:vAlign w:val="center"/>
            <w:textDirection w:val="lrTb"/>
            <w:noWrap w:val="false"/>
          </w:tcPr>
          <w:p>
            <w:pPr>
              <w:pStyle w:val="1002"/>
              <w:jc w:val="center"/>
              <w:spacing w:before="20" w:after="20" w:line="360" w:lineRule="auto"/>
              <w:widowControl/>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shd w:val="clear" w:color="auto" w:fill="f0f0f0"/>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4093" w:type="dxa"/>
            <w:vAlign w:val="center"/>
            <w:textDirection w:val="lrTb"/>
            <w:noWrap w:val="false"/>
          </w:tcPr>
          <w:p>
            <w:pPr>
              <w:pStyle w:val="1002"/>
              <w:jc w:val="center"/>
              <w:spacing w:before="20" w:after="20" w:line="360" w:lineRule="auto"/>
              <w:widowControl/>
              <w:rPr>
                <w:rFonts w:hint="eastAsia" w:ascii="宋体" w:hAnsi="宋体" w:cs="宋体"/>
                <w:b/>
                <w:bCs/>
                <w:sz w:val="24"/>
              </w:rPr>
            </w:pPr>
            <w:r>
              <w:rPr>
                <w:rFonts w:hint="eastAsia" w:ascii="宋体" w:hAnsi="宋体" w:cs="宋体"/>
                <w:b/>
                <w:bCs/>
                <w:sz w:val="24"/>
              </w:rPr>
              <w:t xml:space="preserve">仪器名称</w:t>
            </w:r>
            <w:r>
              <w:rPr>
                <w:rFonts w:hint="eastAsia" w:ascii="宋体" w:hAnsi="宋体" w:cs="宋体"/>
                <w:b/>
                <w:bCs/>
                <w:sz w:val="24"/>
              </w:rPr>
            </w:r>
            <w:r/>
          </w:p>
        </w:tc>
        <w:tc>
          <w:tcPr>
            <w:shd w:val="clear" w:color="auto" w:fill="f0f0f0"/>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58" w:type="dxa"/>
            <w:vAlign w:val="center"/>
            <w:textDirection w:val="lrTb"/>
            <w:noWrap w:val="false"/>
          </w:tcPr>
          <w:p>
            <w:pPr>
              <w:pStyle w:val="1002"/>
              <w:jc w:val="center"/>
              <w:spacing w:before="20" w:after="20" w:line="360" w:lineRule="auto"/>
              <w:widowControl/>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shd w:val="clear" w:color="auto" w:fill="f0f0f0"/>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2844" w:type="dxa"/>
            <w:vAlign w:val="center"/>
            <w:textDirection w:val="lrTb"/>
            <w:noWrap w:val="false"/>
          </w:tcPr>
          <w:p>
            <w:pPr>
              <w:pStyle w:val="1002"/>
              <w:jc w:val="center"/>
              <w:spacing w:before="20" w:after="20" w:line="360" w:lineRule="auto"/>
              <w:widowControl/>
              <w:rPr>
                <w:rFonts w:hint="eastAsia" w:ascii="宋体" w:hAnsi="宋体" w:cs="宋体"/>
                <w:b/>
                <w:bCs/>
                <w:sz w:val="24"/>
              </w:rPr>
            </w:pPr>
            <w:r>
              <w:rPr>
                <w:rFonts w:hint="eastAsia" w:ascii="宋体" w:hAnsi="宋体" w:cs="宋体"/>
                <w:b/>
                <w:bCs/>
                <w:sz w:val="24"/>
              </w:rPr>
              <w:t xml:space="preserve">仪器采购日期</w:t>
            </w:r>
            <w:r>
              <w:rPr>
                <w:rFonts w:hint="eastAsia" w:ascii="宋体" w:hAnsi="宋体" w:cs="宋体"/>
                <w:b/>
                <w:bCs/>
                <w:sz w:val="24"/>
              </w:rPr>
            </w:r>
            <w:r/>
          </w:p>
        </w:tc>
      </w:tr>
      <w:tr>
        <w:trPr/>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57"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4093"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VOC在线分析仪</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58"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2844"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2021年</w:t>
            </w: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57"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4093"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大气气溶胶激光雷达</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58"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2844"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2015年</w:t>
            </w:r>
            <w:r>
              <w:rPr>
                <w:rFonts w:hint="eastAsia" w:ascii="宋体" w:hAnsi="宋体" w:cs="宋体"/>
                <w:bCs/>
                <w:sz w:val="24"/>
              </w:rPr>
            </w:r>
            <w:r/>
          </w:p>
        </w:tc>
      </w:tr>
      <w:tr>
        <w:trPr/>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57"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4093"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激光云高仪</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1158"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Mar>
              <w:left w:w="90" w:type="dxa"/>
              <w:top w:w="60" w:type="dxa"/>
              <w:right w:w="90" w:type="dxa"/>
              <w:bottom w:w="60" w:type="dxa"/>
            </w:tcMar>
            <w:tcW w:w="2844" w:type="dxa"/>
            <w:vAlign w:val="center"/>
            <w:textDirection w:val="lrTb"/>
            <w:noWrap w:val="false"/>
          </w:tcPr>
          <w:p>
            <w:pPr>
              <w:pStyle w:val="1002"/>
              <w:jc w:val="center"/>
              <w:spacing w:before="20" w:after="20" w:line="360" w:lineRule="auto"/>
              <w:widowControl/>
              <w:rPr>
                <w:rFonts w:hint="eastAsia" w:ascii="宋体" w:hAnsi="宋体" w:cs="宋体"/>
                <w:bCs/>
                <w:sz w:val="24"/>
              </w:rPr>
            </w:pPr>
            <w:r>
              <w:rPr>
                <w:rFonts w:hint="eastAsia" w:ascii="宋体" w:hAnsi="宋体" w:cs="宋体"/>
                <w:bCs/>
                <w:sz w:val="24"/>
              </w:rPr>
              <w:t xml:space="preserve">2012年</w:t>
            </w:r>
            <w:r>
              <w:rPr>
                <w:rFonts w:hint="eastAsia" w:ascii="宋体" w:hAnsi="宋体" w:cs="宋体"/>
                <w:bCs/>
                <w:sz w:val="24"/>
              </w:rPr>
            </w:r>
            <w:r/>
          </w:p>
        </w:tc>
      </w:tr>
    </w:tbl>
    <w:p>
      <w:pPr>
        <w:pStyle w:val="1002"/>
        <w:ind w:firstLine="480"/>
        <w:spacing w:before="20" w:after="20" w:line="360" w:lineRule="auto"/>
        <w:widowControl/>
        <w:rPr>
          <w:rFonts w:hint="eastAsia" w:ascii="宋体" w:hAnsi="宋体" w:cs="宋体"/>
          <w:bCs/>
          <w:sz w:val="24"/>
        </w:rPr>
        <w:outlineLvl w:val="1"/>
      </w:pPr>
      <w:r>
        <w:rPr>
          <w:rFonts w:hint="eastAsia" w:ascii="宋体" w:hAnsi="宋体" w:cs="宋体"/>
          <w:bCs/>
          <w:sz w:val="24"/>
        </w:rPr>
        <w:t xml:space="preserve">包三：数据采集与联网提升服务</w:t>
      </w:r>
      <w:r>
        <w:rPr>
          <w:rFonts w:hint="eastAsia" w:ascii="宋体" w:hAnsi="宋体" w:cs="宋体"/>
          <w:bCs/>
          <w:sz w:val="24"/>
        </w:rPr>
      </w:r>
      <w:r/>
    </w:p>
    <w:p>
      <w:pPr>
        <w:pStyle w:val="1002"/>
        <w:ind w:firstLine="480"/>
        <w:spacing w:before="20" w:after="20" w:line="360" w:lineRule="auto"/>
        <w:widowControl/>
        <w:rPr>
          <w:rFonts w:hint="eastAsia" w:ascii="宋体" w:hAnsi="宋体" w:cs="宋体"/>
          <w:sz w:val="24"/>
        </w:rPr>
      </w:pPr>
      <w:r>
        <w:rPr>
          <w:rFonts w:hint="eastAsia" w:ascii="宋体" w:hAnsi="宋体" w:cs="宋体"/>
          <w:sz w:val="24"/>
        </w:rPr>
        <w:t xml:space="preserve">为解决原平台数据采集和传输的系统性短板，保障日常业务流转，本采购包整合了数据采集与联网提升服务。具体需求如下：</w:t>
      </w:r>
      <w:r>
        <w:rPr>
          <w:rFonts w:hint="eastAsia" w:ascii="宋体" w:hAnsi="宋体" w:cs="宋体"/>
          <w:sz w:val="24"/>
        </w:rPr>
      </w:r>
      <w:r/>
    </w:p>
    <w:p>
      <w:pPr>
        <w:pStyle w:val="1002"/>
        <w:ind w:firstLine="482"/>
        <w:spacing w:before="20" w:after="20" w:line="360" w:lineRule="auto"/>
        <w:widowControl/>
        <w:rPr>
          <w:rFonts w:hint="eastAsia" w:ascii="宋体" w:hAnsi="宋体" w:cs="宋体"/>
          <w:b/>
          <w:sz w:val="24"/>
          <w:highlight w:val="none"/>
        </w:rPr>
        <w:outlineLvl w:val="2"/>
      </w:pPr>
      <w:r>
        <w:rPr>
          <w:rFonts w:hint="eastAsia" w:ascii="宋体" w:hAnsi="宋体" w:cs="宋体"/>
          <w:b/>
          <w:sz w:val="24"/>
          <w:highlight w:val="none"/>
        </w:rPr>
        <w:t xml:space="preserve">1、仪器端数据全量采集配置调试</w:t>
      </w:r>
      <w:r>
        <w:rPr>
          <w:rFonts w:hint="eastAsia" w:ascii="宋体" w:hAnsi="宋体" w:cs="宋体"/>
          <w:b/>
          <w:sz w:val="24"/>
          <w:highlight w:val="none"/>
        </w:rPr>
      </w:r>
      <w:r/>
    </w:p>
    <w:p>
      <w:pPr>
        <w:pStyle w:val="1002"/>
        <w:ind w:firstLine="480"/>
        <w:spacing w:before="20" w:after="20" w:line="360" w:lineRule="auto"/>
        <w:widowControl/>
        <w:rPr>
          <w:rFonts w:hint="eastAsia" w:ascii="宋体" w:hAnsi="宋体" w:cs="宋体"/>
          <w:sz w:val="24"/>
          <w:highlight w:val="none"/>
        </w:rPr>
      </w:pPr>
      <w:r>
        <w:rPr>
          <w:rFonts w:hint="eastAsia" w:ascii="宋体" w:hAnsi="宋体" w:cs="宋体"/>
          <w:sz w:val="24"/>
          <w:highlight w:val="none"/>
        </w:rPr>
        <w:t xml:space="preserve">完善实时数据采集功能并迁移至现有数据中心。对大气多参数站内所有仪器的数据采集</w:t>
      </w:r>
      <w:r>
        <w:rPr>
          <w:rFonts w:ascii="Segoe UI" w:hAnsi="Segoe UI" w:eastAsia="Segoe UI" w:cs="Segoe UI"/>
          <w:b/>
          <w:bCs/>
          <w:color w:val="0f1115"/>
          <w:sz w:val="24"/>
          <w:highlight w:val="none"/>
          <w:shd w:val="clear" w:color="auto" w:fill="ffffff"/>
        </w:rPr>
        <w:t xml:space="preserve">参数配置调试</w:t>
      </w:r>
      <w:r>
        <w:rPr>
          <w:rFonts w:hint="eastAsia" w:ascii="宋体" w:hAnsi="宋体" w:cs="宋体"/>
          <w:sz w:val="24"/>
          <w:highlight w:val="none"/>
        </w:rPr>
        <w:t xml:space="preserve">，重点覆盖CO₂、甲烷-非甲烷总烃、N₂O、NOy、细颗粒物（PM₁）、激光云高仪、碳质气溶胶、无机元素、在线离子色谱、大气气溶胶激光雷达、VOC在线分析仪等复杂特征因子仪器，确保所有仪器端数据全量实时采集并同步入库，彻底消除数据监控盲区。</w:t>
      </w:r>
      <w:r>
        <w:rPr>
          <w:rFonts w:hint="eastAsia" w:ascii="宋体" w:hAnsi="宋体" w:cs="宋体"/>
          <w:sz w:val="24"/>
          <w:highlight w:val="none"/>
        </w:rPr>
      </w:r>
      <w:r/>
    </w:p>
    <w:p>
      <w:pPr>
        <w:pStyle w:val="1002"/>
        <w:ind w:firstLine="482"/>
        <w:spacing w:before="20" w:after="20" w:line="360" w:lineRule="auto"/>
        <w:widowControl/>
        <w:rPr>
          <w:rFonts w:hint="eastAsia" w:ascii="宋体" w:hAnsi="宋体" w:cs="宋体"/>
          <w:b/>
          <w:sz w:val="24"/>
          <w:highlight w:val="none"/>
        </w:rPr>
        <w:outlineLvl w:val="2"/>
      </w:pPr>
      <w:r>
        <w:rPr>
          <w:rFonts w:hint="eastAsia" w:ascii="宋体" w:hAnsi="宋体" w:cs="宋体"/>
          <w:b/>
          <w:sz w:val="24"/>
          <w:highlight w:val="none"/>
        </w:rPr>
        <w:t xml:space="preserve">2、国省审核数据回流接口部署</w:t>
      </w:r>
      <w:r>
        <w:rPr>
          <w:rFonts w:hint="eastAsia" w:ascii="宋体" w:hAnsi="宋体" w:cs="宋体"/>
          <w:b/>
          <w:sz w:val="24"/>
          <w:highlight w:val="none"/>
        </w:rPr>
      </w:r>
      <w:r/>
    </w:p>
    <w:p>
      <w:pPr>
        <w:pStyle w:val="1002"/>
        <w:ind w:firstLine="480"/>
        <w:spacing w:before="20" w:after="20" w:line="360" w:lineRule="auto"/>
        <w:widowControl/>
        <w:rPr>
          <w:rFonts w:hint="eastAsia" w:ascii="宋体" w:hAnsi="宋体" w:cs="宋体"/>
          <w:sz w:val="24"/>
          <w:highlight w:val="none"/>
        </w:rPr>
        <w:outlineLvl w:val="2"/>
      </w:pPr>
      <w:r>
        <w:rPr>
          <w:rFonts w:hint="eastAsia" w:ascii="宋体" w:hAnsi="宋体" w:cs="宋体"/>
          <w:sz w:val="24"/>
          <w:highlight w:val="none"/>
        </w:rPr>
        <w:t xml:space="preserve">对接国家和省平台（“国家大气颗粒物组分及光化学监测数据集成和综合分析平台”及“江苏省大气颗粒物组分及VOCs多元综合分析子系统”），部署数据回流接口。实现国家颗粒物组分网、光化学网等审核后数据的自动回流与同步入库，保障本地数据与上级审核数据的一致性，为大气污染溯源分析提供权威数据支撑。</w:t>
      </w:r>
      <w:r>
        <w:rPr>
          <w:rFonts w:hint="eastAsia" w:ascii="宋体" w:hAnsi="宋体" w:cs="宋体"/>
          <w:sz w:val="24"/>
          <w:highlight w:val="none"/>
        </w:rPr>
      </w:r>
      <w:r/>
    </w:p>
    <w:p>
      <w:pPr>
        <w:pStyle w:val="1002"/>
        <w:ind w:firstLine="482"/>
        <w:spacing w:before="20" w:after="20" w:line="360" w:lineRule="auto"/>
        <w:widowControl/>
        <w:rPr>
          <w:rFonts w:hint="eastAsia" w:ascii="宋体" w:hAnsi="宋体" w:cs="宋体"/>
          <w:b/>
          <w:sz w:val="24"/>
          <w:highlight w:val="none"/>
        </w:rPr>
        <w:outlineLvl w:val="2"/>
      </w:pPr>
      <w:r>
        <w:rPr>
          <w:rFonts w:hint="eastAsia" w:ascii="宋体" w:hAnsi="宋体" w:cs="宋体"/>
          <w:b/>
          <w:sz w:val="24"/>
          <w:highlight w:val="none"/>
        </w:rPr>
        <w:t xml:space="preserve">3、加密VPN及总站上传链路配置调试</w:t>
      </w:r>
      <w:r>
        <w:rPr>
          <w:rFonts w:hint="eastAsia" w:ascii="宋体" w:hAnsi="宋体" w:cs="宋体"/>
          <w:b/>
          <w:sz w:val="24"/>
          <w:highlight w:val="none"/>
        </w:rPr>
      </w:r>
      <w:r/>
    </w:p>
    <w:p>
      <w:pPr>
        <w:pStyle w:val="1002"/>
        <w:ind w:firstLine="480"/>
        <w:spacing w:before="20" w:after="20" w:line="360" w:lineRule="auto"/>
        <w:widowControl/>
        <w:rPr>
          <w:rFonts w:hint="eastAsia" w:ascii="宋体" w:hAnsi="宋体" w:cs="宋体"/>
          <w:sz w:val="24"/>
          <w:highlight w:val="none"/>
        </w:rPr>
      </w:pPr>
      <w:r>
        <w:rPr>
          <w:rFonts w:hint="eastAsia" w:ascii="宋体" w:hAnsi="宋体" w:cs="宋体"/>
          <w:sz w:val="24"/>
          <w:highlight w:val="none"/>
        </w:rPr>
        <w:t xml:space="preserve">全面排查并修复现有加密VPN网络故障，重构稳定、安全的VPN传输通道；完成激光雷达等设备的联网参数配置与上传链路调试，确保雷达、VOC、离子色谱等特征因子数据严格按照《国家大气颗粒物组分自动监测数据联网技术规定》（总站气字〔2019〕187号）等规范要求，稳定直连国家平台。</w:t>
      </w:r>
      <w:r>
        <w:rPr>
          <w:rFonts w:hint="eastAsia" w:ascii="宋体" w:hAnsi="宋体" w:cs="宋体"/>
          <w:sz w:val="24"/>
          <w:highlight w:val="none"/>
        </w:rPr>
      </w:r>
      <w:r/>
    </w:p>
    <w:p>
      <w:pPr>
        <w:pStyle w:val="1002"/>
        <w:contextualSpacing/>
        <w:spacing w:line="360" w:lineRule="auto"/>
        <w:widowControl/>
        <w:rPr>
          <w:rFonts w:hint="eastAsia" w:eastAsia="宋体"/>
          <w:b/>
          <w:color w:val="7e7e7e"/>
          <w:sz w:val="24"/>
          <w:lang w:eastAsia="zh-CN"/>
        </w:rPr>
      </w:pPr>
      <w:r>
        <w:rPr>
          <w:rFonts w:hint="eastAsia" w:eastAsia="宋体"/>
          <w:b/>
          <w:color w:val="7e7e7e"/>
          <w:sz w:val="24"/>
          <w:lang w:eastAsia="zh-CN"/>
        </w:rPr>
      </w:r>
      <w:r/>
    </w:p>
    <w:p>
      <w:pPr>
        <w:pStyle w:val="1086"/>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1003"/>
        <w:rPr>
          <w:rFonts w:hint="eastAsia"/>
          <w:sz w:val="44"/>
          <w:szCs w:val="44"/>
        </w:rPr>
      </w:pPr>
      <w:r/>
      <w:bookmarkStart w:id="800" w:name="_Toc3995"/>
      <w:r/>
      <w:bookmarkStart w:id="801" w:name="_Toc6509"/>
      <w:r>
        <w:rPr>
          <w:rFonts w:hint="eastAsia"/>
          <w:sz w:val="44"/>
          <w:szCs w:val="44"/>
        </w:rPr>
        <w:t xml:space="preserve">第六章 拟签订的合同文本</w:t>
      </w:r>
      <w:bookmarkEnd w:id="801"/>
      <w:r>
        <w:rPr>
          <w:rFonts w:hint="eastAsia"/>
          <w:sz w:val="44"/>
          <w:szCs w:val="44"/>
        </w:rPr>
      </w:r>
      <w:r/>
    </w:p>
    <w:p>
      <w:pPr>
        <w:pStyle w:val="1002"/>
        <w:ind w:firstLine="480"/>
        <w:spacing w:line="500" w:lineRule="exact"/>
        <w:rPr>
          <w:rFonts w:hint="eastAsia" w:ascii="宋体" w:hAnsi="宋体"/>
          <w:bCs/>
          <w:sz w:val="24"/>
        </w:rPr>
      </w:pPr>
      <w:r/>
      <w:bookmarkStart w:id="802" w:name="_Toc513029243"/>
      <w:r/>
      <w:bookmarkStart w:id="803" w:name="_Toc16938559"/>
      <w:r/>
      <w:bookmarkStart w:id="804"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1002"/>
        <w:jc w:val="center"/>
        <w:spacing w:before="156" w:after="156"/>
        <w:rPr>
          <w:rFonts w:hint="eastAsia" w:ascii="宋体" w:hAnsi="宋体"/>
          <w:b/>
          <w:bCs/>
          <w:sz w:val="30"/>
          <w:szCs w:val="20"/>
        </w:rPr>
        <w:outlineLvl w:val="0"/>
      </w:pPr>
      <w:r>
        <w:rPr>
          <w:rFonts w:hint="eastAsia" w:ascii="宋体" w:hAnsi="宋体"/>
          <w:b/>
          <w:sz w:val="30"/>
        </w:rPr>
        <w:t xml:space="preserve">常州市政府采购合同（服务）（合同编号）</w:t>
      </w:r>
      <w:r>
        <w:rPr>
          <w:rFonts w:hint="eastAsia" w:ascii="宋体" w:hAnsi="宋体"/>
          <w:b/>
          <w:bCs/>
          <w:sz w:val="30"/>
          <w:szCs w:val="20"/>
        </w:rPr>
      </w:r>
      <w:r/>
    </w:p>
    <w:p>
      <w:pPr>
        <w:pStyle w:val="1279"/>
        <w:spacing w:before="120" w:after="120"/>
        <w:rPr>
          <w:rFonts w:hint="eastAsia" w:hAnsi="宋体"/>
          <w:sz w:val="24"/>
        </w:rPr>
      </w:pPr>
      <w:r>
        <w:rPr>
          <w:rFonts w:hAnsi="宋体"/>
          <w:sz w:val="24"/>
        </w:rPr>
        <w:t xml:space="preserve">项目名称：                                       项目编号：</w:t>
      </w:r>
      <w:r>
        <w:rPr>
          <w:rFonts w:hint="eastAsia" w:hAnsi="宋体"/>
          <w:sz w:val="24"/>
        </w:rPr>
      </w:r>
      <w:r/>
    </w:p>
    <w:p>
      <w:pPr>
        <w:pStyle w:val="1279"/>
        <w:spacing w:before="120" w:after="120"/>
        <w:rPr>
          <w:rFonts w:hint="eastAsia" w:hAnsi="宋体"/>
          <w:sz w:val="24"/>
        </w:rPr>
      </w:pPr>
      <w:r>
        <w:rPr>
          <w:rFonts w:hAnsi="宋体"/>
          <w:sz w:val="24"/>
        </w:rPr>
        <w:t xml:space="preserve">甲方：（买方）_________</w:t>
      </w:r>
      <w:r>
        <w:rPr>
          <w:rFonts w:hint="eastAsia" w:hAnsi="宋体"/>
          <w:sz w:val="24"/>
        </w:rPr>
      </w:r>
      <w:r/>
    </w:p>
    <w:p>
      <w:pPr>
        <w:pStyle w:val="1279"/>
        <w:spacing w:before="120" w:after="120"/>
        <w:rPr>
          <w:rFonts w:hint="eastAsia" w:hAnsi="宋体"/>
          <w:sz w:val="24"/>
        </w:rPr>
      </w:pPr>
      <w:r>
        <w:rPr>
          <w:rFonts w:hAnsi="宋体"/>
          <w:sz w:val="24"/>
        </w:rPr>
        <w:t xml:space="preserve">乙方：（卖方）_________</w:t>
      </w:r>
      <w:r>
        <w:rPr>
          <w:rFonts w:hint="eastAsia" w:hAnsi="宋体"/>
          <w:sz w:val="24"/>
        </w:rPr>
      </w:r>
      <w:r/>
    </w:p>
    <w:p>
      <w:pPr>
        <w:pStyle w:val="1279"/>
        <w:spacing w:before="120" w:after="120"/>
        <w:rPr>
          <w:rFonts w:hint="eastAsia" w:hAnsi="宋体"/>
          <w:b/>
          <w:sz w:val="24"/>
        </w:rPr>
      </w:pPr>
      <w:r>
        <w:rPr>
          <w:rFonts w:hAnsi="宋体"/>
          <w:b/>
          <w:sz w:val="24"/>
        </w:rPr>
        <w:t xml:space="preserve">   </w:t>
      </w:r>
      <w:r>
        <w:rPr>
          <w:rFonts w:hAnsi="宋体"/>
          <w:sz w:val="24"/>
        </w:rPr>
        <w:t xml:space="preserve">甲、乙双方根据</w:t>
      </w:r>
      <w:r>
        <w:rPr>
          <w:rFonts w:hint="eastAsia" w:hAnsi="宋体"/>
          <w:sz w:val="24"/>
        </w:rPr>
        <w:t xml:space="preserve">常州正衡招投标有限公司</w:t>
      </w:r>
      <w:r>
        <w:rPr>
          <w:rFonts w:hint="eastAsia" w:hAnsi="宋体"/>
          <w:sz w:val="24"/>
          <w:u w:val="single"/>
        </w:rPr>
        <w:t xml:space="preserve">         </w:t>
      </w:r>
      <w:r>
        <w:rPr>
          <w:rFonts w:hAnsi="宋体"/>
          <w:sz w:val="24"/>
        </w:rPr>
        <w:t xml:space="preserve">项目公开招标的结果，签署本合同。</w:t>
      </w:r>
      <w:r>
        <w:rPr>
          <w:rFonts w:hint="eastAsia" w:hAnsi="宋体"/>
          <w:b/>
          <w:sz w:val="24"/>
        </w:rPr>
      </w:r>
      <w:r/>
    </w:p>
    <w:p>
      <w:pPr>
        <w:pStyle w:val="1279"/>
        <w:spacing w:before="120" w:after="120"/>
        <w:rPr>
          <w:rFonts w:hint="eastAsia" w:hAnsi="宋体"/>
          <w:b/>
          <w:sz w:val="24"/>
        </w:rPr>
      </w:pPr>
      <w:r>
        <w:rPr>
          <w:rFonts w:hAnsi="宋体"/>
          <w:b/>
          <w:sz w:val="24"/>
        </w:rPr>
        <w:t xml:space="preserve">一、</w:t>
      </w:r>
      <w:r>
        <w:rPr>
          <w:rFonts w:hint="eastAsia" w:hAnsi="宋体"/>
          <w:b/>
          <w:sz w:val="24"/>
        </w:rPr>
        <w:t xml:space="preserve">合同</w:t>
      </w:r>
      <w:r>
        <w:rPr>
          <w:rFonts w:hAnsi="宋体"/>
          <w:b/>
          <w:sz w:val="24"/>
        </w:rPr>
        <w:t xml:space="preserve">内容</w:t>
      </w:r>
      <w:r>
        <w:rPr>
          <w:rFonts w:hint="eastAsia" w:hAnsi="宋体"/>
          <w:b/>
          <w:sz w:val="24"/>
        </w:rPr>
      </w:r>
      <w:r/>
    </w:p>
    <w:p>
      <w:pPr>
        <w:pStyle w:val="1279"/>
        <w:spacing w:before="120" w:after="120"/>
        <w:rPr>
          <w:rFonts w:hint="eastAsia" w:hAnsi="宋体"/>
          <w:sz w:val="24"/>
        </w:rPr>
      </w:pPr>
      <w:r>
        <w:rPr>
          <w:rFonts w:hAnsi="宋体"/>
          <w:sz w:val="24"/>
        </w:rPr>
        <w:t xml:space="preserve">1.1 </w:t>
      </w:r>
      <w:r>
        <w:rPr>
          <w:rFonts w:hint="eastAsia" w:hAnsi="宋体"/>
          <w:sz w:val="24"/>
        </w:rPr>
        <w:t xml:space="preserve">标的</w:t>
      </w:r>
      <w:r>
        <w:rPr>
          <w:rFonts w:hAnsi="宋体"/>
          <w:sz w:val="24"/>
        </w:rPr>
        <w:t xml:space="preserve">名称：</w:t>
      </w:r>
      <w:r>
        <w:rPr>
          <w:rFonts w:hint="eastAsia" w:hAnsi="宋体"/>
          <w:sz w:val="24"/>
        </w:rPr>
      </w:r>
      <w:r/>
    </w:p>
    <w:p>
      <w:pPr>
        <w:pStyle w:val="1279"/>
        <w:spacing w:before="120" w:after="120"/>
        <w:rPr>
          <w:rFonts w:hint="eastAsia" w:hAnsi="宋体"/>
          <w:sz w:val="24"/>
        </w:rPr>
      </w:pPr>
      <w:r>
        <w:rPr>
          <w:rFonts w:hAnsi="宋体"/>
          <w:sz w:val="24"/>
        </w:rPr>
        <w:t xml:space="preserve">1.2</w:t>
      </w:r>
      <w:r>
        <w:rPr>
          <w:rFonts w:hint="eastAsia" w:hAnsi="宋体"/>
          <w:sz w:val="24"/>
        </w:rPr>
        <w:t xml:space="preserve">标的质量：</w:t>
      </w:r>
      <w:r>
        <w:rPr>
          <w:rFonts w:hint="eastAsia" w:hAnsi="宋体"/>
          <w:sz w:val="24"/>
        </w:rPr>
      </w:r>
      <w:r/>
    </w:p>
    <w:p>
      <w:pPr>
        <w:pStyle w:val="1279"/>
        <w:spacing w:before="120" w:after="120"/>
        <w:rPr>
          <w:rFonts w:hint="eastAsia" w:hAnsi="宋体"/>
          <w:sz w:val="24"/>
        </w:rPr>
      </w:pPr>
      <w:r>
        <w:rPr>
          <w:rFonts w:hint="eastAsia" w:hAnsi="宋体"/>
          <w:sz w:val="24"/>
        </w:rPr>
        <w:t xml:space="preserve">1.3 标的数量（规模）：</w:t>
      </w:r>
      <w:r>
        <w:rPr>
          <w:rFonts w:hint="eastAsia" w:hAnsi="宋体"/>
          <w:sz w:val="24"/>
        </w:rPr>
      </w:r>
      <w:r/>
    </w:p>
    <w:p>
      <w:pPr>
        <w:pStyle w:val="1279"/>
        <w:spacing w:before="120" w:after="120"/>
        <w:rPr>
          <w:rFonts w:hint="eastAsia" w:hAnsi="宋体"/>
          <w:sz w:val="24"/>
        </w:rPr>
      </w:pPr>
      <w:r>
        <w:rPr>
          <w:rFonts w:hint="eastAsia" w:hAnsi="宋体"/>
          <w:sz w:val="24"/>
        </w:rPr>
        <w:t xml:space="preserve">1.4 履行时间（期限）：</w:t>
      </w:r>
      <w:r>
        <w:rPr>
          <w:rFonts w:hint="eastAsia" w:hAnsi="宋体"/>
          <w:sz w:val="24"/>
        </w:rPr>
      </w:r>
      <w:r/>
    </w:p>
    <w:p>
      <w:pPr>
        <w:pStyle w:val="1279"/>
        <w:spacing w:before="120" w:after="120"/>
        <w:rPr>
          <w:rFonts w:hint="eastAsia" w:hAnsi="宋体"/>
          <w:sz w:val="24"/>
        </w:rPr>
      </w:pPr>
      <w:r>
        <w:rPr>
          <w:rFonts w:hint="eastAsia" w:hAnsi="宋体"/>
          <w:sz w:val="24"/>
        </w:rPr>
        <w:t xml:space="preserve">1.5 履行地点：</w:t>
      </w:r>
      <w:r>
        <w:rPr>
          <w:rFonts w:hint="eastAsia" w:hAnsi="宋体"/>
          <w:sz w:val="24"/>
        </w:rPr>
      </w:r>
      <w:r/>
    </w:p>
    <w:p>
      <w:pPr>
        <w:pStyle w:val="1279"/>
        <w:spacing w:before="120" w:after="120"/>
        <w:rPr>
          <w:rFonts w:hint="eastAsia" w:hAnsi="宋体"/>
          <w:sz w:val="24"/>
        </w:rPr>
      </w:pPr>
      <w:r>
        <w:rPr>
          <w:rFonts w:hAnsi="宋体"/>
          <w:sz w:val="24"/>
        </w:rPr>
        <w:t xml:space="preserve">1.</w:t>
      </w:r>
      <w:r>
        <w:rPr>
          <w:rFonts w:hint="eastAsia" w:hAnsi="宋体"/>
          <w:sz w:val="24"/>
        </w:rPr>
        <w:t xml:space="preserve">6履行方式：</w:t>
      </w:r>
      <w:r>
        <w:rPr>
          <w:rFonts w:hint="eastAsia" w:hAnsi="宋体"/>
          <w:sz w:val="24"/>
        </w:rPr>
      </w:r>
      <w:r/>
    </w:p>
    <w:p>
      <w:pPr>
        <w:pStyle w:val="1279"/>
        <w:spacing w:before="120" w:after="120"/>
        <w:rPr>
          <w:rFonts w:hint="eastAsia" w:hAnsi="宋体"/>
          <w:b/>
          <w:sz w:val="24"/>
        </w:rPr>
      </w:pPr>
      <w:r>
        <w:rPr>
          <w:rFonts w:hAnsi="宋体"/>
          <w:b/>
          <w:sz w:val="24"/>
        </w:rPr>
        <w:t xml:space="preserve">二、合同金额</w:t>
      </w:r>
      <w:r>
        <w:rPr>
          <w:rFonts w:hint="eastAsia" w:hAnsi="宋体"/>
          <w:b/>
          <w:sz w:val="24"/>
        </w:rPr>
      </w:r>
      <w:r/>
    </w:p>
    <w:p>
      <w:pPr>
        <w:pStyle w:val="1279"/>
        <w:ind w:left="410" w:hanging="410"/>
        <w:spacing w:before="120" w:after="120"/>
        <w:rPr>
          <w:rFonts w:hint="eastAsia" w:hAnsi="宋体"/>
          <w:sz w:val="24"/>
        </w:rPr>
      </w:pPr>
      <w:r>
        <w:rPr>
          <w:rFonts w:hAnsi="宋体"/>
          <w:sz w:val="24"/>
        </w:rPr>
        <w:t xml:space="preserve">2.1 本合同金额为（大写）：____________________________________</w:t>
      </w:r>
      <w:r>
        <w:rPr>
          <w:rFonts w:hint="eastAsia" w:hAnsi="宋体"/>
          <w:sz w:val="24"/>
        </w:rPr>
        <w:t xml:space="preserve">圆</w:t>
      </w:r>
      <w:r>
        <w:rPr>
          <w:rFonts w:hAnsi="宋体"/>
          <w:sz w:val="24"/>
        </w:rPr>
        <w:t xml:space="preserve">（_______________元）人民币</w:t>
      </w:r>
      <w:r>
        <w:rPr>
          <w:rFonts w:hint="eastAsia" w:hAnsi="宋体"/>
          <w:sz w:val="24"/>
        </w:rPr>
        <w:t xml:space="preserve">或其他币种</w:t>
      </w:r>
      <w:r>
        <w:rPr>
          <w:rFonts w:hAnsi="宋体"/>
          <w:sz w:val="24"/>
        </w:rPr>
        <w:t xml:space="preserve">。</w:t>
      </w:r>
      <w:r>
        <w:rPr>
          <w:rFonts w:hint="eastAsia" w:hAnsi="宋体"/>
          <w:sz w:val="24"/>
        </w:rPr>
      </w:r>
      <w:r/>
    </w:p>
    <w:p>
      <w:pPr>
        <w:pStyle w:val="1279"/>
        <w:spacing w:before="120" w:after="120"/>
        <w:rPr>
          <w:rFonts w:hint="eastAsia" w:hAnsi="宋体"/>
          <w:b/>
          <w:sz w:val="24"/>
        </w:rPr>
      </w:pPr>
      <w:r>
        <w:rPr>
          <w:rFonts w:hAnsi="宋体"/>
          <w:b/>
          <w:sz w:val="24"/>
        </w:rPr>
        <w:t xml:space="preserve">三、技术资料</w:t>
      </w:r>
      <w:r>
        <w:rPr>
          <w:rFonts w:hint="eastAsia" w:hAnsi="宋体"/>
          <w:b/>
          <w:sz w:val="24"/>
        </w:rPr>
      </w:r>
      <w:r/>
    </w:p>
    <w:p>
      <w:pPr>
        <w:pStyle w:val="1279"/>
        <w:ind w:left="410" w:hanging="410"/>
        <w:spacing w:before="120" w:after="120"/>
        <w:rPr>
          <w:rFonts w:hint="eastAsia" w:hAnsi="宋体"/>
          <w:sz w:val="24"/>
        </w:rPr>
      </w:pPr>
      <w:r>
        <w:rPr>
          <w:rFonts w:hAnsi="宋体"/>
          <w:sz w:val="24"/>
        </w:rPr>
        <w:t xml:space="preserve">3.1乙方应按招标文件规定的时间向甲方提供服务</w:t>
      </w:r>
      <w:r>
        <w:rPr>
          <w:rFonts w:hint="eastAsia" w:hAnsi="宋体"/>
          <w:sz w:val="24"/>
        </w:rPr>
        <w:t xml:space="preserve">（包含与服务相关的货物）</w:t>
      </w:r>
      <w:r>
        <w:rPr>
          <w:rFonts w:hAnsi="宋体"/>
          <w:sz w:val="24"/>
        </w:rPr>
        <w:t xml:space="preserve">的有关技术资料。</w:t>
      </w:r>
      <w:r>
        <w:rPr>
          <w:rFonts w:hint="eastAsia" w:hAnsi="宋体"/>
          <w:sz w:val="24"/>
        </w:rPr>
      </w:r>
      <w:r/>
    </w:p>
    <w:p>
      <w:pPr>
        <w:pStyle w:val="1279"/>
        <w:ind w:left="410" w:hanging="410"/>
        <w:spacing w:before="120" w:after="120"/>
        <w:rPr>
          <w:rFonts w:hint="eastAsia" w:hAnsi="宋体"/>
          <w:sz w:val="24"/>
        </w:rPr>
      </w:pPr>
      <w:r>
        <w:rPr>
          <w:rFonts w:hAnsi="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rPr>
      </w:r>
      <w:r/>
    </w:p>
    <w:p>
      <w:pPr>
        <w:pStyle w:val="1279"/>
        <w:ind w:left="412" w:hanging="412"/>
        <w:spacing w:before="120" w:after="120"/>
        <w:rPr>
          <w:rFonts w:hint="eastAsia" w:hAnsi="宋体"/>
          <w:b/>
          <w:sz w:val="24"/>
        </w:rPr>
      </w:pPr>
      <w:r>
        <w:rPr>
          <w:rFonts w:hAnsi="宋体"/>
          <w:b/>
          <w:sz w:val="24"/>
        </w:rPr>
        <w:t xml:space="preserve">四、知识产权</w:t>
      </w:r>
      <w:r>
        <w:rPr>
          <w:rFonts w:hint="eastAsia" w:hAnsi="宋体"/>
          <w:b/>
          <w:sz w:val="24"/>
        </w:rPr>
      </w:r>
      <w:r/>
    </w:p>
    <w:p>
      <w:pPr>
        <w:pStyle w:val="1279"/>
        <w:ind w:left="408" w:hanging="408"/>
        <w:spacing w:before="120" w:after="120"/>
        <w:rPr>
          <w:rFonts w:hint="eastAsia" w:hAnsi="宋体"/>
          <w:sz w:val="24"/>
        </w:rPr>
      </w:pPr>
      <w:r>
        <w:rPr>
          <w:rFonts w:hAnsi="宋体"/>
          <w:sz w:val="24"/>
        </w:rPr>
        <w:t xml:space="preserve">4.1乙</w:t>
      </w:r>
      <w:r>
        <w:rPr>
          <w:rFonts w:hint="eastAsia" w:hAnsi="宋体"/>
          <w:sz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rPr>
      </w:r>
      <w:r/>
    </w:p>
    <w:p>
      <w:pPr>
        <w:pStyle w:val="1279"/>
        <w:spacing w:before="120" w:after="120"/>
        <w:rPr>
          <w:rFonts w:hint="eastAsia" w:hAnsi="宋体"/>
          <w:sz w:val="24"/>
          <w:u w:val="single"/>
        </w:rPr>
      </w:pPr>
      <w:r>
        <w:rPr>
          <w:rFonts w:hAnsi="宋体"/>
          <w:b/>
          <w:sz w:val="24"/>
        </w:rPr>
        <w:t xml:space="preserve">五、产权担保</w:t>
      </w:r>
      <w:r>
        <w:rPr>
          <w:rFonts w:hint="eastAsia" w:hAnsi="宋体"/>
          <w:sz w:val="24"/>
          <w:u w:val="single"/>
        </w:rPr>
      </w:r>
      <w:r/>
    </w:p>
    <w:p>
      <w:pPr>
        <w:pStyle w:val="1279"/>
        <w:ind w:left="408" w:hanging="408"/>
        <w:spacing w:before="120" w:after="120"/>
        <w:rPr>
          <w:rFonts w:hint="eastAsia" w:hAnsi="宋体"/>
          <w:sz w:val="24"/>
          <w:u w:val="single"/>
        </w:rPr>
      </w:pPr>
      <w:r>
        <w:rPr>
          <w:rFonts w:hAnsi="宋体"/>
          <w:sz w:val="24"/>
        </w:rPr>
        <w:t xml:space="preserve">5.1 乙方保证所交付的</w:t>
      </w:r>
      <w:r>
        <w:rPr>
          <w:rFonts w:hint="eastAsia" w:hAnsi="宋体"/>
          <w:sz w:val="24"/>
        </w:rPr>
        <w:t xml:space="preserve">服务（包含与服务相关的货物）</w:t>
      </w:r>
      <w:r>
        <w:rPr>
          <w:rFonts w:hAnsi="宋体"/>
          <w:sz w:val="24"/>
        </w:rPr>
        <w:t xml:space="preserve">的所有权完全属于乙方且无任何抵押、查封等产权瑕疵。</w:t>
      </w:r>
      <w:r>
        <w:rPr>
          <w:rFonts w:hint="eastAsia" w:hAnsi="宋体"/>
          <w:sz w:val="24"/>
          <w:u w:val="single"/>
        </w:rPr>
      </w:r>
      <w:r/>
    </w:p>
    <w:p>
      <w:pPr>
        <w:pStyle w:val="1279"/>
        <w:ind w:left="410" w:hanging="410"/>
        <w:spacing w:before="120" w:after="120"/>
        <w:rPr>
          <w:rFonts w:hint="eastAsia" w:hAnsi="宋体"/>
          <w:b/>
          <w:sz w:val="24"/>
        </w:rPr>
      </w:pPr>
      <w:r>
        <w:rPr>
          <w:rFonts w:hAnsi="宋体"/>
          <w:b/>
          <w:sz w:val="24"/>
        </w:rPr>
        <w:t xml:space="preserve">六、履约保证金</w:t>
      </w:r>
      <w:r>
        <w:rPr>
          <w:rFonts w:hint="eastAsia" w:hAnsi="宋体"/>
          <w:b/>
          <w:sz w:val="24"/>
        </w:rPr>
      </w:r>
      <w:r/>
    </w:p>
    <w:p>
      <w:pPr>
        <w:pStyle w:val="1279"/>
        <w:ind w:left="408" w:hanging="408"/>
        <w:spacing w:before="120" w:after="120"/>
        <w:rPr>
          <w:rFonts w:hint="eastAsia" w:hAnsi="宋体"/>
          <w:sz w:val="24"/>
        </w:rPr>
      </w:pPr>
      <w:r>
        <w:rPr>
          <w:rFonts w:hint="eastAsia" w:hAnsi="宋体"/>
          <w:sz w:val="24"/>
        </w:rPr>
        <w:t xml:space="preserve">本项目</w:t>
      </w:r>
      <w:r>
        <w:rPr>
          <w:rFonts w:hint="eastAsia" w:hAnsi="宋体"/>
          <w:sz w:val="24"/>
          <w:u w:val="single"/>
        </w:rPr>
        <w:t xml:space="preserve">不收取</w:t>
      </w:r>
      <w:r>
        <w:rPr>
          <w:rFonts w:hint="eastAsia" w:hAnsi="宋体"/>
          <w:sz w:val="24"/>
        </w:rPr>
        <w:t xml:space="preserve">履约保证金。</w:t>
      </w:r>
      <w:r>
        <w:rPr>
          <w:rFonts w:hint="eastAsia" w:hAnsi="宋体"/>
          <w:sz w:val="24"/>
        </w:rPr>
      </w:r>
      <w:r/>
    </w:p>
    <w:p>
      <w:pPr>
        <w:pStyle w:val="1279"/>
        <w:ind w:left="408" w:hanging="408"/>
        <w:spacing w:before="120" w:after="120"/>
        <w:rPr>
          <w:rFonts w:hint="eastAsia" w:hAnsi="宋体"/>
          <w:sz w:val="24"/>
        </w:rPr>
      </w:pPr>
      <w:r>
        <w:rPr>
          <w:rFonts w:hint="eastAsia" w:hAnsi="宋体"/>
          <w:sz w:val="24"/>
        </w:rPr>
        <w:t xml:space="preserve">6.1 </w:t>
      </w:r>
      <w:r>
        <w:rPr>
          <w:rFonts w:hAnsi="宋体"/>
          <w:sz w:val="24"/>
        </w:rPr>
        <w:t xml:space="preserve">乙方交纳人民币</w:t>
      </w:r>
      <w:r>
        <w:rPr>
          <w:rFonts w:hint="eastAsia" w:hAnsi="宋体"/>
          <w:sz w:val="24"/>
        </w:rPr>
        <w:t xml:space="preserve">/</w:t>
      </w:r>
      <w:r>
        <w:rPr>
          <w:rFonts w:hAnsi="宋体"/>
          <w:sz w:val="24"/>
        </w:rPr>
        <w:t xml:space="preserve">元作为本合同的履约保证金。（不得超过合同金额的5%）。供应商可以自主选择以支票、汇票、本票、保函（保险）等非现金形式</w:t>
      </w:r>
      <w:r>
        <w:rPr>
          <w:rFonts w:hint="eastAsia" w:hAnsi="宋体"/>
          <w:sz w:val="24"/>
        </w:rPr>
        <w:t xml:space="preserve">交纳</w:t>
      </w:r>
      <w:r>
        <w:rPr>
          <w:rFonts w:hAnsi="宋体"/>
          <w:sz w:val="24"/>
        </w:rPr>
        <w:t xml:space="preserve">或提交，按照省市有关文件精神，鼓励优先采用电子履约保函（保险）形式。</w:t>
      </w:r>
      <w:r>
        <w:rPr>
          <w:rFonts w:hint="eastAsia" w:hAnsi="宋体"/>
          <w:sz w:val="24"/>
        </w:rPr>
      </w:r>
      <w:r/>
    </w:p>
    <w:p>
      <w:pPr>
        <w:pStyle w:val="1279"/>
        <w:ind w:left="408" w:hanging="408"/>
        <w:spacing w:before="120" w:after="120"/>
        <w:rPr>
          <w:rFonts w:hint="eastAsia" w:hAnsi="宋体"/>
          <w:sz w:val="24"/>
        </w:rPr>
      </w:pPr>
      <w:r>
        <w:rPr>
          <w:rFonts w:hint="eastAsia" w:hAnsi="宋体"/>
          <w:sz w:val="24"/>
        </w:rPr>
        <w:t xml:space="preserve">6.2合同履行结束后，甲方应及时退还交纳的履约保证金。</w:t>
      </w:r>
      <w:r>
        <w:rPr>
          <w:rFonts w:hint="eastAsia" w:hAnsi="宋体"/>
          <w:sz w:val="24"/>
        </w:rPr>
      </w:r>
      <w:r/>
    </w:p>
    <w:p>
      <w:pPr>
        <w:pStyle w:val="1279"/>
        <w:ind w:left="408" w:hanging="408"/>
        <w:spacing w:before="120" w:after="120"/>
        <w:rPr>
          <w:rFonts w:hint="eastAsia" w:hAnsi="宋体"/>
          <w:sz w:val="24"/>
        </w:rPr>
      </w:pPr>
      <w:r>
        <w:rPr>
          <w:rFonts w:hint="eastAsia" w:hAnsi="宋体"/>
          <w:sz w:val="24"/>
        </w:rPr>
        <w:t xml:space="preserve">6.2.1履约保证金退还方式：</w:t>
      </w:r>
      <w:r>
        <w:rPr>
          <w:rFonts w:hint="eastAsia" w:hAnsi="宋体"/>
          <w:sz w:val="24"/>
        </w:rPr>
      </w:r>
      <w:r/>
    </w:p>
    <w:p>
      <w:pPr>
        <w:pStyle w:val="1279"/>
        <w:ind w:left="408" w:hanging="408"/>
        <w:spacing w:before="120" w:after="120"/>
        <w:rPr>
          <w:rFonts w:hint="eastAsia" w:hAnsi="宋体"/>
          <w:sz w:val="24"/>
        </w:rPr>
      </w:pPr>
      <w:r>
        <w:rPr>
          <w:rFonts w:hint="eastAsia" w:hAnsi="宋体"/>
          <w:sz w:val="24"/>
        </w:rPr>
        <w:t xml:space="preserve">6.2.2履约保证金退还时间：</w:t>
      </w:r>
      <w:r>
        <w:rPr>
          <w:rFonts w:hint="eastAsia" w:hAnsi="宋体"/>
          <w:sz w:val="24"/>
        </w:rPr>
      </w:r>
      <w:r/>
    </w:p>
    <w:p>
      <w:pPr>
        <w:pStyle w:val="1279"/>
        <w:ind w:left="408" w:hanging="408"/>
        <w:spacing w:before="120" w:after="120"/>
        <w:rPr>
          <w:rFonts w:hint="eastAsia" w:hAnsi="宋体"/>
          <w:sz w:val="24"/>
        </w:rPr>
      </w:pPr>
      <w:r>
        <w:rPr>
          <w:rFonts w:hint="eastAsia" w:hAnsi="宋体"/>
          <w:sz w:val="24"/>
        </w:rPr>
        <w:t xml:space="preserve">6.2.3履约保证金退还条件：</w:t>
      </w:r>
      <w:r>
        <w:rPr>
          <w:rFonts w:hint="eastAsia" w:hAnsi="宋体"/>
          <w:sz w:val="24"/>
        </w:rPr>
      </w:r>
      <w:r/>
    </w:p>
    <w:p>
      <w:pPr>
        <w:pStyle w:val="1279"/>
        <w:ind w:left="408" w:hanging="408"/>
        <w:spacing w:before="120" w:after="120"/>
        <w:rPr>
          <w:rFonts w:hint="eastAsia" w:hAnsi="宋体"/>
          <w:sz w:val="24"/>
        </w:rPr>
      </w:pPr>
      <w:r>
        <w:rPr>
          <w:rFonts w:hint="eastAsia" w:hAnsi="宋体"/>
          <w:sz w:val="24"/>
        </w:rPr>
        <w:t xml:space="preserve">6.2.4履约保证金不予退还的情形：</w:t>
      </w:r>
      <w:r>
        <w:rPr>
          <w:rFonts w:hint="eastAsia" w:hAnsi="宋体"/>
          <w:sz w:val="24"/>
        </w:rPr>
      </w:r>
      <w:r/>
    </w:p>
    <w:p>
      <w:pPr>
        <w:pStyle w:val="1002"/>
        <w:spacing w:before="156" w:after="156"/>
        <w:rPr>
          <w:rFonts w:ascii="宋体" w:hAnsi="宋体" w:eastAsia="仿宋_GB2312"/>
          <w:b/>
          <w:sz w:val="24"/>
        </w:rPr>
      </w:pPr>
      <w:r>
        <w:rPr>
          <w:rFonts w:hint="eastAsia" w:ascii="宋体" w:hAnsi="宋体"/>
          <w:b/>
          <w:sz w:val="24"/>
        </w:rPr>
        <w:t xml:space="preserve">七、合同转包或分包</w:t>
      </w:r>
      <w:r>
        <w:rPr>
          <w:rFonts w:ascii="宋体" w:hAnsi="宋体" w:eastAsia="仿宋_GB2312"/>
          <w:b/>
          <w:sz w:val="24"/>
        </w:rPr>
      </w:r>
      <w:r/>
    </w:p>
    <w:p>
      <w:pPr>
        <w:pStyle w:val="1002"/>
        <w:spacing w:before="156" w:after="156"/>
        <w:rPr>
          <w:rFonts w:hint="eastAsia" w:ascii="宋体" w:hAnsi="宋体"/>
          <w:sz w:val="24"/>
        </w:rPr>
      </w:pPr>
      <w:r>
        <w:rPr>
          <w:rFonts w:hint="eastAsia" w:ascii="宋体" w:hAnsi="宋体"/>
          <w:sz w:val="24"/>
        </w:rPr>
        <w:t xml:space="preserve">7.1乙方不得将合同标的转包给他人履行。</w:t>
      </w:r>
      <w:r>
        <w:rPr>
          <w:rFonts w:hint="eastAsia" w:ascii="宋体" w:hAnsi="宋体"/>
          <w:sz w:val="24"/>
        </w:rPr>
      </w:r>
      <w:r/>
    </w:p>
    <w:p>
      <w:pPr>
        <w:pStyle w:val="1002"/>
        <w:spacing w:before="156" w:after="156"/>
        <w:rPr>
          <w:rFonts w:hint="eastAsia" w:ascii="宋体" w:hAnsi="宋体"/>
          <w:sz w:val="24"/>
        </w:rPr>
      </w:pPr>
      <w:r>
        <w:rPr>
          <w:rFonts w:hint="eastAsia" w:ascii="宋体" w:hAnsi="宋体"/>
          <w:sz w:val="24"/>
        </w:rPr>
        <w:t xml:space="preserve">7.2乙方不得将合同标的分包给他人履行。</w:t>
      </w:r>
      <w:r>
        <w:rPr>
          <w:rFonts w:hint="eastAsia" w:ascii="宋体" w:hAnsi="宋体"/>
          <w:sz w:val="24"/>
        </w:rPr>
      </w:r>
      <w:r/>
    </w:p>
    <w:p>
      <w:pPr>
        <w:pStyle w:val="1002"/>
        <w:spacing w:before="156" w:after="156"/>
        <w:rPr>
          <w:rFonts w:ascii="宋体" w:hAnsi="宋体" w:eastAsia="仿宋_GB2312"/>
          <w:sz w:val="24"/>
        </w:rPr>
      </w:pPr>
      <w:r>
        <w:rPr>
          <w:rFonts w:ascii="宋体" w:hAnsi="宋体"/>
          <w:sz w:val="24"/>
        </w:rPr>
        <w:t xml:space="preserve">7.3</w:t>
      </w:r>
      <w:r>
        <w:rPr>
          <w:rFonts w:hint="eastAsia" w:ascii="宋体" w:hAnsi="宋体"/>
          <w:sz w:val="24"/>
        </w:rPr>
        <w:t xml:space="preserve">乙方如有转包或未经甲方同意的分包行为，甲方有权解除合同。</w:t>
      </w:r>
      <w:r>
        <w:rPr>
          <w:rFonts w:ascii="宋体" w:hAnsi="宋体" w:eastAsia="仿宋_GB2312"/>
          <w:sz w:val="24"/>
        </w:rPr>
      </w:r>
      <w:r/>
    </w:p>
    <w:p>
      <w:pPr>
        <w:pStyle w:val="1279"/>
        <w:spacing w:before="120" w:after="120"/>
        <w:rPr>
          <w:rFonts w:hint="eastAsia" w:hAnsi="宋体"/>
          <w:b/>
          <w:sz w:val="24"/>
        </w:rPr>
      </w:pPr>
      <w:r>
        <w:rPr>
          <w:rFonts w:hint="eastAsia" w:hAnsi="宋体"/>
          <w:b/>
          <w:sz w:val="24"/>
        </w:rPr>
        <w:t xml:space="preserve">八</w:t>
      </w:r>
      <w:r>
        <w:rPr>
          <w:rFonts w:hAnsi="宋体"/>
          <w:b/>
          <w:sz w:val="24"/>
        </w:rPr>
        <w:t xml:space="preserve">、</w:t>
      </w:r>
      <w:r>
        <w:rPr>
          <w:rFonts w:hint="eastAsia" w:hAnsi="宋体"/>
          <w:b/>
          <w:sz w:val="24"/>
        </w:rPr>
        <w:t xml:space="preserve">合同款项</w:t>
      </w:r>
      <w:r>
        <w:rPr>
          <w:rFonts w:hAnsi="宋体"/>
          <w:b/>
          <w:sz w:val="24"/>
        </w:rPr>
        <w:t xml:space="preserve">支付</w:t>
      </w:r>
      <w:r>
        <w:rPr>
          <w:rFonts w:hint="eastAsia" w:hAnsi="宋体"/>
          <w:b/>
          <w:sz w:val="24"/>
        </w:rPr>
      </w:r>
      <w:r/>
    </w:p>
    <w:p>
      <w:pPr>
        <w:pStyle w:val="1279"/>
        <w:spacing w:before="120" w:after="120"/>
        <w:rPr>
          <w:rFonts w:hint="eastAsia" w:hAnsi="宋体"/>
          <w:bCs/>
          <w:sz w:val="24"/>
        </w:rPr>
      </w:pPr>
      <w:r>
        <w:rPr>
          <w:rFonts w:hint="eastAsia" w:hAnsi="宋体"/>
          <w:sz w:val="24"/>
        </w:rPr>
        <w:t xml:space="preserve">8.1分期付款：</w:t>
      </w:r>
      <w:r>
        <w:rPr>
          <w:rFonts w:hint="eastAsia" w:hAnsi="宋体" w:cs="宋体"/>
          <w:sz w:val="24"/>
        </w:rPr>
        <w:t xml:space="preserve">合同签订完成后，乙方实施人员进场后10个工作日内付合同总价的50%为预付款，系统上线并完成初验合格后10个工作日内付合同总价的40%，终验及运维服务期结束前10个工作日内支付合同总价的10%。满足合同约定支付条件的，自收到发票后10个工作日内支付。</w:t>
      </w:r>
      <w:r>
        <w:rPr>
          <w:rFonts w:hint="eastAsia" w:hAnsi="宋体"/>
          <w:bCs/>
          <w:sz w:val="24"/>
        </w:rPr>
      </w:r>
      <w:r/>
    </w:p>
    <w:p>
      <w:pPr>
        <w:pStyle w:val="1002"/>
        <w:spacing w:before="156" w:after="156"/>
        <w:rPr>
          <w:rFonts w:ascii="宋体" w:hAnsi="宋体" w:eastAsia="仿宋_GB2312"/>
          <w:b/>
          <w:sz w:val="24"/>
        </w:rPr>
      </w:pPr>
      <w:r>
        <w:rPr>
          <w:rFonts w:hint="eastAsia" w:ascii="宋体" w:hAnsi="宋体"/>
          <w:b/>
          <w:sz w:val="24"/>
        </w:rPr>
        <w:t xml:space="preserve">九、税费</w:t>
      </w:r>
      <w:r>
        <w:rPr>
          <w:rFonts w:ascii="宋体" w:hAnsi="宋体" w:eastAsia="仿宋_GB2312"/>
          <w:b/>
          <w:sz w:val="24"/>
        </w:rPr>
      </w:r>
      <w:r/>
    </w:p>
    <w:p>
      <w:pPr>
        <w:pStyle w:val="1002"/>
        <w:spacing w:before="156" w:after="156"/>
        <w:rPr>
          <w:rFonts w:ascii="宋体" w:hAnsi="宋体" w:eastAsia="仿宋_GB2312"/>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本合同执行中相关的一切税费均由乙方负担。</w:t>
      </w:r>
      <w:r>
        <w:rPr>
          <w:rFonts w:ascii="宋体" w:hAnsi="宋体" w:eastAsia="仿宋_GB2312"/>
          <w:sz w:val="24"/>
        </w:rPr>
      </w:r>
      <w:r/>
    </w:p>
    <w:p>
      <w:pPr>
        <w:pStyle w:val="1279"/>
        <w:spacing w:before="120" w:after="120"/>
        <w:rPr>
          <w:rFonts w:hint="eastAsia" w:hAnsi="宋体"/>
          <w:b/>
          <w:sz w:val="24"/>
        </w:rPr>
      </w:pPr>
      <w:r>
        <w:rPr>
          <w:rFonts w:hAnsi="宋体"/>
          <w:b/>
          <w:sz w:val="24"/>
        </w:rPr>
        <w:t xml:space="preserve">十、</w:t>
      </w:r>
      <w:r>
        <w:rPr>
          <w:rFonts w:hint="eastAsia" w:hAnsi="宋体"/>
          <w:b/>
          <w:sz w:val="24"/>
        </w:rPr>
        <w:t xml:space="preserve">项目</w:t>
      </w:r>
      <w:r>
        <w:rPr>
          <w:rFonts w:hAnsi="宋体"/>
          <w:b/>
          <w:sz w:val="24"/>
        </w:rPr>
        <w:t xml:space="preserve">验收</w:t>
      </w:r>
      <w:r>
        <w:rPr>
          <w:rFonts w:hint="eastAsia" w:hAnsi="宋体"/>
          <w:b/>
          <w:sz w:val="24"/>
        </w:rPr>
      </w:r>
      <w:r/>
    </w:p>
    <w:p>
      <w:pPr>
        <w:pStyle w:val="1279"/>
        <w:ind w:left="480" w:hanging="480"/>
        <w:spacing w:before="120" w:after="120"/>
        <w:rPr>
          <w:rFonts w:hint="eastAsia" w:hAnsi="宋体"/>
          <w:sz w:val="24"/>
        </w:rPr>
      </w:pPr>
      <w:r>
        <w:rPr>
          <w:rFonts w:hint="eastAsia" w:hAnsi="宋体"/>
          <w:sz w:val="24"/>
        </w:rPr>
        <w:t xml:space="preserve">10.1 甲方依法组织履约验收工作。</w:t>
      </w:r>
      <w:r>
        <w:rPr>
          <w:rFonts w:hint="eastAsia" w:hAnsi="宋体"/>
          <w:sz w:val="24"/>
        </w:rPr>
      </w:r>
      <w:r/>
    </w:p>
    <w:p>
      <w:pPr>
        <w:pStyle w:val="1279"/>
        <w:ind w:left="480" w:hanging="480"/>
        <w:spacing w:before="120" w:after="120"/>
        <w:rPr>
          <w:rFonts w:hint="eastAsia" w:hAnsi="宋体"/>
          <w:sz w:val="24"/>
        </w:rPr>
      </w:pPr>
      <w:r>
        <w:rPr>
          <w:rFonts w:hint="eastAsia" w:hAnsi="宋体"/>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rPr>
      </w:r>
      <w:r/>
    </w:p>
    <w:p>
      <w:pPr>
        <w:pStyle w:val="1279"/>
        <w:ind w:left="480" w:hanging="480"/>
        <w:spacing w:before="120" w:after="120"/>
        <w:rPr>
          <w:rFonts w:hint="eastAsia" w:hAnsi="宋体"/>
          <w:sz w:val="24"/>
        </w:rPr>
      </w:pPr>
      <w:r>
        <w:rPr>
          <w:rFonts w:hint="eastAsia" w:hAnsi="宋体"/>
          <w:sz w:val="24"/>
        </w:rPr>
        <w:t xml:space="preserve">10.3 对于实际使用人和甲方分离的项目，甲方邀请实际使用人参与验收。</w:t>
      </w:r>
      <w:r>
        <w:rPr>
          <w:rFonts w:hint="eastAsia" w:hAnsi="宋体"/>
          <w:sz w:val="24"/>
        </w:rPr>
      </w:r>
      <w:r/>
    </w:p>
    <w:p>
      <w:pPr>
        <w:pStyle w:val="1279"/>
        <w:ind w:left="480" w:hanging="480"/>
        <w:spacing w:before="120" w:after="120"/>
        <w:rPr>
          <w:rFonts w:hint="eastAsia" w:hAnsi="宋体"/>
          <w:sz w:val="24"/>
        </w:rPr>
      </w:pPr>
      <w:r>
        <w:rPr>
          <w:rFonts w:hint="eastAsia" w:hAnsi="宋体"/>
          <w:sz w:val="24"/>
        </w:rPr>
        <w:t xml:space="preserve">10.4 如有必要，甲方邀请参加本项目的其他供应商或第三方专业机构及专家参与验收，相关意见将作为验收书的参考资料。</w:t>
      </w:r>
      <w:r>
        <w:rPr>
          <w:rFonts w:hint="eastAsia" w:hAnsi="宋体"/>
          <w:sz w:val="24"/>
        </w:rPr>
      </w:r>
      <w:r/>
    </w:p>
    <w:p>
      <w:pPr>
        <w:pStyle w:val="1279"/>
        <w:ind w:left="480" w:hanging="480"/>
        <w:spacing w:before="120" w:after="120"/>
        <w:rPr>
          <w:rFonts w:hint="eastAsia" w:hAnsi="宋体"/>
          <w:sz w:val="24"/>
        </w:rPr>
      </w:pPr>
      <w:r>
        <w:rPr>
          <w:rFonts w:hint="eastAsia" w:hAnsi="宋体"/>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rPr>
      </w:r>
      <w:r/>
    </w:p>
    <w:p>
      <w:pPr>
        <w:pStyle w:val="1279"/>
        <w:ind w:left="480" w:hanging="480"/>
        <w:spacing w:before="120" w:after="120"/>
        <w:rPr>
          <w:rFonts w:hint="eastAsia" w:hAnsi="宋体"/>
          <w:sz w:val="24"/>
        </w:rPr>
      </w:pPr>
      <w:r>
        <w:rPr>
          <w:rFonts w:hint="eastAsia" w:hAnsi="宋体"/>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rPr>
      </w:r>
      <w:r/>
    </w:p>
    <w:p>
      <w:pPr>
        <w:pStyle w:val="1279"/>
        <w:spacing w:before="120" w:after="120"/>
        <w:rPr>
          <w:rFonts w:hint="eastAsia" w:hAnsi="宋体"/>
          <w:b/>
          <w:sz w:val="24"/>
        </w:rPr>
      </w:pPr>
      <w:r>
        <w:rPr>
          <w:rFonts w:hAnsi="宋体"/>
          <w:b/>
          <w:sz w:val="24"/>
        </w:rPr>
        <w:t xml:space="preserve">十</w:t>
      </w:r>
      <w:r>
        <w:rPr>
          <w:rFonts w:hint="eastAsia" w:hAnsi="宋体"/>
          <w:b/>
          <w:sz w:val="24"/>
        </w:rPr>
        <w:t xml:space="preserve">一</w:t>
      </w:r>
      <w:r>
        <w:rPr>
          <w:rFonts w:hAnsi="宋体"/>
          <w:b/>
          <w:sz w:val="24"/>
        </w:rPr>
        <w:t xml:space="preserve">、违约责任</w:t>
      </w:r>
      <w:r>
        <w:rPr>
          <w:rFonts w:hint="eastAsia" w:hAnsi="宋体"/>
          <w:b/>
          <w:sz w:val="24"/>
        </w:rPr>
      </w:r>
      <w:r/>
    </w:p>
    <w:p>
      <w:pPr>
        <w:pStyle w:val="1279"/>
        <w:ind w:left="410" w:hanging="41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.1 甲方无正当理由</w:t>
      </w:r>
      <w:r>
        <w:rPr>
          <w:rFonts w:hint="eastAsia" w:hAnsi="宋体"/>
          <w:sz w:val="24"/>
        </w:rPr>
        <w:t xml:space="preserve">拒绝接受乙方提供服务</w:t>
      </w:r>
      <w:r>
        <w:rPr>
          <w:rFonts w:hAnsi="宋体"/>
          <w:sz w:val="24"/>
        </w:rPr>
        <w:t xml:space="preserve">的，甲方向乙方偿付</w:t>
      </w:r>
      <w:r>
        <w:rPr>
          <w:rFonts w:hint="eastAsia" w:hAnsi="宋体"/>
          <w:sz w:val="24"/>
        </w:rPr>
        <w:t xml:space="preserve">拒绝接受服务合同价款</w:t>
      </w:r>
      <w:r>
        <w:rPr>
          <w:rFonts w:hAnsi="宋体"/>
          <w:sz w:val="24"/>
        </w:rPr>
        <w:t xml:space="preserve">总值</w:t>
      </w:r>
      <w:r>
        <w:rPr>
          <w:rFonts w:hint="eastAsia" w:hAnsi="宋体"/>
          <w:sz w:val="24"/>
          <w:u w:val="single"/>
        </w:rPr>
        <w:t xml:space="preserve">    </w:t>
      </w:r>
      <w:r>
        <w:rPr>
          <w:rFonts w:hAnsi="宋体"/>
          <w:sz w:val="24"/>
        </w:rPr>
        <w:t xml:space="preserve">的违约金。</w:t>
      </w:r>
      <w:r>
        <w:rPr>
          <w:rFonts w:hint="eastAsia" w:hAnsi="宋体"/>
          <w:sz w:val="24"/>
        </w:rPr>
      </w:r>
      <w:r/>
    </w:p>
    <w:p>
      <w:pPr>
        <w:pStyle w:val="1279"/>
        <w:ind w:left="410" w:hanging="41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.2 甲方无故逾期验收和办理</w:t>
      </w:r>
      <w:r>
        <w:rPr>
          <w:rFonts w:hint="eastAsia" w:hAnsi="宋体"/>
          <w:sz w:val="24"/>
        </w:rPr>
        <w:t xml:space="preserve">合同款项</w:t>
      </w:r>
      <w:r>
        <w:rPr>
          <w:rFonts w:hAnsi="宋体"/>
          <w:sz w:val="24"/>
        </w:rPr>
        <w:t xml:space="preserve">支付手续的,甲方应按逾期付款总额</w:t>
      </w:r>
      <w:r>
        <w:rPr>
          <w:rFonts w:hint="eastAsia" w:hAnsi="宋体"/>
          <w:sz w:val="24"/>
          <w:u w:val="single"/>
        </w:rPr>
        <w:t xml:space="preserve">    </w:t>
      </w:r>
      <w:r>
        <w:rPr>
          <w:rFonts w:hAnsi="宋体"/>
          <w:sz w:val="24"/>
        </w:rPr>
        <w:t xml:space="preserve">每日向乙方支付违约金。</w:t>
      </w:r>
      <w:r>
        <w:rPr>
          <w:rFonts w:hint="eastAsia" w:hAnsi="宋体"/>
          <w:sz w:val="24"/>
        </w:rPr>
      </w:r>
      <w:r/>
    </w:p>
    <w:p>
      <w:pPr>
        <w:pStyle w:val="1279"/>
        <w:ind w:left="410" w:hanging="41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.3 乙方逾期</w:t>
      </w:r>
      <w:r>
        <w:rPr>
          <w:rFonts w:hint="eastAsia" w:hAnsi="宋体"/>
          <w:sz w:val="24"/>
        </w:rPr>
        <w:t xml:space="preserve">提供服务</w:t>
      </w:r>
      <w:r>
        <w:rPr>
          <w:rFonts w:hAnsi="宋体"/>
          <w:sz w:val="24"/>
        </w:rPr>
        <w:t xml:space="preserve">的，乙方应按逾期</w:t>
      </w:r>
      <w:r>
        <w:rPr>
          <w:rFonts w:hint="eastAsia" w:hAnsi="宋体"/>
          <w:sz w:val="24"/>
        </w:rPr>
        <w:t xml:space="preserve">提供服务合同</w:t>
      </w:r>
      <w:r>
        <w:rPr>
          <w:rFonts w:hAnsi="宋体"/>
          <w:sz w:val="24"/>
        </w:rPr>
        <w:t xml:space="preserve">总额每日千分之六向甲方支付违约金，由甲方从待付</w:t>
      </w:r>
      <w:r>
        <w:rPr>
          <w:rFonts w:hint="eastAsia" w:hAnsi="宋体"/>
          <w:sz w:val="24"/>
        </w:rPr>
        <w:t xml:space="preserve">合同款项</w:t>
      </w:r>
      <w:r>
        <w:rPr>
          <w:rFonts w:hAnsi="宋体"/>
          <w:sz w:val="24"/>
        </w:rPr>
        <w:t xml:space="preserve">中扣除。逾期超过约定日期10个工作日不能</w:t>
      </w:r>
      <w:r>
        <w:rPr>
          <w:rFonts w:hint="eastAsia" w:hAnsi="宋体"/>
          <w:sz w:val="24"/>
        </w:rPr>
        <w:t xml:space="preserve">提供服务</w:t>
      </w:r>
      <w:r>
        <w:rPr>
          <w:rFonts w:hAnsi="宋体"/>
          <w:sz w:val="24"/>
        </w:rPr>
        <w:t xml:space="preserve">的，甲方可解除本合同。乙方因逾期</w:t>
      </w:r>
      <w:r>
        <w:rPr>
          <w:rFonts w:hint="eastAsia" w:hAnsi="宋体"/>
          <w:sz w:val="24"/>
        </w:rPr>
        <w:t xml:space="preserve">提供服务</w:t>
      </w:r>
      <w:r>
        <w:rPr>
          <w:rFonts w:hAnsi="宋体"/>
          <w:sz w:val="24"/>
        </w:rPr>
        <w:t xml:space="preserve">或因其他违约行为导致甲方解除合同的，乙方应向甲方支付合同</w:t>
      </w:r>
      <w:r>
        <w:rPr>
          <w:rFonts w:hint="eastAsia" w:hAnsi="宋体"/>
          <w:sz w:val="24"/>
        </w:rPr>
        <w:t xml:space="preserve">价款总额</w:t>
      </w:r>
      <w:r>
        <w:rPr>
          <w:rFonts w:hint="eastAsia" w:hAnsi="宋体"/>
          <w:sz w:val="24"/>
          <w:u w:val="single"/>
        </w:rPr>
        <w:t xml:space="preserve">     </w:t>
      </w:r>
      <w:r>
        <w:rPr>
          <w:rFonts w:hAnsi="宋体"/>
          <w:sz w:val="24"/>
        </w:rPr>
        <w:t xml:space="preserve">的违约金，如造成甲方损失超过违约金的，超出部分由乙方继续承担赔偿责任。 </w:t>
      </w:r>
      <w:r>
        <w:rPr>
          <w:rFonts w:hint="eastAsia" w:hAnsi="宋体"/>
          <w:sz w:val="24"/>
        </w:rPr>
      </w:r>
      <w:r/>
    </w:p>
    <w:p>
      <w:pPr>
        <w:pStyle w:val="1279"/>
        <w:ind w:left="410" w:hanging="41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.4 乙方</w:t>
      </w:r>
      <w:r>
        <w:rPr>
          <w:rFonts w:hint="eastAsia" w:hAnsi="宋体"/>
          <w:sz w:val="24"/>
        </w:rPr>
        <w:t xml:space="preserve">所提供服务的标准</w:t>
      </w:r>
      <w:r>
        <w:rPr>
          <w:rFonts w:hAnsi="宋体"/>
          <w:sz w:val="24"/>
        </w:rPr>
        <w:t xml:space="preserve">不符合合同规定及招标文件规定标准的，甲方有权</w:t>
      </w:r>
      <w:r>
        <w:rPr>
          <w:rFonts w:hint="eastAsia" w:hAnsi="宋体"/>
          <w:sz w:val="24"/>
        </w:rPr>
        <w:t xml:space="preserve">拒绝接受服务</w:t>
      </w:r>
      <w:r>
        <w:rPr>
          <w:rFonts w:hAnsi="宋体"/>
          <w:sz w:val="24"/>
        </w:rPr>
        <w:t xml:space="preserve">，</w:t>
      </w:r>
      <w:r>
        <w:rPr>
          <w:rFonts w:hint="eastAsia" w:hAnsi="宋体"/>
          <w:sz w:val="24"/>
        </w:rPr>
        <w:t xml:space="preserve">并</w:t>
      </w:r>
      <w:r>
        <w:rPr>
          <w:rFonts w:hAnsi="宋体"/>
          <w:sz w:val="24"/>
        </w:rPr>
        <w:t xml:space="preserve">可单方面解除合同。</w:t>
      </w:r>
      <w:r>
        <w:rPr>
          <w:rFonts w:hint="eastAsia" w:hAnsi="宋体"/>
          <w:sz w:val="24"/>
        </w:rPr>
      </w:r>
      <w:r/>
    </w:p>
    <w:p>
      <w:pPr>
        <w:pStyle w:val="1279"/>
        <w:spacing w:before="120" w:after="120"/>
        <w:rPr>
          <w:rFonts w:hint="eastAsia" w:hAnsi="宋体"/>
          <w:b/>
          <w:sz w:val="24"/>
        </w:rPr>
      </w:pPr>
      <w:r>
        <w:rPr>
          <w:rFonts w:hAnsi="宋体"/>
          <w:b/>
          <w:sz w:val="24"/>
        </w:rPr>
        <w:t xml:space="preserve">十</w:t>
      </w:r>
      <w:r>
        <w:rPr>
          <w:rFonts w:hint="eastAsia" w:hAnsi="宋体"/>
          <w:b/>
          <w:sz w:val="24"/>
        </w:rPr>
        <w:t xml:space="preserve">二</w:t>
      </w:r>
      <w:r>
        <w:rPr>
          <w:rFonts w:hAnsi="宋体"/>
          <w:b/>
          <w:sz w:val="24"/>
        </w:rPr>
        <w:t xml:space="preserve">、不可抗力事件处理</w:t>
      </w:r>
      <w:r>
        <w:rPr>
          <w:rFonts w:hint="eastAsia" w:hAnsi="宋体"/>
          <w:b/>
          <w:sz w:val="24"/>
        </w:rPr>
      </w:r>
      <w:r/>
    </w:p>
    <w:p>
      <w:pPr>
        <w:pStyle w:val="1279"/>
        <w:ind w:left="480" w:hanging="480"/>
        <w:spacing w:before="120" w:after="120"/>
        <w:rPr>
          <w:rFonts w:hint="eastAsia" w:hAnsi="宋体"/>
          <w:sz w:val="24"/>
        </w:rPr>
      </w:pPr>
      <w:r>
        <w:rPr>
          <w:rFonts w:hAnsi="宋体"/>
          <w:sz w:val="24"/>
        </w:rPr>
        <w:t xml:space="preserve">1</w:t>
      </w:r>
      <w:r>
        <w:rPr>
          <w:rFonts w:hint="eastAsia" w:hAnsi="宋体"/>
          <w:sz w:val="24"/>
        </w:rPr>
        <w:t xml:space="preserve">2</w:t>
      </w:r>
      <w:r>
        <w:rPr>
          <w:rFonts w:hAnsi="宋体"/>
          <w:sz w:val="24"/>
        </w:rPr>
        <w:t xml:space="preserve">.1 在合同有效期内，任何一方因不可抗力事件导致不能履行合同，则合同履行期可延长，其延长期与不可抗力影响</w:t>
      </w:r>
      <w:r>
        <w:rPr>
          <w:rFonts w:hint="eastAsia" w:hAnsi="宋体"/>
          <w:sz w:val="24"/>
        </w:rPr>
        <w:t xml:space="preserve"> </w:t>
      </w:r>
      <w:r>
        <w:rPr>
          <w:rFonts w:hAnsi="宋体"/>
          <w:sz w:val="24"/>
        </w:rPr>
        <w:t xml:space="preserve">期相同。</w:t>
      </w:r>
      <w:r>
        <w:rPr>
          <w:rFonts w:hint="eastAsia" w:hAnsi="宋体"/>
          <w:sz w:val="24"/>
        </w:rPr>
      </w:r>
      <w:r/>
    </w:p>
    <w:p>
      <w:pPr>
        <w:pStyle w:val="1279"/>
        <w:spacing w:before="120" w:after="120"/>
        <w:rPr>
          <w:rFonts w:hint="eastAsia" w:hAnsi="宋体"/>
          <w:sz w:val="24"/>
        </w:rPr>
      </w:pPr>
      <w:r>
        <w:rPr>
          <w:rFonts w:hAnsi="宋体"/>
          <w:sz w:val="24"/>
        </w:rPr>
        <w:t xml:space="preserve">1</w:t>
      </w:r>
      <w:r>
        <w:rPr>
          <w:rFonts w:hint="eastAsia" w:hAnsi="宋体"/>
          <w:sz w:val="24"/>
        </w:rPr>
        <w:t xml:space="preserve">2</w:t>
      </w:r>
      <w:r>
        <w:rPr>
          <w:rFonts w:hAnsi="宋体"/>
          <w:sz w:val="24"/>
        </w:rPr>
        <w:t xml:space="preserve">.2 不可抗力事件发生后，应立即通知对方，并寄送有关权威机构出具的证明。</w:t>
      </w:r>
      <w:r>
        <w:rPr>
          <w:rFonts w:hint="eastAsia" w:hAnsi="宋体"/>
          <w:sz w:val="24"/>
        </w:rPr>
      </w:r>
      <w:r/>
    </w:p>
    <w:p>
      <w:pPr>
        <w:pStyle w:val="1279"/>
        <w:spacing w:before="120" w:after="120"/>
        <w:rPr>
          <w:rFonts w:hint="eastAsia" w:hAnsi="宋体"/>
          <w:sz w:val="24"/>
        </w:rPr>
      </w:pPr>
      <w:r>
        <w:rPr>
          <w:rFonts w:hAnsi="宋体"/>
          <w:sz w:val="24"/>
        </w:rPr>
        <w:t xml:space="preserve">1</w:t>
      </w:r>
      <w:r>
        <w:rPr>
          <w:rFonts w:hint="eastAsia" w:hAnsi="宋体"/>
          <w:sz w:val="24"/>
        </w:rPr>
        <w:t xml:space="preserve">2</w:t>
      </w:r>
      <w:r>
        <w:rPr>
          <w:rFonts w:hAnsi="宋体"/>
          <w:sz w:val="24"/>
        </w:rPr>
        <w:t xml:space="preserve">.3 不可抗力事件延续120天以上，双方应通过友好协商，确定是否继续履行合同。</w:t>
      </w:r>
      <w:r>
        <w:rPr>
          <w:rFonts w:hint="eastAsia" w:hAnsi="宋体"/>
          <w:sz w:val="24"/>
        </w:rPr>
      </w:r>
      <w:r/>
    </w:p>
    <w:p>
      <w:pPr>
        <w:pStyle w:val="1279"/>
        <w:spacing w:before="120" w:after="120"/>
        <w:rPr>
          <w:rFonts w:hint="eastAsia" w:hAnsi="宋体"/>
          <w:b/>
          <w:sz w:val="24"/>
        </w:rPr>
      </w:pPr>
      <w:r>
        <w:rPr>
          <w:rFonts w:hAnsi="宋体"/>
          <w:b/>
          <w:sz w:val="24"/>
        </w:rPr>
        <w:t xml:space="preserve">十</w:t>
      </w:r>
      <w:r>
        <w:rPr>
          <w:rFonts w:hint="eastAsia" w:hAnsi="宋体"/>
          <w:b/>
          <w:sz w:val="24"/>
        </w:rPr>
        <w:t xml:space="preserve">三</w:t>
      </w:r>
      <w:r>
        <w:rPr>
          <w:rFonts w:hAnsi="宋体"/>
          <w:b/>
          <w:sz w:val="24"/>
        </w:rPr>
        <w:t xml:space="preserve">、</w:t>
      </w:r>
      <w:r>
        <w:rPr>
          <w:rFonts w:hint="eastAsia" w:hAnsi="宋体"/>
          <w:b/>
          <w:sz w:val="24"/>
        </w:rPr>
        <w:t xml:space="preserve">解决争议的方法</w:t>
      </w:r>
      <w:r>
        <w:rPr>
          <w:rFonts w:hint="eastAsia" w:hAnsi="宋体"/>
          <w:b/>
          <w:sz w:val="24"/>
        </w:rPr>
      </w:r>
      <w:r/>
    </w:p>
    <w:p>
      <w:pPr>
        <w:pStyle w:val="1279"/>
        <w:spacing w:before="120" w:after="120"/>
        <w:rPr>
          <w:rFonts w:hint="eastAsia" w:hAnsi="宋体"/>
          <w:sz w:val="24"/>
        </w:rPr>
      </w:pPr>
      <w:r>
        <w:rPr>
          <w:rFonts w:hint="eastAsia" w:hAnsi="宋体"/>
          <w:sz w:val="24"/>
        </w:rPr>
        <w:t xml:space="preserve">13.1双方在签订、履行合同中所发生的一切争议，应通过友好协商解决。如协商不成，由甲方住所地人民法院管辖。</w:t>
      </w:r>
      <w:r>
        <w:rPr>
          <w:rFonts w:hint="eastAsia" w:hAnsi="宋体"/>
          <w:sz w:val="24"/>
        </w:rPr>
      </w:r>
      <w:r/>
    </w:p>
    <w:p>
      <w:pPr>
        <w:pStyle w:val="1279"/>
        <w:spacing w:before="120" w:after="120"/>
        <w:rPr>
          <w:rFonts w:hint="eastAsia" w:hAnsi="宋体"/>
          <w:b/>
          <w:sz w:val="24"/>
        </w:rPr>
      </w:pPr>
      <w:r>
        <w:rPr>
          <w:rFonts w:hAnsi="宋体"/>
          <w:b/>
          <w:sz w:val="24"/>
        </w:rPr>
        <w:t xml:space="preserve">十</w:t>
      </w:r>
      <w:r>
        <w:rPr>
          <w:rFonts w:hint="eastAsia" w:hAnsi="宋体"/>
          <w:b/>
          <w:sz w:val="24"/>
        </w:rPr>
        <w:t xml:space="preserve">四</w:t>
      </w:r>
      <w:r>
        <w:rPr>
          <w:rFonts w:hAnsi="宋体"/>
          <w:b/>
          <w:sz w:val="24"/>
        </w:rPr>
        <w:t xml:space="preserve">、合同生效及其它</w:t>
      </w:r>
      <w:r>
        <w:rPr>
          <w:rFonts w:hint="eastAsia" w:hAnsi="宋体"/>
          <w:b/>
          <w:sz w:val="24"/>
        </w:rPr>
      </w:r>
      <w:r/>
    </w:p>
    <w:p>
      <w:pPr>
        <w:pStyle w:val="1279"/>
        <w:spacing w:before="120" w:after="120"/>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.1 合同经双方法定代表人或授权委托代</w:t>
      </w:r>
      <w:r>
        <w:rPr>
          <w:rFonts w:hint="eastAsia" w:hAnsi="宋体"/>
          <w:sz w:val="24"/>
        </w:rPr>
        <w:t xml:space="preserve">表</w:t>
      </w:r>
      <w:r>
        <w:rPr>
          <w:rFonts w:hAnsi="宋体"/>
          <w:sz w:val="24"/>
        </w:rPr>
        <w:t xml:space="preserve">人签字并加盖单位公章后生效。</w:t>
      </w:r>
      <w:r>
        <w:rPr>
          <w:rFonts w:hint="eastAsia" w:hAnsi="宋体"/>
          <w:sz w:val="24"/>
        </w:rPr>
      </w:r>
      <w:r/>
    </w:p>
    <w:p>
      <w:pPr>
        <w:pStyle w:val="1279"/>
        <w:spacing w:before="120" w:after="120"/>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.2本合同未尽事宜，遵照</w:t>
      </w:r>
      <w:r>
        <w:rPr>
          <w:rFonts w:hint="eastAsia" w:hAnsi="宋体"/>
          <w:sz w:val="24"/>
        </w:rPr>
        <w:t xml:space="preserve">《中华人民共和国民法典》、《中华人民共和国政府采购法》</w:t>
      </w:r>
      <w:r>
        <w:rPr>
          <w:rFonts w:hAnsi="宋体"/>
          <w:sz w:val="24"/>
        </w:rPr>
        <w:t xml:space="preserve">有关条文执行。</w:t>
      </w:r>
      <w:r>
        <w:rPr>
          <w:rFonts w:hint="eastAsia" w:hAnsi="宋体"/>
          <w:sz w:val="24"/>
        </w:rPr>
      </w:r>
      <w:r/>
    </w:p>
    <w:p>
      <w:pPr>
        <w:pStyle w:val="1279"/>
        <w:ind w:left="480" w:hanging="480"/>
        <w:spacing w:before="120" w:after="120"/>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w:t>
      </w:r>
      <w:r>
        <w:rPr>
          <w:rFonts w:hint="eastAsia" w:hAnsi="宋体"/>
          <w:sz w:val="24"/>
        </w:rPr>
        <w:t xml:space="preserve">3</w:t>
      </w:r>
      <w:r>
        <w:rPr>
          <w:rFonts w:hAnsi="宋体"/>
          <w:sz w:val="24"/>
        </w:rPr>
        <w:t xml:space="preserve"> 本合同正本一式</w:t>
      </w:r>
      <w:r>
        <w:rPr>
          <w:rFonts w:hint="eastAsia" w:hAnsi="宋体"/>
          <w:sz w:val="24"/>
        </w:rPr>
        <w:t xml:space="preserve">两</w:t>
      </w:r>
      <w:r>
        <w:rPr>
          <w:rFonts w:hAnsi="宋体"/>
          <w:sz w:val="24"/>
        </w:rPr>
        <w:t xml:space="preserve">份，具有同等法律效力，甲</w:t>
      </w:r>
      <w:r>
        <w:rPr>
          <w:rFonts w:hint="eastAsia" w:hAnsi="宋体"/>
          <w:sz w:val="24"/>
        </w:rPr>
        <w:t xml:space="preserve">方、</w:t>
      </w:r>
      <w:r>
        <w:rPr>
          <w:rFonts w:hAnsi="宋体"/>
          <w:sz w:val="24"/>
        </w:rPr>
        <w:t xml:space="preserve">乙方各执一份。</w:t>
      </w:r>
      <w:r>
        <w:rPr>
          <w:rFonts w:hint="eastAsia" w:hAnsi="宋体"/>
          <w:sz w:val="24"/>
        </w:rPr>
      </w:r>
      <w:r/>
    </w:p>
    <w:p>
      <w:pPr>
        <w:pStyle w:val="1279"/>
        <w:ind w:left="480" w:hanging="480"/>
        <w:spacing w:before="120" w:after="120" w:line="0" w:lineRule="atLeast"/>
        <w:rPr>
          <w:rFonts w:hint="eastAsia" w:hAnsi="宋体"/>
          <w:sz w:val="24"/>
        </w:rPr>
      </w:pPr>
      <w:r>
        <w:rPr>
          <w:rFonts w:hAnsi="宋体"/>
          <w:sz w:val="24"/>
        </w:rPr>
        <w:t xml:space="preserve">  甲方：                        乙方： </w:t>
      </w:r>
      <w:r>
        <w:rPr>
          <w:rFonts w:hint="eastAsia" w:hAnsi="宋体"/>
          <w:sz w:val="24"/>
        </w:rPr>
      </w:r>
      <w:r/>
    </w:p>
    <w:p>
      <w:pPr>
        <w:pStyle w:val="1279"/>
        <w:spacing w:before="120" w:after="120" w:line="0" w:lineRule="atLeast"/>
        <w:rPr>
          <w:rFonts w:hint="eastAsia" w:hAnsi="宋体"/>
          <w:sz w:val="24"/>
        </w:rPr>
      </w:pPr>
      <w:r>
        <w:rPr>
          <w:rFonts w:hAnsi="宋体"/>
          <w:sz w:val="24"/>
        </w:rPr>
        <w:t xml:space="preserve">  地址：                       </w:t>
      </w:r>
      <w:r>
        <w:rPr>
          <w:rFonts w:hint="eastAsia" w:hAnsi="宋体"/>
          <w:sz w:val="24"/>
        </w:rPr>
        <w:t xml:space="preserve"> </w:t>
      </w:r>
      <w:r>
        <w:rPr>
          <w:rFonts w:hAnsi="宋体"/>
          <w:sz w:val="24"/>
        </w:rPr>
        <w:t xml:space="preserve">地址： </w:t>
      </w:r>
      <w:r>
        <w:rPr>
          <w:rFonts w:hint="eastAsia" w:hAnsi="宋体"/>
          <w:sz w:val="24"/>
        </w:rPr>
      </w:r>
      <w:r/>
    </w:p>
    <w:p>
      <w:pPr>
        <w:pStyle w:val="1279"/>
        <w:spacing w:before="120" w:after="120" w:line="0" w:lineRule="atLeast"/>
        <w:rPr>
          <w:rFonts w:hint="eastAsia" w:hAnsi="宋体"/>
          <w:sz w:val="24"/>
        </w:rPr>
      </w:pPr>
      <w:r>
        <w:rPr>
          <w:rFonts w:hAnsi="宋体"/>
          <w:sz w:val="24"/>
        </w:rPr>
        <w:t xml:space="preserve">  法定代表人</w:t>
      </w:r>
      <w:r>
        <w:rPr>
          <w:rFonts w:hint="eastAsia" w:hAnsi="宋体"/>
          <w:sz w:val="24"/>
        </w:rPr>
        <w:t xml:space="preserve">或授权代表</w:t>
      </w:r>
      <w:r>
        <w:rPr>
          <w:rFonts w:hAnsi="宋体"/>
          <w:sz w:val="24"/>
        </w:rPr>
        <w:t xml:space="preserve">：        法定代表人</w:t>
      </w:r>
      <w:r>
        <w:rPr>
          <w:rFonts w:hint="eastAsia" w:hAnsi="宋体"/>
          <w:sz w:val="24"/>
        </w:rPr>
        <w:t xml:space="preserve">或授权代表</w:t>
      </w:r>
      <w:r>
        <w:rPr>
          <w:rFonts w:hAnsi="宋体"/>
          <w:sz w:val="24"/>
        </w:rPr>
        <w:t xml:space="preserve">：</w:t>
      </w:r>
      <w:r>
        <w:rPr>
          <w:rFonts w:hint="eastAsia" w:hAnsi="宋体"/>
          <w:sz w:val="24"/>
        </w:rPr>
      </w:r>
      <w:r/>
    </w:p>
    <w:p>
      <w:pPr>
        <w:pStyle w:val="1279"/>
        <w:ind w:firstLine="240"/>
        <w:spacing w:before="120" w:after="120" w:line="0" w:lineRule="atLeast"/>
      </w:pPr>
      <w:r>
        <w:rPr>
          <w:rFonts w:hint="eastAsia" w:hAnsi="宋体"/>
          <w:sz w:val="24"/>
        </w:rPr>
        <w:t xml:space="preserve">联系电话：                    联系电话：          </w:t>
      </w:r>
      <w:r/>
    </w:p>
    <w:p>
      <w:pPr>
        <w:pStyle w:val="1034"/>
        <w:jc w:val="center"/>
        <w:tabs>
          <w:tab w:val="left" w:pos="567" w:leader="none"/>
        </w:tabs>
        <w:rPr>
          <w:rFonts w:cs="宋体"/>
          <w:b/>
          <w:bCs/>
          <w:spacing w:val="-20"/>
          <w:sz w:val="48"/>
          <w:szCs w:val="48"/>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802"/>
      <w:r/>
      <w:bookmarkEnd w:id="803"/>
      <w:r/>
      <w:bookmarkEnd w:id="804"/>
      <w:r>
        <w:rPr>
          <w:rFonts w:cs="宋体"/>
          <w:b/>
          <w:bCs/>
          <w:spacing w:val="-20"/>
          <w:sz w:val="48"/>
          <w:szCs w:val="48"/>
        </w:rPr>
      </w:r>
      <w:r/>
    </w:p>
    <w:p>
      <w:pPr>
        <w:pStyle w:val="1002"/>
        <w:rPr>
          <w:rFonts w:hint="eastAsia"/>
          <w:b/>
          <w:color w:val="ff0000"/>
          <w:szCs w:val="21"/>
        </w:rPr>
      </w:pPr>
      <w:r/>
      <w:bookmarkEnd w:id="800"/>
      <w:r>
        <w:rPr>
          <w:rFonts w:hint="eastAsia"/>
          <w:b/>
          <w:color w:val="ff0000"/>
          <w:szCs w:val="21"/>
        </w:rPr>
      </w:r>
      <w:r/>
    </w:p>
    <w:p>
      <w:pPr>
        <w:pStyle w:val="1002"/>
        <w:rPr>
          <w:rFonts w:hint="eastAsia"/>
          <w:b/>
          <w:color w:val="ff0000"/>
          <w:szCs w:val="21"/>
        </w:rPr>
      </w:pPr>
      <w:r>
        <w:rPr>
          <w:rFonts w:hint="eastAsia"/>
          <w:b/>
          <w:color w:val="ff0000"/>
          <w:szCs w:val="21"/>
        </w:rPr>
        <w:t xml:space="preserve">      </w:t>
      </w: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spacing w:after="120"/>
        <w:rPr>
          <w:b/>
          <w:szCs w:val="21"/>
        </w:rPr>
      </w:pPr>
      <w:r>
        <w:rPr>
          <w:b/>
          <w:szCs w:val="21"/>
        </w:rPr>
      </w:r>
      <w:r/>
    </w:p>
    <w:p>
      <w:pPr>
        <w:pStyle w:val="1002"/>
        <w:jc w:val="center"/>
        <w:spacing w:line="360" w:lineRule="auto"/>
        <w:rPr>
          <w:b/>
          <w:sz w:val="36"/>
          <w:szCs w:val="36"/>
        </w:rPr>
        <w:outlineLvl w:val="0"/>
      </w:pPr>
      <w:r>
        <w:rPr>
          <w:b/>
          <w:sz w:val="36"/>
          <w:szCs w:val="36"/>
        </w:rPr>
        <w:br w:type="page" w:clear="all"/>
      </w:r>
      <w:bookmarkStart w:id="805" w:name="_Toc8339"/>
      <w:r>
        <w:rPr>
          <w:b/>
          <w:sz w:val="36"/>
          <w:szCs w:val="36"/>
        </w:rPr>
        <w:t xml:space="preserve">第七章   投标文件格式</w:t>
      </w:r>
      <w:bookmarkEnd w:id="805"/>
      <w:r>
        <w:rPr>
          <w:b/>
          <w:sz w:val="36"/>
          <w:szCs w:val="36"/>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0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0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2"/>
        <w:jc w:val="left"/>
        <w:widowControl/>
        <w:rPr>
          <w:sz w:val="24"/>
        </w:rPr>
      </w:pPr>
      <w:r>
        <w:rPr>
          <w:sz w:val="24"/>
        </w:rPr>
        <w:br w:type="page" w:clear="all"/>
      </w:r>
      <w:r>
        <w:rPr>
          <w:sz w:val="24"/>
        </w:rPr>
      </w:r>
      <w:r/>
    </w:p>
    <w:p>
      <w:pPr>
        <w:pStyle w:val="1002"/>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1002"/>
        <w:rPr>
          <w:b/>
          <w:spacing w:val="20"/>
          <w:szCs w:val="21"/>
        </w:rPr>
      </w:pPr>
      <w:r>
        <w:rPr>
          <w:b/>
          <w:spacing w:val="20"/>
          <w:szCs w:val="21"/>
        </w:rPr>
      </w:r>
      <w:r/>
    </w:p>
    <w:p>
      <w:pPr>
        <w:pStyle w:val="1002"/>
        <w:rPr>
          <w:b/>
          <w:sz w:val="24"/>
        </w:rPr>
      </w:pPr>
      <w:r>
        <w:rPr>
          <w:b/>
          <w:spacing w:val="20"/>
          <w:sz w:val="24"/>
        </w:rPr>
        <w:t xml:space="preserve">投标文件</w:t>
      </w:r>
      <w:r>
        <w:rPr>
          <w:b/>
          <w:sz w:val="24"/>
        </w:rPr>
        <w:t xml:space="preserve">封面（非实质性格式）</w:t>
      </w:r>
      <w:r>
        <w:rPr>
          <w:b/>
          <w:sz w:val="24"/>
        </w:rPr>
      </w:r>
      <w:r/>
    </w:p>
    <w:p>
      <w:pPr>
        <w:pStyle w:val="1002"/>
        <w:jc w:val="center"/>
        <w:rPr>
          <w:szCs w:val="21"/>
        </w:rPr>
      </w:pPr>
      <w:r>
        <w:rPr>
          <w:szCs w:val="21"/>
        </w:rPr>
      </w:r>
      <w:r/>
    </w:p>
    <w:p>
      <w:pPr>
        <w:pStyle w:val="1002"/>
        <w:jc w:val="center"/>
        <w:rPr>
          <w:b/>
          <w:spacing w:val="60"/>
          <w:sz w:val="84"/>
          <w:szCs w:val="84"/>
        </w:rPr>
      </w:pPr>
      <w:r>
        <w:rPr>
          <w:b/>
          <w:spacing w:val="60"/>
          <w:sz w:val="84"/>
          <w:szCs w:val="84"/>
        </w:rPr>
        <w:t xml:space="preserve">投 标 文 件</w:t>
      </w:r>
      <w:r>
        <w:rPr>
          <w:b/>
          <w:spacing w:val="60"/>
          <w:sz w:val="84"/>
          <w:szCs w:val="84"/>
        </w:rPr>
      </w:r>
      <w:r/>
    </w:p>
    <w:p>
      <w:pPr>
        <w:pStyle w:val="1002"/>
        <w:ind w:firstLine="963"/>
        <w:rPr>
          <w:rFonts w:hint="eastAsia"/>
          <w:b/>
          <w:spacing w:val="60"/>
          <w:sz w:val="52"/>
          <w:szCs w:val="52"/>
        </w:rPr>
      </w:pPr>
      <w:r>
        <w:rPr>
          <w:rFonts w:hint="eastAsia"/>
          <w:b/>
          <w:spacing w:val="60"/>
          <w:sz w:val="52"/>
          <w:szCs w:val="52"/>
        </w:rPr>
      </w:r>
      <w:r/>
    </w:p>
    <w:p>
      <w:pPr>
        <w:pStyle w:val="1002"/>
        <w:ind w:firstLine="963"/>
        <w:rPr>
          <w:rFonts w:hint="eastAsia"/>
          <w:b/>
          <w:spacing w:val="60"/>
          <w:sz w:val="52"/>
          <w:szCs w:val="52"/>
        </w:rPr>
      </w:pPr>
      <w:r>
        <w:rPr>
          <w:rFonts w:hint="eastAsia"/>
          <w:b/>
          <w:spacing w:val="60"/>
          <w:sz w:val="52"/>
          <w:szCs w:val="52"/>
        </w:rPr>
      </w:r>
      <w:r/>
    </w:p>
    <w:p>
      <w:pPr>
        <w:pStyle w:val="1002"/>
        <w:ind w:firstLine="542"/>
        <w:rPr>
          <w:b/>
          <w:spacing w:val="20"/>
          <w:sz w:val="32"/>
          <w:szCs w:val="32"/>
        </w:rPr>
      </w:pPr>
      <w:r>
        <w:rPr>
          <w:b/>
          <w:spacing w:val="20"/>
          <w:sz w:val="32"/>
          <w:szCs w:val="32"/>
        </w:rPr>
      </w:r>
      <w:r/>
    </w:p>
    <w:p>
      <w:pPr>
        <w:pStyle w:val="1002"/>
        <w:ind w:firstLine="542"/>
        <w:rPr>
          <w:b/>
          <w:spacing w:val="20"/>
          <w:sz w:val="32"/>
          <w:szCs w:val="32"/>
        </w:rPr>
      </w:pPr>
      <w:r>
        <w:rPr>
          <w:b/>
          <w:spacing w:val="20"/>
          <w:sz w:val="32"/>
          <w:szCs w:val="32"/>
        </w:rPr>
      </w:r>
      <w:r/>
    </w:p>
    <w:p>
      <w:pPr>
        <w:pStyle w:val="100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2"/>
        <w:jc w:val="center"/>
        <w:rPr>
          <w:b/>
          <w:sz w:val="32"/>
          <w:szCs w:val="32"/>
        </w:rPr>
      </w:pPr>
      <w:r>
        <w:rPr>
          <w:b/>
          <w:sz w:val="32"/>
          <w:szCs w:val="32"/>
        </w:rPr>
      </w:r>
      <w:r/>
    </w:p>
    <w:p>
      <w:pPr>
        <w:pStyle w:val="1002"/>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2"/>
        <w:rPr>
          <w:b/>
        </w:rPr>
      </w:pPr>
      <w:r>
        <w:rPr>
          <w:b/>
        </w:rPr>
      </w:r>
      <w:r/>
    </w:p>
    <w:p>
      <w:pPr>
        <w:pStyle w:val="1002"/>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05"/>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0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0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17"/>
        <w:ind w:firstLine="480"/>
        <w:spacing w:line="460" w:lineRule="exact"/>
      </w:pPr>
      <w:r/>
      <w:r/>
    </w:p>
    <w:p>
      <w:pPr>
        <w:pStyle w:val="1017"/>
        <w:ind w:firstLine="480"/>
        <w:spacing w:line="460" w:lineRule="exact"/>
        <w:rPr>
          <w:rFonts w:hint="eastAsia"/>
        </w:rPr>
      </w:pPr>
      <w:r>
        <w:rPr>
          <w:rFonts w:hint="eastAsia"/>
        </w:rPr>
        <w:t xml:space="preserve">致：常州正衡招投标有限公司</w:t>
      </w:r>
      <w:r>
        <w:rPr>
          <w:rFonts w:hint="eastAsia"/>
        </w:rPr>
      </w:r>
      <w:r/>
    </w:p>
    <w:p>
      <w:pPr>
        <w:pStyle w:val="1017"/>
        <w:ind w:firstLine="960"/>
        <w:spacing w:line="460" w:lineRule="exact"/>
        <w:rPr>
          <w:u w:val="single"/>
        </w:rPr>
      </w:pPr>
      <w:r>
        <w:rPr>
          <w:rFonts w:hint="eastAsia"/>
          <w:u w:val="single"/>
        </w:rPr>
        <w:t xml:space="preserve">（采购人名称）</w:t>
      </w:r>
      <w:r>
        <w:rPr>
          <w:u w:val="single"/>
        </w:rPr>
      </w:r>
      <w:r/>
    </w:p>
    <w:p>
      <w:pPr>
        <w:pStyle w:val="1017"/>
        <w:ind w:firstLine="480"/>
        <w:spacing w:line="460" w:lineRule="exact"/>
      </w:pPr>
      <w:r/>
      <w:r/>
    </w:p>
    <w:p>
      <w:pPr>
        <w:pStyle w:val="1017"/>
        <w:ind w:firstLine="480"/>
        <w:spacing w:line="460" w:lineRule="exact"/>
      </w:pPr>
      <w:r>
        <w:rPr>
          <w:rFonts w:hint="eastAsia"/>
        </w:rPr>
        <w:t xml:space="preserve">按照《中华人民共和国政府采购法》第二十二条和招标文件的规定，我单位郑重声明如下：</w:t>
      </w:r>
      <w:r/>
    </w:p>
    <w:p>
      <w:pPr>
        <w:pStyle w:val="10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7"/>
        <w:ind w:firstLine="480"/>
        <w:spacing w:line="460" w:lineRule="exact"/>
      </w:pPr>
      <w:r>
        <w:rPr>
          <w:rFonts w:hint="eastAsia"/>
        </w:rPr>
        <w:t xml:space="preserve">二、我单位具有良好的商业信誉（指投标人经营状况良好，无本资格声明第十条情形）和健全的财务会计制度。</w:t>
      </w:r>
      <w:r/>
    </w:p>
    <w:p>
      <w:pPr>
        <w:pStyle w:val="1017"/>
        <w:ind w:firstLine="480"/>
        <w:spacing w:line="460" w:lineRule="exact"/>
      </w:pPr>
      <w:r>
        <w:rPr>
          <w:rFonts w:hint="eastAsia"/>
        </w:rPr>
        <w:t xml:space="preserve">三、我单位依法进行纳税和社会保险申报并实际履行了义务。</w:t>
      </w:r>
      <w:r/>
    </w:p>
    <w:p>
      <w:pPr>
        <w:pStyle w:val="10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17"/>
        <w:ind w:firstLine="480"/>
        <w:spacing w:line="460" w:lineRule="exact"/>
      </w:pPr>
      <w:r>
        <w:rPr>
          <w:rFonts w:hint="eastAsia"/>
        </w:rPr>
        <w:t xml:space="preserve">主要设备有：</w:t>
      </w:r>
      <w:r>
        <w:rPr>
          <w:u w:val="single"/>
        </w:rPr>
        <w:t xml:space="preserve">            </w:t>
      </w:r>
      <w:r/>
    </w:p>
    <w:p>
      <w:pPr>
        <w:pStyle w:val="1017"/>
        <w:ind w:firstLine="480"/>
        <w:spacing w:line="460" w:lineRule="exact"/>
      </w:pPr>
      <w:r>
        <w:rPr>
          <w:rFonts w:hint="eastAsia"/>
        </w:rPr>
        <w:t xml:space="preserve">主要专业技术能力有</w:t>
      </w:r>
      <w:r>
        <w:rPr>
          <w:rFonts w:hint="eastAsia"/>
          <w:u w:val="single"/>
        </w:rPr>
        <w:t xml:space="preserve">                 </w:t>
      </w:r>
      <w:r/>
    </w:p>
    <w:p>
      <w:pPr>
        <w:pStyle w:val="10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7"/>
        <w:ind w:firstLine="480"/>
        <w:spacing w:line="460" w:lineRule="exact"/>
      </w:pPr>
      <w:r>
        <w:rPr>
          <w:rFonts w:hint="eastAsia"/>
        </w:rPr>
        <w:t xml:space="preserve">六、我单位具备法律、行政法规规定的其他条件。</w:t>
      </w:r>
      <w:r/>
    </w:p>
    <w:p>
      <w:pPr>
        <w:pStyle w:val="10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7"/>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7"/>
        <w:ind w:firstLine="480"/>
        <w:spacing w:line="460" w:lineRule="exact"/>
      </w:pPr>
      <w:r>
        <w:rPr>
          <w:rFonts w:hint="eastAsia"/>
        </w:rPr>
        <w:t xml:space="preserve">九、</w:t>
      </w:r>
      <w:r>
        <w:t xml:space="preserve">我单位无以下不良信用记录情形：</w:t>
      </w:r>
      <w:r/>
    </w:p>
    <w:p>
      <w:pPr>
        <w:pStyle w:val="1017"/>
        <w:ind w:firstLine="480"/>
        <w:spacing w:line="460" w:lineRule="exact"/>
      </w:pPr>
      <w:r>
        <w:t xml:space="preserve">1</w:t>
      </w:r>
      <w:r>
        <w:rPr>
          <w:rFonts w:hint="eastAsia"/>
        </w:rPr>
        <w:t xml:space="preserve">、在“信用中国”网站被列入失信被执行人和重大税收违法案件当事人名单；</w:t>
      </w:r>
      <w:r/>
    </w:p>
    <w:p>
      <w:pPr>
        <w:pStyle w:val="1017"/>
        <w:ind w:firstLine="480"/>
        <w:spacing w:line="460" w:lineRule="exact"/>
      </w:pPr>
      <w:r>
        <w:t xml:space="preserve">2</w:t>
      </w:r>
      <w:r>
        <w:rPr>
          <w:rFonts w:hint="eastAsia"/>
        </w:rPr>
        <w:t xml:space="preserve">、在“中国政府采购网”网站被列入政府采购严重违法失信行为记录名单；</w:t>
      </w:r>
      <w:r/>
    </w:p>
    <w:p>
      <w:pPr>
        <w:pStyle w:val="1017"/>
        <w:ind w:firstLine="480"/>
        <w:spacing w:line="460" w:lineRule="exact"/>
      </w:pPr>
      <w:r>
        <w:t xml:space="preserve">3</w:t>
      </w:r>
      <w:r>
        <w:rPr>
          <w:rFonts w:hint="eastAsia"/>
        </w:rPr>
        <w:t xml:space="preserve">、</w:t>
      </w:r>
      <w:r>
        <w:t xml:space="preserve">不符合《政府采购法》第二十二条规定的条件。</w:t>
      </w:r>
      <w:r/>
    </w:p>
    <w:p>
      <w:pPr>
        <w:pStyle w:val="1017"/>
        <w:ind w:firstLine="480"/>
        <w:spacing w:line="460" w:lineRule="exact"/>
      </w:pPr>
      <w:r/>
      <w:r/>
    </w:p>
    <w:p>
      <w:pPr>
        <w:pStyle w:val="10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7"/>
        <w:ind w:firstLine="480"/>
        <w:spacing w:line="460" w:lineRule="exact"/>
      </w:pPr>
      <w:r/>
      <w:r/>
    </w:p>
    <w:p>
      <w:pPr>
        <w:pStyle w:val="1017"/>
        <w:ind w:firstLine="480"/>
        <w:spacing w:line="460" w:lineRule="exact"/>
      </w:pPr>
      <w:r/>
      <w:r/>
    </w:p>
    <w:p>
      <w:pPr>
        <w:pStyle w:val="1017"/>
        <w:ind w:firstLine="480"/>
        <w:spacing w:line="460" w:lineRule="exact"/>
      </w:pPr>
      <w:r>
        <w:rPr>
          <w:rFonts w:hint="eastAsia"/>
        </w:rPr>
        <w:t xml:space="preserve">                                            投标人：（加盖公章）</w:t>
      </w:r>
      <w:r/>
    </w:p>
    <w:p>
      <w:pPr>
        <w:pStyle w:val="1017"/>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1017"/>
        <w:ind w:firstLine="4920"/>
        <w:spacing w:line="460" w:lineRule="exact"/>
        <w:rPr>
          <w:rFonts w:hint="eastAsia"/>
        </w:rPr>
      </w:pPr>
      <w:r>
        <w:rPr>
          <w:rFonts w:hint="eastAsia"/>
        </w:rPr>
        <w:t xml:space="preserve">日期：    年    月    日</w:t>
      </w:r>
      <w:r>
        <w:rPr>
          <w:rFonts w:hint="eastAsia"/>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02"/>
        <w:spacing w:line="360" w:lineRule="auto"/>
        <w:tabs>
          <w:tab w:val="left" w:pos="5580" w:leader="none"/>
        </w:tabs>
        <w:rPr>
          <w:sz w:val="24"/>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rPr>
      </w:r>
      <w:r/>
    </w:p>
    <w:p>
      <w:pPr>
        <w:pStyle w:val="1002"/>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1002"/>
        <w:ind w:left="719" w:hanging="240"/>
        <w:spacing w:line="360" w:lineRule="auto"/>
        <w:rPr>
          <w:rFonts w:hint="eastAsia"/>
          <w:sz w:val="24"/>
          <w:szCs w:val="20"/>
        </w:rPr>
      </w:pPr>
      <w:r>
        <w:rPr>
          <w:rFonts w:hint="eastAsia"/>
          <w:sz w:val="24"/>
          <w:szCs w:val="20"/>
        </w:rPr>
      </w:r>
      <w:r/>
    </w:p>
    <w:p>
      <w:pPr>
        <w:pStyle w:val="1002"/>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jc w:val="left"/>
        <w:widowControl/>
        <w:rPr>
          <w:rFonts w:hint="eastAsia"/>
          <w:sz w:val="24"/>
        </w:rPr>
      </w:pPr>
      <w:r>
        <w:rPr>
          <w:rFonts w:hint="eastAsia"/>
          <w:sz w:val="24"/>
        </w:rPr>
      </w:r>
      <w:r/>
    </w:p>
    <w:p>
      <w:pPr>
        <w:pStyle w:val="1002"/>
        <w:jc w:val="center"/>
        <w:widowControl/>
        <w:rPr>
          <w:rFonts w:hint="eastAsia" w:ascii="宋体" w:hAnsi="宋体"/>
          <w:b/>
          <w:sz w:val="32"/>
          <w:szCs w:val="32"/>
        </w:rPr>
      </w:pPr>
      <w:r>
        <w:rPr>
          <w:rFonts w:ascii="宋体" w:hAnsi="宋体"/>
          <w:b/>
          <w:sz w:val="32"/>
          <w:szCs w:val="32"/>
        </w:rPr>
        <w:t xml:space="preserve">二、商务技术文件格式</w:t>
      </w:r>
      <w:bookmarkStart w:id="806" w:name="_Toc520356217"/>
      <w:r/>
      <w:bookmarkStart w:id="807" w:name="_Toc150774761"/>
      <w:r/>
      <w:bookmarkStart w:id="808" w:name="_Toc195842921"/>
      <w:r/>
      <w:bookmarkStart w:id="809" w:name="_Toc480942349"/>
      <w:r/>
      <w:bookmarkStart w:id="810" w:name="_Toc226965829"/>
      <w:r/>
      <w:bookmarkStart w:id="811" w:name="_Toc226965746"/>
      <w:r/>
      <w:bookmarkStart w:id="812" w:name="_Toc226337252"/>
      <w:r/>
      <w:bookmarkStart w:id="813" w:name="_Toc127151556"/>
      <w:r/>
      <w:bookmarkStart w:id="814" w:name="_Toc150480794"/>
      <w:r/>
      <w:bookmarkStart w:id="815" w:name="_Ref467988698"/>
      <w:r/>
      <w:bookmarkStart w:id="816" w:name="_Toc226309800"/>
      <w:r/>
      <w:bookmarkStart w:id="817" w:name="_Toc142311058"/>
      <w:r>
        <w:rPr>
          <w:rFonts w:hint="eastAsia" w:ascii="宋体" w:hAnsi="宋体"/>
          <w:b/>
          <w:sz w:val="32"/>
          <w:szCs w:val="32"/>
        </w:rPr>
      </w:r>
      <w:r/>
    </w:p>
    <w:p>
      <w:pPr>
        <w:pStyle w:val="1002"/>
        <w:jc w:val="center"/>
        <w:widowControl/>
        <w:rPr>
          <w:rFonts w:hint="eastAsia" w:ascii="宋体" w:hAnsi="宋体"/>
          <w:b/>
          <w:sz w:val="32"/>
          <w:szCs w:val="32"/>
        </w:rPr>
      </w:pPr>
      <w:r>
        <w:rPr>
          <w:rFonts w:hint="eastAsia" w:ascii="宋体" w:hAnsi="宋体"/>
          <w:b/>
          <w:sz w:val="32"/>
          <w:szCs w:val="32"/>
        </w:rPr>
      </w:r>
      <w:r/>
    </w:p>
    <w:p>
      <w:pPr>
        <w:pStyle w:val="1002"/>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Pr>
          <w:rFonts w:hint="eastAsia"/>
          <w:sz w:val="24"/>
        </w:rPr>
        <w:t xml:space="preserve">函</w:t>
      </w:r>
      <w:r>
        <w:rPr>
          <w:sz w:val="24"/>
          <w:szCs w:val="20"/>
        </w:rPr>
        <w:t xml:space="preserve">（实质性格式）</w:t>
      </w:r>
      <w:r>
        <w:rPr>
          <w:sz w:val="24"/>
          <w:szCs w:val="20"/>
        </w:rPr>
      </w:r>
      <w:r/>
    </w:p>
    <w:p>
      <w:pPr>
        <w:pStyle w:val="1002"/>
        <w:spacing w:line="360" w:lineRule="auto"/>
        <w:tabs>
          <w:tab w:val="left" w:pos="5580" w:leader="none"/>
        </w:tabs>
        <w:rPr>
          <w:sz w:val="24"/>
        </w:rPr>
      </w:pPr>
      <w:r>
        <w:rPr>
          <w:sz w:val="24"/>
        </w:rPr>
      </w:r>
      <w:r/>
    </w:p>
    <w:p>
      <w:pPr>
        <w:pStyle w:val="1002"/>
        <w:jc w:val="center"/>
        <w:spacing w:line="360" w:lineRule="auto"/>
        <w:rPr>
          <w:b/>
          <w:sz w:val="36"/>
          <w:szCs w:val="36"/>
        </w:rPr>
      </w:pPr>
      <w:r>
        <w:rPr>
          <w:rFonts w:hint="eastAsia"/>
          <w:b/>
          <w:sz w:val="36"/>
          <w:szCs w:val="36"/>
        </w:rPr>
        <w:t xml:space="preserve">投标函</w:t>
      </w:r>
      <w:r>
        <w:rPr>
          <w:b/>
          <w:sz w:val="36"/>
          <w:szCs w:val="36"/>
        </w:rPr>
      </w:r>
      <w:r/>
    </w:p>
    <w:p>
      <w:pPr>
        <w:pStyle w:val="1002"/>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02"/>
        <w:spacing w:line="360" w:lineRule="auto"/>
        <w:tabs>
          <w:tab w:val="left" w:pos="5580" w:leader="none"/>
        </w:tabs>
        <w:rPr>
          <w:sz w:val="24"/>
          <w:szCs w:val="20"/>
        </w:rPr>
      </w:pPr>
      <w:r>
        <w:rPr>
          <w:sz w:val="24"/>
          <w:szCs w:val="20"/>
        </w:rPr>
      </w:r>
      <w:r/>
    </w:p>
    <w:p>
      <w:pPr>
        <w:pStyle w:val="1002"/>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1002"/>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02"/>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02"/>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02"/>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02"/>
        <w:ind w:firstLine="480"/>
        <w:spacing w:line="360" w:lineRule="auto"/>
        <w:rPr>
          <w:sz w:val="24"/>
        </w:rPr>
      </w:pPr>
      <w:r>
        <w:rPr>
          <w:sz w:val="24"/>
        </w:rPr>
        <w:t xml:space="preserve">与本投标有关的一切正式往来信函请寄：</w:t>
      </w:r>
      <w:r>
        <w:rPr>
          <w:sz w:val="24"/>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02"/>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02"/>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02"/>
        <w:ind w:left="420"/>
        <w:spacing w:line="360" w:lineRule="auto"/>
        <w:tabs>
          <w:tab w:val="left" w:pos="5580" w:leader="none"/>
        </w:tabs>
        <w:rPr>
          <w:sz w:val="24"/>
          <w:szCs w:val="20"/>
          <w:u w:val="single"/>
        </w:rPr>
      </w:pPr>
      <w:r>
        <w:rPr>
          <w:sz w:val="24"/>
          <w:szCs w:val="20"/>
          <w:u w:val="single"/>
        </w:rPr>
      </w:r>
      <w:r/>
    </w:p>
    <w:p>
      <w:pPr>
        <w:pStyle w:val="1002"/>
        <w:jc w:val="left"/>
        <w:widowControl/>
        <w:rPr>
          <w:rFonts w:hint="eastAsia"/>
          <w:sz w:val="24"/>
        </w:rPr>
      </w:pPr>
      <w:r/>
      <w:bookmarkStart w:id="818" w:name="_Hlt520356243"/>
      <w:r/>
      <w:bookmarkEnd w:id="818"/>
      <w:r/>
      <w:bookmarkStart w:id="819" w:name="_Hlt520355938"/>
      <w:r/>
      <w:bookmarkEnd w:id="819"/>
      <w:r>
        <w:rPr>
          <w:sz w:val="24"/>
        </w:rPr>
        <w:br w:type="page" w:clear="all"/>
      </w:r>
      <w:r>
        <w:rPr>
          <w:rFonts w:hint="eastAsia"/>
          <w:sz w:val="24"/>
        </w:rPr>
      </w:r>
      <w:r/>
    </w:p>
    <w:p>
      <w:pPr>
        <w:pStyle w:val="1002"/>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2"/>
        <w:spacing w:line="560" w:lineRule="exact"/>
        <w:rPr>
          <w:rFonts w:ascii="宋体" w:hAnsi="宋体"/>
          <w:sz w:val="24"/>
        </w:rPr>
      </w:pPr>
      <w:r>
        <w:rPr>
          <w:rFonts w:ascii="宋体" w:hAnsi="宋体"/>
          <w:sz w:val="24"/>
        </w:rPr>
      </w:r>
      <w:r/>
    </w:p>
    <w:p>
      <w:pPr>
        <w:pStyle w:val="103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0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17"/>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100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2"/>
        <w:jc w:val="left"/>
        <w:widowControl/>
        <w:rPr>
          <w:rFonts w:hint="eastAsia"/>
          <w:sz w:val="24"/>
        </w:rPr>
      </w:pPr>
      <w:r>
        <w:rPr>
          <w:rFonts w:hint="eastAsia"/>
          <w:sz w:val="24"/>
        </w:rPr>
      </w:r>
      <w:r/>
    </w:p>
    <w:p>
      <w:pPr>
        <w:pStyle w:val="100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ascii="宋体" w:hAnsi="宋体" w:cs="宋体"/>
          <w:sz w:val="24"/>
        </w:rPr>
      </w:pP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1002"/>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002"/>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1002"/>
        <w:spacing w:line="240" w:lineRule="atLeast"/>
        <w:rPr>
          <w:rFonts w:hint="eastAsia" w:ascii="宋体" w:hAnsi="宋体" w:cs="宋体"/>
          <w:szCs w:val="21"/>
        </w:rPr>
      </w:pPr>
      <w:r>
        <w:rPr>
          <w:rFonts w:hint="eastAsia" w:ascii="宋体" w:hAnsi="宋体" w:cs="宋体"/>
          <w:szCs w:val="21"/>
        </w:rPr>
      </w:r>
      <w:r/>
    </w:p>
    <w:p>
      <w:pPr>
        <w:pStyle w:val="1034"/>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002"/>
        <w:spacing w:line="240" w:lineRule="atLeast"/>
        <w:rPr>
          <w:rFonts w:hint="eastAsia" w:ascii="宋体" w:hAnsi="宋体" w:cs="宋体"/>
          <w:szCs w:val="21"/>
        </w:rPr>
      </w:pPr>
      <w:r>
        <w:rPr>
          <w:rFonts w:hint="eastAsia" w:ascii="宋体" w:hAnsi="宋体" w:cs="宋体"/>
          <w:szCs w:val="21"/>
        </w:rPr>
      </w:r>
      <w:r/>
    </w:p>
    <w:p>
      <w:pPr>
        <w:pStyle w:val="1002"/>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002"/>
        <w:spacing w:line="240" w:lineRule="atLeast"/>
        <w:rPr>
          <w:rFonts w:hint="eastAsia" w:ascii="宋体" w:hAnsi="宋体" w:cs="宋体"/>
          <w:szCs w:val="21"/>
        </w:rPr>
      </w:pPr>
      <w:r>
        <w:rPr>
          <w:rFonts w:hint="eastAsia" w:ascii="宋体" w:hAnsi="宋体" w:cs="宋体"/>
          <w:szCs w:val="21"/>
        </w:rPr>
      </w:r>
      <w:r/>
    </w:p>
    <w:p>
      <w:pPr>
        <w:pStyle w:val="1002"/>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1002"/>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84"/>
        <w:ind w:firstLine="0"/>
      </w:pPr>
      <w:r>
        <w:rPr>
          <w:rFonts w:hint="eastAsia"/>
          <w:sz w:val="24"/>
        </w:rPr>
        <w:br w:type="page" w:clear="all"/>
      </w:r>
      <w:r>
        <w:rPr>
          <w:rFonts w:hint="eastAsia"/>
          <w:sz w:val="24"/>
        </w:rPr>
        <w:t xml:space="preserve">2.2 营业执照</w:t>
      </w:r>
      <w:r/>
    </w:p>
    <w:p>
      <w:pPr>
        <w:pStyle w:val="1002"/>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100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2"/>
        <w:ind w:firstLine="640"/>
      </w:pPr>
      <w:r/>
      <w:r/>
    </w:p>
    <w:p>
      <w:pPr>
        <w:pStyle w:val="100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2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jc w:val="left"/>
        <w:widowControl/>
        <w:rPr>
          <w:sz w:val="24"/>
          <w:szCs w:val="20"/>
        </w:rPr>
      </w:pPr>
      <w:r/>
      <w:bookmarkStart w:id="820" w:name="_Hlt520271212"/>
      <w:r/>
      <w:bookmarkEnd w:id="820"/>
      <w:r/>
      <w:bookmarkStart w:id="821" w:name="_Hlt520274121"/>
      <w:r/>
      <w:bookmarkEnd w:id="821"/>
      <w:r/>
      <w:bookmarkStart w:id="822" w:name="_Hlt520274065"/>
      <w:r/>
      <w:bookmarkEnd w:id="822"/>
      <w:r/>
      <w:bookmarkStart w:id="823" w:name="_Hlt520343392"/>
      <w:r/>
      <w:bookmarkEnd w:id="823"/>
      <w:r/>
      <w:bookmarkStart w:id="824" w:name="_Hlt520343000"/>
      <w:r/>
      <w:bookmarkEnd w:id="824"/>
      <w:r/>
      <w:bookmarkStart w:id="825" w:name="_Hlt520350918"/>
      <w:r/>
      <w:bookmarkEnd w:id="825"/>
      <w:r/>
      <w:bookmarkStart w:id="826" w:name="_Hlt520274393"/>
      <w:r/>
      <w:bookmarkEnd w:id="826"/>
      <w:r/>
      <w:bookmarkStart w:id="827" w:name="_Hlt520355504"/>
      <w:r/>
      <w:bookmarkEnd w:id="827"/>
      <w:r/>
      <w:bookmarkStart w:id="828" w:name="_Hlt520274407"/>
      <w:r/>
      <w:bookmarkEnd w:id="828"/>
      <w:r/>
      <w:bookmarkStart w:id="829" w:name="_Hlt520273711"/>
      <w:r/>
      <w:bookmarkEnd w:id="829"/>
      <w:r/>
      <w:bookmarkStart w:id="830" w:name="_Toc264969247"/>
      <w:r/>
      <w:bookmarkStart w:id="831" w:name="_Toc127151557"/>
      <w:r/>
      <w:bookmarkStart w:id="832" w:name="_Toc520356218"/>
      <w:r/>
      <w:bookmarkStart w:id="833" w:name="_Toc195842922"/>
      <w:r/>
      <w:bookmarkStart w:id="834" w:name="_Toc226309801"/>
      <w:r/>
      <w:bookmarkStart w:id="835" w:name="_Toc226965830"/>
      <w:r/>
      <w:bookmarkStart w:id="836" w:name="_Toc265228395"/>
      <w:r/>
      <w:bookmarkStart w:id="837" w:name="_Toc226337253"/>
      <w:r/>
      <w:bookmarkStart w:id="838" w:name="_Toc142311059"/>
      <w:r/>
      <w:bookmarkStart w:id="839" w:name="_Ref467988705"/>
      <w:r/>
      <w:bookmarkStart w:id="840" w:name="_Toc305158899"/>
      <w:r/>
      <w:bookmarkStart w:id="841" w:name="_Toc305158825"/>
      <w:r/>
      <w:bookmarkStart w:id="842" w:name="_Toc150480795"/>
      <w:r/>
      <w:bookmarkStart w:id="843" w:name="_Toc480942350"/>
      <w:r/>
      <w:bookmarkStart w:id="844" w:name="_Toc150774762"/>
      <w:r/>
      <w:bookmarkStart w:id="845" w:name="_Toc226965747"/>
      <w:r>
        <w:rPr>
          <w:sz w:val="24"/>
          <w:szCs w:val="20"/>
        </w:rPr>
        <w:br w:type="page" w:clear="all"/>
      </w:r>
      <w:r>
        <w:rPr>
          <w:sz w:val="24"/>
          <w:szCs w:val="20"/>
        </w:rPr>
      </w:r>
      <w:r/>
    </w:p>
    <w:p>
      <w:pPr>
        <w:pStyle w:val="1002"/>
        <w:spacing w:line="360" w:lineRule="auto"/>
        <w:rPr>
          <w:sz w:val="24"/>
          <w:szCs w:val="20"/>
        </w:rPr>
        <w:outlineLvl w:val="2"/>
      </w:pPr>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rPr>
          <w:rFonts w:hint="eastAsia"/>
          <w:sz w:val="24"/>
          <w:szCs w:val="20"/>
        </w:rPr>
        <w:t xml:space="preserve">4</w:t>
      </w:r>
      <w:r>
        <w:rPr>
          <w:sz w:val="24"/>
          <w:szCs w:val="20"/>
        </w:rPr>
        <w:t xml:space="preserve">  开标一览表（实质性格式）</w:t>
      </w:r>
      <w:r>
        <w:rPr>
          <w:sz w:val="24"/>
          <w:szCs w:val="20"/>
        </w:rPr>
      </w:r>
      <w:r/>
    </w:p>
    <w:p>
      <w:pPr>
        <w:pStyle w:val="1002"/>
        <w:jc w:val="center"/>
        <w:spacing w:line="360" w:lineRule="exact"/>
        <w:rPr>
          <w:b/>
          <w:sz w:val="36"/>
          <w:szCs w:val="36"/>
        </w:rPr>
      </w:pPr>
      <w:r/>
      <w:bookmarkStart w:id="846" w:name="_Toc226337254"/>
      <w:r/>
      <w:bookmarkStart w:id="847" w:name="_Toc265228396"/>
      <w:r/>
      <w:bookmarkStart w:id="848" w:name="_Toc226309802"/>
      <w:r/>
      <w:bookmarkStart w:id="849" w:name="_Toc305158826"/>
      <w:r/>
      <w:bookmarkStart w:id="850" w:name="_Toc226965831"/>
      <w:r/>
      <w:bookmarkStart w:id="851" w:name="_Toc164608672"/>
      <w:r/>
      <w:bookmarkStart w:id="852" w:name="_Toc264969248"/>
      <w:r/>
      <w:bookmarkStart w:id="853" w:name="_Toc195842923"/>
      <w:r/>
      <w:bookmarkStart w:id="854" w:name="_Toc164608827"/>
      <w:r/>
      <w:bookmarkStart w:id="855" w:name="_Toc226965748"/>
      <w:r/>
      <w:bookmarkStart w:id="856" w:name="_Toc305158900"/>
      <w:r>
        <w:rPr>
          <w:rFonts w:hint="eastAsia"/>
          <w:b/>
          <w:sz w:val="36"/>
          <w:szCs w:val="36"/>
        </w:rPr>
        <w:t xml:space="preserve">开标一览表</w:t>
      </w:r>
      <w:bookmarkEnd w:id="846"/>
      <w:r/>
      <w:bookmarkEnd w:id="847"/>
      <w:r/>
      <w:bookmarkEnd w:id="848"/>
      <w:r/>
      <w:bookmarkEnd w:id="849"/>
      <w:r/>
      <w:bookmarkEnd w:id="850"/>
      <w:r/>
      <w:bookmarkEnd w:id="851"/>
      <w:r/>
      <w:bookmarkEnd w:id="852"/>
      <w:r/>
      <w:bookmarkEnd w:id="853"/>
      <w:r/>
      <w:bookmarkEnd w:id="854"/>
      <w:r/>
      <w:bookmarkEnd w:id="855"/>
      <w:r/>
      <w:bookmarkEnd w:id="856"/>
      <w:r>
        <w:rPr>
          <w:b/>
          <w:sz w:val="36"/>
          <w:szCs w:val="36"/>
        </w:rPr>
      </w:r>
      <w:r/>
    </w:p>
    <w:p>
      <w:pPr>
        <w:pStyle w:val="1002"/>
        <w:jc w:val="left"/>
        <w:spacing w:line="360" w:lineRule="auto"/>
        <w:tabs>
          <w:tab w:val="left" w:pos="1800" w:leader="none"/>
          <w:tab w:val="left" w:pos="5580" w:leader="none"/>
        </w:tabs>
        <w:rPr>
          <w:i/>
          <w:sz w:val="24"/>
        </w:rPr>
      </w:pPr>
      <w:r>
        <w:rPr>
          <w:i/>
          <w:sz w:val="24"/>
        </w:rPr>
      </w:r>
      <w:r/>
    </w:p>
    <w:p>
      <w:pPr>
        <w:pStyle w:val="1002"/>
        <w:ind w:firstLine="240"/>
        <w:jc w:val="left"/>
        <w:spacing w:line="360" w:lineRule="auto"/>
        <w:tabs>
          <w:tab w:val="left" w:pos="1800" w:leader="none"/>
          <w:tab w:val="left" w:pos="5580" w:leader="none"/>
        </w:tabs>
        <w:rPr>
          <w:sz w:val="24"/>
          <w:u w:val="single"/>
        </w:rPr>
      </w:pPr>
      <w:r/>
      <w:bookmarkStart w:id="857" w:name="_Toc195842924"/>
      <w:r/>
      <w:bookmarkStart w:id="858" w:name="_Toc305158827"/>
      <w:r/>
      <w:bookmarkStart w:id="859" w:name="_Toc150774763"/>
      <w:r/>
      <w:bookmarkStart w:id="860" w:name="_Toc226337255"/>
      <w:r/>
      <w:bookmarkStart w:id="861" w:name="_Toc265228397"/>
      <w:r/>
      <w:bookmarkStart w:id="862" w:name="_Toc226309803"/>
      <w:r/>
      <w:bookmarkStart w:id="863" w:name="_Toc127151558"/>
      <w:r/>
      <w:bookmarkStart w:id="864" w:name="_Toc226965749"/>
      <w:r/>
      <w:bookmarkStart w:id="865" w:name="_Toc305158901"/>
      <w:r/>
      <w:bookmarkStart w:id="866" w:name="_Toc142311060"/>
      <w:r/>
      <w:bookmarkStart w:id="867" w:name="_Toc150480796"/>
      <w:r/>
      <w:bookmarkStart w:id="868" w:name="_Toc226965832"/>
      <w:r/>
      <w:bookmarkStart w:id="869" w:name="_Toc264969249"/>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002"/>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1002"/>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1002"/>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1002"/>
              <w:jc w:val="center"/>
              <w:tabs>
                <w:tab w:val="left" w:pos="5580" w:leader="none"/>
              </w:tabs>
              <w:rPr>
                <w:sz w:val="24"/>
              </w:rPr>
            </w:pPr>
            <w:r>
              <w:rPr>
                <w:sz w:val="24"/>
              </w:rPr>
            </w:r>
            <w:r/>
          </w:p>
        </w:tc>
        <w:tc>
          <w:tcPr>
            <w:tcW w:w="3709" w:type="dxa"/>
            <w:vAlign w:val="center"/>
            <w:vMerge w:val="continue"/>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1002"/>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1002"/>
              <w:jc w:val="center"/>
              <w:tabs>
                <w:tab w:val="left" w:pos="5580" w:leader="none"/>
              </w:tabs>
              <w:rPr>
                <w:sz w:val="24"/>
              </w:rPr>
            </w:pPr>
            <w:r>
              <w:rPr>
                <w:sz w:val="24"/>
              </w:rPr>
            </w:r>
            <w:r/>
          </w:p>
        </w:tc>
        <w:tc>
          <w:tcPr>
            <w:tcW w:w="3709" w:type="dxa"/>
            <w:vAlign w:val="center"/>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tabs>
                <w:tab w:val="left" w:pos="5580" w:leader="none"/>
              </w:tabs>
              <w:rPr>
                <w:sz w:val="24"/>
                <w:u w:val="single"/>
              </w:rPr>
            </w:pPr>
            <w:r>
              <w:rPr>
                <w:sz w:val="24"/>
                <w:u w:val="single"/>
              </w:rPr>
            </w:r>
            <w:r/>
          </w:p>
        </w:tc>
        <w:tc>
          <w:tcPr>
            <w:tcW w:w="1984" w:type="dxa"/>
            <w:vAlign w:val="center"/>
            <w:textDirection w:val="lrTb"/>
            <w:noWrap w:val="false"/>
          </w:tcPr>
          <w:p>
            <w:pPr>
              <w:pStyle w:val="1002"/>
              <w:jc w:val="center"/>
              <w:tabs>
                <w:tab w:val="left" w:pos="5580" w:leader="none"/>
              </w:tabs>
              <w:rPr>
                <w:rFonts w:hint="eastAsia"/>
                <w:sz w:val="24"/>
              </w:rPr>
            </w:pPr>
            <w:r>
              <w:rPr>
                <w:rFonts w:hint="eastAsia"/>
                <w:sz w:val="24"/>
              </w:rPr>
            </w:r>
            <w:r/>
          </w:p>
        </w:tc>
      </w:tr>
    </w:tbl>
    <w:p>
      <w:pPr>
        <w:pStyle w:val="1002"/>
        <w:jc w:val="left"/>
        <w:rPr>
          <w:sz w:val="24"/>
        </w:rPr>
      </w:pPr>
      <w:r>
        <w:rPr>
          <w:sz w:val="24"/>
        </w:rPr>
      </w:r>
      <w:r/>
    </w:p>
    <w:p>
      <w:pPr>
        <w:pStyle w:val="1002"/>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1002"/>
        <w:jc w:val="left"/>
        <w:rPr>
          <w:rFonts w:hint="eastAsia"/>
          <w:sz w:val="24"/>
        </w:rPr>
      </w:pPr>
      <w:r>
        <w:rPr>
          <w:rFonts w:hint="eastAsia"/>
          <w:sz w:val="24"/>
        </w:rPr>
      </w:r>
      <w:r/>
    </w:p>
    <w:p>
      <w:pPr>
        <w:pStyle w:val="1002"/>
        <w:spacing w:before="25" w:after="25" w:line="360" w:lineRule="auto"/>
        <w:rPr>
          <w:sz w:val="24"/>
          <w:lang w:val="zh-CN"/>
        </w:rPr>
      </w:pPr>
      <w:r>
        <w:rPr>
          <w:sz w:val="24"/>
          <w:lang w:val="zh-CN"/>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sz w:val="24"/>
          <w:lang w:val="zh-CN"/>
        </w:rPr>
      </w:r>
      <w:r/>
    </w:p>
    <w:p>
      <w:pPr>
        <w:pStyle w:val="1002"/>
        <w:spacing w:before="25" w:after="25" w:line="360" w:lineRule="auto"/>
        <w:rPr>
          <w:sz w:val="24"/>
          <w:lang w:val="zh-CN"/>
        </w:rPr>
      </w:pPr>
      <w:r>
        <w:rPr>
          <w:sz w:val="24"/>
          <w:lang w:val="zh-CN"/>
        </w:rPr>
      </w:r>
      <w:r/>
    </w:p>
    <w:p>
      <w:pPr>
        <w:pStyle w:val="1002"/>
        <w:tabs>
          <w:tab w:val="left" w:pos="1800" w:leader="none"/>
          <w:tab w:val="left" w:pos="5580" w:leader="none"/>
        </w:tabs>
        <w:rPr>
          <w:sz w:val="24"/>
          <w:szCs w:val="20"/>
        </w:rPr>
      </w:pPr>
      <w:r>
        <w:rPr>
          <w:rFonts w:hint="eastAsia"/>
          <w:b/>
          <w:sz w:val="36"/>
          <w:szCs w:val="36"/>
        </w:rPr>
        <w:br w:type="page" w:clear="all"/>
      </w:r>
      <w:bookmarkStart w:id="870" w:name="_Toc195842927"/>
      <w:r/>
      <w:bookmarkStart w:id="871" w:name="_Toc150480798"/>
      <w:r/>
      <w:bookmarkStart w:id="872" w:name="_Toc127151562"/>
      <w:r/>
      <w:bookmarkStart w:id="873" w:name="_Toc226965752"/>
      <w:r/>
      <w:bookmarkStart w:id="874" w:name="_Toc265228400"/>
      <w:r/>
      <w:bookmarkStart w:id="875" w:name="_Toc142311062"/>
      <w:r/>
      <w:bookmarkStart w:id="876" w:name="_Toc150774765"/>
      <w:r/>
      <w:bookmarkStart w:id="877" w:name="_Toc226309806"/>
      <w:r/>
      <w:bookmarkStart w:id="878" w:name="_Toc226965835"/>
      <w:r/>
      <w:bookmarkStart w:id="879" w:name="_Toc226337258"/>
      <w:r/>
      <w:bookmarkStart w:id="880" w:name="_Toc305158830"/>
      <w:r/>
      <w:bookmarkStart w:id="881" w:name="_Toc264969252"/>
      <w:r/>
      <w:bookmarkStart w:id="882" w:name="_Toc305158904"/>
      <w:r/>
      <w:bookmarkStart w:id="883" w:name="_Toc226965834"/>
      <w:r/>
      <w:bookmarkStart w:id="884" w:name="_Toc150480797"/>
      <w:r/>
      <w:bookmarkStart w:id="885" w:name="_Toc265228399"/>
      <w:r/>
      <w:bookmarkStart w:id="886" w:name="_Toc305158903"/>
      <w:r/>
      <w:bookmarkStart w:id="887" w:name="_Toc127151561"/>
      <w:r/>
      <w:bookmarkStart w:id="888" w:name="_Toc150774764"/>
      <w:r/>
      <w:bookmarkStart w:id="889" w:name="_Toc264969251"/>
      <w:r/>
      <w:bookmarkStart w:id="890" w:name="_Toc195842926"/>
      <w:r/>
      <w:bookmarkStart w:id="891" w:name="_Toc226309805"/>
      <w:r/>
      <w:bookmarkStart w:id="892" w:name="_Toc226965751"/>
      <w:r/>
      <w:bookmarkStart w:id="893" w:name="_Toc142311061"/>
      <w:r/>
      <w:bookmarkStart w:id="894" w:name="_Toc226337257"/>
      <w:r/>
      <w:bookmarkStart w:id="895" w:name="_Toc305158829"/>
      <w:r>
        <w:rPr>
          <w:rFonts w:hint="eastAsia"/>
          <w:sz w:val="24"/>
          <w:szCs w:val="20"/>
        </w:rPr>
        <w:t xml:space="preserve">5</w:t>
      </w:r>
      <w:r>
        <w:rPr>
          <w:sz w:val="24"/>
          <w:szCs w:val="20"/>
        </w:rPr>
        <w:t xml:space="preserve">投标分项报价表（实质性格式）</w:t>
      </w:r>
      <w:r>
        <w:rPr>
          <w:sz w:val="24"/>
          <w:szCs w:val="20"/>
        </w:rPr>
      </w:r>
      <w:r/>
    </w:p>
    <w:p>
      <w:pPr>
        <w:pStyle w:val="1002"/>
        <w:tabs>
          <w:tab w:val="left" w:pos="1800" w:leader="none"/>
          <w:tab w:val="left" w:pos="5580" w:leader="none"/>
        </w:tabs>
        <w:rPr>
          <w:sz w:val="24"/>
          <w:szCs w:val="20"/>
        </w:rPr>
      </w:pPr>
      <w:r>
        <w:rPr>
          <w:sz w:val="24"/>
          <w:szCs w:val="20"/>
        </w:rPr>
      </w:r>
      <w:r/>
    </w:p>
    <w:p>
      <w:pPr>
        <w:pStyle w:val="1002"/>
        <w:jc w:val="center"/>
        <w:spacing w:line="360" w:lineRule="exact"/>
        <w:rPr>
          <w:b/>
          <w:sz w:val="36"/>
          <w:szCs w:val="36"/>
          <w:highlight w:val="none"/>
        </w:rPr>
      </w:pPr>
      <w:r>
        <w:rPr>
          <w:rFonts w:hint="eastAsia"/>
          <w:b/>
          <w:sz w:val="36"/>
          <w:szCs w:val="36"/>
          <w:highlight w:val="none"/>
        </w:rPr>
        <w:t xml:space="preserve">投标分项报价表</w:t>
      </w:r>
      <w:r>
        <w:rPr>
          <w:b/>
          <w:sz w:val="36"/>
          <w:szCs w:val="36"/>
          <w:highlight w:val="none"/>
        </w:rPr>
      </w:r>
      <w:r/>
    </w:p>
    <w:p>
      <w:pPr>
        <w:pStyle w:val="1002"/>
        <w:tabs>
          <w:tab w:val="left" w:pos="1800" w:leader="none"/>
          <w:tab w:val="left" w:pos="5580" w:leader="none"/>
        </w:tabs>
        <w:rPr>
          <w:sz w:val="24"/>
          <w:szCs w:val="20"/>
        </w:rPr>
      </w:pPr>
      <w:r>
        <w:rPr>
          <w:sz w:val="24"/>
          <w:szCs w:val="20"/>
        </w:rPr>
      </w:r>
      <w:r/>
    </w:p>
    <w:p>
      <w:pPr>
        <w:pStyle w:val="1002"/>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bl>
    <w:p>
      <w:pPr>
        <w:pStyle w:val="1002"/>
        <w:jc w:val="left"/>
        <w:tabs>
          <w:tab w:val="left" w:pos="1800" w:leader="none"/>
          <w:tab w:val="left" w:pos="5580" w:leader="none"/>
        </w:tabs>
        <w:rPr>
          <w:rFonts w:hint="eastAsia"/>
          <w:color w:val="000000"/>
          <w:sz w:val="24"/>
        </w:rPr>
      </w:pPr>
      <w:r>
        <w:rPr>
          <w:rFonts w:hint="eastAsia"/>
          <w:color w:val="000000"/>
          <w:sz w:val="24"/>
        </w:rPr>
      </w:r>
      <w:r/>
    </w:p>
    <w:p>
      <w:pPr>
        <w:pStyle w:val="1002"/>
        <w:jc w:val="left"/>
        <w:tabs>
          <w:tab w:val="left" w:pos="1800" w:leader="none"/>
          <w:tab w:val="left" w:pos="5580" w:leader="none"/>
        </w:tabs>
        <w:rPr>
          <w:rFonts w:hint="eastAsia"/>
          <w:color w:val="000000"/>
          <w:sz w:val="24"/>
        </w:rPr>
      </w:pPr>
      <w:r>
        <w:rPr>
          <w:rFonts w:hint="eastAsia"/>
          <w:color w:val="000000"/>
          <w:sz w:val="24"/>
        </w:rPr>
      </w:r>
      <w:r/>
    </w:p>
    <w:p>
      <w:pPr>
        <w:pStyle w:val="1002"/>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02"/>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1002"/>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02"/>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0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szCs w:val="20"/>
        </w:rPr>
      </w:pPr>
      <w:r>
        <w:rPr>
          <w:sz w:val="24"/>
          <w:szCs w:val="20"/>
        </w:rPr>
        <w:t xml:space="preserve">日期：_____年______月______日   </w:t>
      </w:r>
      <w:r>
        <w:rPr>
          <w:rFonts w:hint="eastAsia"/>
          <w:sz w:val="24"/>
          <w:szCs w:val="20"/>
        </w:rPr>
        <w:br w:type="page" w:clear="all"/>
      </w:r>
      <w:r>
        <w:rPr>
          <w:rFonts w:hint="eastAsia"/>
          <w:sz w:val="24"/>
          <w:szCs w:val="20"/>
        </w:rPr>
        <w:t xml:space="preserve">6</w:t>
      </w:r>
      <w:r>
        <w:rPr>
          <w:sz w:val="24"/>
          <w:szCs w:val="20"/>
        </w:rPr>
        <w:t xml:space="preserve">  合同条款偏离表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sz w:val="24"/>
          <w:szCs w:val="20"/>
        </w:rPr>
        <w:t xml:space="preserve">（实质性格式）</w:t>
      </w:r>
      <w:r>
        <w:rPr>
          <w:sz w:val="24"/>
          <w:szCs w:val="20"/>
        </w:rPr>
      </w:r>
      <w:r/>
    </w:p>
    <w:p>
      <w:pPr>
        <w:pStyle w:val="1002"/>
        <w:spacing w:line="360" w:lineRule="auto"/>
        <w:rPr>
          <w:sz w:val="24"/>
          <w:szCs w:val="20"/>
        </w:rPr>
      </w:pPr>
      <w:r>
        <w:rPr>
          <w:sz w:val="24"/>
          <w:szCs w:val="20"/>
        </w:rPr>
      </w:r>
      <w:r/>
    </w:p>
    <w:p>
      <w:pPr>
        <w:pStyle w:val="1002"/>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02"/>
        <w:spacing w:line="360" w:lineRule="auto"/>
        <w:rPr>
          <w:sz w:val="24"/>
          <w:szCs w:val="20"/>
        </w:rPr>
      </w:pPr>
      <w:r>
        <w:rPr>
          <w:sz w:val="24"/>
          <w:szCs w:val="20"/>
        </w:rPr>
      </w:r>
      <w:r/>
    </w:p>
    <w:p>
      <w:pPr>
        <w:pStyle w:val="1002"/>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2"/>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0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2"/>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序号</w:t>
            </w:r>
            <w:r>
              <w:rPr>
                <w:sz w:val="24"/>
              </w:rPr>
            </w:r>
            <w:r/>
          </w:p>
        </w:tc>
        <w:tc>
          <w:tcPr>
            <w:tcW w:w="1290" w:type="dxa"/>
            <w:vAlign w:val="center"/>
            <w:textDirection w:val="lrTb"/>
            <w:noWrap w:val="false"/>
          </w:tcPr>
          <w:p>
            <w:pPr>
              <w:pStyle w:val="1002"/>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1002"/>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1002"/>
              <w:jc w:val="center"/>
              <w:rPr>
                <w:sz w:val="24"/>
              </w:rPr>
            </w:pPr>
            <w:r>
              <w:rPr>
                <w:sz w:val="24"/>
              </w:rPr>
              <w:t xml:space="preserve">投标文件内容</w:t>
            </w:r>
            <w:r>
              <w:rPr>
                <w:sz w:val="24"/>
              </w:rPr>
            </w:r>
            <w:r/>
          </w:p>
        </w:tc>
        <w:tc>
          <w:tcPr>
            <w:tcW w:w="2423" w:type="dxa"/>
            <w:vAlign w:val="center"/>
            <w:textDirection w:val="lrTb"/>
            <w:noWrap w:val="false"/>
          </w:tcPr>
          <w:p>
            <w:pPr>
              <w:pStyle w:val="1002"/>
              <w:jc w:val="center"/>
              <w:rPr>
                <w:sz w:val="24"/>
              </w:rPr>
            </w:pPr>
            <w:r>
              <w:rPr>
                <w:sz w:val="24"/>
              </w:rPr>
              <w:t xml:space="preserve">偏离情况</w:t>
            </w:r>
            <w:r>
              <w:rPr>
                <w:sz w:val="24"/>
              </w:rPr>
            </w:r>
            <w:r/>
          </w:p>
        </w:tc>
        <w:tc>
          <w:tcPr>
            <w:tcW w:w="782"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w:t>
            </w: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bl>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02"/>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spacing w:line="360" w:lineRule="auto"/>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sz w:val="24"/>
          <w:szCs w:val="20"/>
        </w:rPr>
        <w:t xml:space="preserve">采购需求偏离表（实质性格式）</w:t>
      </w:r>
      <w:r>
        <w:rPr>
          <w:sz w:val="24"/>
          <w:szCs w:val="20"/>
        </w:rPr>
      </w:r>
      <w:r/>
    </w:p>
    <w:p>
      <w:pPr>
        <w:pStyle w:val="1002"/>
        <w:jc w:val="center"/>
        <w:spacing w:line="360" w:lineRule="auto"/>
        <w:rPr>
          <w:rFonts w:hint="eastAsia"/>
          <w:b/>
          <w:sz w:val="36"/>
          <w:szCs w:val="36"/>
        </w:rPr>
      </w:pPr>
      <w:r>
        <w:rPr>
          <w:rFonts w:hint="eastAsia"/>
          <w:b/>
          <w:sz w:val="36"/>
          <w:szCs w:val="36"/>
        </w:rPr>
      </w:r>
      <w:r/>
    </w:p>
    <w:p>
      <w:pPr>
        <w:pStyle w:val="1002"/>
        <w:jc w:val="center"/>
        <w:spacing w:line="360" w:lineRule="auto"/>
        <w:rPr>
          <w:b/>
          <w:sz w:val="36"/>
          <w:szCs w:val="36"/>
        </w:rPr>
      </w:pPr>
      <w:r>
        <w:rPr>
          <w:rFonts w:hint="eastAsia"/>
          <w:b/>
          <w:sz w:val="36"/>
          <w:szCs w:val="36"/>
        </w:rPr>
        <w:t xml:space="preserve">采购需求偏离表</w:t>
      </w:r>
      <w:r>
        <w:rPr>
          <w:b/>
          <w:sz w:val="36"/>
          <w:szCs w:val="36"/>
        </w:rPr>
      </w:r>
      <w:r/>
    </w:p>
    <w:p>
      <w:pPr>
        <w:pStyle w:val="1002"/>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2"/>
              <w:jc w:val="center"/>
              <w:rPr>
                <w:sz w:val="24"/>
              </w:rPr>
            </w:pPr>
            <w:r>
              <w:rPr>
                <w:sz w:val="24"/>
              </w:rPr>
              <w:t xml:space="preserve">序号</w:t>
            </w:r>
            <w:r>
              <w:rPr>
                <w:sz w:val="24"/>
              </w:rPr>
            </w:r>
            <w:r/>
          </w:p>
        </w:tc>
        <w:tc>
          <w:tcPr>
            <w:tcW w:w="1482" w:type="dxa"/>
            <w:vAlign w:val="center"/>
            <w:textDirection w:val="lrTb"/>
            <w:noWrap w:val="false"/>
          </w:tcPr>
          <w:p>
            <w:pPr>
              <w:pStyle w:val="1002"/>
              <w:jc w:val="center"/>
              <w:rPr>
                <w:sz w:val="24"/>
              </w:rPr>
            </w:pPr>
            <w:r>
              <w:rPr>
                <w:sz w:val="24"/>
              </w:rPr>
              <w:t xml:space="preserve">招标文件条目号(页码)</w:t>
            </w:r>
            <w:r>
              <w:rPr>
                <w:sz w:val="24"/>
              </w:rPr>
            </w:r>
            <w:r/>
          </w:p>
        </w:tc>
        <w:tc>
          <w:tcPr>
            <w:tcW w:w="2384" w:type="dxa"/>
            <w:vAlign w:val="center"/>
            <w:textDirection w:val="lrTb"/>
            <w:noWrap w:val="false"/>
          </w:tcPr>
          <w:p>
            <w:pPr>
              <w:pStyle w:val="1002"/>
              <w:jc w:val="center"/>
              <w:rPr>
                <w:sz w:val="24"/>
              </w:rPr>
            </w:pPr>
            <w:r>
              <w:rPr>
                <w:sz w:val="24"/>
              </w:rPr>
              <w:t xml:space="preserve">招标文件要求</w:t>
            </w:r>
            <w:r>
              <w:rPr>
                <w:sz w:val="24"/>
              </w:rPr>
            </w:r>
            <w:r/>
          </w:p>
        </w:tc>
        <w:tc>
          <w:tcPr>
            <w:tcW w:w="2126" w:type="dxa"/>
            <w:vAlign w:val="center"/>
            <w:textDirection w:val="lrTb"/>
            <w:noWrap w:val="false"/>
          </w:tcPr>
          <w:p>
            <w:pPr>
              <w:pStyle w:val="1002"/>
              <w:jc w:val="center"/>
              <w:rPr>
                <w:sz w:val="24"/>
              </w:rPr>
            </w:pPr>
            <w:r>
              <w:rPr>
                <w:sz w:val="24"/>
              </w:rPr>
              <w:t xml:space="preserve">投标响应内容</w:t>
            </w:r>
            <w:r>
              <w:rPr>
                <w:sz w:val="24"/>
              </w:rPr>
            </w:r>
            <w:r/>
          </w:p>
        </w:tc>
        <w:tc>
          <w:tcPr>
            <w:tcW w:w="1875" w:type="dxa"/>
            <w:vAlign w:val="center"/>
            <w:textDirection w:val="lrTb"/>
            <w:noWrap w:val="false"/>
          </w:tcPr>
          <w:p>
            <w:pPr>
              <w:pStyle w:val="1002"/>
              <w:jc w:val="center"/>
              <w:rPr>
                <w:sz w:val="24"/>
              </w:rPr>
            </w:pPr>
            <w:r>
              <w:rPr>
                <w:sz w:val="24"/>
              </w:rPr>
              <w:t xml:space="preserve">偏离情况</w:t>
            </w:r>
            <w:r>
              <w:rPr>
                <w:sz w:val="24"/>
              </w:rPr>
            </w:r>
            <w:r/>
          </w:p>
        </w:tc>
        <w:tc>
          <w:tcPr>
            <w:tcW w:w="1009"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t xml:space="preserve">……</w:t>
            </w: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bl>
    <w:p>
      <w:pPr>
        <w:pStyle w:val="1002"/>
        <w:ind w:firstLine="360"/>
        <w:jc w:val="left"/>
        <w:spacing w:line="360" w:lineRule="auto"/>
        <w:tabs>
          <w:tab w:val="left" w:pos="1800" w:leader="none"/>
          <w:tab w:val="left" w:pos="5580" w:leader="none"/>
        </w:tabs>
        <w:rPr>
          <w:sz w:val="24"/>
          <w:u w:val="single"/>
        </w:rPr>
      </w:pPr>
      <w:r>
        <w:rPr>
          <w:sz w:val="24"/>
          <w:u w:val="single"/>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02"/>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r>
      <w:r/>
    </w:p>
    <w:p>
      <w:pPr>
        <w:pStyle w:val="1002"/>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1002"/>
        <w:spacing w:line="360" w:lineRule="auto"/>
        <w:tabs>
          <w:tab w:val="left" w:pos="5580" w:leader="none"/>
        </w:tabs>
        <w:rPr>
          <w:sz w:val="24"/>
        </w:rPr>
      </w:pPr>
      <w:r>
        <w:rPr>
          <w:rFonts w:hint="eastAsia"/>
          <w:sz w:val="24"/>
        </w:rPr>
        <w:t xml:space="preserve">说明：</w:t>
      </w:r>
      <w:r>
        <w:rPr>
          <w:sz w:val="24"/>
        </w:rPr>
      </w:r>
      <w:r/>
    </w:p>
    <w:p>
      <w:pPr>
        <w:pStyle w:val="1002"/>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100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02"/>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100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02"/>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81"/>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02"/>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0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02"/>
        <w:jc w:val="left"/>
        <w:widowControl/>
        <w:rPr>
          <w:sz w:val="24"/>
        </w:rPr>
      </w:pPr>
      <w:r>
        <w:rPr>
          <w:sz w:val="24"/>
        </w:rPr>
      </w:r>
      <w:r/>
    </w:p>
    <w:p>
      <w:pPr>
        <w:pStyle w:val="1002"/>
        <w:jc w:val="center"/>
        <w:spacing w:before="240" w:after="240" w:line="360" w:lineRule="auto"/>
        <w:rPr>
          <w:b/>
          <w:bCs/>
          <w:color w:val="000000"/>
          <w:sz w:val="36"/>
          <w:szCs w:val="36"/>
        </w:rPr>
      </w:pPr>
      <w:r>
        <w:rPr>
          <w:sz w:val="24"/>
        </w:rPr>
        <w:br w:type="page" w:clear="all"/>
      </w:r>
      <w:r>
        <w:rPr>
          <w:b/>
          <w:bCs/>
          <w:color w:val="000000"/>
          <w:sz w:val="36"/>
          <w:szCs w:val="36"/>
        </w:rPr>
        <w:t xml:space="preserve">中小企业声明函（工程、服务）格式</w:t>
      </w:r>
      <w:r>
        <w:rPr>
          <w:b/>
          <w:bCs/>
          <w:color w:val="000000"/>
          <w:sz w:val="36"/>
          <w:szCs w:val="36"/>
        </w:rPr>
      </w:r>
      <w:r/>
    </w:p>
    <w:p>
      <w:pPr>
        <w:pStyle w:val="1002"/>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4"/>
        </w:rPr>
      </w:r>
      <w:r/>
    </w:p>
    <w:p>
      <w:pPr>
        <w:pStyle w:val="1002"/>
        <w:numPr>
          <w:ilvl w:val="0"/>
          <w:numId w:val="15"/>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00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02"/>
        <w:ind w:left="860"/>
        <w:jc w:val="left"/>
        <w:spacing w:line="360" w:lineRule="auto"/>
        <w:rPr>
          <w:sz w:val="24"/>
        </w:rPr>
      </w:pPr>
      <w:r>
        <w:rPr>
          <w:sz w:val="24"/>
        </w:rPr>
        <w:t xml:space="preserve">……</w:t>
      </w:r>
      <w:r>
        <w:rPr>
          <w:sz w:val="24"/>
        </w:rPr>
      </w:r>
      <w:r/>
    </w:p>
    <w:p>
      <w:pPr>
        <w:pStyle w:val="1002"/>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02"/>
        <w:ind w:firstLine="504"/>
        <w:spacing w:line="360" w:lineRule="auto"/>
        <w:rPr>
          <w:spacing w:val="6"/>
          <w:sz w:val="24"/>
        </w:rPr>
      </w:pPr>
      <w:r>
        <w:rPr>
          <w:sz w:val="24"/>
        </w:rPr>
        <w:t xml:space="preserve">本企业对上述声明内容的真实性负责。如有虚假，将依法承担相应责任。</w:t>
      </w:r>
      <w:r>
        <w:rPr>
          <w:spacing w:val="6"/>
          <w:sz w:val="24"/>
        </w:rPr>
      </w:r>
      <w:r/>
    </w:p>
    <w:p>
      <w:pPr>
        <w:pStyle w:val="1002"/>
        <w:ind w:firstLine="504"/>
        <w:spacing w:line="360" w:lineRule="auto"/>
        <w:rPr>
          <w:spacing w:val="6"/>
          <w:sz w:val="24"/>
        </w:rPr>
      </w:pPr>
      <w:r>
        <w:rPr>
          <w:spacing w:val="6"/>
          <w:sz w:val="24"/>
        </w:rPr>
      </w:r>
      <w:r/>
    </w:p>
    <w:p>
      <w:pPr>
        <w:pStyle w:val="1002"/>
        <w:ind w:right="360" w:firstLine="480"/>
        <w:jc w:val="right"/>
        <w:spacing w:line="360" w:lineRule="auto"/>
        <w:rPr>
          <w:color w:val="000000"/>
          <w:sz w:val="24"/>
        </w:rPr>
      </w:pPr>
      <w:r>
        <w:rPr>
          <w:color w:val="000000"/>
          <w:sz w:val="24"/>
        </w:rPr>
      </w:r>
      <w:r/>
    </w:p>
    <w:p>
      <w:pPr>
        <w:pStyle w:val="1002"/>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02"/>
        <w:ind w:right="360" w:firstLine="480"/>
        <w:jc w:val="right"/>
        <w:spacing w:line="360" w:lineRule="auto"/>
        <w:rPr>
          <w:color w:val="000000"/>
          <w:sz w:val="24"/>
        </w:rPr>
      </w:pPr>
      <w:r>
        <w:rPr>
          <w:color w:val="000000"/>
          <w:sz w:val="24"/>
        </w:rPr>
        <w:t xml:space="preserve">日 期：________</w:t>
      </w:r>
      <w:r>
        <w:rPr>
          <w:color w:val="000000"/>
          <w:sz w:val="24"/>
        </w:rPr>
      </w:r>
      <w:r/>
    </w:p>
    <w:p>
      <w:pPr>
        <w:pStyle w:val="1002"/>
        <w:ind w:right="360" w:firstLine="480"/>
        <w:jc w:val="right"/>
        <w:spacing w:line="360" w:lineRule="auto"/>
        <w:rPr>
          <w:color w:val="000000"/>
          <w:sz w:val="24"/>
        </w:rPr>
      </w:pPr>
      <w:r>
        <w:rPr>
          <w:color w:val="000000"/>
          <w:sz w:val="24"/>
        </w:rPr>
      </w:r>
      <w:r/>
    </w:p>
    <w:p>
      <w:pPr>
        <w:pStyle w:val="1002"/>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2"/>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02"/>
        <w:jc w:val="left"/>
        <w:rPr>
          <w:color w:val="000000"/>
          <w:szCs w:val="21"/>
          <w:vertAlign w:val="superscript"/>
        </w:rPr>
      </w:pPr>
      <w:r>
        <w:rPr>
          <w:color w:val="000000"/>
          <w:szCs w:val="21"/>
          <w:vertAlign w:val="superscript"/>
        </w:rPr>
      </w:r>
      <w:r/>
    </w:p>
    <w:p>
      <w:pPr>
        <w:pStyle w:val="1002"/>
        <w:spacing w:line="360" w:lineRule="auto"/>
        <w:rPr>
          <w:sz w:val="24"/>
          <w:szCs w:val="20"/>
        </w:rPr>
        <w:outlineLvl w:val="2"/>
      </w:pPr>
      <w:r>
        <w:rPr>
          <w:sz w:val="24"/>
          <w:szCs w:val="20"/>
        </w:rPr>
        <w:br w:type="page" w:clear="all"/>
      </w:r>
      <w:r>
        <w:rPr>
          <w:sz w:val="24"/>
          <w:szCs w:val="20"/>
        </w:rPr>
      </w:r>
      <w:r/>
    </w:p>
    <w:p>
      <w:pPr>
        <w:pStyle w:val="1002"/>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100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0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0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0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02"/>
        <w:ind w:firstLine="504"/>
        <w:spacing w:line="588" w:lineRule="exact"/>
        <w:rPr>
          <w:spacing w:val="6"/>
          <w:sz w:val="24"/>
        </w:rPr>
      </w:pPr>
      <w:r>
        <w:rPr>
          <w:spacing w:val="6"/>
          <w:sz w:val="24"/>
        </w:rPr>
      </w:r>
      <w:r/>
    </w:p>
    <w:p>
      <w:pPr>
        <w:pStyle w:val="1002"/>
        <w:ind w:firstLine="504"/>
        <w:spacing w:line="588" w:lineRule="exact"/>
        <w:rPr>
          <w:spacing w:val="6"/>
          <w:sz w:val="24"/>
        </w:rPr>
      </w:pP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02"/>
        <w:spacing w:line="360" w:lineRule="auto"/>
        <w:rPr>
          <w:b/>
          <w:sz w:val="24"/>
        </w:rPr>
        <w:outlineLvl w:val="2"/>
      </w:pPr>
      <w:r>
        <w:rPr>
          <w:b/>
          <w:sz w:val="24"/>
        </w:rPr>
      </w:r>
      <w:r/>
    </w:p>
    <w:p>
      <w:pPr>
        <w:pStyle w:val="1002"/>
        <w:rPr>
          <w:rFonts w:hint="eastAsia"/>
          <w:sz w:val="24"/>
          <w:szCs w:val="20"/>
        </w:rPr>
      </w:pPr>
      <w:r>
        <w:rPr>
          <w:sz w:val="24"/>
          <w:szCs w:val="20"/>
        </w:rPr>
        <w:br w:type="page" w:clear="all"/>
      </w:r>
      <w:r>
        <w:rPr>
          <w:rFonts w:hint="eastAsia"/>
          <w:sz w:val="24"/>
          <w:szCs w:val="20"/>
        </w:rPr>
      </w:r>
      <w:r/>
    </w:p>
    <w:p>
      <w:pPr>
        <w:pStyle w:val="1002"/>
        <w:rPr>
          <w:sz w:val="24"/>
          <w:szCs w:val="20"/>
        </w:rPr>
      </w:pPr>
      <w:r>
        <w:rPr>
          <w:rFonts w:hint="eastAsia"/>
          <w:sz w:val="24"/>
          <w:szCs w:val="20"/>
        </w:rPr>
        <w:t xml:space="preserve">9</w:t>
      </w:r>
      <w:r>
        <w:rPr>
          <w:sz w:val="24"/>
          <w:szCs w:val="20"/>
        </w:rPr>
        <w:t xml:space="preserve"> </w:t>
      </w:r>
      <w:r>
        <w:rPr>
          <w:rFonts w:hint="eastAsia"/>
          <w:sz w:val="24"/>
          <w:szCs w:val="20"/>
        </w:rPr>
        <w:t xml:space="preserve">项目实施方案等，包括但不限于如下主题：</w:t>
      </w:r>
      <w:r>
        <w:rPr>
          <w:sz w:val="24"/>
          <w:szCs w:val="20"/>
        </w:rPr>
      </w:r>
      <w:r/>
    </w:p>
    <w:p>
      <w:pPr>
        <w:pStyle w:val="1002"/>
        <w:spacing w:line="360" w:lineRule="auto"/>
        <w:rPr>
          <w:rFonts w:hint="eastAsia"/>
          <w:color w:val="000000"/>
          <w:sz w:val="24"/>
          <w:szCs w:val="20"/>
        </w:rPr>
        <w:outlineLvl w:val="2"/>
      </w:pPr>
      <w:r>
        <w:rPr>
          <w:rFonts w:hint="eastAsia"/>
          <w:color w:val="000000"/>
          <w:sz w:val="24"/>
          <w:szCs w:val="20"/>
        </w:rPr>
      </w:r>
      <w:r/>
    </w:p>
    <w:p>
      <w:pPr>
        <w:pStyle w:val="1002"/>
        <w:spacing w:line="360" w:lineRule="auto"/>
        <w:rPr>
          <w:color w:val="000000"/>
          <w:sz w:val="24"/>
          <w:szCs w:val="20"/>
        </w:rPr>
        <w:outlineLvl w:val="2"/>
      </w:pPr>
      <w:r>
        <w:rPr>
          <w:rFonts w:hint="eastAsia"/>
          <w:color w:val="000000"/>
          <w:sz w:val="24"/>
          <w:szCs w:val="20"/>
        </w:rPr>
        <w:t xml:space="preserve"> 按照评标标准中的方案内容</w:t>
      </w:r>
      <w:r>
        <w:rPr>
          <w:color w:val="000000"/>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rPr>
          <w:sz w:val="24"/>
          <w:szCs w:val="24"/>
        </w:rPr>
      </w:pPr>
      <w:r>
        <w:rPr>
          <w:rFonts w:hint="eastAsia"/>
          <w:sz w:val="24"/>
          <w:szCs w:val="20"/>
          <w:highlight w:val="none"/>
        </w:rPr>
      </w:r>
      <w:r>
        <w:rPr>
          <w:rFonts w:hint="eastAsia"/>
          <w:sz w:val="24"/>
          <w:szCs w:val="20"/>
          <w:highlight w:val="none"/>
        </w:rPr>
      </w:r>
    </w:p>
    <w:p>
      <w:pPr>
        <w:pStyle w:val="1002"/>
        <w:rPr>
          <w:rFonts w:hint="eastAsia"/>
          <w:sz w:val="24"/>
          <w:szCs w:val="24"/>
          <w:highlight w:val="none"/>
        </w:rPr>
      </w:pPr>
      <w:r>
        <w:rPr>
          <w:rFonts w:hint="eastAsia"/>
          <w:sz w:val="24"/>
          <w:szCs w:val="20"/>
        </w:rPr>
        <w:t xml:space="preserve">11  参加本项目人员一览表</w:t>
      </w:r>
      <w:r>
        <w:rPr>
          <w:sz w:val="24"/>
          <w:szCs w:val="20"/>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2"/>
        <w:spacing w:line="360" w:lineRule="auto"/>
        <w:rPr>
          <w:rFonts w:ascii="宋体" w:hAnsi="宋体"/>
          <w:sz w:val="22"/>
        </w:rPr>
      </w:pPr>
      <w:r>
        <w:rPr>
          <w:rFonts w:ascii="宋体" w:hAnsi="宋体"/>
          <w:sz w:val="22"/>
        </w:rPr>
      </w:r>
      <w:r/>
    </w:p>
    <w:p>
      <w:pPr>
        <w:pStyle w:val="100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left w:val="single" w:color="000000" w:sz="4" w:space="0"/>
            </w:tcBorders>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tcBorders>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2"/>
        <w:tabs>
          <w:tab w:val="left" w:pos="9765" w:leader="none"/>
        </w:tabs>
        <w:rPr>
          <w:rFonts w:ascii="宋体" w:hAnsi="宋体" w:cs="宋体"/>
          <w:b/>
          <w:sz w:val="24"/>
          <w:lang w:val="zh-CN"/>
        </w:rPr>
      </w:pPr>
      <w:r>
        <w:rPr>
          <w:rFonts w:ascii="宋体" w:hAnsi="宋体" w:cs="宋体"/>
          <w:b/>
          <w:sz w:val="24"/>
          <w:lang w:val="zh-CN"/>
        </w:rPr>
      </w:r>
      <w:r/>
    </w:p>
    <w:p>
      <w:pPr>
        <w:pStyle w:val="100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02"/>
        <w:spacing w:line="360" w:lineRule="auto"/>
        <w:rPr>
          <w:rFonts w:ascii="宋体" w:hAnsi="宋体"/>
          <w:sz w:val="24"/>
        </w:rPr>
      </w:pPr>
      <w:r>
        <w:rPr>
          <w:rFonts w:ascii="宋体" w:hAnsi="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rPr>
          <w:rFonts w:hint="eastAsia"/>
          <w:sz w:val="22"/>
        </w:rPr>
      </w:pPr>
      <w:r>
        <w:rPr>
          <w:sz w:val="22"/>
        </w:rPr>
        <w:br w:type="page" w:clear="all"/>
      </w:r>
      <w:bookmarkStart w:id="896" w:name="_Toc288738839"/>
      <w:r/>
      <w:bookmarkStart w:id="897" w:name="_Toc288738397"/>
      <w:r>
        <w:rPr>
          <w:rFonts w:hint="eastAsia"/>
          <w:sz w:val="22"/>
        </w:rPr>
      </w:r>
      <w:r/>
    </w:p>
    <w:p>
      <w:pPr>
        <w:pStyle w:val="1002"/>
        <w:rPr>
          <w:sz w:val="24"/>
          <w:szCs w:val="20"/>
        </w:rPr>
      </w:pPr>
      <w:r>
        <w:rPr>
          <w:rFonts w:hint="eastAsia"/>
          <w:sz w:val="24"/>
          <w:szCs w:val="20"/>
        </w:rPr>
        <w:t xml:space="preserve">12  相关业绩案例一览表</w:t>
      </w:r>
      <w:r>
        <w:rPr>
          <w:sz w:val="24"/>
          <w:szCs w:val="20"/>
        </w:rPr>
      </w:r>
      <w:r/>
    </w:p>
    <w:p>
      <w:pPr>
        <w:pStyle w:val="1002"/>
        <w:rPr>
          <w:sz w:val="24"/>
          <w:szCs w:val="20"/>
        </w:rPr>
      </w:pPr>
      <w:r>
        <w:rPr>
          <w:sz w:val="24"/>
          <w:szCs w:val="20"/>
        </w:rPr>
      </w:r>
      <w:r/>
    </w:p>
    <w:p>
      <w:pPr>
        <w:pStyle w:val="1002"/>
        <w:jc w:val="center"/>
        <w:rPr>
          <w:rFonts w:ascii="宋体" w:hAnsi="宋体"/>
          <w:b/>
          <w:sz w:val="32"/>
          <w:szCs w:val="32"/>
        </w:rPr>
      </w:pPr>
      <w:r>
        <w:rPr>
          <w:rFonts w:hint="eastAsia" w:ascii="宋体" w:hAnsi="宋体"/>
          <w:b/>
          <w:sz w:val="32"/>
          <w:szCs w:val="32"/>
        </w:rPr>
        <w:t xml:space="preserve">相关业绩案例一览表</w:t>
      </w:r>
      <w:bookmarkEnd w:id="896"/>
      <w:r/>
      <w:bookmarkEnd w:id="897"/>
      <w:r>
        <w:rPr>
          <w:rFonts w:ascii="宋体" w:hAnsi="宋体"/>
          <w:b/>
          <w:sz w:val="32"/>
          <w:szCs w:val="32"/>
        </w:rPr>
      </w:r>
      <w:r/>
    </w:p>
    <w:p>
      <w:pPr>
        <w:pStyle w:val="1002"/>
        <w:jc w:val="center"/>
        <w:spacing w:line="360" w:lineRule="auto"/>
        <w:rPr>
          <w:rFonts w:ascii="宋体" w:hAnsi="宋体"/>
          <w:b/>
          <w:sz w:val="28"/>
          <w:szCs w:val="30"/>
        </w:rPr>
      </w:pPr>
      <w:r>
        <w:rPr>
          <w:rFonts w:ascii="宋体" w:hAnsi="宋体"/>
          <w:b/>
          <w:sz w:val="28"/>
          <w:szCs w:val="30"/>
        </w:rPr>
      </w:r>
      <w:r/>
    </w:p>
    <w:p>
      <w:pPr>
        <w:pStyle w:val="100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bl>
    <w:p>
      <w:pPr>
        <w:pStyle w:val="1002"/>
        <w:tabs>
          <w:tab w:val="left" w:pos="9765" w:leader="none"/>
        </w:tabs>
        <w:rPr>
          <w:rFonts w:ascii="宋体" w:hAnsi="宋体" w:cs="宋体"/>
          <w:sz w:val="24"/>
          <w:lang w:val="zh-CN"/>
        </w:rPr>
      </w:pPr>
      <w:r>
        <w:rPr>
          <w:rFonts w:ascii="宋体" w:hAnsi="宋体" w:cs="宋体"/>
          <w:sz w:val="24"/>
          <w:lang w:val="zh-CN"/>
        </w:rPr>
      </w:r>
      <w:r/>
    </w:p>
    <w:p>
      <w:pPr>
        <w:pStyle w:val="1002"/>
        <w:spacing w:line="360" w:lineRule="auto"/>
        <w:rPr>
          <w:rFonts w:ascii="宋体" w:hAnsi="宋体" w:cs="宋体"/>
          <w:sz w:val="24"/>
        </w:rPr>
      </w:pPr>
      <w:r>
        <w:rPr>
          <w:rFonts w:ascii="宋体" w:hAnsi="宋体" w:cs="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pPr>
      <w:r/>
      <w:r/>
    </w:p>
    <w:p>
      <w:pPr>
        <w:pStyle w:val="1002"/>
      </w:pPr>
      <w:r/>
      <w:r/>
    </w:p>
    <w:p>
      <w:pPr>
        <w:pStyle w:val="1002"/>
      </w:pPr>
      <w:r/>
      <w:r/>
    </w:p>
    <w:p>
      <w:pPr>
        <w:pStyle w:val="1002"/>
      </w:pPr>
      <w:r/>
      <w:r/>
    </w:p>
    <w:p>
      <w:pPr>
        <w:pStyle w:val="1002"/>
      </w:p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spacing w:line="360" w:lineRule="auto"/>
        <w:rPr>
          <w:sz w:val="24"/>
          <w:szCs w:val="24"/>
        </w:rPr>
        <w:outlineLvl w:val="2"/>
      </w:pPr>
      <w:r>
        <w:rPr>
          <w:sz w:val="24"/>
          <w:szCs w:val="20"/>
          <w:highlight w:val="none"/>
        </w:rPr>
      </w:r>
      <w:r>
        <w:rPr>
          <w:sz w:val="24"/>
          <w:szCs w:val="20"/>
          <w:highlight w:val="none"/>
        </w:rPr>
      </w:r>
    </w:p>
    <w:p>
      <w:pPr>
        <w:pStyle w:val="1002"/>
        <w:spacing w:line="360" w:lineRule="auto"/>
        <w:rPr>
          <w:sz w:val="24"/>
          <w:szCs w:val="24"/>
          <w:highlight w:val="none"/>
        </w:rPr>
        <w:outlineLvl w:val="2"/>
      </w:pPr>
      <w:r>
        <w:rPr>
          <w:rFonts w:hint="eastAsia"/>
          <w:sz w:val="24"/>
          <w:szCs w:val="20"/>
        </w:rPr>
        <w:t xml:space="preserve">13  </w:t>
      </w:r>
      <w:r>
        <w:rPr>
          <w:sz w:val="24"/>
          <w:szCs w:val="20"/>
        </w:rPr>
        <w:t xml:space="preserve">招标文件要求提供或投标人认为应附的其他材料</w:t>
      </w:r>
      <w:r>
        <w:rPr>
          <w:sz w:val="24"/>
          <w:szCs w:val="20"/>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2">
    <w:panose1 w:val="05020102010507070707"/>
  </w:font>
  <w:font w:name="CESI黑体-GB2312">
    <w:panose1 w:val="020B0503020202020204"/>
  </w:font>
  <w:font w:name="等线">
    <w:panose1 w:val="02010600030101010101"/>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8"/>
      </w:rPr>
      <w:framePr w:wrap="around" w:vAnchor="text" w:hAnchor="margin" w:xAlign="right" w:y="1"/>
    </w:pPr>
    <w:r>
      <w:fldChar w:fldCharType="begin"/>
    </w:r>
    <w:r>
      <w:rPr>
        <w:rStyle w:val="1078"/>
      </w:rPr>
      <w:instrText xml:space="preserve">PAGE  </w:instrText>
    </w:r>
    <w:r>
      <w:fldChar w:fldCharType="end"/>
    </w:r>
    <w:r>
      <w:rPr>
        <w:rStyle w:val="1078"/>
      </w:rPr>
    </w:r>
    <w:r/>
  </w:p>
  <w:p>
    <w:pPr>
      <w:pStyle w:val="1052"/>
      <w:ind w:right="360"/>
      <w:tabs>
        <w:tab w:val="center" w:pos="4153" w:leader="none"/>
        <w:tab w:val="right" w:pos="8306" w:leader="none"/>
      </w:tabs>
    </w:pPr>
    <w:r/>
    <w:r/>
  </w:p>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5"/>
      <w:isLgl w:val="false"/>
      <w:suff w:val="tab"/>
      <w:lvlText w:val="%1、"/>
      <w:lvlJc w:val="left"/>
      <w:pPr>
        <w:pStyle w:val="1002"/>
        <w:ind w:left="862" w:hanging="720"/>
        <w:tabs>
          <w:tab w:val="num" w:pos="862" w:leader="none"/>
        </w:tabs>
      </w:pPr>
      <w:rPr>
        <w:rFonts w:hint="eastAsia"/>
      </w:rPr>
    </w:lvl>
    <w:lvl w:ilvl="1">
      <w:start w:val="1"/>
      <w:numFmt w:val="chineseCountingThousand"/>
      <w:isLgl w:val="false"/>
      <w:suff w:val="tab"/>
      <w:lvlText w:val="（%2）"/>
      <w:lvlJc w:val="left"/>
      <w:pPr>
        <w:pStyle w:val="1002"/>
        <w:ind w:left="780" w:hanging="780"/>
        <w:tabs>
          <w:tab w:val="num" w:pos="780" w:leader="none"/>
        </w:tabs>
      </w:pPr>
      <w:rPr>
        <w:rFonts w:hint="eastAsia"/>
      </w:rPr>
    </w:lvl>
    <w:lvl w:ilvl="2">
      <w:start w:val="1"/>
      <w:numFmt w:val="lowerRoman"/>
      <w:isLgl w:val="false"/>
      <w:suff w:val="tab"/>
      <w:lvlText w:val="%3."/>
      <w:lvlJc w:val="right"/>
      <w:pPr>
        <w:pStyle w:val="1002"/>
        <w:ind w:left="1260" w:hanging="420"/>
        <w:tabs>
          <w:tab w:val="num" w:pos="1260" w:leader="none"/>
        </w:tabs>
      </w:pPr>
      <w:rPr>
        <w:rFonts w:hint="eastAsia"/>
      </w:rPr>
    </w:lvl>
    <w:lvl w:ilvl="3">
      <w:start w:val="1"/>
      <w:numFmt w:val="decimal"/>
      <w:isLgl w:val="false"/>
      <w:suff w:val="tab"/>
      <w:lvlText w:val="%4."/>
      <w:lvlJc w:val="left"/>
      <w:pPr>
        <w:pStyle w:val="1002"/>
        <w:ind w:left="1680" w:hanging="420"/>
        <w:tabs>
          <w:tab w:val="num" w:pos="1680" w:leader="none"/>
        </w:tabs>
      </w:pPr>
      <w:rPr>
        <w:rFonts w:hint="eastAsia"/>
      </w:rPr>
    </w:lvl>
    <w:lvl w:ilvl="4">
      <w:start w:val="1"/>
      <w:numFmt w:val="lowerLetter"/>
      <w:isLgl w:val="false"/>
      <w:suff w:val="tab"/>
      <w:lvlText w:val="%5)"/>
      <w:lvlJc w:val="left"/>
      <w:pPr>
        <w:pStyle w:val="1002"/>
        <w:ind w:left="2100" w:hanging="420"/>
        <w:tabs>
          <w:tab w:val="num" w:pos="2100" w:leader="none"/>
        </w:tabs>
      </w:pPr>
      <w:rPr>
        <w:rFonts w:hint="eastAsia"/>
      </w:rPr>
    </w:lvl>
    <w:lvl w:ilvl="5">
      <w:start w:val="1"/>
      <w:numFmt w:val="lowerRoman"/>
      <w:isLgl w:val="false"/>
      <w:suff w:val="tab"/>
      <w:lvlText w:val="%6."/>
      <w:lvlJc w:val="right"/>
      <w:pPr>
        <w:pStyle w:val="1002"/>
        <w:ind w:left="2520" w:hanging="420"/>
        <w:tabs>
          <w:tab w:val="num" w:pos="2520" w:leader="none"/>
        </w:tabs>
      </w:pPr>
      <w:rPr>
        <w:rFonts w:hint="eastAsia"/>
      </w:rPr>
    </w:lvl>
    <w:lvl w:ilvl="6">
      <w:start w:val="1"/>
      <w:numFmt w:val="decimal"/>
      <w:isLgl w:val="false"/>
      <w:suff w:val="tab"/>
      <w:lvlText w:val="%7."/>
      <w:lvlJc w:val="left"/>
      <w:pPr>
        <w:pStyle w:val="1002"/>
        <w:ind w:left="2940" w:hanging="420"/>
        <w:tabs>
          <w:tab w:val="num" w:pos="2940" w:leader="none"/>
        </w:tabs>
      </w:pPr>
      <w:rPr>
        <w:rFonts w:hint="eastAsia"/>
      </w:rPr>
    </w:lvl>
    <w:lvl w:ilvl="7">
      <w:start w:val="1"/>
      <w:numFmt w:val="lowerLetter"/>
      <w:isLgl w:val="false"/>
      <w:suff w:val="tab"/>
      <w:lvlText w:val="%8)"/>
      <w:lvlJc w:val="left"/>
      <w:pPr>
        <w:pStyle w:val="1002"/>
        <w:ind w:left="3360" w:hanging="420"/>
        <w:tabs>
          <w:tab w:val="num" w:pos="3360" w:leader="none"/>
        </w:tabs>
      </w:pPr>
      <w:rPr>
        <w:rFonts w:hint="eastAsia"/>
      </w:rPr>
    </w:lvl>
    <w:lvl w:ilvl="8">
      <w:start w:val="1"/>
      <w:numFmt w:val="lowerRoman"/>
      <w:isLgl w:val="false"/>
      <w:suff w:val="tab"/>
      <w:lvlText w:val="%9."/>
      <w:lvlJc w:val="right"/>
      <w:pPr>
        <w:pStyle w:val="1002"/>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2"/>
        <w:ind w:left="4941" w:hanging="1140"/>
        <w:tabs>
          <w:tab w:val="num" w:pos="4941" w:leader="none"/>
        </w:tabs>
      </w:pPr>
      <w:rPr>
        <w:rFonts w:hint="eastAsia"/>
      </w:rPr>
    </w:lvl>
    <w:lvl w:ilvl="1">
      <w:start w:val="1"/>
      <w:numFmt w:val="lowerLetter"/>
      <w:isLgl w:val="false"/>
      <w:suff w:val="tab"/>
      <w:lvlText w:val="%2)"/>
      <w:lvlJc w:val="left"/>
      <w:pPr>
        <w:pStyle w:val="1002"/>
        <w:ind w:left="4641" w:hanging="420"/>
        <w:tabs>
          <w:tab w:val="num" w:pos="4641" w:leader="none"/>
        </w:tabs>
      </w:pPr>
    </w:lvl>
    <w:lvl w:ilvl="2">
      <w:start w:val="1"/>
      <w:numFmt w:val="lowerRoman"/>
      <w:isLgl w:val="false"/>
      <w:suff w:val="tab"/>
      <w:lvlText w:val="%3."/>
      <w:lvlJc w:val="right"/>
      <w:pPr>
        <w:pStyle w:val="1002"/>
        <w:ind w:left="5061" w:hanging="420"/>
        <w:tabs>
          <w:tab w:val="num" w:pos="5061" w:leader="none"/>
        </w:tabs>
      </w:pPr>
    </w:lvl>
    <w:lvl w:ilvl="3">
      <w:start w:val="1"/>
      <w:numFmt w:val="decimal"/>
      <w:isLgl w:val="false"/>
      <w:suff w:val="tab"/>
      <w:lvlText w:val="%4."/>
      <w:lvlJc w:val="left"/>
      <w:pPr>
        <w:pStyle w:val="1002"/>
        <w:ind w:left="5481" w:hanging="420"/>
        <w:tabs>
          <w:tab w:val="num" w:pos="5481" w:leader="none"/>
        </w:tabs>
      </w:pPr>
    </w:lvl>
    <w:lvl w:ilvl="4">
      <w:start w:val="1"/>
      <w:numFmt w:val="lowerLetter"/>
      <w:isLgl w:val="false"/>
      <w:suff w:val="tab"/>
      <w:lvlText w:val="%5)"/>
      <w:lvlJc w:val="left"/>
      <w:pPr>
        <w:pStyle w:val="1002"/>
        <w:ind w:left="5901" w:hanging="420"/>
        <w:tabs>
          <w:tab w:val="num" w:pos="5901" w:leader="none"/>
        </w:tabs>
      </w:pPr>
    </w:lvl>
    <w:lvl w:ilvl="5">
      <w:start w:val="1"/>
      <w:numFmt w:val="lowerRoman"/>
      <w:isLgl w:val="false"/>
      <w:suff w:val="tab"/>
      <w:lvlText w:val="%6."/>
      <w:lvlJc w:val="right"/>
      <w:pPr>
        <w:pStyle w:val="1002"/>
        <w:ind w:left="6321" w:hanging="420"/>
        <w:tabs>
          <w:tab w:val="num" w:pos="6321" w:leader="none"/>
        </w:tabs>
      </w:pPr>
    </w:lvl>
    <w:lvl w:ilvl="6">
      <w:start w:val="1"/>
      <w:numFmt w:val="decimal"/>
      <w:isLgl w:val="false"/>
      <w:suff w:val="tab"/>
      <w:lvlText w:val="%7."/>
      <w:lvlJc w:val="left"/>
      <w:pPr>
        <w:pStyle w:val="1002"/>
        <w:ind w:left="6741" w:hanging="420"/>
        <w:tabs>
          <w:tab w:val="num" w:pos="6741" w:leader="none"/>
        </w:tabs>
      </w:pPr>
    </w:lvl>
    <w:lvl w:ilvl="7">
      <w:start w:val="1"/>
      <w:numFmt w:val="lowerLetter"/>
      <w:isLgl w:val="false"/>
      <w:suff w:val="tab"/>
      <w:lvlText w:val="%8)"/>
      <w:lvlJc w:val="left"/>
      <w:pPr>
        <w:pStyle w:val="1002"/>
        <w:ind w:left="7161" w:hanging="420"/>
        <w:tabs>
          <w:tab w:val="num" w:pos="7161" w:leader="none"/>
        </w:tabs>
      </w:pPr>
    </w:lvl>
    <w:lvl w:ilvl="8">
      <w:start w:val="1"/>
      <w:numFmt w:val="lowerRoman"/>
      <w:isLgl w:val="false"/>
      <w:suff w:val="tab"/>
      <w:lvlText w:val="%9."/>
      <w:lvlJc w:val="right"/>
      <w:pPr>
        <w:pStyle w:val="1002"/>
        <w:ind w:left="7581" w:hanging="420"/>
        <w:tabs>
          <w:tab w:val="num" w:pos="7581" w:leader="none"/>
        </w:tabs>
      </w:pPr>
    </w:lvl>
  </w:abstractNum>
  <w:abstractNum w:abstractNumId="2">
    <w:multiLevelType w:val="hybridMultilevel"/>
    <w:lvl w:ilvl="0">
      <w:start w:val="1"/>
      <w:numFmt w:val="decimal"/>
      <w:pStyle w:val="1166"/>
      <w:isLgl w:val="false"/>
      <w:suff w:val="tab"/>
      <w:lvlText w:val="%1."/>
      <w:lvlJc w:val="left"/>
      <w:pPr>
        <w:pStyle w:val="1002"/>
        <w:ind w:left="420" w:hanging="420"/>
      </w:pPr>
    </w:lvl>
    <w:lvl w:ilvl="1">
      <w:start w:val="1"/>
      <w:numFmt w:val="decimal"/>
      <w:isLgl w:val="false"/>
      <w:suff w:val="tab"/>
      <w:lvlText w:val="（%2）"/>
      <w:lvlJc w:val="left"/>
      <w:pPr>
        <w:pStyle w:val="1002"/>
        <w:ind w:left="1140" w:hanging="720"/>
        <w:tabs>
          <w:tab w:val="num" w:pos="1140" w:leader="none"/>
        </w:tabs>
      </w:pPr>
      <w:rPr>
        <w:rFonts w:hint="eastAsia"/>
      </w:r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
    <w:multiLevelType w:val="hybridMultilevel"/>
    <w:lvl w:ilvl="0">
      <w:start w:val="1"/>
      <w:numFmt w:val="lowerLetter"/>
      <w:pStyle w:val="1209"/>
      <w:isLgl w:val="false"/>
      <w:suff w:val="tab"/>
      <w:lvlText w:val="%1)"/>
      <w:lvlJc w:val="left"/>
      <w:pPr>
        <w:pStyle w:val="1002"/>
        <w:ind w:left="902" w:hanging="420"/>
      </w:pPr>
      <w:rPr>
        <w:color w:val="000000"/>
      </w:rPr>
    </w:lvl>
    <w:lvl w:ilvl="1">
      <w:start w:val="1"/>
      <w:numFmt w:val="lowerLetter"/>
      <w:isLgl w:val="false"/>
      <w:suff w:val="tab"/>
      <w:lvlText w:val="%2)"/>
      <w:lvlJc w:val="left"/>
      <w:pPr>
        <w:pStyle w:val="1002"/>
        <w:ind w:left="1322" w:hanging="420"/>
      </w:pPr>
    </w:lvl>
    <w:lvl w:ilvl="2">
      <w:start w:val="1"/>
      <w:numFmt w:val="lowerRoman"/>
      <w:isLgl w:val="false"/>
      <w:suff w:val="tab"/>
      <w:lvlText w:val="%3."/>
      <w:lvlJc w:val="right"/>
      <w:pPr>
        <w:pStyle w:val="1002"/>
        <w:ind w:left="1742" w:hanging="420"/>
      </w:pPr>
    </w:lvl>
    <w:lvl w:ilvl="3">
      <w:start w:val="1"/>
      <w:numFmt w:val="decimal"/>
      <w:isLgl w:val="false"/>
      <w:suff w:val="tab"/>
      <w:lvlText w:val="%4."/>
      <w:lvlJc w:val="left"/>
      <w:pPr>
        <w:pStyle w:val="1002"/>
        <w:ind w:left="2162" w:hanging="420"/>
      </w:pPr>
    </w:lvl>
    <w:lvl w:ilvl="4">
      <w:start w:val="1"/>
      <w:numFmt w:val="lowerLetter"/>
      <w:isLgl w:val="false"/>
      <w:suff w:val="tab"/>
      <w:lvlText w:val="%5)"/>
      <w:lvlJc w:val="left"/>
      <w:pPr>
        <w:pStyle w:val="1002"/>
        <w:ind w:left="2582" w:hanging="420"/>
      </w:pPr>
    </w:lvl>
    <w:lvl w:ilvl="5">
      <w:start w:val="1"/>
      <w:numFmt w:val="lowerRoman"/>
      <w:isLgl w:val="false"/>
      <w:suff w:val="tab"/>
      <w:lvlText w:val="%6."/>
      <w:lvlJc w:val="right"/>
      <w:pPr>
        <w:pStyle w:val="1002"/>
        <w:ind w:left="3002" w:hanging="420"/>
      </w:pPr>
    </w:lvl>
    <w:lvl w:ilvl="6">
      <w:start w:val="1"/>
      <w:numFmt w:val="decimal"/>
      <w:isLgl w:val="false"/>
      <w:suff w:val="tab"/>
      <w:lvlText w:val="%7."/>
      <w:lvlJc w:val="left"/>
      <w:pPr>
        <w:pStyle w:val="1002"/>
        <w:ind w:left="3422" w:hanging="420"/>
      </w:pPr>
    </w:lvl>
    <w:lvl w:ilvl="7">
      <w:start w:val="1"/>
      <w:numFmt w:val="lowerLetter"/>
      <w:isLgl w:val="false"/>
      <w:suff w:val="tab"/>
      <w:lvlText w:val="%8)"/>
      <w:lvlJc w:val="left"/>
      <w:pPr>
        <w:pStyle w:val="1002"/>
        <w:ind w:left="3842" w:hanging="420"/>
      </w:pPr>
    </w:lvl>
    <w:lvl w:ilvl="8">
      <w:start w:val="1"/>
      <w:numFmt w:val="lowerRoman"/>
      <w:isLgl w:val="false"/>
      <w:suff w:val="tab"/>
      <w:lvlText w:val="%9."/>
      <w:lvlJc w:val="right"/>
      <w:pPr>
        <w:pStyle w:val="1002"/>
        <w:ind w:left="4262" w:hanging="420"/>
      </w:pPr>
    </w:lvl>
  </w:abstractNum>
  <w:abstractNum w:abstractNumId="4">
    <w:multiLevelType w:val="hybridMultilevel"/>
    <w:lvl w:ilvl="0">
      <w:start w:val="1"/>
      <w:numFmt w:val="decimal"/>
      <w:pStyle w:val="1150"/>
      <w:isLgl w:val="false"/>
      <w:suff w:val="tab"/>
      <w:lvlText w:val="%1."/>
      <w:lvlJc w:val="left"/>
      <w:pPr>
        <w:pStyle w:val="10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8"/>
      <w:isLgl w:val="false"/>
      <w:suff w:val="nothing"/>
      <w:lvlText w:val="%1　"/>
      <w:lvlJc w:val="left"/>
      <w:pPr>
        <w:pStyle w:val="10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2"/>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2"/>
        <w:ind w:left="-25" w:firstLine="0"/>
      </w:pPr>
      <w:rPr>
        <w:rFonts w:ascii="Times New Roman" w:hAnsi="Times New Roman" w:eastAsia="宋体"/>
        <w:b/>
        <w:i w:val="0"/>
        <w:sz w:val="28"/>
      </w:rPr>
    </w:lvl>
    <w:lvl w:ilvl="6">
      <w:start w:val="1"/>
      <w:numFmt w:val="lowerLetter"/>
      <w:pStyle w:val="1221"/>
      <w:isLgl w:val="false"/>
      <w:suff w:val="tab"/>
      <w:lvlText w:val="%7) "/>
      <w:lvlJc w:val="left"/>
      <w:pPr>
        <w:pStyle w:val="1002"/>
        <w:ind w:left="-125" w:firstLine="400"/>
        <w:tabs>
          <w:tab w:val="num" w:pos="635" w:leader="none"/>
        </w:tabs>
      </w:pPr>
      <w:rPr>
        <w:rFonts w:ascii="Times New Roman" w:hAnsi="Times New Roman" w:eastAsia="宋体"/>
        <w:b/>
        <w:i w:val="0"/>
        <w:color w:val="000000"/>
        <w:sz w:val="28"/>
        <w:u w:val="none"/>
      </w:rPr>
    </w:lvl>
    <w:lvl w:ilvl="7">
      <w:start w:val="1"/>
      <w:numFmt w:val="decimal"/>
      <w:pStyle w:val="1184"/>
      <w:isLgl w:val="false"/>
      <w:suff w:val="tab"/>
      <w:lvlText w:val="%8) "/>
      <w:lvlJc w:val="left"/>
      <w:pPr>
        <w:pStyle w:val="10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2"/>
        <w:ind w:left="768" w:hanging="360"/>
        <w:tabs>
          <w:tab w:val="num" w:pos="768" w:leader="none"/>
        </w:tabs>
      </w:pPr>
      <w:rPr>
        <w:rFonts w:hint="eastAsia"/>
      </w:rPr>
    </w:lvl>
    <w:lvl w:ilvl="1">
      <w:start w:val="1"/>
      <w:numFmt w:val="decimal"/>
      <w:pStyle w:val="1219"/>
      <w:isLgl w:val="false"/>
      <w:suff w:val="tab"/>
      <w:lvlText w:val="%2、"/>
      <w:lvlJc w:val="left"/>
      <w:pPr>
        <w:pStyle w:val="1002"/>
        <w:ind w:left="1188" w:hanging="360"/>
        <w:tabs>
          <w:tab w:val="num" w:pos="1188" w:leader="none"/>
        </w:tabs>
      </w:pPr>
      <w:rPr>
        <w:rFonts w:hint="eastAsia"/>
      </w:rPr>
    </w:lvl>
    <w:lvl w:ilvl="2">
      <w:start w:val="1"/>
      <w:numFmt w:val="decimal"/>
      <w:isLgl w:val="false"/>
      <w:suff w:val="tab"/>
      <w:lvlText w:val="（%3）"/>
      <w:lvlJc w:val="left"/>
      <w:pPr>
        <w:pStyle w:val="1002"/>
        <w:ind w:left="1968" w:hanging="720"/>
        <w:tabs>
          <w:tab w:val="num" w:pos="1968" w:leader="none"/>
        </w:tabs>
      </w:pPr>
      <w:rPr>
        <w:rFonts w:hint="eastAsia"/>
        <w:u w:val="none"/>
      </w:rPr>
    </w:lvl>
    <w:lvl w:ilvl="3">
      <w:start w:val="1"/>
      <w:numFmt w:val="decimal"/>
      <w:isLgl w:val="false"/>
      <w:suff w:val="tab"/>
      <w:lvlText w:val="%4."/>
      <w:lvlJc w:val="left"/>
      <w:pPr>
        <w:pStyle w:val="1002"/>
        <w:ind w:left="2088" w:hanging="420"/>
        <w:tabs>
          <w:tab w:val="num" w:pos="2088" w:leader="none"/>
        </w:tabs>
      </w:pPr>
    </w:lvl>
    <w:lvl w:ilvl="4">
      <w:start w:val="1"/>
      <w:numFmt w:val="lowerLetter"/>
      <w:isLgl w:val="false"/>
      <w:suff w:val="tab"/>
      <w:lvlText w:val="%5)"/>
      <w:lvlJc w:val="left"/>
      <w:pPr>
        <w:pStyle w:val="1002"/>
        <w:ind w:left="2508" w:hanging="420"/>
        <w:tabs>
          <w:tab w:val="num" w:pos="2508" w:leader="none"/>
        </w:tabs>
      </w:pPr>
    </w:lvl>
    <w:lvl w:ilvl="5">
      <w:start w:val="1"/>
      <w:numFmt w:val="lowerRoman"/>
      <w:isLgl w:val="false"/>
      <w:suff w:val="tab"/>
      <w:lvlText w:val="%6."/>
      <w:lvlJc w:val="right"/>
      <w:pPr>
        <w:pStyle w:val="1002"/>
        <w:ind w:left="2928" w:hanging="420"/>
        <w:tabs>
          <w:tab w:val="num" w:pos="2928" w:leader="none"/>
        </w:tabs>
      </w:pPr>
    </w:lvl>
    <w:lvl w:ilvl="6">
      <w:start w:val="1"/>
      <w:numFmt w:val="decimal"/>
      <w:isLgl w:val="false"/>
      <w:suff w:val="tab"/>
      <w:lvlText w:val="%7."/>
      <w:lvlJc w:val="left"/>
      <w:pPr>
        <w:pStyle w:val="1002"/>
        <w:ind w:left="3348" w:hanging="420"/>
        <w:tabs>
          <w:tab w:val="num" w:pos="3348" w:leader="none"/>
        </w:tabs>
      </w:pPr>
    </w:lvl>
    <w:lvl w:ilvl="7">
      <w:start w:val="1"/>
      <w:numFmt w:val="lowerLetter"/>
      <w:isLgl w:val="false"/>
      <w:suff w:val="tab"/>
      <w:lvlText w:val="%8)"/>
      <w:lvlJc w:val="left"/>
      <w:pPr>
        <w:pStyle w:val="1002"/>
        <w:ind w:left="3768" w:hanging="420"/>
        <w:tabs>
          <w:tab w:val="num" w:pos="3768" w:leader="none"/>
        </w:tabs>
      </w:pPr>
    </w:lvl>
    <w:lvl w:ilvl="8">
      <w:start w:val="1"/>
      <w:numFmt w:val="lowerRoman"/>
      <w:isLgl w:val="false"/>
      <w:suff w:val="tab"/>
      <w:lvlText w:val="%9."/>
      <w:lvlJc w:val="right"/>
      <w:pPr>
        <w:pStyle w:val="100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8">
    <w:multiLevelType w:val="hybridMultilevel"/>
    <w:lvl w:ilvl="0">
      <w:start w:val="1"/>
      <w:numFmt w:val="decimal"/>
      <w:pStyle w:val="1254"/>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9">
    <w:multiLevelType w:val="hybridMultilevel"/>
    <w:lvl w:ilvl="0">
      <w:start w:val="1"/>
      <w:numFmt w:val="decimal"/>
      <w:isLgl w:val="false"/>
      <w:suff w:val="tab"/>
      <w:lvlText w:val="%1."/>
      <w:lvlJc w:val="left"/>
      <w:pPr>
        <w:pStyle w:val="1002"/>
        <w:ind w:left="1242" w:hanging="382"/>
      </w:pPr>
      <w:rPr>
        <w:rFonts w:ascii="仿宋" w:hAnsi="仿宋" w:eastAsia="仿宋" w:cs="仿宋"/>
        <w:spacing w:val="0"/>
        <w:sz w:val="32"/>
        <w:szCs w:val="32"/>
      </w:rPr>
    </w:lvl>
    <w:lvl w:ilvl="1">
      <w:start w:val="0"/>
      <w:numFmt w:val="bullet"/>
      <w:isLgl w:val="false"/>
      <w:suff w:val="tab"/>
      <w:lvlText w:val="•"/>
      <w:lvlJc w:val="left"/>
      <w:pPr>
        <w:pStyle w:val="1002"/>
        <w:ind w:left="2010" w:hanging="382"/>
      </w:pPr>
    </w:lvl>
    <w:lvl w:ilvl="2">
      <w:start w:val="0"/>
      <w:numFmt w:val="bullet"/>
      <w:isLgl w:val="false"/>
      <w:suff w:val="tab"/>
      <w:lvlText w:val="•"/>
      <w:lvlJc w:val="left"/>
      <w:pPr>
        <w:pStyle w:val="1002"/>
        <w:ind w:left="2781" w:hanging="382"/>
      </w:pPr>
    </w:lvl>
    <w:lvl w:ilvl="3">
      <w:start w:val="0"/>
      <w:numFmt w:val="bullet"/>
      <w:isLgl w:val="false"/>
      <w:suff w:val="tab"/>
      <w:lvlText w:val="•"/>
      <w:lvlJc w:val="left"/>
      <w:pPr>
        <w:pStyle w:val="1002"/>
        <w:ind w:left="3551" w:hanging="382"/>
      </w:pPr>
    </w:lvl>
    <w:lvl w:ilvl="4">
      <w:start w:val="0"/>
      <w:numFmt w:val="bullet"/>
      <w:isLgl w:val="false"/>
      <w:suff w:val="tab"/>
      <w:lvlText w:val="•"/>
      <w:lvlJc w:val="left"/>
      <w:pPr>
        <w:pStyle w:val="1002"/>
        <w:ind w:left="4322" w:hanging="382"/>
      </w:pPr>
    </w:lvl>
    <w:lvl w:ilvl="5">
      <w:start w:val="0"/>
      <w:numFmt w:val="bullet"/>
      <w:isLgl w:val="false"/>
      <w:suff w:val="tab"/>
      <w:lvlText w:val="•"/>
      <w:lvlJc w:val="left"/>
      <w:pPr>
        <w:pStyle w:val="1002"/>
        <w:ind w:left="5093" w:hanging="382"/>
      </w:pPr>
    </w:lvl>
    <w:lvl w:ilvl="6">
      <w:start w:val="0"/>
      <w:numFmt w:val="bullet"/>
      <w:isLgl w:val="false"/>
      <w:suff w:val="tab"/>
      <w:lvlText w:val="•"/>
      <w:lvlJc w:val="left"/>
      <w:pPr>
        <w:pStyle w:val="1002"/>
        <w:ind w:left="5863" w:hanging="382"/>
      </w:pPr>
    </w:lvl>
    <w:lvl w:ilvl="7">
      <w:start w:val="0"/>
      <w:numFmt w:val="bullet"/>
      <w:isLgl w:val="false"/>
      <w:suff w:val="tab"/>
      <w:lvlText w:val="•"/>
      <w:lvlJc w:val="left"/>
      <w:pPr>
        <w:pStyle w:val="1002"/>
        <w:ind w:left="6634" w:hanging="382"/>
      </w:pPr>
    </w:lvl>
    <w:lvl w:ilvl="8">
      <w:start w:val="0"/>
      <w:numFmt w:val="bullet"/>
      <w:isLgl w:val="false"/>
      <w:suff w:val="tab"/>
      <w:lvlText w:val="•"/>
      <w:lvlJc w:val="left"/>
      <w:pPr>
        <w:pStyle w:val="1002"/>
        <w:ind w:left="7404" w:hanging="382"/>
      </w:pPr>
    </w:lvl>
  </w:abstractNum>
  <w:abstractNum w:abstractNumId="10">
    <w:multiLevelType w:val="hybridMultilevel"/>
    <w:lvl w:ilvl="0">
      <w:start w:val="1"/>
      <w:numFmt w:val="decimal"/>
      <w:pStyle w:val="1190"/>
      <w:isLgl w:val="false"/>
      <w:suff w:val="tab"/>
      <w:lvlText w:val="%1"/>
      <w:lvlJc w:val="left"/>
      <w:pPr>
        <w:pStyle w:val="1002"/>
        <w:ind w:left="680" w:hanging="680"/>
      </w:pPr>
      <w:rPr>
        <w:rFonts w:hint="eastAsia" w:ascii="宋体" w:hAnsi="宋体" w:eastAsia="宋体"/>
      </w:rPr>
    </w:lvl>
    <w:lvl w:ilvl="1">
      <w:start w:val="1"/>
      <w:numFmt w:val="decimal"/>
      <w:pStyle w:val="1204"/>
      <w:isLgl w:val="false"/>
      <w:suff w:val="tab"/>
      <w:lvlText w:val="%1.%2"/>
      <w:lvlJc w:val="left"/>
      <w:pPr>
        <w:pStyle w:val="1002"/>
        <w:ind w:left="851" w:hanging="851"/>
      </w:pPr>
      <w:rPr>
        <w:rFonts w:hint="eastAsia" w:ascii="宋体" w:hAnsi="宋体" w:eastAsia="宋体"/>
        <w:color w:val="000000"/>
      </w:rPr>
    </w:lvl>
    <w:lvl w:ilvl="2">
      <w:start w:val="1"/>
      <w:numFmt w:val="decimal"/>
      <w:pStyle w:val="1255"/>
      <w:isLgl w:val="false"/>
      <w:suff w:val="tab"/>
      <w:lvlText w:val="%1.%2.%3"/>
      <w:lvlJc w:val="left"/>
      <w:pPr>
        <w:pStyle w:val="1002"/>
        <w:ind w:left="851" w:hanging="851"/>
      </w:pPr>
      <w:rPr>
        <w:rFonts w:hint="eastAsia"/>
      </w:rPr>
    </w:lvl>
    <w:lvl w:ilvl="3">
      <w:start w:val="1"/>
      <w:numFmt w:val="decimal"/>
      <w:isLgl w:val="false"/>
      <w:suff w:val="tab"/>
      <w:lvlText w:val="%1.%2.%3.%4"/>
      <w:lvlJc w:val="left"/>
      <w:pPr>
        <w:pStyle w:val="1002"/>
        <w:ind w:left="680" w:hanging="680"/>
      </w:pPr>
      <w:rPr>
        <w:rFonts w:hint="eastAsia"/>
      </w:rPr>
    </w:lvl>
    <w:lvl w:ilvl="4">
      <w:start w:val="1"/>
      <w:numFmt w:val="decimal"/>
      <w:isLgl w:val="false"/>
      <w:suff w:val="tab"/>
      <w:lvlText w:val="%1.%2.%3.%4.%5"/>
      <w:lvlJc w:val="left"/>
      <w:pPr>
        <w:pStyle w:val="1002"/>
        <w:ind w:left="680" w:hanging="680"/>
      </w:pPr>
      <w:rPr>
        <w:rFonts w:hint="eastAsia"/>
      </w:rPr>
    </w:lvl>
    <w:lvl w:ilvl="5">
      <w:start w:val="1"/>
      <w:numFmt w:val="decimal"/>
      <w:isLgl w:val="false"/>
      <w:suff w:val="tab"/>
      <w:lvlText w:val="%1.%2.%3.%4.%5.%6"/>
      <w:lvlJc w:val="left"/>
      <w:pPr>
        <w:pStyle w:val="1002"/>
        <w:ind w:left="680" w:hanging="680"/>
      </w:pPr>
      <w:rPr>
        <w:rFonts w:hint="eastAsia"/>
      </w:rPr>
    </w:lvl>
    <w:lvl w:ilvl="6">
      <w:start w:val="1"/>
      <w:numFmt w:val="decimal"/>
      <w:isLgl w:val="false"/>
      <w:suff w:val="tab"/>
      <w:lvlText w:val="%1.%2.%3.%4.%5.%6.%7"/>
      <w:lvlJc w:val="left"/>
      <w:pPr>
        <w:pStyle w:val="1002"/>
        <w:ind w:left="680" w:hanging="680"/>
      </w:pPr>
      <w:rPr>
        <w:rFonts w:hint="eastAsia"/>
      </w:rPr>
    </w:lvl>
    <w:lvl w:ilvl="7">
      <w:start w:val="1"/>
      <w:numFmt w:val="decimal"/>
      <w:isLgl w:val="false"/>
      <w:suff w:val="tab"/>
      <w:lvlText w:val="%1.%2.%3.%4.%5.%6.%7.%8"/>
      <w:lvlJc w:val="left"/>
      <w:pPr>
        <w:pStyle w:val="1002"/>
        <w:ind w:left="680" w:hanging="680"/>
      </w:pPr>
      <w:rPr>
        <w:rFonts w:hint="eastAsia"/>
      </w:rPr>
    </w:lvl>
    <w:lvl w:ilvl="8">
      <w:start w:val="1"/>
      <w:numFmt w:val="decimal"/>
      <w:isLgl w:val="false"/>
      <w:suff w:val="tab"/>
      <w:lvlText w:val="%1.%2.%3.%4.%5.%6.%7.%8.%9"/>
      <w:lvlJc w:val="left"/>
      <w:pPr>
        <w:pStyle w:val="1002"/>
        <w:ind w:left="680" w:hanging="680"/>
      </w:pPr>
      <w:rPr>
        <w:rFonts w:hint="eastAsia"/>
      </w:rPr>
    </w:lvl>
  </w:abstractNum>
  <w:abstractNum w:abstractNumId="11">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4">
    <w:multiLevelType w:val="hybridMultilevel"/>
    <w:lvl w:ilvl="0">
      <w:start w:val="1"/>
      <w:numFmt w:val="chineseCountingThousand"/>
      <w:pStyle w:val="1277"/>
      <w:isLgl w:val="false"/>
      <w:suff w:val="space"/>
      <w:lvlText w:val="%1、"/>
      <w:lvlJc w:val="left"/>
      <w:pPr>
        <w:pStyle w:val="1002"/>
        <w:ind w:left="1745" w:hanging="440"/>
      </w:pPr>
      <w:rPr>
        <w:rFonts w:hint="eastAsia"/>
        <w:lang w:val="en-US"/>
      </w:rPr>
    </w:lvl>
    <w:lvl w:ilvl="1">
      <w:start w:val="1"/>
      <w:numFmt w:val="decimal"/>
      <w:isLgl w:val="false"/>
      <w:suff w:val="space"/>
      <w:lvlText w:val="%1.%2"/>
      <w:lvlJc w:val="left"/>
      <w:pPr>
        <w:pStyle w:val="1002"/>
        <w:ind w:left="992" w:hanging="567"/>
      </w:pPr>
      <w:rPr>
        <w:rFonts w:hint="eastAsia"/>
        <w:sz w:val="28"/>
        <w:szCs w:val="28"/>
      </w:rPr>
    </w:lvl>
    <w:lvl w:ilvl="2">
      <w:start w:val="1"/>
      <w:numFmt w:val="decimal"/>
      <w:isLgl w:val="false"/>
      <w:suff w:val="space"/>
      <w:lvlText w:val="%1.%2.%3"/>
      <w:lvlJc w:val="left"/>
      <w:pPr>
        <w:pStyle w:val="1002"/>
        <w:ind w:left="1418" w:hanging="567"/>
      </w:pPr>
      <w:rPr>
        <w:rFonts w:ascii="Times New Roman" w:hAnsi="Times New Roman" w:cs="Times New Roman"/>
        <w:sz w:val="24"/>
        <w:szCs w:val="24"/>
      </w:rPr>
    </w:lvl>
    <w:lvl w:ilvl="3">
      <w:start w:val="1"/>
      <w:numFmt w:val="decimal"/>
      <w:isLgl w:val="false"/>
      <w:suff w:val="space"/>
      <w:lvlText w:val="%1.%2.%3.%4"/>
      <w:lvlJc w:val="left"/>
      <w:pPr>
        <w:pStyle w:val="1002"/>
        <w:ind w:left="1984" w:hanging="708"/>
      </w:pPr>
      <w:rPr>
        <w:rFonts w:hint="eastAsia"/>
      </w:rPr>
    </w:lvl>
    <w:lvl w:ilvl="4">
      <w:start w:val="1"/>
      <w:numFmt w:val="decimal"/>
      <w:isLgl w:val="false"/>
      <w:suff w:val="tab"/>
      <w:lvlText w:val="%1.%2.%3.%4.%5"/>
      <w:lvlJc w:val="left"/>
      <w:pPr>
        <w:pStyle w:val="1002"/>
        <w:ind w:left="2551" w:hanging="850"/>
      </w:pPr>
      <w:rPr>
        <w:rFonts w:hint="eastAsia"/>
      </w:rPr>
    </w:lvl>
    <w:lvl w:ilvl="5">
      <w:start w:val="1"/>
      <w:numFmt w:val="decimal"/>
      <w:isLgl w:val="false"/>
      <w:suff w:val="tab"/>
      <w:lvlText w:val="%1.%2.%3.%4.%5.%6"/>
      <w:lvlJc w:val="left"/>
      <w:pPr>
        <w:pStyle w:val="1002"/>
        <w:ind w:left="3260" w:hanging="1134"/>
      </w:pPr>
      <w:rPr>
        <w:rFonts w:hint="eastAsia"/>
      </w:rPr>
    </w:lvl>
    <w:lvl w:ilvl="6">
      <w:start w:val="1"/>
      <w:numFmt w:val="decimal"/>
      <w:isLgl w:val="false"/>
      <w:suff w:val="tab"/>
      <w:lvlText w:val="%1.%2.%3.%4.%5.%6.%7"/>
      <w:lvlJc w:val="left"/>
      <w:pPr>
        <w:pStyle w:val="1002"/>
        <w:ind w:left="3827" w:hanging="1276"/>
      </w:pPr>
      <w:rPr>
        <w:rFonts w:hint="eastAsia"/>
      </w:rPr>
    </w:lvl>
    <w:lvl w:ilvl="7">
      <w:start w:val="1"/>
      <w:numFmt w:val="decimal"/>
      <w:isLgl w:val="false"/>
      <w:suff w:val="tab"/>
      <w:lvlText w:val="%1.%2.%3.%4.%5.%6.%7.%8"/>
      <w:lvlJc w:val="left"/>
      <w:pPr>
        <w:pStyle w:val="1002"/>
        <w:ind w:left="4394" w:hanging="1418"/>
      </w:pPr>
      <w:rPr>
        <w:rFonts w:hint="eastAsia"/>
      </w:rPr>
    </w:lvl>
    <w:lvl w:ilvl="8">
      <w:start w:val="1"/>
      <w:numFmt w:val="decimal"/>
      <w:isLgl w:val="false"/>
      <w:suff w:val="tab"/>
      <w:lvlText w:val="%1.%2.%3.%4.%5.%6.%7.%8.%9"/>
      <w:lvlJc w:val="left"/>
      <w:pPr>
        <w:pStyle w:val="1002"/>
        <w:ind w:left="5102" w:hanging="1700"/>
      </w:pPr>
      <w:rPr>
        <w:rFonts w:hint="eastAsia"/>
      </w:rPr>
    </w:lvl>
  </w:abstractNum>
  <w:num w:numId="1">
    <w:abstractNumId w:val="5"/>
  </w:num>
  <w:num w:numId="2">
    <w:abstractNumId w:val="4"/>
  </w:num>
  <w:num w:numId="3">
    <w:abstractNumId w:val="2"/>
  </w:num>
  <w:num w:numId="4">
    <w:abstractNumId w:val="10"/>
  </w:num>
  <w:num w:numId="5">
    <w:abstractNumId w:val="3"/>
  </w:num>
  <w:num w:numId="6">
    <w:abstractNumId w:val="6"/>
  </w:num>
  <w:num w:numId="7">
    <w:abstractNumId w:val="8"/>
  </w:num>
  <w:num w:numId="8">
    <w:abstractNumId w:val="0"/>
  </w:num>
  <w:num w:numId="9">
    <w:abstractNumId w:val="14"/>
  </w:num>
  <w:num w:numId="10">
    <w:abstractNumId w:val="7"/>
  </w:num>
  <w:num w:numId="11">
    <w:abstractNumId w:val="12"/>
  </w:num>
  <w:num w:numId="12">
    <w:abstractNumId w:val="1"/>
  </w:num>
  <w:num w:numId="13">
    <w:abstractNumId w:val="13"/>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1002"/>
    <w:next w:val="1002"/>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2"/>
    <w:basedOn w:val="1002"/>
    <w:next w:val="1002"/>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2"/>
    <w:next w:val="1002"/>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2"/>
    <w:next w:val="1002"/>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2"/>
    <w:next w:val="1002"/>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2"/>
    <w:next w:val="1002"/>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2"/>
    <w:next w:val="100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2"/>
    <w:next w:val="1002"/>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2"/>
    <w:next w:val="1002"/>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List Paragraph"/>
    <w:basedOn w:val="1002"/>
    <w:uiPriority w:val="34"/>
    <w:qFormat/>
    <w:pPr>
      <w:contextualSpacing/>
      <w:ind w:left="720"/>
    </w:p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14"/>
    <w:qFormat/>
    <w:pPr>
      <w:jc w:val="center"/>
      <w:keepLines/>
      <w:keepNext/>
      <w:spacing w:before="240" w:after="120" w:line="300" w:lineRule="auto"/>
      <w:outlineLvl w:val="0"/>
    </w:pPr>
    <w:rPr>
      <w:rFonts w:ascii="宋体"/>
      <w:b/>
      <w:sz w:val="32"/>
      <w:szCs w:val="20"/>
    </w:rPr>
  </w:style>
  <w:style w:type="paragraph" w:styleId="1004">
    <w:name w:val="标题 2"/>
    <w:basedOn w:val="1002"/>
    <w:next w:val="1002"/>
    <w:link w:val="1015"/>
    <w:qFormat/>
    <w:pPr>
      <w:jc w:val="center"/>
      <w:keepLines/>
      <w:keepNext/>
      <w:spacing w:before="120" w:line="300" w:lineRule="auto"/>
      <w:outlineLvl w:val="1"/>
    </w:pPr>
    <w:rPr>
      <w:rFonts w:ascii="Arial" w:hAnsi="Arial" w:eastAsia="黑体"/>
      <w:b/>
      <w:sz w:val="30"/>
      <w:szCs w:val="20"/>
    </w:rPr>
  </w:style>
  <w:style w:type="paragraph" w:styleId="1005">
    <w:name w:val="标题 3"/>
    <w:basedOn w:val="1002"/>
    <w:next w:val="1017"/>
    <w:link w:val="1016"/>
    <w:qFormat/>
    <w:pPr>
      <w:jc w:val="left"/>
      <w:keepLines/>
      <w:keepNext/>
      <w:spacing w:before="360" w:after="120"/>
      <w:outlineLvl w:val="2"/>
    </w:pPr>
    <w:rPr>
      <w:rFonts w:ascii="宋体"/>
      <w:b/>
      <w:sz w:val="24"/>
      <w:szCs w:val="20"/>
      <w:u w:val="single"/>
    </w:rPr>
  </w:style>
  <w:style w:type="paragraph" w:styleId="1006">
    <w:name w:val="标题 4"/>
    <w:basedOn w:val="1002"/>
    <w:next w:val="1002"/>
    <w:link w:val="1019"/>
    <w:qFormat/>
    <w:pPr>
      <w:keepLines/>
      <w:keepNext/>
      <w:spacing w:before="280" w:after="290" w:line="376" w:lineRule="atLeast"/>
      <w:outlineLvl w:val="3"/>
    </w:pPr>
    <w:rPr>
      <w:rFonts w:ascii="Arial" w:hAnsi="Arial" w:eastAsia="黑体"/>
      <w:b/>
      <w:sz w:val="28"/>
      <w:szCs w:val="20"/>
    </w:rPr>
  </w:style>
  <w:style w:type="paragraph" w:styleId="1007">
    <w:name w:val="标题 5"/>
    <w:basedOn w:val="1002"/>
    <w:next w:val="1002"/>
    <w:link w:val="1020"/>
    <w:qFormat/>
    <w:pPr>
      <w:keepLines/>
      <w:keepNext/>
      <w:spacing w:before="280" w:after="290" w:line="376" w:lineRule="atLeast"/>
      <w:outlineLvl w:val="4"/>
    </w:pPr>
    <w:rPr>
      <w:b/>
      <w:sz w:val="28"/>
      <w:szCs w:val="20"/>
    </w:rPr>
  </w:style>
  <w:style w:type="paragraph" w:styleId="1008">
    <w:name w:val="标题 6"/>
    <w:basedOn w:val="1002"/>
    <w:next w:val="1002"/>
    <w:link w:val="1021"/>
    <w:qFormat/>
    <w:pPr>
      <w:keepLines/>
      <w:keepNext/>
      <w:spacing w:before="240" w:after="64" w:line="320" w:lineRule="atLeast"/>
      <w:outlineLvl w:val="5"/>
    </w:pPr>
    <w:rPr>
      <w:rFonts w:ascii="Arial" w:hAnsi="Arial" w:eastAsia="黑体"/>
      <w:b/>
      <w:sz w:val="24"/>
      <w:szCs w:val="20"/>
    </w:rPr>
  </w:style>
  <w:style w:type="paragraph" w:styleId="1009">
    <w:name w:val="标题 7"/>
    <w:basedOn w:val="1002"/>
    <w:next w:val="1002"/>
    <w:link w:val="1022"/>
    <w:qFormat/>
    <w:pPr>
      <w:keepLines/>
      <w:keepNext/>
      <w:spacing w:before="240" w:after="64" w:line="320" w:lineRule="atLeast"/>
      <w:outlineLvl w:val="6"/>
    </w:pPr>
    <w:rPr>
      <w:b/>
      <w:sz w:val="24"/>
      <w:szCs w:val="20"/>
    </w:rPr>
  </w:style>
  <w:style w:type="paragraph" w:styleId="1010">
    <w:name w:val="标题 8"/>
    <w:basedOn w:val="1002"/>
    <w:next w:val="1002"/>
    <w:link w:val="1023"/>
    <w:qFormat/>
    <w:pPr>
      <w:keepLines/>
      <w:keepNext/>
      <w:spacing w:before="240" w:after="64" w:line="320" w:lineRule="atLeast"/>
      <w:outlineLvl w:val="7"/>
    </w:pPr>
    <w:rPr>
      <w:rFonts w:ascii="Arial" w:hAnsi="Arial" w:eastAsia="黑体"/>
      <w:sz w:val="24"/>
      <w:szCs w:val="20"/>
    </w:rPr>
  </w:style>
  <w:style w:type="paragraph" w:styleId="1011">
    <w:name w:val="标题 9"/>
    <w:basedOn w:val="1002"/>
    <w:next w:val="1002"/>
    <w:link w:val="1024"/>
    <w:qFormat/>
    <w:pPr>
      <w:keepLines/>
      <w:keepNext/>
      <w:spacing w:before="240" w:after="64" w:line="320" w:lineRule="atLeast"/>
      <w:outlineLvl w:val="8"/>
    </w:pPr>
    <w:rPr>
      <w:rFonts w:ascii="Arial" w:hAnsi="Arial" w:eastAsia="黑体"/>
      <w:szCs w:val="20"/>
    </w:rPr>
  </w:style>
  <w:style w:type="character" w:styleId="1012">
    <w:name w:val="默认段落字体"/>
    <w:next w:val="1012"/>
    <w:link w:val="1002"/>
    <w:uiPriority w:val="1"/>
    <w:unhideWhenUsed/>
    <w:qFormat/>
  </w:style>
  <w:style w:type="table" w:styleId="1013">
    <w:name w:val="普通表格"/>
    <w:next w:val="1013"/>
    <w:link w:val="1002"/>
    <w:uiPriority w:val="99"/>
    <w:unhideWhenUsed/>
    <w:qFormat/>
    <w:tblPr/>
  </w:style>
  <w:style w:type="character" w:styleId="1014">
    <w:name w:val="标题 1 字符"/>
    <w:next w:val="1014"/>
    <w:link w:val="1003"/>
    <w:qFormat/>
    <w:rPr>
      <w:rFonts w:ascii="宋体"/>
      <w:b/>
      <w:sz w:val="32"/>
    </w:rPr>
  </w:style>
  <w:style w:type="character" w:styleId="1015">
    <w:name w:val="标题 2 字符"/>
    <w:next w:val="1015"/>
    <w:link w:val="1004"/>
    <w:qFormat/>
    <w:rPr>
      <w:rFonts w:ascii="Arial" w:hAnsi="Arial" w:eastAsia="黑体"/>
      <w:b/>
      <w:sz w:val="30"/>
      <w:lang w:val="en-US" w:eastAsia="zh-CN" w:bidi="ar-SA"/>
    </w:rPr>
  </w:style>
  <w:style w:type="character" w:styleId="1016">
    <w:name w:val="标题 3 字符"/>
    <w:next w:val="1016"/>
    <w:link w:val="1005"/>
    <w:qFormat/>
    <w:rPr>
      <w:rFonts w:ascii="宋体" w:eastAsia="宋体"/>
      <w:b/>
      <w:sz w:val="24"/>
      <w:u w:val="single"/>
      <w:lang w:val="en-US" w:eastAsia="zh-CN" w:bidi="ar-SA"/>
    </w:rPr>
  </w:style>
  <w:style w:type="paragraph" w:styleId="1017">
    <w:name w:val="正文缩进"/>
    <w:basedOn w:val="1002"/>
    <w:next w:val="1002"/>
    <w:link w:val="1018"/>
    <w:qFormat/>
    <w:pPr>
      <w:ind w:firstLine="420"/>
      <w:jc w:val="left"/>
    </w:pPr>
    <w:rPr>
      <w:rFonts w:ascii="宋体"/>
      <w:sz w:val="24"/>
    </w:rPr>
  </w:style>
  <w:style w:type="character" w:styleId="1018">
    <w:name w:val="正文缩进 字符"/>
    <w:next w:val="1018"/>
    <w:link w:val="1017"/>
    <w:qFormat/>
    <w:rPr>
      <w:rFonts w:ascii="宋体" w:eastAsia="宋体"/>
      <w:sz w:val="24"/>
      <w:szCs w:val="24"/>
      <w:lang w:val="en-US" w:eastAsia="zh-CN" w:bidi="ar-SA"/>
    </w:rPr>
  </w:style>
  <w:style w:type="character" w:styleId="1019">
    <w:name w:val="标题 4 字符"/>
    <w:next w:val="1019"/>
    <w:link w:val="1006"/>
    <w:qFormat/>
    <w:rPr>
      <w:rFonts w:ascii="Arial" w:hAnsi="Arial" w:eastAsia="黑体"/>
      <w:b/>
      <w:sz w:val="28"/>
    </w:rPr>
  </w:style>
  <w:style w:type="character" w:styleId="1020">
    <w:name w:val="标题 5 字符"/>
    <w:next w:val="1020"/>
    <w:link w:val="1007"/>
    <w:qFormat/>
    <w:rPr>
      <w:b/>
      <w:sz w:val="28"/>
    </w:rPr>
  </w:style>
  <w:style w:type="character" w:styleId="1021">
    <w:name w:val="标题 6 字符"/>
    <w:next w:val="1021"/>
    <w:link w:val="1008"/>
    <w:qFormat/>
    <w:rPr>
      <w:rFonts w:ascii="Arial" w:hAnsi="Arial" w:eastAsia="黑体"/>
      <w:b/>
      <w:sz w:val="24"/>
    </w:rPr>
  </w:style>
  <w:style w:type="character" w:styleId="1022">
    <w:name w:val="标题 7 字符"/>
    <w:next w:val="1022"/>
    <w:link w:val="1009"/>
    <w:qFormat/>
    <w:rPr>
      <w:b/>
      <w:sz w:val="24"/>
    </w:rPr>
  </w:style>
  <w:style w:type="character" w:styleId="1023">
    <w:name w:val="标题 8 字符"/>
    <w:next w:val="1023"/>
    <w:link w:val="1010"/>
    <w:qFormat/>
    <w:rPr>
      <w:rFonts w:ascii="Arial" w:hAnsi="Arial" w:eastAsia="黑体"/>
      <w:sz w:val="24"/>
    </w:rPr>
  </w:style>
  <w:style w:type="character" w:styleId="1024">
    <w:name w:val="标题 9 字符"/>
    <w:next w:val="1024"/>
    <w:link w:val="1011"/>
    <w:qFormat/>
    <w:rPr>
      <w:rFonts w:ascii="Arial" w:hAnsi="Arial" w:eastAsia="黑体"/>
      <w:sz w:val="21"/>
    </w:rPr>
  </w:style>
  <w:style w:type="paragraph" w:styleId="1025">
    <w:name w:val="目录 7"/>
    <w:basedOn w:val="1002"/>
    <w:next w:val="1002"/>
    <w:link w:val="1002"/>
    <w:qFormat/>
    <w:pPr>
      <w:ind w:left="2520"/>
    </w:pPr>
  </w:style>
  <w:style w:type="paragraph" w:styleId="1026">
    <w:name w:val="引文目录"/>
    <w:basedOn w:val="1002"/>
    <w:next w:val="1002"/>
    <w:link w:val="1002"/>
    <w:uiPriority w:val="99"/>
    <w:unhideWhenUsed/>
    <w:qFormat/>
    <w:pPr>
      <w:ind w:left="420"/>
    </w:pPr>
  </w:style>
  <w:style w:type="paragraph" w:styleId="1027">
    <w:name w:val="题注"/>
    <w:basedOn w:val="1002"/>
    <w:next w:val="1002"/>
    <w:link w:val="1002"/>
    <w:qFormat/>
    <w:pPr>
      <w:spacing w:line="480" w:lineRule="auto"/>
    </w:pPr>
    <w:rPr>
      <w:rFonts w:ascii="华文中宋" w:hAnsi="华文中宋" w:eastAsia="华文中宋"/>
      <w:sz w:val="36"/>
      <w:szCs w:val="20"/>
    </w:rPr>
  </w:style>
  <w:style w:type="paragraph" w:styleId="1028">
    <w:name w:val="文档结构图"/>
    <w:basedOn w:val="1002"/>
    <w:next w:val="1028"/>
    <w:link w:val="1029"/>
    <w:qFormat/>
    <w:pPr>
      <w:shd w:val="clear" w:color="auto" w:fill="000080"/>
    </w:pPr>
  </w:style>
  <w:style w:type="character" w:styleId="1029">
    <w:name w:val="文档结构图 字符"/>
    <w:next w:val="1029"/>
    <w:link w:val="1028"/>
    <w:qFormat/>
    <w:rPr>
      <w:sz w:val="21"/>
      <w:szCs w:val="24"/>
      <w:shd w:val="clear" w:color="auto" w:fill="000080"/>
    </w:rPr>
  </w:style>
  <w:style w:type="paragraph" w:styleId="1030">
    <w:name w:val="批注文字"/>
    <w:basedOn w:val="1002"/>
    <w:next w:val="1030"/>
    <w:link w:val="1031"/>
    <w:uiPriority w:val="99"/>
    <w:qFormat/>
    <w:pPr>
      <w:jc w:val="left"/>
    </w:pPr>
  </w:style>
  <w:style w:type="character" w:styleId="1031">
    <w:name w:val="批注文字 字符1"/>
    <w:next w:val="1031"/>
    <w:link w:val="1030"/>
    <w:uiPriority w:val="99"/>
    <w:qFormat/>
    <w:rPr>
      <w:sz w:val="21"/>
      <w:szCs w:val="24"/>
    </w:rPr>
  </w:style>
  <w:style w:type="paragraph" w:styleId="1032">
    <w:name w:val="正文文本 3"/>
    <w:basedOn w:val="1002"/>
    <w:next w:val="1032"/>
    <w:link w:val="1033"/>
    <w:qFormat/>
    <w:pPr>
      <w:spacing w:after="120"/>
    </w:pPr>
    <w:rPr>
      <w:sz w:val="16"/>
      <w:szCs w:val="16"/>
    </w:rPr>
  </w:style>
  <w:style w:type="character" w:styleId="1033">
    <w:name w:val="正文文本 3 字符"/>
    <w:next w:val="1033"/>
    <w:link w:val="1032"/>
    <w:qFormat/>
    <w:rPr>
      <w:sz w:val="16"/>
      <w:szCs w:val="16"/>
    </w:rPr>
  </w:style>
  <w:style w:type="paragraph" w:styleId="1034">
    <w:name w:val="正文文本"/>
    <w:basedOn w:val="1002"/>
    <w:next w:val="1036"/>
    <w:link w:val="1035"/>
    <w:qFormat/>
    <w:pPr>
      <w:spacing w:before="120" w:line="22" w:lineRule="atLeast"/>
      <w:tabs>
        <w:tab w:val="left" w:pos="567" w:leader="none"/>
      </w:tabs>
    </w:pPr>
    <w:rPr>
      <w:rFonts w:ascii="宋体" w:hAnsi="宋体"/>
      <w:sz w:val="24"/>
    </w:rPr>
  </w:style>
  <w:style w:type="character" w:styleId="1035">
    <w:name w:val="正文文本 字符"/>
    <w:next w:val="1035"/>
    <w:link w:val="1034"/>
    <w:qFormat/>
    <w:rPr>
      <w:rFonts w:ascii="宋体" w:hAnsi="宋体"/>
      <w:sz w:val="24"/>
      <w:szCs w:val="24"/>
    </w:rPr>
  </w:style>
  <w:style w:type="paragraph" w:styleId="1036">
    <w:name w:val="正文文本 2"/>
    <w:basedOn w:val="1002"/>
    <w:next w:val="1036"/>
    <w:link w:val="1002"/>
    <w:uiPriority w:val="99"/>
    <w:unhideWhenUsed/>
    <w:pPr>
      <w:spacing w:after="120" w:line="480" w:lineRule="auto"/>
    </w:pPr>
  </w:style>
  <w:style w:type="paragraph" w:styleId="1037">
    <w:name w:val="正文文本缩进"/>
    <w:basedOn w:val="1002"/>
    <w:next w:val="1037"/>
    <w:link w:val="1038"/>
    <w:qFormat/>
    <w:pPr>
      <w:ind w:firstLine="570"/>
      <w:spacing w:line="360" w:lineRule="auto"/>
    </w:pPr>
    <w:rPr>
      <w:sz w:val="24"/>
    </w:rPr>
  </w:style>
  <w:style w:type="character" w:styleId="1038">
    <w:name w:val="正文文本缩进 字符"/>
    <w:next w:val="1038"/>
    <w:link w:val="1037"/>
    <w:qFormat/>
    <w:rPr>
      <w:rFonts w:eastAsia="宋体"/>
      <w:sz w:val="24"/>
      <w:szCs w:val="24"/>
      <w:lang w:val="en-US" w:eastAsia="zh-CN" w:bidi="ar-SA"/>
    </w:rPr>
  </w:style>
  <w:style w:type="paragraph" w:styleId="1039">
    <w:name w:val="列表 2"/>
    <w:basedOn w:val="1002"/>
    <w:next w:val="1039"/>
    <w:link w:val="1002"/>
    <w:qFormat/>
    <w:pPr>
      <w:ind w:left="100" w:hanging="200"/>
    </w:pPr>
  </w:style>
  <w:style w:type="paragraph" w:styleId="1040">
    <w:name w:val="文本块"/>
    <w:basedOn w:val="1002"/>
    <w:next w:val="1040"/>
    <w:link w:val="1002"/>
    <w:qFormat/>
    <w:pPr>
      <w:ind w:left="480" w:right="-341" w:firstLine="513"/>
      <w:widowControl/>
    </w:pPr>
    <w:rPr>
      <w:sz w:val="24"/>
      <w:szCs w:val="20"/>
    </w:rPr>
  </w:style>
  <w:style w:type="paragraph" w:styleId="1041">
    <w:name w:val="目录 5"/>
    <w:basedOn w:val="1002"/>
    <w:next w:val="1002"/>
    <w:link w:val="1002"/>
    <w:qFormat/>
    <w:pPr>
      <w:ind w:left="1680"/>
    </w:pPr>
  </w:style>
  <w:style w:type="paragraph" w:styleId="1042">
    <w:name w:val="目录 3"/>
    <w:basedOn w:val="1002"/>
    <w:next w:val="1002"/>
    <w:link w:val="1002"/>
    <w:uiPriority w:val="39"/>
    <w:qFormat/>
    <w:pPr>
      <w:ind w:left="840"/>
    </w:pPr>
  </w:style>
  <w:style w:type="paragraph" w:styleId="1043">
    <w:name w:val="纯文本"/>
    <w:basedOn w:val="1002"/>
    <w:next w:val="1043"/>
    <w:link w:val="1044"/>
    <w:qFormat/>
    <w:rPr>
      <w:rFonts w:hint="eastAsia" w:ascii="宋体" w:hAnsi="Courier New"/>
      <w:szCs w:val="20"/>
    </w:rPr>
  </w:style>
  <w:style w:type="character" w:styleId="1044">
    <w:name w:val="纯文本 字符2"/>
    <w:next w:val="1044"/>
    <w:link w:val="1043"/>
    <w:qFormat/>
    <w:rPr>
      <w:rFonts w:hint="eastAsia" w:ascii="宋体" w:hAnsi="Courier New" w:eastAsia="宋体" w:cs="宋体"/>
      <w:sz w:val="21"/>
    </w:rPr>
  </w:style>
  <w:style w:type="paragraph" w:styleId="1045">
    <w:name w:val="目录 8"/>
    <w:basedOn w:val="1002"/>
    <w:next w:val="1002"/>
    <w:link w:val="1002"/>
    <w:qFormat/>
    <w:pPr>
      <w:ind w:left="2940"/>
    </w:pPr>
  </w:style>
  <w:style w:type="paragraph" w:styleId="1046">
    <w:name w:val="日期"/>
    <w:basedOn w:val="1002"/>
    <w:next w:val="1002"/>
    <w:link w:val="1047"/>
    <w:qFormat/>
    <w:pPr>
      <w:ind w:left="100"/>
    </w:pPr>
    <w:rPr>
      <w:rFonts w:ascii="仿宋_GB2312" w:hAnsi="宋体" w:eastAsia="仿宋_GB2312"/>
      <w:color w:val="000000"/>
      <w:sz w:val="24"/>
    </w:rPr>
  </w:style>
  <w:style w:type="character" w:styleId="1047">
    <w:name w:val="日期 字符"/>
    <w:next w:val="1047"/>
    <w:link w:val="1046"/>
    <w:qFormat/>
    <w:rPr>
      <w:rFonts w:ascii="仿宋_GB2312" w:hAnsi="宋体" w:eastAsia="仿宋_GB2312"/>
      <w:color w:val="000000"/>
      <w:sz w:val="24"/>
      <w:szCs w:val="24"/>
    </w:rPr>
  </w:style>
  <w:style w:type="paragraph" w:styleId="1048">
    <w:name w:val="正文文本缩进 2"/>
    <w:basedOn w:val="1002"/>
    <w:next w:val="1048"/>
    <w:link w:val="1049"/>
    <w:qFormat/>
    <w:pPr>
      <w:ind w:firstLine="480"/>
    </w:pPr>
    <w:rPr>
      <w:rFonts w:ascii="仿宋_GB2312" w:eastAsia="仿宋_GB2312"/>
      <w:sz w:val="24"/>
    </w:rPr>
  </w:style>
  <w:style w:type="character" w:styleId="1049">
    <w:name w:val="正文文本缩进 2 字符"/>
    <w:next w:val="1049"/>
    <w:link w:val="1048"/>
    <w:qFormat/>
    <w:rPr>
      <w:rFonts w:ascii="仿宋_GB2312" w:eastAsia="仿宋_GB2312"/>
      <w:sz w:val="24"/>
      <w:szCs w:val="24"/>
    </w:rPr>
  </w:style>
  <w:style w:type="paragraph" w:styleId="1050">
    <w:name w:val="批注框文本"/>
    <w:basedOn w:val="1002"/>
    <w:next w:val="1050"/>
    <w:link w:val="1051"/>
    <w:qFormat/>
    <w:rPr>
      <w:sz w:val="18"/>
      <w:szCs w:val="18"/>
    </w:rPr>
  </w:style>
  <w:style w:type="character" w:styleId="1051">
    <w:name w:val="批注框文本 字符"/>
    <w:next w:val="1051"/>
    <w:link w:val="1050"/>
    <w:qFormat/>
    <w:rPr>
      <w:sz w:val="18"/>
      <w:szCs w:val="18"/>
    </w:rPr>
  </w:style>
  <w:style w:type="paragraph" w:styleId="1052">
    <w:name w:val="页脚"/>
    <w:basedOn w:val="1002"/>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字符"/>
    <w:next w:val="1053"/>
    <w:link w:val="1052"/>
    <w:uiPriority w:val="99"/>
    <w:qFormat/>
    <w:rPr>
      <w:rFonts w:ascii="宋体" w:eastAsia="宋体"/>
      <w:sz w:val="18"/>
      <w:lang w:val="en-US" w:eastAsia="zh-CN" w:bidi="ar-SA"/>
    </w:rPr>
  </w:style>
  <w:style w:type="paragraph" w:styleId="1054">
    <w:name w:val="寄信人地址"/>
    <w:basedOn w:val="1002"/>
    <w:next w:val="1054"/>
    <w:link w:val="1002"/>
    <w:qFormat/>
    <w:rPr>
      <w:rFonts w:ascii="Arial" w:hAnsi="Arial"/>
    </w:rPr>
  </w:style>
  <w:style w:type="paragraph" w:styleId="1055">
    <w:name w:val="页眉"/>
    <w:basedOn w:val="1002"/>
    <w:next w:val="1055"/>
    <w:link w:val="1056"/>
    <w:qFormat/>
    <w:pPr>
      <w:jc w:val="center"/>
      <w:tabs>
        <w:tab w:val="center" w:pos="4153" w:leader="none"/>
        <w:tab w:val="right" w:pos="8306" w:leader="none"/>
      </w:tabs>
      <w:pBdr>
        <w:bottom w:val="single" w:color="000000" w:sz="6" w:space="1"/>
      </w:pBdr>
    </w:pPr>
    <w:rPr>
      <w:sz w:val="18"/>
      <w:szCs w:val="18"/>
    </w:rPr>
  </w:style>
  <w:style w:type="character" w:styleId="1056">
    <w:name w:val="页眉 字符"/>
    <w:next w:val="1056"/>
    <w:link w:val="1055"/>
    <w:qFormat/>
    <w:rPr>
      <w:rFonts w:eastAsia="宋体"/>
      <w:sz w:val="18"/>
      <w:szCs w:val="18"/>
      <w:lang w:val="en-US" w:eastAsia="zh-CN" w:bidi="ar-SA"/>
    </w:rPr>
  </w:style>
  <w:style w:type="paragraph" w:styleId="1057">
    <w:name w:val="目录 1"/>
    <w:basedOn w:val="1002"/>
    <w:next w:val="1002"/>
    <w:link w:val="1002"/>
    <w:uiPriority w:val="39"/>
    <w:qFormat/>
    <w:pPr>
      <w:spacing w:line="300" w:lineRule="auto"/>
      <w:tabs>
        <w:tab w:val="left" w:pos="1050" w:leader="none"/>
        <w:tab w:val="right" w:pos="8937" w:leader="dot"/>
      </w:tabs>
    </w:pPr>
    <w:rPr>
      <w:rFonts w:ascii="宋体" w:hAnsi="宋体"/>
      <w:b/>
      <w:sz w:val="24"/>
    </w:rPr>
  </w:style>
  <w:style w:type="paragraph" w:styleId="1058">
    <w:name w:val="目录 4"/>
    <w:basedOn w:val="1002"/>
    <w:next w:val="1002"/>
    <w:link w:val="1002"/>
    <w:qFormat/>
    <w:pPr>
      <w:ind w:left="1260"/>
    </w:pPr>
  </w:style>
  <w:style w:type="paragraph" w:styleId="1059">
    <w:name w:val="目录 6"/>
    <w:basedOn w:val="1002"/>
    <w:next w:val="1002"/>
    <w:link w:val="1002"/>
    <w:qFormat/>
    <w:pPr>
      <w:ind w:left="2100"/>
    </w:pPr>
  </w:style>
  <w:style w:type="paragraph" w:styleId="1060">
    <w:name w:val="正文文本缩进 3"/>
    <w:basedOn w:val="1002"/>
    <w:next w:val="1060"/>
    <w:link w:val="1061"/>
    <w:qFormat/>
    <w:pPr>
      <w:ind w:left="720" w:firstLine="480"/>
      <w:jc w:val="left"/>
      <w:spacing w:before="120" w:line="22" w:lineRule="atLeast"/>
    </w:pPr>
    <w:rPr>
      <w:rFonts w:ascii="宋体"/>
      <w:sz w:val="24"/>
      <w:szCs w:val="20"/>
    </w:rPr>
  </w:style>
  <w:style w:type="character" w:styleId="1061">
    <w:name w:val="正文文本缩进 3 字符"/>
    <w:next w:val="1061"/>
    <w:link w:val="1060"/>
    <w:qFormat/>
    <w:rPr>
      <w:rFonts w:ascii="宋体"/>
      <w:sz w:val="24"/>
    </w:rPr>
  </w:style>
  <w:style w:type="paragraph" w:styleId="1062">
    <w:name w:val="目录 2"/>
    <w:basedOn w:val="1002"/>
    <w:next w:val="1002"/>
    <w:link w:val="1002"/>
    <w:uiPriority w:val="39"/>
    <w:qFormat/>
    <w:pPr>
      <w:ind w:left="420"/>
      <w:spacing w:line="312" w:lineRule="auto"/>
      <w:tabs>
        <w:tab w:val="right" w:pos="8937" w:leader="dot"/>
      </w:tabs>
    </w:pPr>
  </w:style>
  <w:style w:type="paragraph" w:styleId="1063">
    <w:name w:val="目录 9"/>
    <w:basedOn w:val="1002"/>
    <w:next w:val="1002"/>
    <w:link w:val="1002"/>
    <w:qFormat/>
    <w:pPr>
      <w:ind w:left="3360"/>
    </w:pPr>
  </w:style>
  <w:style w:type="paragraph" w:styleId="1064">
    <w:name w:val="HTML 预设格式"/>
    <w:basedOn w:val="1002"/>
    <w:next w:val="1064"/>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name w:val="HTML 预设格式 字符"/>
    <w:next w:val="1065"/>
    <w:link w:val="1064"/>
    <w:qFormat/>
    <w:rPr>
      <w:rFonts w:ascii="宋体" w:hAnsi="宋体" w:cs="宋体"/>
      <w:sz w:val="24"/>
      <w:szCs w:val="24"/>
    </w:rPr>
  </w:style>
  <w:style w:type="paragraph" w:styleId="1066">
    <w:name w:val="普通(网站)"/>
    <w:basedOn w:val="1002"/>
    <w:next w:val="1066"/>
    <w:link w:val="1002"/>
    <w:uiPriority w:val="99"/>
    <w:unhideWhenUsed/>
    <w:qFormat/>
    <w:pPr>
      <w:jc w:val="left"/>
      <w:spacing w:before="100" w:beforeAutospacing="1" w:after="100" w:afterAutospacing="1"/>
      <w:widowControl/>
    </w:pPr>
    <w:rPr>
      <w:rFonts w:ascii="宋体" w:hAnsi="宋体" w:cs="宋体"/>
      <w:sz w:val="24"/>
    </w:rPr>
  </w:style>
  <w:style w:type="paragraph" w:styleId="1067">
    <w:name w:val="索引 1"/>
    <w:basedOn w:val="1002"/>
    <w:next w:val="1002"/>
    <w:link w:val="1002"/>
    <w:qFormat/>
    <w:rPr>
      <w:szCs w:val="20"/>
    </w:rPr>
  </w:style>
  <w:style w:type="paragraph" w:styleId="1068">
    <w:name w:val="标题"/>
    <w:basedOn w:val="1002"/>
    <w:next w:val="1068"/>
    <w:link w:val="1069"/>
    <w:qFormat/>
    <w:pPr>
      <w:jc w:val="center"/>
      <w:outlineLvl w:val="0"/>
    </w:pPr>
    <w:rPr>
      <w:b/>
      <w:sz w:val="32"/>
      <w:szCs w:val="20"/>
    </w:rPr>
  </w:style>
  <w:style w:type="character" w:styleId="1069">
    <w:name w:val="标题 字符"/>
    <w:next w:val="1069"/>
    <w:link w:val="1068"/>
    <w:qFormat/>
    <w:rPr>
      <w:b/>
      <w:sz w:val="32"/>
    </w:rPr>
  </w:style>
  <w:style w:type="paragraph" w:styleId="1070">
    <w:name w:val="批注主题"/>
    <w:basedOn w:val="1030"/>
    <w:next w:val="1030"/>
    <w:link w:val="1071"/>
    <w:qFormat/>
    <w:rPr>
      <w:b/>
      <w:bCs/>
      <w:lang w:val="en-US" w:eastAsia="zh-CN"/>
    </w:rPr>
  </w:style>
  <w:style w:type="character" w:styleId="1071">
    <w:name w:val="批注主题 字符"/>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4"/>
    <w:next w:val="1072"/>
    <w:link w:val="1002"/>
    <w:qFormat/>
    <w:pPr>
      <w:ind w:firstLine="420"/>
      <w:spacing w:after="120"/>
      <w:tabs>
        <w:tab w:val="left" w:pos="567" w:leader="none"/>
      </w:tabs>
    </w:pPr>
    <w:rPr>
      <w:rFonts w:ascii="仿宋_GB2312" w:eastAsia="仿宋_GB2312"/>
      <w:color w:val="000000"/>
      <w:spacing w:val="-8"/>
      <w:sz w:val="21"/>
      <w:lang w:bidi="ar-SA"/>
    </w:rPr>
  </w:style>
  <w:style w:type="paragraph" w:styleId="1073">
    <w:name w:val="正文首行缩进 2"/>
    <w:basedOn w:val="1037"/>
    <w:next w:val="1073"/>
    <w:link w:val="1074"/>
    <w:qFormat/>
    <w:pPr>
      <w:ind w:left="420" w:firstLine="420"/>
      <w:spacing w:after="120" w:line="480" w:lineRule="exact"/>
    </w:pPr>
    <w:rPr>
      <w:sz w:val="24"/>
    </w:rPr>
  </w:style>
  <w:style w:type="character" w:styleId="1074">
    <w:name w:val="正文首行缩进 2 字符"/>
    <w:next w:val="1074"/>
    <w:link w:val="1073"/>
    <w:qFormat/>
    <w:rPr>
      <w:rFonts w:eastAsia="宋体"/>
      <w:sz w:val="24"/>
      <w:szCs w:val="24"/>
      <w:lang w:val="en-US" w:eastAsia="zh-CN" w:bidi="ar-SA"/>
    </w:rPr>
  </w:style>
  <w:style w:type="table" w:styleId="1075">
    <w:name w:val="网格型"/>
    <w:basedOn w:val="1013"/>
    <w:next w:val="1075"/>
    <w:link w:val="1002"/>
    <w:uiPriority w:val="39"/>
    <w:qFormat/>
    <w:tblPr/>
  </w:style>
  <w:style w:type="table" w:styleId="1076">
    <w:name w:val="中等深浅网格 1 - 强调文字颜色 2"/>
    <w:basedOn w:val="1013"/>
    <w:next w:val="1076"/>
    <w:link w:val="1002"/>
    <w:qFormat/>
    <w:rPr>
      <w:sz w:val="21"/>
      <w:szCs w:val="24"/>
    </w:rPr>
    <w:tblPr/>
  </w:style>
  <w:style w:type="character" w:styleId="1077">
    <w:name w:val="要点"/>
    <w:next w:val="1077"/>
    <w:link w:val="1002"/>
    <w:qFormat/>
    <w:rPr>
      <w:b/>
      <w:bCs/>
    </w:rPr>
  </w:style>
  <w:style w:type="character" w:styleId="1078">
    <w:name w:val="页码"/>
    <w:next w:val="1078"/>
    <w:link w:val="1002"/>
    <w:qFormat/>
  </w:style>
  <w:style w:type="character" w:styleId="1079">
    <w:name w:val="已访问的超链接"/>
    <w:next w:val="1079"/>
    <w:link w:val="1002"/>
    <w:qFormat/>
    <w:rPr>
      <w:color w:val="800080"/>
      <w:u w:val="single"/>
    </w:rPr>
  </w:style>
  <w:style w:type="character" w:styleId="1080">
    <w:name w:val="强调"/>
    <w:next w:val="1080"/>
    <w:link w:val="1002"/>
    <w:qFormat/>
    <w:rPr>
      <w:color w:val="cc0033"/>
    </w:rPr>
  </w:style>
  <w:style w:type="character" w:styleId="1081">
    <w:name w:val="超链接"/>
    <w:next w:val="1081"/>
    <w:link w:val="1002"/>
    <w:uiPriority w:val="99"/>
    <w:qFormat/>
    <w:rPr>
      <w:color w:val="0000ff"/>
      <w:u w:val="single"/>
    </w:rPr>
  </w:style>
  <w:style w:type="character" w:styleId="1082">
    <w:name w:val="批注引用"/>
    <w:next w:val="1082"/>
    <w:link w:val="1002"/>
    <w:uiPriority w:val="99"/>
    <w:qFormat/>
    <w:rPr>
      <w:sz w:val="21"/>
      <w:szCs w:val="21"/>
    </w:rPr>
  </w:style>
  <w:style w:type="character" w:styleId="1083">
    <w:name w:val="HTML 引文"/>
    <w:next w:val="1083"/>
    <w:link w:val="1002"/>
    <w:qFormat/>
    <w:rPr>
      <w:i/>
      <w:iCs/>
    </w:rPr>
  </w:style>
  <w:style w:type="paragraph" w:styleId="1084">
    <w:name w:val="正文（缩进）"/>
    <w:basedOn w:val="1002"/>
    <w:next w:val="1084"/>
    <w:link w:val="1002"/>
    <w:qFormat/>
    <w:pPr>
      <w:ind w:firstLine="480"/>
    </w:pPr>
  </w:style>
  <w:style w:type="paragraph" w:styleId="1085">
    <w:name w:val="AONormal"/>
    <w:next w:val="1085"/>
    <w:link w:val="1002"/>
    <w:qFormat/>
    <w:pPr>
      <w:ind w:firstLine="440"/>
      <w:spacing w:line="400" w:lineRule="exact"/>
    </w:pPr>
    <w:rPr>
      <w:rFonts w:ascii="华文楷体" w:hAnsi="华文楷体" w:eastAsia="华文楷体" w:cs="华文楷体"/>
      <w:sz w:val="22"/>
      <w:szCs w:val="21"/>
      <w:lang w:val="en-US" w:eastAsia="zh-CN" w:bidi="ar-SA"/>
    </w:rPr>
  </w:style>
  <w:style w:type="paragraph" w:styleId="1086">
    <w:name w:val="Default"/>
    <w:next w:val="1086"/>
    <w:link w:val="1002"/>
    <w:qFormat/>
    <w:pPr>
      <w:widowControl w:val="off"/>
    </w:pPr>
    <w:rPr>
      <w:rFonts w:ascii="Symbol" w:hAnsi="Symbol" w:cs="Symbol"/>
      <w:color w:val="000000"/>
      <w:sz w:val="24"/>
      <w:szCs w:val="24"/>
      <w:lang w:val="en-US" w:eastAsia="zh-CN" w:bidi="ar-SA"/>
    </w:rPr>
  </w:style>
  <w:style w:type="character" w:styleId="1087">
    <w:name w:val="批注文字 字符"/>
    <w:next w:val="1087"/>
    <w:link w:val="1002"/>
    <w:uiPriority w:val="99"/>
    <w:qFormat/>
    <w:rPr>
      <w:rFonts w:ascii="Times New Roman" w:hAnsi="Times New Roman" w:eastAsia="宋体" w:cs="Times New Roman"/>
      <w:sz w:val="24"/>
      <w:lang w:val="en-US" w:eastAsia="zh-CN" w:bidi="ar-SA"/>
    </w:rPr>
  </w:style>
  <w:style w:type="character" w:styleId="1088">
    <w:name w:val="标题 3 Char Char"/>
    <w:next w:val="1088"/>
    <w:link w:val="1002"/>
    <w:qFormat/>
    <w:rPr>
      <w:rFonts w:eastAsia="宋体"/>
      <w:b/>
      <w:bCs/>
      <w:sz w:val="32"/>
      <w:szCs w:val="32"/>
      <w:lang w:val="en-US" w:eastAsia="zh-CN" w:bidi="ar-SA"/>
    </w:rPr>
  </w:style>
  <w:style w:type="character" w:styleId="1089">
    <w:name w:val="中等深浅网格 1 - 强调文字颜色 2 Char"/>
    <w:next w:val="1089"/>
    <w:link w:val="1090"/>
    <w:qFormat/>
    <w:rPr>
      <w:sz w:val="21"/>
      <w:szCs w:val="24"/>
      <w:lang w:val="zh-CN" w:eastAsia="zh-CN" w:bidi="ar-SA"/>
    </w:rPr>
  </w:style>
  <w:style w:type="paragraph" w:styleId="1090">
    <w:name w:val="1"/>
    <w:next w:val="1090"/>
    <w:link w:val="1089"/>
    <w:qFormat/>
    <w:rPr>
      <w:sz w:val="21"/>
      <w:szCs w:val="24"/>
      <w:lang w:val="zh-CN" w:eastAsia="zh-CN" w:bidi="ar-SA"/>
    </w:rPr>
  </w:style>
  <w:style w:type="character" w:styleId="1091">
    <w:name w:val="列出段落 字符"/>
    <w:next w:val="1091"/>
    <w:link w:val="1092"/>
    <w:uiPriority w:val="34"/>
    <w:qFormat/>
    <w:rPr>
      <w:rFonts w:ascii="Calibri" w:hAnsi="Calibri" w:eastAsia="宋体"/>
      <w:sz w:val="21"/>
      <w:szCs w:val="22"/>
      <w:lang w:val="en-US" w:eastAsia="zh-CN" w:bidi="ar-SA"/>
    </w:rPr>
  </w:style>
  <w:style w:type="paragraph" w:styleId="1092">
    <w:name w:val="列出段落"/>
    <w:basedOn w:val="1002"/>
    <w:next w:val="1092"/>
    <w:link w:val="1091"/>
    <w:uiPriority w:val="34"/>
    <w:qFormat/>
    <w:pPr>
      <w:ind w:firstLine="420"/>
    </w:pPr>
    <w:rPr>
      <w:rFonts w:ascii="Calibri" w:hAnsi="Calibri"/>
      <w:szCs w:val="22"/>
    </w:rPr>
  </w:style>
  <w:style w:type="character" w:styleId="1093">
    <w:name w:val="locality"/>
    <w:next w:val="1093"/>
    <w:link w:val="1002"/>
    <w:qFormat/>
  </w:style>
  <w:style w:type="character" w:styleId="1094">
    <w:name w:val="正文表格 Char"/>
    <w:next w:val="1094"/>
    <w:link w:val="1095"/>
    <w:qFormat/>
    <w:rPr>
      <w:rFonts w:ascii="宋体" w:hAnsi="宋体"/>
      <w:color w:val="000000"/>
      <w:sz w:val="21"/>
      <w:szCs w:val="21"/>
    </w:rPr>
  </w:style>
  <w:style w:type="paragraph" w:styleId="1095">
    <w:name w:val="正文表格"/>
    <w:basedOn w:val="1002"/>
    <w:next w:val="1095"/>
    <w:link w:val="1094"/>
    <w:qFormat/>
    <w:pPr>
      <w:jc w:val="left"/>
    </w:pPr>
    <w:rPr>
      <w:rFonts w:ascii="宋体" w:hAnsi="宋体"/>
      <w:color w:val="000000"/>
      <w:szCs w:val="21"/>
    </w:rPr>
  </w:style>
  <w:style w:type="character" w:styleId="1096">
    <w:name w:val="apple-style-span"/>
    <w:next w:val="1096"/>
    <w:link w:val="1002"/>
    <w:qFormat/>
    <w:rPr>
      <w:rFonts w:cs="Times New Roman"/>
    </w:rPr>
  </w:style>
  <w:style w:type="character" w:styleId="1097">
    <w:name w:val="chanpin1"/>
    <w:next w:val="1097"/>
    <w:link w:val="1002"/>
    <w:qFormat/>
    <w:rPr>
      <w:rFonts w:ascii="ˎ̥" w:hAnsi="ˎ̥"/>
      <w:color w:val="000000"/>
      <w:sz w:val="20"/>
      <w:szCs w:val="20"/>
      <w:u w:val="none"/>
    </w:rPr>
  </w:style>
  <w:style w:type="character" w:styleId="1098">
    <w:name w:val="注释 Char"/>
    <w:next w:val="1098"/>
    <w:link w:val="1099"/>
    <w:qFormat/>
    <w:rPr>
      <w:rFonts w:ascii="宋体" w:hAnsi="宋体"/>
      <w:sz w:val="21"/>
      <w:szCs w:val="21"/>
    </w:rPr>
  </w:style>
  <w:style w:type="paragraph" w:styleId="1099">
    <w:name w:val="注释"/>
    <w:basedOn w:val="1002"/>
    <w:next w:val="1099"/>
    <w:link w:val="1098"/>
    <w:qFormat/>
    <w:pPr>
      <w:ind w:left="420" w:hanging="420"/>
      <w:jc w:val="left"/>
    </w:pPr>
    <w:rPr>
      <w:rFonts w:ascii="宋体" w:hAnsi="宋体"/>
      <w:szCs w:val="21"/>
    </w:rPr>
  </w:style>
  <w:style w:type="character" w:styleId="1100">
    <w:name w:val="chanpin拷贝"/>
    <w:next w:val="1100"/>
    <w:link w:val="1002"/>
    <w:qFormat/>
  </w:style>
  <w:style w:type="character" w:styleId="1101">
    <w:name w:val="bjh-p"/>
    <w:next w:val="1101"/>
    <w:link w:val="1002"/>
    <w:qFormat/>
  </w:style>
  <w:style w:type="character" w:styleId="1102">
    <w:name w:val="纯文本 字符1"/>
    <w:next w:val="1102"/>
    <w:link w:val="1002"/>
    <w:qFormat/>
    <w:rPr>
      <w:rFonts w:ascii="宋体" w:hAnsi="Courier New"/>
    </w:rPr>
  </w:style>
  <w:style w:type="character" w:styleId="1103">
    <w:name w:val="正文小标题 Char"/>
    <w:next w:val="1103"/>
    <w:link w:val="1104"/>
    <w:qFormat/>
    <w:rPr>
      <w:rFonts w:ascii="宋体" w:hAnsi="宋体"/>
      <w:b/>
      <w:i/>
      <w:color w:val="ff0000"/>
      <w:sz w:val="24"/>
    </w:rPr>
  </w:style>
  <w:style w:type="paragraph" w:styleId="1104">
    <w:name w:val="正文小标题"/>
    <w:basedOn w:val="1002"/>
    <w:next w:val="1017"/>
    <w:link w:val="1103"/>
    <w:qFormat/>
    <w:pPr>
      <w:ind w:firstLine="482"/>
      <w:jc w:val="left"/>
      <w:spacing w:before="312" w:after="312"/>
    </w:pPr>
    <w:rPr>
      <w:rFonts w:ascii="宋体" w:hAnsi="宋体"/>
      <w:b/>
      <w:i/>
      <w:color w:val="ff0000"/>
      <w:sz w:val="24"/>
      <w:szCs w:val="20"/>
    </w:rPr>
  </w:style>
  <w:style w:type="character" w:styleId="1105">
    <w:name w:val="页眉 Char"/>
    <w:next w:val="1105"/>
    <w:link w:val="1002"/>
    <w:qFormat/>
    <w:rPr>
      <w:rFonts w:eastAsia="宋体"/>
      <w:sz w:val="18"/>
      <w:szCs w:val="18"/>
      <w:lang w:val="en-US" w:eastAsia="zh-CN" w:bidi="ar-SA"/>
    </w:rPr>
  </w:style>
  <w:style w:type="character" w:styleId="1106">
    <w:name w:val="正文重点 Char"/>
    <w:next w:val="1106"/>
    <w:link w:val="1107"/>
    <w:qFormat/>
    <w:rPr>
      <w:b/>
      <w:sz w:val="24"/>
    </w:rPr>
  </w:style>
  <w:style w:type="paragraph" w:styleId="1107">
    <w:name w:val="正文重点"/>
    <w:basedOn w:val="1002"/>
    <w:next w:val="1107"/>
    <w:link w:val="1106"/>
    <w:qFormat/>
    <w:pPr>
      <w:ind w:firstLine="482"/>
      <w:jc w:val="left"/>
      <w:spacing w:line="360" w:lineRule="auto"/>
    </w:pPr>
    <w:rPr>
      <w:b/>
      <w:sz w:val="24"/>
      <w:szCs w:val="20"/>
    </w:rPr>
  </w:style>
  <w:style w:type="character" w:styleId="1108">
    <w:name w:val="正文大标题 Char"/>
    <w:next w:val="1108"/>
    <w:link w:val="1109"/>
    <w:qFormat/>
    <w:rPr>
      <w:rFonts w:ascii="宋体" w:hAnsi="宋体"/>
      <w:b/>
      <w:color w:val="000000"/>
      <w:sz w:val="28"/>
      <w:szCs w:val="21"/>
    </w:rPr>
  </w:style>
  <w:style w:type="paragraph" w:styleId="1109">
    <w:name w:val="正文大标题"/>
    <w:basedOn w:val="1104"/>
    <w:next w:val="1017"/>
    <w:link w:val="1108"/>
    <w:qFormat/>
    <w:pPr>
      <w:jc w:val="center"/>
    </w:pPr>
    <w:rPr>
      <w:i w:val="0"/>
      <w:color w:val="000000"/>
      <w:sz w:val="28"/>
      <w:szCs w:val="21"/>
    </w:rPr>
  </w:style>
  <w:style w:type="character" w:styleId="1110">
    <w:name w:val="纯文本 字符"/>
    <w:next w:val="1110"/>
    <w:link w:val="1002"/>
    <w:uiPriority w:val="99"/>
    <w:qFormat/>
    <w:rPr>
      <w:rFonts w:ascii="宋体" w:hAnsi="Courier New" w:eastAsia="宋体" w:cs="Times New Roman"/>
      <w:sz w:val="21"/>
      <w:szCs w:val="21"/>
      <w:lang w:val="en-US" w:eastAsia="zh-CN" w:bidi="ar-SA"/>
    </w:rPr>
  </w:style>
  <w:style w:type="character" w:styleId="1111">
    <w:name w:val="current"/>
    <w:next w:val="1111"/>
    <w:link w:val="1002"/>
    <w:rPr>
      <w:b/>
      <w:bCs/>
      <w:color w:val="05a7d8"/>
      <w:sz w:val="18"/>
      <w:szCs w:val="18"/>
    </w:rPr>
  </w:style>
  <w:style w:type="character" w:styleId="1112">
    <w:name w:val="正文格式 Char"/>
    <w:next w:val="1112"/>
    <w:link w:val="1113"/>
    <w:qFormat/>
    <w:rPr>
      <w:rFonts w:ascii="宋体" w:hAnsi="宋体"/>
      <w:sz w:val="24"/>
      <w:szCs w:val="24"/>
      <w:lang w:val="en-GB"/>
    </w:rPr>
  </w:style>
  <w:style w:type="paragraph" w:styleId="1113">
    <w:name w:val="正文格式"/>
    <w:basedOn w:val="1002"/>
    <w:next w:val="1113"/>
    <w:link w:val="1112"/>
    <w:qFormat/>
    <w:pPr>
      <w:ind w:firstLine="480"/>
      <w:spacing w:line="360" w:lineRule="auto"/>
    </w:pPr>
    <w:rPr>
      <w:rFonts w:ascii="宋体" w:hAnsi="宋体"/>
      <w:sz w:val="24"/>
      <w:lang w:val="en-GB"/>
    </w:rPr>
  </w:style>
  <w:style w:type="character" w:styleId="1114">
    <w:name w:val="页脚 Char"/>
    <w:next w:val="1114"/>
    <w:link w:val="1002"/>
    <w:qFormat/>
    <w:rPr>
      <w:rFonts w:ascii="宋体" w:eastAsia="宋体"/>
      <w:sz w:val="18"/>
      <w:lang w:val="en-US" w:eastAsia="zh-CN" w:bidi="ar-SA"/>
    </w:rPr>
  </w:style>
  <w:style w:type="character" w:styleId="1115">
    <w:name w:val="标题 3 Char"/>
    <w:next w:val="1115"/>
    <w:link w:val="1002"/>
    <w:qFormat/>
    <w:rPr>
      <w:rFonts w:ascii="宋体" w:eastAsia="宋体"/>
      <w:b/>
      <w:sz w:val="24"/>
      <w:u w:val="single"/>
      <w:lang w:val="en-US" w:eastAsia="zh-CN" w:bidi="ar-SA"/>
    </w:rPr>
  </w:style>
  <w:style w:type="character" w:styleId="1116">
    <w:name w:val="正文缩进 Char"/>
    <w:next w:val="1116"/>
    <w:link w:val="1002"/>
    <w:qFormat/>
    <w:rPr>
      <w:rFonts w:ascii="宋体" w:eastAsia="宋体"/>
      <w:sz w:val="24"/>
      <w:szCs w:val="24"/>
      <w:lang w:val="en-US" w:eastAsia="zh-CN" w:bidi="ar-SA"/>
    </w:rPr>
  </w:style>
  <w:style w:type="character" w:styleId="1117">
    <w:name w:val="标题 2 Char"/>
    <w:next w:val="1117"/>
    <w:link w:val="1002"/>
    <w:qFormat/>
    <w:rPr>
      <w:rFonts w:ascii="Arial" w:hAnsi="Arial" w:eastAsia="黑体"/>
      <w:b/>
      <w:sz w:val="30"/>
      <w:lang w:val="en-US" w:eastAsia="zh-CN" w:bidi="ar-SA"/>
    </w:rPr>
  </w:style>
  <w:style w:type="character" w:styleId="1118">
    <w:name w:val="l-btn-text"/>
    <w:next w:val="1118"/>
    <w:link w:val="1002"/>
  </w:style>
  <w:style w:type="character" w:styleId="1119">
    <w:name w:val="标题 Char"/>
    <w:next w:val="1119"/>
    <w:link w:val="1002"/>
    <w:qFormat/>
    <w:rPr>
      <w:b/>
      <w:sz w:val="32"/>
    </w:rPr>
  </w:style>
  <w:style w:type="character" w:styleId="1120">
    <w:name w:val="纯文本 Char1"/>
    <w:next w:val="1120"/>
    <w:link w:val="1002"/>
    <w:qFormat/>
    <w:rPr>
      <w:rFonts w:ascii="宋体" w:hAnsi="Courier New" w:eastAsia="宋体"/>
      <w:sz w:val="21"/>
      <w:lang w:val="en-US" w:eastAsia="zh-CN" w:bidi="ar-SA"/>
    </w:rPr>
  </w:style>
  <w:style w:type="character" w:styleId="1121">
    <w:name w:val="Char Char111"/>
    <w:next w:val="1121"/>
    <w:link w:val="1002"/>
    <w:qFormat/>
    <w:rPr>
      <w:rFonts w:ascii="宋体" w:eastAsia="宋体"/>
      <w:b/>
      <w:sz w:val="24"/>
      <w:u w:val="single"/>
      <w:lang w:val="en-US" w:eastAsia="zh-CN" w:bidi="ar-SA"/>
    </w:rPr>
  </w:style>
  <w:style w:type="character" w:styleId="1122">
    <w:name w:val="批注文字 Char"/>
    <w:next w:val="1122"/>
    <w:link w:val="1002"/>
    <w:uiPriority w:val="99"/>
    <w:qFormat/>
    <w:rPr>
      <w:sz w:val="21"/>
      <w:szCs w:val="24"/>
    </w:rPr>
  </w:style>
  <w:style w:type="character" w:styleId="1123">
    <w:name w:val="l-btn-text36"/>
    <w:next w:val="1123"/>
    <w:link w:val="1002"/>
  </w:style>
  <w:style w:type="character" w:styleId="1124">
    <w:name w:val="l-btn-left"/>
    <w:next w:val="1124"/>
    <w:link w:val="1002"/>
  </w:style>
  <w:style w:type="character" w:styleId="1125">
    <w:name w:val="正文文本缩进 Char"/>
    <w:next w:val="1125"/>
    <w:link w:val="1002"/>
    <w:qFormat/>
    <w:rPr>
      <w:rFonts w:eastAsia="宋体"/>
      <w:sz w:val="24"/>
      <w:szCs w:val="24"/>
      <w:lang w:val="en-US" w:eastAsia="zh-CN" w:bidi="ar-SA"/>
    </w:rPr>
  </w:style>
  <w:style w:type="character" w:styleId="1126">
    <w:name w:val="成文日期 Char"/>
    <w:next w:val="1126"/>
    <w:link w:val="1127"/>
    <w:rPr>
      <w:rFonts w:ascii="仿宋_GB2312" w:eastAsia="仿宋_GB2312"/>
      <w:sz w:val="32"/>
    </w:rPr>
  </w:style>
  <w:style w:type="paragraph" w:styleId="1127">
    <w:name w:val="成文日期"/>
    <w:basedOn w:val="1002"/>
    <w:next w:val="1127"/>
    <w:link w:val="1126"/>
    <w:qFormat/>
    <w:pPr>
      <w:ind w:right="400" w:firstLine="200"/>
      <w:jc w:val="right"/>
      <w:spacing w:line="570" w:lineRule="exact"/>
    </w:pPr>
    <w:rPr>
      <w:rFonts w:ascii="仿宋_GB2312" w:eastAsia="仿宋_GB2312"/>
      <w:sz w:val="32"/>
      <w:szCs w:val="20"/>
    </w:rPr>
  </w:style>
  <w:style w:type="character" w:styleId="1128">
    <w:name w:val="l-btn-text25"/>
    <w:next w:val="1128"/>
    <w:link w:val="1002"/>
  </w:style>
  <w:style w:type="character" w:styleId="1129">
    <w:name w:val="l-btn-text35"/>
    <w:next w:val="1129"/>
    <w:link w:val="1002"/>
  </w:style>
  <w:style w:type="character" w:styleId="1130">
    <w:name w:val="c21"/>
    <w:next w:val="1130"/>
    <w:link w:val="1002"/>
    <w:qFormat/>
    <w:rPr>
      <w:rFonts w:ascii="ˎ̥" w:hAnsi="ˎ̥"/>
      <w:color w:val="000000"/>
      <w:sz w:val="20"/>
      <w:szCs w:val="20"/>
      <w:u w:val="none"/>
    </w:rPr>
  </w:style>
  <w:style w:type="character" w:styleId="1131">
    <w:name w:val="tree-title3"/>
    <w:next w:val="1131"/>
    <w:link w:val="1002"/>
    <w:rPr>
      <w:sz w:val="18"/>
      <w:szCs w:val="18"/>
      <w:u w:val="none"/>
    </w:rPr>
  </w:style>
  <w:style w:type="character" w:styleId="1132">
    <w:name w:val="列出段落 Char"/>
    <w:next w:val="1132"/>
    <w:link w:val="1002"/>
    <w:qFormat/>
    <w:rPr>
      <w:rFonts w:ascii="Calibri" w:hAnsi="Calibri" w:eastAsia="宋体"/>
      <w:sz w:val="21"/>
      <w:szCs w:val="22"/>
      <w:lang w:val="en-US" w:eastAsia="zh-CN" w:bidi="ar-SA"/>
    </w:rPr>
  </w:style>
  <w:style w:type="character" w:styleId="1133">
    <w:name w:val="title4"/>
    <w:next w:val="1133"/>
    <w:link w:val="1002"/>
    <w:qFormat/>
    <w:rPr>
      <w:b/>
      <w:bCs/>
      <w:color w:val="1d87b3"/>
      <w:sz w:val="15"/>
      <w:szCs w:val="15"/>
    </w:rPr>
  </w:style>
  <w:style w:type="character" w:styleId="1134">
    <w:name w:val="标题 2 Char Char"/>
    <w:next w:val="1134"/>
    <w:link w:val="1002"/>
    <w:qFormat/>
    <w:rPr>
      <w:rFonts w:ascii="Arial" w:hAnsi="Arial" w:eastAsia="黑体"/>
      <w:b/>
      <w:bCs/>
      <w:sz w:val="32"/>
      <w:szCs w:val="32"/>
      <w:lang w:val="en-US" w:eastAsia="zh-CN" w:bidi="ar-SA"/>
    </w:rPr>
  </w:style>
  <w:style w:type="character" w:styleId="1135">
    <w:name w:val="black1"/>
    <w:next w:val="1135"/>
    <w:link w:val="1002"/>
    <w:qFormat/>
    <w:rPr>
      <w:color w:val="000000"/>
    </w:rPr>
  </w:style>
  <w:style w:type="character" w:styleId="1136">
    <w:name w:val="street-address"/>
    <w:next w:val="1136"/>
    <w:link w:val="1002"/>
    <w:qFormat/>
  </w:style>
  <w:style w:type="character" w:styleId="1137">
    <w:name w:val="正文文本缩进 Char1"/>
    <w:next w:val="1137"/>
    <w:link w:val="1138"/>
    <w:qFormat/>
    <w:rPr>
      <w:rFonts w:ascii="宋体" w:hAnsi="宋体" w:eastAsia="宋体"/>
      <w:sz w:val="24"/>
      <w:szCs w:val="24"/>
      <w:lang w:bidi="ar-SA"/>
    </w:rPr>
  </w:style>
  <w:style w:type="paragraph" w:styleId="1138">
    <w:name w:val="正文文本缩进1"/>
    <w:basedOn w:val="1002"/>
    <w:next w:val="1138"/>
    <w:link w:val="1137"/>
    <w:qFormat/>
    <w:pPr>
      <w:ind w:firstLine="480"/>
      <w:spacing w:line="480" w:lineRule="exact"/>
    </w:pPr>
    <w:rPr>
      <w:rFonts w:ascii="宋体" w:hAnsi="宋体"/>
      <w:sz w:val="24"/>
    </w:rPr>
  </w:style>
  <w:style w:type="character" w:styleId="1139">
    <w:name w:val="Char Char11"/>
    <w:next w:val="1139"/>
    <w:link w:val="1002"/>
    <w:qFormat/>
    <w:rPr>
      <w:rFonts w:ascii="宋体" w:eastAsia="宋体"/>
      <w:b/>
      <w:sz w:val="24"/>
      <w:u w:val="single"/>
      <w:lang w:val="en-US" w:eastAsia="zh-CN" w:bidi="ar-SA"/>
    </w:rPr>
  </w:style>
  <w:style w:type="character" w:styleId="1140">
    <w:name w:val="txt"/>
    <w:next w:val="1140"/>
    <w:link w:val="1002"/>
    <w:qFormat/>
  </w:style>
  <w:style w:type="character" w:styleId="1141">
    <w:name w:val="正文缩进 Char Char"/>
    <w:next w:val="1141"/>
    <w:link w:val="1142"/>
    <w:qFormat/>
    <w:rPr>
      <w:rFonts w:ascii="宋体" w:eastAsia="宋体"/>
      <w:color w:val="000000"/>
      <w:sz w:val="28"/>
      <w:lang w:bidi="ar-SA"/>
    </w:rPr>
  </w:style>
  <w:style w:type="paragraph" w:styleId="1142">
    <w:name w:val="正文缩进1"/>
    <w:basedOn w:val="1002"/>
    <w:next w:val="1142"/>
    <w:link w:val="1141"/>
    <w:qFormat/>
    <w:pPr>
      <w:ind w:firstLine="567"/>
      <w:spacing w:line="480" w:lineRule="exact"/>
      <w:widowControl/>
    </w:pPr>
    <w:rPr>
      <w:rFonts w:ascii="宋体"/>
      <w:color w:val="000000"/>
      <w:sz w:val="28"/>
      <w:szCs w:val="20"/>
    </w:rPr>
  </w:style>
  <w:style w:type="character" w:styleId="1143">
    <w:name w:val="普通文字1 Char1"/>
    <w:next w:val="1143"/>
    <w:link w:val="1002"/>
    <w:qFormat/>
    <w:rPr>
      <w:rFonts w:ascii="宋体" w:hAnsi="Courier New" w:eastAsia="宋体"/>
      <w:sz w:val="21"/>
      <w:lang w:val="en-US" w:eastAsia="zh-CN" w:bidi="ar-SA"/>
    </w:rPr>
  </w:style>
  <w:style w:type="character" w:styleId="1144">
    <w:name w:val="段1 Char"/>
    <w:next w:val="1144"/>
    <w:link w:val="1002"/>
    <w:qFormat/>
    <w:rPr>
      <w:rFonts w:ascii="宋体" w:eastAsia="宋体"/>
      <w:sz w:val="24"/>
      <w:lang w:val="en-US" w:eastAsia="zh-CN" w:bidi="ar-SA"/>
    </w:rPr>
  </w:style>
  <w:style w:type="paragraph" w:styleId="1145">
    <w:name w:val="font5"/>
    <w:basedOn w:val="1002"/>
    <w:next w:val="1145"/>
    <w:link w:val="1002"/>
    <w:qFormat/>
    <w:pPr>
      <w:jc w:val="left"/>
      <w:spacing w:before="100" w:beforeAutospacing="1" w:after="100" w:afterAutospacing="1"/>
      <w:widowControl/>
    </w:pPr>
    <w:rPr>
      <w:rFonts w:ascii="宋体" w:hAnsi="宋体" w:cs="宋体"/>
      <w:sz w:val="18"/>
      <w:szCs w:val="18"/>
    </w:rPr>
  </w:style>
  <w:style w:type="paragraph" w:styleId="1146">
    <w:name w:val="二级条标题"/>
    <w:basedOn w:val="1147"/>
    <w:next w:val="1002"/>
    <w:link w:val="1002"/>
    <w:qFormat/>
    <w:pPr>
      <w:numPr>
        <w:ilvl w:val="0"/>
        <w:numId w:val="0"/>
      </w:numPr>
      <w:ind w:hanging="840"/>
      <w:tabs>
        <w:tab w:val="left" w:pos="360" w:leader="none"/>
        <w:tab w:val="left" w:pos="840" w:leader="none"/>
      </w:tabs>
      <w:outlineLvl w:val="2"/>
    </w:pPr>
    <w:rPr>
      <w:rFonts w:ascii="宋体" w:eastAsia="宋体"/>
      <w:b w:val="0"/>
    </w:rPr>
  </w:style>
  <w:style w:type="paragraph" w:styleId="1147">
    <w:name w:val="一级条标题"/>
    <w:basedOn w:val="1148"/>
    <w:next w:val="1002"/>
    <w:link w:val="1002"/>
    <w:qFormat/>
    <w:pPr>
      <w:numPr>
        <w:ilvl w:val="1"/>
      </w:numPr>
      <w:ind w:left="0" w:hanging="840"/>
      <w:tabs>
        <w:tab w:val="left" w:pos="360" w:leader="none"/>
        <w:tab w:val="left" w:pos="840" w:leader="none"/>
      </w:tabs>
      <w:outlineLvl w:val="1"/>
    </w:pPr>
  </w:style>
  <w:style w:type="paragraph" w:styleId="1148">
    <w:name w:val="章标题"/>
    <w:next w:val="1002"/>
    <w:link w:val="10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9">
    <w:name w:val="??"/>
    <w:next w:val="1149"/>
    <w:link w:val="1002"/>
    <w:qFormat/>
    <w:pPr>
      <w:jc w:val="both"/>
      <w:widowControl w:val="off"/>
    </w:pPr>
    <w:rPr>
      <w:sz w:val="21"/>
      <w:lang w:val="en-US" w:eastAsia="en-US" w:bidi="ar-SA"/>
    </w:rPr>
  </w:style>
  <w:style w:type="paragraph" w:styleId="1150">
    <w:name w:val="1名"/>
    <w:basedOn w:val="1002"/>
    <w:next w:val="1150"/>
    <w:link w:val="1002"/>
    <w:qFormat/>
    <w:pPr>
      <w:numPr>
        <w:ilvl w:val="0"/>
        <w:numId w:val="2"/>
      </w:numPr>
      <w:spacing w:before="120"/>
      <w:tabs>
        <w:tab w:val="left" w:pos="360" w:leader="none"/>
      </w:tabs>
    </w:pPr>
    <w:rPr>
      <w:rFonts w:ascii="宋体"/>
      <w:sz w:val="28"/>
      <w:szCs w:val="20"/>
    </w:rPr>
  </w:style>
  <w:style w:type="paragraph" w:styleId="1151">
    <w:name w:val="Char Char Char Char Char Char Char Char Char Char Char Char Char Char Char Char"/>
    <w:basedOn w:val="1002"/>
    <w:next w:val="1151"/>
    <w:link w:val="1002"/>
    <w:qFormat/>
    <w:pPr>
      <w:jc w:val="center"/>
      <w:spacing w:after="160" w:line="240" w:lineRule="exact"/>
      <w:widowControl/>
    </w:pPr>
    <w:rPr>
      <w:rFonts w:ascii="宋体" w:hAnsi="宋体"/>
      <w:b/>
      <w:sz w:val="30"/>
      <w:szCs w:val="30"/>
      <w:lang w:eastAsia="en-US"/>
    </w:rPr>
  </w:style>
  <w:style w:type="paragraph" w:styleId="1152">
    <w:name w:val="xl25"/>
    <w:basedOn w:val="1002"/>
    <w:next w:val="1152"/>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xl45"/>
    <w:basedOn w:val="1002"/>
    <w:next w:val="1153"/>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name w:val="Char Char Char Char Char Char Char Char Char Char1"/>
    <w:basedOn w:val="1002"/>
    <w:next w:val="1154"/>
    <w:link w:val="1002"/>
    <w:qFormat/>
    <w:rPr>
      <w:rFonts w:ascii="宋体" w:hAnsi="宋体" w:cs="Courier New"/>
      <w:sz w:val="32"/>
      <w:szCs w:val="32"/>
    </w:rPr>
  </w:style>
  <w:style w:type="paragraph" w:styleId="1155">
    <w:name w:val="xl39"/>
    <w:basedOn w:val="1002"/>
    <w:next w:val="115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图中文字"/>
    <w:basedOn w:val="1002"/>
    <w:next w:val="1156"/>
    <w:link w:val="1002"/>
    <w:qFormat/>
    <w:pPr>
      <w:jc w:val="center"/>
      <w:spacing w:line="0" w:lineRule="atLeast"/>
    </w:pPr>
    <w:rPr>
      <w:sz w:val="24"/>
      <w:szCs w:val="20"/>
    </w:rPr>
  </w:style>
  <w:style w:type="paragraph" w:styleId="1157">
    <w:name w:val="Char Char1"/>
    <w:basedOn w:val="1028"/>
    <w:next w:val="1157"/>
    <w:link w:val="1002"/>
    <w:qFormat/>
    <w:rPr>
      <w:rFonts w:ascii="Tahoma" w:hAnsi="Tahoma"/>
      <w:sz w:val="24"/>
    </w:rPr>
  </w:style>
  <w:style w:type="paragraph" w:styleId="1158">
    <w:name w:val="font7"/>
    <w:basedOn w:val="1002"/>
    <w:next w:val="1158"/>
    <w:link w:val="1002"/>
    <w:qFormat/>
    <w:pPr>
      <w:jc w:val="left"/>
      <w:spacing w:before="100" w:beforeAutospacing="1" w:after="100" w:afterAutospacing="1"/>
      <w:widowControl/>
    </w:pPr>
    <w:rPr>
      <w:rFonts w:eastAsia="Arial Unicode MS"/>
      <w:b/>
      <w:bCs/>
      <w:color w:val="000000"/>
      <w:sz w:val="20"/>
      <w:szCs w:val="20"/>
    </w:rPr>
  </w:style>
  <w:style w:type="paragraph" w:styleId="1159">
    <w:name w:val="xl24"/>
    <w:basedOn w:val="1002"/>
    <w:next w:val="1159"/>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41"/>
    <w:basedOn w:val="1002"/>
    <w:next w:val="1160"/>
    <w:link w:val="10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图文"/>
    <w:basedOn w:val="1002"/>
    <w:next w:val="1161"/>
    <w:link w:val="1002"/>
    <w:qFormat/>
    <w:pPr>
      <w:spacing w:after="50" w:line="360" w:lineRule="auto"/>
    </w:pPr>
    <w:rPr>
      <w:sz w:val="24"/>
    </w:rPr>
  </w:style>
  <w:style w:type="paragraph" w:styleId="1162">
    <w:name w:val="xl28"/>
    <w:basedOn w:val="1002"/>
    <w:next w:val="116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正文 + 宋体"/>
    <w:basedOn w:val="1002"/>
    <w:next w:val="1163"/>
    <w:link w:val="1002"/>
    <w:qFormat/>
    <w:pPr>
      <w:ind w:left="360" w:hanging="360"/>
      <w:jc w:val="left"/>
      <w:widowControl/>
    </w:pPr>
    <w:rPr>
      <w:rFonts w:ascii="宋体" w:hAnsi="宋体" w:cs="宋体"/>
      <w:b/>
      <w:bCs/>
      <w:color w:val="000000"/>
      <w:sz w:val="18"/>
      <w:szCs w:val="18"/>
    </w:rPr>
  </w:style>
  <w:style w:type="paragraph" w:styleId="1164">
    <w:name w:val="默认段落字体 Para Char Char Char Char"/>
    <w:basedOn w:val="1002"/>
    <w:next w:val="1164"/>
    <w:link w:val="1002"/>
    <w:qFormat/>
    <w:rPr>
      <w:rFonts w:ascii="Arial" w:hAnsi="Arial" w:cs="Arial"/>
      <w:szCs w:val="21"/>
    </w:rPr>
  </w:style>
  <w:style w:type="paragraph" w:styleId="1165">
    <w:name w:val="Char3 Char Char Char2"/>
    <w:basedOn w:val="1002"/>
    <w:next w:val="1165"/>
    <w:link w:val="1002"/>
    <w:qFormat/>
    <w:rPr>
      <w:rFonts w:ascii="Tahoma" w:hAnsi="Tahoma"/>
      <w:sz w:val="24"/>
      <w:szCs w:val="20"/>
    </w:rPr>
  </w:style>
  <w:style w:type="paragraph" w:styleId="1166">
    <w:name w:val="项目编号1"/>
    <w:basedOn w:val="1002"/>
    <w:next w:val="1166"/>
    <w:link w:val="1002"/>
    <w:qFormat/>
    <w:pPr>
      <w:numPr>
        <w:ilvl w:val="0"/>
        <w:numId w:val="3"/>
      </w:numPr>
      <w:spacing w:before="100" w:beforeAutospacing="1" w:after="100" w:afterAutospacing="1" w:line="360" w:lineRule="auto"/>
    </w:pPr>
    <w:rPr>
      <w:sz w:val="24"/>
    </w:rPr>
  </w:style>
  <w:style w:type="paragraph" w:styleId="1167">
    <w:name w:val="正文文本样式"/>
    <w:basedOn w:val="1002"/>
    <w:next w:val="1167"/>
    <w:link w:val="1002"/>
    <w:qFormat/>
    <w:pPr>
      <w:ind w:firstLine="482"/>
      <w:spacing w:line="360" w:lineRule="auto"/>
    </w:pPr>
    <w:rPr>
      <w:rFonts w:cs="宋体"/>
      <w:sz w:val="24"/>
      <w:szCs w:val="20"/>
    </w:rPr>
  </w:style>
  <w:style w:type="paragraph" w:styleId="1168">
    <w:name w:val="Table Paragraph"/>
    <w:basedOn w:val="1002"/>
    <w:next w:val="1168"/>
    <w:link w:val="1002"/>
    <w:uiPriority w:val="1"/>
    <w:qFormat/>
    <w:pPr>
      <w:jc w:val="left"/>
    </w:pPr>
    <w:rPr>
      <w:rFonts w:ascii="宋体" w:hAnsi="宋体" w:cs="宋体"/>
      <w:sz w:val="22"/>
      <w:szCs w:val="22"/>
      <w:lang w:eastAsia="en-US"/>
    </w:rPr>
  </w:style>
  <w:style w:type="paragraph" w:styleId="1169">
    <w:name w:val="Char3 Char Char Char1"/>
    <w:basedOn w:val="1002"/>
    <w:next w:val="1169"/>
    <w:link w:val="1002"/>
    <w:qFormat/>
    <w:rPr>
      <w:rFonts w:ascii="Tahoma" w:hAnsi="Tahoma"/>
      <w:sz w:val="24"/>
      <w:szCs w:val="20"/>
    </w:rPr>
  </w:style>
  <w:style w:type="paragraph" w:styleId="1170">
    <w:name w:val="Char Char41"/>
    <w:basedOn w:val="1002"/>
    <w:next w:val="1170"/>
    <w:link w:val="1002"/>
    <w:qFormat/>
    <w:pPr>
      <w:jc w:val="center"/>
      <w:spacing w:line="400" w:lineRule="exact"/>
      <w:widowControl/>
    </w:pPr>
  </w:style>
  <w:style w:type="paragraph" w:styleId="1171">
    <w:name w:val="Char Char1 Char Char Char Char Char Char1"/>
    <w:basedOn w:val="1002"/>
    <w:next w:val="1171"/>
    <w:link w:val="1002"/>
    <w:qFormat/>
    <w:pPr>
      <w:jc w:val="left"/>
      <w:spacing w:after="160" w:line="240" w:lineRule="exact"/>
      <w:widowControl/>
    </w:pPr>
    <w:rPr>
      <w:rFonts w:ascii="Verdana" w:hAnsi="Verdana" w:eastAsia="仿宋_GB2312"/>
      <w:sz w:val="24"/>
      <w:szCs w:val="20"/>
      <w:lang w:eastAsia="en-US"/>
    </w:rPr>
  </w:style>
  <w:style w:type="paragraph" w:styleId="1172">
    <w:name w:val="字元 字元"/>
    <w:basedOn w:val="1002"/>
    <w:next w:val="1172"/>
    <w:link w:val="1002"/>
    <w:qFormat/>
    <w:rPr>
      <w:rFonts w:ascii="Tahoma" w:hAnsi="Tahoma"/>
      <w:sz w:val="24"/>
      <w:szCs w:val="20"/>
    </w:rPr>
  </w:style>
  <w:style w:type="paragraph" w:styleId="1173">
    <w:name w:val="五级条标题"/>
    <w:basedOn w:val="1174"/>
    <w:next w:val="1002"/>
    <w:link w:val="1002"/>
    <w:qFormat/>
    <w:pPr>
      <w:numPr>
        <w:ilvl w:val="5"/>
      </w:numPr>
      <w:ind w:left="0" w:hanging="840"/>
      <w:tabs>
        <w:tab w:val="left" w:pos="360" w:leader="none"/>
        <w:tab w:val="left" w:pos="840" w:leader="none"/>
      </w:tabs>
      <w:outlineLvl w:val="5"/>
    </w:pPr>
  </w:style>
  <w:style w:type="paragraph" w:styleId="1174">
    <w:name w:val="四级条标题"/>
    <w:basedOn w:val="1175"/>
    <w:next w:val="1002"/>
    <w:link w:val="1002"/>
    <w:qFormat/>
    <w:pPr>
      <w:numPr>
        <w:ilvl w:val="4"/>
      </w:numPr>
      <w:ind w:left="0" w:hanging="840"/>
      <w:tabs>
        <w:tab w:val="left" w:pos="360" w:leader="none"/>
        <w:tab w:val="left" w:pos="840" w:leader="none"/>
      </w:tabs>
      <w:outlineLvl w:val="4"/>
    </w:pPr>
  </w:style>
  <w:style w:type="paragraph" w:styleId="1175">
    <w:name w:val="三级条标题"/>
    <w:basedOn w:val="1146"/>
    <w:next w:val="1002"/>
    <w:link w:val="1002"/>
    <w:qFormat/>
    <w:pPr>
      <w:numPr>
        <w:ilvl w:val="3"/>
        <w:numId w:val="1"/>
      </w:numPr>
      <w:ind w:left="0" w:hanging="840"/>
      <w:tabs>
        <w:tab w:val="left" w:pos="360" w:leader="none"/>
        <w:tab w:val="left" w:pos="840" w:leader="none"/>
      </w:tabs>
      <w:outlineLvl w:val="3"/>
    </w:pPr>
  </w:style>
  <w:style w:type="paragraph" w:styleId="1176">
    <w:name w:val="表格文字"/>
    <w:basedOn w:val="1037"/>
    <w:next w:val="1176"/>
    <w:link w:val="1002"/>
    <w:qFormat/>
    <w:pPr>
      <w:ind w:firstLine="0"/>
      <w:spacing w:before="20" w:after="20" w:line="240" w:lineRule="auto"/>
    </w:pPr>
    <w:rPr>
      <w:rFonts w:ascii="Century Gothic" w:hAnsi="Century Gothic"/>
      <w:sz w:val="20"/>
      <w:szCs w:val="20"/>
    </w:rPr>
  </w:style>
  <w:style w:type="paragraph" w:styleId="1177">
    <w:name w:val="xl46"/>
    <w:basedOn w:val="1002"/>
    <w:next w:val="1177"/>
    <w:link w:val="10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name w:val="列出段落2"/>
    <w:basedOn w:val="1002"/>
    <w:next w:val="1178"/>
    <w:link w:val="1002"/>
    <w:qFormat/>
    <w:pPr>
      <w:ind w:firstLine="420"/>
    </w:pPr>
    <w:rPr>
      <w:rFonts w:ascii="Calibri" w:hAnsi="Calibri"/>
      <w:szCs w:val="22"/>
    </w:rPr>
  </w:style>
  <w:style w:type="paragraph" w:styleId="1179">
    <w:name w:val="xl50"/>
    <w:basedOn w:val="1002"/>
    <w:next w:val="117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xl36"/>
    <w:basedOn w:val="1002"/>
    <w:next w:val="1180"/>
    <w:link w:val="10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Char Char1 Char Char Char Char Char Char"/>
    <w:basedOn w:val="1002"/>
    <w:next w:val="1181"/>
    <w:link w:val="1002"/>
    <w:qFormat/>
    <w:pPr>
      <w:jc w:val="left"/>
      <w:spacing w:after="160" w:line="240" w:lineRule="exact"/>
      <w:widowControl/>
    </w:pPr>
    <w:rPr>
      <w:rFonts w:ascii="Verdana" w:hAnsi="Verdana" w:eastAsia="仿宋_GB2312"/>
      <w:sz w:val="24"/>
      <w:szCs w:val="20"/>
      <w:lang w:eastAsia="en-US"/>
    </w:rPr>
  </w:style>
  <w:style w:type="paragraph" w:styleId="1182">
    <w:name w:val="xl23"/>
    <w:basedOn w:val="1002"/>
    <w:next w:val="1182"/>
    <w:link w:val="1002"/>
    <w:qFormat/>
    <w:pPr>
      <w:spacing w:before="100" w:beforeAutospacing="1" w:after="100" w:afterAutospacing="1" w:line="360" w:lineRule="auto"/>
      <w:widowControl/>
    </w:pPr>
    <w:rPr>
      <w:sz w:val="24"/>
      <w:szCs w:val="20"/>
    </w:rPr>
  </w:style>
  <w:style w:type="paragraph" w:styleId="1183">
    <w:name w:val="Char Char Char Char Char Char Char Char Char Char"/>
    <w:basedOn w:val="1002"/>
    <w:next w:val="1183"/>
    <w:link w:val="1002"/>
    <w:qFormat/>
  </w:style>
  <w:style w:type="paragraph" w:styleId="1184">
    <w:name w:val="正文列项_数字"/>
    <w:basedOn w:val="1002"/>
    <w:next w:val="1184"/>
    <w:link w:val="1002"/>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name w:val="xl43"/>
    <w:basedOn w:val="1002"/>
    <w:next w:val="1185"/>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font8"/>
    <w:basedOn w:val="1002"/>
    <w:next w:val="1186"/>
    <w:link w:val="1002"/>
    <w:qFormat/>
    <w:pPr>
      <w:jc w:val="left"/>
      <w:spacing w:before="100" w:beforeAutospacing="1" w:after="100" w:afterAutospacing="1"/>
      <w:widowControl/>
    </w:pPr>
    <w:rPr>
      <w:sz w:val="36"/>
      <w:szCs w:val="36"/>
    </w:rPr>
  </w:style>
  <w:style w:type="paragraph" w:styleId="1187">
    <w:name w:val="xl49"/>
    <w:basedOn w:val="1002"/>
    <w:next w:val="118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8">
    <w:name w:val="正文文本样式 加粗"/>
    <w:basedOn w:val="1167"/>
    <w:next w:val="1188"/>
    <w:link w:val="1002"/>
    <w:qFormat/>
    <w:rPr>
      <w:b/>
    </w:rPr>
  </w:style>
  <w:style w:type="paragraph" w:styleId="1189">
    <w:name w:val="字元 字元2"/>
    <w:basedOn w:val="1002"/>
    <w:next w:val="1189"/>
    <w:link w:val="1002"/>
    <w:qFormat/>
    <w:rPr>
      <w:rFonts w:ascii="Tahoma" w:hAnsi="Tahoma"/>
      <w:sz w:val="24"/>
      <w:szCs w:val="20"/>
    </w:rPr>
  </w:style>
  <w:style w:type="paragraph" w:styleId="1190">
    <w:name w:val="正文须知-1级"/>
    <w:basedOn w:val="1002"/>
    <w:next w:val="1002"/>
    <w:link w:val="1002"/>
    <w:qFormat/>
    <w:pPr>
      <w:numPr>
        <w:ilvl w:val="0"/>
        <w:numId w:val="4"/>
      </w:numPr>
      <w:spacing w:line="300" w:lineRule="auto"/>
    </w:pPr>
    <w:rPr>
      <w:rFonts w:ascii="宋体" w:hAnsi="Calibri"/>
      <w:sz w:val="24"/>
      <w:szCs w:val="21"/>
    </w:rPr>
  </w:style>
  <w:style w:type="paragraph" w:styleId="1191">
    <w:name w:val="正文文本缩进2"/>
    <w:basedOn w:val="1002"/>
    <w:next w:val="1191"/>
    <w:link w:val="1002"/>
    <w:qFormat/>
    <w:pPr>
      <w:ind w:firstLine="480"/>
      <w:spacing w:line="480" w:lineRule="exact"/>
    </w:pPr>
    <w:rPr>
      <w:rFonts w:ascii="宋体" w:hAnsi="宋体"/>
      <w:sz w:val="24"/>
      <w:lang w:val="zh-CN" w:eastAsia="zh-CN"/>
    </w:rPr>
  </w:style>
  <w:style w:type="paragraph" w:styleId="1192">
    <w:name w:val="xl26"/>
    <w:basedOn w:val="1002"/>
    <w:next w:val="119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name w:val="Char Char Char Char Char Char Char"/>
    <w:basedOn w:val="1002"/>
    <w:next w:val="1193"/>
    <w:link w:val="1002"/>
    <w:qFormat/>
    <w:pPr>
      <w:ind w:firstLine="200"/>
      <w:spacing w:line="360" w:lineRule="auto"/>
    </w:pPr>
    <w:rPr>
      <w:rFonts w:eastAsia="仿宋_GB2312"/>
      <w:sz w:val="24"/>
    </w:rPr>
  </w:style>
  <w:style w:type="paragraph" w:styleId="1194">
    <w:name w:val="xl32"/>
    <w:basedOn w:val="1002"/>
    <w:next w:val="1194"/>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Char Char Char Char Char Char Char Char Char Char Char Char Char Char Char Char1"/>
    <w:basedOn w:val="1002"/>
    <w:next w:val="1195"/>
    <w:link w:val="1002"/>
    <w:qFormat/>
    <w:pPr>
      <w:jc w:val="center"/>
      <w:spacing w:after="160" w:line="240" w:lineRule="exact"/>
      <w:widowControl/>
    </w:pPr>
    <w:rPr>
      <w:rFonts w:ascii="宋体" w:hAnsi="宋体"/>
      <w:b/>
      <w:sz w:val="30"/>
      <w:szCs w:val="30"/>
      <w:lang w:eastAsia="en-US"/>
    </w:rPr>
  </w:style>
  <w:style w:type="paragraph" w:styleId="1196">
    <w:name w:val="正文 + 楷体_GB2312"/>
    <w:basedOn w:val="1002"/>
    <w:next w:val="1196"/>
    <w:link w:val="1002"/>
    <w:qFormat/>
    <w:pPr>
      <w:jc w:val="left"/>
      <w:widowControl/>
    </w:pPr>
    <w:rPr>
      <w:rFonts w:ascii="楷体_GB2312" w:eastAsia="楷体_GB2312" w:cs="Arial"/>
      <w:sz w:val="24"/>
    </w:rPr>
  </w:style>
  <w:style w:type="paragraph" w:styleId="1197">
    <w:name w:val="Char2"/>
    <w:basedOn w:val="1002"/>
    <w:next w:val="1197"/>
    <w:link w:val="1002"/>
    <w:qFormat/>
    <w:rPr>
      <w:rFonts w:ascii="Tahoma" w:hAnsi="Tahoma"/>
      <w:sz w:val="24"/>
      <w:szCs w:val="20"/>
    </w:rPr>
  </w:style>
  <w:style w:type="paragraph" w:styleId="1198">
    <w:name w:val="background1"/>
    <w:basedOn w:val="1002"/>
    <w:next w:val="1198"/>
    <w:link w:val="1002"/>
    <w:qFormat/>
    <w:pPr>
      <w:jc w:val="left"/>
      <w:spacing w:before="100" w:beforeAutospacing="1" w:after="100" w:afterAutospacing="1"/>
      <w:widowControl/>
    </w:pPr>
    <w:rPr>
      <w:rFonts w:ascii="宋体" w:hAnsi="宋体" w:cs="宋体"/>
      <w:sz w:val="24"/>
    </w:rPr>
  </w:style>
  <w:style w:type="paragraph" w:styleId="1199">
    <w:name w:val="xl29"/>
    <w:basedOn w:val="1002"/>
    <w:next w:val="119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0">
    <w:name w:val="xl30"/>
    <w:basedOn w:val="1002"/>
    <w:next w:val="1200"/>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37"/>
    <w:basedOn w:val="1002"/>
    <w:next w:val="1201"/>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项目符号1"/>
    <w:basedOn w:val="1167"/>
    <w:next w:val="1202"/>
    <w:link w:val="1002"/>
    <w:qFormat/>
    <w:pPr>
      <w:ind w:left="-25" w:firstLine="0"/>
    </w:pPr>
  </w:style>
  <w:style w:type="paragraph" w:styleId="1203">
    <w:name w:val="样式2"/>
    <w:basedOn w:val="1067"/>
    <w:next w:val="1203"/>
    <w:link w:val="1002"/>
    <w:qFormat/>
    <w:pPr>
      <w:jc w:val="center"/>
      <w:spacing w:line="360" w:lineRule="auto"/>
    </w:pPr>
    <w:rPr>
      <w:sz w:val="24"/>
    </w:rPr>
  </w:style>
  <w:style w:type="paragraph" w:styleId="1204">
    <w:name w:val="正文须知-2级"/>
    <w:basedOn w:val="1002"/>
    <w:next w:val="1204"/>
    <w:link w:val="1002"/>
    <w:qFormat/>
    <w:pPr>
      <w:numPr>
        <w:ilvl w:val="1"/>
        <w:numId w:val="4"/>
      </w:numPr>
      <w:spacing w:line="300" w:lineRule="auto"/>
    </w:pPr>
    <w:rPr>
      <w:rFonts w:ascii="宋体" w:hAnsi="Calibri"/>
      <w:sz w:val="24"/>
      <w:szCs w:val="21"/>
    </w:rPr>
  </w:style>
  <w:style w:type="paragraph" w:styleId="1205">
    <w:name w:val="xl42"/>
    <w:basedOn w:val="1002"/>
    <w:next w:val="120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6">
    <w:name w:val="缺省文本"/>
    <w:basedOn w:val="1002"/>
    <w:next w:val="1206"/>
    <w:link w:val="1002"/>
    <w:qFormat/>
    <w:pPr>
      <w:jc w:val="left"/>
    </w:pPr>
    <w:rPr>
      <w:sz w:val="24"/>
    </w:rPr>
  </w:style>
  <w:style w:type="paragraph" w:styleId="1207">
    <w:name w:val="表格1"/>
    <w:basedOn w:val="1002"/>
    <w:next w:val="1207"/>
    <w:link w:val="1002"/>
    <w:qFormat/>
    <w:pPr>
      <w:ind w:firstLine="480"/>
      <w:jc w:val="center"/>
    </w:pPr>
    <w:rPr>
      <w:sz w:val="24"/>
      <w:szCs w:val="20"/>
    </w:rPr>
  </w:style>
  <w:style w:type="paragraph" w:styleId="1208">
    <w:name w:val="xl47"/>
    <w:basedOn w:val="1002"/>
    <w:next w:val="1208"/>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项目编号3"/>
    <w:basedOn w:val="1167"/>
    <w:next w:val="1209"/>
    <w:link w:val="1002"/>
    <w:qFormat/>
    <w:pPr>
      <w:numPr>
        <w:ilvl w:val="0"/>
        <w:numId w:val="5"/>
      </w:numPr>
    </w:pPr>
  </w:style>
  <w:style w:type="paragraph" w:styleId="1210">
    <w:name w:val="xl31"/>
    <w:basedOn w:val="1002"/>
    <w:next w:val="1210"/>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标题1-附件"/>
    <w:basedOn w:val="1003"/>
    <w:next w:val="1211"/>
    <w:link w:val="1002"/>
    <w:qFormat/>
    <w:pPr>
      <w:jc w:val="left"/>
    </w:pPr>
    <w:rPr>
      <w:sz w:val="24"/>
      <w:szCs w:val="24"/>
    </w:rPr>
  </w:style>
  <w:style w:type="paragraph" w:styleId="1212">
    <w:name w:val="Revision"/>
    <w:next w:val="1212"/>
    <w:link w:val="1002"/>
    <w:qFormat/>
    <w:rPr>
      <w:sz w:val="21"/>
      <w:szCs w:val="24"/>
      <w:lang w:val="en-US" w:eastAsia="zh-CN" w:bidi="ar-SA"/>
    </w:rPr>
  </w:style>
  <w:style w:type="paragraph" w:styleId="1213">
    <w:name w:val="Char Char1 Char Char Char Char Char Char Char Char"/>
    <w:basedOn w:val="1002"/>
    <w:next w:val="1213"/>
    <w:link w:val="1002"/>
    <w:qFormat/>
    <w:pPr>
      <w:jc w:val="left"/>
      <w:spacing w:after="160" w:line="240" w:lineRule="exact"/>
      <w:widowControl/>
    </w:pPr>
    <w:rPr>
      <w:rFonts w:ascii="Verdana" w:hAnsi="Verdana"/>
      <w:sz w:val="20"/>
      <w:szCs w:val="20"/>
      <w:lang w:eastAsia="en-US"/>
    </w:rPr>
  </w:style>
  <w:style w:type="paragraph" w:styleId="1214">
    <w:name w:val="Char Char Char1 Char2"/>
    <w:basedOn w:val="1002"/>
    <w:next w:val="1214"/>
    <w:link w:val="1002"/>
    <w:qFormat/>
    <w:rPr>
      <w:rFonts w:ascii="Tahoma" w:hAnsi="Tahoma"/>
      <w:sz w:val="24"/>
      <w:szCs w:val="20"/>
    </w:rPr>
  </w:style>
  <w:style w:type="paragraph" w:styleId="1215">
    <w:name w:val="22222222222222"/>
    <w:basedOn w:val="1002"/>
    <w:next w:val="1215"/>
    <w:link w:val="1002"/>
    <w:qFormat/>
    <w:pPr>
      <w:ind w:firstLine="480"/>
      <w:jc w:val="left"/>
      <w:spacing w:line="360" w:lineRule="auto"/>
      <w:widowControl/>
    </w:pPr>
    <w:rPr>
      <w:color w:val="ff0000"/>
      <w:sz w:val="24"/>
      <w:szCs w:val="20"/>
    </w:rPr>
  </w:style>
  <w:style w:type="paragraph" w:styleId="1216">
    <w:name w:val="Char Char Char1 Char"/>
    <w:basedOn w:val="1002"/>
    <w:next w:val="1216"/>
    <w:link w:val="1002"/>
    <w:qFormat/>
    <w:rPr>
      <w:rFonts w:ascii="Tahoma" w:hAnsi="Tahoma"/>
      <w:sz w:val="24"/>
      <w:szCs w:val="20"/>
    </w:rPr>
  </w:style>
  <w:style w:type="paragraph" w:styleId="1217">
    <w:name w:val="font6"/>
    <w:basedOn w:val="1002"/>
    <w:next w:val="1217"/>
    <w:link w:val="1002"/>
    <w:qFormat/>
    <w:pPr>
      <w:jc w:val="left"/>
      <w:spacing w:before="100" w:beforeAutospacing="1" w:after="100" w:afterAutospacing="1"/>
      <w:widowControl/>
    </w:pPr>
    <w:rPr>
      <w:rFonts w:ascii="宋体" w:hAnsi="宋体" w:cs="宋体"/>
      <w:sz w:val="20"/>
      <w:szCs w:val="20"/>
    </w:rPr>
  </w:style>
  <w:style w:type="paragraph" w:styleId="1218">
    <w:name w:val="无间隔"/>
    <w:next w:val="1218"/>
    <w:link w:val="1002"/>
    <w:qFormat/>
    <w:pPr>
      <w:jc w:val="both"/>
      <w:widowControl w:val="off"/>
    </w:pPr>
    <w:rPr>
      <w:sz w:val="21"/>
      <w:szCs w:val="24"/>
      <w:lang w:val="en-US" w:eastAsia="zh-CN" w:bidi="ar-SA"/>
    </w:rPr>
  </w:style>
  <w:style w:type="paragraph" w:styleId="1219">
    <w:name w:val="样式 标题 2 + 宋体 五号 行距: 单倍行距"/>
    <w:basedOn w:val="1004"/>
    <w:next w:val="1219"/>
    <w:link w:val="100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0">
    <w:name w:val="Char3 Char Char Char"/>
    <w:basedOn w:val="1002"/>
    <w:next w:val="1220"/>
    <w:link w:val="1002"/>
    <w:qFormat/>
    <w:rPr>
      <w:rFonts w:ascii="Tahoma" w:hAnsi="Tahoma"/>
      <w:sz w:val="24"/>
      <w:szCs w:val="20"/>
    </w:rPr>
  </w:style>
  <w:style w:type="paragraph" w:styleId="1221">
    <w:name w:val="正文列项_字母"/>
    <w:basedOn w:val="1002"/>
    <w:next w:val="1221"/>
    <w:link w:val="1002"/>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name w:val="xl35"/>
    <w:basedOn w:val="1002"/>
    <w:next w:val="1222"/>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name w:val="xl33"/>
    <w:basedOn w:val="1002"/>
    <w:next w:val="1223"/>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Char Char Char1"/>
    <w:basedOn w:val="1002"/>
    <w:next w:val="1224"/>
    <w:link w:val="1002"/>
    <w:qFormat/>
    <w:rPr>
      <w:rFonts w:ascii="Tahoma" w:hAnsi="Tahoma"/>
      <w:sz w:val="24"/>
      <w:szCs w:val="20"/>
    </w:rPr>
  </w:style>
  <w:style w:type="paragraph" w:styleId="1225">
    <w:name w:val="xl48"/>
    <w:basedOn w:val="1002"/>
    <w:next w:val="122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6">
    <w:name w:val="Char Char Char Char Char Char Char2"/>
    <w:basedOn w:val="1002"/>
    <w:next w:val="1226"/>
    <w:link w:val="1002"/>
    <w:qFormat/>
    <w:pPr>
      <w:ind w:firstLine="200"/>
      <w:spacing w:line="360" w:lineRule="auto"/>
    </w:pPr>
    <w:rPr>
      <w:rFonts w:eastAsia="仿宋_GB2312"/>
      <w:sz w:val="24"/>
    </w:rPr>
  </w:style>
  <w:style w:type="paragraph" w:styleId="1227">
    <w:name w:val="xl44"/>
    <w:basedOn w:val="1002"/>
    <w:next w:val="1227"/>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Char3"/>
    <w:basedOn w:val="1002"/>
    <w:next w:val="1228"/>
    <w:link w:val="1002"/>
    <w:qFormat/>
    <w:pPr>
      <w:tabs>
        <w:tab w:val="left" w:pos="360" w:leader="none"/>
      </w:tabs>
    </w:pPr>
    <w:rPr>
      <w:sz w:val="24"/>
    </w:rPr>
  </w:style>
  <w:style w:type="paragraph" w:styleId="1229">
    <w:name w:val="Char Char Char Char Char Char Char Char Char Char2"/>
    <w:basedOn w:val="1002"/>
    <w:next w:val="1229"/>
    <w:link w:val="1002"/>
    <w:qFormat/>
    <w:rPr>
      <w:rFonts w:ascii="宋体" w:hAnsi="宋体" w:cs="Courier New"/>
      <w:sz w:val="32"/>
      <w:szCs w:val="32"/>
    </w:rPr>
  </w:style>
  <w:style w:type="paragraph" w:styleId="1230">
    <w:name w:val="xl27"/>
    <w:basedOn w:val="1002"/>
    <w:next w:val="1230"/>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样式 宋体 五号 行距: 单倍行距"/>
    <w:basedOn w:val="1002"/>
    <w:next w:val="1231"/>
    <w:link w:val="1002"/>
    <w:qFormat/>
    <w:pPr>
      <w:jc w:val="left"/>
    </w:pPr>
    <w:rPr>
      <w:rFonts w:ascii="宋体" w:hAnsi="宋体"/>
      <w:szCs w:val="20"/>
    </w:rPr>
  </w:style>
  <w:style w:type="paragraph" w:styleId="1232">
    <w:name w:val="Char Char Char"/>
    <w:basedOn w:val="1002"/>
    <w:next w:val="1232"/>
    <w:link w:val="1002"/>
    <w:qFormat/>
    <w:rPr>
      <w:rFonts w:ascii="Tahoma" w:hAnsi="Tahoma"/>
      <w:sz w:val="24"/>
      <w:szCs w:val="20"/>
    </w:rPr>
  </w:style>
  <w:style w:type="paragraph" w:styleId="1233">
    <w:name w:val="Char21"/>
    <w:basedOn w:val="1002"/>
    <w:next w:val="1233"/>
    <w:link w:val="1002"/>
    <w:qFormat/>
    <w:rPr>
      <w:rFonts w:ascii="Tahoma" w:hAnsi="Tahoma"/>
      <w:sz w:val="24"/>
      <w:szCs w:val="20"/>
    </w:rPr>
  </w:style>
  <w:style w:type="paragraph" w:styleId="1234">
    <w:name w:val="Char Char4"/>
    <w:basedOn w:val="1002"/>
    <w:next w:val="1234"/>
    <w:link w:val="1002"/>
    <w:qFormat/>
    <w:pPr>
      <w:jc w:val="center"/>
      <w:spacing w:line="400" w:lineRule="exact"/>
      <w:widowControl/>
    </w:pPr>
  </w:style>
  <w:style w:type="paragraph" w:styleId="1235">
    <w:name w:val="font9"/>
    <w:basedOn w:val="1002"/>
    <w:next w:val="1235"/>
    <w:link w:val="1002"/>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xl40"/>
    <w:basedOn w:val="1002"/>
    <w:next w:val="1236"/>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正文缩进2"/>
    <w:basedOn w:val="1002"/>
    <w:next w:val="1237"/>
    <w:link w:val="1002"/>
    <w:qFormat/>
    <w:pPr>
      <w:ind w:firstLine="567"/>
      <w:spacing w:line="480" w:lineRule="exact"/>
      <w:widowControl/>
    </w:pPr>
    <w:rPr>
      <w:rFonts w:ascii="宋体"/>
      <w:color w:val="000000"/>
      <w:sz w:val="28"/>
      <w:szCs w:val="20"/>
      <w:lang w:val="zh-CN" w:eastAsia="zh-CN"/>
    </w:rPr>
  </w:style>
  <w:style w:type="paragraph" w:styleId="1238">
    <w:name w:val="_Style 160"/>
    <w:next w:val="1238"/>
    <w:link w:val="1002"/>
    <w:qFormat/>
    <w:rPr>
      <w:sz w:val="21"/>
      <w:szCs w:val="24"/>
      <w:lang w:val="en-US" w:eastAsia="zh-CN" w:bidi="ar-SA"/>
    </w:rPr>
  </w:style>
  <w:style w:type="paragraph" w:styleId="1239">
    <w:name w:val="修订"/>
    <w:next w:val="1239"/>
    <w:link w:val="1002"/>
    <w:uiPriority w:val="99"/>
    <w:unhideWhenUsed/>
    <w:rPr>
      <w:sz w:val="21"/>
      <w:szCs w:val="24"/>
      <w:lang w:val="en-US" w:eastAsia="zh-CN" w:bidi="ar-SA"/>
    </w:rPr>
  </w:style>
  <w:style w:type="paragraph" w:styleId="1240">
    <w:name w:val="Char2 Char Char Char Char Char Char"/>
    <w:basedOn w:val="1002"/>
    <w:next w:val="1240"/>
    <w:link w:val="1002"/>
    <w:qFormat/>
    <w:pPr>
      <w:jc w:val="center"/>
      <w:spacing w:line="400" w:lineRule="exact"/>
      <w:widowControl/>
    </w:pPr>
  </w:style>
  <w:style w:type="paragraph" w:styleId="1241">
    <w:name w:val="文档正文"/>
    <w:basedOn w:val="1002"/>
    <w:next w:val="1241"/>
    <w:link w:val="1002"/>
    <w:qFormat/>
    <w:pPr>
      <w:spacing w:before="120" w:after="120" w:line="180" w:lineRule="auto"/>
    </w:pPr>
    <w:rPr>
      <w:rFonts w:ascii="Arial" w:hAnsi="Arial"/>
      <w:szCs w:val="20"/>
    </w:rPr>
  </w:style>
  <w:style w:type="paragraph" w:styleId="1242">
    <w:name w:val="xl52"/>
    <w:basedOn w:val="1002"/>
    <w:next w:val="1242"/>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Char Char Char Char Char Char Char1"/>
    <w:basedOn w:val="1002"/>
    <w:next w:val="1243"/>
    <w:link w:val="1002"/>
    <w:qFormat/>
    <w:pPr>
      <w:ind w:firstLine="200"/>
      <w:spacing w:line="360" w:lineRule="auto"/>
    </w:pPr>
    <w:rPr>
      <w:rFonts w:eastAsia="仿宋_GB2312"/>
      <w:sz w:val="24"/>
    </w:rPr>
  </w:style>
  <w:style w:type="paragraph" w:styleId="1244">
    <w:name w:val="xl53"/>
    <w:basedOn w:val="1002"/>
    <w:next w:val="1244"/>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列出段落1"/>
    <w:basedOn w:val="1002"/>
    <w:next w:val="1245"/>
    <w:link w:val="1002"/>
    <w:qFormat/>
    <w:pPr>
      <w:ind w:firstLine="420"/>
    </w:pPr>
    <w:rPr>
      <w:rFonts w:ascii="Calibri" w:hAnsi="Calibri"/>
      <w:szCs w:val="22"/>
    </w:rPr>
  </w:style>
  <w:style w:type="paragraph" w:styleId="1246">
    <w:name w:val="xl51"/>
    <w:basedOn w:val="1002"/>
    <w:next w:val="1246"/>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38"/>
    <w:basedOn w:val="1002"/>
    <w:next w:val="124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8">
    <w:name w:val="Char2 Char Char Char Char Char Char1"/>
    <w:basedOn w:val="1002"/>
    <w:next w:val="1248"/>
    <w:link w:val="1002"/>
    <w:qFormat/>
    <w:pPr>
      <w:jc w:val="center"/>
      <w:spacing w:line="400" w:lineRule="exact"/>
      <w:widowControl/>
    </w:pPr>
  </w:style>
  <w:style w:type="paragraph" w:styleId="1249">
    <w:name w:val="default"/>
    <w:basedOn w:val="1002"/>
    <w:next w:val="1249"/>
    <w:link w:val="1002"/>
    <w:qFormat/>
    <w:pPr>
      <w:jc w:val="left"/>
      <w:spacing w:before="100" w:beforeAutospacing="1" w:after="100" w:afterAutospacing="1"/>
      <w:widowControl/>
    </w:pPr>
    <w:rPr>
      <w:rFonts w:ascii="宋体" w:hAnsi="宋体" w:cs="宋体"/>
      <w:sz w:val="24"/>
    </w:rPr>
  </w:style>
  <w:style w:type="paragraph" w:styleId="1250">
    <w:name w:val="Char Char Char1 Char1"/>
    <w:basedOn w:val="1002"/>
    <w:next w:val="1250"/>
    <w:link w:val="1002"/>
    <w:qFormat/>
    <w:rPr>
      <w:rFonts w:ascii="Tahoma" w:hAnsi="Tahoma"/>
      <w:sz w:val="24"/>
      <w:szCs w:val="20"/>
    </w:rPr>
  </w:style>
  <w:style w:type="paragraph" w:styleId="1251">
    <w:name w:val="字元 字元1"/>
    <w:basedOn w:val="1002"/>
    <w:next w:val="1251"/>
    <w:link w:val="1002"/>
    <w:qFormat/>
    <w:rPr>
      <w:rFonts w:ascii="Tahoma" w:hAnsi="Tahoma"/>
      <w:sz w:val="24"/>
      <w:szCs w:val="20"/>
    </w:rPr>
  </w:style>
  <w:style w:type="paragraph" w:styleId="1252">
    <w:name w:val="无标题条"/>
    <w:next w:val="1002"/>
    <w:link w:val="1002"/>
    <w:qFormat/>
    <w:pPr>
      <w:jc w:val="both"/>
    </w:pPr>
    <w:rPr>
      <w:sz w:val="21"/>
      <w:lang w:val="en-US" w:eastAsia="zh-CN" w:bidi="ar-SA"/>
    </w:rPr>
  </w:style>
  <w:style w:type="paragraph" w:styleId="1253">
    <w:name w:val="Char"/>
    <w:basedOn w:val="1002"/>
    <w:next w:val="1253"/>
    <w:link w:val="1002"/>
    <w:qFormat/>
    <w:pPr>
      <w:tabs>
        <w:tab w:val="left" w:pos="360" w:leader="none"/>
      </w:tabs>
    </w:pPr>
    <w:rPr>
      <w:sz w:val="24"/>
    </w:rPr>
  </w:style>
  <w:style w:type="paragraph" w:styleId="1254">
    <w:name w:val="项目编号2"/>
    <w:basedOn w:val="1166"/>
    <w:next w:val="1254"/>
    <w:link w:val="1002"/>
    <w:qFormat/>
    <w:pPr>
      <w:numPr>
        <w:numId w:val="7"/>
      </w:numPr>
    </w:pPr>
  </w:style>
  <w:style w:type="paragraph" w:styleId="1255">
    <w:name w:val="正文须知-3级"/>
    <w:basedOn w:val="1002"/>
    <w:next w:val="1255"/>
    <w:link w:val="1002"/>
    <w:qFormat/>
    <w:pPr>
      <w:numPr>
        <w:ilvl w:val="2"/>
        <w:numId w:val="4"/>
      </w:numPr>
      <w:ind w:hanging="355"/>
      <w:spacing w:line="300" w:lineRule="auto"/>
    </w:pPr>
    <w:rPr>
      <w:rFonts w:ascii="宋体" w:hAnsi="Calibri"/>
      <w:sz w:val="24"/>
      <w:szCs w:val="21"/>
    </w:rPr>
  </w:style>
  <w:style w:type="paragraph" w:styleId="1256">
    <w:name w:val="图例"/>
    <w:basedOn w:val="1002"/>
    <w:next w:val="1256"/>
    <w:link w:val="1002"/>
    <w:qFormat/>
    <w:pPr>
      <w:jc w:val="center"/>
      <w:spacing w:before="120" w:after="120" w:line="360" w:lineRule="auto"/>
    </w:pPr>
    <w:rPr>
      <w:rFonts w:eastAsia="仿宋_GB2312"/>
      <w:b/>
      <w:sz w:val="24"/>
      <w:szCs w:val="20"/>
    </w:rPr>
  </w:style>
  <w:style w:type="paragraph" w:styleId="1257">
    <w:name w:val="1 Char Char Char Char"/>
    <w:basedOn w:val="1002"/>
    <w:next w:val="1257"/>
    <w:link w:val="1002"/>
    <w:qFormat/>
    <w:rPr>
      <w:rFonts w:ascii="Tahoma" w:hAnsi="Tahoma"/>
      <w:sz w:val="24"/>
      <w:szCs w:val="20"/>
    </w:rPr>
  </w:style>
  <w:style w:type="paragraph" w:styleId="1258">
    <w:name w:val="List Paragraph1"/>
    <w:basedOn w:val="1002"/>
    <w:next w:val="1258"/>
    <w:link w:val="1002"/>
    <w:qFormat/>
    <w:pPr>
      <w:ind w:firstLine="420"/>
    </w:pPr>
    <w:rPr>
      <w:rFonts w:ascii="Calibri" w:hAnsi="Calibri"/>
      <w:szCs w:val="22"/>
    </w:rPr>
  </w:style>
  <w:style w:type="paragraph" w:styleId="1259">
    <w:name w:val="xl34"/>
    <w:basedOn w:val="1002"/>
    <w:next w:val="125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0">
    <w:name w:val="Char1 Char Char Char1"/>
    <w:basedOn w:val="1002"/>
    <w:next w:val="1260"/>
    <w:link w:val="1002"/>
    <w:qFormat/>
    <w:rPr>
      <w:rFonts w:ascii="Tahoma" w:hAnsi="Tahoma" w:cs="仿宋_GB2312"/>
      <w:sz w:val="24"/>
      <w:szCs w:val="28"/>
    </w:rPr>
  </w:style>
  <w:style w:type="paragraph" w:styleId="1261">
    <w:name w:val="Char22"/>
    <w:basedOn w:val="1002"/>
    <w:next w:val="1261"/>
    <w:link w:val="1002"/>
    <w:qFormat/>
    <w:rPr>
      <w:rFonts w:ascii="Tahoma" w:hAnsi="Tahoma"/>
      <w:sz w:val="24"/>
      <w:szCs w:val="20"/>
    </w:rPr>
  </w:style>
  <w:style w:type="paragraph" w:styleId="1262">
    <w:name w:val="Char Char Char2"/>
    <w:basedOn w:val="1002"/>
    <w:next w:val="1262"/>
    <w:link w:val="1002"/>
    <w:qFormat/>
    <w:rPr>
      <w:rFonts w:ascii="Tahoma" w:hAnsi="Tahoma"/>
      <w:sz w:val="24"/>
      <w:szCs w:val="20"/>
    </w:rPr>
  </w:style>
  <w:style w:type="paragraph" w:styleId="1263">
    <w:name w:val="Char1"/>
    <w:basedOn w:val="1002"/>
    <w:next w:val="1263"/>
    <w:link w:val="1002"/>
    <w:qFormat/>
    <w:pPr>
      <w:tabs>
        <w:tab w:val="left" w:pos="360" w:leader="none"/>
      </w:tabs>
    </w:pPr>
    <w:rPr>
      <w:sz w:val="24"/>
    </w:rPr>
  </w:style>
  <w:style w:type="table" w:styleId="1264">
    <w:name w:val="Table Normal"/>
    <w:next w:val="1264"/>
    <w:link w:val="1002"/>
    <w:uiPriority w:val="2"/>
    <w:unhideWhenUsed/>
    <w:qFormat/>
    <w:pPr>
      <w:widowControl w:val="off"/>
    </w:pPr>
    <w:rPr>
      <w:rFonts w:ascii="Calibri" w:hAnsi="Calibri"/>
      <w:sz w:val="22"/>
      <w:szCs w:val="22"/>
      <w:lang w:val="en-US" w:eastAsia="en-US" w:bidi="ar-SA"/>
    </w:rPr>
    <w:tblPr/>
  </w:style>
  <w:style w:type="paragraph" w:styleId="1265">
    <w:name w:val="二级目录"/>
    <w:next w:val="1002"/>
    <w:link w:val="1002"/>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6">
    <w:name w:val="b titlename wangputoptitle"/>
    <w:next w:val="1266"/>
    <w:link w:val="1002"/>
  </w:style>
  <w:style w:type="paragraph" w:styleId="1267">
    <w:name w:val="Table Text"/>
    <w:basedOn w:val="1002"/>
    <w:next w:val="1267"/>
    <w:link w:val="1002"/>
    <w:semiHidden/>
    <w:qFormat/>
    <w:rPr>
      <w:rFonts w:ascii="仿宋" w:hAnsi="仿宋" w:eastAsia="仿宋" w:cs="仿宋"/>
      <w:sz w:val="31"/>
      <w:szCs w:val="31"/>
      <w:lang w:val="en-US" w:eastAsia="en-US" w:bidi="ar-SA"/>
    </w:rPr>
  </w:style>
  <w:style w:type="paragraph" w:styleId="1268">
    <w:name w:val="表格"/>
    <w:basedOn w:val="1002"/>
    <w:next w:val="1268"/>
    <w:link w:val="1002"/>
    <w:qFormat/>
    <w:pPr>
      <w:jc w:val="left"/>
      <w:widowControl/>
    </w:pPr>
    <w:rPr>
      <w:rFonts w:hint="eastAsia" w:ascii="宋体" w:hAnsi="宋体"/>
      <w:b/>
      <w:bCs/>
      <w:color w:val="000000"/>
      <w:szCs w:val="21"/>
    </w:rPr>
  </w:style>
  <w:style w:type="character" w:styleId="1269">
    <w:name w:val="font11"/>
    <w:next w:val="1269"/>
    <w:link w:val="1002"/>
    <w:rPr>
      <w:rFonts w:hint="eastAsia" w:ascii="宋体" w:hAnsi="宋体" w:eastAsia="宋体" w:cs="宋体"/>
      <w:i w:val="0"/>
      <w:iCs w:val="0"/>
      <w:color w:val="000000"/>
      <w:sz w:val="20"/>
      <w:szCs w:val="20"/>
      <w:u w:val="none"/>
    </w:rPr>
  </w:style>
  <w:style w:type="character" w:styleId="1270">
    <w:name w:val="font21"/>
    <w:next w:val="1270"/>
    <w:link w:val="1002"/>
    <w:rPr>
      <w:rFonts w:hint="eastAsia" w:ascii="宋体" w:hAnsi="宋体" w:eastAsia="宋体" w:cs="宋体"/>
      <w:b/>
      <w:bCs/>
      <w:i w:val="0"/>
      <w:iCs w:val="0"/>
      <w:color w:val="000000"/>
      <w:sz w:val="20"/>
      <w:szCs w:val="20"/>
      <w:u w:val="none"/>
    </w:rPr>
  </w:style>
  <w:style w:type="character" w:styleId="1271">
    <w:name w:val="font41"/>
    <w:next w:val="1271"/>
    <w:link w:val="1002"/>
    <w:rPr>
      <w:rFonts w:hint="eastAsia" w:ascii="宋体" w:hAnsi="宋体" w:eastAsia="宋体" w:cs="宋体"/>
      <w:i w:val="0"/>
      <w:iCs w:val="0"/>
      <w:color w:val="ff0000"/>
      <w:sz w:val="20"/>
      <w:szCs w:val="20"/>
      <w:u w:val="none"/>
    </w:rPr>
  </w:style>
  <w:style w:type="paragraph" w:styleId="1272">
    <w:name w:val="样式"/>
    <w:next w:val="1272"/>
    <w:link w:val="1002"/>
    <w:qFormat/>
    <w:pPr>
      <w:widowControl w:val="off"/>
    </w:pPr>
    <w:rPr>
      <w:rFonts w:ascii="Calibri" w:hAnsi="Calibri"/>
      <w:sz w:val="24"/>
      <w:szCs w:val="24"/>
      <w:lang w:val="en-US" w:eastAsia="zh-CN" w:bidi="ar-SA"/>
    </w:rPr>
  </w:style>
  <w:style w:type="paragraph" w:styleId="1273">
    <w:name w:val="参数正文"/>
    <w:basedOn w:val="1002"/>
    <w:next w:val="1273"/>
    <w:link w:val="1002"/>
    <w:qFormat/>
    <w:pPr>
      <w:jc w:val="center"/>
      <w:spacing w:line="300" w:lineRule="auto"/>
    </w:pPr>
    <w:rPr>
      <w:rFonts w:ascii="宋体" w:hAnsi="宋体"/>
      <w:sz w:val="24"/>
    </w:rPr>
  </w:style>
  <w:style w:type="paragraph" w:styleId="1274">
    <w:name w:val="4级标题"/>
    <w:basedOn w:val="1275"/>
    <w:next w:val="1274"/>
    <w:link w:val="1002"/>
    <w:qFormat/>
    <w:pPr>
      <w:numPr>
        <w:ilvl w:val="3"/>
      </w:numPr>
      <w:spacing w:before="0" w:after="0"/>
      <w:outlineLvl w:val="3"/>
    </w:pPr>
  </w:style>
  <w:style w:type="paragraph" w:styleId="1275">
    <w:name w:val="3级标题"/>
    <w:basedOn w:val="1276"/>
    <w:next w:val="1275"/>
    <w:link w:val="1002"/>
    <w:qFormat/>
    <w:pPr>
      <w:numPr>
        <w:ilvl w:val="2"/>
      </w:numPr>
      <w:spacing w:before="156" w:after="156"/>
      <w:outlineLvl w:val="2"/>
    </w:pPr>
    <w:rPr>
      <w:sz w:val="24"/>
    </w:rPr>
  </w:style>
  <w:style w:type="paragraph" w:styleId="1276">
    <w:name w:val="2级标题"/>
    <w:basedOn w:val="1277"/>
    <w:next w:val="1276"/>
    <w:link w:val="1002"/>
    <w:qFormat/>
    <w:pPr>
      <w:numPr>
        <w:ilvl w:val="1"/>
      </w:numPr>
      <w:spacing w:before="50" w:after="50"/>
      <w:outlineLvl w:val="1"/>
    </w:pPr>
    <w:rPr>
      <w:sz w:val="28"/>
    </w:rPr>
  </w:style>
  <w:style w:type="paragraph" w:styleId="1277">
    <w:name w:val="1级标题"/>
    <w:basedOn w:val="1092"/>
    <w:next w:val="1277"/>
    <w:link w:val="1002"/>
    <w:qFormat/>
    <w:pPr>
      <w:numPr>
        <w:ilvl w:val="0"/>
        <w:numId w:val="9"/>
      </w:numPr>
      <w:ind w:left="0" w:firstLine="0"/>
      <w:jc w:val="left"/>
      <w:spacing w:before="100" w:after="100" w:line="300" w:lineRule="auto"/>
      <w:outlineLvl w:val="0"/>
    </w:pPr>
    <w:rPr>
      <w:rFonts w:ascii="Times New Roman" w:hAnsi="Times New Roman"/>
      <w:b/>
      <w:sz w:val="30"/>
      <w:szCs w:val="21"/>
    </w:rPr>
  </w:style>
  <w:style w:type="paragraph" w:styleId="1278">
    <w:name w:val="首行缩进"/>
    <w:basedOn w:val="1002"/>
    <w:next w:val="1278"/>
    <w:link w:val="1002"/>
    <w:qFormat/>
    <w:pPr>
      <w:ind w:firstLine="480"/>
    </w:pPr>
    <w:rPr>
      <w:rFonts w:ascii="Calibri" w:hAnsi="Calibri"/>
      <w:szCs w:val="20"/>
      <w:lang w:val="zh-CN"/>
    </w:rPr>
  </w:style>
  <w:style w:type="paragraph" w:styleId="1279">
    <w:name w:val="纯文本1"/>
    <w:basedOn w:val="1002"/>
    <w:next w:val="1279"/>
    <w:link w:val="1002"/>
    <w:qFormat/>
    <w:rPr>
      <w:rFonts w:ascii="宋体" w:hAnsi="Courier New" w:cs="Courier New"/>
    </w:rPr>
  </w:style>
  <w:style w:type="character" w:styleId="1280" w:default="1">
    <w:name w:val="Default Paragraph Font"/>
    <w:uiPriority w:val="1"/>
    <w:semiHidden/>
    <w:unhideWhenUsed/>
  </w:style>
  <w:style w:type="numbering" w:styleId="1281" w:default="1">
    <w:name w:val="No List"/>
    <w:uiPriority w:val="99"/>
    <w:semiHidden/>
    <w:unhideWhenUsed/>
  </w:style>
  <w:style w:type="table" w:styleId="12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孙阳</cp:lastModifiedBy>
  <cp:revision>5</cp:revision>
  <dcterms:created xsi:type="dcterms:W3CDTF">2024-06-25T06:26:00Z</dcterms:created>
  <dcterms:modified xsi:type="dcterms:W3CDTF">2026-09-23T02:09:52Z</dcterms:modified>
</cp:coreProperties>
</file>