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16360D">
      <w:pPr>
        <w:pStyle w:val="39"/>
        <w:ind w:firstLine="0"/>
        <w:jc w:val="center"/>
        <w:rPr>
          <w:rFonts w:hint="eastAsia" w:ascii="方正小标宋简体" w:eastAsia="方正小标宋简体"/>
          <w:bCs/>
          <w:color w:val="auto"/>
          <w:sz w:val="52"/>
          <w:szCs w:val="52"/>
          <w:highlight w:val="none"/>
        </w:rPr>
      </w:pPr>
    </w:p>
    <w:p w14:paraId="20DE470C">
      <w:pPr>
        <w:pStyle w:val="39"/>
        <w:ind w:firstLine="0"/>
        <w:jc w:val="center"/>
        <w:rPr>
          <w:rFonts w:hint="eastAsia" w:ascii="方正小标宋简体" w:eastAsia="方正小标宋简体"/>
          <w:bCs/>
          <w:color w:val="auto"/>
          <w:sz w:val="52"/>
          <w:szCs w:val="52"/>
          <w:highlight w:val="none"/>
        </w:rPr>
      </w:pPr>
    </w:p>
    <w:p w14:paraId="1288E282">
      <w:pPr>
        <w:pStyle w:val="39"/>
        <w:ind w:firstLine="0"/>
        <w:jc w:val="center"/>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如皋市政府采购竞争性谈判文件</w:t>
      </w:r>
    </w:p>
    <w:p w14:paraId="6656E510">
      <w:pPr>
        <w:pStyle w:val="39"/>
        <w:ind w:firstLine="0"/>
        <w:jc w:val="center"/>
        <w:rPr>
          <w:rFonts w:ascii="方正小标宋简体" w:eastAsia="方正小标宋简体"/>
          <w:bCs/>
          <w:color w:val="auto"/>
          <w:sz w:val="44"/>
          <w:szCs w:val="44"/>
          <w:highlight w:val="none"/>
        </w:rPr>
      </w:pPr>
    </w:p>
    <w:p w14:paraId="3A50A561">
      <w:pPr>
        <w:pStyle w:val="39"/>
        <w:jc w:val="center"/>
        <w:rPr>
          <w:b/>
          <w:bCs/>
          <w:color w:val="auto"/>
          <w:sz w:val="32"/>
          <w:highlight w:val="none"/>
        </w:rPr>
      </w:pPr>
    </w:p>
    <w:p w14:paraId="463B8D42">
      <w:pPr>
        <w:pStyle w:val="39"/>
        <w:jc w:val="center"/>
        <w:rPr>
          <w:rFonts w:hint="default" w:eastAsia="宋体"/>
          <w:b/>
          <w:bCs/>
          <w:color w:val="auto"/>
          <w:sz w:val="32"/>
          <w:highlight w:val="none"/>
          <w:u w:val="single"/>
          <w:lang w:val="en-US" w:eastAsia="zh-CN"/>
        </w:rPr>
      </w:pPr>
      <w:r>
        <w:rPr>
          <w:b/>
          <w:bCs/>
          <w:color w:val="auto"/>
          <w:sz w:val="32"/>
          <w:highlight w:val="none"/>
        </w:rPr>
        <w:t>项目名称：</w:t>
      </w:r>
      <w:r>
        <w:rPr>
          <w:rFonts w:hint="eastAsia"/>
          <w:b/>
          <w:bCs/>
          <w:color w:val="auto"/>
          <w:sz w:val="32"/>
          <w:highlight w:val="none"/>
          <w:u w:val="single"/>
          <w:lang w:val="en-US" w:eastAsia="zh-CN"/>
        </w:rPr>
        <w:t xml:space="preserve">东陈镇尚书工业园区污水管网建设工程 </w:t>
      </w:r>
    </w:p>
    <w:p w14:paraId="1E1FBAF2">
      <w:pPr>
        <w:pStyle w:val="39"/>
        <w:jc w:val="center"/>
        <w:rPr>
          <w:rFonts w:hint="eastAsia" w:eastAsia="宋体"/>
          <w:b/>
          <w:bCs/>
          <w:color w:val="auto"/>
          <w:sz w:val="32"/>
          <w:highlight w:val="none"/>
          <w:u w:val="single"/>
          <w:lang w:val="en-US" w:eastAsia="zh-CN"/>
        </w:rPr>
      </w:pPr>
      <w:r>
        <w:rPr>
          <w:rFonts w:hint="eastAsia"/>
          <w:b/>
          <w:bCs/>
          <w:color w:val="auto"/>
          <w:sz w:val="32"/>
          <w:highlight w:val="none"/>
        </w:rPr>
        <w:t>项目编号：</w:t>
      </w:r>
      <w:r>
        <w:rPr>
          <w:rFonts w:hint="eastAsia"/>
          <w:b/>
          <w:bCs/>
          <w:color w:val="auto"/>
          <w:sz w:val="32"/>
          <w:highlight w:val="none"/>
          <w:u w:val="single"/>
          <w:lang w:val="en-US" w:eastAsia="zh-CN"/>
        </w:rPr>
        <w:t>JSZC-320682-NTZJ-T2026-0022</w:t>
      </w:r>
    </w:p>
    <w:p w14:paraId="061A3377">
      <w:pPr>
        <w:pStyle w:val="39"/>
        <w:ind w:firstLine="0"/>
        <w:jc w:val="center"/>
        <w:rPr>
          <w:b/>
          <w:bCs/>
          <w:color w:val="auto"/>
          <w:sz w:val="32"/>
          <w:highlight w:val="none"/>
        </w:rPr>
      </w:pPr>
    </w:p>
    <w:p w14:paraId="458B15AA">
      <w:pPr>
        <w:pStyle w:val="39"/>
        <w:ind w:firstLine="0"/>
        <w:jc w:val="center"/>
        <w:rPr>
          <w:b/>
          <w:bCs/>
          <w:color w:val="auto"/>
          <w:sz w:val="32"/>
          <w:highlight w:val="none"/>
        </w:rPr>
      </w:pPr>
    </w:p>
    <w:p w14:paraId="73DF74F5">
      <w:pPr>
        <w:pStyle w:val="39"/>
        <w:ind w:firstLine="0"/>
        <w:jc w:val="center"/>
        <w:rPr>
          <w:b/>
          <w:bCs/>
          <w:color w:val="auto"/>
          <w:sz w:val="32"/>
          <w:highlight w:val="none"/>
        </w:rPr>
      </w:pPr>
    </w:p>
    <w:p w14:paraId="3A6BE29C">
      <w:pPr>
        <w:pStyle w:val="39"/>
        <w:ind w:firstLine="0"/>
        <w:jc w:val="center"/>
        <w:rPr>
          <w:b/>
          <w:bCs/>
          <w:color w:val="auto"/>
          <w:sz w:val="32"/>
          <w:highlight w:val="none"/>
        </w:rPr>
      </w:pPr>
    </w:p>
    <w:p w14:paraId="651EA93C">
      <w:pPr>
        <w:pStyle w:val="39"/>
        <w:ind w:firstLine="0"/>
        <w:jc w:val="center"/>
        <w:rPr>
          <w:b/>
          <w:bCs/>
          <w:color w:val="auto"/>
          <w:sz w:val="32"/>
          <w:highlight w:val="none"/>
        </w:rPr>
      </w:pPr>
    </w:p>
    <w:p w14:paraId="4BA1490D">
      <w:pPr>
        <w:pStyle w:val="39"/>
        <w:ind w:left="0" w:leftChars="0" w:firstLine="964" w:firstLineChars="300"/>
        <w:jc w:val="both"/>
        <w:rPr>
          <w:rFonts w:hint="default" w:eastAsia="宋体"/>
          <w:b/>
          <w:bCs/>
          <w:color w:val="auto"/>
          <w:sz w:val="32"/>
          <w:highlight w:val="none"/>
          <w:u w:val="single"/>
          <w:lang w:val="en-US" w:eastAsia="zh-CN"/>
        </w:rPr>
      </w:pPr>
      <w:r>
        <w:rPr>
          <w:rFonts w:hint="eastAsia"/>
          <w:b/>
          <w:bCs/>
          <w:color w:val="auto"/>
          <w:sz w:val="32"/>
          <w:highlight w:val="none"/>
        </w:rPr>
        <w:t>采购人名称：</w:t>
      </w:r>
      <w:r>
        <w:rPr>
          <w:rFonts w:hint="eastAsia"/>
          <w:b/>
          <w:bCs/>
          <w:color w:val="auto"/>
          <w:sz w:val="32"/>
          <w:highlight w:val="none"/>
          <w:u w:val="single"/>
          <w:lang w:val="en-US" w:eastAsia="zh-CN"/>
        </w:rPr>
        <w:t xml:space="preserve">如皋市东陈镇人民政府 </w:t>
      </w:r>
    </w:p>
    <w:p w14:paraId="34100FAB">
      <w:pPr>
        <w:pStyle w:val="39"/>
        <w:ind w:left="0" w:leftChars="0" w:firstLine="0" w:firstLineChars="0"/>
        <w:jc w:val="center"/>
        <w:rPr>
          <w:rFonts w:hint="default" w:eastAsia="宋体"/>
          <w:b/>
          <w:bCs/>
          <w:color w:val="auto"/>
          <w:sz w:val="32"/>
          <w:highlight w:val="none"/>
          <w:u w:val="single"/>
          <w:lang w:val="en-US" w:eastAsia="zh-CN"/>
        </w:rPr>
      </w:pPr>
      <w:r>
        <w:rPr>
          <w:rFonts w:hint="eastAsia"/>
          <w:b/>
          <w:bCs/>
          <w:color w:val="auto"/>
          <w:sz w:val="32"/>
          <w:highlight w:val="none"/>
        </w:rPr>
        <w:t>采购代理机构名称：</w:t>
      </w:r>
      <w:r>
        <w:rPr>
          <w:rFonts w:hint="eastAsia"/>
          <w:b/>
          <w:bCs/>
          <w:color w:val="auto"/>
          <w:sz w:val="32"/>
          <w:highlight w:val="none"/>
          <w:u w:val="single"/>
          <w:lang w:val="en-US" w:eastAsia="zh-CN"/>
        </w:rPr>
        <w:t xml:space="preserve">南通中江工程项目管理有限公司 </w:t>
      </w:r>
    </w:p>
    <w:p w14:paraId="067286CD">
      <w:pPr>
        <w:pStyle w:val="39"/>
        <w:ind w:firstLine="0"/>
        <w:jc w:val="center"/>
        <w:rPr>
          <w:rFonts w:hint="eastAsia"/>
          <w:b/>
          <w:bCs/>
          <w:color w:val="auto"/>
          <w:sz w:val="32"/>
          <w:highlight w:val="none"/>
        </w:rPr>
      </w:pPr>
      <w:r>
        <w:rPr>
          <w:rFonts w:hint="eastAsia"/>
          <w:b/>
          <w:bCs/>
          <w:color w:val="auto"/>
          <w:sz w:val="32"/>
          <w:highlight w:val="none"/>
          <w:lang w:val="en-US" w:eastAsia="zh-CN"/>
        </w:rPr>
        <w:t>2026</w:t>
      </w:r>
      <w:r>
        <w:rPr>
          <w:rFonts w:hint="eastAsia"/>
          <w:b/>
          <w:bCs/>
          <w:color w:val="auto"/>
          <w:sz w:val="32"/>
          <w:highlight w:val="none"/>
        </w:rPr>
        <w:t>年</w:t>
      </w:r>
      <w:r>
        <w:rPr>
          <w:rFonts w:hint="eastAsia"/>
          <w:b/>
          <w:bCs/>
          <w:color w:val="auto"/>
          <w:sz w:val="32"/>
          <w:highlight w:val="none"/>
          <w:lang w:val="en-US" w:eastAsia="zh-CN"/>
        </w:rPr>
        <w:t>10</w:t>
      </w:r>
      <w:r>
        <w:rPr>
          <w:rFonts w:hint="eastAsia"/>
          <w:b/>
          <w:bCs/>
          <w:color w:val="auto"/>
          <w:sz w:val="32"/>
          <w:highlight w:val="none"/>
        </w:rPr>
        <w:t>月</w:t>
      </w:r>
      <w:r>
        <w:rPr>
          <w:rFonts w:hint="eastAsia"/>
          <w:b/>
          <w:bCs/>
          <w:color w:val="auto"/>
          <w:sz w:val="32"/>
          <w:highlight w:val="none"/>
          <w:lang w:val="en-US" w:eastAsia="zh-CN"/>
        </w:rPr>
        <w:t>23</w:t>
      </w:r>
      <w:r>
        <w:rPr>
          <w:rFonts w:hint="eastAsia"/>
          <w:b/>
          <w:bCs/>
          <w:color w:val="auto"/>
          <w:sz w:val="32"/>
          <w:highlight w:val="none"/>
        </w:rPr>
        <w:t>日</w:t>
      </w:r>
    </w:p>
    <w:p w14:paraId="55202451">
      <w:pPr>
        <w:rPr>
          <w:rFonts w:hint="eastAsia"/>
          <w:b/>
          <w:bCs/>
          <w:color w:val="auto"/>
          <w:sz w:val="32"/>
          <w:highlight w:val="none"/>
        </w:rPr>
      </w:pPr>
      <w:r>
        <w:rPr>
          <w:rFonts w:hint="eastAsia"/>
          <w:b/>
          <w:bCs/>
          <w:color w:val="auto"/>
          <w:sz w:val="32"/>
          <w:highlight w:val="none"/>
        </w:rPr>
        <w:br w:type="page"/>
      </w:r>
    </w:p>
    <w:sdt>
      <w:sdtPr>
        <w:rPr>
          <w:rFonts w:ascii="宋体" w:hAnsi="宋体" w:eastAsia="宋体" w:cs="Times New Roman"/>
          <w:color w:val="auto"/>
          <w:kern w:val="2"/>
          <w:sz w:val="24"/>
          <w:szCs w:val="32"/>
          <w:highlight w:val="none"/>
          <w:lang w:val="en-US" w:eastAsia="zh-CN" w:bidi="ar-SA"/>
        </w:rPr>
        <w:id w:val="147459263"/>
        <w15:color w:val="DBDBDB"/>
        <w:docPartObj>
          <w:docPartGallery w:val="Table of Contents"/>
          <w:docPartUnique/>
        </w:docPartObj>
      </w:sdtPr>
      <w:sdtEndPr>
        <w:rPr>
          <w:rFonts w:hint="eastAsia" w:ascii="黑体" w:hAnsi="黑体" w:eastAsia="黑体" w:cs="黑体"/>
          <w:color w:val="auto"/>
          <w:kern w:val="2"/>
          <w:sz w:val="24"/>
          <w:szCs w:val="24"/>
          <w:highlight w:val="none"/>
          <w:lang w:val="en-US" w:eastAsia="zh-CN" w:bidi="ar-SA"/>
        </w:rPr>
      </w:sdtEndPr>
      <w:sdtContent>
        <w:p w14:paraId="53454DBD">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目录</w:t>
          </w:r>
        </w:p>
        <w:p w14:paraId="4D8D7062">
          <w:pPr>
            <w:pStyle w:val="15"/>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TOC \o "1-2" \h \u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_Toc28947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第1章 竞争性谈判公告</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_Toc28947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5AF445EF">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_Toc28315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一、项目基本情况</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_Toc28315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05B18DB3">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_Toc29888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二、响应人的资格要求：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_Toc29888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3C43CD97">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_Toc13382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三、获取竞争性谈判文件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_Toc13382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208C0CFB">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_Toc21824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四、竞争性谈判响应文件提交和开启</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_Toc21824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1A67413A">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_Toc4959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五、公告期限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_Toc4959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76E2B4DB">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_Toc30415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六、其他补充事宜</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_Toc30415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70B8828C">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_Toc12358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七、凡对本次采购提出询问，请按以下方式联系。</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_Toc12358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44C1E75A">
          <w:pPr>
            <w:pStyle w:val="15"/>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_Toc24828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第2章 谈判须知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_Toc24828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496F8C58">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_Toc24125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 参加谈判费用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_Toc24125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08C6DC34">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_Toc1090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 谈判文件的约束力</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010BCE46">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_Toc5383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3.响应文件编制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_Toc5383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74B6A582">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_Toc1452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4.响应文件提交、撤回和修改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_Toc1452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3B210A00">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_Toc2194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 谈判</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_Toc2194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49652525">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_Toc2128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6.成交和合同</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_Toc2128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9</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26D1DAF4">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_Toc6900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7.政府采购政策功能落实</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_Toc6900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10</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51BB7FD5">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_Toc27618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8.无效响应和谈判活动终止</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_Toc27618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4D843E41">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_Toc25403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9. 询问、质疑和投诉</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_Toc25403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570CB84C">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_Toc28854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10. 政府采购合同信用融资扶持政策</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_Toc28854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20</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1459881F">
          <w:pPr>
            <w:pStyle w:val="15"/>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_Toc6118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第3章 采购需求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_Toc6118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0E5ABD71">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_Toc29919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一、项目简介</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_Toc29919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2094C5BE">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_Toc25092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二、采购内容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_Toc25092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181DB76B">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_Toc23384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三、技术要求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_Toc23384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54D23D1B">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_Toc1598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四、质量标准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_Toc1598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26AB54BB">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_Toc30038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五、</w:t>
          </w:r>
          <w:r>
            <w:rPr>
              <w:rFonts w:hint="eastAsia" w:ascii="黑体" w:hAnsi="黑体" w:eastAsia="黑体" w:cs="黑体"/>
              <w:color w:val="auto"/>
              <w:sz w:val="24"/>
              <w:szCs w:val="24"/>
              <w:highlight w:val="none"/>
              <w:lang w:val="en-US" w:eastAsia="zh-CN"/>
            </w:rPr>
            <w:t>工期</w:t>
          </w:r>
          <w:r>
            <w:rPr>
              <w:rFonts w:hint="eastAsia" w:ascii="黑体" w:hAnsi="黑体" w:eastAsia="黑体" w:cs="黑体"/>
              <w:color w:val="auto"/>
              <w:sz w:val="24"/>
              <w:szCs w:val="24"/>
              <w:highlight w:val="none"/>
            </w:rPr>
            <w:t>和地点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_Toc30038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2B150931">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_Toc31587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六、验收方案</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_Toc31587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799D97B2">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_Toc18220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七、</w:t>
          </w:r>
          <w:r>
            <w:rPr>
              <w:rFonts w:hint="eastAsia" w:ascii="黑体" w:hAnsi="黑体" w:eastAsia="黑体" w:cs="黑体"/>
              <w:color w:val="auto"/>
              <w:sz w:val="24"/>
              <w:szCs w:val="24"/>
              <w:highlight w:val="none"/>
              <w:lang w:val="en-US" w:eastAsia="zh-CN"/>
            </w:rPr>
            <w:t>缺陷责任期</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_Toc18220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13159ED8">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_Toc562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八、 付款方式</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_Toc562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01B79219">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_Toc3443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lang w:val="en-US" w:eastAsia="zh-CN"/>
            </w:rPr>
            <w:t>九</w:t>
          </w:r>
          <w:r>
            <w:rPr>
              <w:rFonts w:hint="eastAsia" w:ascii="黑体" w:hAnsi="黑体" w:eastAsia="黑体" w:cs="黑体"/>
              <w:color w:val="auto"/>
              <w:sz w:val="24"/>
              <w:szCs w:val="24"/>
              <w:highlight w:val="none"/>
            </w:rPr>
            <w:t>、</w:t>
          </w:r>
          <w:r>
            <w:rPr>
              <w:rFonts w:hint="eastAsia" w:ascii="黑体" w:hAnsi="黑体" w:eastAsia="黑体" w:cs="黑体"/>
              <w:color w:val="auto"/>
              <w:sz w:val="24"/>
              <w:szCs w:val="24"/>
              <w:highlight w:val="none"/>
              <w:lang w:eastAsia="zh-CN"/>
            </w:rPr>
            <w:t>谈判</w:t>
          </w:r>
          <w:r>
            <w:rPr>
              <w:rFonts w:hint="eastAsia" w:ascii="黑体" w:hAnsi="黑体" w:eastAsia="黑体" w:cs="黑体"/>
              <w:color w:val="auto"/>
              <w:sz w:val="24"/>
              <w:szCs w:val="24"/>
              <w:highlight w:val="none"/>
            </w:rPr>
            <w:t>过程中可能会实质性变动的内容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_Toc3443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685F3DAF">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_Toc12391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lang w:val="en-US" w:eastAsia="zh-CN"/>
            </w:rPr>
            <w:t>十</w:t>
          </w:r>
          <w:r>
            <w:rPr>
              <w:rFonts w:hint="eastAsia" w:ascii="黑体" w:hAnsi="黑体" w:eastAsia="黑体" w:cs="黑体"/>
              <w:color w:val="auto"/>
              <w:sz w:val="24"/>
              <w:szCs w:val="24"/>
              <w:highlight w:val="none"/>
            </w:rPr>
            <w:t>、安全文明施工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_Toc12391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20E481E6">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_Toc19540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lang w:val="en-US" w:eastAsia="zh-CN"/>
            </w:rPr>
            <w:t>十一</w:t>
          </w:r>
          <w:r>
            <w:rPr>
              <w:rFonts w:hint="eastAsia" w:ascii="黑体" w:hAnsi="黑体" w:eastAsia="黑体" w:cs="黑体"/>
              <w:color w:val="auto"/>
              <w:sz w:val="24"/>
              <w:szCs w:val="24"/>
              <w:highlight w:val="none"/>
            </w:rPr>
            <w:t>、结算方式及报价要求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_Toc19540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62C10510">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_Toc12644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lang w:val="en-US" w:eastAsia="zh-CN"/>
            </w:rPr>
            <w:t>十二</w:t>
          </w:r>
          <w:r>
            <w:rPr>
              <w:rFonts w:hint="eastAsia" w:ascii="黑体" w:hAnsi="黑体" w:eastAsia="黑体" w:cs="黑体"/>
              <w:color w:val="auto"/>
              <w:sz w:val="24"/>
              <w:szCs w:val="24"/>
              <w:highlight w:val="none"/>
            </w:rPr>
            <w:t>、其他要求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_Toc12644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28</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61DA915B">
          <w:pPr>
            <w:pStyle w:val="15"/>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_Toc16924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第4章 合同文本</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_Toc16924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29</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733C6DA5">
          <w:pPr>
            <w:pStyle w:val="15"/>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_Toc20715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第5章 竞争性谈判响应文件组成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_Toc20715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54127D9F">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_Toc8074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一、资格证明文件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_Toc8074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37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6ADD2692">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_Toc18617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二、商务技术</w:t>
          </w:r>
          <w:r>
            <w:rPr>
              <w:rFonts w:hint="eastAsia" w:ascii="黑体" w:hAnsi="黑体" w:eastAsia="黑体" w:cs="黑体"/>
              <w:bCs/>
              <w:color w:val="auto"/>
              <w:sz w:val="24"/>
              <w:szCs w:val="24"/>
              <w:highlight w:val="none"/>
            </w:rPr>
            <w:t>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_Toc18617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46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5E134303">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_Toc20495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三、</w:t>
          </w:r>
          <w:r>
            <w:rPr>
              <w:rFonts w:hint="eastAsia" w:ascii="黑体" w:hAnsi="黑体" w:eastAsia="黑体" w:cs="黑体"/>
              <w:bCs/>
              <w:color w:val="auto"/>
              <w:sz w:val="24"/>
              <w:szCs w:val="24"/>
              <w:highlight w:val="none"/>
            </w:rPr>
            <w:t>报价文件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_Toc20495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18CC6B1C">
          <w:pPr>
            <w:pStyle w:val="15"/>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_Toc25793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第</w:t>
          </w:r>
          <w:r>
            <w:rPr>
              <w:rFonts w:hint="eastAsia" w:ascii="黑体" w:hAnsi="黑体" w:eastAsia="黑体" w:cs="黑体"/>
              <w:bCs/>
              <w:color w:val="auto"/>
              <w:sz w:val="24"/>
              <w:szCs w:val="24"/>
              <w:highlight w:val="none"/>
              <w:lang w:val="en-US" w:eastAsia="zh-CN"/>
            </w:rPr>
            <w:t>6</w:t>
          </w:r>
          <w:r>
            <w:rPr>
              <w:rFonts w:hint="eastAsia" w:ascii="黑体" w:hAnsi="黑体" w:eastAsia="黑体" w:cs="黑体"/>
              <w:bCs/>
              <w:color w:val="auto"/>
              <w:sz w:val="24"/>
              <w:szCs w:val="24"/>
              <w:highlight w:val="none"/>
            </w:rPr>
            <w:t xml:space="preserve">章 </w:t>
          </w:r>
          <w:r>
            <w:rPr>
              <w:rFonts w:hint="eastAsia" w:ascii="黑体" w:hAnsi="黑体" w:eastAsia="黑体" w:cs="黑体"/>
              <w:bCs/>
              <w:color w:val="auto"/>
              <w:sz w:val="24"/>
              <w:szCs w:val="24"/>
              <w:highlight w:val="none"/>
              <w:lang w:val="en-US" w:eastAsia="zh-CN"/>
            </w:rPr>
            <w:t>附件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_Toc25793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560350F8">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_Toc9320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kern w:val="0"/>
              <w:sz w:val="24"/>
              <w:szCs w:val="24"/>
              <w:highlight w:val="none"/>
              <w:lang w:val="en-US" w:eastAsia="zh-CN" w:bidi="ar-SA"/>
            </w:rPr>
            <w:t>附件1：清单编制说明</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_Toc9320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3C40F23B">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_Toc19628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kern w:val="0"/>
              <w:sz w:val="24"/>
              <w:szCs w:val="24"/>
              <w:highlight w:val="none"/>
              <w:lang w:val="en-US" w:eastAsia="zh-CN" w:bidi="ar-SA"/>
            </w:rPr>
            <w:t>附件2：图纸</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_Toc19628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3B740024">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_Toc15593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kern w:val="0"/>
              <w:sz w:val="24"/>
              <w:szCs w:val="24"/>
              <w:highlight w:val="none"/>
              <w:lang w:val="en-US" w:eastAsia="zh-CN" w:bidi="ar-SA"/>
            </w:rPr>
            <w:t>附件3：工程量清单</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_Toc15593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6D037C9E">
          <w:pPr>
            <w:pStyle w:val="18"/>
            <w:keepNext w:val="0"/>
            <w:keepLines w:val="0"/>
            <w:pageBreakBefore w:val="0"/>
            <w:widowControl w:val="0"/>
            <w:tabs>
              <w:tab w:val="right" w:leader="dot" w:pos="9354"/>
            </w:tabs>
            <w:kinsoku/>
            <w:wordWrap/>
            <w:overflowPunct/>
            <w:topLinePunct w:val="0"/>
            <w:autoSpaceDE/>
            <w:autoSpaceDN/>
            <w:bidi w:val="0"/>
            <w:adjustRightInd/>
            <w:snapToGrid/>
            <w:spacing w:line="500" w:lineRule="exact"/>
            <w:textAlignment w:val="auto"/>
            <w:rPr>
              <w:color w:val="auto"/>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_Toc5385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kern w:val="0"/>
              <w:sz w:val="24"/>
              <w:szCs w:val="24"/>
              <w:highlight w:val="none"/>
              <w:lang w:val="en-US" w:eastAsia="zh-CN" w:bidi="ar-SA"/>
            </w:rPr>
            <w:t>附件4：现场踏勘确认函</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_Toc5385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55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p>
        <w:p w14:paraId="158EAD4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黑体" w:hAnsi="黑体" w:eastAsia="黑体" w:cs="黑体"/>
              <w:color w:val="auto"/>
              <w:sz w:val="24"/>
              <w:szCs w:val="24"/>
              <w:highlight w:val="none"/>
            </w:rPr>
          </w:pPr>
          <w:r>
            <w:rPr>
              <w:rFonts w:hint="eastAsia" w:ascii="黑体" w:hAnsi="黑体" w:eastAsia="黑体" w:cs="黑体"/>
              <w:color w:val="auto"/>
              <w:szCs w:val="24"/>
              <w:highlight w:val="none"/>
            </w:rPr>
            <w:fldChar w:fldCharType="end"/>
          </w:r>
        </w:p>
      </w:sdtContent>
    </w:sdt>
    <w:p w14:paraId="55175985">
      <w:pPr>
        <w:rPr>
          <w:color w:val="auto"/>
          <w:highlight w:val="none"/>
        </w:rPr>
      </w:pPr>
    </w:p>
    <w:p w14:paraId="42C9F5AA">
      <w:pPr>
        <w:pStyle w:val="39"/>
        <w:ind w:firstLine="0"/>
        <w:jc w:val="center"/>
        <w:rPr>
          <w:rFonts w:hint="eastAsia" w:ascii="方正小标宋简体" w:eastAsia="方正小标宋简体"/>
          <w:bCs/>
          <w:color w:val="auto"/>
          <w:sz w:val="32"/>
          <w:szCs w:val="32"/>
          <w:highlight w:val="none"/>
        </w:rPr>
        <w:sectPr>
          <w:headerReference r:id="rId3" w:type="default"/>
          <w:footerReference r:id="rId4" w:type="even"/>
          <w:pgSz w:w="11906" w:h="16838"/>
          <w:pgMar w:top="1418" w:right="1134" w:bottom="1134" w:left="1418" w:header="851" w:footer="992" w:gutter="0"/>
          <w:cols w:space="720" w:num="1"/>
          <w:docGrid w:type="lines" w:linePitch="312" w:charSpace="0"/>
        </w:sectPr>
      </w:pPr>
      <w:bookmarkStart w:id="153" w:name="_GoBack"/>
      <w:bookmarkEnd w:id="153"/>
    </w:p>
    <w:p w14:paraId="35A8EA18">
      <w:pPr>
        <w:pStyle w:val="39"/>
        <w:ind w:firstLine="0"/>
        <w:jc w:val="center"/>
        <w:outlineLvl w:val="0"/>
        <w:rPr>
          <w:rFonts w:ascii="方正小标宋简体" w:eastAsia="方正小标宋简体"/>
          <w:bCs/>
          <w:color w:val="auto"/>
          <w:sz w:val="32"/>
          <w:szCs w:val="32"/>
          <w:highlight w:val="none"/>
        </w:rPr>
      </w:pPr>
      <w:bookmarkStart w:id="0" w:name="_Toc28947"/>
      <w:r>
        <w:rPr>
          <w:rFonts w:hint="eastAsia" w:ascii="方正小标宋简体" w:eastAsia="方正小标宋简体"/>
          <w:bCs/>
          <w:color w:val="auto"/>
          <w:sz w:val="32"/>
          <w:szCs w:val="32"/>
          <w:highlight w:val="none"/>
        </w:rPr>
        <w:t>第1章 竞争性谈判公告</w:t>
      </w:r>
      <w:bookmarkEnd w:id="0"/>
    </w:p>
    <w:p w14:paraId="585F5575">
      <w:pPr>
        <w:pStyle w:val="10"/>
        <w:spacing w:after="0" w:line="500" w:lineRule="exact"/>
        <w:ind w:firstLine="560" w:firstLineChars="200"/>
        <w:outlineLvl w:val="1"/>
        <w:rPr>
          <w:rFonts w:ascii="黑体" w:hAnsi="黑体" w:eastAsia="黑体"/>
          <w:color w:val="auto"/>
          <w:sz w:val="28"/>
          <w:szCs w:val="28"/>
          <w:highlight w:val="none"/>
        </w:rPr>
      </w:pPr>
      <w:bookmarkStart w:id="1" w:name="_Toc35393798"/>
      <w:bookmarkStart w:id="2" w:name="_Toc28315"/>
      <w:bookmarkStart w:id="3" w:name="_Toc35393629"/>
      <w:bookmarkStart w:id="4" w:name="_Toc28359012"/>
      <w:bookmarkStart w:id="5" w:name="_Toc28359089"/>
      <w:bookmarkStart w:id="6" w:name="OLE_LINK2"/>
      <w:r>
        <w:rPr>
          <w:rFonts w:hint="eastAsia" w:ascii="黑体" w:hAnsi="黑体" w:eastAsia="黑体"/>
          <w:color w:val="auto"/>
          <w:sz w:val="28"/>
          <w:szCs w:val="28"/>
          <w:highlight w:val="none"/>
        </w:rPr>
        <w:t>一、项目基本情况</w:t>
      </w:r>
      <w:bookmarkEnd w:id="1"/>
      <w:bookmarkEnd w:id="2"/>
      <w:bookmarkEnd w:id="3"/>
      <w:bookmarkEnd w:id="4"/>
      <w:bookmarkEnd w:id="5"/>
    </w:p>
    <w:p w14:paraId="09487247">
      <w:pPr>
        <w:spacing w:line="500" w:lineRule="exact"/>
        <w:ind w:firstLine="560" w:firstLineChars="20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1.项目名称：</w:t>
      </w:r>
      <w:r>
        <w:rPr>
          <w:rFonts w:hint="eastAsia" w:ascii="仿宋" w:hAnsi="仿宋" w:eastAsia="仿宋"/>
          <w:color w:val="auto"/>
          <w:sz w:val="28"/>
          <w:szCs w:val="28"/>
          <w:highlight w:val="none"/>
          <w:lang w:val="en-US" w:eastAsia="zh-CN"/>
        </w:rPr>
        <w:t>东陈镇尚书工业园区污水管网建设工程</w:t>
      </w:r>
    </w:p>
    <w:p w14:paraId="76E0F14A">
      <w:pPr>
        <w:spacing w:line="500" w:lineRule="exact"/>
        <w:ind w:firstLine="560" w:firstLineChars="20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2.计划编号：</w:t>
      </w:r>
      <w:r>
        <w:rPr>
          <w:rFonts w:hint="eastAsia" w:ascii="仿宋" w:hAnsi="仿宋" w:eastAsia="仿宋"/>
          <w:color w:val="auto"/>
          <w:sz w:val="28"/>
          <w:szCs w:val="28"/>
          <w:highlight w:val="none"/>
          <w:lang w:val="en-US" w:eastAsia="zh-CN"/>
        </w:rPr>
        <w:t>JSZC-320682-NTZJ-T2026-0022</w:t>
      </w:r>
    </w:p>
    <w:p w14:paraId="3DDC2365">
      <w:pPr>
        <w:spacing w:line="500" w:lineRule="exact"/>
        <w:ind w:firstLine="560" w:firstLineChars="200"/>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3.预算金额：</w:t>
      </w:r>
      <w:r>
        <w:rPr>
          <w:rFonts w:hint="eastAsia" w:ascii="仿宋" w:hAnsi="仿宋" w:eastAsia="仿宋"/>
          <w:color w:val="auto"/>
          <w:sz w:val="28"/>
          <w:szCs w:val="28"/>
          <w:highlight w:val="none"/>
          <w:lang w:val="en-US" w:eastAsia="zh-CN"/>
        </w:rPr>
        <w:t>人民币173.61万元</w:t>
      </w:r>
    </w:p>
    <w:p w14:paraId="74A24C2F">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4.最高限价：</w:t>
      </w:r>
      <w:r>
        <w:rPr>
          <w:rFonts w:hint="eastAsia" w:ascii="仿宋" w:hAnsi="仿宋" w:eastAsia="仿宋"/>
          <w:color w:val="auto"/>
          <w:sz w:val="28"/>
          <w:szCs w:val="28"/>
          <w:highlight w:val="none"/>
          <w:lang w:val="en-US" w:eastAsia="zh-CN"/>
        </w:rPr>
        <w:t>人民币147.57万元，报价超过最高限价视为无效响应。</w:t>
      </w:r>
    </w:p>
    <w:p w14:paraId="4A5550A3">
      <w:pPr>
        <w:spacing w:line="500" w:lineRule="exact"/>
        <w:ind w:firstLine="560" w:firstLineChars="20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5.采购需求：</w:t>
      </w:r>
      <w:r>
        <w:rPr>
          <w:rFonts w:hint="eastAsia" w:ascii="仿宋" w:hAnsi="仿宋" w:eastAsia="仿宋"/>
          <w:color w:val="auto"/>
          <w:sz w:val="28"/>
          <w:szCs w:val="28"/>
          <w:highlight w:val="none"/>
          <w:lang w:val="en-US" w:eastAsia="zh-CN"/>
        </w:rPr>
        <w:t>本项目为东陈镇尚书工业园区污水管网建设工程项目，</w:t>
      </w:r>
      <w:r>
        <w:rPr>
          <w:rFonts w:hint="eastAsia" w:ascii="仿宋" w:hAnsi="仿宋" w:eastAsia="仿宋"/>
          <w:color w:val="auto"/>
          <w:sz w:val="28"/>
          <w:szCs w:val="28"/>
          <w:highlight w:val="none"/>
        </w:rPr>
        <w:t>详见第</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章。</w:t>
      </w:r>
    </w:p>
    <w:p w14:paraId="64907D86">
      <w:pPr>
        <w:spacing w:line="500" w:lineRule="exact"/>
        <w:ind w:firstLine="560" w:firstLineChars="20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6.合同履行期限：</w:t>
      </w:r>
      <w:r>
        <w:rPr>
          <w:rFonts w:hint="eastAsia" w:ascii="仿宋" w:hAnsi="仿宋" w:eastAsia="仿宋"/>
          <w:color w:val="auto"/>
          <w:sz w:val="28"/>
          <w:szCs w:val="24"/>
          <w:highlight w:val="none"/>
          <w:lang w:val="en-US" w:eastAsia="zh-CN"/>
        </w:rPr>
        <w:t>自合同签订之日起两个月内完工，具体时间以采购人通知为准。</w:t>
      </w:r>
    </w:p>
    <w:p w14:paraId="78998B4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7.本项目是否接受联合体：</w:t>
      </w:r>
      <w:r>
        <w:rPr>
          <w:rFonts w:hint="eastAsia" w:ascii="仿宋" w:hAnsi="仿宋" w:eastAsia="仿宋"/>
          <w:color w:val="auto"/>
          <w:sz w:val="28"/>
          <w:szCs w:val="28"/>
          <w:highlight w:val="none"/>
          <w:lang w:val="en-US" w:eastAsia="zh-CN"/>
        </w:rPr>
        <w:t>否</w:t>
      </w:r>
      <w:r>
        <w:rPr>
          <w:rFonts w:hint="eastAsia" w:ascii="仿宋" w:hAnsi="仿宋" w:eastAsia="仿宋"/>
          <w:color w:val="auto"/>
          <w:sz w:val="28"/>
          <w:szCs w:val="28"/>
          <w:highlight w:val="none"/>
        </w:rPr>
        <w:t>。</w:t>
      </w:r>
    </w:p>
    <w:p w14:paraId="70ADE75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.本项目是否专门面向中小企业采购：是。</w:t>
      </w:r>
    </w:p>
    <w:p w14:paraId="670F61E9">
      <w:pPr>
        <w:spacing w:line="50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.项目类型：工程。</w:t>
      </w:r>
    </w:p>
    <w:p w14:paraId="04D4076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0</w:t>
      </w:r>
      <w:r>
        <w:rPr>
          <w:rFonts w:hint="eastAsia" w:ascii="仿宋" w:hAnsi="仿宋" w:eastAsia="仿宋"/>
          <w:color w:val="auto"/>
          <w:sz w:val="28"/>
          <w:szCs w:val="28"/>
          <w:highlight w:val="none"/>
        </w:rPr>
        <w:t>.项目所属行业：</w:t>
      </w:r>
      <w:r>
        <w:rPr>
          <w:rFonts w:ascii="仿宋" w:hAnsi="仿宋" w:eastAsia="仿宋"/>
          <w:color w:val="auto"/>
          <w:sz w:val="28"/>
          <w:szCs w:val="28"/>
          <w:highlight w:val="none"/>
        </w:rPr>
        <w:t>建筑业。</w:t>
      </w:r>
    </w:p>
    <w:p w14:paraId="11887CEF">
      <w:pPr>
        <w:pStyle w:val="10"/>
        <w:spacing w:after="0" w:line="500" w:lineRule="exact"/>
        <w:ind w:firstLine="560" w:firstLineChars="200"/>
        <w:outlineLvl w:val="1"/>
        <w:rPr>
          <w:rFonts w:ascii="黑体" w:hAnsi="黑体" w:eastAsia="黑体"/>
          <w:color w:val="auto"/>
          <w:sz w:val="28"/>
          <w:szCs w:val="28"/>
          <w:highlight w:val="none"/>
        </w:rPr>
      </w:pPr>
      <w:bookmarkStart w:id="7" w:name="_Toc28359013"/>
      <w:bookmarkStart w:id="8" w:name="_Toc35393630"/>
      <w:bookmarkStart w:id="9" w:name="_Toc28359090"/>
      <w:bookmarkStart w:id="10" w:name="_Toc35393799"/>
      <w:bookmarkStart w:id="11" w:name="_Toc29888"/>
      <w:r>
        <w:rPr>
          <w:rFonts w:hint="eastAsia" w:ascii="黑体" w:hAnsi="黑体" w:eastAsia="黑体"/>
          <w:color w:val="auto"/>
          <w:sz w:val="28"/>
          <w:szCs w:val="28"/>
          <w:highlight w:val="none"/>
        </w:rPr>
        <w:t>二、响应人的资格要求：</w:t>
      </w:r>
      <w:bookmarkEnd w:id="7"/>
      <w:bookmarkEnd w:id="8"/>
      <w:bookmarkEnd w:id="9"/>
      <w:bookmarkEnd w:id="10"/>
      <w:bookmarkEnd w:id="11"/>
    </w:p>
    <w:p w14:paraId="387D6DC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1.《中华人民共和国政府采购法》第二十二条规定的条件：</w:t>
      </w:r>
    </w:p>
    <w:p w14:paraId="451A8484">
      <w:pPr>
        <w:pStyle w:val="19"/>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bookmarkStart w:id="12" w:name="_Toc28359091"/>
      <w:bookmarkStart w:id="13" w:name="_Toc28359014"/>
      <w:r>
        <w:rPr>
          <w:rFonts w:hint="eastAsia" w:ascii="仿宋" w:hAnsi="仿宋" w:eastAsia="仿宋" w:cs="Times New Roman"/>
          <w:color w:val="auto"/>
          <w:kern w:val="2"/>
          <w:sz w:val="28"/>
          <w:szCs w:val="28"/>
          <w:highlight w:val="none"/>
        </w:rPr>
        <w:t>（1）具有独立承担民事责任的能力;</w:t>
      </w:r>
    </w:p>
    <w:p w14:paraId="44E5AE96">
      <w:pPr>
        <w:pStyle w:val="19"/>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（2）具有良好的商业信誉和健全的财务会计制度;</w:t>
      </w:r>
    </w:p>
    <w:p w14:paraId="70AF4BFD">
      <w:pPr>
        <w:pStyle w:val="19"/>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（3）具有履行合同所必需的设备和专业技术能力;</w:t>
      </w:r>
    </w:p>
    <w:p w14:paraId="64A84989">
      <w:pPr>
        <w:pStyle w:val="19"/>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（4）有依法缴纳税收和社会保障资金的良好记录;</w:t>
      </w:r>
    </w:p>
    <w:p w14:paraId="6FDCC261">
      <w:pPr>
        <w:pStyle w:val="19"/>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（5）参加政府采购活动前三年内，在经营活动中没有重大违法记录;</w:t>
      </w:r>
    </w:p>
    <w:p w14:paraId="1C58372C">
      <w:pPr>
        <w:pStyle w:val="19"/>
        <w:shd w:val="clear" w:color="auto" w:fill="FFFFFF"/>
        <w:spacing w:before="0" w:beforeAutospacing="0" w:after="0" w:afterAutospacing="0" w:line="500" w:lineRule="exact"/>
        <w:ind w:firstLine="560" w:firstLineChars="200"/>
        <w:rPr>
          <w:rFonts w:ascii="仿宋" w:hAnsi="仿宋" w:eastAsia="仿宋" w:cs="Times New Roman"/>
          <w:color w:val="auto"/>
          <w:kern w:val="2"/>
          <w:sz w:val="28"/>
          <w:szCs w:val="28"/>
          <w:highlight w:val="none"/>
        </w:rPr>
      </w:pPr>
      <w:r>
        <w:rPr>
          <w:rFonts w:hint="eastAsia" w:ascii="仿宋" w:hAnsi="仿宋" w:eastAsia="仿宋" w:cs="Times New Roman"/>
          <w:color w:val="auto"/>
          <w:kern w:val="2"/>
          <w:sz w:val="28"/>
          <w:szCs w:val="28"/>
          <w:highlight w:val="none"/>
        </w:rPr>
        <w:t>（6）法律、行政法规规定的其他条件。</w:t>
      </w:r>
    </w:p>
    <w:p w14:paraId="38D03378">
      <w:pPr>
        <w:spacing w:line="500" w:lineRule="exact"/>
        <w:ind w:firstLine="560" w:firstLineChars="200"/>
        <w:rPr>
          <w:rFonts w:ascii="仿宋" w:hAnsi="仿宋" w:eastAsia="仿宋"/>
          <w:color w:val="auto"/>
          <w:sz w:val="28"/>
          <w:szCs w:val="28"/>
          <w:highlight w:val="none"/>
          <w:u w:val="singl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 落实政府采购政策需满足的资格要求：</w:t>
      </w:r>
    </w:p>
    <w:p w14:paraId="1B4CDF76">
      <w:pPr>
        <w:pStyle w:val="19"/>
        <w:shd w:val="clear" w:color="auto" w:fill="FFFFFF"/>
        <w:spacing w:before="0" w:beforeAutospacing="0" w:after="0" w:afterAutospacing="0" w:line="500" w:lineRule="exact"/>
        <w:ind w:firstLine="482"/>
        <w:textAlignment w:val="baseline"/>
        <w:rPr>
          <w:rFonts w:ascii="仿宋" w:hAnsi="仿宋" w:eastAsia="仿宋" w:cs="Times New Roman"/>
          <w:color w:val="auto"/>
          <w:kern w:val="2"/>
          <w:sz w:val="28"/>
          <w:szCs w:val="28"/>
          <w:highlight w:val="none"/>
        </w:rPr>
      </w:pPr>
      <w:r>
        <w:rPr>
          <w:rFonts w:ascii="仿宋" w:hAnsi="仿宋" w:eastAsia="仿宋" w:cs="Times New Roman"/>
          <w:color w:val="auto"/>
          <w:kern w:val="2"/>
          <w:sz w:val="28"/>
          <w:szCs w:val="28"/>
          <w:highlight w:val="none"/>
        </w:rPr>
        <w:t>（</w:t>
      </w:r>
      <w:r>
        <w:rPr>
          <w:rFonts w:hint="eastAsia" w:ascii="仿宋" w:hAnsi="仿宋" w:eastAsia="仿宋" w:cs="Times New Roman"/>
          <w:color w:val="auto"/>
          <w:kern w:val="2"/>
          <w:sz w:val="28"/>
          <w:szCs w:val="28"/>
          <w:highlight w:val="none"/>
        </w:rPr>
        <w:t>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kern w:val="2"/>
          <w:sz w:val="28"/>
          <w:szCs w:val="28"/>
          <w:highlight w:val="none"/>
        </w:rPr>
        <w:t>供应商</w:t>
      </w:r>
      <w:r>
        <w:rPr>
          <w:rFonts w:hint="eastAsia" w:ascii="仿宋" w:hAnsi="仿宋" w:eastAsia="仿宋" w:cs="Times New Roman"/>
          <w:color w:val="auto"/>
          <w:kern w:val="2"/>
          <w:sz w:val="28"/>
          <w:szCs w:val="28"/>
          <w:highlight w:val="none"/>
        </w:rPr>
        <w:t>属于</w:t>
      </w:r>
      <w:r>
        <w:rPr>
          <w:rFonts w:ascii="仿宋" w:hAnsi="仿宋" w:eastAsia="仿宋" w:cs="Times New Roman"/>
          <w:color w:val="auto"/>
          <w:kern w:val="2"/>
          <w:sz w:val="28"/>
          <w:szCs w:val="28"/>
          <w:highlight w:val="none"/>
        </w:rPr>
        <w:t>小微企业</w:t>
      </w:r>
      <w:r>
        <w:rPr>
          <w:rFonts w:hint="eastAsia" w:ascii="仿宋" w:hAnsi="仿宋" w:eastAsia="仿宋" w:cs="Times New Roman"/>
          <w:color w:val="auto"/>
          <w:kern w:val="2"/>
          <w:sz w:val="28"/>
          <w:szCs w:val="28"/>
          <w:highlight w:val="none"/>
        </w:rPr>
        <w:t>、</w:t>
      </w:r>
      <w:r>
        <w:rPr>
          <w:rFonts w:ascii="仿宋" w:hAnsi="仿宋" w:eastAsia="仿宋" w:cs="Times New Roman"/>
          <w:color w:val="auto"/>
          <w:kern w:val="2"/>
          <w:sz w:val="28"/>
          <w:szCs w:val="28"/>
          <w:highlight w:val="none"/>
        </w:rPr>
        <w:t>监狱企业</w:t>
      </w:r>
      <w:r>
        <w:rPr>
          <w:rFonts w:hint="eastAsia" w:ascii="仿宋" w:hAnsi="仿宋" w:eastAsia="仿宋" w:cs="Times New Roman"/>
          <w:color w:val="auto"/>
          <w:kern w:val="2"/>
          <w:sz w:val="28"/>
          <w:szCs w:val="28"/>
          <w:highlight w:val="none"/>
        </w:rPr>
        <w:t>或者</w:t>
      </w:r>
      <w:r>
        <w:rPr>
          <w:rFonts w:ascii="仿宋" w:hAnsi="仿宋" w:eastAsia="仿宋" w:cs="Times New Roman"/>
          <w:color w:val="auto"/>
          <w:kern w:val="2"/>
          <w:sz w:val="28"/>
          <w:szCs w:val="28"/>
          <w:highlight w:val="none"/>
        </w:rPr>
        <w:t>残疾人福利性单位的</w:t>
      </w:r>
      <w:r>
        <w:rPr>
          <w:rFonts w:hint="eastAsia" w:ascii="仿宋" w:hAnsi="仿宋" w:eastAsia="仿宋" w:cs="Times New Roman"/>
          <w:color w:val="auto"/>
          <w:kern w:val="2"/>
          <w:sz w:val="28"/>
          <w:szCs w:val="28"/>
          <w:highlight w:val="none"/>
        </w:rPr>
        <w:t>，享受价格扣除优惠。</w:t>
      </w:r>
    </w:p>
    <w:p w14:paraId="5CD7D074">
      <w:pPr>
        <w:pStyle w:val="19"/>
        <w:shd w:val="clear" w:color="auto" w:fill="FFFFFF"/>
        <w:spacing w:before="0" w:beforeAutospacing="0" w:after="0" w:afterAutospacing="0" w:line="500" w:lineRule="exact"/>
        <w:ind w:firstLine="567"/>
        <w:textAlignment w:val="baseline"/>
        <w:rPr>
          <w:rFonts w:ascii="仿宋" w:hAnsi="仿宋" w:eastAsia="仿宋"/>
          <w:color w:val="auto"/>
          <w:sz w:val="28"/>
          <w:szCs w:val="28"/>
          <w:highlight w:val="none"/>
          <w:u w:val="single"/>
        </w:rPr>
      </w:pPr>
      <w:r>
        <w:rPr>
          <w:rFonts w:hint="eastAsia" w:ascii="仿宋" w:hAnsi="仿宋" w:eastAsia="仿宋" w:cs="Times New Roman"/>
          <w:color w:val="auto"/>
          <w:kern w:val="2"/>
          <w:sz w:val="28"/>
          <w:szCs w:val="28"/>
          <w:highlight w:val="none"/>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kern w:val="2"/>
          <w:sz w:val="28"/>
          <w:szCs w:val="28"/>
          <w:highlight w:val="none"/>
          <w:lang w:val="en-US" w:eastAsia="zh-CN"/>
        </w:rPr>
        <w:t>响应供应商须提供承诺函，格式自拟，不提供视为无效响应。</w:t>
      </w:r>
    </w:p>
    <w:p w14:paraId="2E6855F1">
      <w:pPr>
        <w:spacing w:line="50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 本项目的特定资格要求：</w:t>
      </w:r>
    </w:p>
    <w:p w14:paraId="06E42C81">
      <w:pPr>
        <w:spacing w:line="500" w:lineRule="exact"/>
        <w:ind w:firstLine="56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（1）响应</w:t>
      </w:r>
      <w:r>
        <w:rPr>
          <w:rFonts w:ascii="仿宋" w:hAnsi="仿宋" w:eastAsia="仿宋"/>
          <w:b/>
          <w:bCs/>
          <w:color w:val="auto"/>
          <w:sz w:val="28"/>
          <w:szCs w:val="28"/>
          <w:highlight w:val="none"/>
        </w:rPr>
        <w:t>供应商</w:t>
      </w:r>
      <w:r>
        <w:rPr>
          <w:rFonts w:hint="eastAsia" w:ascii="仿宋" w:hAnsi="仿宋" w:eastAsia="仿宋"/>
          <w:b/>
          <w:bCs/>
          <w:color w:val="auto"/>
          <w:sz w:val="28"/>
          <w:szCs w:val="28"/>
          <w:highlight w:val="none"/>
        </w:rPr>
        <w:t>须具</w:t>
      </w:r>
      <w:r>
        <w:rPr>
          <w:rFonts w:hint="eastAsia" w:ascii="仿宋" w:hAnsi="仿宋" w:eastAsia="仿宋"/>
          <w:b/>
          <w:bCs/>
          <w:color w:val="auto"/>
          <w:sz w:val="28"/>
          <w:szCs w:val="28"/>
          <w:highlight w:val="none"/>
          <w:lang w:val="en-US" w:eastAsia="zh-CN"/>
        </w:rPr>
        <w:t>有市政公用</w:t>
      </w:r>
      <w:r>
        <w:rPr>
          <w:rFonts w:hint="eastAsia" w:ascii="仿宋" w:hAnsi="仿宋" w:eastAsia="仿宋"/>
          <w:b/>
          <w:bCs/>
          <w:color w:val="auto"/>
          <w:sz w:val="28"/>
          <w:szCs w:val="28"/>
          <w:highlight w:val="none"/>
        </w:rPr>
        <w:t>工程施工总承包叁级及以上资质，并具备有效的安全生产许可证。</w:t>
      </w:r>
      <w:r>
        <w:rPr>
          <w:rFonts w:hint="eastAsia" w:ascii="仿宋" w:hAnsi="仿宋" w:eastAsia="仿宋"/>
          <w:b/>
          <w:bCs/>
          <w:iCs/>
          <w:color w:val="auto"/>
          <w:sz w:val="28"/>
          <w:szCs w:val="28"/>
          <w:highlight w:val="none"/>
        </w:rPr>
        <w:t>须提供相关资质</w:t>
      </w:r>
      <w:r>
        <w:rPr>
          <w:rFonts w:hint="eastAsia" w:ascii="仿宋" w:hAnsi="仿宋" w:eastAsia="仿宋"/>
          <w:b/>
          <w:bCs/>
          <w:iCs/>
          <w:color w:val="auto"/>
          <w:sz w:val="28"/>
          <w:szCs w:val="28"/>
          <w:highlight w:val="none"/>
          <w:lang w:val="en-US" w:eastAsia="zh-CN"/>
        </w:rPr>
        <w:t>证书扫描件</w:t>
      </w:r>
      <w:r>
        <w:rPr>
          <w:rFonts w:hint="eastAsia" w:ascii="仿宋" w:hAnsi="仿宋" w:eastAsia="仿宋"/>
          <w:b/>
          <w:bCs/>
          <w:iCs/>
          <w:color w:val="auto"/>
          <w:sz w:val="28"/>
          <w:szCs w:val="28"/>
          <w:highlight w:val="none"/>
        </w:rPr>
        <w:t>加盖</w:t>
      </w:r>
      <w:r>
        <w:rPr>
          <w:rFonts w:hint="eastAsia" w:ascii="仿宋" w:hAnsi="仿宋" w:eastAsia="仿宋"/>
          <w:b/>
          <w:bCs/>
          <w:iCs/>
          <w:color w:val="auto"/>
          <w:sz w:val="28"/>
          <w:szCs w:val="28"/>
          <w:highlight w:val="none"/>
          <w:lang w:val="en-US" w:eastAsia="zh-CN"/>
        </w:rPr>
        <w:t>响应供应商</w:t>
      </w:r>
      <w:r>
        <w:rPr>
          <w:rFonts w:hint="eastAsia" w:ascii="仿宋" w:hAnsi="仿宋" w:eastAsia="仿宋"/>
          <w:b/>
          <w:bCs/>
          <w:iCs/>
          <w:color w:val="auto"/>
          <w:sz w:val="28"/>
          <w:szCs w:val="28"/>
          <w:highlight w:val="none"/>
        </w:rPr>
        <w:t>公章。</w:t>
      </w:r>
    </w:p>
    <w:p w14:paraId="61A8DCF6">
      <w:pPr>
        <w:pStyle w:val="19"/>
        <w:shd w:val="clear" w:color="auto" w:fill="FFFFFF"/>
        <w:spacing w:before="0" w:beforeAutospacing="0" w:after="0" w:afterAutospacing="0" w:line="500" w:lineRule="exact"/>
        <w:ind w:firstLine="567"/>
        <w:textAlignment w:val="baseline"/>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（2）响应</w:t>
      </w:r>
      <w:r>
        <w:rPr>
          <w:rFonts w:ascii="仿宋" w:hAnsi="仿宋" w:eastAsia="仿宋"/>
          <w:b/>
          <w:bCs/>
          <w:color w:val="auto"/>
          <w:sz w:val="28"/>
          <w:szCs w:val="28"/>
          <w:highlight w:val="none"/>
        </w:rPr>
        <w:t>供应商</w:t>
      </w:r>
      <w:r>
        <w:rPr>
          <w:rFonts w:hint="eastAsia" w:ascii="仿宋" w:hAnsi="仿宋" w:eastAsia="仿宋"/>
          <w:b/>
          <w:bCs/>
          <w:color w:val="auto"/>
          <w:sz w:val="28"/>
          <w:szCs w:val="28"/>
          <w:highlight w:val="none"/>
        </w:rPr>
        <w:t>拟派项目负责人须具备</w:t>
      </w:r>
      <w:r>
        <w:rPr>
          <w:rFonts w:hint="eastAsia" w:ascii="仿宋" w:hAnsi="仿宋" w:eastAsia="仿宋"/>
          <w:b/>
          <w:bCs/>
          <w:color w:val="auto"/>
          <w:sz w:val="28"/>
          <w:szCs w:val="28"/>
          <w:highlight w:val="none"/>
          <w:lang w:val="en-US" w:eastAsia="zh-CN"/>
        </w:rPr>
        <w:t>市政公用</w:t>
      </w:r>
      <w:r>
        <w:rPr>
          <w:rFonts w:hint="eastAsia" w:ascii="仿宋" w:hAnsi="仿宋" w:eastAsia="仿宋"/>
          <w:b/>
          <w:bCs/>
          <w:color w:val="auto"/>
          <w:sz w:val="28"/>
          <w:szCs w:val="28"/>
          <w:highlight w:val="none"/>
        </w:rPr>
        <w:t>工程专业注册建造师贰级及以上执业资格，并具备有效的安全生产考核合格证书。</w:t>
      </w:r>
      <w:r>
        <w:rPr>
          <w:rFonts w:hint="eastAsia" w:ascii="仿宋" w:hAnsi="仿宋" w:eastAsia="仿宋"/>
          <w:b/>
          <w:bCs/>
          <w:iCs/>
          <w:color w:val="auto"/>
          <w:sz w:val="28"/>
          <w:szCs w:val="28"/>
          <w:highlight w:val="none"/>
        </w:rPr>
        <w:t>须提供相关</w:t>
      </w:r>
      <w:r>
        <w:rPr>
          <w:rFonts w:hint="eastAsia" w:ascii="仿宋" w:hAnsi="仿宋" w:eastAsia="仿宋"/>
          <w:b/>
          <w:bCs/>
          <w:iCs/>
          <w:color w:val="auto"/>
          <w:sz w:val="28"/>
          <w:szCs w:val="28"/>
          <w:highlight w:val="none"/>
          <w:lang w:val="en-US" w:eastAsia="zh-CN"/>
        </w:rPr>
        <w:t>资格证书扫描件并</w:t>
      </w:r>
      <w:r>
        <w:rPr>
          <w:rFonts w:hint="eastAsia" w:ascii="仿宋" w:hAnsi="仿宋" w:eastAsia="仿宋"/>
          <w:b/>
          <w:bCs/>
          <w:iCs/>
          <w:color w:val="auto"/>
          <w:sz w:val="28"/>
          <w:szCs w:val="28"/>
          <w:highlight w:val="none"/>
        </w:rPr>
        <w:t>加盖</w:t>
      </w:r>
      <w:r>
        <w:rPr>
          <w:rFonts w:hint="eastAsia" w:ascii="仿宋" w:hAnsi="仿宋" w:eastAsia="仿宋"/>
          <w:b/>
          <w:bCs/>
          <w:iCs/>
          <w:color w:val="auto"/>
          <w:sz w:val="28"/>
          <w:szCs w:val="28"/>
          <w:highlight w:val="none"/>
          <w:lang w:val="en-US" w:eastAsia="zh-CN"/>
        </w:rPr>
        <w:t>响应供应商</w:t>
      </w:r>
      <w:r>
        <w:rPr>
          <w:rFonts w:hint="eastAsia" w:ascii="仿宋" w:hAnsi="仿宋" w:eastAsia="仿宋"/>
          <w:b/>
          <w:bCs/>
          <w:iCs/>
          <w:color w:val="auto"/>
          <w:sz w:val="28"/>
          <w:szCs w:val="28"/>
          <w:highlight w:val="none"/>
        </w:rPr>
        <w:t>公章</w:t>
      </w:r>
      <w:r>
        <w:rPr>
          <w:rFonts w:hint="eastAsia" w:ascii="仿宋" w:hAnsi="仿宋" w:eastAsia="仿宋"/>
          <w:b/>
          <w:bCs/>
          <w:iCs/>
          <w:color w:val="auto"/>
          <w:sz w:val="28"/>
          <w:szCs w:val="28"/>
          <w:highlight w:val="none"/>
          <w:lang w:eastAsia="zh-CN"/>
        </w:rPr>
        <w:t>、</w:t>
      </w:r>
      <w:r>
        <w:rPr>
          <w:rFonts w:hint="eastAsia" w:ascii="仿宋" w:hAnsi="仿宋" w:eastAsia="仿宋"/>
          <w:b/>
          <w:bCs/>
          <w:iCs/>
          <w:color w:val="auto"/>
          <w:sz w:val="28"/>
          <w:szCs w:val="28"/>
          <w:highlight w:val="none"/>
          <w:lang w:val="en-US" w:eastAsia="zh-CN"/>
        </w:rPr>
        <w:t>及</w:t>
      </w:r>
      <w:r>
        <w:rPr>
          <w:rFonts w:hint="eastAsia" w:ascii="仿宋" w:hAnsi="仿宋" w:eastAsia="仿宋"/>
          <w:b/>
          <w:bCs/>
          <w:iCs/>
          <w:color w:val="auto"/>
          <w:sz w:val="28"/>
          <w:szCs w:val="28"/>
          <w:highlight w:val="none"/>
        </w:rPr>
        <w:t>响应文件提交截止日前最近1个月响应供应商为其缴纳社保的证明；新成立企业距响应文件提交截止日期不足30日的，可不提供缴纳社保的证明（以新办企业营业执照发放日期为准）。</w:t>
      </w:r>
    </w:p>
    <w:p w14:paraId="723CAC8D">
      <w:pPr>
        <w:keepNext w:val="0"/>
        <w:keepLines w:val="0"/>
        <w:pageBreakBefore w:val="0"/>
        <w:kinsoku/>
        <w:wordWrap/>
        <w:overflowPunct/>
        <w:topLinePunct w:val="0"/>
        <w:autoSpaceDE/>
        <w:autoSpaceDN/>
        <w:bidi w:val="0"/>
        <w:adjustRightInd w:val="0"/>
        <w:snapToGrid w:val="0"/>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注：根据《住房和城乡建设部办公厅关于全面实行一级建造师电子注册证书的通知》(建办市〔2021〕40号)的规定，自2022年1月1日起，一级建造师统一使用电子证书，纸质注册证书作废。若供应商拟派项目负责人为一级建造师，则须提供符合建办市(2021)40号文件要求的电子注册证书，否则资格审查不予通过。</w:t>
      </w:r>
    </w:p>
    <w:p w14:paraId="7AAFA551">
      <w:pPr>
        <w:spacing w:line="500" w:lineRule="exact"/>
        <w:ind w:firstLine="562" w:firstLineChars="200"/>
        <w:rPr>
          <w:rFonts w:ascii="仿宋" w:hAnsi="仿宋" w:eastAsia="仿宋"/>
          <w:iCs/>
          <w:color w:val="auto"/>
          <w:sz w:val="28"/>
          <w:szCs w:val="28"/>
          <w:highlight w:val="none"/>
        </w:rPr>
      </w:pPr>
      <w:r>
        <w:rPr>
          <w:rFonts w:hint="eastAsia" w:ascii="仿宋" w:hAnsi="仿宋" w:eastAsia="仿宋"/>
          <w:b/>
          <w:bCs/>
          <w:color w:val="auto"/>
          <w:sz w:val="28"/>
          <w:szCs w:val="28"/>
          <w:highlight w:val="none"/>
        </w:rPr>
        <w:t>根据江苏省住房和城乡建设厅发布的《省住房和城乡建设厅关于我省二级建造师、二级造价工程师、二级注册建筑师、二级注册结构工程师注册证书电子证照换发的公告》〔2023〕第26号的规定，二级建造师统一使用新版电子证照，否则资格审查不予通过。</w:t>
      </w:r>
    </w:p>
    <w:p w14:paraId="01689146">
      <w:pPr>
        <w:pStyle w:val="19"/>
        <w:shd w:val="clear" w:color="auto" w:fill="FFFFFF"/>
        <w:spacing w:before="0" w:beforeAutospacing="0" w:after="0" w:afterAutospacing="0" w:line="500" w:lineRule="exact"/>
        <w:ind w:firstLine="567"/>
        <w:textAlignment w:val="baseline"/>
        <w:rPr>
          <w:rFonts w:ascii="仿宋" w:hAnsi="仿宋" w:eastAsia="仿宋" w:cs="Times New Roman"/>
          <w:color w:val="auto"/>
          <w:kern w:val="2"/>
          <w:sz w:val="28"/>
          <w:szCs w:val="28"/>
          <w:highlight w:val="none"/>
        </w:rPr>
      </w:pPr>
      <w:r>
        <w:rPr>
          <w:rFonts w:hint="eastAsia" w:ascii="仿宋" w:hAnsi="仿宋" w:eastAsia="仿宋"/>
          <w:iCs/>
          <w:color w:val="auto"/>
          <w:sz w:val="28"/>
          <w:szCs w:val="28"/>
          <w:highlight w:val="none"/>
        </w:rPr>
        <w:t>5.</w:t>
      </w:r>
      <w:r>
        <w:rPr>
          <w:rFonts w:hint="eastAsia" w:ascii="仿宋" w:hAnsi="仿宋" w:eastAsia="仿宋"/>
          <w:color w:val="auto"/>
          <w:sz w:val="28"/>
          <w:szCs w:val="28"/>
          <w:highlight w:val="none"/>
        </w:rPr>
        <w:t>供应商的法定代表人参加竞争性谈判活动的，须在响应文件中提供法定代表人身份证明和身份证复印件；委托代理人参加竞争性谈判活动的，还须在响应文件中提供法定代表人的</w:t>
      </w:r>
      <w:r>
        <w:rPr>
          <w:rFonts w:hint="eastAsia" w:ascii="仿宋" w:hAnsi="仿宋" w:eastAsia="仿宋"/>
          <w:iCs/>
          <w:color w:val="auto"/>
          <w:sz w:val="28"/>
          <w:szCs w:val="28"/>
          <w:highlight w:val="none"/>
        </w:rPr>
        <w:t>授权委托书。</w:t>
      </w:r>
    </w:p>
    <w:p w14:paraId="77279650">
      <w:pPr>
        <w:spacing w:line="500" w:lineRule="exact"/>
        <w:ind w:firstLine="560" w:firstLineChars="200"/>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6.未被“信用中国（www.creditchina.gov.cn）”、“中国政府采购网（http://www.ccgp.gov.cn/）”网站列入失信被执行人或重大税收违法案件当事人名单或政府采购严重失信行为记录名单，查询结果以评审过程中现场网络截图为准。</w:t>
      </w:r>
    </w:p>
    <w:p w14:paraId="40F1F8A2">
      <w:pPr>
        <w:pStyle w:val="10"/>
        <w:spacing w:after="0" w:line="500" w:lineRule="exact"/>
        <w:ind w:firstLine="560" w:firstLineChars="200"/>
        <w:outlineLvl w:val="1"/>
        <w:rPr>
          <w:rFonts w:ascii="黑体" w:hAnsi="黑体" w:eastAsia="黑体"/>
          <w:color w:val="auto"/>
          <w:sz w:val="28"/>
          <w:szCs w:val="28"/>
          <w:highlight w:val="none"/>
        </w:rPr>
      </w:pPr>
      <w:bookmarkStart w:id="14" w:name="_Toc13382"/>
      <w:bookmarkStart w:id="15" w:name="_Toc35393800"/>
      <w:bookmarkStart w:id="16" w:name="_Toc35393631"/>
      <w:r>
        <w:rPr>
          <w:rFonts w:hint="eastAsia" w:ascii="黑体" w:hAnsi="黑体" w:eastAsia="黑体"/>
          <w:color w:val="auto"/>
          <w:sz w:val="28"/>
          <w:szCs w:val="28"/>
          <w:highlight w:val="none"/>
        </w:rPr>
        <w:t>三、获取竞争性谈判文件</w:t>
      </w:r>
      <w:bookmarkEnd w:id="12"/>
      <w:bookmarkEnd w:id="13"/>
      <w:bookmarkEnd w:id="14"/>
      <w:bookmarkEnd w:id="15"/>
      <w:bookmarkEnd w:id="16"/>
    </w:p>
    <w:p w14:paraId="1A5B4546">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1. 时间：</w:t>
      </w:r>
      <w:r>
        <w:rPr>
          <w:rFonts w:hint="eastAsia" w:ascii="仿宋" w:hAnsi="仿宋" w:eastAsia="仿宋" w:cs="仿宋"/>
          <w:color w:val="auto"/>
          <w:sz w:val="28"/>
          <w:szCs w:val="28"/>
          <w:highlight w:val="none"/>
        </w:rPr>
        <w:t>自公告发布之日起</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个工作日内。</w:t>
      </w:r>
    </w:p>
    <w:p w14:paraId="351E21F4">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2. 地点：江苏省政府采购网</w:t>
      </w:r>
    </w:p>
    <w:p w14:paraId="7B7C4191">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3. 方式：</w:t>
      </w:r>
      <w:r>
        <w:rPr>
          <w:rFonts w:hint="eastAsia" w:ascii="仿宋" w:hAnsi="仿宋" w:eastAsia="仿宋"/>
          <w:color w:val="auto"/>
          <w:sz w:val="28"/>
          <w:szCs w:val="28"/>
          <w:highlight w:val="none"/>
        </w:rPr>
        <w:t>通过“苏采云”系统网上注册登记后获取，具体详见《江苏省政府采购管理交易系统（苏采云）投标人操作手册》。</w:t>
      </w:r>
    </w:p>
    <w:p w14:paraId="4E140AE8">
      <w:pPr>
        <w:pStyle w:val="10"/>
        <w:spacing w:after="0" w:line="500" w:lineRule="exact"/>
        <w:ind w:firstLine="560" w:firstLineChars="200"/>
        <w:outlineLvl w:val="1"/>
        <w:rPr>
          <w:rFonts w:ascii="黑体" w:hAnsi="黑体" w:eastAsia="黑体"/>
          <w:color w:val="auto"/>
          <w:sz w:val="28"/>
          <w:szCs w:val="28"/>
          <w:highlight w:val="none"/>
        </w:rPr>
      </w:pPr>
      <w:bookmarkStart w:id="17" w:name="_Toc35393632"/>
      <w:bookmarkStart w:id="18" w:name="_Toc35393801"/>
      <w:bookmarkStart w:id="19" w:name="_Toc28359015"/>
      <w:bookmarkStart w:id="20" w:name="_Toc28359092"/>
      <w:bookmarkStart w:id="21" w:name="_Toc21824"/>
      <w:r>
        <w:rPr>
          <w:rFonts w:hint="eastAsia" w:ascii="黑体" w:hAnsi="黑体" w:eastAsia="黑体"/>
          <w:color w:val="auto"/>
          <w:sz w:val="28"/>
          <w:szCs w:val="28"/>
          <w:highlight w:val="none"/>
        </w:rPr>
        <w:t>四、</w:t>
      </w:r>
      <w:bookmarkEnd w:id="17"/>
      <w:bookmarkEnd w:id="18"/>
      <w:bookmarkEnd w:id="19"/>
      <w:bookmarkEnd w:id="20"/>
      <w:r>
        <w:rPr>
          <w:rFonts w:hint="eastAsia" w:ascii="黑体" w:hAnsi="黑体" w:eastAsia="黑体"/>
          <w:color w:val="auto"/>
          <w:sz w:val="28"/>
          <w:szCs w:val="28"/>
          <w:highlight w:val="none"/>
        </w:rPr>
        <w:t>竞争性谈判响应文件提交和开启</w:t>
      </w:r>
      <w:bookmarkEnd w:id="21"/>
    </w:p>
    <w:p w14:paraId="3A79AA69">
      <w:pPr>
        <w:spacing w:line="500" w:lineRule="exact"/>
        <w:ind w:firstLine="560" w:firstLineChars="200"/>
        <w:rPr>
          <w:rFonts w:ascii="仿宋" w:hAnsi="仿宋" w:eastAsia="仿宋"/>
          <w:bCs/>
          <w:color w:val="auto"/>
          <w:sz w:val="28"/>
          <w:szCs w:val="28"/>
          <w:highlight w:val="none"/>
          <w:u w:val="single"/>
        </w:rPr>
      </w:pPr>
      <w:r>
        <w:rPr>
          <w:rFonts w:hint="eastAsia" w:ascii="仿宋" w:hAnsi="仿宋" w:eastAsia="仿宋"/>
          <w:color w:val="auto"/>
          <w:sz w:val="28"/>
          <w:szCs w:val="28"/>
          <w:highlight w:val="none"/>
        </w:rPr>
        <w:t>截止时间：</w:t>
      </w:r>
      <w:r>
        <w:rPr>
          <w:rFonts w:hint="eastAsia" w:ascii="仿宋" w:hAnsi="仿宋" w:eastAsia="仿宋"/>
          <w:color w:val="auto"/>
          <w:sz w:val="28"/>
          <w:szCs w:val="28"/>
          <w:highlight w:val="none"/>
          <w:lang w:val="en-US" w:eastAsia="zh-CN"/>
        </w:rPr>
        <w:t>2026</w:t>
      </w:r>
      <w:r>
        <w:rPr>
          <w:rFonts w:hint="eastAsia" w:ascii="仿宋" w:hAnsi="仿宋" w:eastAsia="仿宋"/>
          <w:bCs/>
          <w:color w:val="auto"/>
          <w:sz w:val="28"/>
          <w:szCs w:val="28"/>
          <w:highlight w:val="none"/>
        </w:rPr>
        <w:t>年</w:t>
      </w:r>
      <w:r>
        <w:rPr>
          <w:rFonts w:hint="eastAsia" w:ascii="仿宋" w:hAnsi="仿宋" w:eastAsia="仿宋"/>
          <w:bCs/>
          <w:color w:val="auto"/>
          <w:sz w:val="28"/>
          <w:szCs w:val="28"/>
          <w:highlight w:val="none"/>
          <w:lang w:val="en-US" w:eastAsia="zh-CN"/>
        </w:rPr>
        <w:t>10</w:t>
      </w:r>
      <w:r>
        <w:rPr>
          <w:rFonts w:hint="eastAsia" w:ascii="仿宋" w:hAnsi="仿宋" w:eastAsia="仿宋"/>
          <w:bCs/>
          <w:color w:val="auto"/>
          <w:sz w:val="28"/>
          <w:szCs w:val="28"/>
          <w:highlight w:val="none"/>
        </w:rPr>
        <w:t>月</w:t>
      </w:r>
      <w:r>
        <w:rPr>
          <w:rFonts w:hint="eastAsia" w:ascii="仿宋" w:hAnsi="仿宋" w:eastAsia="仿宋"/>
          <w:bCs/>
          <w:color w:val="auto"/>
          <w:sz w:val="28"/>
          <w:szCs w:val="28"/>
          <w:highlight w:val="none"/>
          <w:lang w:val="en-US" w:eastAsia="zh-CN"/>
        </w:rPr>
        <w:t>30</w:t>
      </w:r>
      <w:r>
        <w:rPr>
          <w:rFonts w:hint="eastAsia" w:ascii="仿宋" w:hAnsi="仿宋" w:eastAsia="仿宋"/>
          <w:bCs/>
          <w:color w:val="auto"/>
          <w:sz w:val="28"/>
          <w:szCs w:val="28"/>
          <w:highlight w:val="none"/>
        </w:rPr>
        <w:t>日</w:t>
      </w:r>
      <w:r>
        <w:rPr>
          <w:rFonts w:hint="eastAsia" w:ascii="仿宋" w:hAnsi="仿宋" w:eastAsia="仿宋"/>
          <w:bCs/>
          <w:color w:val="auto"/>
          <w:sz w:val="28"/>
          <w:szCs w:val="28"/>
          <w:highlight w:val="none"/>
          <w:lang w:val="en-US" w:eastAsia="zh-CN"/>
        </w:rPr>
        <w:t>09</w:t>
      </w:r>
      <w:r>
        <w:rPr>
          <w:rFonts w:hint="eastAsia" w:ascii="仿宋" w:hAnsi="仿宋" w:eastAsia="仿宋"/>
          <w:bCs/>
          <w:color w:val="auto"/>
          <w:sz w:val="28"/>
          <w:szCs w:val="28"/>
          <w:highlight w:val="none"/>
        </w:rPr>
        <w:t>点</w:t>
      </w:r>
      <w:r>
        <w:rPr>
          <w:rFonts w:hint="eastAsia" w:ascii="仿宋" w:hAnsi="仿宋" w:eastAsia="仿宋"/>
          <w:bCs/>
          <w:color w:val="auto"/>
          <w:sz w:val="28"/>
          <w:szCs w:val="28"/>
          <w:highlight w:val="none"/>
          <w:lang w:val="en-US" w:eastAsia="zh-CN"/>
        </w:rPr>
        <w:t>00</w:t>
      </w:r>
      <w:r>
        <w:rPr>
          <w:rFonts w:hint="eastAsia" w:ascii="仿宋" w:hAnsi="仿宋" w:eastAsia="仿宋"/>
          <w:bCs/>
          <w:color w:val="auto"/>
          <w:sz w:val="28"/>
          <w:szCs w:val="28"/>
          <w:highlight w:val="none"/>
        </w:rPr>
        <w:t>分（北京时间）</w:t>
      </w:r>
    </w:p>
    <w:p w14:paraId="773BCB9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地点：通过“苏采云”系统提交，具体详见《江苏省政府采购管理交易系统（苏采云）投标人操作手册》。</w:t>
      </w:r>
    </w:p>
    <w:p w14:paraId="32BC09AB">
      <w:pPr>
        <w:spacing w:line="500" w:lineRule="exact"/>
        <w:ind w:firstLine="560"/>
        <w:rPr>
          <w:rFonts w:ascii="仿宋" w:hAnsi="仿宋" w:eastAsia="仿宋"/>
          <w:bCs/>
          <w:color w:val="auto"/>
          <w:sz w:val="28"/>
          <w:szCs w:val="28"/>
          <w:highlight w:val="none"/>
        </w:rPr>
      </w:pPr>
      <w:r>
        <w:rPr>
          <w:rFonts w:hint="eastAsia" w:ascii="仿宋" w:hAnsi="仿宋" w:eastAsia="仿宋"/>
          <w:color w:val="auto"/>
          <w:sz w:val="28"/>
          <w:szCs w:val="28"/>
          <w:highlight w:val="none"/>
        </w:rPr>
        <w:t>开启时间：</w:t>
      </w:r>
      <w:r>
        <w:rPr>
          <w:rFonts w:hint="eastAsia" w:ascii="仿宋" w:hAnsi="仿宋" w:eastAsia="仿宋"/>
          <w:color w:val="auto"/>
          <w:sz w:val="28"/>
          <w:szCs w:val="28"/>
          <w:highlight w:val="none"/>
          <w:lang w:val="en-US" w:eastAsia="zh-CN"/>
        </w:rPr>
        <w:t>2026</w:t>
      </w:r>
      <w:r>
        <w:rPr>
          <w:rFonts w:hint="eastAsia" w:ascii="仿宋" w:hAnsi="仿宋" w:eastAsia="仿宋"/>
          <w:bCs/>
          <w:color w:val="auto"/>
          <w:sz w:val="28"/>
          <w:szCs w:val="28"/>
          <w:highlight w:val="none"/>
        </w:rPr>
        <w:t>年</w:t>
      </w:r>
      <w:r>
        <w:rPr>
          <w:rFonts w:hint="eastAsia" w:ascii="仿宋" w:hAnsi="仿宋" w:eastAsia="仿宋"/>
          <w:bCs/>
          <w:color w:val="auto"/>
          <w:sz w:val="28"/>
          <w:szCs w:val="28"/>
          <w:highlight w:val="none"/>
          <w:lang w:val="en-US" w:eastAsia="zh-CN"/>
        </w:rPr>
        <w:t>10</w:t>
      </w:r>
      <w:r>
        <w:rPr>
          <w:rFonts w:hint="eastAsia" w:ascii="仿宋" w:hAnsi="仿宋" w:eastAsia="仿宋"/>
          <w:bCs/>
          <w:color w:val="auto"/>
          <w:sz w:val="28"/>
          <w:szCs w:val="28"/>
          <w:highlight w:val="none"/>
        </w:rPr>
        <w:t>月</w:t>
      </w:r>
      <w:r>
        <w:rPr>
          <w:rFonts w:hint="eastAsia" w:ascii="仿宋" w:hAnsi="仿宋" w:eastAsia="仿宋"/>
          <w:bCs/>
          <w:color w:val="auto"/>
          <w:sz w:val="28"/>
          <w:szCs w:val="28"/>
          <w:highlight w:val="none"/>
          <w:lang w:val="en-US" w:eastAsia="zh-CN"/>
        </w:rPr>
        <w:t>30</w:t>
      </w:r>
      <w:r>
        <w:rPr>
          <w:rFonts w:hint="eastAsia" w:ascii="仿宋" w:hAnsi="仿宋" w:eastAsia="仿宋"/>
          <w:bCs/>
          <w:color w:val="auto"/>
          <w:sz w:val="28"/>
          <w:szCs w:val="28"/>
          <w:highlight w:val="none"/>
        </w:rPr>
        <w:t>日</w:t>
      </w:r>
      <w:r>
        <w:rPr>
          <w:rFonts w:hint="eastAsia" w:ascii="仿宋" w:hAnsi="仿宋" w:eastAsia="仿宋"/>
          <w:bCs/>
          <w:color w:val="auto"/>
          <w:sz w:val="28"/>
          <w:szCs w:val="28"/>
          <w:highlight w:val="none"/>
          <w:lang w:val="en-US" w:eastAsia="zh-CN"/>
        </w:rPr>
        <w:t>09</w:t>
      </w:r>
      <w:r>
        <w:rPr>
          <w:rFonts w:hint="eastAsia" w:ascii="仿宋" w:hAnsi="仿宋" w:eastAsia="仿宋"/>
          <w:bCs/>
          <w:color w:val="auto"/>
          <w:sz w:val="28"/>
          <w:szCs w:val="28"/>
          <w:highlight w:val="none"/>
        </w:rPr>
        <w:t>点</w:t>
      </w:r>
      <w:r>
        <w:rPr>
          <w:rFonts w:hint="eastAsia" w:ascii="仿宋" w:hAnsi="仿宋" w:eastAsia="仿宋"/>
          <w:bCs/>
          <w:color w:val="auto"/>
          <w:sz w:val="28"/>
          <w:szCs w:val="28"/>
          <w:highlight w:val="none"/>
          <w:lang w:val="en-US" w:eastAsia="zh-CN"/>
        </w:rPr>
        <w:t>00</w:t>
      </w:r>
      <w:r>
        <w:rPr>
          <w:rFonts w:hint="eastAsia" w:ascii="仿宋" w:hAnsi="仿宋" w:eastAsia="仿宋"/>
          <w:bCs/>
          <w:color w:val="auto"/>
          <w:sz w:val="28"/>
          <w:szCs w:val="28"/>
          <w:highlight w:val="none"/>
        </w:rPr>
        <w:t>分（北京时间）</w:t>
      </w:r>
    </w:p>
    <w:p w14:paraId="6402E8F4">
      <w:pPr>
        <w:pStyle w:val="10"/>
        <w:spacing w:after="0" w:line="500" w:lineRule="exact"/>
        <w:ind w:firstLine="560" w:firstLineChars="200"/>
        <w:rPr>
          <w:rFonts w:ascii="仿宋" w:hAnsi="仿宋" w:eastAsia="仿宋"/>
          <w:color w:val="auto"/>
          <w:sz w:val="28"/>
          <w:szCs w:val="28"/>
          <w:highlight w:val="none"/>
        </w:rPr>
      </w:pPr>
      <w:r>
        <w:rPr>
          <w:rFonts w:hint="eastAsia" w:ascii="仿宋" w:hAnsi="仿宋" w:eastAsia="仿宋"/>
          <w:bCs/>
          <w:color w:val="auto"/>
          <w:sz w:val="28"/>
          <w:szCs w:val="28"/>
          <w:highlight w:val="none"/>
        </w:rPr>
        <w:t>开启地点：</w:t>
      </w:r>
      <w:r>
        <w:rPr>
          <w:rFonts w:ascii="仿宋" w:hAnsi="仿宋" w:eastAsia="仿宋"/>
          <w:color w:val="auto"/>
          <w:sz w:val="28"/>
          <w:szCs w:val="28"/>
          <w:highlight w:val="none"/>
        </w:rPr>
        <w:t>“苏采云”系统（网址：http://jszfcg.jsczt.cn/）“开标大厅”。</w:t>
      </w:r>
    </w:p>
    <w:p w14:paraId="1C01ECFB">
      <w:pPr>
        <w:pStyle w:val="10"/>
        <w:spacing w:after="0" w:line="500" w:lineRule="exact"/>
        <w:ind w:firstLine="560" w:firstLineChars="200"/>
        <w:outlineLvl w:val="1"/>
        <w:rPr>
          <w:rFonts w:ascii="黑体" w:hAnsi="黑体" w:eastAsia="黑体"/>
          <w:color w:val="auto"/>
          <w:sz w:val="28"/>
          <w:szCs w:val="28"/>
          <w:highlight w:val="none"/>
        </w:rPr>
      </w:pPr>
      <w:bookmarkStart w:id="22" w:name="_Toc28359094"/>
      <w:bookmarkStart w:id="23" w:name="_Toc35393803"/>
      <w:bookmarkStart w:id="24" w:name="_Toc28359017"/>
      <w:bookmarkStart w:id="25" w:name="_Toc4959"/>
      <w:bookmarkStart w:id="26" w:name="_Toc35393634"/>
      <w:r>
        <w:rPr>
          <w:rFonts w:hint="eastAsia" w:ascii="黑体" w:hAnsi="黑体" w:eastAsia="黑体"/>
          <w:color w:val="auto"/>
          <w:sz w:val="28"/>
          <w:szCs w:val="28"/>
          <w:highlight w:val="none"/>
        </w:rPr>
        <w:t>五、公告期限</w:t>
      </w:r>
      <w:bookmarkEnd w:id="22"/>
      <w:bookmarkEnd w:id="23"/>
      <w:bookmarkEnd w:id="24"/>
      <w:bookmarkEnd w:id="25"/>
      <w:bookmarkEnd w:id="26"/>
    </w:p>
    <w:p w14:paraId="0AF0D62B">
      <w:pPr>
        <w:spacing w:line="500" w:lineRule="exact"/>
        <w:ind w:firstLine="560" w:firstLineChars="200"/>
        <w:rPr>
          <w:rFonts w:ascii="仿宋" w:hAnsi="仿宋" w:eastAsia="仿宋" w:cs="宋体"/>
          <w:color w:val="auto"/>
          <w:kern w:val="0"/>
          <w:sz w:val="28"/>
          <w:szCs w:val="28"/>
          <w:highlight w:val="none"/>
        </w:rPr>
      </w:pPr>
      <w:r>
        <w:rPr>
          <w:rFonts w:hint="eastAsia" w:ascii="仿宋" w:hAnsi="仿宋" w:eastAsia="仿宋" w:cs="宋体"/>
          <w:color w:val="auto"/>
          <w:kern w:val="0"/>
          <w:sz w:val="28"/>
          <w:szCs w:val="28"/>
          <w:highlight w:val="none"/>
        </w:rPr>
        <w:t>自本公告发布之日起3个工作日。</w:t>
      </w:r>
    </w:p>
    <w:p w14:paraId="0C4859BB">
      <w:pPr>
        <w:pStyle w:val="10"/>
        <w:spacing w:after="0" w:line="500" w:lineRule="exact"/>
        <w:ind w:firstLine="560" w:firstLineChars="200"/>
        <w:outlineLvl w:val="1"/>
        <w:rPr>
          <w:rFonts w:ascii="黑体" w:hAnsi="黑体" w:eastAsia="黑体"/>
          <w:color w:val="auto"/>
          <w:sz w:val="28"/>
          <w:szCs w:val="28"/>
          <w:highlight w:val="none"/>
        </w:rPr>
      </w:pPr>
      <w:bookmarkStart w:id="27" w:name="_Toc35393635"/>
      <w:bookmarkStart w:id="28" w:name="_Toc35393804"/>
      <w:bookmarkStart w:id="29" w:name="_Toc30415"/>
      <w:r>
        <w:rPr>
          <w:rFonts w:hint="eastAsia" w:ascii="黑体" w:hAnsi="黑体" w:eastAsia="黑体"/>
          <w:color w:val="auto"/>
          <w:sz w:val="28"/>
          <w:szCs w:val="28"/>
          <w:highlight w:val="none"/>
        </w:rPr>
        <w:t>六、其他补充事宜</w:t>
      </w:r>
      <w:bookmarkEnd w:id="27"/>
      <w:bookmarkEnd w:id="28"/>
      <w:bookmarkEnd w:id="29"/>
    </w:p>
    <w:p w14:paraId="184393FB">
      <w:pPr>
        <w:spacing w:line="500" w:lineRule="exact"/>
        <w:ind w:firstLine="565" w:firstLineChars="202"/>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1.</w:t>
      </w:r>
      <w:r>
        <w:rPr>
          <w:rFonts w:hint="eastAsia" w:ascii="仿宋" w:hAnsi="仿宋" w:eastAsia="仿宋" w:cs="宋体"/>
          <w:bCs/>
          <w:color w:val="auto"/>
          <w:sz w:val="28"/>
          <w:szCs w:val="28"/>
          <w:highlight w:val="none"/>
        </w:rPr>
        <w:t>本项目采用电子化交易模式，</w:t>
      </w:r>
      <w:r>
        <w:rPr>
          <w:rFonts w:hint="eastAsia" w:ascii="仿宋" w:hAnsi="仿宋" w:eastAsia="仿宋"/>
          <w:color w:val="auto"/>
          <w:sz w:val="28"/>
          <w:szCs w:val="28"/>
          <w:highlight w:val="none"/>
        </w:rPr>
        <w:t>具体详见《江苏省政府采购管理交易系统（苏采云）投标人操作手册》，特别</w:t>
      </w:r>
      <w:r>
        <w:rPr>
          <w:rFonts w:hint="eastAsia" w:ascii="仿宋" w:hAnsi="仿宋" w:eastAsia="仿宋" w:cs="宋体"/>
          <w:bCs/>
          <w:color w:val="auto"/>
          <w:sz w:val="28"/>
          <w:szCs w:val="28"/>
          <w:highlight w:val="none"/>
        </w:rPr>
        <w:t>注意以下事项：</w:t>
      </w:r>
    </w:p>
    <w:p w14:paraId="4FE8461C">
      <w:pPr>
        <w:spacing w:line="500" w:lineRule="exact"/>
        <w:ind w:firstLine="560" w:firstLineChars="200"/>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（1）“苏采云”系统的网址为：http://jszfcg.jsczt.cn/；</w:t>
      </w:r>
    </w:p>
    <w:p w14:paraId="55397BF8">
      <w:pPr>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26"/>
          <w:rFonts w:ascii="仿宋" w:hAnsi="仿宋" w:eastAsia="仿宋" w:cs="宋体"/>
          <w:bCs/>
          <w:color w:val="auto"/>
          <w:sz w:val="28"/>
          <w:szCs w:val="28"/>
          <w:highlight w:val="none"/>
        </w:rPr>
        <w:t>http://jsxcmm.com/help/gys.html</w:t>
      </w:r>
      <w:r>
        <w:rPr>
          <w:rStyle w:val="26"/>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w:t>
      </w:r>
      <w:r>
        <w:rPr>
          <w:rFonts w:hint="eastAsia" w:ascii="仿宋" w:hAnsi="仿宋" w:eastAsia="仿宋" w:cs="宋体"/>
          <w:bCs/>
          <w:color w:val="auto"/>
          <w:sz w:val="28"/>
          <w:szCs w:val="28"/>
          <w:highlight w:val="none"/>
        </w:rPr>
        <w:t>。</w:t>
      </w:r>
    </w:p>
    <w:p w14:paraId="2386AD04">
      <w:pPr>
        <w:spacing w:line="500" w:lineRule="exact"/>
        <w:ind w:firstLine="560" w:firstLineChars="200"/>
        <w:rPr>
          <w:rFonts w:ascii="仿宋" w:hAnsi="仿宋" w:eastAsia="仿宋"/>
          <w:color w:val="auto"/>
          <w:sz w:val="28"/>
          <w:szCs w:val="28"/>
          <w:highlight w:val="none"/>
        </w:rPr>
      </w:pPr>
      <w:r>
        <w:rPr>
          <w:rFonts w:hint="eastAsia" w:ascii="仿宋" w:hAnsi="仿宋" w:eastAsia="仿宋" w:cs="仿宋"/>
          <w:color w:val="auto"/>
          <w:sz w:val="28"/>
          <w:szCs w:val="28"/>
          <w:highlight w:val="none"/>
        </w:rPr>
        <w:t>（3）</w:t>
      </w:r>
      <w:r>
        <w:rPr>
          <w:rFonts w:ascii="仿宋" w:hAnsi="仿宋" w:eastAsia="仿宋"/>
          <w:color w:val="auto"/>
          <w:sz w:val="28"/>
          <w:szCs w:val="28"/>
          <w:highlight w:val="none"/>
        </w:rPr>
        <w:t>使用谷歌浏览器。</w:t>
      </w:r>
    </w:p>
    <w:p w14:paraId="515A75B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w:t>
      </w:r>
      <w:r>
        <w:rPr>
          <w:rFonts w:ascii="仿宋" w:hAnsi="仿宋" w:eastAsia="仿宋"/>
          <w:color w:val="auto"/>
          <w:sz w:val="28"/>
          <w:szCs w:val="28"/>
          <w:highlight w:val="none"/>
        </w:rPr>
        <w:t>提前准备好麦克风、音响，摄像头，</w:t>
      </w:r>
      <w:r>
        <w:rPr>
          <w:rFonts w:hint="eastAsia" w:ascii="仿宋" w:hAnsi="仿宋" w:eastAsia="仿宋"/>
          <w:color w:val="auto"/>
          <w:sz w:val="28"/>
          <w:szCs w:val="28"/>
          <w:highlight w:val="none"/>
        </w:rPr>
        <w:t>并</w:t>
      </w:r>
      <w:r>
        <w:rPr>
          <w:rFonts w:ascii="仿宋" w:hAnsi="仿宋" w:eastAsia="仿宋"/>
          <w:color w:val="auto"/>
          <w:sz w:val="28"/>
          <w:szCs w:val="28"/>
          <w:highlight w:val="none"/>
        </w:rPr>
        <w:t>检查保证能够正常使用。</w:t>
      </w:r>
    </w:p>
    <w:p w14:paraId="7A7D25DF">
      <w:pPr>
        <w:spacing w:line="500" w:lineRule="exact"/>
        <w:ind w:firstLine="560" w:firstLineChars="200"/>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（5）</w:t>
      </w:r>
      <w:r>
        <w:rPr>
          <w:rFonts w:ascii="仿宋" w:hAnsi="仿宋" w:eastAsia="仿宋"/>
          <w:color w:val="auto"/>
          <w:sz w:val="28"/>
          <w:szCs w:val="28"/>
          <w:highlight w:val="none"/>
        </w:rPr>
        <w:t>操作系统至少win7以上，建议使用win10操作系统。</w:t>
      </w:r>
    </w:p>
    <w:p w14:paraId="3287105C">
      <w:pPr>
        <w:spacing w:line="500" w:lineRule="exact"/>
        <w:ind w:firstLine="560" w:firstLineChars="200"/>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（6）供应商应当通过“苏采云”系统提交电子响应文件，响应文件不得超过150M。</w:t>
      </w:r>
    </w:p>
    <w:p w14:paraId="08BC43E1">
      <w:pPr>
        <w:spacing w:line="500" w:lineRule="exact"/>
        <w:ind w:firstLine="565" w:firstLineChars="202"/>
        <w:rPr>
          <w:rFonts w:hint="eastAsia" w:ascii="仿宋" w:hAnsi="仿宋" w:eastAsia="仿宋"/>
          <w:b/>
          <w:color w:val="auto"/>
          <w:sz w:val="28"/>
          <w:szCs w:val="28"/>
          <w:highlight w:val="none"/>
          <w:lang w:eastAsia="zh-CN"/>
        </w:rPr>
      </w:pPr>
      <w:r>
        <w:rPr>
          <w:rFonts w:hint="eastAsia" w:ascii="仿宋" w:hAnsi="仿宋" w:eastAsia="仿宋" w:cs="宋体"/>
          <w:color w:val="auto"/>
          <w:sz w:val="28"/>
          <w:szCs w:val="28"/>
          <w:highlight w:val="none"/>
        </w:rPr>
        <w:t>2. 谈判</w:t>
      </w:r>
      <w:r>
        <w:rPr>
          <w:rFonts w:ascii="仿宋" w:hAnsi="仿宋" w:eastAsia="仿宋" w:cs="宋体"/>
          <w:color w:val="auto"/>
          <w:sz w:val="28"/>
          <w:szCs w:val="28"/>
          <w:highlight w:val="none"/>
        </w:rPr>
        <w:t>保证金</w:t>
      </w:r>
      <w:r>
        <w:rPr>
          <w:rFonts w:hint="eastAsia" w:ascii="仿宋" w:hAnsi="仿宋" w:eastAsia="仿宋" w:cs="宋体"/>
          <w:color w:val="auto"/>
          <w:sz w:val="28"/>
          <w:szCs w:val="28"/>
          <w:highlight w:val="none"/>
        </w:rPr>
        <w:t>及履约保证金</w:t>
      </w:r>
      <w:r>
        <w:rPr>
          <w:rFonts w:ascii="仿宋" w:hAnsi="仿宋" w:eastAsia="仿宋" w:cs="宋体"/>
          <w:color w:val="auto"/>
          <w:sz w:val="28"/>
          <w:szCs w:val="28"/>
          <w:highlight w:val="none"/>
        </w:rPr>
        <w:t>：免收</w:t>
      </w:r>
      <w:r>
        <w:rPr>
          <w:rFonts w:hint="eastAsia" w:ascii="仿宋" w:hAnsi="仿宋" w:eastAsia="仿宋" w:cs="宋体"/>
          <w:color w:val="auto"/>
          <w:sz w:val="28"/>
          <w:szCs w:val="28"/>
          <w:highlight w:val="none"/>
          <w:lang w:eastAsia="zh-CN"/>
        </w:rPr>
        <w:t>。</w:t>
      </w:r>
    </w:p>
    <w:p w14:paraId="20A7F8CA">
      <w:pPr>
        <w:spacing w:line="500" w:lineRule="exact"/>
        <w:ind w:firstLine="565" w:firstLineChars="202"/>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w:t>
      </w:r>
      <w:r>
        <w:rPr>
          <w:rFonts w:hint="eastAsia" w:ascii="仿宋" w:hAnsi="仿宋" w:eastAsia="仿宋" w:cs="宋体"/>
          <w:color w:val="auto"/>
          <w:kern w:val="0"/>
          <w:sz w:val="28"/>
          <w:szCs w:val="28"/>
          <w:highlight w:val="none"/>
        </w:rPr>
        <w:t>本项目</w:t>
      </w:r>
      <w:r>
        <w:rPr>
          <w:rFonts w:hint="eastAsia" w:ascii="仿宋" w:hAnsi="仿宋" w:eastAsia="仿宋"/>
          <w:color w:val="auto"/>
          <w:sz w:val="28"/>
          <w:szCs w:val="28"/>
          <w:highlight w:val="none"/>
        </w:rPr>
        <w:t>为了保证响应供应商能全面了解本项目实际情况，避免</w:t>
      </w:r>
      <w:r>
        <w:rPr>
          <w:rFonts w:hint="eastAsia" w:ascii="仿宋" w:hAnsi="仿宋" w:eastAsia="仿宋"/>
          <w:color w:val="auto"/>
          <w:sz w:val="28"/>
          <w:szCs w:val="28"/>
          <w:highlight w:val="none"/>
          <w:lang w:val="en-US" w:eastAsia="zh-CN"/>
        </w:rPr>
        <w:t>盲目</w:t>
      </w:r>
      <w:r>
        <w:rPr>
          <w:rFonts w:hint="eastAsia" w:ascii="仿宋" w:hAnsi="仿宋" w:eastAsia="仿宋"/>
          <w:color w:val="auto"/>
          <w:sz w:val="28"/>
          <w:szCs w:val="28"/>
          <w:highlight w:val="none"/>
        </w:rPr>
        <w:t>投标，特别提醒所有响应供应商需自行组织人员踏勘现场，踏勘前与采购人联系预约，自行负责现场踏勘安全。如响应供应商选择不踏勘现场，造成项目需求理解偏差、</w:t>
      </w:r>
      <w:r>
        <w:rPr>
          <w:rFonts w:ascii="仿宋" w:hAnsi="仿宋" w:eastAsia="仿宋"/>
          <w:color w:val="auto"/>
          <w:sz w:val="28"/>
          <w:szCs w:val="28"/>
          <w:highlight w:val="none"/>
        </w:rPr>
        <w:t>方案编制失误</w:t>
      </w:r>
      <w:r>
        <w:rPr>
          <w:rFonts w:hint="eastAsia" w:ascii="仿宋" w:hAnsi="仿宋" w:eastAsia="仿宋"/>
          <w:color w:val="auto"/>
          <w:sz w:val="28"/>
          <w:szCs w:val="28"/>
          <w:highlight w:val="none"/>
        </w:rPr>
        <w:t>或响应报价失误均由响应供应商自行承担；</w:t>
      </w:r>
      <w:r>
        <w:rPr>
          <w:rFonts w:ascii="仿宋" w:hAnsi="仿宋" w:eastAsia="仿宋"/>
          <w:color w:val="auto"/>
          <w:sz w:val="28"/>
          <w:szCs w:val="28"/>
          <w:highlight w:val="none"/>
        </w:rPr>
        <w:t>因</w:t>
      </w:r>
      <w:r>
        <w:rPr>
          <w:rFonts w:hint="eastAsia" w:ascii="仿宋" w:hAnsi="仿宋" w:eastAsia="仿宋"/>
          <w:color w:val="auto"/>
          <w:sz w:val="28"/>
          <w:szCs w:val="28"/>
          <w:highlight w:val="none"/>
        </w:rPr>
        <w:t>响应供应商</w:t>
      </w:r>
      <w:r>
        <w:rPr>
          <w:rFonts w:ascii="仿宋" w:hAnsi="仿宋" w:eastAsia="仿宋"/>
          <w:color w:val="auto"/>
          <w:sz w:val="28"/>
          <w:szCs w:val="28"/>
          <w:highlight w:val="none"/>
        </w:rPr>
        <w:t>自身不能参加现场勘察或现场踏勘不全面的，不得因此提出修改报价或履约过程中提出索赔等要求。</w:t>
      </w:r>
    </w:p>
    <w:p w14:paraId="4E8DDC68">
      <w:pPr>
        <w:pStyle w:val="10"/>
        <w:spacing w:after="0" w:line="500" w:lineRule="exact"/>
        <w:ind w:firstLine="560" w:firstLineChars="200"/>
        <w:outlineLvl w:val="1"/>
        <w:rPr>
          <w:rFonts w:ascii="黑体" w:hAnsi="黑体" w:eastAsia="黑体"/>
          <w:color w:val="auto"/>
          <w:sz w:val="28"/>
          <w:szCs w:val="28"/>
          <w:highlight w:val="none"/>
        </w:rPr>
      </w:pPr>
      <w:bookmarkStart w:id="30" w:name="_Toc28359095"/>
      <w:bookmarkStart w:id="31" w:name="_Toc28359018"/>
      <w:bookmarkStart w:id="32" w:name="_Toc12358"/>
      <w:bookmarkStart w:id="33" w:name="_Toc35393805"/>
      <w:bookmarkStart w:id="34" w:name="_Toc35393636"/>
      <w:r>
        <w:rPr>
          <w:rFonts w:hint="eastAsia" w:ascii="黑体" w:hAnsi="黑体" w:eastAsia="黑体"/>
          <w:color w:val="auto"/>
          <w:sz w:val="28"/>
          <w:szCs w:val="28"/>
          <w:highlight w:val="none"/>
        </w:rPr>
        <w:t>七、凡对本次采购提出询问，请按</w:t>
      </w:r>
      <w:r>
        <w:rPr>
          <w:rFonts w:ascii="黑体" w:hAnsi="黑体" w:eastAsia="黑体"/>
          <w:color w:val="auto"/>
          <w:sz w:val="28"/>
          <w:szCs w:val="28"/>
          <w:highlight w:val="none"/>
        </w:rPr>
        <w:t>以下方式</w:t>
      </w:r>
      <w:r>
        <w:rPr>
          <w:rFonts w:hint="eastAsia" w:ascii="黑体" w:hAnsi="黑体" w:eastAsia="黑体"/>
          <w:color w:val="auto"/>
          <w:sz w:val="28"/>
          <w:szCs w:val="28"/>
          <w:highlight w:val="none"/>
        </w:rPr>
        <w:t>联系。</w:t>
      </w:r>
      <w:bookmarkEnd w:id="30"/>
      <w:bookmarkEnd w:id="31"/>
      <w:bookmarkEnd w:id="32"/>
      <w:bookmarkEnd w:id="33"/>
      <w:bookmarkEnd w:id="34"/>
    </w:p>
    <w:p w14:paraId="15048587">
      <w:pPr>
        <w:spacing w:line="500" w:lineRule="exact"/>
        <w:ind w:firstLine="540"/>
        <w:outlineLvl w:val="9"/>
        <w:rPr>
          <w:rFonts w:ascii="仿宋" w:hAnsi="仿宋" w:eastAsia="仿宋" w:cs="宋体"/>
          <w:color w:val="auto"/>
          <w:sz w:val="28"/>
          <w:szCs w:val="28"/>
          <w:highlight w:val="none"/>
        </w:rPr>
      </w:pPr>
      <w:bookmarkStart w:id="35" w:name="_Toc35393637"/>
      <w:bookmarkStart w:id="36" w:name="_Toc35393806"/>
      <w:bookmarkStart w:id="37" w:name="_Toc28359019"/>
      <w:bookmarkStart w:id="38" w:name="_Toc28359096"/>
      <w:bookmarkStart w:id="39" w:name="_Toc28359097"/>
      <w:bookmarkStart w:id="40" w:name="_Toc28359020"/>
      <w:bookmarkStart w:id="41" w:name="_Toc35393807"/>
      <w:bookmarkStart w:id="42" w:name="_Toc35393638"/>
      <w:r>
        <w:rPr>
          <w:rFonts w:hint="eastAsia" w:ascii="仿宋" w:hAnsi="仿宋" w:eastAsia="仿宋" w:cs="宋体"/>
          <w:color w:val="auto"/>
          <w:sz w:val="28"/>
          <w:szCs w:val="28"/>
          <w:highlight w:val="none"/>
        </w:rPr>
        <w:t>1. 采购人信息</w:t>
      </w:r>
      <w:bookmarkEnd w:id="35"/>
      <w:bookmarkEnd w:id="36"/>
      <w:bookmarkEnd w:id="37"/>
      <w:bookmarkEnd w:id="38"/>
    </w:p>
    <w:p w14:paraId="6F05FEAD">
      <w:pPr>
        <w:spacing w:line="500" w:lineRule="exact"/>
        <w:ind w:left="1129" w:leftChars="371" w:hanging="350" w:hangingChars="125"/>
        <w:jc w:val="left"/>
        <w:outlineLvl w:val="9"/>
        <w:rPr>
          <w:rFonts w:hint="default" w:ascii="仿宋" w:hAnsi="仿宋" w:eastAsia="仿宋"/>
          <w:color w:val="auto"/>
          <w:sz w:val="28"/>
          <w:szCs w:val="28"/>
          <w:highlight w:val="none"/>
          <w:u w:val="none"/>
          <w:lang w:val="en-US" w:eastAsia="zh-CN"/>
        </w:rPr>
      </w:pPr>
      <w:r>
        <w:rPr>
          <w:rFonts w:hint="eastAsia" w:ascii="仿宋" w:hAnsi="仿宋" w:eastAsia="仿宋"/>
          <w:color w:val="auto"/>
          <w:sz w:val="28"/>
          <w:szCs w:val="28"/>
          <w:highlight w:val="none"/>
        </w:rPr>
        <w:t xml:space="preserve">名    </w:t>
      </w:r>
      <w:r>
        <w:rPr>
          <w:rFonts w:hint="eastAsia" w:ascii="仿宋" w:hAnsi="仿宋" w:eastAsia="仿宋"/>
          <w:color w:val="auto"/>
          <w:sz w:val="28"/>
          <w:szCs w:val="28"/>
          <w:highlight w:val="none"/>
          <w:u w:val="none"/>
        </w:rPr>
        <w:t>称：</w:t>
      </w:r>
      <w:r>
        <w:rPr>
          <w:rFonts w:hint="eastAsia" w:ascii="仿宋" w:hAnsi="仿宋" w:eastAsia="仿宋"/>
          <w:color w:val="auto"/>
          <w:sz w:val="28"/>
          <w:szCs w:val="28"/>
          <w:highlight w:val="none"/>
          <w:u w:val="none"/>
          <w:lang w:val="en-US" w:eastAsia="zh-CN"/>
        </w:rPr>
        <w:t>如皋市东陈镇人民政府</w:t>
      </w:r>
    </w:p>
    <w:p w14:paraId="3D70F98C">
      <w:pPr>
        <w:spacing w:line="500" w:lineRule="exact"/>
        <w:ind w:left="1129" w:leftChars="371" w:hanging="350" w:hangingChars="125"/>
        <w:jc w:val="left"/>
        <w:outlineLvl w:val="9"/>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地    址：江苏省南通如皋市东陈镇府前街88号</w:t>
      </w:r>
    </w:p>
    <w:p w14:paraId="2EFF5CE7">
      <w:pPr>
        <w:spacing w:line="500" w:lineRule="exact"/>
        <w:ind w:left="1129" w:leftChars="371" w:hanging="350" w:hangingChars="125"/>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项目经办人姓名：赵然</w:t>
      </w:r>
    </w:p>
    <w:p w14:paraId="554D9296">
      <w:pPr>
        <w:spacing w:line="500" w:lineRule="exact"/>
        <w:ind w:left="1129" w:leftChars="371" w:hanging="350" w:hangingChars="125"/>
        <w:jc w:val="lef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项目经办人联系方式：</w:t>
      </w:r>
      <w:r>
        <w:rPr>
          <w:rFonts w:hint="eastAsia" w:ascii="仿宋" w:hAnsi="仿宋" w:eastAsia="仿宋"/>
          <w:color w:val="auto"/>
          <w:sz w:val="28"/>
          <w:szCs w:val="28"/>
          <w:highlight w:val="none"/>
          <w:lang w:val="en-US" w:eastAsia="zh-CN"/>
        </w:rPr>
        <w:t>0513-68775873</w:t>
      </w:r>
    </w:p>
    <w:p w14:paraId="7CA9597C">
      <w:pPr>
        <w:spacing w:line="500" w:lineRule="exact"/>
        <w:ind w:firstLine="54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2. 采购代理机构信息（如有）</w:t>
      </w:r>
      <w:bookmarkEnd w:id="39"/>
      <w:bookmarkEnd w:id="40"/>
      <w:bookmarkEnd w:id="41"/>
      <w:bookmarkEnd w:id="42"/>
    </w:p>
    <w:p w14:paraId="4E469A09">
      <w:pPr>
        <w:spacing w:line="500" w:lineRule="exact"/>
        <w:ind w:firstLine="840" w:firstLineChars="3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名    称：</w:t>
      </w:r>
      <w:r>
        <w:rPr>
          <w:rFonts w:hint="eastAsia" w:ascii="仿宋" w:hAnsi="仿宋" w:eastAsia="仿宋"/>
          <w:color w:val="auto"/>
          <w:sz w:val="28"/>
          <w:szCs w:val="28"/>
          <w:highlight w:val="none"/>
          <w:lang w:eastAsia="zh-CN"/>
        </w:rPr>
        <w:t>南通中江工程项目管理有限公司</w:t>
      </w:r>
    </w:p>
    <w:p w14:paraId="54690728">
      <w:pPr>
        <w:spacing w:line="500" w:lineRule="exact"/>
        <w:ind w:firstLine="840" w:firstLineChars="300"/>
        <w:rPr>
          <w:rFonts w:ascii="仿宋" w:hAnsi="仿宋" w:eastAsia="仿宋"/>
          <w:color w:val="auto"/>
          <w:sz w:val="28"/>
          <w:szCs w:val="28"/>
          <w:highlight w:val="none"/>
        </w:rPr>
      </w:pPr>
      <w:r>
        <w:rPr>
          <w:rFonts w:hint="eastAsia" w:ascii="仿宋" w:hAnsi="仿宋" w:eastAsia="仿宋"/>
          <w:color w:val="auto"/>
          <w:sz w:val="28"/>
          <w:szCs w:val="28"/>
          <w:highlight w:val="none"/>
        </w:rPr>
        <w:t>地　　址：如皋市如城街道惠政路269号纪庄大楼9层</w:t>
      </w:r>
    </w:p>
    <w:p w14:paraId="68581522">
      <w:pPr>
        <w:spacing w:line="500" w:lineRule="exact"/>
        <w:ind w:firstLine="840" w:firstLineChars="30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项目经办人姓名：</w:t>
      </w:r>
      <w:r>
        <w:rPr>
          <w:rFonts w:hint="eastAsia" w:ascii="仿宋" w:hAnsi="仿宋" w:eastAsia="仿宋"/>
          <w:color w:val="auto"/>
          <w:sz w:val="28"/>
          <w:szCs w:val="28"/>
          <w:highlight w:val="none"/>
          <w:lang w:val="en-US" w:eastAsia="zh-CN"/>
        </w:rPr>
        <w:t xml:space="preserve">魏书丽 </w:t>
      </w:r>
    </w:p>
    <w:p w14:paraId="4BCA64A3">
      <w:pPr>
        <w:spacing w:line="500" w:lineRule="exact"/>
        <w:ind w:firstLine="840" w:firstLineChars="300"/>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项目经办人联系方式：</w:t>
      </w:r>
      <w:r>
        <w:rPr>
          <w:rFonts w:hint="eastAsia" w:ascii="仿宋" w:hAnsi="仿宋" w:eastAsia="仿宋"/>
          <w:color w:val="auto"/>
          <w:sz w:val="28"/>
          <w:szCs w:val="28"/>
          <w:highlight w:val="none"/>
          <w:lang w:val="en-US" w:eastAsia="zh-CN"/>
        </w:rPr>
        <w:t>15051237698</w:t>
      </w:r>
    </w:p>
    <w:p w14:paraId="03D297DC">
      <w:pPr>
        <w:spacing w:line="500" w:lineRule="exact"/>
        <w:ind w:firstLine="840" w:firstLineChars="300"/>
        <w:rPr>
          <w:rFonts w:ascii="仿宋" w:hAnsi="仿宋" w:eastAsia="仿宋"/>
          <w:color w:val="auto"/>
          <w:sz w:val="28"/>
          <w:szCs w:val="28"/>
          <w:highlight w:val="none"/>
          <w:u w:val="single"/>
        </w:rPr>
      </w:pPr>
    </w:p>
    <w:p w14:paraId="6BD709F7">
      <w:pPr>
        <w:adjustRightInd w:val="0"/>
        <w:snapToGrid w:val="0"/>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附件:</w:t>
      </w:r>
    </w:p>
    <w:p w14:paraId="4F2CC80F">
      <w:pPr>
        <w:adjustRightInd w:val="0"/>
        <w:snapToGrid w:val="0"/>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1.办理政采贷和履约保函（保险）告知函</w:t>
      </w:r>
    </w:p>
    <w:p w14:paraId="71A76460">
      <w:pPr>
        <w:adjustRightInd w:val="0"/>
        <w:snapToGrid w:val="0"/>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2.谈</w:t>
      </w:r>
      <w:r>
        <w:rPr>
          <w:rFonts w:ascii="仿宋" w:hAnsi="仿宋" w:eastAsia="仿宋"/>
          <w:b/>
          <w:color w:val="auto"/>
          <w:sz w:val="28"/>
          <w:szCs w:val="28"/>
          <w:highlight w:val="none"/>
        </w:rPr>
        <w:t>判文件</w:t>
      </w:r>
    </w:p>
    <w:p w14:paraId="05DC95EE">
      <w:pPr>
        <w:pStyle w:val="39"/>
        <w:spacing w:before="0" w:after="0" w:line="500" w:lineRule="exact"/>
        <w:ind w:firstLine="0"/>
        <w:rPr>
          <w:rFonts w:ascii="仿宋" w:hAnsi="仿宋" w:eastAsia="仿宋"/>
          <w:b/>
          <w:color w:val="auto"/>
          <w:sz w:val="28"/>
          <w:szCs w:val="28"/>
          <w:highlight w:val="none"/>
        </w:rPr>
      </w:pPr>
      <w:r>
        <w:rPr>
          <w:rFonts w:hint="eastAsia" w:ascii="仿宋" w:hAnsi="仿宋" w:eastAsia="仿宋"/>
          <w:b/>
          <w:color w:val="auto"/>
          <w:sz w:val="28"/>
          <w:szCs w:val="28"/>
          <w:highlight w:val="none"/>
        </w:rPr>
        <w:t>3.采购人</w:t>
      </w:r>
      <w:r>
        <w:rPr>
          <w:rFonts w:ascii="仿宋" w:hAnsi="仿宋" w:eastAsia="仿宋"/>
          <w:b/>
          <w:color w:val="auto"/>
          <w:sz w:val="28"/>
          <w:szCs w:val="28"/>
          <w:highlight w:val="none"/>
        </w:rPr>
        <w:t>信用承诺</w:t>
      </w:r>
    </w:p>
    <w:p w14:paraId="331C85F3">
      <w:pPr>
        <w:pStyle w:val="39"/>
        <w:ind w:firstLine="0"/>
        <w:jc w:val="center"/>
        <w:outlineLvl w:val="0"/>
        <w:rPr>
          <w:rFonts w:ascii="方正小标宋简体" w:eastAsia="方正小标宋简体"/>
          <w:bCs/>
          <w:color w:val="auto"/>
          <w:sz w:val="32"/>
          <w:szCs w:val="32"/>
          <w:highlight w:val="none"/>
        </w:rPr>
      </w:pPr>
      <w:r>
        <w:rPr>
          <w:rFonts w:ascii="宋体" w:hAnsi="宋体"/>
          <w:color w:val="auto"/>
          <w:highlight w:val="none"/>
        </w:rPr>
        <w:br w:type="page"/>
      </w:r>
      <w:bookmarkStart w:id="43" w:name="_Toc24828"/>
      <w:r>
        <w:rPr>
          <w:rFonts w:hint="eastAsia" w:ascii="方正小标宋简体" w:eastAsia="方正小标宋简体"/>
          <w:bCs/>
          <w:color w:val="auto"/>
          <w:sz w:val="32"/>
          <w:szCs w:val="32"/>
          <w:highlight w:val="none"/>
        </w:rPr>
        <w:t>第2章 谈判须知</w:t>
      </w:r>
      <w:bookmarkEnd w:id="43"/>
    </w:p>
    <w:p w14:paraId="088FC5F8">
      <w:pPr>
        <w:spacing w:line="500" w:lineRule="exact"/>
        <w:ind w:firstLine="548" w:firstLineChars="196"/>
        <w:outlineLvl w:val="1"/>
        <w:rPr>
          <w:rFonts w:ascii="黑体" w:hAnsi="黑体" w:eastAsia="黑体"/>
          <w:color w:val="auto"/>
          <w:sz w:val="28"/>
          <w:szCs w:val="28"/>
          <w:highlight w:val="none"/>
        </w:rPr>
      </w:pPr>
      <w:bookmarkStart w:id="44" w:name="_Toc24125"/>
      <w:r>
        <w:rPr>
          <w:rFonts w:hint="eastAsia" w:ascii="黑体" w:hAnsi="黑体" w:eastAsia="黑体"/>
          <w:color w:val="auto"/>
          <w:sz w:val="28"/>
          <w:szCs w:val="28"/>
          <w:highlight w:val="none"/>
        </w:rPr>
        <w:t>1. 参加谈判费用</w:t>
      </w:r>
      <w:bookmarkEnd w:id="44"/>
    </w:p>
    <w:p w14:paraId="5574AB54">
      <w:pPr>
        <w:tabs>
          <w:tab w:val="left" w:pos="900"/>
        </w:tabs>
        <w:spacing w:afterLines="50"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参加竞争性谈判活动的供应商，应自行承担所有与准备和参加竞争性谈判活动有关的费用，无论谈判过程中做法和结果如何，采购人或者代理机构在任何情况下均无义务和责任承担这些费用。</w:t>
      </w:r>
    </w:p>
    <w:p w14:paraId="17B63A61">
      <w:pPr>
        <w:tabs>
          <w:tab w:val="left" w:pos="900"/>
        </w:tabs>
        <w:spacing w:afterLines="50" w:line="500" w:lineRule="exact"/>
        <w:ind w:firstLine="557" w:firstLineChars="199"/>
        <w:outlineLvl w:val="1"/>
        <w:rPr>
          <w:rFonts w:ascii="黑体" w:hAnsi="黑体" w:eastAsia="黑体"/>
          <w:color w:val="auto"/>
          <w:sz w:val="28"/>
          <w:szCs w:val="28"/>
          <w:highlight w:val="none"/>
        </w:rPr>
      </w:pPr>
      <w:bookmarkStart w:id="45" w:name="_Toc1090"/>
      <w:r>
        <w:rPr>
          <w:rFonts w:hint="eastAsia" w:ascii="黑体" w:hAnsi="黑体" w:eastAsia="黑体"/>
          <w:color w:val="auto"/>
          <w:sz w:val="28"/>
          <w:szCs w:val="28"/>
          <w:highlight w:val="none"/>
        </w:rPr>
        <w:t>2. 谈判文件的约束力</w:t>
      </w:r>
      <w:bookmarkEnd w:id="45"/>
    </w:p>
    <w:p w14:paraId="3753FFE6">
      <w:pPr>
        <w:tabs>
          <w:tab w:val="left" w:pos="900"/>
        </w:tabs>
        <w:spacing w:line="500" w:lineRule="exact"/>
        <w:ind w:left="120" w:leftChars="57" w:firstLine="557" w:firstLineChars="199"/>
        <w:rPr>
          <w:rFonts w:ascii="仿宋" w:hAnsi="仿宋" w:eastAsia="仿宋"/>
          <w:color w:val="auto"/>
          <w:sz w:val="28"/>
          <w:szCs w:val="28"/>
          <w:highlight w:val="none"/>
        </w:rPr>
      </w:pPr>
      <w:r>
        <w:rPr>
          <w:rFonts w:hint="eastAsia" w:ascii="仿宋" w:hAnsi="仿宋" w:eastAsia="仿宋"/>
          <w:color w:val="auto"/>
          <w:sz w:val="28"/>
          <w:szCs w:val="28"/>
          <w:highlight w:val="none"/>
        </w:rPr>
        <w:t>2.1供应商一旦参加本项目谈判活动，即被认为接受了本谈判文件的规定和约束。本谈判文件由谈判公告、谈判须知、采购需求、合同文本、响应文件组成、以及</w:t>
      </w:r>
      <w:r>
        <w:rPr>
          <w:rFonts w:hint="eastAsia" w:ascii="仿宋" w:hAnsi="仿宋" w:eastAsia="仿宋"/>
          <w:bCs/>
          <w:color w:val="auto"/>
          <w:sz w:val="28"/>
          <w:szCs w:val="28"/>
          <w:highlight w:val="none"/>
        </w:rPr>
        <w:t>“苏采云”系统相关要求</w:t>
      </w:r>
      <w:r>
        <w:rPr>
          <w:rFonts w:hint="eastAsia" w:ascii="仿宋" w:hAnsi="仿宋" w:eastAsia="仿宋"/>
          <w:color w:val="auto"/>
          <w:sz w:val="28"/>
          <w:szCs w:val="28"/>
          <w:highlight w:val="none"/>
        </w:rPr>
        <w:t>等部分组成。</w:t>
      </w:r>
    </w:p>
    <w:p w14:paraId="72507780">
      <w:pPr>
        <w:tabs>
          <w:tab w:val="left" w:pos="900"/>
        </w:tabs>
        <w:spacing w:line="500" w:lineRule="exact"/>
        <w:ind w:firstLine="697" w:firstLineChars="249"/>
        <w:rPr>
          <w:rFonts w:ascii="仿宋" w:hAnsi="仿宋" w:eastAsia="仿宋"/>
          <w:color w:val="auto"/>
          <w:sz w:val="28"/>
          <w:szCs w:val="28"/>
          <w:highlight w:val="none"/>
        </w:rPr>
      </w:pPr>
      <w:r>
        <w:rPr>
          <w:rFonts w:hint="eastAsia" w:ascii="仿宋" w:hAnsi="仿宋" w:eastAsia="仿宋"/>
          <w:color w:val="auto"/>
          <w:sz w:val="28"/>
          <w:szCs w:val="28"/>
          <w:highlight w:val="none"/>
        </w:rPr>
        <w:t>2.2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p>
    <w:p w14:paraId="3731F086">
      <w:pPr>
        <w:tabs>
          <w:tab w:val="left" w:pos="900"/>
        </w:tabs>
        <w:spacing w:line="500" w:lineRule="exact"/>
        <w:ind w:firstLine="697" w:firstLineChars="249"/>
        <w:rPr>
          <w:rFonts w:ascii="仿宋" w:hAnsi="仿宋" w:eastAsia="仿宋"/>
          <w:color w:val="auto"/>
          <w:sz w:val="28"/>
          <w:szCs w:val="28"/>
          <w:highlight w:val="none"/>
        </w:rPr>
      </w:pPr>
      <w:r>
        <w:rPr>
          <w:rFonts w:hint="eastAsia" w:ascii="仿宋" w:hAnsi="仿宋" w:eastAsia="仿宋"/>
          <w:color w:val="auto"/>
          <w:sz w:val="28"/>
          <w:szCs w:val="28"/>
          <w:highlight w:val="none"/>
        </w:rPr>
        <w:t>2.3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p>
    <w:p w14:paraId="41CB3668">
      <w:pPr>
        <w:spacing w:line="500" w:lineRule="exact"/>
        <w:ind w:firstLine="560" w:firstLineChars="200"/>
        <w:outlineLvl w:val="1"/>
        <w:rPr>
          <w:rFonts w:ascii="黑体" w:hAnsi="黑体" w:eastAsia="黑体"/>
          <w:color w:val="auto"/>
          <w:sz w:val="28"/>
          <w:szCs w:val="28"/>
          <w:highlight w:val="none"/>
        </w:rPr>
      </w:pPr>
      <w:bookmarkStart w:id="46" w:name="_Toc5383"/>
      <w:r>
        <w:rPr>
          <w:rFonts w:hint="eastAsia" w:ascii="黑体" w:hAnsi="黑体" w:eastAsia="黑体"/>
          <w:color w:val="auto"/>
          <w:sz w:val="28"/>
          <w:szCs w:val="28"/>
          <w:highlight w:val="none"/>
        </w:rPr>
        <w:t>3.响应文件编制</w:t>
      </w:r>
      <w:bookmarkEnd w:id="46"/>
    </w:p>
    <w:p w14:paraId="35E17E4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3.1 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rPr>
          <w:rFonts w:ascii="仿宋" w:hAnsi="仿宋" w:eastAsia="仿宋"/>
          <w:color w:val="auto"/>
          <w:sz w:val="28"/>
          <w:szCs w:val="28"/>
          <w:highlight w:val="none"/>
        </w:rPr>
        <w:t>。</w:t>
      </w:r>
    </w:p>
    <w:p w14:paraId="377E0A3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除技术性能另有规定外，响应文件所使用的度量衡单位，均须采用国家法定计量单位</w:t>
      </w:r>
      <w:r>
        <w:rPr>
          <w:rFonts w:ascii="仿宋" w:hAnsi="仿宋" w:eastAsia="仿宋"/>
          <w:color w:val="auto"/>
          <w:sz w:val="28"/>
          <w:szCs w:val="28"/>
          <w:highlight w:val="none"/>
        </w:rPr>
        <w:t>。</w:t>
      </w:r>
    </w:p>
    <w:p w14:paraId="15D1FE5D">
      <w:pPr>
        <w:tabs>
          <w:tab w:val="left" w:pos="900"/>
        </w:tabs>
        <w:spacing w:line="500" w:lineRule="exact"/>
        <w:ind w:firstLine="560" w:firstLineChars="200"/>
        <w:rPr>
          <w:rFonts w:ascii="仿宋" w:hAnsi="仿宋" w:eastAsia="仿宋"/>
          <w:color w:val="auto"/>
          <w:sz w:val="28"/>
          <w:szCs w:val="28"/>
          <w:highlight w:val="none"/>
        </w:rPr>
      </w:pPr>
      <w:r>
        <w:rPr>
          <w:rFonts w:hint="eastAsia" w:ascii="仿宋" w:hAnsi="仿宋" w:eastAsia="仿宋"/>
          <w:bCs/>
          <w:color w:val="auto"/>
          <w:sz w:val="28"/>
          <w:szCs w:val="28"/>
          <w:highlight w:val="none"/>
        </w:rPr>
        <w:t>3.3 供应商编写的响应文件应包括资格审查文件、商务技术文件、报价文件等部分，具体按照 第5章响应文件组成”要求编写</w:t>
      </w:r>
      <w:r>
        <w:rPr>
          <w:rFonts w:ascii="仿宋" w:hAnsi="仿宋" w:eastAsia="仿宋"/>
          <w:color w:val="auto"/>
          <w:sz w:val="28"/>
          <w:szCs w:val="28"/>
          <w:highlight w:val="none"/>
        </w:rPr>
        <w:t>。</w:t>
      </w:r>
    </w:p>
    <w:p w14:paraId="1357F3A0">
      <w:pPr>
        <w:spacing w:line="500" w:lineRule="exact"/>
        <w:ind w:firstLine="560" w:firstLineChars="200"/>
        <w:outlineLvl w:val="1"/>
        <w:rPr>
          <w:rFonts w:ascii="黑体" w:hAnsi="黑体" w:eastAsia="黑体"/>
          <w:color w:val="auto"/>
          <w:sz w:val="28"/>
          <w:szCs w:val="28"/>
          <w:highlight w:val="none"/>
        </w:rPr>
      </w:pPr>
      <w:bookmarkStart w:id="47" w:name="_Hlt26954830"/>
      <w:bookmarkEnd w:id="47"/>
      <w:bookmarkStart w:id="48" w:name="_Hlt26954828"/>
      <w:bookmarkEnd w:id="48"/>
      <w:bookmarkStart w:id="49" w:name="_Hlt26954832"/>
      <w:bookmarkEnd w:id="49"/>
      <w:bookmarkStart w:id="50" w:name="_Hlt26668969"/>
      <w:bookmarkEnd w:id="50"/>
      <w:bookmarkStart w:id="51" w:name="_Hlt26670354"/>
      <w:bookmarkEnd w:id="51"/>
      <w:bookmarkStart w:id="52" w:name="_Hlt26670348"/>
      <w:bookmarkEnd w:id="52"/>
      <w:bookmarkStart w:id="53" w:name="_Hlt26670345"/>
      <w:bookmarkEnd w:id="53"/>
      <w:bookmarkStart w:id="54" w:name="_Toc1452"/>
      <w:r>
        <w:rPr>
          <w:rFonts w:hint="eastAsia" w:ascii="黑体" w:hAnsi="黑体" w:eastAsia="黑体"/>
          <w:color w:val="auto"/>
          <w:sz w:val="28"/>
          <w:szCs w:val="28"/>
          <w:highlight w:val="none"/>
        </w:rPr>
        <w:t>4.响应文件提交、撤回和修改</w:t>
      </w:r>
      <w:bookmarkEnd w:id="54"/>
    </w:p>
    <w:p w14:paraId="1C5AAD5D">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color w:val="auto"/>
          <w:sz w:val="28"/>
          <w:szCs w:val="28"/>
          <w:highlight w:val="none"/>
        </w:rPr>
        <w:t>4.1 供应商</w:t>
      </w:r>
      <w:r>
        <w:rPr>
          <w:rFonts w:hint="eastAsia" w:ascii="仿宋" w:hAnsi="仿宋" w:eastAsia="仿宋"/>
          <w:bCs/>
          <w:color w:val="auto"/>
          <w:sz w:val="28"/>
          <w:szCs w:val="28"/>
          <w:highlight w:val="none"/>
        </w:rPr>
        <w:t>对CA证书妥善保管，如被他人盗用投标，因此带来的结果均由供应商自行承担。</w:t>
      </w:r>
    </w:p>
    <w:p w14:paraId="5349C6EF">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供应商应当按照采购文件和“苏采云”系统的要求编制并加密响应文件。</w:t>
      </w:r>
    </w:p>
    <w:p w14:paraId="425BB347">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4.3 供应商应当对采购文件提出的实质性要求和条件作出实质性响应，并在电子投标系统逐条应答。</w:t>
      </w:r>
    </w:p>
    <w:p w14:paraId="7D8DCC9C">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4.4 供应商应对要求提供的资格证明文件（如资质证书、资格证书）、技术资料（如白皮书、彩页、手册、检测报告等）扫描上传至投标系统。</w:t>
      </w:r>
    </w:p>
    <w:p w14:paraId="7C3BC78D">
      <w:pPr>
        <w:spacing w:line="500" w:lineRule="exact"/>
        <w:ind w:firstLine="560" w:firstLineChars="200"/>
        <w:rPr>
          <w:rFonts w:ascii="仿宋" w:hAnsi="仿宋" w:eastAsia="仿宋"/>
          <w:color w:val="auto"/>
          <w:sz w:val="28"/>
          <w:szCs w:val="28"/>
          <w:highlight w:val="none"/>
        </w:rPr>
      </w:pPr>
      <w:r>
        <w:rPr>
          <w:rFonts w:hint="eastAsia" w:ascii="仿宋" w:hAnsi="仿宋" w:eastAsia="仿宋"/>
          <w:bCs/>
          <w:color w:val="auto"/>
          <w:sz w:val="28"/>
          <w:szCs w:val="28"/>
          <w:highlight w:val="none"/>
        </w:rPr>
        <w:t>4.5 供应商须通过“苏采云”系统提供的政府采购客户端工具（使用“CA数字证书”）加盖电子签章，并对电子响应文件加密。未按规定加密的响应文件，“苏采云”系统拒收并提示。</w:t>
      </w:r>
    </w:p>
    <w:p w14:paraId="1C2024A5">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p>
    <w:p w14:paraId="73196084">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4.7 供应商可在响应文件提交截止时间前，撤回其电子响应文件，具体操作方法见《江苏省政府采购（供应商）国信CA数字证书及电子签章办理指南》。供应商撤回电子响应文件的，则认为其不再参与本项目谈判活动。</w:t>
      </w:r>
    </w:p>
    <w:p w14:paraId="40FD654B">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4.8供应商可在响应文件提交截止时间前，对其电子响应文件进行修改。在响应文件提交截止时间之后，供应商不得对其电子响应文件作任何修改。</w:t>
      </w:r>
    </w:p>
    <w:p w14:paraId="761C7140">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4.9 采购代理机构可以通过修改谈判文件，酌情延长响应文件提交截止时间。</w:t>
      </w:r>
    </w:p>
    <w:p w14:paraId="1A5F3F7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4.10 响应文件的有效期：从提交响应文件截止日起90天。</w:t>
      </w:r>
    </w:p>
    <w:p w14:paraId="1584FFB7">
      <w:pPr>
        <w:spacing w:line="500" w:lineRule="exact"/>
        <w:ind w:firstLine="560" w:firstLineChars="200"/>
        <w:outlineLvl w:val="1"/>
        <w:rPr>
          <w:rFonts w:ascii="黑体" w:hAnsi="黑体" w:eastAsia="黑体"/>
          <w:color w:val="auto"/>
          <w:sz w:val="28"/>
          <w:szCs w:val="28"/>
          <w:highlight w:val="none"/>
        </w:rPr>
      </w:pPr>
      <w:bookmarkStart w:id="55" w:name="_Hlt26954864"/>
      <w:bookmarkEnd w:id="55"/>
      <w:bookmarkStart w:id="56" w:name="_Hlt26670523"/>
      <w:bookmarkEnd w:id="56"/>
      <w:bookmarkStart w:id="57" w:name="_Toc2194"/>
      <w:r>
        <w:rPr>
          <w:rFonts w:hint="eastAsia" w:ascii="黑体" w:hAnsi="黑体" w:eastAsia="黑体"/>
          <w:color w:val="auto"/>
          <w:sz w:val="28"/>
          <w:szCs w:val="28"/>
          <w:highlight w:val="none"/>
        </w:rPr>
        <w:t>5. 谈判</w:t>
      </w:r>
      <w:bookmarkEnd w:id="57"/>
    </w:p>
    <w:p w14:paraId="35862C13">
      <w:pPr>
        <w:spacing w:line="500" w:lineRule="exact"/>
        <w:ind w:firstLine="560" w:firstLineChars="200"/>
        <w:rPr>
          <w:rFonts w:ascii="仿宋" w:hAnsi="仿宋" w:eastAsia="仿宋"/>
          <w:color w:val="auto"/>
          <w:sz w:val="28"/>
          <w:szCs w:val="28"/>
          <w:highlight w:val="none"/>
        </w:rPr>
      </w:pPr>
      <w:bookmarkStart w:id="58" w:name="_Toc513029231"/>
      <w:bookmarkStart w:id="59" w:name="_Toc20823303"/>
      <w:bookmarkStart w:id="60" w:name="_Toc16938547"/>
      <w:r>
        <w:rPr>
          <w:rFonts w:hint="eastAsia" w:ascii="仿宋" w:hAnsi="仿宋" w:eastAsia="仿宋"/>
          <w:color w:val="auto"/>
          <w:sz w:val="28"/>
          <w:szCs w:val="28"/>
          <w:highlight w:val="none"/>
        </w:rPr>
        <w:t>5.1 采购人或者代理机构将在竞争性谈判公告中规定的时间和地点组织竞争性谈判活动。</w:t>
      </w:r>
    </w:p>
    <w:p w14:paraId="7B3E3FC4">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5.2竞争性谈判开始前，供应商使用CA数字证书登录“苏采云”系统，并根据开标会议区发出响应文件解密的指令，在30分钟之内使用CA数字证书解密各自响应文件。</w:t>
      </w:r>
    </w:p>
    <w:p w14:paraId="222E5DAC">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p>
    <w:p w14:paraId="2E7688DE">
      <w:pPr>
        <w:spacing w:line="500" w:lineRule="exact"/>
        <w:ind w:firstLine="560" w:firstLineChars="200"/>
        <w:rPr>
          <w:rFonts w:ascii="仿宋" w:hAnsi="仿宋" w:eastAsia="仿宋"/>
          <w:color w:val="auto"/>
          <w:sz w:val="28"/>
          <w:szCs w:val="28"/>
          <w:highlight w:val="none"/>
        </w:rPr>
      </w:pPr>
      <w:r>
        <w:rPr>
          <w:rFonts w:hint="eastAsia" w:ascii="仿宋" w:hAnsi="仿宋" w:eastAsia="仿宋"/>
          <w:bCs/>
          <w:color w:val="auto"/>
          <w:sz w:val="28"/>
          <w:szCs w:val="28"/>
          <w:highlight w:val="none"/>
        </w:rPr>
        <w:t>5.4因采购人原因或网上招投标平台发生故障，导致无法按时完成响应文件解密或评审工作无法进行的，可根据实际情况相应延迟解密时间或调整评审时间。</w:t>
      </w:r>
    </w:p>
    <w:p w14:paraId="0F01D51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5.5 谈判小组由政府采购评审专家、采购人代表组成。评审专家不得以评审专家身份参加本部门或本单位采购项目的评审。达到公开招标限额标准的项目，谈判小组应当由5人以上单数组成。</w:t>
      </w:r>
    </w:p>
    <w:p w14:paraId="29D0D61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5.6 谈判小组对响应文件的有效性、完整性和响应程度进行审查。谈判小组在审查分为资格审查和符合性审查。响应供应商未通过审查的，告知其具体原因。</w:t>
      </w:r>
    </w:p>
    <w:p w14:paraId="0C84455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5.7 谈判小组审查时，可以通过视频会议，要求供应商对响应文件中含义不明确、同类问题表述不一致或者有明显文字和计算错误的内容等作出必要的澄清、说明或者更正。</w:t>
      </w:r>
    </w:p>
    <w:p w14:paraId="497D915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接到澄清要求的供应商，应在谈判小组规定的时间内做出澄清，澄清的内容作为响应文件的补充部分，</w:t>
      </w:r>
      <w:r>
        <w:rPr>
          <w:rFonts w:hint="eastAsia" w:ascii="仿宋" w:hAnsi="仿宋" w:eastAsia="仿宋"/>
          <w:color w:val="auto"/>
          <w:sz w:val="28"/>
          <w:szCs w:val="28"/>
          <w:highlight w:val="none"/>
        </w:rPr>
        <w:t>但澄清、说明或者更正不得超出响应文件的范围或者改变响应文件的实质性内容。</w:t>
      </w:r>
    </w:p>
    <w:p w14:paraId="140121E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供应商在评审全过程中应保持通讯畅通，并安排专人与采购人或采购代理机构及</w:t>
      </w:r>
      <w:r>
        <w:rPr>
          <w:rFonts w:hint="eastAsia" w:ascii="仿宋" w:hAnsi="仿宋" w:eastAsia="仿宋"/>
          <w:bCs/>
          <w:color w:val="auto"/>
          <w:sz w:val="28"/>
          <w:szCs w:val="28"/>
          <w:highlight w:val="none"/>
          <w:lang w:eastAsia="zh-CN"/>
        </w:rPr>
        <w:t>谈判</w:t>
      </w:r>
      <w:r>
        <w:rPr>
          <w:rFonts w:hint="eastAsia" w:ascii="仿宋" w:hAnsi="仿宋" w:eastAsia="仿宋"/>
          <w:bCs/>
          <w:color w:val="auto"/>
          <w:sz w:val="28"/>
          <w:szCs w:val="28"/>
          <w:highlight w:val="none"/>
        </w:rPr>
        <w:t>小组联系</w:t>
      </w:r>
      <w:r>
        <w:rPr>
          <w:rFonts w:ascii="仿宋" w:hAnsi="仿宋" w:eastAsia="仿宋"/>
          <w:color w:val="auto"/>
          <w:sz w:val="28"/>
          <w:szCs w:val="28"/>
          <w:highlight w:val="none"/>
        </w:rPr>
        <w:t>。</w:t>
      </w:r>
    </w:p>
    <w:p w14:paraId="1728667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5.10各供应商请关注开标大厅交流区，响应文件解密结束后，请勿离开开标大厅。在资格审查和符合性审查完毕后，根据采购人或采购代理机构通知，须在20分钟内填写并提交最后报价。未在规定时间内提交最后报价的，视为退出谈判。</w:t>
      </w:r>
    </w:p>
    <w:p w14:paraId="146AE03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5.11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p>
    <w:p w14:paraId="4B26BAF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5.12需经谈判由供应商提供最终设计方案或解决方案的，谈判结束后，谈判小组按照少数服从多数的原则投票推荐3家以上供应商的设计方案或者解决方案，并要求其在规定时间内提交最后报价。</w:t>
      </w:r>
    </w:p>
    <w:p w14:paraId="0F877673">
      <w:pPr>
        <w:spacing w:line="500" w:lineRule="exact"/>
        <w:ind w:firstLine="562" w:firstLineChars="200"/>
        <w:rPr>
          <w:rFonts w:ascii="仿宋" w:hAnsi="仿宋" w:eastAsia="仿宋"/>
          <w:b/>
          <w:color w:val="auto"/>
          <w:sz w:val="28"/>
          <w:szCs w:val="28"/>
          <w:highlight w:val="none"/>
        </w:rPr>
      </w:pPr>
      <w:r>
        <w:rPr>
          <w:rFonts w:hint="eastAsia" w:ascii="仿宋" w:hAnsi="仿宋" w:eastAsia="仿宋"/>
          <w:b/>
          <w:color w:val="auto"/>
          <w:sz w:val="28"/>
          <w:szCs w:val="28"/>
          <w:highlight w:val="none"/>
        </w:rPr>
        <w:t>5.13 在通过资格审查、符合性审查的供应商中，有多家供应商提供相同品牌的产品或者核心产品的，按一家响应供应商计算，评审后最后报价最低的供应商获得成交人推荐资格。</w:t>
      </w:r>
    </w:p>
    <w:p w14:paraId="5E2CFCA3">
      <w:pPr>
        <w:spacing w:line="500" w:lineRule="exact"/>
        <w:ind w:firstLine="562" w:firstLineChars="200"/>
        <w:rPr>
          <w:rFonts w:ascii="仿宋" w:hAnsi="仿宋" w:eastAsia="仿宋"/>
          <w:b/>
          <w:color w:val="auto"/>
          <w:sz w:val="28"/>
          <w:szCs w:val="28"/>
          <w:highlight w:val="none"/>
        </w:rPr>
      </w:pPr>
      <w:r>
        <w:rPr>
          <w:rFonts w:hint="eastAsia" w:ascii="仿宋" w:hAnsi="仿宋" w:eastAsia="仿宋"/>
          <w:b/>
          <w:color w:val="auto"/>
          <w:sz w:val="28"/>
          <w:szCs w:val="28"/>
          <w:highlight w:val="none"/>
        </w:rPr>
        <w:t>5.14 当最后报价中具有最低报价的供应商多于1名时，组织报价最低的供应商进行现场竞价，直至报价出现差别时为止。</w:t>
      </w:r>
    </w:p>
    <w:p w14:paraId="5BBD7296">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5.15 有下列情形之一的，视为供应商串通，其响应无效：</w:t>
      </w:r>
    </w:p>
    <w:p w14:paraId="323FF82E">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5.15.1不同供应商的响应文件由同一单位或者个人编制；</w:t>
      </w:r>
    </w:p>
    <w:p w14:paraId="126EF3F8">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5.15.2不同供应商的电子响应文件由同一台电子设备编制、打包、加密或者上传；</w:t>
      </w:r>
    </w:p>
    <w:p w14:paraId="4018B4E0">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5.15.3 不同供应商的响应文件由同一供应商的电子设备打印、复印；</w:t>
      </w:r>
    </w:p>
    <w:p w14:paraId="4620C6E2">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5.15.4不同供应商的响应报价用同一个预算编制软件密码锁制作或者出自同一供应商的电子文档；</w:t>
      </w:r>
    </w:p>
    <w:p w14:paraId="07F53B56">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5.15.5不同供应商从同一个单位或者同一个自然人的互联网协议地址下载竞争性谈判文件、上传响应文件；</w:t>
      </w:r>
    </w:p>
    <w:p w14:paraId="785C9A36">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5.15.6 不同供应商的响应文件异常一致或者响应报价呈规律性差异；</w:t>
      </w:r>
    </w:p>
    <w:p w14:paraId="308C68C4">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5.15.7 不同供应商委托同一单位或者个人办理谈判事宜；</w:t>
      </w:r>
    </w:p>
    <w:p w14:paraId="7B5E2987">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5.15.8不同供应商的响应文件载明的项目管理成员或者联系人员为同一人；</w:t>
      </w:r>
    </w:p>
    <w:p w14:paraId="49B5642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5.15.9不同供应商的谈判保证金虽然经由供应商自己的基本账户转出，但所需资金来自同一单位或者个人的账户。</w:t>
      </w:r>
    </w:p>
    <w:p w14:paraId="3A485078">
      <w:pPr>
        <w:spacing w:line="500" w:lineRule="exact"/>
        <w:ind w:firstLine="562" w:firstLineChars="20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5.16出现下列情形之一的，</w:t>
      </w:r>
      <w:r>
        <w:rPr>
          <w:rFonts w:hint="eastAsia" w:ascii="仿宋" w:hAnsi="仿宋" w:eastAsia="仿宋"/>
          <w:b/>
          <w:bCs/>
          <w:color w:val="auto"/>
          <w:sz w:val="28"/>
          <w:szCs w:val="28"/>
          <w:highlight w:val="none"/>
          <w:lang w:eastAsia="zh-CN"/>
        </w:rPr>
        <w:t>评审小组</w:t>
      </w:r>
      <w:r>
        <w:rPr>
          <w:rFonts w:hint="eastAsia" w:ascii="仿宋" w:hAnsi="仿宋" w:eastAsia="仿宋"/>
          <w:b/>
          <w:bCs/>
          <w:color w:val="auto"/>
          <w:sz w:val="28"/>
          <w:szCs w:val="28"/>
          <w:highlight w:val="none"/>
        </w:rPr>
        <w:t xml:space="preserve">应当启动异常低价响应审查程序： </w:t>
      </w:r>
    </w:p>
    <w:p w14:paraId="7B32300A">
      <w:pPr>
        <w:spacing w:line="500" w:lineRule="exact"/>
        <w:ind w:firstLine="562" w:firstLineChars="20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5.16</w:t>
      </w:r>
      <w:r>
        <w:rPr>
          <w:rFonts w:hint="eastAsia" w:ascii="仿宋" w:hAnsi="仿宋" w:eastAsia="仿宋"/>
          <w:b/>
          <w:bCs/>
          <w:color w:val="auto"/>
          <w:sz w:val="28"/>
          <w:szCs w:val="28"/>
          <w:highlight w:val="none"/>
        </w:rPr>
        <w:t>.1响应报价低于全部通过符合性审查供应商响应报价平均值50%的，即响应报价&lt;全部通过符合性审查供应商响应报价平均值×50%；</w:t>
      </w:r>
    </w:p>
    <w:p w14:paraId="409BF26A">
      <w:pPr>
        <w:spacing w:line="500" w:lineRule="exact"/>
        <w:ind w:firstLine="562" w:firstLineChars="20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5.16</w:t>
      </w:r>
      <w:r>
        <w:rPr>
          <w:rFonts w:hint="eastAsia" w:ascii="仿宋" w:hAnsi="仿宋" w:eastAsia="仿宋"/>
          <w:b/>
          <w:bCs/>
          <w:color w:val="auto"/>
          <w:sz w:val="28"/>
          <w:szCs w:val="28"/>
          <w:highlight w:val="none"/>
        </w:rPr>
        <w:t>.2响应报价低于通过符合性审查的次低报价供应商响应报价50%的，即响应报价&lt;通过符合性审查的次低报价供应商响应报价×50%；</w:t>
      </w:r>
    </w:p>
    <w:p w14:paraId="017DC728">
      <w:pPr>
        <w:spacing w:line="500" w:lineRule="exact"/>
        <w:ind w:firstLine="562" w:firstLineChars="20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5.16</w:t>
      </w:r>
      <w:r>
        <w:rPr>
          <w:rFonts w:hint="eastAsia" w:ascii="仿宋" w:hAnsi="仿宋" w:eastAsia="仿宋"/>
          <w:b/>
          <w:bCs/>
          <w:color w:val="auto"/>
          <w:sz w:val="28"/>
          <w:szCs w:val="28"/>
          <w:highlight w:val="none"/>
        </w:rPr>
        <w:t>.3响应报价低于采购项目最高限价45%的，即响应报价&lt;采购项目最高限价×45%；</w:t>
      </w:r>
    </w:p>
    <w:p w14:paraId="7A4FE23A">
      <w:pPr>
        <w:spacing w:line="500" w:lineRule="exact"/>
        <w:ind w:firstLine="562" w:firstLineChars="20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5.16</w:t>
      </w:r>
      <w:r>
        <w:rPr>
          <w:rFonts w:hint="eastAsia" w:ascii="仿宋" w:hAnsi="仿宋" w:eastAsia="仿宋"/>
          <w:b/>
          <w:bCs/>
          <w:color w:val="auto"/>
          <w:sz w:val="28"/>
          <w:szCs w:val="28"/>
          <w:highlight w:val="none"/>
        </w:rPr>
        <w:t>.4谈判小组基于专业判断，认为供应商报价过低，有可能影响产品质量或者不能诚信履约的其他情形。</w:t>
      </w:r>
    </w:p>
    <w:p w14:paraId="6090C7F6">
      <w:pPr>
        <w:spacing w:line="500" w:lineRule="exact"/>
        <w:ind w:firstLine="562" w:firstLineChars="20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eastAsia="zh-CN"/>
        </w:rPr>
        <w:t>评审小组</w:t>
      </w:r>
      <w:r>
        <w:rPr>
          <w:rFonts w:hint="eastAsia" w:ascii="仿宋" w:hAnsi="仿宋" w:eastAsia="仿宋"/>
          <w:b/>
          <w:bCs/>
          <w:color w:val="auto"/>
          <w:sz w:val="28"/>
          <w:szCs w:val="28"/>
          <w:highlight w:val="none"/>
        </w:rPr>
        <w:t>应当要求相关供应商在评审现场不少于30分钟时间内对响应价格作出解释，提供项目具体成本测算等与报价合理性相关的书面说明及必要的证明材料，包括但不限于原材料成本、人工成本、制造费用等。</w:t>
      </w:r>
    </w:p>
    <w:p w14:paraId="16A51334">
      <w:pPr>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lang w:eastAsia="zh-CN"/>
        </w:rPr>
        <w:t>评审小组</w:t>
      </w:r>
      <w:r>
        <w:rPr>
          <w:rFonts w:hint="eastAsia" w:ascii="仿宋" w:hAnsi="仿宋" w:eastAsia="仿宋"/>
          <w:b/>
          <w:bCs/>
          <w:color w:val="auto"/>
          <w:sz w:val="28"/>
          <w:szCs w:val="28"/>
          <w:highlight w:val="none"/>
        </w:rPr>
        <w:t>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65757BA0">
      <w:pPr>
        <w:spacing w:line="500" w:lineRule="exact"/>
        <w:ind w:firstLine="560" w:firstLineChars="200"/>
        <w:outlineLvl w:val="1"/>
        <w:rPr>
          <w:rFonts w:ascii="黑体" w:hAnsi="黑体" w:eastAsia="黑体"/>
          <w:bCs/>
          <w:color w:val="auto"/>
          <w:sz w:val="28"/>
          <w:szCs w:val="28"/>
          <w:highlight w:val="none"/>
        </w:rPr>
      </w:pPr>
      <w:bookmarkStart w:id="61" w:name="_Toc2128"/>
      <w:r>
        <w:rPr>
          <w:rFonts w:hint="eastAsia" w:ascii="黑体" w:hAnsi="黑体" w:eastAsia="黑体"/>
          <w:bCs/>
          <w:color w:val="auto"/>
          <w:sz w:val="28"/>
          <w:szCs w:val="28"/>
          <w:highlight w:val="none"/>
        </w:rPr>
        <w:t>6.成交和合同</w:t>
      </w:r>
      <w:bookmarkEnd w:id="61"/>
    </w:p>
    <w:p w14:paraId="45F053E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6.1 谈判小组从质量和服务均能满足采购文件实质性响应要求的供应商中，按照最后报价由低到高的顺序提出3名以上成交候选人。</w:t>
      </w:r>
    </w:p>
    <w:p w14:paraId="0F2FAB7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6.2 除资格性审查认定错误和价格计算错误外，采购人或者采购代理机构不得以任何理由组织重新评审。</w:t>
      </w:r>
    </w:p>
    <w:p w14:paraId="2463DAA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6.3 采购人与成交供应商应当在成交通知书发出之日起30日内，按照采购文件确定的合同文本以及采购标的、规格型号、采购金额、采购数量、技术和服务要求等事项签订政府采购合同。</w:t>
      </w:r>
    </w:p>
    <w:p w14:paraId="3397E69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39D44DD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6.5 除不可抗力等因素外，成交通知书发出后，采购人改变成交结果，或者成交供应商拒绝签订政府采购合同的，应当承担相应的法律责任。拒绝签订政府采购合同的成交供应商不得参加对该项目重新开展的采购活动。</w:t>
      </w:r>
    </w:p>
    <w:p w14:paraId="5658AD0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6.6采购人与成交供应商应当根据合同的约定依法履行合同义务。政府采购合同的履行、违约责任和解决争议的方法等适用《中华人民共和国民法典》。</w:t>
      </w:r>
    </w:p>
    <w:bookmarkEnd w:id="58"/>
    <w:bookmarkEnd w:id="59"/>
    <w:bookmarkEnd w:id="60"/>
    <w:p w14:paraId="567BE4B2">
      <w:pPr>
        <w:spacing w:line="500" w:lineRule="exact"/>
        <w:ind w:firstLine="560" w:firstLineChars="200"/>
        <w:outlineLvl w:val="1"/>
        <w:rPr>
          <w:rFonts w:ascii="黑体" w:hAnsi="黑体" w:eastAsia="黑体"/>
          <w:bCs/>
          <w:color w:val="auto"/>
          <w:sz w:val="28"/>
          <w:szCs w:val="28"/>
          <w:highlight w:val="none"/>
        </w:rPr>
      </w:pPr>
      <w:bookmarkStart w:id="62" w:name="_Toc6900"/>
      <w:bookmarkStart w:id="63" w:name="_Toc16938551"/>
      <w:bookmarkStart w:id="64" w:name="_Toc513029235"/>
      <w:bookmarkStart w:id="65" w:name="_Toc20823307"/>
      <w:r>
        <w:rPr>
          <w:rFonts w:hint="eastAsia" w:ascii="黑体" w:hAnsi="黑体" w:eastAsia="黑体"/>
          <w:bCs/>
          <w:color w:val="auto"/>
          <w:sz w:val="28"/>
          <w:szCs w:val="28"/>
          <w:highlight w:val="none"/>
        </w:rPr>
        <w:t>7.政府采购政策功能落实</w:t>
      </w:r>
      <w:bookmarkEnd w:id="62"/>
    </w:p>
    <w:p w14:paraId="43B48AB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 对于非专门面向中小企业采购的项目，小微型企业享受价格扣除优惠。</w:t>
      </w:r>
    </w:p>
    <w:p w14:paraId="488F1F2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7.1.1 货物类或者服务类采购项目，采购人、采购代理机构应当对符合《政府采购促进中小企业发展管理办法》（财库〔2020〕46号）规定的小微企业报价给予10%的扣除；工程类采购项目，给予3%的扣除，给予用扣除后的价格参加评审。</w:t>
      </w:r>
    </w:p>
    <w:p w14:paraId="067401E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p>
    <w:p w14:paraId="318C0FF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7.1.3价格扣除比例或者价格分加分比例对小型企业和微型企业同等对待，不作区分。</w:t>
      </w:r>
    </w:p>
    <w:p w14:paraId="1D8CCFC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 在政府采购活动中，供应商提供的货物、工程或者服务符合下列情形的，享受价格扣除政策：</w:t>
      </w:r>
    </w:p>
    <w:p w14:paraId="4A5AC8A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7.1.4.1 在货物采购项目中，货物由小微企业制造，即货物由小微企业生产且使用该小微企业商号或者注册商标；</w:t>
      </w:r>
    </w:p>
    <w:p w14:paraId="642C89C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7.1.4.2 在工程采购项目中，工程由小微企业承建，即工程施工单位为小微企业；</w:t>
      </w:r>
    </w:p>
    <w:p w14:paraId="0A1D0FB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7.1.4.3 在服务采购项目中，服务由小微企业承接，即提供服务的人员为小微企业依照《中华人民共和国劳动合同法》订立劳动合同的从业人员。</w:t>
      </w:r>
    </w:p>
    <w:p w14:paraId="045BBD1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7.1.4.4 以联合体形式参加政府采购活动，联合体各方均为小微企业的，联合体视同小微企业。</w:t>
      </w:r>
    </w:p>
    <w:p w14:paraId="590FD0B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33721A1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7.1.6 下列情形不享受价格扣除政策：</w:t>
      </w:r>
    </w:p>
    <w:p w14:paraId="08F5E3D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7.1.6.1 在货物采购项目中，供应商提供的货物既有中小企业制造货物，也有大型企业制造货物的。</w:t>
      </w:r>
    </w:p>
    <w:p w14:paraId="68A6208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7.1.6.2 响应供应商与大企业的负责人为同一人，或者与大企业存在直接控股、管理关系。</w:t>
      </w:r>
    </w:p>
    <w:p w14:paraId="72F2AB5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7.1.7《中小企业划型标准规定》（工信部联企业〔2011〕300号）</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4"/>
        <w:gridCol w:w="1625"/>
        <w:gridCol w:w="767"/>
        <w:gridCol w:w="2055"/>
        <w:gridCol w:w="1765"/>
        <w:gridCol w:w="1164"/>
      </w:tblGrid>
      <w:tr w14:paraId="3E846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blHeader/>
          <w:jc w:val="center"/>
        </w:trPr>
        <w:tc>
          <w:tcPr>
            <w:tcW w:w="1954" w:type="dxa"/>
            <w:vAlign w:val="center"/>
          </w:tcPr>
          <w:p w14:paraId="5D70352F">
            <w:pPr>
              <w:spacing w:line="500" w:lineRule="exact"/>
              <w:jc w:val="center"/>
              <w:rPr>
                <w:rFonts w:ascii="仿宋" w:hAnsi="仿宋" w:eastAsia="仿宋"/>
                <w:b/>
                <w:color w:val="auto"/>
                <w:highlight w:val="none"/>
              </w:rPr>
            </w:pPr>
            <w:r>
              <w:rPr>
                <w:rFonts w:ascii="仿宋" w:hAnsi="仿宋" w:eastAsia="仿宋"/>
                <w:b/>
                <w:color w:val="auto"/>
                <w:highlight w:val="none"/>
              </w:rPr>
              <w:t>行业名称</w:t>
            </w:r>
          </w:p>
        </w:tc>
        <w:tc>
          <w:tcPr>
            <w:tcW w:w="1447" w:type="dxa"/>
            <w:vAlign w:val="center"/>
          </w:tcPr>
          <w:p w14:paraId="6FE26B91">
            <w:pPr>
              <w:spacing w:line="500" w:lineRule="exact"/>
              <w:jc w:val="center"/>
              <w:rPr>
                <w:rFonts w:ascii="仿宋" w:hAnsi="仿宋" w:eastAsia="仿宋"/>
                <w:b/>
                <w:color w:val="auto"/>
                <w:highlight w:val="none"/>
              </w:rPr>
            </w:pPr>
            <w:r>
              <w:rPr>
                <w:rFonts w:ascii="仿宋" w:hAnsi="仿宋" w:eastAsia="仿宋"/>
                <w:b/>
                <w:color w:val="auto"/>
                <w:highlight w:val="none"/>
              </w:rPr>
              <w:t>指标名称</w:t>
            </w:r>
          </w:p>
        </w:tc>
        <w:tc>
          <w:tcPr>
            <w:tcW w:w="683" w:type="dxa"/>
            <w:vAlign w:val="center"/>
          </w:tcPr>
          <w:p w14:paraId="231372D0">
            <w:pPr>
              <w:spacing w:line="500" w:lineRule="exact"/>
              <w:jc w:val="center"/>
              <w:rPr>
                <w:rFonts w:ascii="仿宋" w:hAnsi="仿宋" w:eastAsia="仿宋"/>
                <w:b/>
                <w:color w:val="auto"/>
                <w:highlight w:val="none"/>
              </w:rPr>
            </w:pPr>
            <w:r>
              <w:rPr>
                <w:rFonts w:ascii="仿宋" w:hAnsi="仿宋" w:eastAsia="仿宋"/>
                <w:b/>
                <w:color w:val="auto"/>
                <w:highlight w:val="none"/>
              </w:rPr>
              <w:t>计量</w:t>
            </w:r>
          </w:p>
          <w:p w14:paraId="3B47108A">
            <w:pPr>
              <w:spacing w:line="500" w:lineRule="exact"/>
              <w:jc w:val="center"/>
              <w:rPr>
                <w:rFonts w:ascii="仿宋" w:hAnsi="仿宋" w:eastAsia="仿宋"/>
                <w:b/>
                <w:color w:val="auto"/>
                <w:highlight w:val="none"/>
              </w:rPr>
            </w:pPr>
            <w:r>
              <w:rPr>
                <w:rFonts w:ascii="仿宋" w:hAnsi="仿宋" w:eastAsia="仿宋"/>
                <w:b/>
                <w:color w:val="auto"/>
                <w:highlight w:val="none"/>
              </w:rPr>
              <w:t>单位</w:t>
            </w:r>
          </w:p>
        </w:tc>
        <w:tc>
          <w:tcPr>
            <w:tcW w:w="1830" w:type="dxa"/>
            <w:vAlign w:val="center"/>
          </w:tcPr>
          <w:p w14:paraId="6A2B4A44">
            <w:pPr>
              <w:spacing w:line="500" w:lineRule="exact"/>
              <w:jc w:val="center"/>
              <w:rPr>
                <w:rFonts w:ascii="仿宋" w:hAnsi="仿宋" w:eastAsia="仿宋"/>
                <w:b/>
                <w:color w:val="auto"/>
                <w:highlight w:val="none"/>
              </w:rPr>
            </w:pPr>
            <w:r>
              <w:rPr>
                <w:rFonts w:ascii="仿宋" w:hAnsi="仿宋" w:eastAsia="仿宋"/>
                <w:b/>
                <w:color w:val="auto"/>
                <w:highlight w:val="none"/>
              </w:rPr>
              <w:t>中型</w:t>
            </w:r>
          </w:p>
        </w:tc>
        <w:tc>
          <w:tcPr>
            <w:tcW w:w="1572" w:type="dxa"/>
            <w:vAlign w:val="center"/>
          </w:tcPr>
          <w:p w14:paraId="25AB7165">
            <w:pPr>
              <w:spacing w:line="500" w:lineRule="exact"/>
              <w:jc w:val="center"/>
              <w:rPr>
                <w:rFonts w:ascii="仿宋" w:hAnsi="仿宋" w:eastAsia="仿宋"/>
                <w:b/>
                <w:color w:val="auto"/>
                <w:highlight w:val="none"/>
              </w:rPr>
            </w:pPr>
            <w:r>
              <w:rPr>
                <w:rFonts w:ascii="仿宋" w:hAnsi="仿宋" w:eastAsia="仿宋"/>
                <w:b/>
                <w:color w:val="auto"/>
                <w:highlight w:val="none"/>
              </w:rPr>
              <w:t>小型</w:t>
            </w:r>
          </w:p>
        </w:tc>
        <w:tc>
          <w:tcPr>
            <w:tcW w:w="1036" w:type="dxa"/>
            <w:vAlign w:val="center"/>
          </w:tcPr>
          <w:p w14:paraId="4503F15E">
            <w:pPr>
              <w:spacing w:line="500" w:lineRule="exact"/>
              <w:jc w:val="center"/>
              <w:rPr>
                <w:rFonts w:ascii="仿宋" w:hAnsi="仿宋" w:eastAsia="仿宋"/>
                <w:b/>
                <w:color w:val="auto"/>
                <w:highlight w:val="none"/>
              </w:rPr>
            </w:pPr>
            <w:r>
              <w:rPr>
                <w:rFonts w:ascii="仿宋" w:hAnsi="仿宋" w:eastAsia="仿宋"/>
                <w:b/>
                <w:color w:val="auto"/>
                <w:highlight w:val="none"/>
              </w:rPr>
              <w:t>微型</w:t>
            </w:r>
          </w:p>
        </w:tc>
      </w:tr>
      <w:tr w14:paraId="3242B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4F6A4A46">
            <w:pPr>
              <w:spacing w:line="500" w:lineRule="exact"/>
              <w:jc w:val="center"/>
              <w:rPr>
                <w:rFonts w:ascii="仿宋" w:hAnsi="仿宋" w:eastAsia="仿宋"/>
                <w:color w:val="auto"/>
                <w:highlight w:val="none"/>
              </w:rPr>
            </w:pPr>
            <w:r>
              <w:rPr>
                <w:rFonts w:ascii="仿宋" w:hAnsi="仿宋" w:eastAsia="仿宋"/>
                <w:color w:val="auto"/>
                <w:highlight w:val="none"/>
              </w:rPr>
              <w:t>农、林、牧、渔</w:t>
            </w:r>
          </w:p>
        </w:tc>
        <w:tc>
          <w:tcPr>
            <w:tcW w:w="1447" w:type="dxa"/>
            <w:vAlign w:val="center"/>
          </w:tcPr>
          <w:p w14:paraId="0A99E04D">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561D6FB9">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45FA4447">
            <w:pPr>
              <w:spacing w:line="500" w:lineRule="exact"/>
              <w:jc w:val="center"/>
              <w:rPr>
                <w:rFonts w:eastAsia="仿宋"/>
                <w:color w:val="auto"/>
                <w:highlight w:val="none"/>
              </w:rPr>
            </w:pPr>
            <w:r>
              <w:rPr>
                <w:rFonts w:eastAsia="仿宋"/>
                <w:color w:val="auto"/>
                <w:highlight w:val="none"/>
              </w:rPr>
              <w:t>500≤Y&lt;20000</w:t>
            </w:r>
          </w:p>
        </w:tc>
        <w:tc>
          <w:tcPr>
            <w:tcW w:w="1572" w:type="dxa"/>
            <w:vAlign w:val="center"/>
          </w:tcPr>
          <w:p w14:paraId="2877C25C">
            <w:pPr>
              <w:spacing w:line="500" w:lineRule="exact"/>
              <w:jc w:val="center"/>
              <w:rPr>
                <w:rFonts w:eastAsia="仿宋"/>
                <w:color w:val="auto"/>
                <w:highlight w:val="none"/>
              </w:rPr>
            </w:pPr>
            <w:r>
              <w:rPr>
                <w:rFonts w:eastAsia="仿宋"/>
                <w:color w:val="auto"/>
                <w:highlight w:val="none"/>
              </w:rPr>
              <w:t>50≤Y&lt;500</w:t>
            </w:r>
          </w:p>
        </w:tc>
        <w:tc>
          <w:tcPr>
            <w:tcW w:w="1036" w:type="dxa"/>
            <w:vAlign w:val="center"/>
          </w:tcPr>
          <w:p w14:paraId="1C6D923D">
            <w:pPr>
              <w:spacing w:line="500" w:lineRule="exact"/>
              <w:jc w:val="center"/>
              <w:rPr>
                <w:rFonts w:eastAsia="仿宋"/>
                <w:color w:val="auto"/>
                <w:highlight w:val="none"/>
              </w:rPr>
            </w:pPr>
            <w:r>
              <w:rPr>
                <w:rFonts w:eastAsia="仿宋"/>
                <w:color w:val="auto"/>
                <w:highlight w:val="none"/>
              </w:rPr>
              <w:t>Y&lt;50</w:t>
            </w:r>
          </w:p>
        </w:tc>
      </w:tr>
      <w:tr w14:paraId="6D436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3220317">
            <w:pPr>
              <w:spacing w:line="500" w:lineRule="exact"/>
              <w:jc w:val="center"/>
              <w:rPr>
                <w:rFonts w:ascii="仿宋" w:hAnsi="仿宋" w:eastAsia="仿宋"/>
                <w:color w:val="auto"/>
                <w:highlight w:val="none"/>
              </w:rPr>
            </w:pPr>
            <w:r>
              <w:rPr>
                <w:rFonts w:ascii="仿宋" w:hAnsi="仿宋" w:eastAsia="仿宋"/>
                <w:color w:val="auto"/>
                <w:highlight w:val="none"/>
              </w:rPr>
              <w:t>工业</w:t>
            </w:r>
          </w:p>
        </w:tc>
        <w:tc>
          <w:tcPr>
            <w:tcW w:w="1447" w:type="dxa"/>
            <w:vAlign w:val="center"/>
          </w:tcPr>
          <w:p w14:paraId="5DB9FA44">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549A043D">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7ECC3D84">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14:paraId="056E6754">
            <w:pPr>
              <w:spacing w:line="500" w:lineRule="exact"/>
              <w:jc w:val="center"/>
              <w:rPr>
                <w:rFonts w:eastAsia="仿宋"/>
                <w:color w:val="auto"/>
                <w:highlight w:val="none"/>
              </w:rPr>
            </w:pPr>
            <w:r>
              <w:rPr>
                <w:rFonts w:eastAsia="仿宋"/>
                <w:color w:val="auto"/>
                <w:highlight w:val="none"/>
              </w:rPr>
              <w:t>20≤X&lt;300</w:t>
            </w:r>
          </w:p>
        </w:tc>
        <w:tc>
          <w:tcPr>
            <w:tcW w:w="1036" w:type="dxa"/>
            <w:vAlign w:val="center"/>
          </w:tcPr>
          <w:p w14:paraId="64EA9948">
            <w:pPr>
              <w:spacing w:line="500" w:lineRule="exact"/>
              <w:jc w:val="center"/>
              <w:rPr>
                <w:rFonts w:eastAsia="仿宋"/>
                <w:color w:val="auto"/>
                <w:highlight w:val="none"/>
              </w:rPr>
            </w:pPr>
            <w:r>
              <w:rPr>
                <w:rFonts w:eastAsia="仿宋"/>
                <w:color w:val="auto"/>
                <w:highlight w:val="none"/>
              </w:rPr>
              <w:t>X&lt;20</w:t>
            </w:r>
          </w:p>
        </w:tc>
      </w:tr>
      <w:tr w14:paraId="12F92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F1AECB5">
            <w:pPr>
              <w:spacing w:line="500" w:lineRule="exact"/>
              <w:jc w:val="center"/>
              <w:rPr>
                <w:rFonts w:ascii="仿宋" w:hAnsi="仿宋" w:eastAsia="仿宋"/>
                <w:color w:val="auto"/>
                <w:highlight w:val="none"/>
              </w:rPr>
            </w:pPr>
          </w:p>
        </w:tc>
        <w:tc>
          <w:tcPr>
            <w:tcW w:w="1447" w:type="dxa"/>
            <w:vAlign w:val="center"/>
          </w:tcPr>
          <w:p w14:paraId="0F465D3D">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181A5A25">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4E1DEAD0">
            <w:pPr>
              <w:spacing w:line="500" w:lineRule="exact"/>
              <w:jc w:val="center"/>
              <w:rPr>
                <w:rFonts w:eastAsia="仿宋"/>
                <w:color w:val="auto"/>
                <w:highlight w:val="none"/>
              </w:rPr>
            </w:pPr>
            <w:r>
              <w:rPr>
                <w:rFonts w:eastAsia="仿宋"/>
                <w:color w:val="auto"/>
                <w:highlight w:val="none"/>
              </w:rPr>
              <w:t>2000≤Y&lt;40000</w:t>
            </w:r>
          </w:p>
        </w:tc>
        <w:tc>
          <w:tcPr>
            <w:tcW w:w="1572" w:type="dxa"/>
            <w:vAlign w:val="center"/>
          </w:tcPr>
          <w:p w14:paraId="4F64FB91">
            <w:pPr>
              <w:spacing w:line="500" w:lineRule="exact"/>
              <w:jc w:val="center"/>
              <w:rPr>
                <w:rFonts w:eastAsia="仿宋"/>
                <w:color w:val="auto"/>
                <w:highlight w:val="none"/>
              </w:rPr>
            </w:pPr>
            <w:r>
              <w:rPr>
                <w:rFonts w:eastAsia="仿宋"/>
                <w:color w:val="auto"/>
                <w:highlight w:val="none"/>
              </w:rPr>
              <w:t>300≤Y&lt;2000</w:t>
            </w:r>
          </w:p>
        </w:tc>
        <w:tc>
          <w:tcPr>
            <w:tcW w:w="1036" w:type="dxa"/>
            <w:vAlign w:val="center"/>
          </w:tcPr>
          <w:p w14:paraId="5460FDD9">
            <w:pPr>
              <w:spacing w:line="500" w:lineRule="exact"/>
              <w:jc w:val="center"/>
              <w:rPr>
                <w:rFonts w:eastAsia="仿宋"/>
                <w:color w:val="auto"/>
                <w:highlight w:val="none"/>
              </w:rPr>
            </w:pPr>
            <w:r>
              <w:rPr>
                <w:rFonts w:eastAsia="仿宋"/>
                <w:color w:val="auto"/>
                <w:highlight w:val="none"/>
              </w:rPr>
              <w:t>Y&lt;300</w:t>
            </w:r>
          </w:p>
        </w:tc>
      </w:tr>
      <w:tr w14:paraId="1F1F0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4FF9896">
            <w:pPr>
              <w:spacing w:line="500" w:lineRule="exact"/>
              <w:jc w:val="center"/>
              <w:rPr>
                <w:rFonts w:ascii="仿宋" w:hAnsi="仿宋" w:eastAsia="仿宋"/>
                <w:color w:val="auto"/>
                <w:highlight w:val="none"/>
              </w:rPr>
            </w:pPr>
            <w:r>
              <w:rPr>
                <w:rFonts w:ascii="仿宋" w:hAnsi="仿宋" w:eastAsia="仿宋"/>
                <w:color w:val="auto"/>
                <w:highlight w:val="none"/>
              </w:rPr>
              <w:t>建筑业</w:t>
            </w:r>
          </w:p>
        </w:tc>
        <w:tc>
          <w:tcPr>
            <w:tcW w:w="1447" w:type="dxa"/>
            <w:vAlign w:val="center"/>
          </w:tcPr>
          <w:p w14:paraId="17E6AB67">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1075A180">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0E15F5BC">
            <w:pPr>
              <w:spacing w:line="500" w:lineRule="exact"/>
              <w:jc w:val="center"/>
              <w:rPr>
                <w:rFonts w:eastAsia="仿宋"/>
                <w:color w:val="auto"/>
                <w:highlight w:val="none"/>
              </w:rPr>
            </w:pPr>
            <w:r>
              <w:rPr>
                <w:rFonts w:eastAsia="仿宋"/>
                <w:color w:val="auto"/>
                <w:highlight w:val="none"/>
              </w:rPr>
              <w:t>6000≤Y&lt;80000</w:t>
            </w:r>
          </w:p>
        </w:tc>
        <w:tc>
          <w:tcPr>
            <w:tcW w:w="1572" w:type="dxa"/>
            <w:vAlign w:val="center"/>
          </w:tcPr>
          <w:p w14:paraId="2CCB9714">
            <w:pPr>
              <w:spacing w:line="500" w:lineRule="exact"/>
              <w:jc w:val="center"/>
              <w:rPr>
                <w:rFonts w:eastAsia="仿宋"/>
                <w:color w:val="auto"/>
                <w:highlight w:val="none"/>
              </w:rPr>
            </w:pPr>
            <w:r>
              <w:rPr>
                <w:rFonts w:eastAsia="仿宋"/>
                <w:color w:val="auto"/>
                <w:highlight w:val="none"/>
              </w:rPr>
              <w:t>300≤Y&lt;6000</w:t>
            </w:r>
          </w:p>
        </w:tc>
        <w:tc>
          <w:tcPr>
            <w:tcW w:w="1036" w:type="dxa"/>
            <w:vAlign w:val="center"/>
          </w:tcPr>
          <w:p w14:paraId="151631EA">
            <w:pPr>
              <w:spacing w:line="500" w:lineRule="exact"/>
              <w:jc w:val="center"/>
              <w:rPr>
                <w:rFonts w:eastAsia="仿宋"/>
                <w:color w:val="auto"/>
                <w:highlight w:val="none"/>
              </w:rPr>
            </w:pPr>
            <w:r>
              <w:rPr>
                <w:rFonts w:eastAsia="仿宋"/>
                <w:color w:val="auto"/>
                <w:highlight w:val="none"/>
              </w:rPr>
              <w:t>Y&lt;300</w:t>
            </w:r>
          </w:p>
        </w:tc>
      </w:tr>
      <w:tr w14:paraId="067E7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5554D50">
            <w:pPr>
              <w:spacing w:line="500" w:lineRule="exact"/>
              <w:jc w:val="center"/>
              <w:rPr>
                <w:rFonts w:ascii="仿宋" w:hAnsi="仿宋" w:eastAsia="仿宋"/>
                <w:color w:val="auto"/>
                <w:highlight w:val="none"/>
              </w:rPr>
            </w:pPr>
          </w:p>
        </w:tc>
        <w:tc>
          <w:tcPr>
            <w:tcW w:w="1447" w:type="dxa"/>
            <w:vAlign w:val="center"/>
          </w:tcPr>
          <w:p w14:paraId="6F2ED5F0">
            <w:pPr>
              <w:spacing w:line="500" w:lineRule="exact"/>
              <w:jc w:val="center"/>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683" w:type="dxa"/>
            <w:vAlign w:val="center"/>
          </w:tcPr>
          <w:p w14:paraId="21346B1A">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6123EEAD">
            <w:pPr>
              <w:spacing w:line="500" w:lineRule="exact"/>
              <w:jc w:val="center"/>
              <w:rPr>
                <w:rFonts w:eastAsia="仿宋"/>
                <w:color w:val="auto"/>
                <w:highlight w:val="none"/>
              </w:rPr>
            </w:pPr>
            <w:r>
              <w:rPr>
                <w:rFonts w:eastAsia="仿宋"/>
                <w:color w:val="auto"/>
                <w:highlight w:val="none"/>
              </w:rPr>
              <w:t>5000≤Z &lt;80000</w:t>
            </w:r>
          </w:p>
        </w:tc>
        <w:tc>
          <w:tcPr>
            <w:tcW w:w="1572" w:type="dxa"/>
            <w:vAlign w:val="center"/>
          </w:tcPr>
          <w:p w14:paraId="7D4DD742">
            <w:pPr>
              <w:spacing w:line="500" w:lineRule="exact"/>
              <w:jc w:val="center"/>
              <w:rPr>
                <w:rFonts w:eastAsia="仿宋"/>
                <w:color w:val="auto"/>
                <w:highlight w:val="none"/>
              </w:rPr>
            </w:pPr>
            <w:r>
              <w:rPr>
                <w:rFonts w:eastAsia="仿宋"/>
                <w:color w:val="auto"/>
                <w:highlight w:val="none"/>
              </w:rPr>
              <w:t>300≤Z &lt;5000</w:t>
            </w:r>
          </w:p>
        </w:tc>
        <w:tc>
          <w:tcPr>
            <w:tcW w:w="1036" w:type="dxa"/>
            <w:vAlign w:val="center"/>
          </w:tcPr>
          <w:p w14:paraId="17ED02BB">
            <w:pPr>
              <w:spacing w:line="500" w:lineRule="exact"/>
              <w:jc w:val="center"/>
              <w:rPr>
                <w:rFonts w:eastAsia="仿宋"/>
                <w:color w:val="auto"/>
                <w:highlight w:val="none"/>
              </w:rPr>
            </w:pPr>
            <w:r>
              <w:rPr>
                <w:rFonts w:eastAsia="仿宋"/>
                <w:color w:val="auto"/>
                <w:highlight w:val="none"/>
              </w:rPr>
              <w:t>Z&lt;300</w:t>
            </w:r>
          </w:p>
        </w:tc>
      </w:tr>
      <w:tr w14:paraId="0590E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2B60CF70">
            <w:pPr>
              <w:spacing w:line="500" w:lineRule="exact"/>
              <w:jc w:val="center"/>
              <w:rPr>
                <w:rFonts w:ascii="仿宋" w:hAnsi="仿宋" w:eastAsia="仿宋"/>
                <w:color w:val="auto"/>
                <w:highlight w:val="none"/>
              </w:rPr>
            </w:pPr>
            <w:r>
              <w:rPr>
                <w:rFonts w:ascii="仿宋" w:hAnsi="仿宋" w:eastAsia="仿宋"/>
                <w:color w:val="auto"/>
                <w:highlight w:val="none"/>
              </w:rPr>
              <w:t>批发业</w:t>
            </w:r>
          </w:p>
        </w:tc>
        <w:tc>
          <w:tcPr>
            <w:tcW w:w="1447" w:type="dxa"/>
            <w:vAlign w:val="center"/>
          </w:tcPr>
          <w:p w14:paraId="730FB7E6">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2C1DEA39">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59DBC11C">
            <w:pPr>
              <w:spacing w:line="500" w:lineRule="exact"/>
              <w:jc w:val="center"/>
              <w:rPr>
                <w:rFonts w:eastAsia="仿宋"/>
                <w:color w:val="auto"/>
                <w:highlight w:val="none"/>
              </w:rPr>
            </w:pPr>
            <w:r>
              <w:rPr>
                <w:rFonts w:eastAsia="仿宋"/>
                <w:color w:val="auto"/>
                <w:highlight w:val="none"/>
              </w:rPr>
              <w:t>20≤X&lt;200</w:t>
            </w:r>
          </w:p>
        </w:tc>
        <w:tc>
          <w:tcPr>
            <w:tcW w:w="1572" w:type="dxa"/>
            <w:vAlign w:val="center"/>
          </w:tcPr>
          <w:p w14:paraId="3459D821">
            <w:pPr>
              <w:spacing w:line="500" w:lineRule="exact"/>
              <w:jc w:val="center"/>
              <w:rPr>
                <w:rFonts w:eastAsia="仿宋"/>
                <w:color w:val="auto"/>
                <w:highlight w:val="none"/>
              </w:rPr>
            </w:pPr>
            <w:r>
              <w:rPr>
                <w:rFonts w:eastAsia="仿宋"/>
                <w:color w:val="auto"/>
                <w:highlight w:val="none"/>
              </w:rPr>
              <w:t>5≤X&lt;20</w:t>
            </w:r>
          </w:p>
        </w:tc>
        <w:tc>
          <w:tcPr>
            <w:tcW w:w="1036" w:type="dxa"/>
            <w:vAlign w:val="center"/>
          </w:tcPr>
          <w:p w14:paraId="2DD4D1AC">
            <w:pPr>
              <w:spacing w:line="500" w:lineRule="exact"/>
              <w:jc w:val="center"/>
              <w:rPr>
                <w:rFonts w:eastAsia="仿宋"/>
                <w:color w:val="auto"/>
                <w:highlight w:val="none"/>
              </w:rPr>
            </w:pPr>
            <w:r>
              <w:rPr>
                <w:rFonts w:eastAsia="仿宋"/>
                <w:color w:val="auto"/>
                <w:highlight w:val="none"/>
              </w:rPr>
              <w:t>X&lt;5</w:t>
            </w:r>
          </w:p>
        </w:tc>
      </w:tr>
      <w:tr w14:paraId="4D09B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534C01B4">
            <w:pPr>
              <w:spacing w:line="500" w:lineRule="exact"/>
              <w:jc w:val="center"/>
              <w:rPr>
                <w:rFonts w:ascii="仿宋" w:hAnsi="仿宋" w:eastAsia="仿宋"/>
                <w:color w:val="auto"/>
                <w:highlight w:val="none"/>
              </w:rPr>
            </w:pPr>
          </w:p>
        </w:tc>
        <w:tc>
          <w:tcPr>
            <w:tcW w:w="1447" w:type="dxa"/>
            <w:vAlign w:val="center"/>
          </w:tcPr>
          <w:p w14:paraId="2EFE5527">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7A65CD03">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74BB59EE">
            <w:pPr>
              <w:spacing w:line="500" w:lineRule="exact"/>
              <w:jc w:val="center"/>
              <w:rPr>
                <w:rFonts w:eastAsia="仿宋"/>
                <w:color w:val="auto"/>
                <w:highlight w:val="none"/>
              </w:rPr>
            </w:pPr>
            <w:r>
              <w:rPr>
                <w:rFonts w:eastAsia="仿宋"/>
                <w:color w:val="auto"/>
                <w:highlight w:val="none"/>
              </w:rPr>
              <w:t>5000≤Y&lt;50000</w:t>
            </w:r>
          </w:p>
        </w:tc>
        <w:tc>
          <w:tcPr>
            <w:tcW w:w="1572" w:type="dxa"/>
            <w:vAlign w:val="center"/>
          </w:tcPr>
          <w:p w14:paraId="0B52373C">
            <w:pPr>
              <w:spacing w:line="500" w:lineRule="exact"/>
              <w:jc w:val="center"/>
              <w:rPr>
                <w:rFonts w:eastAsia="仿宋"/>
                <w:color w:val="auto"/>
                <w:highlight w:val="none"/>
              </w:rPr>
            </w:pPr>
            <w:r>
              <w:rPr>
                <w:rFonts w:eastAsia="仿宋"/>
                <w:color w:val="auto"/>
                <w:highlight w:val="none"/>
              </w:rPr>
              <w:t>1000≤Y&lt;5000</w:t>
            </w:r>
          </w:p>
        </w:tc>
        <w:tc>
          <w:tcPr>
            <w:tcW w:w="1036" w:type="dxa"/>
            <w:vAlign w:val="center"/>
          </w:tcPr>
          <w:p w14:paraId="0C690724">
            <w:pPr>
              <w:spacing w:line="500" w:lineRule="exact"/>
              <w:jc w:val="center"/>
              <w:rPr>
                <w:rFonts w:eastAsia="仿宋"/>
                <w:color w:val="auto"/>
                <w:highlight w:val="none"/>
              </w:rPr>
            </w:pPr>
            <w:r>
              <w:rPr>
                <w:rFonts w:eastAsia="仿宋"/>
                <w:color w:val="auto"/>
                <w:highlight w:val="none"/>
              </w:rPr>
              <w:t>Y&lt;1000</w:t>
            </w:r>
          </w:p>
        </w:tc>
      </w:tr>
      <w:tr w14:paraId="2A003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C217F09">
            <w:pPr>
              <w:spacing w:line="500" w:lineRule="exact"/>
              <w:jc w:val="center"/>
              <w:rPr>
                <w:rFonts w:ascii="仿宋" w:hAnsi="仿宋" w:eastAsia="仿宋"/>
                <w:color w:val="auto"/>
                <w:highlight w:val="none"/>
              </w:rPr>
            </w:pPr>
            <w:r>
              <w:rPr>
                <w:rFonts w:hint="eastAsia" w:ascii="仿宋" w:hAnsi="仿宋" w:eastAsia="仿宋"/>
                <w:color w:val="auto"/>
                <w:highlight w:val="none"/>
              </w:rPr>
              <w:t>零售业</w:t>
            </w:r>
          </w:p>
        </w:tc>
        <w:tc>
          <w:tcPr>
            <w:tcW w:w="1447" w:type="dxa"/>
            <w:vAlign w:val="center"/>
          </w:tcPr>
          <w:p w14:paraId="64AA601C">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662339E4">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011CBE77">
            <w:pPr>
              <w:spacing w:line="500" w:lineRule="exact"/>
              <w:jc w:val="center"/>
              <w:rPr>
                <w:rFonts w:eastAsia="仿宋"/>
                <w:color w:val="auto"/>
                <w:highlight w:val="none"/>
              </w:rPr>
            </w:pPr>
            <w:r>
              <w:rPr>
                <w:rFonts w:eastAsia="仿宋"/>
                <w:color w:val="auto"/>
                <w:highlight w:val="none"/>
              </w:rPr>
              <w:t>50≤X&lt;300</w:t>
            </w:r>
          </w:p>
        </w:tc>
        <w:tc>
          <w:tcPr>
            <w:tcW w:w="1572" w:type="dxa"/>
            <w:vAlign w:val="center"/>
          </w:tcPr>
          <w:p w14:paraId="7DF5C90C">
            <w:pPr>
              <w:spacing w:line="500" w:lineRule="exact"/>
              <w:jc w:val="center"/>
              <w:rPr>
                <w:rFonts w:eastAsia="仿宋"/>
                <w:color w:val="auto"/>
                <w:highlight w:val="none"/>
              </w:rPr>
            </w:pPr>
            <w:r>
              <w:rPr>
                <w:rFonts w:eastAsia="仿宋"/>
                <w:color w:val="auto"/>
                <w:highlight w:val="none"/>
              </w:rPr>
              <w:t>10≤X&lt;50</w:t>
            </w:r>
          </w:p>
        </w:tc>
        <w:tc>
          <w:tcPr>
            <w:tcW w:w="1036" w:type="dxa"/>
            <w:vAlign w:val="center"/>
          </w:tcPr>
          <w:p w14:paraId="33415A2A">
            <w:pPr>
              <w:spacing w:line="500" w:lineRule="exact"/>
              <w:jc w:val="center"/>
              <w:rPr>
                <w:rFonts w:eastAsia="仿宋"/>
                <w:color w:val="auto"/>
                <w:highlight w:val="none"/>
              </w:rPr>
            </w:pPr>
            <w:r>
              <w:rPr>
                <w:rFonts w:eastAsia="仿宋"/>
                <w:color w:val="auto"/>
                <w:highlight w:val="none"/>
              </w:rPr>
              <w:t>X&lt;10</w:t>
            </w:r>
          </w:p>
        </w:tc>
      </w:tr>
      <w:tr w14:paraId="686F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08AA57E">
            <w:pPr>
              <w:spacing w:line="500" w:lineRule="exact"/>
              <w:jc w:val="center"/>
              <w:rPr>
                <w:rFonts w:ascii="仿宋" w:hAnsi="仿宋" w:eastAsia="仿宋"/>
                <w:color w:val="auto"/>
                <w:highlight w:val="none"/>
              </w:rPr>
            </w:pPr>
          </w:p>
        </w:tc>
        <w:tc>
          <w:tcPr>
            <w:tcW w:w="1447" w:type="dxa"/>
            <w:vAlign w:val="center"/>
          </w:tcPr>
          <w:p w14:paraId="777D29D8">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429F112F">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60B38430">
            <w:pPr>
              <w:spacing w:line="500" w:lineRule="exact"/>
              <w:jc w:val="center"/>
              <w:rPr>
                <w:rFonts w:eastAsia="仿宋"/>
                <w:color w:val="auto"/>
                <w:highlight w:val="none"/>
              </w:rPr>
            </w:pPr>
            <w:r>
              <w:rPr>
                <w:rFonts w:eastAsia="仿宋"/>
                <w:color w:val="auto"/>
                <w:highlight w:val="none"/>
              </w:rPr>
              <w:t>500≤Y&lt;20000</w:t>
            </w:r>
          </w:p>
        </w:tc>
        <w:tc>
          <w:tcPr>
            <w:tcW w:w="1572" w:type="dxa"/>
            <w:vAlign w:val="center"/>
          </w:tcPr>
          <w:p w14:paraId="4889E3B9">
            <w:pPr>
              <w:spacing w:line="500" w:lineRule="exact"/>
              <w:jc w:val="center"/>
              <w:rPr>
                <w:rFonts w:eastAsia="仿宋"/>
                <w:color w:val="auto"/>
                <w:highlight w:val="none"/>
              </w:rPr>
            </w:pPr>
            <w:r>
              <w:rPr>
                <w:rFonts w:eastAsia="仿宋"/>
                <w:color w:val="auto"/>
                <w:highlight w:val="none"/>
              </w:rPr>
              <w:t>100≤Y&lt;500</w:t>
            </w:r>
          </w:p>
        </w:tc>
        <w:tc>
          <w:tcPr>
            <w:tcW w:w="1036" w:type="dxa"/>
            <w:vAlign w:val="center"/>
          </w:tcPr>
          <w:p w14:paraId="7E2B7149">
            <w:pPr>
              <w:spacing w:line="500" w:lineRule="exact"/>
              <w:jc w:val="center"/>
              <w:rPr>
                <w:rFonts w:eastAsia="仿宋"/>
                <w:color w:val="auto"/>
                <w:highlight w:val="none"/>
              </w:rPr>
            </w:pPr>
            <w:r>
              <w:rPr>
                <w:rFonts w:eastAsia="仿宋"/>
                <w:color w:val="auto"/>
                <w:highlight w:val="none"/>
              </w:rPr>
              <w:t>Y&lt;100</w:t>
            </w:r>
          </w:p>
        </w:tc>
      </w:tr>
      <w:tr w14:paraId="2FF74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1140BF1">
            <w:pPr>
              <w:spacing w:line="500" w:lineRule="exact"/>
              <w:jc w:val="center"/>
              <w:rPr>
                <w:rFonts w:ascii="仿宋" w:hAnsi="仿宋" w:eastAsia="仿宋"/>
                <w:color w:val="auto"/>
                <w:highlight w:val="none"/>
              </w:rPr>
            </w:pPr>
            <w:r>
              <w:rPr>
                <w:rFonts w:hint="eastAsia" w:ascii="仿宋" w:hAnsi="仿宋" w:eastAsia="仿宋"/>
                <w:color w:val="auto"/>
                <w:highlight w:val="none"/>
              </w:rPr>
              <w:t>交通</w:t>
            </w:r>
            <w:r>
              <w:rPr>
                <w:rFonts w:ascii="仿宋" w:hAnsi="仿宋" w:eastAsia="仿宋"/>
                <w:color w:val="auto"/>
                <w:highlight w:val="none"/>
              </w:rPr>
              <w:t>运输业</w:t>
            </w:r>
          </w:p>
        </w:tc>
        <w:tc>
          <w:tcPr>
            <w:tcW w:w="1447" w:type="dxa"/>
            <w:vAlign w:val="center"/>
          </w:tcPr>
          <w:p w14:paraId="03DD098A">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5ADC7180">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724A66FA">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14:paraId="15C64BA8">
            <w:pPr>
              <w:spacing w:line="500" w:lineRule="exact"/>
              <w:jc w:val="center"/>
              <w:rPr>
                <w:rFonts w:eastAsia="仿宋"/>
                <w:color w:val="auto"/>
                <w:highlight w:val="none"/>
              </w:rPr>
            </w:pPr>
            <w:r>
              <w:rPr>
                <w:rFonts w:eastAsia="仿宋"/>
                <w:color w:val="auto"/>
                <w:highlight w:val="none"/>
              </w:rPr>
              <w:t>20≤X&lt;300</w:t>
            </w:r>
          </w:p>
        </w:tc>
        <w:tc>
          <w:tcPr>
            <w:tcW w:w="1036" w:type="dxa"/>
            <w:vAlign w:val="center"/>
          </w:tcPr>
          <w:p w14:paraId="4AB06B34">
            <w:pPr>
              <w:spacing w:line="500" w:lineRule="exact"/>
              <w:jc w:val="center"/>
              <w:rPr>
                <w:rFonts w:eastAsia="仿宋"/>
                <w:color w:val="auto"/>
                <w:highlight w:val="none"/>
              </w:rPr>
            </w:pPr>
            <w:r>
              <w:rPr>
                <w:rFonts w:eastAsia="仿宋"/>
                <w:color w:val="auto"/>
                <w:highlight w:val="none"/>
              </w:rPr>
              <w:t>X&lt;20</w:t>
            </w:r>
          </w:p>
        </w:tc>
      </w:tr>
      <w:tr w14:paraId="13CD2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21D40944">
            <w:pPr>
              <w:spacing w:line="500" w:lineRule="exact"/>
              <w:jc w:val="center"/>
              <w:rPr>
                <w:rFonts w:ascii="仿宋" w:hAnsi="仿宋" w:eastAsia="仿宋"/>
                <w:color w:val="auto"/>
                <w:highlight w:val="none"/>
              </w:rPr>
            </w:pPr>
          </w:p>
        </w:tc>
        <w:tc>
          <w:tcPr>
            <w:tcW w:w="1447" w:type="dxa"/>
            <w:vAlign w:val="center"/>
          </w:tcPr>
          <w:p w14:paraId="5A3E8CEC">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107A4825">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0989AE39">
            <w:pPr>
              <w:spacing w:line="500" w:lineRule="exact"/>
              <w:jc w:val="center"/>
              <w:rPr>
                <w:rFonts w:eastAsia="仿宋"/>
                <w:color w:val="auto"/>
                <w:highlight w:val="none"/>
              </w:rPr>
            </w:pPr>
            <w:r>
              <w:rPr>
                <w:rFonts w:eastAsia="仿宋"/>
                <w:color w:val="auto"/>
                <w:highlight w:val="none"/>
              </w:rPr>
              <w:t>3000≤Y&lt;30000</w:t>
            </w:r>
          </w:p>
        </w:tc>
        <w:tc>
          <w:tcPr>
            <w:tcW w:w="1572" w:type="dxa"/>
            <w:vAlign w:val="center"/>
          </w:tcPr>
          <w:p w14:paraId="093E37C5">
            <w:pPr>
              <w:spacing w:line="500" w:lineRule="exact"/>
              <w:jc w:val="center"/>
              <w:rPr>
                <w:rFonts w:eastAsia="仿宋"/>
                <w:color w:val="auto"/>
                <w:highlight w:val="none"/>
              </w:rPr>
            </w:pPr>
            <w:r>
              <w:rPr>
                <w:rFonts w:eastAsia="仿宋"/>
                <w:color w:val="auto"/>
                <w:highlight w:val="none"/>
              </w:rPr>
              <w:t>200≤Y&lt;3000</w:t>
            </w:r>
          </w:p>
        </w:tc>
        <w:tc>
          <w:tcPr>
            <w:tcW w:w="1036" w:type="dxa"/>
            <w:vAlign w:val="center"/>
          </w:tcPr>
          <w:p w14:paraId="250952D9">
            <w:pPr>
              <w:spacing w:line="500" w:lineRule="exact"/>
              <w:jc w:val="center"/>
              <w:rPr>
                <w:rFonts w:eastAsia="仿宋"/>
                <w:color w:val="auto"/>
                <w:highlight w:val="none"/>
              </w:rPr>
            </w:pPr>
            <w:r>
              <w:rPr>
                <w:rFonts w:eastAsia="仿宋"/>
                <w:color w:val="auto"/>
                <w:highlight w:val="none"/>
              </w:rPr>
              <w:t>Y&lt;200</w:t>
            </w:r>
          </w:p>
        </w:tc>
      </w:tr>
      <w:tr w14:paraId="4AA1F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E60A45A">
            <w:pPr>
              <w:spacing w:line="500" w:lineRule="exact"/>
              <w:jc w:val="center"/>
              <w:rPr>
                <w:rFonts w:ascii="仿宋" w:hAnsi="仿宋" w:eastAsia="仿宋"/>
                <w:color w:val="auto"/>
                <w:highlight w:val="none"/>
              </w:rPr>
            </w:pPr>
            <w:r>
              <w:rPr>
                <w:rFonts w:hint="eastAsia" w:ascii="仿宋" w:hAnsi="仿宋" w:eastAsia="仿宋"/>
                <w:color w:val="auto"/>
                <w:highlight w:val="none"/>
              </w:rPr>
              <w:t>仓储</w:t>
            </w:r>
            <w:r>
              <w:rPr>
                <w:rFonts w:ascii="仿宋" w:hAnsi="仿宋" w:eastAsia="仿宋"/>
                <w:color w:val="auto"/>
                <w:highlight w:val="none"/>
              </w:rPr>
              <w:t>业</w:t>
            </w:r>
          </w:p>
        </w:tc>
        <w:tc>
          <w:tcPr>
            <w:tcW w:w="1447" w:type="dxa"/>
            <w:vAlign w:val="center"/>
          </w:tcPr>
          <w:p w14:paraId="0DD77891">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1166EF62">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6E95F86F">
            <w:pPr>
              <w:spacing w:line="500" w:lineRule="exact"/>
              <w:jc w:val="center"/>
              <w:rPr>
                <w:rFonts w:eastAsia="仿宋"/>
                <w:color w:val="auto"/>
                <w:highlight w:val="none"/>
              </w:rPr>
            </w:pPr>
            <w:r>
              <w:rPr>
                <w:rFonts w:eastAsia="仿宋"/>
                <w:color w:val="auto"/>
                <w:highlight w:val="none"/>
              </w:rPr>
              <w:t>100≤X&lt;200</w:t>
            </w:r>
          </w:p>
        </w:tc>
        <w:tc>
          <w:tcPr>
            <w:tcW w:w="1572" w:type="dxa"/>
            <w:vAlign w:val="center"/>
          </w:tcPr>
          <w:p w14:paraId="39232120">
            <w:pPr>
              <w:spacing w:line="500" w:lineRule="exact"/>
              <w:jc w:val="center"/>
              <w:rPr>
                <w:rFonts w:eastAsia="仿宋"/>
                <w:color w:val="auto"/>
                <w:highlight w:val="none"/>
              </w:rPr>
            </w:pPr>
            <w:r>
              <w:rPr>
                <w:rFonts w:eastAsia="仿宋"/>
                <w:color w:val="auto"/>
                <w:highlight w:val="none"/>
              </w:rPr>
              <w:t>20≤X&lt;100</w:t>
            </w:r>
          </w:p>
        </w:tc>
        <w:tc>
          <w:tcPr>
            <w:tcW w:w="1036" w:type="dxa"/>
            <w:vAlign w:val="center"/>
          </w:tcPr>
          <w:p w14:paraId="0B1798EE">
            <w:pPr>
              <w:spacing w:line="500" w:lineRule="exact"/>
              <w:jc w:val="center"/>
              <w:rPr>
                <w:rFonts w:eastAsia="仿宋"/>
                <w:color w:val="auto"/>
                <w:highlight w:val="none"/>
              </w:rPr>
            </w:pPr>
            <w:r>
              <w:rPr>
                <w:rFonts w:eastAsia="仿宋"/>
                <w:color w:val="auto"/>
                <w:highlight w:val="none"/>
              </w:rPr>
              <w:t>X&lt;20</w:t>
            </w:r>
          </w:p>
        </w:tc>
      </w:tr>
      <w:tr w14:paraId="711EE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A2DEBF1">
            <w:pPr>
              <w:spacing w:line="500" w:lineRule="exact"/>
              <w:jc w:val="center"/>
              <w:rPr>
                <w:rFonts w:ascii="仿宋" w:hAnsi="仿宋" w:eastAsia="仿宋"/>
                <w:color w:val="auto"/>
                <w:highlight w:val="none"/>
              </w:rPr>
            </w:pPr>
          </w:p>
        </w:tc>
        <w:tc>
          <w:tcPr>
            <w:tcW w:w="1447" w:type="dxa"/>
            <w:vAlign w:val="center"/>
          </w:tcPr>
          <w:p w14:paraId="745C240C">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68D970DB">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528D0D52">
            <w:pPr>
              <w:spacing w:line="500" w:lineRule="exact"/>
              <w:jc w:val="center"/>
              <w:rPr>
                <w:rFonts w:eastAsia="仿宋"/>
                <w:color w:val="auto"/>
                <w:highlight w:val="none"/>
              </w:rPr>
            </w:pPr>
            <w:r>
              <w:rPr>
                <w:rFonts w:eastAsia="仿宋"/>
                <w:color w:val="auto"/>
                <w:highlight w:val="none"/>
              </w:rPr>
              <w:t>1000≤Y&lt;30000</w:t>
            </w:r>
          </w:p>
        </w:tc>
        <w:tc>
          <w:tcPr>
            <w:tcW w:w="1572" w:type="dxa"/>
            <w:vAlign w:val="center"/>
          </w:tcPr>
          <w:p w14:paraId="6299EFC9">
            <w:pPr>
              <w:spacing w:line="500" w:lineRule="exact"/>
              <w:jc w:val="center"/>
              <w:rPr>
                <w:rFonts w:eastAsia="仿宋"/>
                <w:color w:val="auto"/>
                <w:highlight w:val="none"/>
              </w:rPr>
            </w:pPr>
            <w:r>
              <w:rPr>
                <w:rFonts w:eastAsia="仿宋"/>
                <w:color w:val="auto"/>
                <w:highlight w:val="none"/>
              </w:rPr>
              <w:t>100≤Y&lt;1000</w:t>
            </w:r>
          </w:p>
        </w:tc>
        <w:tc>
          <w:tcPr>
            <w:tcW w:w="1036" w:type="dxa"/>
            <w:vAlign w:val="center"/>
          </w:tcPr>
          <w:p w14:paraId="13788825">
            <w:pPr>
              <w:spacing w:line="500" w:lineRule="exact"/>
              <w:jc w:val="center"/>
              <w:rPr>
                <w:rFonts w:eastAsia="仿宋"/>
                <w:color w:val="auto"/>
                <w:highlight w:val="none"/>
              </w:rPr>
            </w:pPr>
            <w:r>
              <w:rPr>
                <w:rFonts w:eastAsia="仿宋"/>
                <w:color w:val="auto"/>
                <w:highlight w:val="none"/>
              </w:rPr>
              <w:t>Y&lt;100</w:t>
            </w:r>
          </w:p>
        </w:tc>
      </w:tr>
      <w:tr w14:paraId="14952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86C5BFB">
            <w:pPr>
              <w:spacing w:line="500" w:lineRule="exact"/>
              <w:jc w:val="center"/>
              <w:rPr>
                <w:rFonts w:ascii="仿宋" w:hAnsi="仿宋" w:eastAsia="仿宋"/>
                <w:color w:val="auto"/>
                <w:highlight w:val="none"/>
              </w:rPr>
            </w:pPr>
            <w:r>
              <w:rPr>
                <w:rFonts w:hint="eastAsia" w:ascii="仿宋" w:hAnsi="仿宋" w:eastAsia="仿宋"/>
                <w:color w:val="auto"/>
                <w:highlight w:val="none"/>
              </w:rPr>
              <w:t>邮</w:t>
            </w:r>
            <w:r>
              <w:rPr>
                <w:rFonts w:ascii="仿宋" w:hAnsi="仿宋" w:eastAsia="仿宋"/>
                <w:color w:val="auto"/>
                <w:highlight w:val="none"/>
              </w:rPr>
              <w:t>政业</w:t>
            </w:r>
          </w:p>
        </w:tc>
        <w:tc>
          <w:tcPr>
            <w:tcW w:w="1447" w:type="dxa"/>
            <w:vAlign w:val="center"/>
          </w:tcPr>
          <w:p w14:paraId="3C21EF12">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76DA2556">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713FDE70">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14:paraId="5ECE9F0C">
            <w:pPr>
              <w:spacing w:line="500" w:lineRule="exact"/>
              <w:jc w:val="center"/>
              <w:rPr>
                <w:rFonts w:eastAsia="仿宋"/>
                <w:color w:val="auto"/>
                <w:highlight w:val="none"/>
              </w:rPr>
            </w:pPr>
            <w:r>
              <w:rPr>
                <w:rFonts w:eastAsia="仿宋"/>
                <w:color w:val="auto"/>
                <w:highlight w:val="none"/>
              </w:rPr>
              <w:t>20≤X&lt;300</w:t>
            </w:r>
          </w:p>
        </w:tc>
        <w:tc>
          <w:tcPr>
            <w:tcW w:w="1036" w:type="dxa"/>
            <w:vAlign w:val="center"/>
          </w:tcPr>
          <w:p w14:paraId="7260955A">
            <w:pPr>
              <w:spacing w:line="500" w:lineRule="exact"/>
              <w:jc w:val="center"/>
              <w:rPr>
                <w:rFonts w:eastAsia="仿宋"/>
                <w:color w:val="auto"/>
                <w:highlight w:val="none"/>
              </w:rPr>
            </w:pPr>
            <w:r>
              <w:rPr>
                <w:rFonts w:eastAsia="仿宋"/>
                <w:color w:val="auto"/>
                <w:highlight w:val="none"/>
              </w:rPr>
              <w:t>X&lt;20</w:t>
            </w:r>
          </w:p>
        </w:tc>
      </w:tr>
      <w:tr w14:paraId="382C4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1D5420DC">
            <w:pPr>
              <w:spacing w:line="500" w:lineRule="exact"/>
              <w:jc w:val="center"/>
              <w:rPr>
                <w:rFonts w:ascii="仿宋" w:hAnsi="仿宋" w:eastAsia="仿宋"/>
                <w:color w:val="auto"/>
                <w:highlight w:val="none"/>
              </w:rPr>
            </w:pPr>
          </w:p>
        </w:tc>
        <w:tc>
          <w:tcPr>
            <w:tcW w:w="1447" w:type="dxa"/>
            <w:vAlign w:val="center"/>
          </w:tcPr>
          <w:p w14:paraId="6BFFAAE6">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3954E6D5">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541A2B36">
            <w:pPr>
              <w:spacing w:line="500" w:lineRule="exact"/>
              <w:jc w:val="center"/>
              <w:rPr>
                <w:rFonts w:eastAsia="仿宋"/>
                <w:color w:val="auto"/>
                <w:highlight w:val="none"/>
              </w:rPr>
            </w:pPr>
            <w:r>
              <w:rPr>
                <w:rFonts w:eastAsia="仿宋"/>
                <w:color w:val="auto"/>
                <w:highlight w:val="none"/>
              </w:rPr>
              <w:t>2000≤Y&lt;30000</w:t>
            </w:r>
          </w:p>
        </w:tc>
        <w:tc>
          <w:tcPr>
            <w:tcW w:w="1572" w:type="dxa"/>
            <w:vAlign w:val="center"/>
          </w:tcPr>
          <w:p w14:paraId="0764CFC4">
            <w:pPr>
              <w:spacing w:line="500" w:lineRule="exact"/>
              <w:jc w:val="center"/>
              <w:rPr>
                <w:rFonts w:eastAsia="仿宋"/>
                <w:color w:val="auto"/>
                <w:highlight w:val="none"/>
              </w:rPr>
            </w:pPr>
            <w:r>
              <w:rPr>
                <w:rFonts w:eastAsia="仿宋"/>
                <w:color w:val="auto"/>
                <w:highlight w:val="none"/>
              </w:rPr>
              <w:t>100≤Y&lt;2000</w:t>
            </w:r>
          </w:p>
        </w:tc>
        <w:tc>
          <w:tcPr>
            <w:tcW w:w="1036" w:type="dxa"/>
            <w:vAlign w:val="center"/>
          </w:tcPr>
          <w:p w14:paraId="042E37D5">
            <w:pPr>
              <w:spacing w:line="500" w:lineRule="exact"/>
              <w:jc w:val="center"/>
              <w:rPr>
                <w:rFonts w:eastAsia="仿宋"/>
                <w:color w:val="auto"/>
                <w:highlight w:val="none"/>
              </w:rPr>
            </w:pPr>
            <w:r>
              <w:rPr>
                <w:rFonts w:eastAsia="仿宋"/>
                <w:color w:val="auto"/>
                <w:highlight w:val="none"/>
              </w:rPr>
              <w:t>Y&lt;100</w:t>
            </w:r>
          </w:p>
        </w:tc>
      </w:tr>
      <w:tr w14:paraId="5404C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78B4AE64">
            <w:pPr>
              <w:spacing w:line="500" w:lineRule="exact"/>
              <w:jc w:val="center"/>
              <w:rPr>
                <w:rFonts w:ascii="仿宋" w:hAnsi="仿宋" w:eastAsia="仿宋"/>
                <w:color w:val="auto"/>
                <w:highlight w:val="none"/>
              </w:rPr>
            </w:pPr>
            <w:r>
              <w:rPr>
                <w:rFonts w:hint="eastAsia" w:ascii="仿宋" w:hAnsi="仿宋" w:eastAsia="仿宋"/>
                <w:color w:val="auto"/>
                <w:highlight w:val="none"/>
              </w:rPr>
              <w:t>住</w:t>
            </w:r>
            <w:r>
              <w:rPr>
                <w:rFonts w:ascii="仿宋" w:hAnsi="仿宋" w:eastAsia="仿宋"/>
                <w:color w:val="auto"/>
                <w:highlight w:val="none"/>
              </w:rPr>
              <w:t>宿业</w:t>
            </w:r>
          </w:p>
        </w:tc>
        <w:tc>
          <w:tcPr>
            <w:tcW w:w="1447" w:type="dxa"/>
            <w:vAlign w:val="center"/>
          </w:tcPr>
          <w:p w14:paraId="37F629DC">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075BA6A1">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1F04BBD2">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4B48BF7A">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70415376">
            <w:pPr>
              <w:spacing w:line="500" w:lineRule="exact"/>
              <w:jc w:val="center"/>
              <w:rPr>
                <w:rFonts w:eastAsia="仿宋"/>
                <w:color w:val="auto"/>
                <w:highlight w:val="none"/>
              </w:rPr>
            </w:pPr>
            <w:r>
              <w:rPr>
                <w:rFonts w:eastAsia="仿宋"/>
                <w:color w:val="auto"/>
                <w:highlight w:val="none"/>
              </w:rPr>
              <w:t>X&lt;10</w:t>
            </w:r>
          </w:p>
        </w:tc>
      </w:tr>
      <w:tr w14:paraId="6F61E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7B29BA2">
            <w:pPr>
              <w:spacing w:line="500" w:lineRule="exact"/>
              <w:jc w:val="center"/>
              <w:rPr>
                <w:rFonts w:ascii="仿宋" w:hAnsi="仿宋" w:eastAsia="仿宋"/>
                <w:color w:val="auto"/>
                <w:highlight w:val="none"/>
              </w:rPr>
            </w:pPr>
          </w:p>
        </w:tc>
        <w:tc>
          <w:tcPr>
            <w:tcW w:w="1447" w:type="dxa"/>
            <w:vAlign w:val="center"/>
          </w:tcPr>
          <w:p w14:paraId="4683EBE4">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043C240E">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3E2AE7A9">
            <w:pPr>
              <w:spacing w:line="500" w:lineRule="exact"/>
              <w:jc w:val="center"/>
              <w:rPr>
                <w:rFonts w:eastAsia="仿宋"/>
                <w:color w:val="auto"/>
                <w:highlight w:val="none"/>
              </w:rPr>
            </w:pPr>
            <w:r>
              <w:rPr>
                <w:rFonts w:eastAsia="仿宋"/>
                <w:color w:val="auto"/>
                <w:highlight w:val="none"/>
              </w:rPr>
              <w:t>2000≤Y&lt;10000</w:t>
            </w:r>
          </w:p>
        </w:tc>
        <w:tc>
          <w:tcPr>
            <w:tcW w:w="1572" w:type="dxa"/>
            <w:vAlign w:val="center"/>
          </w:tcPr>
          <w:p w14:paraId="2BE6D563">
            <w:pPr>
              <w:spacing w:line="500" w:lineRule="exact"/>
              <w:jc w:val="center"/>
              <w:rPr>
                <w:rFonts w:eastAsia="仿宋"/>
                <w:color w:val="auto"/>
                <w:highlight w:val="none"/>
              </w:rPr>
            </w:pPr>
            <w:r>
              <w:rPr>
                <w:rFonts w:eastAsia="仿宋"/>
                <w:color w:val="auto"/>
                <w:highlight w:val="none"/>
              </w:rPr>
              <w:t>100≤Y&lt;2000</w:t>
            </w:r>
          </w:p>
        </w:tc>
        <w:tc>
          <w:tcPr>
            <w:tcW w:w="1036" w:type="dxa"/>
            <w:vAlign w:val="center"/>
          </w:tcPr>
          <w:p w14:paraId="5F427243">
            <w:pPr>
              <w:spacing w:line="500" w:lineRule="exact"/>
              <w:jc w:val="center"/>
              <w:rPr>
                <w:rFonts w:eastAsia="仿宋"/>
                <w:color w:val="auto"/>
                <w:highlight w:val="none"/>
              </w:rPr>
            </w:pPr>
            <w:r>
              <w:rPr>
                <w:rFonts w:eastAsia="仿宋"/>
                <w:color w:val="auto"/>
                <w:highlight w:val="none"/>
              </w:rPr>
              <w:t>Y&lt;100</w:t>
            </w:r>
          </w:p>
        </w:tc>
      </w:tr>
      <w:tr w14:paraId="046C5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1E9B76D">
            <w:pPr>
              <w:spacing w:line="500" w:lineRule="exact"/>
              <w:jc w:val="center"/>
              <w:rPr>
                <w:rFonts w:ascii="仿宋" w:hAnsi="仿宋" w:eastAsia="仿宋"/>
                <w:color w:val="auto"/>
                <w:highlight w:val="none"/>
              </w:rPr>
            </w:pPr>
            <w:r>
              <w:rPr>
                <w:rFonts w:hint="eastAsia" w:ascii="仿宋" w:hAnsi="仿宋" w:eastAsia="仿宋"/>
                <w:color w:val="auto"/>
                <w:highlight w:val="none"/>
              </w:rPr>
              <w:t>餐饮</w:t>
            </w:r>
            <w:r>
              <w:rPr>
                <w:rFonts w:ascii="仿宋" w:hAnsi="仿宋" w:eastAsia="仿宋"/>
                <w:color w:val="auto"/>
                <w:highlight w:val="none"/>
              </w:rPr>
              <w:t>业</w:t>
            </w:r>
          </w:p>
        </w:tc>
        <w:tc>
          <w:tcPr>
            <w:tcW w:w="1447" w:type="dxa"/>
            <w:vAlign w:val="center"/>
          </w:tcPr>
          <w:p w14:paraId="04287D4D">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11251AC2">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229DBE39">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144611FD">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4BF045CC">
            <w:pPr>
              <w:spacing w:line="500" w:lineRule="exact"/>
              <w:jc w:val="center"/>
              <w:rPr>
                <w:rFonts w:eastAsia="仿宋"/>
                <w:color w:val="auto"/>
                <w:highlight w:val="none"/>
              </w:rPr>
            </w:pPr>
            <w:r>
              <w:rPr>
                <w:rFonts w:eastAsia="仿宋"/>
                <w:color w:val="auto"/>
                <w:highlight w:val="none"/>
              </w:rPr>
              <w:t>X&lt;10</w:t>
            </w:r>
          </w:p>
        </w:tc>
      </w:tr>
      <w:tr w14:paraId="46AD8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0120E29">
            <w:pPr>
              <w:spacing w:line="500" w:lineRule="exact"/>
              <w:jc w:val="center"/>
              <w:rPr>
                <w:rFonts w:ascii="仿宋" w:hAnsi="仿宋" w:eastAsia="仿宋"/>
                <w:color w:val="auto"/>
                <w:highlight w:val="none"/>
              </w:rPr>
            </w:pPr>
          </w:p>
        </w:tc>
        <w:tc>
          <w:tcPr>
            <w:tcW w:w="1447" w:type="dxa"/>
            <w:vAlign w:val="center"/>
          </w:tcPr>
          <w:p w14:paraId="2F2B955F">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41652D03">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4DFD09DB">
            <w:pPr>
              <w:spacing w:line="500" w:lineRule="exact"/>
              <w:jc w:val="center"/>
              <w:rPr>
                <w:rFonts w:eastAsia="仿宋"/>
                <w:color w:val="auto"/>
                <w:highlight w:val="none"/>
              </w:rPr>
            </w:pPr>
            <w:r>
              <w:rPr>
                <w:rFonts w:eastAsia="仿宋"/>
                <w:color w:val="auto"/>
                <w:highlight w:val="none"/>
              </w:rPr>
              <w:t>2000≤Y&lt;10000</w:t>
            </w:r>
          </w:p>
        </w:tc>
        <w:tc>
          <w:tcPr>
            <w:tcW w:w="1572" w:type="dxa"/>
            <w:vAlign w:val="center"/>
          </w:tcPr>
          <w:p w14:paraId="7284FFE1">
            <w:pPr>
              <w:spacing w:line="500" w:lineRule="exact"/>
              <w:jc w:val="center"/>
              <w:rPr>
                <w:rFonts w:eastAsia="仿宋"/>
                <w:color w:val="auto"/>
                <w:highlight w:val="none"/>
              </w:rPr>
            </w:pPr>
            <w:r>
              <w:rPr>
                <w:rFonts w:eastAsia="仿宋"/>
                <w:color w:val="auto"/>
                <w:highlight w:val="none"/>
              </w:rPr>
              <w:t>100≤Y&lt;2000</w:t>
            </w:r>
          </w:p>
        </w:tc>
        <w:tc>
          <w:tcPr>
            <w:tcW w:w="1036" w:type="dxa"/>
            <w:vAlign w:val="center"/>
          </w:tcPr>
          <w:p w14:paraId="4B70E492">
            <w:pPr>
              <w:spacing w:line="500" w:lineRule="exact"/>
              <w:jc w:val="center"/>
              <w:rPr>
                <w:rFonts w:eastAsia="仿宋"/>
                <w:color w:val="auto"/>
                <w:highlight w:val="none"/>
              </w:rPr>
            </w:pPr>
            <w:r>
              <w:rPr>
                <w:rFonts w:eastAsia="仿宋"/>
                <w:color w:val="auto"/>
                <w:highlight w:val="none"/>
              </w:rPr>
              <w:t>Y&lt;100</w:t>
            </w:r>
          </w:p>
        </w:tc>
      </w:tr>
      <w:tr w14:paraId="708D2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178ADF80">
            <w:pPr>
              <w:spacing w:line="500" w:lineRule="exact"/>
              <w:jc w:val="center"/>
              <w:rPr>
                <w:rFonts w:ascii="仿宋" w:hAnsi="仿宋" w:eastAsia="仿宋"/>
                <w:color w:val="auto"/>
                <w:highlight w:val="none"/>
              </w:rPr>
            </w:pPr>
            <w:r>
              <w:rPr>
                <w:rFonts w:hint="eastAsia" w:ascii="仿宋" w:hAnsi="仿宋" w:eastAsia="仿宋"/>
                <w:color w:val="auto"/>
                <w:highlight w:val="none"/>
              </w:rPr>
              <w:t>信息</w:t>
            </w:r>
            <w:r>
              <w:rPr>
                <w:rFonts w:ascii="仿宋" w:hAnsi="仿宋" w:eastAsia="仿宋"/>
                <w:color w:val="auto"/>
                <w:highlight w:val="none"/>
              </w:rPr>
              <w:t>传输业</w:t>
            </w:r>
          </w:p>
        </w:tc>
        <w:tc>
          <w:tcPr>
            <w:tcW w:w="1447" w:type="dxa"/>
            <w:vAlign w:val="center"/>
          </w:tcPr>
          <w:p w14:paraId="5EBC8223">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1BC6D94B">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06DEDB64">
            <w:pPr>
              <w:spacing w:line="500" w:lineRule="exact"/>
              <w:jc w:val="center"/>
              <w:rPr>
                <w:rFonts w:eastAsia="仿宋"/>
                <w:color w:val="auto"/>
                <w:highlight w:val="none"/>
              </w:rPr>
            </w:pPr>
            <w:r>
              <w:rPr>
                <w:rFonts w:eastAsia="仿宋"/>
                <w:color w:val="auto"/>
                <w:highlight w:val="none"/>
              </w:rPr>
              <w:t>100≤X&lt;2000</w:t>
            </w:r>
          </w:p>
        </w:tc>
        <w:tc>
          <w:tcPr>
            <w:tcW w:w="1572" w:type="dxa"/>
            <w:vAlign w:val="center"/>
          </w:tcPr>
          <w:p w14:paraId="6A4DFA05">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7F80536F">
            <w:pPr>
              <w:spacing w:line="500" w:lineRule="exact"/>
              <w:jc w:val="center"/>
              <w:rPr>
                <w:rFonts w:eastAsia="仿宋"/>
                <w:color w:val="auto"/>
                <w:highlight w:val="none"/>
              </w:rPr>
            </w:pPr>
            <w:r>
              <w:rPr>
                <w:rFonts w:eastAsia="仿宋"/>
                <w:color w:val="auto"/>
                <w:highlight w:val="none"/>
              </w:rPr>
              <w:t>X&lt;10</w:t>
            </w:r>
          </w:p>
        </w:tc>
      </w:tr>
      <w:tr w14:paraId="4C050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071121EF">
            <w:pPr>
              <w:spacing w:line="500" w:lineRule="exact"/>
              <w:jc w:val="center"/>
              <w:rPr>
                <w:rFonts w:ascii="仿宋" w:hAnsi="仿宋" w:eastAsia="仿宋"/>
                <w:color w:val="auto"/>
                <w:highlight w:val="none"/>
              </w:rPr>
            </w:pPr>
          </w:p>
        </w:tc>
        <w:tc>
          <w:tcPr>
            <w:tcW w:w="1447" w:type="dxa"/>
            <w:vAlign w:val="center"/>
          </w:tcPr>
          <w:p w14:paraId="6793E8E0">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2D10FD76">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4E2F0EB5">
            <w:pPr>
              <w:spacing w:line="500" w:lineRule="exact"/>
              <w:jc w:val="center"/>
              <w:rPr>
                <w:rFonts w:eastAsia="仿宋"/>
                <w:color w:val="auto"/>
                <w:highlight w:val="none"/>
              </w:rPr>
            </w:pPr>
            <w:r>
              <w:rPr>
                <w:rFonts w:eastAsia="仿宋"/>
                <w:color w:val="auto"/>
                <w:highlight w:val="none"/>
              </w:rPr>
              <w:t>1000≤Y&lt;100000</w:t>
            </w:r>
          </w:p>
        </w:tc>
        <w:tc>
          <w:tcPr>
            <w:tcW w:w="1572" w:type="dxa"/>
            <w:vAlign w:val="center"/>
          </w:tcPr>
          <w:p w14:paraId="739DF3B8">
            <w:pPr>
              <w:spacing w:line="500" w:lineRule="exact"/>
              <w:jc w:val="center"/>
              <w:rPr>
                <w:rFonts w:eastAsia="仿宋"/>
                <w:color w:val="auto"/>
                <w:highlight w:val="none"/>
              </w:rPr>
            </w:pPr>
            <w:r>
              <w:rPr>
                <w:rFonts w:eastAsia="仿宋"/>
                <w:color w:val="auto"/>
                <w:highlight w:val="none"/>
              </w:rPr>
              <w:t>100≤Y&lt;1000</w:t>
            </w:r>
          </w:p>
        </w:tc>
        <w:tc>
          <w:tcPr>
            <w:tcW w:w="1036" w:type="dxa"/>
            <w:vAlign w:val="center"/>
          </w:tcPr>
          <w:p w14:paraId="4528975B">
            <w:pPr>
              <w:spacing w:line="500" w:lineRule="exact"/>
              <w:jc w:val="center"/>
              <w:rPr>
                <w:rFonts w:eastAsia="仿宋"/>
                <w:color w:val="auto"/>
                <w:highlight w:val="none"/>
              </w:rPr>
            </w:pPr>
            <w:r>
              <w:rPr>
                <w:rFonts w:eastAsia="仿宋"/>
                <w:color w:val="auto"/>
                <w:highlight w:val="none"/>
              </w:rPr>
              <w:t>Y&lt;100</w:t>
            </w:r>
          </w:p>
        </w:tc>
      </w:tr>
      <w:tr w14:paraId="2CD4C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6D435ACE">
            <w:pPr>
              <w:spacing w:line="500" w:lineRule="exact"/>
              <w:jc w:val="center"/>
              <w:rPr>
                <w:rFonts w:ascii="仿宋" w:hAnsi="仿宋" w:eastAsia="仿宋"/>
                <w:color w:val="auto"/>
                <w:highlight w:val="none"/>
              </w:rPr>
            </w:pPr>
            <w:r>
              <w:rPr>
                <w:rFonts w:hint="eastAsia" w:ascii="仿宋" w:hAnsi="仿宋" w:eastAsia="仿宋"/>
                <w:color w:val="auto"/>
                <w:highlight w:val="none"/>
              </w:rPr>
              <w:t>软件</w:t>
            </w:r>
            <w:r>
              <w:rPr>
                <w:rFonts w:ascii="仿宋" w:hAnsi="仿宋" w:eastAsia="仿宋"/>
                <w:color w:val="auto"/>
                <w:highlight w:val="none"/>
              </w:rPr>
              <w:t>和信息技术服务业</w:t>
            </w:r>
          </w:p>
        </w:tc>
        <w:tc>
          <w:tcPr>
            <w:tcW w:w="1447" w:type="dxa"/>
            <w:vAlign w:val="center"/>
          </w:tcPr>
          <w:p w14:paraId="67B9EF1E">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00133DFC">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7CA81A5F">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726FFE90">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18A40C47">
            <w:pPr>
              <w:spacing w:line="500" w:lineRule="exact"/>
              <w:jc w:val="center"/>
              <w:rPr>
                <w:rFonts w:eastAsia="仿宋"/>
                <w:color w:val="auto"/>
                <w:highlight w:val="none"/>
              </w:rPr>
            </w:pPr>
            <w:r>
              <w:rPr>
                <w:rFonts w:eastAsia="仿宋"/>
                <w:color w:val="auto"/>
                <w:highlight w:val="none"/>
              </w:rPr>
              <w:t>X&lt;10</w:t>
            </w:r>
          </w:p>
        </w:tc>
      </w:tr>
      <w:tr w14:paraId="64781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70070738">
            <w:pPr>
              <w:spacing w:line="500" w:lineRule="exact"/>
              <w:jc w:val="center"/>
              <w:rPr>
                <w:rFonts w:ascii="仿宋" w:hAnsi="仿宋" w:eastAsia="仿宋"/>
                <w:color w:val="auto"/>
                <w:highlight w:val="none"/>
              </w:rPr>
            </w:pPr>
          </w:p>
        </w:tc>
        <w:tc>
          <w:tcPr>
            <w:tcW w:w="1447" w:type="dxa"/>
            <w:vAlign w:val="center"/>
          </w:tcPr>
          <w:p w14:paraId="270B7261">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2B945A37">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087010A3">
            <w:pPr>
              <w:spacing w:line="500" w:lineRule="exact"/>
              <w:jc w:val="center"/>
              <w:rPr>
                <w:rFonts w:eastAsia="仿宋"/>
                <w:color w:val="auto"/>
                <w:highlight w:val="none"/>
              </w:rPr>
            </w:pPr>
            <w:r>
              <w:rPr>
                <w:rFonts w:eastAsia="仿宋"/>
                <w:color w:val="auto"/>
                <w:highlight w:val="none"/>
              </w:rPr>
              <w:t>1000≤Y&lt;10000</w:t>
            </w:r>
          </w:p>
        </w:tc>
        <w:tc>
          <w:tcPr>
            <w:tcW w:w="1572" w:type="dxa"/>
            <w:vAlign w:val="center"/>
          </w:tcPr>
          <w:p w14:paraId="4AABE74C">
            <w:pPr>
              <w:spacing w:line="500" w:lineRule="exact"/>
              <w:jc w:val="center"/>
              <w:rPr>
                <w:rFonts w:eastAsia="仿宋"/>
                <w:color w:val="auto"/>
                <w:highlight w:val="none"/>
              </w:rPr>
            </w:pPr>
            <w:r>
              <w:rPr>
                <w:rFonts w:eastAsia="仿宋"/>
                <w:color w:val="auto"/>
                <w:highlight w:val="none"/>
              </w:rPr>
              <w:t>50≤Y&lt;1000</w:t>
            </w:r>
          </w:p>
        </w:tc>
        <w:tc>
          <w:tcPr>
            <w:tcW w:w="1036" w:type="dxa"/>
            <w:vAlign w:val="center"/>
          </w:tcPr>
          <w:p w14:paraId="4368444D">
            <w:pPr>
              <w:spacing w:line="500" w:lineRule="exact"/>
              <w:jc w:val="center"/>
              <w:rPr>
                <w:rFonts w:eastAsia="仿宋"/>
                <w:color w:val="auto"/>
                <w:highlight w:val="none"/>
              </w:rPr>
            </w:pPr>
            <w:r>
              <w:rPr>
                <w:rFonts w:eastAsia="仿宋"/>
                <w:color w:val="auto"/>
                <w:highlight w:val="none"/>
              </w:rPr>
              <w:t>Y&lt;50</w:t>
            </w:r>
          </w:p>
        </w:tc>
      </w:tr>
      <w:tr w14:paraId="7BD5E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4C4DE441">
            <w:pPr>
              <w:spacing w:line="500" w:lineRule="exact"/>
              <w:jc w:val="center"/>
              <w:rPr>
                <w:rFonts w:ascii="仿宋" w:hAnsi="仿宋" w:eastAsia="仿宋"/>
                <w:color w:val="auto"/>
                <w:highlight w:val="none"/>
              </w:rPr>
            </w:pPr>
            <w:r>
              <w:rPr>
                <w:rFonts w:hint="eastAsia" w:ascii="仿宋" w:hAnsi="仿宋" w:eastAsia="仿宋"/>
                <w:color w:val="auto"/>
                <w:highlight w:val="none"/>
              </w:rPr>
              <w:t>房</w:t>
            </w:r>
            <w:r>
              <w:rPr>
                <w:rFonts w:ascii="仿宋" w:hAnsi="仿宋" w:eastAsia="仿宋"/>
                <w:color w:val="auto"/>
                <w:highlight w:val="none"/>
              </w:rPr>
              <w:t>地产开发经营</w:t>
            </w:r>
          </w:p>
        </w:tc>
        <w:tc>
          <w:tcPr>
            <w:tcW w:w="1447" w:type="dxa"/>
            <w:vAlign w:val="center"/>
          </w:tcPr>
          <w:p w14:paraId="273C90C8">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526ABE4D">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00E96835">
            <w:pPr>
              <w:spacing w:line="500" w:lineRule="exact"/>
              <w:jc w:val="center"/>
              <w:rPr>
                <w:rFonts w:eastAsia="仿宋"/>
                <w:color w:val="auto"/>
                <w:highlight w:val="none"/>
              </w:rPr>
            </w:pPr>
            <w:r>
              <w:rPr>
                <w:rFonts w:eastAsia="仿宋"/>
                <w:color w:val="auto"/>
                <w:highlight w:val="none"/>
              </w:rPr>
              <w:t>1000≤Y&lt;200000</w:t>
            </w:r>
          </w:p>
        </w:tc>
        <w:tc>
          <w:tcPr>
            <w:tcW w:w="1572" w:type="dxa"/>
            <w:vAlign w:val="center"/>
          </w:tcPr>
          <w:p w14:paraId="557AADB6">
            <w:pPr>
              <w:spacing w:line="500" w:lineRule="exact"/>
              <w:jc w:val="center"/>
              <w:rPr>
                <w:rFonts w:eastAsia="仿宋"/>
                <w:color w:val="auto"/>
                <w:highlight w:val="none"/>
              </w:rPr>
            </w:pPr>
            <w:r>
              <w:rPr>
                <w:rFonts w:eastAsia="仿宋"/>
                <w:color w:val="auto"/>
                <w:highlight w:val="none"/>
              </w:rPr>
              <w:t>100≤Y&lt;1000</w:t>
            </w:r>
          </w:p>
        </w:tc>
        <w:tc>
          <w:tcPr>
            <w:tcW w:w="1036" w:type="dxa"/>
            <w:vAlign w:val="center"/>
          </w:tcPr>
          <w:p w14:paraId="6E4900EA">
            <w:pPr>
              <w:spacing w:line="500" w:lineRule="exact"/>
              <w:jc w:val="center"/>
              <w:rPr>
                <w:rFonts w:eastAsia="仿宋"/>
                <w:color w:val="auto"/>
                <w:highlight w:val="none"/>
              </w:rPr>
            </w:pPr>
            <w:r>
              <w:rPr>
                <w:rFonts w:eastAsia="仿宋"/>
                <w:color w:val="auto"/>
                <w:highlight w:val="none"/>
              </w:rPr>
              <w:t>Y&lt;100</w:t>
            </w:r>
          </w:p>
        </w:tc>
      </w:tr>
      <w:tr w14:paraId="5201B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4CF96DA8">
            <w:pPr>
              <w:spacing w:line="500" w:lineRule="exact"/>
              <w:jc w:val="center"/>
              <w:rPr>
                <w:rFonts w:ascii="仿宋" w:hAnsi="仿宋" w:eastAsia="仿宋"/>
                <w:color w:val="auto"/>
                <w:highlight w:val="none"/>
              </w:rPr>
            </w:pPr>
          </w:p>
        </w:tc>
        <w:tc>
          <w:tcPr>
            <w:tcW w:w="1447" w:type="dxa"/>
            <w:vAlign w:val="center"/>
          </w:tcPr>
          <w:p w14:paraId="36E4A3E2">
            <w:pPr>
              <w:spacing w:line="500" w:lineRule="exact"/>
              <w:jc w:val="center"/>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683" w:type="dxa"/>
            <w:vAlign w:val="center"/>
          </w:tcPr>
          <w:p w14:paraId="448FB3EE">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55E3C6BC">
            <w:pPr>
              <w:spacing w:line="500" w:lineRule="exact"/>
              <w:jc w:val="center"/>
              <w:rPr>
                <w:rFonts w:eastAsia="仿宋"/>
                <w:color w:val="auto"/>
                <w:highlight w:val="none"/>
              </w:rPr>
            </w:pPr>
            <w:r>
              <w:rPr>
                <w:rFonts w:eastAsia="仿宋"/>
                <w:color w:val="auto"/>
                <w:highlight w:val="none"/>
              </w:rPr>
              <w:t>5000≤Z &lt;10000</w:t>
            </w:r>
          </w:p>
        </w:tc>
        <w:tc>
          <w:tcPr>
            <w:tcW w:w="1572" w:type="dxa"/>
            <w:vAlign w:val="center"/>
          </w:tcPr>
          <w:p w14:paraId="02F87EFF">
            <w:pPr>
              <w:spacing w:line="500" w:lineRule="exact"/>
              <w:jc w:val="center"/>
              <w:rPr>
                <w:rFonts w:eastAsia="仿宋"/>
                <w:color w:val="auto"/>
                <w:highlight w:val="none"/>
              </w:rPr>
            </w:pPr>
            <w:r>
              <w:rPr>
                <w:rFonts w:eastAsia="仿宋"/>
                <w:color w:val="auto"/>
                <w:highlight w:val="none"/>
              </w:rPr>
              <w:t>2000≤Z &lt;5000</w:t>
            </w:r>
          </w:p>
        </w:tc>
        <w:tc>
          <w:tcPr>
            <w:tcW w:w="1036" w:type="dxa"/>
            <w:vAlign w:val="center"/>
          </w:tcPr>
          <w:p w14:paraId="440AC2A2">
            <w:pPr>
              <w:spacing w:line="500" w:lineRule="exact"/>
              <w:jc w:val="center"/>
              <w:rPr>
                <w:rFonts w:eastAsia="仿宋"/>
                <w:color w:val="auto"/>
                <w:highlight w:val="none"/>
              </w:rPr>
            </w:pPr>
            <w:r>
              <w:rPr>
                <w:rFonts w:eastAsia="仿宋"/>
                <w:color w:val="auto"/>
                <w:highlight w:val="none"/>
              </w:rPr>
              <w:t>Z&lt;2000</w:t>
            </w:r>
          </w:p>
        </w:tc>
      </w:tr>
      <w:tr w14:paraId="5198F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0FCD65AA">
            <w:pPr>
              <w:spacing w:line="500" w:lineRule="exact"/>
              <w:jc w:val="center"/>
              <w:rPr>
                <w:rFonts w:ascii="仿宋" w:hAnsi="仿宋" w:eastAsia="仿宋"/>
                <w:color w:val="auto"/>
                <w:highlight w:val="none"/>
              </w:rPr>
            </w:pPr>
            <w:r>
              <w:rPr>
                <w:rFonts w:hint="eastAsia" w:ascii="仿宋" w:hAnsi="仿宋" w:eastAsia="仿宋"/>
                <w:color w:val="auto"/>
                <w:highlight w:val="none"/>
              </w:rPr>
              <w:t>物业管理</w:t>
            </w:r>
          </w:p>
        </w:tc>
        <w:tc>
          <w:tcPr>
            <w:tcW w:w="1447" w:type="dxa"/>
            <w:vAlign w:val="center"/>
          </w:tcPr>
          <w:p w14:paraId="2BCC59F6">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584BA0F1">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014F5525">
            <w:pPr>
              <w:spacing w:line="500" w:lineRule="exact"/>
              <w:jc w:val="center"/>
              <w:rPr>
                <w:rFonts w:eastAsia="仿宋"/>
                <w:color w:val="auto"/>
                <w:highlight w:val="none"/>
              </w:rPr>
            </w:pPr>
            <w:r>
              <w:rPr>
                <w:rFonts w:eastAsia="仿宋"/>
                <w:color w:val="auto"/>
                <w:highlight w:val="none"/>
              </w:rPr>
              <w:t>300≤X&lt;1000</w:t>
            </w:r>
          </w:p>
        </w:tc>
        <w:tc>
          <w:tcPr>
            <w:tcW w:w="1572" w:type="dxa"/>
            <w:vAlign w:val="center"/>
          </w:tcPr>
          <w:p w14:paraId="36C1C0F3">
            <w:pPr>
              <w:spacing w:line="500" w:lineRule="exact"/>
              <w:jc w:val="center"/>
              <w:rPr>
                <w:rFonts w:eastAsia="仿宋"/>
                <w:color w:val="auto"/>
                <w:highlight w:val="none"/>
              </w:rPr>
            </w:pPr>
            <w:r>
              <w:rPr>
                <w:rFonts w:eastAsia="仿宋"/>
                <w:color w:val="auto"/>
                <w:highlight w:val="none"/>
              </w:rPr>
              <w:t>100≤X&lt;300</w:t>
            </w:r>
          </w:p>
        </w:tc>
        <w:tc>
          <w:tcPr>
            <w:tcW w:w="1036" w:type="dxa"/>
            <w:vAlign w:val="center"/>
          </w:tcPr>
          <w:p w14:paraId="296FBA6C">
            <w:pPr>
              <w:spacing w:line="500" w:lineRule="exact"/>
              <w:jc w:val="center"/>
              <w:rPr>
                <w:rFonts w:eastAsia="仿宋"/>
                <w:color w:val="auto"/>
                <w:highlight w:val="none"/>
              </w:rPr>
            </w:pPr>
            <w:r>
              <w:rPr>
                <w:rFonts w:eastAsia="仿宋"/>
                <w:color w:val="auto"/>
                <w:highlight w:val="none"/>
              </w:rPr>
              <w:t>X&lt;100</w:t>
            </w:r>
          </w:p>
        </w:tc>
      </w:tr>
      <w:tr w14:paraId="44A09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64F927DE">
            <w:pPr>
              <w:spacing w:line="500" w:lineRule="exact"/>
              <w:jc w:val="center"/>
              <w:rPr>
                <w:rFonts w:ascii="仿宋" w:hAnsi="仿宋" w:eastAsia="仿宋"/>
                <w:color w:val="auto"/>
                <w:highlight w:val="none"/>
              </w:rPr>
            </w:pPr>
          </w:p>
        </w:tc>
        <w:tc>
          <w:tcPr>
            <w:tcW w:w="1447" w:type="dxa"/>
            <w:vAlign w:val="center"/>
          </w:tcPr>
          <w:p w14:paraId="326C81AE">
            <w:pPr>
              <w:spacing w:line="500" w:lineRule="exact"/>
              <w:jc w:val="center"/>
              <w:rPr>
                <w:rFonts w:ascii="仿宋" w:hAnsi="仿宋" w:eastAsia="仿宋"/>
                <w:color w:val="auto"/>
                <w:highlight w:val="none"/>
              </w:rPr>
            </w:pPr>
            <w:r>
              <w:rPr>
                <w:rFonts w:ascii="仿宋" w:hAnsi="仿宋" w:eastAsia="仿宋"/>
                <w:color w:val="auto"/>
                <w:highlight w:val="none"/>
              </w:rPr>
              <w:t>营业收入（</w:t>
            </w:r>
            <w:r>
              <w:rPr>
                <w:rFonts w:hint="eastAsia" w:ascii="仿宋" w:hAnsi="仿宋" w:eastAsia="仿宋"/>
                <w:color w:val="auto"/>
                <w:highlight w:val="none"/>
              </w:rPr>
              <w:t>Y）</w:t>
            </w:r>
          </w:p>
        </w:tc>
        <w:tc>
          <w:tcPr>
            <w:tcW w:w="683" w:type="dxa"/>
            <w:vAlign w:val="center"/>
          </w:tcPr>
          <w:p w14:paraId="39C1567B">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1E6B6D48">
            <w:pPr>
              <w:spacing w:line="500" w:lineRule="exact"/>
              <w:jc w:val="center"/>
              <w:rPr>
                <w:rFonts w:eastAsia="仿宋"/>
                <w:color w:val="auto"/>
                <w:highlight w:val="none"/>
              </w:rPr>
            </w:pPr>
            <w:r>
              <w:rPr>
                <w:rFonts w:eastAsia="仿宋"/>
                <w:color w:val="auto"/>
                <w:highlight w:val="none"/>
              </w:rPr>
              <w:t>1000≤Y&lt;5000</w:t>
            </w:r>
          </w:p>
        </w:tc>
        <w:tc>
          <w:tcPr>
            <w:tcW w:w="1572" w:type="dxa"/>
            <w:vAlign w:val="center"/>
          </w:tcPr>
          <w:p w14:paraId="2BD98326">
            <w:pPr>
              <w:spacing w:line="500" w:lineRule="exact"/>
              <w:jc w:val="center"/>
              <w:rPr>
                <w:rFonts w:eastAsia="仿宋"/>
                <w:color w:val="auto"/>
                <w:highlight w:val="none"/>
              </w:rPr>
            </w:pPr>
            <w:r>
              <w:rPr>
                <w:rFonts w:eastAsia="仿宋"/>
                <w:color w:val="auto"/>
                <w:highlight w:val="none"/>
              </w:rPr>
              <w:t>500≤Y&lt;1000</w:t>
            </w:r>
          </w:p>
        </w:tc>
        <w:tc>
          <w:tcPr>
            <w:tcW w:w="1036" w:type="dxa"/>
            <w:vAlign w:val="center"/>
          </w:tcPr>
          <w:p w14:paraId="066CF917">
            <w:pPr>
              <w:spacing w:line="500" w:lineRule="exact"/>
              <w:jc w:val="center"/>
              <w:rPr>
                <w:rFonts w:eastAsia="仿宋"/>
                <w:color w:val="auto"/>
                <w:highlight w:val="none"/>
              </w:rPr>
            </w:pPr>
            <w:r>
              <w:rPr>
                <w:rFonts w:eastAsia="仿宋"/>
                <w:color w:val="auto"/>
                <w:highlight w:val="none"/>
              </w:rPr>
              <w:t>Y&lt;500</w:t>
            </w:r>
          </w:p>
        </w:tc>
      </w:tr>
      <w:tr w14:paraId="1A348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restart"/>
            <w:vAlign w:val="center"/>
          </w:tcPr>
          <w:p w14:paraId="33D7273D">
            <w:pPr>
              <w:spacing w:line="500" w:lineRule="exact"/>
              <w:jc w:val="center"/>
              <w:rPr>
                <w:rFonts w:ascii="仿宋" w:hAnsi="仿宋" w:eastAsia="仿宋"/>
                <w:color w:val="auto"/>
                <w:highlight w:val="none"/>
              </w:rPr>
            </w:pPr>
            <w:r>
              <w:rPr>
                <w:rFonts w:hint="eastAsia" w:ascii="仿宋" w:hAnsi="仿宋" w:eastAsia="仿宋"/>
                <w:color w:val="auto"/>
                <w:highlight w:val="none"/>
              </w:rPr>
              <w:t>租赁</w:t>
            </w:r>
            <w:r>
              <w:rPr>
                <w:rFonts w:ascii="仿宋" w:hAnsi="仿宋" w:eastAsia="仿宋"/>
                <w:color w:val="auto"/>
                <w:highlight w:val="none"/>
              </w:rPr>
              <w:t>和商务服务业</w:t>
            </w:r>
          </w:p>
        </w:tc>
        <w:tc>
          <w:tcPr>
            <w:tcW w:w="1447" w:type="dxa"/>
            <w:vAlign w:val="center"/>
          </w:tcPr>
          <w:p w14:paraId="461D5D20">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677791D2">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6BADE035">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2D48D059">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59E52E4A">
            <w:pPr>
              <w:spacing w:line="500" w:lineRule="exact"/>
              <w:jc w:val="center"/>
              <w:rPr>
                <w:rFonts w:eastAsia="仿宋"/>
                <w:color w:val="auto"/>
                <w:highlight w:val="none"/>
              </w:rPr>
            </w:pPr>
            <w:r>
              <w:rPr>
                <w:rFonts w:eastAsia="仿宋"/>
                <w:color w:val="auto"/>
                <w:highlight w:val="none"/>
              </w:rPr>
              <w:t>X&lt;10</w:t>
            </w:r>
          </w:p>
        </w:tc>
      </w:tr>
      <w:tr w14:paraId="3D95F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Merge w:val="continue"/>
            <w:vAlign w:val="center"/>
          </w:tcPr>
          <w:p w14:paraId="3026EBFA">
            <w:pPr>
              <w:spacing w:line="500" w:lineRule="exact"/>
              <w:jc w:val="center"/>
              <w:rPr>
                <w:rFonts w:ascii="仿宋" w:hAnsi="仿宋" w:eastAsia="仿宋"/>
                <w:color w:val="auto"/>
                <w:highlight w:val="none"/>
              </w:rPr>
            </w:pPr>
          </w:p>
        </w:tc>
        <w:tc>
          <w:tcPr>
            <w:tcW w:w="1447" w:type="dxa"/>
            <w:vAlign w:val="center"/>
          </w:tcPr>
          <w:p w14:paraId="2EA462CE">
            <w:pPr>
              <w:spacing w:line="500" w:lineRule="exact"/>
              <w:jc w:val="center"/>
              <w:rPr>
                <w:rFonts w:ascii="仿宋" w:hAnsi="仿宋" w:eastAsia="仿宋"/>
                <w:color w:val="auto"/>
                <w:highlight w:val="none"/>
              </w:rPr>
            </w:pPr>
            <w:r>
              <w:rPr>
                <w:rFonts w:hint="eastAsia" w:ascii="仿宋" w:hAnsi="仿宋" w:eastAsia="仿宋"/>
                <w:color w:val="auto"/>
                <w:highlight w:val="none"/>
              </w:rPr>
              <w:t>资产</w:t>
            </w:r>
            <w:r>
              <w:rPr>
                <w:rFonts w:ascii="仿宋" w:hAnsi="仿宋" w:eastAsia="仿宋"/>
                <w:color w:val="auto"/>
                <w:highlight w:val="none"/>
              </w:rPr>
              <w:t>总额（</w:t>
            </w:r>
            <w:r>
              <w:rPr>
                <w:rFonts w:hint="eastAsia" w:ascii="仿宋" w:hAnsi="仿宋" w:eastAsia="仿宋"/>
                <w:color w:val="auto"/>
                <w:highlight w:val="none"/>
              </w:rPr>
              <w:t>Z）</w:t>
            </w:r>
          </w:p>
        </w:tc>
        <w:tc>
          <w:tcPr>
            <w:tcW w:w="683" w:type="dxa"/>
            <w:vAlign w:val="center"/>
          </w:tcPr>
          <w:p w14:paraId="26333772">
            <w:pPr>
              <w:spacing w:line="500" w:lineRule="exact"/>
              <w:jc w:val="center"/>
              <w:rPr>
                <w:rFonts w:ascii="仿宋" w:hAnsi="仿宋" w:eastAsia="仿宋"/>
                <w:color w:val="auto"/>
                <w:highlight w:val="none"/>
              </w:rPr>
            </w:pPr>
            <w:r>
              <w:rPr>
                <w:rFonts w:ascii="仿宋" w:hAnsi="仿宋" w:eastAsia="仿宋"/>
                <w:color w:val="auto"/>
                <w:highlight w:val="none"/>
              </w:rPr>
              <w:t>万元</w:t>
            </w:r>
          </w:p>
        </w:tc>
        <w:tc>
          <w:tcPr>
            <w:tcW w:w="1830" w:type="dxa"/>
            <w:vAlign w:val="center"/>
          </w:tcPr>
          <w:p w14:paraId="17E17B87">
            <w:pPr>
              <w:spacing w:line="500" w:lineRule="exact"/>
              <w:jc w:val="center"/>
              <w:rPr>
                <w:rFonts w:eastAsia="仿宋"/>
                <w:color w:val="auto"/>
                <w:highlight w:val="none"/>
              </w:rPr>
            </w:pPr>
            <w:r>
              <w:rPr>
                <w:rFonts w:eastAsia="仿宋"/>
                <w:color w:val="auto"/>
                <w:highlight w:val="none"/>
              </w:rPr>
              <w:t>8000≤Z &lt;120000</w:t>
            </w:r>
          </w:p>
        </w:tc>
        <w:tc>
          <w:tcPr>
            <w:tcW w:w="1572" w:type="dxa"/>
            <w:vAlign w:val="center"/>
          </w:tcPr>
          <w:p w14:paraId="6FD8C938">
            <w:pPr>
              <w:spacing w:line="500" w:lineRule="exact"/>
              <w:jc w:val="center"/>
              <w:rPr>
                <w:rFonts w:eastAsia="仿宋"/>
                <w:color w:val="auto"/>
                <w:highlight w:val="none"/>
              </w:rPr>
            </w:pPr>
            <w:r>
              <w:rPr>
                <w:rFonts w:eastAsia="仿宋"/>
                <w:color w:val="auto"/>
                <w:highlight w:val="none"/>
              </w:rPr>
              <w:t>100≤Z &lt;8000</w:t>
            </w:r>
          </w:p>
        </w:tc>
        <w:tc>
          <w:tcPr>
            <w:tcW w:w="1036" w:type="dxa"/>
            <w:vAlign w:val="center"/>
          </w:tcPr>
          <w:p w14:paraId="67604DB0">
            <w:pPr>
              <w:spacing w:line="500" w:lineRule="exact"/>
              <w:jc w:val="center"/>
              <w:rPr>
                <w:rFonts w:eastAsia="仿宋"/>
                <w:color w:val="auto"/>
                <w:highlight w:val="none"/>
              </w:rPr>
            </w:pPr>
            <w:r>
              <w:rPr>
                <w:rFonts w:eastAsia="仿宋"/>
                <w:color w:val="auto"/>
                <w:highlight w:val="none"/>
              </w:rPr>
              <w:t>Z&lt;100</w:t>
            </w:r>
          </w:p>
        </w:tc>
      </w:tr>
      <w:tr w14:paraId="2AF0A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954" w:type="dxa"/>
            <w:vAlign w:val="center"/>
          </w:tcPr>
          <w:p w14:paraId="5442A319">
            <w:pPr>
              <w:spacing w:line="500" w:lineRule="exact"/>
              <w:jc w:val="center"/>
              <w:rPr>
                <w:rFonts w:ascii="仿宋" w:hAnsi="仿宋" w:eastAsia="仿宋"/>
                <w:color w:val="auto"/>
                <w:highlight w:val="none"/>
              </w:rPr>
            </w:pPr>
            <w:r>
              <w:rPr>
                <w:rFonts w:hint="eastAsia" w:ascii="仿宋" w:hAnsi="仿宋" w:eastAsia="仿宋"/>
                <w:color w:val="auto"/>
                <w:highlight w:val="none"/>
              </w:rPr>
              <w:t>其</w:t>
            </w:r>
            <w:r>
              <w:rPr>
                <w:rFonts w:ascii="仿宋" w:hAnsi="仿宋" w:eastAsia="仿宋"/>
                <w:color w:val="auto"/>
                <w:highlight w:val="none"/>
              </w:rPr>
              <w:t>他未列明行业</w:t>
            </w:r>
          </w:p>
        </w:tc>
        <w:tc>
          <w:tcPr>
            <w:tcW w:w="1447" w:type="dxa"/>
            <w:vAlign w:val="center"/>
          </w:tcPr>
          <w:p w14:paraId="5CB531E2">
            <w:pPr>
              <w:spacing w:line="500" w:lineRule="exact"/>
              <w:jc w:val="center"/>
              <w:rPr>
                <w:rFonts w:ascii="仿宋" w:hAnsi="仿宋" w:eastAsia="仿宋"/>
                <w:color w:val="auto"/>
                <w:highlight w:val="none"/>
              </w:rPr>
            </w:pPr>
            <w:r>
              <w:rPr>
                <w:rFonts w:ascii="仿宋" w:hAnsi="仿宋" w:eastAsia="仿宋"/>
                <w:color w:val="auto"/>
                <w:highlight w:val="none"/>
              </w:rPr>
              <w:t>从业人员（</w:t>
            </w:r>
            <w:r>
              <w:rPr>
                <w:rFonts w:hint="eastAsia" w:ascii="仿宋" w:hAnsi="仿宋" w:eastAsia="仿宋"/>
                <w:color w:val="auto"/>
                <w:highlight w:val="none"/>
              </w:rPr>
              <w:t>X）</w:t>
            </w:r>
          </w:p>
        </w:tc>
        <w:tc>
          <w:tcPr>
            <w:tcW w:w="683" w:type="dxa"/>
            <w:vAlign w:val="center"/>
          </w:tcPr>
          <w:p w14:paraId="18D98AE6">
            <w:pPr>
              <w:spacing w:line="500" w:lineRule="exact"/>
              <w:jc w:val="center"/>
              <w:rPr>
                <w:rFonts w:ascii="仿宋" w:hAnsi="仿宋" w:eastAsia="仿宋"/>
                <w:color w:val="auto"/>
                <w:highlight w:val="none"/>
              </w:rPr>
            </w:pPr>
            <w:r>
              <w:rPr>
                <w:rFonts w:ascii="仿宋" w:hAnsi="仿宋" w:eastAsia="仿宋"/>
                <w:color w:val="auto"/>
                <w:highlight w:val="none"/>
              </w:rPr>
              <w:t>人</w:t>
            </w:r>
          </w:p>
        </w:tc>
        <w:tc>
          <w:tcPr>
            <w:tcW w:w="1830" w:type="dxa"/>
            <w:vAlign w:val="center"/>
          </w:tcPr>
          <w:p w14:paraId="1B50EC20">
            <w:pPr>
              <w:spacing w:line="500" w:lineRule="exact"/>
              <w:jc w:val="center"/>
              <w:rPr>
                <w:rFonts w:eastAsia="仿宋"/>
                <w:color w:val="auto"/>
                <w:highlight w:val="none"/>
              </w:rPr>
            </w:pPr>
            <w:r>
              <w:rPr>
                <w:rFonts w:eastAsia="仿宋"/>
                <w:color w:val="auto"/>
                <w:highlight w:val="none"/>
              </w:rPr>
              <w:t>100≤X&lt;300</w:t>
            </w:r>
          </w:p>
        </w:tc>
        <w:tc>
          <w:tcPr>
            <w:tcW w:w="1572" w:type="dxa"/>
            <w:vAlign w:val="center"/>
          </w:tcPr>
          <w:p w14:paraId="31906B69">
            <w:pPr>
              <w:spacing w:line="500" w:lineRule="exact"/>
              <w:jc w:val="center"/>
              <w:rPr>
                <w:rFonts w:eastAsia="仿宋"/>
                <w:color w:val="auto"/>
                <w:highlight w:val="none"/>
              </w:rPr>
            </w:pPr>
            <w:r>
              <w:rPr>
                <w:rFonts w:eastAsia="仿宋"/>
                <w:color w:val="auto"/>
                <w:highlight w:val="none"/>
              </w:rPr>
              <w:t>10≤X&lt;100</w:t>
            </w:r>
          </w:p>
        </w:tc>
        <w:tc>
          <w:tcPr>
            <w:tcW w:w="1036" w:type="dxa"/>
            <w:vAlign w:val="center"/>
          </w:tcPr>
          <w:p w14:paraId="40FDD240">
            <w:pPr>
              <w:spacing w:line="500" w:lineRule="exact"/>
              <w:jc w:val="center"/>
              <w:rPr>
                <w:rFonts w:eastAsia="仿宋"/>
                <w:color w:val="auto"/>
                <w:highlight w:val="none"/>
              </w:rPr>
            </w:pPr>
            <w:r>
              <w:rPr>
                <w:rFonts w:eastAsia="仿宋"/>
                <w:color w:val="auto"/>
                <w:highlight w:val="none"/>
              </w:rPr>
              <w:t>X&lt;10</w:t>
            </w:r>
          </w:p>
        </w:tc>
      </w:tr>
    </w:tbl>
    <w:p w14:paraId="19116C46">
      <w:pPr>
        <w:spacing w:line="500" w:lineRule="exact"/>
        <w:ind w:firstLine="420" w:firstLineChars="200"/>
        <w:rPr>
          <w:rFonts w:ascii="仿宋" w:hAnsi="仿宋" w:eastAsia="仿宋"/>
          <w:color w:val="auto"/>
          <w:sz w:val="28"/>
          <w:szCs w:val="28"/>
          <w:highlight w:val="none"/>
        </w:rPr>
      </w:pPr>
      <w:r>
        <w:rPr>
          <w:rFonts w:hint="eastAsia" w:ascii="仿宋" w:hAnsi="仿宋" w:eastAsia="仿宋"/>
          <w:color w:val="auto"/>
          <w:highlight w:val="none"/>
        </w:rPr>
        <w:t>说明：大型、中型和小型企业须同时满足所列指标的下限，否则下划一档；微型企业只须满足所列指标中的一项即可。</w:t>
      </w:r>
    </w:p>
    <w:p w14:paraId="2028352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7.2 残疾人福利单位价格扣除</w:t>
      </w:r>
    </w:p>
    <w:p w14:paraId="615B3B4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7.2.1</w:t>
      </w:r>
      <w:r>
        <w:rPr>
          <w:rFonts w:ascii="仿宋" w:hAnsi="仿宋" w:eastAsia="仿宋"/>
          <w:color w:val="auto"/>
          <w:sz w:val="28"/>
          <w:szCs w:val="28"/>
          <w:highlight w:val="none"/>
        </w:rPr>
        <w:t>享受政府采购支持政策的残疾人福利性单位应当同时满足以下条件：</w:t>
      </w:r>
    </w:p>
    <w:p w14:paraId="2D572C5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2E921FF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依法与安置的每位残疾人签订了一年以上（含一年）的劳动合同或服务协议；</w:t>
      </w:r>
    </w:p>
    <w:p w14:paraId="56D4C7E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为安置的每位残疾人按月足额缴纳了基本养老保险、基本医疗保险、失业保险、工伤保险和生育保险等社会保险费；</w:t>
      </w:r>
    </w:p>
    <w:p w14:paraId="0BE41A0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通过银行等金融机构向安置的每位残疾人，按月支付了不低于单位所在区县适用的经省级人民政府批准的月最低工资标准的工资；</w:t>
      </w:r>
    </w:p>
    <w:p w14:paraId="3F02A56F">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提供本单位制造的货物、承担的工程或者服务（以下简称产品），或者提供其他残疾人福利性单位制造的货物（不包括使用非残疾人福利性单位注册商标的货物）。</w:t>
      </w:r>
    </w:p>
    <w:p w14:paraId="2522F3A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78C0C5C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7.2.3 残疾人福利单位需按照采购文件的要求提供《残疾人福利性单位声明函》，否则不予享受。</w:t>
      </w:r>
    </w:p>
    <w:p w14:paraId="3CB2C7F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7.2.4 残疾人福利单位属于小型、微型企业的，不重复享受政策。</w:t>
      </w:r>
    </w:p>
    <w:p w14:paraId="051D374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 监狱和戒毒企业价格扣除</w:t>
      </w:r>
    </w:p>
    <w:p w14:paraId="4D17BE5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708007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7.3.2 监狱企业参加政府采购活动时，应当提供由省级以上监狱管理局、戒毒管理局(含新疆生产建设兵团)出具的属于监狱企业的证明文件。</w:t>
      </w:r>
    </w:p>
    <w:p w14:paraId="057BF48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7.3.3 在政府采购活动中，监狱企业视同小型、微型企业，享受预留份额、评审中价格扣除等政府采购促进中小企业发展的政府采购政策。</w:t>
      </w:r>
    </w:p>
    <w:p w14:paraId="0BC936A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7.3.4 监狱企业属于小型、微型企业的，不重复享受政策。</w:t>
      </w:r>
    </w:p>
    <w:p w14:paraId="351CAD4F">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7.4 根据《财政部、发展改革委关于印发节能产品政府采购品目清单的通知》（</w:t>
      </w:r>
      <w:r>
        <w:rPr>
          <w:rFonts w:hint="eastAsia" w:ascii="仿宋" w:hAnsi="仿宋" w:eastAsia="仿宋" w:cs="宋体"/>
          <w:color w:val="auto"/>
          <w:kern w:val="0"/>
          <w:sz w:val="26"/>
          <w:szCs w:val="26"/>
          <w:highlight w:val="none"/>
        </w:rPr>
        <w:t>财库〔2019〕19号</w:t>
      </w:r>
      <w:r>
        <w:rPr>
          <w:rFonts w:hint="eastAsia" w:ascii="仿宋" w:hAnsi="仿宋" w:eastAsia="仿宋"/>
          <w:color w:val="auto"/>
          <w:sz w:val="28"/>
          <w:szCs w:val="28"/>
          <w:highlight w:val="none"/>
        </w:rPr>
        <w:t>）要求，下列产品实行强制采购或者优先采购：</w:t>
      </w:r>
    </w:p>
    <w:p w14:paraId="23C1B50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p>
    <w:p w14:paraId="5236351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094AFA3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内的</w:t>
      </w:r>
      <w:r>
        <w:rPr>
          <w:rFonts w:hint="eastAsia" w:ascii="仿宋" w:hAnsi="仿宋" w:eastAsia="仿宋"/>
          <w:color w:val="auto"/>
          <w:sz w:val="28"/>
          <w:szCs w:val="28"/>
          <w:highlight w:val="none"/>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0EFFF97C">
      <w:pPr>
        <w:spacing w:line="500" w:lineRule="exact"/>
        <w:ind w:firstLine="560" w:firstLineChars="200"/>
        <w:outlineLvl w:val="1"/>
        <w:rPr>
          <w:rFonts w:ascii="黑体" w:hAnsi="黑体" w:eastAsia="黑体"/>
          <w:bCs/>
          <w:color w:val="auto"/>
          <w:sz w:val="28"/>
          <w:szCs w:val="28"/>
          <w:highlight w:val="none"/>
        </w:rPr>
      </w:pPr>
      <w:bookmarkStart w:id="66" w:name="_Toc27618"/>
      <w:r>
        <w:rPr>
          <w:rFonts w:hint="eastAsia" w:ascii="黑体" w:hAnsi="黑体" w:eastAsia="黑体"/>
          <w:bCs/>
          <w:color w:val="auto"/>
          <w:sz w:val="28"/>
          <w:szCs w:val="28"/>
          <w:highlight w:val="none"/>
        </w:rPr>
        <w:t>8.无效响应和谈判活动终止</w:t>
      </w:r>
      <w:bookmarkEnd w:id="66"/>
    </w:p>
    <w:p w14:paraId="56651BA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p>
    <w:p w14:paraId="08F470C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 不具备竞争性谈判文件中规定的资格要求的。</w:t>
      </w:r>
    </w:p>
    <w:p w14:paraId="454A743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8.1.2 最后报价超过了采购预算或最高限价的。</w:t>
      </w:r>
    </w:p>
    <w:p w14:paraId="07E48B0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8.1.3 未通过符合性审查的。</w:t>
      </w:r>
    </w:p>
    <w:p w14:paraId="47D108E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8.1.4 不符合法律、法规和竞争性谈判文件中规定的其他实质性要求的。</w:t>
      </w:r>
    </w:p>
    <w:p w14:paraId="40EC73F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23C0653E">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8.1.6 响应文件含有采购人不能接受的附加条件的。</w:t>
      </w:r>
    </w:p>
    <w:p w14:paraId="32999D7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8.1.7 本项目采购产品被财政部、国家发改委、生态环境部等列入“节能产品品目清单”、“环境标志产品品目清单”强制采购范围，而供应商的响应产品不在强制采购范围内的。</w:t>
      </w:r>
    </w:p>
    <w:p w14:paraId="0E12C3F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8.1.8 响应文件未按照谈判文件要求加盖电子签章。</w:t>
      </w:r>
    </w:p>
    <w:p w14:paraId="755B659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8.1.9 供应商在系统规定的时间内未成功解密电子响应文件的。</w:t>
      </w:r>
    </w:p>
    <w:p w14:paraId="0E1E846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8.1.10 未完整上传响应文件电子文档的,或上传的文件打不开的。</w:t>
      </w:r>
    </w:p>
    <w:p w14:paraId="11BCC11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8.1.11 不同的供应商响应文件制作机器码、文件创建标识码一致的。</w:t>
      </w:r>
    </w:p>
    <w:p w14:paraId="0430C42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8.1.12其他法律、法规及本谈判文件规定的属无效响应的情形。</w:t>
      </w:r>
    </w:p>
    <w:p w14:paraId="2EFFF9E6">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8.2 出现下列情形之一的，本次竞争性谈判采购活动将被终止：</w:t>
      </w:r>
    </w:p>
    <w:p w14:paraId="77D2271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因情况变化，不再符合规定的竞争性谈判采购方式适用情形的；</w:t>
      </w:r>
    </w:p>
    <w:p w14:paraId="4D2E221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出现影响采购公正的违法、违规行为的；</w:t>
      </w:r>
    </w:p>
    <w:p w14:paraId="3A7C445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8.2.3</w:t>
      </w:r>
      <w:r>
        <w:rPr>
          <w:rFonts w:ascii="仿宋" w:hAnsi="仿宋" w:eastAsia="仿宋"/>
          <w:color w:val="auto"/>
          <w:sz w:val="28"/>
          <w:szCs w:val="28"/>
          <w:highlight w:val="none"/>
        </w:rPr>
        <w:t>在采购过程中符合竞争要求的供应商或者报价未超过采购预算的供应商不足3家的。</w:t>
      </w:r>
    </w:p>
    <w:p w14:paraId="16AA6FD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8.2.4 因重大变故，采购任务取消的。</w:t>
      </w:r>
    </w:p>
    <w:p w14:paraId="1D9ABE90">
      <w:pPr>
        <w:spacing w:line="500" w:lineRule="exact"/>
        <w:ind w:firstLine="560" w:firstLineChars="200"/>
        <w:outlineLvl w:val="1"/>
        <w:rPr>
          <w:rFonts w:ascii="黑体" w:hAnsi="黑体" w:eastAsia="黑体"/>
          <w:color w:val="auto"/>
          <w:sz w:val="28"/>
          <w:szCs w:val="28"/>
          <w:highlight w:val="none"/>
        </w:rPr>
      </w:pPr>
      <w:bookmarkStart w:id="67" w:name="_Toc25403"/>
      <w:r>
        <w:rPr>
          <w:rFonts w:hint="eastAsia" w:ascii="黑体" w:hAnsi="黑体" w:eastAsia="黑体"/>
          <w:color w:val="auto"/>
          <w:sz w:val="28"/>
          <w:szCs w:val="28"/>
          <w:highlight w:val="none"/>
        </w:rPr>
        <w:t>9. 询问、质疑和投诉</w:t>
      </w:r>
      <w:bookmarkEnd w:id="67"/>
    </w:p>
    <w:p w14:paraId="051F961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9.1 供应商对政府采购活动事项有疑问的，可以向采购人或者采购代理机构提出询问，采购人或者采购代理机构应当在3个工作日内作出答复。</w:t>
      </w:r>
    </w:p>
    <w:p w14:paraId="71ACAEB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9.2 供应商认为采购文件、采购过程、中标或者成交结果使自己的权益受到损害的，可以在知道或者应知其权益受到损害之日起7个工作日内，以书面形式向采购人、采购代理机构提出质疑。</w:t>
      </w:r>
    </w:p>
    <w:p w14:paraId="44020DF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上述应知其权益受到损害之日，是指：</w:t>
      </w:r>
      <w:r>
        <w:rPr>
          <w:rFonts w:ascii="仿宋" w:hAnsi="仿宋" w:eastAsia="仿宋"/>
          <w:color w:val="auto"/>
          <w:sz w:val="28"/>
          <w:szCs w:val="28"/>
          <w:highlight w:val="none"/>
        </w:rPr>
        <w:t>对可以质疑的</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文件提出质疑的，为收到</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文件之日或者</w:t>
      </w:r>
      <w:r>
        <w:rPr>
          <w:rFonts w:hint="eastAsia" w:ascii="仿宋" w:hAnsi="仿宋" w:eastAsia="仿宋"/>
          <w:color w:val="auto"/>
          <w:sz w:val="28"/>
          <w:szCs w:val="28"/>
          <w:highlight w:val="none"/>
        </w:rPr>
        <w:t>招标</w:t>
      </w:r>
      <w:r>
        <w:rPr>
          <w:rFonts w:ascii="仿宋" w:hAnsi="仿宋" w:eastAsia="仿宋"/>
          <w:color w:val="auto"/>
          <w:sz w:val="28"/>
          <w:szCs w:val="28"/>
          <w:highlight w:val="none"/>
        </w:rPr>
        <w:t>文件公告期限届满之日；对采购过程提出质疑的，为各采购程序环节结束之日；对成交结果提出质疑的，为成交结果公告期限届满之日。</w:t>
      </w:r>
    </w:p>
    <w:p w14:paraId="4F00CBC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p>
    <w:p w14:paraId="0B3E755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715F8864">
      <w:pPr>
        <w:spacing w:line="500" w:lineRule="exact"/>
        <w:ind w:firstLine="560" w:firstLineChars="20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42FCA0BC">
      <w:pPr>
        <w:spacing w:line="500" w:lineRule="exact"/>
        <w:ind w:firstLine="560" w:firstLineChars="20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，见谈判文件第</w:t>
      </w:r>
      <w:r>
        <w:rPr>
          <w:rFonts w:hint="eastAsia" w:ascii="仿宋" w:hAnsi="仿宋" w:eastAsia="仿宋"/>
          <w:b/>
          <w:color w:val="auto"/>
          <w:sz w:val="28"/>
          <w:szCs w:val="28"/>
          <w:highlight w:val="none"/>
        </w:rPr>
        <w:t>1</w:t>
      </w:r>
      <w:r>
        <w:rPr>
          <w:rFonts w:ascii="仿宋" w:hAnsi="仿宋" w:eastAsia="仿宋"/>
          <w:b/>
          <w:color w:val="auto"/>
          <w:sz w:val="28"/>
          <w:szCs w:val="28"/>
          <w:highlight w:val="none"/>
        </w:rPr>
        <w:t>章。</w:t>
      </w:r>
    </w:p>
    <w:p w14:paraId="365FB80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以下情形的质疑不予受理：</w:t>
      </w:r>
    </w:p>
    <w:p w14:paraId="6EC9D5B3">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内容不符合《政府采购质疑和投诉办法》第十二条规定的质疑。</w:t>
      </w:r>
    </w:p>
    <w:p w14:paraId="7EC70B4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超出政府采购法定期限的质疑。</w:t>
      </w:r>
    </w:p>
    <w:p w14:paraId="78F4060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9.7.3</w:t>
      </w:r>
      <w:r>
        <w:rPr>
          <w:rFonts w:ascii="仿宋" w:hAnsi="仿宋" w:eastAsia="仿宋"/>
          <w:color w:val="auto"/>
          <w:sz w:val="28"/>
          <w:szCs w:val="28"/>
          <w:highlight w:val="none"/>
        </w:rPr>
        <w:t>未参加谈判活动的供应商或在谈判活动中自身权益未受到损害的供应商所提出的质疑。</w:t>
      </w:r>
    </w:p>
    <w:p w14:paraId="58AA771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供应商组成联合体参加谈判活动，联合体中任何一方或多方未按要求签字、盖章、加盖公章的质疑。</w:t>
      </w:r>
    </w:p>
    <w:p w14:paraId="68B1892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供应商提出书面质疑必须有理、有据，不得捏造事实、提供虚假材料进行恶意质疑。否则，一经查实，</w:t>
      </w:r>
      <w:r>
        <w:rPr>
          <w:rFonts w:hint="eastAsia" w:ascii="仿宋" w:hAnsi="仿宋" w:eastAsia="仿宋"/>
          <w:color w:val="auto"/>
          <w:sz w:val="28"/>
          <w:szCs w:val="28"/>
          <w:highlight w:val="none"/>
        </w:rPr>
        <w:t>采购代理机构</w:t>
      </w:r>
      <w:r>
        <w:rPr>
          <w:rFonts w:ascii="仿宋" w:hAnsi="仿宋" w:eastAsia="仿宋"/>
          <w:color w:val="auto"/>
          <w:sz w:val="28"/>
          <w:szCs w:val="28"/>
          <w:highlight w:val="none"/>
        </w:rPr>
        <w:t>有权依据政府采购的有关规定，报请政府采购监管部门对该供应商进行相应的行政处罚和记录该供应商的失信信息。</w:t>
      </w:r>
    </w:p>
    <w:p w14:paraId="1086BA1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9.9 质疑函范本</w:t>
      </w:r>
    </w:p>
    <w:p w14:paraId="18A742A6">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质疑函</w:t>
      </w:r>
    </w:p>
    <w:p w14:paraId="033BD0D3">
      <w:pPr>
        <w:adjustRightInd w:val="0"/>
        <w:snapToGrid w:val="0"/>
        <w:spacing w:beforeLines="100"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一、质疑供应商基本信息</w:t>
      </w:r>
    </w:p>
    <w:p w14:paraId="3CBEA710">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质疑供应商：</w:t>
      </w:r>
    </w:p>
    <w:p w14:paraId="0CFEE417">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地址：邮编：</w:t>
      </w:r>
    </w:p>
    <w:p w14:paraId="5238048F">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联系人：联系电话：</w:t>
      </w:r>
    </w:p>
    <w:p w14:paraId="0C1CFC6D">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授权代表：联系电话：</w:t>
      </w:r>
    </w:p>
    <w:p w14:paraId="38729E00">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地址：邮编：</w:t>
      </w:r>
    </w:p>
    <w:p w14:paraId="357E752A">
      <w:pPr>
        <w:adjustRightInd w:val="0"/>
        <w:snapToGrid w:val="0"/>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二、质疑项目基本情况</w:t>
      </w:r>
    </w:p>
    <w:p w14:paraId="5F6A6193">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质疑项目的名称：</w:t>
      </w:r>
    </w:p>
    <w:p w14:paraId="4D2E94F4">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质疑项目的编号：包号：</w:t>
      </w:r>
    </w:p>
    <w:p w14:paraId="458EAFE1">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采购人名称：</w:t>
      </w:r>
    </w:p>
    <w:p w14:paraId="3A855303">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采购文件获取日期：</w:t>
      </w:r>
    </w:p>
    <w:p w14:paraId="24607706">
      <w:pPr>
        <w:adjustRightInd w:val="0"/>
        <w:snapToGrid w:val="0"/>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三、质疑事项具体内容</w:t>
      </w:r>
    </w:p>
    <w:p w14:paraId="73CBF169">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质疑事项1：</w:t>
      </w:r>
    </w:p>
    <w:p w14:paraId="138CAFC3">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事实依据：</w:t>
      </w:r>
    </w:p>
    <w:p w14:paraId="44085CDA">
      <w:pPr>
        <w:adjustRightInd w:val="0"/>
        <w:snapToGrid w:val="0"/>
        <w:spacing w:line="360" w:lineRule="auto"/>
        <w:rPr>
          <w:rFonts w:ascii="仿宋" w:hAnsi="仿宋" w:eastAsia="仿宋" w:cs="仿宋"/>
          <w:color w:val="auto"/>
          <w:sz w:val="28"/>
          <w:szCs w:val="28"/>
          <w:highlight w:val="none"/>
        </w:rPr>
      </w:pPr>
    </w:p>
    <w:p w14:paraId="5573694A">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法律依据：</w:t>
      </w:r>
    </w:p>
    <w:p w14:paraId="1016AB16">
      <w:pPr>
        <w:adjustRightInd w:val="0"/>
        <w:snapToGrid w:val="0"/>
        <w:spacing w:line="360" w:lineRule="auto"/>
        <w:rPr>
          <w:rFonts w:ascii="仿宋" w:hAnsi="仿宋" w:eastAsia="仿宋" w:cs="仿宋"/>
          <w:color w:val="auto"/>
          <w:sz w:val="28"/>
          <w:szCs w:val="28"/>
          <w:highlight w:val="none"/>
          <w:u w:val="dotted"/>
        </w:rPr>
      </w:pPr>
    </w:p>
    <w:p w14:paraId="07753486">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质疑事项2</w:t>
      </w:r>
    </w:p>
    <w:p w14:paraId="44335C6F">
      <w:pPr>
        <w:adjustRightInd w:val="0"/>
        <w:snapToGrid w:val="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p w14:paraId="7E417361">
      <w:pPr>
        <w:adjustRightInd w:val="0"/>
        <w:snapToGrid w:val="0"/>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四、与质疑事项相关的质疑请求</w:t>
      </w:r>
    </w:p>
    <w:p w14:paraId="4679CFE5">
      <w:pPr>
        <w:adjustRightInd w:val="0"/>
        <w:snapToGrid w:val="0"/>
        <w:spacing w:line="360" w:lineRule="auto"/>
        <w:rPr>
          <w:rFonts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请求：</w:t>
      </w:r>
    </w:p>
    <w:p w14:paraId="30A8178C">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p>
    <w:p w14:paraId="51CA8F37">
      <w:pPr>
        <w:spacing w:line="500" w:lineRule="exact"/>
        <w:ind w:right="560" w:firstLine="560" w:firstLineChars="200"/>
        <w:rPr>
          <w:rFonts w:ascii="仿宋" w:hAnsi="仿宋" w:eastAsia="仿宋"/>
          <w:color w:val="auto"/>
          <w:sz w:val="28"/>
          <w:szCs w:val="28"/>
          <w:highlight w:val="none"/>
        </w:rPr>
      </w:pPr>
      <w:r>
        <w:rPr>
          <w:rFonts w:hint="eastAsia" w:ascii="仿宋_GB2312" w:eastAsia="仿宋_GB2312"/>
          <w:color w:val="auto"/>
          <w:sz w:val="28"/>
          <w:szCs w:val="28"/>
          <w:highlight w:val="none"/>
        </w:rPr>
        <w:t>日期：</w:t>
      </w:r>
    </w:p>
    <w:p w14:paraId="7240AC2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9.10 质疑供应商对采购人、采购代理机构的答复不满意，或者采购人、采购代理机构未在规定时间内作出答复的，可以在答复期满后15个工作日内向财政部门提起投诉。</w:t>
      </w:r>
    </w:p>
    <w:p w14:paraId="3C3C5881">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9.11 投诉人投诉时,应当提交投诉书和必要的证明材料，并按照被投诉采购人、采购代理机构（以下简称被投诉人）和与投诉事项有关的供应商数量提供投诉书的副本。</w:t>
      </w:r>
    </w:p>
    <w:p w14:paraId="2CA1478B">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9.12 投诉人为自然人的，应当由本人签字；投诉人为法人或者其他组织的，应当由法定代表人、主要负责人，或者其授权代表签字或者盖章，并加盖公章。投诉书内容详见第9.14条投诉书范本。</w:t>
      </w:r>
    </w:p>
    <w:p w14:paraId="540C5F1E">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9.13 投诉人应当将投诉书送达如皋市财政局政府采购管理科（</w:t>
      </w:r>
      <w:r>
        <w:rPr>
          <w:rFonts w:ascii="仿宋" w:hAnsi="仿宋" w:eastAsia="仿宋"/>
          <w:color w:val="auto"/>
          <w:sz w:val="28"/>
          <w:szCs w:val="28"/>
          <w:highlight w:val="none"/>
        </w:rPr>
        <w:t>如皋市解放路199号，行政中心</w:t>
      </w:r>
      <w:r>
        <w:rPr>
          <w:rFonts w:hint="eastAsia" w:ascii="仿宋" w:hAnsi="仿宋" w:eastAsia="仿宋"/>
          <w:color w:val="auto"/>
          <w:sz w:val="28"/>
          <w:szCs w:val="28"/>
          <w:highlight w:val="none"/>
        </w:rPr>
        <w:t>A座710室，联系电话0513-87623860）。</w:t>
      </w:r>
    </w:p>
    <w:p w14:paraId="6E3E6CE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9.14 投诉书范本</w:t>
      </w:r>
    </w:p>
    <w:p w14:paraId="407E829C">
      <w:pPr>
        <w:jc w:val="center"/>
        <w:rPr>
          <w:rFonts w:ascii="宋体" w:hAnsi="宋体"/>
          <w:b/>
          <w:color w:val="auto"/>
          <w:sz w:val="24"/>
          <w:szCs w:val="24"/>
          <w:highlight w:val="none"/>
        </w:rPr>
      </w:pPr>
      <w:r>
        <w:rPr>
          <w:rFonts w:hint="eastAsia" w:ascii="宋体" w:hAnsi="宋体"/>
          <w:b/>
          <w:color w:val="auto"/>
          <w:sz w:val="24"/>
          <w:szCs w:val="24"/>
          <w:highlight w:val="none"/>
        </w:rPr>
        <w:t>投诉书</w:t>
      </w:r>
    </w:p>
    <w:p w14:paraId="737C0260">
      <w:pPr>
        <w:rPr>
          <w:rFonts w:ascii="黑体" w:hAnsi="黑体" w:eastAsia="黑体"/>
          <w:color w:val="auto"/>
          <w:sz w:val="28"/>
          <w:szCs w:val="28"/>
          <w:highlight w:val="none"/>
        </w:rPr>
      </w:pPr>
      <w:r>
        <w:rPr>
          <w:rFonts w:hint="eastAsia" w:ascii="黑体" w:hAnsi="黑体" w:eastAsia="黑体"/>
          <w:color w:val="auto"/>
          <w:sz w:val="28"/>
          <w:szCs w:val="28"/>
          <w:highlight w:val="none"/>
        </w:rPr>
        <w:t>一、投诉相关主体基本情况</w:t>
      </w:r>
    </w:p>
    <w:p w14:paraId="7A22D00A">
      <w:pPr>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投诉人：</w:t>
      </w:r>
    </w:p>
    <w:p w14:paraId="0FE86DE3">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     址：邮编：</w:t>
      </w:r>
    </w:p>
    <w:p w14:paraId="14D2501F">
      <w:pPr>
        <w:tabs>
          <w:tab w:val="left" w:pos="6510"/>
        </w:tabs>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法定代表人/主要负责人：联系电话：</w:t>
      </w:r>
    </w:p>
    <w:p w14:paraId="4097FDFD">
      <w:pPr>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授权代表：联系电话：</w:t>
      </w:r>
    </w:p>
    <w:p w14:paraId="385DFB75">
      <w:pPr>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地     址：邮编：</w:t>
      </w:r>
    </w:p>
    <w:p w14:paraId="5C75896A">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被投诉人1：</w:t>
      </w:r>
    </w:p>
    <w:p w14:paraId="38A8A44C">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     址：邮编：</w:t>
      </w:r>
    </w:p>
    <w:p w14:paraId="5032B049">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联系人：联系电话：</w:t>
      </w:r>
    </w:p>
    <w:p w14:paraId="711D33BF">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被投诉人2</w:t>
      </w:r>
    </w:p>
    <w:p w14:paraId="2D076682">
      <w:pPr>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w:t>
      </w:r>
    </w:p>
    <w:p w14:paraId="4DFA83B9">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相关供应商：</w:t>
      </w:r>
    </w:p>
    <w:p w14:paraId="4D2C0109">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     址：邮编：</w:t>
      </w:r>
    </w:p>
    <w:p w14:paraId="5DCA8FB6">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联系人：联系电话：</w:t>
      </w:r>
    </w:p>
    <w:p w14:paraId="070407C9">
      <w:pPr>
        <w:rPr>
          <w:rFonts w:ascii="黑体" w:hAnsi="黑体" w:eastAsia="黑体"/>
          <w:color w:val="auto"/>
          <w:sz w:val="28"/>
          <w:szCs w:val="28"/>
          <w:highlight w:val="none"/>
        </w:rPr>
      </w:pPr>
      <w:r>
        <w:rPr>
          <w:rFonts w:hint="eastAsia" w:ascii="黑体" w:hAnsi="黑体" w:eastAsia="黑体"/>
          <w:color w:val="auto"/>
          <w:sz w:val="28"/>
          <w:szCs w:val="28"/>
          <w:highlight w:val="none"/>
        </w:rPr>
        <w:t>二、投诉项目基本情况</w:t>
      </w:r>
    </w:p>
    <w:p w14:paraId="017F49C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采购项目名称：</w:t>
      </w:r>
    </w:p>
    <w:p w14:paraId="1FD8EEA9">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采购项目编号：包号：</w:t>
      </w:r>
    </w:p>
    <w:p w14:paraId="4F00234A">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采购人名称：</w:t>
      </w:r>
    </w:p>
    <w:p w14:paraId="49B0B92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代理机构名称：</w:t>
      </w:r>
    </w:p>
    <w:p w14:paraId="7E14A36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采购文件公告:是/否 公告期限：</w:t>
      </w:r>
    </w:p>
    <w:p w14:paraId="2D4204AC">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采购结果公告:是/否 公告期限：</w:t>
      </w:r>
    </w:p>
    <w:p w14:paraId="290E7822">
      <w:pPr>
        <w:rPr>
          <w:rFonts w:ascii="黑体" w:hAnsi="黑体" w:eastAsia="黑体"/>
          <w:color w:val="auto"/>
          <w:sz w:val="28"/>
          <w:szCs w:val="28"/>
          <w:highlight w:val="none"/>
        </w:rPr>
      </w:pPr>
      <w:r>
        <w:rPr>
          <w:rFonts w:hint="eastAsia" w:ascii="黑体" w:hAnsi="黑体" w:eastAsia="黑体"/>
          <w:color w:val="auto"/>
          <w:sz w:val="28"/>
          <w:szCs w:val="28"/>
          <w:highlight w:val="none"/>
        </w:rPr>
        <w:t>三、质疑基本情况</w:t>
      </w:r>
    </w:p>
    <w:p w14:paraId="2341BA3E">
      <w:pPr>
        <w:ind w:firstLine="560" w:firstLineChars="200"/>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投诉人于年月日,向提出质疑，质疑事项为：</w:t>
      </w:r>
    </w:p>
    <w:p w14:paraId="15AB0FD5">
      <w:pPr>
        <w:rPr>
          <w:rFonts w:hint="eastAsia" w:ascii="仿宋" w:hAnsi="仿宋" w:eastAsia="仿宋" w:cs="仿宋"/>
          <w:color w:val="auto"/>
          <w:sz w:val="28"/>
          <w:szCs w:val="28"/>
          <w:highlight w:val="none"/>
          <w:u w:val="dotted"/>
        </w:rPr>
      </w:pPr>
    </w:p>
    <w:p w14:paraId="72E28EEA">
      <w:pPr>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dotted"/>
        </w:rPr>
        <w:t>采购人/代理机构</w:t>
      </w:r>
      <w:r>
        <w:rPr>
          <w:rFonts w:hint="eastAsia" w:ascii="仿宋" w:hAnsi="仿宋" w:eastAsia="仿宋" w:cs="仿宋"/>
          <w:color w:val="auto"/>
          <w:sz w:val="28"/>
          <w:szCs w:val="28"/>
          <w:highlight w:val="none"/>
        </w:rPr>
        <w:t>于年月日,就质疑事项作出了答复/没有在法定期限内作出答复。</w:t>
      </w:r>
    </w:p>
    <w:p w14:paraId="79061930">
      <w:pPr>
        <w:rPr>
          <w:rFonts w:ascii="黑体" w:hAnsi="黑体" w:eastAsia="黑体"/>
          <w:color w:val="auto"/>
          <w:sz w:val="28"/>
          <w:szCs w:val="28"/>
          <w:highlight w:val="none"/>
        </w:rPr>
      </w:pPr>
      <w:r>
        <w:rPr>
          <w:rFonts w:hint="eastAsia" w:ascii="黑体" w:hAnsi="黑体" w:eastAsia="黑体"/>
          <w:color w:val="auto"/>
          <w:sz w:val="28"/>
          <w:szCs w:val="28"/>
          <w:highlight w:val="none"/>
        </w:rPr>
        <w:t>四、投诉事项具体内容</w:t>
      </w:r>
    </w:p>
    <w:p w14:paraId="44ABFBBD">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投诉事项 1：</w:t>
      </w:r>
    </w:p>
    <w:p w14:paraId="11A2C747">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事实依据：</w:t>
      </w:r>
    </w:p>
    <w:p w14:paraId="51872DF9">
      <w:pPr>
        <w:rPr>
          <w:rFonts w:hint="eastAsia" w:ascii="仿宋" w:hAnsi="仿宋" w:eastAsia="仿宋" w:cs="仿宋"/>
          <w:color w:val="auto"/>
          <w:sz w:val="28"/>
          <w:szCs w:val="28"/>
          <w:highlight w:val="none"/>
          <w:u w:val="dotted"/>
        </w:rPr>
      </w:pPr>
    </w:p>
    <w:p w14:paraId="0ACD3FC6">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法律依据：</w:t>
      </w:r>
    </w:p>
    <w:p w14:paraId="13039824">
      <w:pPr>
        <w:rPr>
          <w:rFonts w:hint="eastAsia" w:ascii="仿宋" w:hAnsi="仿宋" w:eastAsia="仿宋" w:cs="仿宋"/>
          <w:color w:val="auto"/>
          <w:sz w:val="28"/>
          <w:szCs w:val="28"/>
          <w:highlight w:val="none"/>
          <w:u w:val="dotted"/>
        </w:rPr>
      </w:pPr>
    </w:p>
    <w:p w14:paraId="1D754295">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投诉事项2</w:t>
      </w:r>
    </w:p>
    <w:p w14:paraId="42ED29E2">
      <w:pPr>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w:t>
      </w:r>
    </w:p>
    <w:p w14:paraId="30C4F0E5">
      <w:pPr>
        <w:rPr>
          <w:rFonts w:ascii="黑体" w:hAnsi="黑体" w:eastAsia="黑体"/>
          <w:color w:val="auto"/>
          <w:sz w:val="28"/>
          <w:szCs w:val="28"/>
          <w:highlight w:val="none"/>
        </w:rPr>
      </w:pPr>
      <w:r>
        <w:rPr>
          <w:rFonts w:hint="eastAsia" w:ascii="黑体" w:hAnsi="黑体" w:eastAsia="黑体"/>
          <w:color w:val="auto"/>
          <w:sz w:val="28"/>
          <w:szCs w:val="28"/>
          <w:highlight w:val="none"/>
        </w:rPr>
        <w:t>五、与投诉事项相关的投诉请求</w:t>
      </w:r>
    </w:p>
    <w:p w14:paraId="40553622">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请求：</w:t>
      </w:r>
    </w:p>
    <w:p w14:paraId="218AB683">
      <w:pPr>
        <w:rPr>
          <w:rFonts w:hint="eastAsia" w:ascii="仿宋" w:hAnsi="仿宋" w:eastAsia="仿宋" w:cs="仿宋"/>
          <w:color w:val="auto"/>
          <w:sz w:val="28"/>
          <w:szCs w:val="28"/>
          <w:highlight w:val="none"/>
          <w:u w:val="single"/>
        </w:rPr>
      </w:pPr>
    </w:p>
    <w:p w14:paraId="5228B274">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签字(签章)：                   公章：                      </w:t>
      </w:r>
    </w:p>
    <w:p w14:paraId="4EC3B18D">
      <w:pPr>
        <w:spacing w:line="500" w:lineRule="exact"/>
        <w:ind w:firstLine="560" w:firstLineChars="200"/>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日期： </w:t>
      </w:r>
      <w:r>
        <w:rPr>
          <w:rFonts w:hint="eastAsia" w:ascii="仿宋_GB2312" w:eastAsia="仿宋_GB2312"/>
          <w:color w:val="auto"/>
          <w:sz w:val="28"/>
          <w:szCs w:val="28"/>
          <w:highlight w:val="none"/>
        </w:rPr>
        <w:t xml:space="preserve">   </w:t>
      </w:r>
    </w:p>
    <w:bookmarkEnd w:id="6"/>
    <w:bookmarkEnd w:id="63"/>
    <w:bookmarkEnd w:id="64"/>
    <w:bookmarkEnd w:id="65"/>
    <w:p w14:paraId="0B42B6C0">
      <w:pPr>
        <w:spacing w:line="500" w:lineRule="exact"/>
        <w:ind w:firstLine="560" w:firstLineChars="200"/>
        <w:jc w:val="left"/>
        <w:outlineLvl w:val="1"/>
        <w:rPr>
          <w:rFonts w:ascii="仿宋" w:hAnsi="仿宋" w:eastAsia="仿宋"/>
          <w:color w:val="auto"/>
          <w:sz w:val="28"/>
          <w:szCs w:val="28"/>
          <w:highlight w:val="none"/>
        </w:rPr>
      </w:pPr>
      <w:bookmarkStart w:id="68" w:name="_Toc28854"/>
      <w:r>
        <w:rPr>
          <w:rFonts w:hint="eastAsia" w:ascii="黑体" w:hAnsi="黑体" w:eastAsia="黑体"/>
          <w:color w:val="auto"/>
          <w:sz w:val="28"/>
          <w:szCs w:val="28"/>
          <w:highlight w:val="none"/>
        </w:rPr>
        <w:t>10. 政府采购合同信用融资扶持政策</w:t>
      </w:r>
      <w:bookmarkEnd w:id="68"/>
    </w:p>
    <w:p w14:paraId="5898E03E">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7A6C4331">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10.2 成交供应商如需获得合同信用融资支持，可凭政府采购合同办理“政采贷”融资贷款，详情请见南通市政府采购网 “易企服”综合服务平台-金融产品全周期-贷款产品专栏。</w:t>
      </w:r>
    </w:p>
    <w:p w14:paraId="74567C08">
      <w:pPr>
        <w:spacing w:line="500" w:lineRule="exact"/>
        <w:ind w:firstLine="560" w:firstLineChars="200"/>
        <w:rPr>
          <w:rFonts w:ascii="黑体" w:hAnsi="黑体" w:eastAsia="黑体"/>
          <w:color w:val="auto"/>
          <w:sz w:val="28"/>
          <w:szCs w:val="28"/>
          <w:highlight w:val="none"/>
        </w:rPr>
      </w:pPr>
      <w:r>
        <w:rPr>
          <w:rFonts w:hint="eastAsia" w:ascii="黑体" w:hAnsi="黑体" w:eastAsia="黑体"/>
          <w:color w:val="auto"/>
          <w:sz w:val="28"/>
          <w:szCs w:val="28"/>
          <w:highlight w:val="none"/>
        </w:rPr>
        <w:t>11. 采购代理服务费</w:t>
      </w:r>
    </w:p>
    <w:p w14:paraId="1EE83C59">
      <w:pPr>
        <w:keepNext w:val="0"/>
        <w:keepLines w:val="0"/>
        <w:widowControl w:val="0"/>
        <w:suppressLineNumbers w:val="0"/>
        <w:spacing w:before="0" w:beforeAutospacing="0" w:after="0" w:afterAutospacing="0" w:line="500" w:lineRule="exact"/>
        <w:ind w:left="0" w:right="0" w:firstLine="560" w:firstLineChars="200"/>
        <w:jc w:val="left"/>
        <w:rPr>
          <w:rFonts w:hint="eastAsia" w:ascii="仿宋" w:hAnsi="仿宋" w:eastAsia="仿宋" w:cs="仿宋"/>
          <w:color w:val="auto"/>
          <w:kern w:val="2"/>
          <w:sz w:val="28"/>
          <w:szCs w:val="28"/>
          <w:highlight w:val="none"/>
          <w:lang w:val="en-US" w:eastAsia="zh-CN" w:bidi="ar"/>
        </w:rPr>
      </w:pPr>
      <w:r>
        <w:rPr>
          <w:rFonts w:hint="eastAsia" w:ascii="仿宋" w:hAnsi="仿宋" w:eastAsia="仿宋"/>
          <w:color w:val="auto"/>
          <w:sz w:val="28"/>
          <w:szCs w:val="28"/>
          <w:highlight w:val="none"/>
        </w:rPr>
        <w:t>11.1</w:t>
      </w:r>
      <w:r>
        <w:rPr>
          <w:rFonts w:hint="eastAsia" w:ascii="仿宋" w:hAnsi="仿宋" w:eastAsia="仿宋" w:cs="仿宋"/>
          <w:color w:val="auto"/>
          <w:kern w:val="2"/>
          <w:sz w:val="28"/>
          <w:szCs w:val="28"/>
          <w:highlight w:val="none"/>
          <w:lang w:val="en-US" w:eastAsia="zh-CN" w:bidi="ar"/>
        </w:rPr>
        <w:t>采购代理服务费依据财政部《政府采购代理机构管理暂行办法》(财库〔2018〕2号)及《江苏省政府采购代理服务收费指导意见》（苏政采协〔2024〕20号）的规定执行。收取标准：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p>
    <w:p w14:paraId="6AC45A7B">
      <w:pPr>
        <w:spacing w:line="50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11.2 采购代理服务费由成交供应商支付。成交供应商自成交结果公告发布之日起五个工作日内，向采购代理机构支付服务费。</w:t>
      </w:r>
    </w:p>
    <w:p w14:paraId="7E02C5F5">
      <w:pPr>
        <w:spacing w:line="500" w:lineRule="exact"/>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11.3 采购代理机构账户信息：</w:t>
      </w:r>
    </w:p>
    <w:p w14:paraId="37E74E1C">
      <w:pPr>
        <w:spacing w:line="500" w:lineRule="exact"/>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11.3.1收款单位名称为：</w:t>
      </w:r>
      <w:r>
        <w:rPr>
          <w:rFonts w:hint="eastAsia" w:ascii="仿宋" w:hAnsi="仿宋" w:eastAsia="仿宋" w:cs="宋体"/>
          <w:color w:val="auto"/>
          <w:kern w:val="0"/>
          <w:sz w:val="28"/>
          <w:szCs w:val="28"/>
          <w:highlight w:val="none"/>
        </w:rPr>
        <w:t>南通中江工程项目管理有限公司江海分公司</w:t>
      </w:r>
      <w:r>
        <w:rPr>
          <w:rFonts w:hint="eastAsia" w:ascii="仿宋" w:hAnsi="仿宋" w:eastAsia="仿宋"/>
          <w:color w:val="auto"/>
          <w:sz w:val="28"/>
          <w:szCs w:val="28"/>
          <w:highlight w:val="none"/>
        </w:rPr>
        <w:t>；</w:t>
      </w:r>
    </w:p>
    <w:p w14:paraId="293F2DB3">
      <w:pPr>
        <w:spacing w:line="500" w:lineRule="exact"/>
        <w:ind w:firstLine="560" w:firstLineChars="200"/>
        <w:jc w:val="lef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11.3.2账户号码：</w:t>
      </w:r>
      <w:r>
        <w:rPr>
          <w:rFonts w:hint="eastAsia" w:ascii="仿宋" w:hAnsi="仿宋" w:eastAsia="仿宋" w:cs="宋体"/>
          <w:color w:val="auto"/>
          <w:kern w:val="0"/>
          <w:sz w:val="28"/>
          <w:szCs w:val="28"/>
          <w:highlight w:val="none"/>
        </w:rPr>
        <w:t>32050164726000001501</w:t>
      </w:r>
      <w:r>
        <w:rPr>
          <w:rFonts w:hint="eastAsia" w:ascii="仿宋" w:hAnsi="仿宋" w:eastAsia="仿宋"/>
          <w:color w:val="auto"/>
          <w:sz w:val="28"/>
          <w:szCs w:val="28"/>
          <w:highlight w:val="none"/>
        </w:rPr>
        <w:t>；</w:t>
      </w:r>
    </w:p>
    <w:p w14:paraId="68C3F7A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11.3.3开户行：</w:t>
      </w:r>
      <w:r>
        <w:rPr>
          <w:rFonts w:hint="eastAsia" w:ascii="仿宋" w:hAnsi="仿宋" w:eastAsia="仿宋" w:cs="宋体"/>
          <w:color w:val="auto"/>
          <w:kern w:val="0"/>
          <w:sz w:val="28"/>
          <w:szCs w:val="28"/>
          <w:highlight w:val="none"/>
        </w:rPr>
        <w:t>中国建设银行股份有限公司如皋北门支行，行号：105306200032</w:t>
      </w:r>
      <w:r>
        <w:rPr>
          <w:rFonts w:hint="eastAsia" w:ascii="仿宋" w:hAnsi="仿宋" w:eastAsia="仿宋" w:cs="宋体"/>
          <w:color w:val="auto"/>
          <w:kern w:val="0"/>
          <w:sz w:val="28"/>
          <w:szCs w:val="28"/>
          <w:highlight w:val="none"/>
          <w:lang w:eastAsia="zh-CN"/>
        </w:rPr>
        <w:t>。</w:t>
      </w:r>
    </w:p>
    <w:p w14:paraId="62A7615B">
      <w:pPr>
        <w:pStyle w:val="39"/>
        <w:spacing w:line="240" w:lineRule="auto"/>
        <w:ind w:firstLine="0"/>
        <w:jc w:val="center"/>
        <w:outlineLvl w:val="0"/>
        <w:rPr>
          <w:rFonts w:ascii="方正小标宋简体" w:eastAsia="方正小标宋简体"/>
          <w:bCs/>
          <w:color w:val="auto"/>
          <w:sz w:val="32"/>
          <w:szCs w:val="32"/>
          <w:highlight w:val="none"/>
        </w:rPr>
      </w:pPr>
      <w:r>
        <w:rPr>
          <w:rFonts w:ascii="方正小标宋简体" w:eastAsia="方正小标宋简体"/>
          <w:bCs/>
          <w:color w:val="auto"/>
          <w:sz w:val="44"/>
          <w:szCs w:val="28"/>
          <w:highlight w:val="none"/>
        </w:rPr>
        <w:br w:type="page"/>
      </w:r>
      <w:bookmarkStart w:id="69" w:name="_Toc6118"/>
      <w:r>
        <w:rPr>
          <w:rFonts w:hint="eastAsia" w:ascii="方正小标宋简体" w:eastAsia="方正小标宋简体"/>
          <w:bCs/>
          <w:color w:val="auto"/>
          <w:sz w:val="32"/>
          <w:szCs w:val="32"/>
          <w:highlight w:val="none"/>
        </w:rPr>
        <w:t>第3章 采购需求</w:t>
      </w:r>
      <w:bookmarkEnd w:id="69"/>
    </w:p>
    <w:p w14:paraId="7EFA1A89">
      <w:pPr>
        <w:spacing w:line="500" w:lineRule="exact"/>
        <w:ind w:firstLine="562" w:firstLineChars="200"/>
        <w:jc w:val="left"/>
        <w:rPr>
          <w:rFonts w:ascii="仿宋" w:hAnsi="仿宋" w:eastAsia="仿宋" w:cs="Times New Roman"/>
          <w:b/>
          <w:bCs/>
          <w:color w:val="auto"/>
          <w:sz w:val="28"/>
          <w:szCs w:val="28"/>
          <w:highlight w:val="none"/>
        </w:rPr>
      </w:pPr>
      <w:r>
        <w:rPr>
          <w:rFonts w:ascii="仿宋" w:hAnsi="仿宋" w:eastAsia="仿宋" w:cs="Times New Roman"/>
          <w:b/>
          <w:bCs/>
          <w:color w:val="auto"/>
          <w:sz w:val="28"/>
          <w:szCs w:val="28"/>
          <w:highlight w:val="none"/>
        </w:rPr>
        <w:t>供应商在制作</w:t>
      </w:r>
      <w:r>
        <w:rPr>
          <w:rFonts w:hint="eastAsia" w:ascii="仿宋" w:hAnsi="仿宋" w:eastAsia="仿宋" w:cs="Times New Roman"/>
          <w:b/>
          <w:bCs/>
          <w:color w:val="auto"/>
          <w:sz w:val="28"/>
          <w:szCs w:val="28"/>
          <w:highlight w:val="none"/>
        </w:rPr>
        <w:t>响应</w:t>
      </w:r>
      <w:r>
        <w:rPr>
          <w:rFonts w:ascii="仿宋" w:hAnsi="仿宋" w:eastAsia="仿宋" w:cs="Times New Roman"/>
          <w:b/>
          <w:bCs/>
          <w:color w:val="auto"/>
          <w:sz w:val="28"/>
          <w:szCs w:val="28"/>
          <w:highlight w:val="none"/>
        </w:rPr>
        <w:t>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5DB8BE89">
      <w:pPr>
        <w:spacing w:line="500" w:lineRule="exact"/>
        <w:ind w:firstLine="562" w:firstLineChars="200"/>
        <w:jc w:val="left"/>
        <w:rPr>
          <w:rFonts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供</w:t>
      </w:r>
      <w:r>
        <w:rPr>
          <w:rFonts w:ascii="仿宋" w:hAnsi="仿宋" w:eastAsia="仿宋" w:cs="Times New Roman"/>
          <w:b/>
          <w:bCs/>
          <w:color w:val="auto"/>
          <w:sz w:val="28"/>
          <w:szCs w:val="28"/>
          <w:highlight w:val="none"/>
        </w:rPr>
        <w:t>应商不能简单照搬照抄</w:t>
      </w:r>
      <w:r>
        <w:rPr>
          <w:rFonts w:hint="eastAsia" w:ascii="仿宋" w:hAnsi="仿宋" w:eastAsia="仿宋" w:cs="Times New Roman"/>
          <w:b/>
          <w:bCs/>
          <w:color w:val="auto"/>
          <w:sz w:val="28"/>
          <w:szCs w:val="28"/>
          <w:highlight w:val="none"/>
          <w:lang w:eastAsia="zh-CN"/>
        </w:rPr>
        <w:t>谈判</w:t>
      </w:r>
      <w:r>
        <w:rPr>
          <w:rFonts w:ascii="仿宋" w:hAnsi="仿宋" w:eastAsia="仿宋" w:cs="Times New Roman"/>
          <w:b/>
          <w:bCs/>
          <w:color w:val="auto"/>
          <w:sz w:val="28"/>
          <w:szCs w:val="28"/>
          <w:highlight w:val="none"/>
        </w:rPr>
        <w:t>文件项目需求说明中的技术、商务要求，必须作实事求是的响应。如响应供应商提供的货物和服务同</w:t>
      </w:r>
      <w:r>
        <w:rPr>
          <w:rFonts w:hint="eastAsia" w:ascii="仿宋" w:hAnsi="仿宋" w:eastAsia="仿宋" w:cs="Times New Roman"/>
          <w:b/>
          <w:bCs/>
          <w:color w:val="auto"/>
          <w:sz w:val="28"/>
          <w:szCs w:val="28"/>
          <w:highlight w:val="none"/>
        </w:rPr>
        <w:t>采购人</w:t>
      </w:r>
      <w:r>
        <w:rPr>
          <w:rFonts w:ascii="仿宋" w:hAnsi="仿宋" w:eastAsia="仿宋" w:cs="Times New Roman"/>
          <w:b/>
          <w:bCs/>
          <w:color w:val="auto"/>
          <w:sz w:val="28"/>
          <w:szCs w:val="28"/>
          <w:highlight w:val="none"/>
        </w:rPr>
        <w:t>提出的项目需求说明中的技术、商务要求不同的，必须在《商务部分正负偏离表》和《技术部分正负偏离表》上明示</w:t>
      </w:r>
      <w:r>
        <w:rPr>
          <w:rFonts w:hint="eastAsia" w:ascii="仿宋" w:hAnsi="仿宋" w:eastAsia="仿宋" w:cs="Times New Roman"/>
          <w:b/>
          <w:bCs/>
          <w:color w:val="auto"/>
          <w:sz w:val="28"/>
          <w:szCs w:val="28"/>
          <w:highlight w:val="none"/>
        </w:rPr>
        <w:t>。</w:t>
      </w:r>
    </w:p>
    <w:p w14:paraId="6590D210">
      <w:pPr>
        <w:spacing w:line="500" w:lineRule="exact"/>
        <w:ind w:firstLine="560" w:firstLineChars="200"/>
        <w:outlineLvl w:val="1"/>
        <w:rPr>
          <w:rFonts w:ascii="黑体" w:hAnsi="黑体" w:eastAsia="黑体"/>
          <w:color w:val="auto"/>
          <w:sz w:val="28"/>
          <w:szCs w:val="28"/>
          <w:highlight w:val="none"/>
        </w:rPr>
      </w:pPr>
      <w:bookmarkStart w:id="70" w:name="_Toc29919"/>
      <w:r>
        <w:rPr>
          <w:rFonts w:hint="eastAsia" w:ascii="黑体" w:hAnsi="黑体" w:eastAsia="黑体"/>
          <w:color w:val="auto"/>
          <w:sz w:val="28"/>
          <w:szCs w:val="28"/>
          <w:highlight w:val="none"/>
        </w:rPr>
        <w:t>一、项目简介</w:t>
      </w:r>
      <w:bookmarkEnd w:id="70"/>
    </w:p>
    <w:p w14:paraId="16A59E6A">
      <w:pPr>
        <w:spacing w:line="500" w:lineRule="exact"/>
        <w:ind w:firstLine="560" w:firstLineChars="200"/>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val="en-US" w:eastAsia="zh-CN"/>
        </w:rPr>
        <w:t>本项目为如皋市东陈镇</w:t>
      </w:r>
      <w:r>
        <w:rPr>
          <w:rFonts w:hint="eastAsia" w:ascii="仿宋" w:hAnsi="仿宋" w:eastAsia="仿宋" w:cs="Times New Roman"/>
          <w:color w:val="auto"/>
          <w:sz w:val="28"/>
          <w:szCs w:val="28"/>
          <w:highlight w:val="none"/>
          <w:lang w:eastAsia="zh-CN"/>
        </w:rPr>
        <w:t>东陈镇尚书工业园区污水管网建设工程。</w:t>
      </w:r>
      <w:r>
        <w:rPr>
          <w:rFonts w:hint="eastAsia" w:ascii="仿宋" w:hAnsi="仿宋" w:eastAsia="仿宋" w:cs="Times New Roman"/>
          <w:color w:val="auto"/>
          <w:sz w:val="28"/>
          <w:szCs w:val="28"/>
          <w:highlight w:val="none"/>
          <w:lang w:val="en-US" w:eastAsia="zh-CN"/>
        </w:rPr>
        <w:t>主要建设</w:t>
      </w:r>
      <w:r>
        <w:rPr>
          <w:rFonts w:hint="eastAsia" w:ascii="仿宋" w:hAnsi="仿宋" w:eastAsia="仿宋" w:cs="Times New Roman"/>
          <w:color w:val="auto"/>
          <w:sz w:val="28"/>
          <w:szCs w:val="28"/>
          <w:highlight w:val="none"/>
          <w:lang w:eastAsia="zh-CN"/>
        </w:rPr>
        <w:t>内容为平安驾校东侧，小康路北侧新建一体化污水提升泵站（按日处理污水量1500T规划）。东陈康旭大酒店与沿线预留污水管一起接至泵站，提升后采用压力管向南过小康路后，采用压力管接至114乡道市政污水管网。</w:t>
      </w:r>
    </w:p>
    <w:p w14:paraId="73ACB2E2">
      <w:pPr>
        <w:spacing w:line="500" w:lineRule="exact"/>
        <w:ind w:firstLine="560" w:firstLineChars="200"/>
        <w:outlineLvl w:val="1"/>
        <w:rPr>
          <w:rFonts w:ascii="黑体" w:hAnsi="黑体" w:eastAsia="黑体"/>
          <w:color w:val="auto"/>
          <w:sz w:val="28"/>
          <w:szCs w:val="28"/>
          <w:highlight w:val="none"/>
        </w:rPr>
      </w:pPr>
      <w:bookmarkStart w:id="71" w:name="_Toc25092"/>
      <w:r>
        <w:rPr>
          <w:rFonts w:hint="eastAsia" w:ascii="黑体" w:hAnsi="黑体" w:eastAsia="黑体"/>
          <w:color w:val="auto"/>
          <w:sz w:val="28"/>
          <w:szCs w:val="28"/>
          <w:highlight w:val="none"/>
        </w:rPr>
        <w:t>二、采购内容</w:t>
      </w:r>
      <w:bookmarkEnd w:id="71"/>
    </w:p>
    <w:p w14:paraId="43ACC6D2">
      <w:pPr>
        <w:spacing w:line="500" w:lineRule="exact"/>
        <w:ind w:firstLine="560" w:firstLineChars="200"/>
        <w:rPr>
          <w:rFonts w:ascii="仿宋" w:hAnsi="仿宋" w:eastAsia="仿宋"/>
          <w:color w:val="auto"/>
          <w:sz w:val="28"/>
          <w:szCs w:val="28"/>
          <w:highlight w:val="none"/>
        </w:rPr>
      </w:pPr>
      <w:r>
        <w:rPr>
          <w:rFonts w:hint="eastAsia" w:ascii="仿宋" w:hAnsi="仿宋" w:eastAsia="仿宋" w:cs="Times New Roman"/>
          <w:color w:val="auto"/>
          <w:sz w:val="28"/>
          <w:szCs w:val="28"/>
          <w:highlight w:val="none"/>
          <w:lang w:eastAsia="zh-CN"/>
        </w:rPr>
        <w:t>东陈镇尚书工业园区污水管网建设工程</w:t>
      </w:r>
      <w:r>
        <w:rPr>
          <w:rFonts w:hint="eastAsia" w:ascii="仿宋" w:hAnsi="仿宋" w:eastAsia="仿宋"/>
          <w:color w:val="auto"/>
          <w:sz w:val="28"/>
          <w:szCs w:val="28"/>
          <w:highlight w:val="none"/>
          <w:lang w:val="en-US" w:eastAsia="zh-CN"/>
        </w:rPr>
        <w:t>。</w:t>
      </w:r>
      <w:r>
        <w:rPr>
          <w:rFonts w:hint="eastAsia" w:ascii="仿宋" w:hAnsi="仿宋" w:eastAsia="仿宋"/>
          <w:color w:val="auto"/>
          <w:sz w:val="28"/>
          <w:szCs w:val="28"/>
          <w:highlight w:val="none"/>
        </w:rPr>
        <w:t>具体建设规模、工程特征、自然地理条件、环境保护要求、现场实际情况、交通运输情况等</w:t>
      </w:r>
      <w:r>
        <w:rPr>
          <w:rFonts w:hint="eastAsia" w:ascii="仿宋" w:hAnsi="仿宋" w:eastAsia="仿宋"/>
          <w:color w:val="auto"/>
          <w:sz w:val="28"/>
          <w:szCs w:val="28"/>
          <w:highlight w:val="none"/>
          <w:lang w:val="en-US" w:eastAsia="zh-CN"/>
        </w:rPr>
        <w:t>自行踏勘现场及参</w:t>
      </w:r>
      <w:r>
        <w:rPr>
          <w:rFonts w:hint="eastAsia" w:ascii="仿宋" w:hAnsi="仿宋" w:eastAsia="仿宋"/>
          <w:color w:val="auto"/>
          <w:sz w:val="28"/>
          <w:szCs w:val="28"/>
          <w:highlight w:val="none"/>
        </w:rPr>
        <w:t>见：附件1</w:t>
      </w:r>
      <w:r>
        <w:rPr>
          <w:rFonts w:hint="eastAsia" w:ascii="仿宋" w:hAnsi="仿宋" w:eastAsia="仿宋"/>
          <w:color w:val="auto"/>
          <w:sz w:val="28"/>
          <w:szCs w:val="28"/>
          <w:highlight w:val="none"/>
          <w:lang w:val="en-US" w:eastAsia="zh-CN"/>
        </w:rPr>
        <w:t>清单编制说明；附件2</w:t>
      </w:r>
      <w:r>
        <w:rPr>
          <w:rFonts w:hint="eastAsia" w:ascii="仿宋" w:hAnsi="仿宋" w:eastAsia="仿宋"/>
          <w:color w:val="auto"/>
          <w:sz w:val="28"/>
          <w:szCs w:val="28"/>
          <w:highlight w:val="none"/>
        </w:rPr>
        <w:t>图纸</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附件</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工程量清单。</w:t>
      </w:r>
    </w:p>
    <w:p w14:paraId="1773F55F">
      <w:pPr>
        <w:spacing w:line="500" w:lineRule="exact"/>
        <w:ind w:firstLine="560" w:firstLineChars="200"/>
        <w:rPr>
          <w:rFonts w:hint="eastAsia" w:ascii="仿宋" w:hAnsi="仿宋" w:eastAsia="仿宋" w:cs="Times New Roman"/>
          <w:color w:val="auto"/>
          <w:sz w:val="28"/>
          <w:szCs w:val="28"/>
          <w:highlight w:val="none"/>
        </w:rPr>
      </w:pPr>
      <w:r>
        <w:rPr>
          <w:rFonts w:hint="eastAsia" w:ascii="仿宋" w:hAnsi="仿宋" w:eastAsia="仿宋"/>
          <w:color w:val="auto"/>
          <w:sz w:val="28"/>
          <w:szCs w:val="28"/>
          <w:highlight w:val="none"/>
        </w:rPr>
        <w:t>响应供应商在</w:t>
      </w:r>
      <w:r>
        <w:rPr>
          <w:rFonts w:hint="eastAsia" w:ascii="仿宋" w:hAnsi="仿宋" w:eastAsia="仿宋"/>
          <w:color w:val="auto"/>
          <w:sz w:val="28"/>
          <w:szCs w:val="28"/>
          <w:highlight w:val="none"/>
          <w:lang w:val="en-US" w:eastAsia="zh-CN"/>
        </w:rPr>
        <w:t>谈判</w:t>
      </w:r>
      <w:r>
        <w:rPr>
          <w:rFonts w:hint="eastAsia" w:ascii="仿宋" w:hAnsi="仿宋" w:eastAsia="仿宋"/>
          <w:color w:val="auto"/>
          <w:sz w:val="28"/>
          <w:szCs w:val="28"/>
          <w:highlight w:val="none"/>
        </w:rPr>
        <w:t>截止时间前自行踏勘现场，清单中如有描述不到的参考现场实际情况，</w:t>
      </w:r>
      <w:r>
        <w:rPr>
          <w:rFonts w:hint="eastAsia" w:ascii="仿宋" w:hAnsi="仿宋" w:eastAsia="仿宋"/>
          <w:color w:val="auto"/>
          <w:sz w:val="28"/>
          <w:szCs w:val="28"/>
          <w:highlight w:val="none"/>
          <w:lang w:val="en-US" w:eastAsia="zh-CN"/>
        </w:rPr>
        <w:t>须</w:t>
      </w:r>
      <w:r>
        <w:rPr>
          <w:rFonts w:hint="eastAsia" w:ascii="仿宋" w:hAnsi="仿宋" w:eastAsia="仿宋"/>
          <w:color w:val="auto"/>
          <w:sz w:val="28"/>
          <w:szCs w:val="28"/>
          <w:highlight w:val="none"/>
        </w:rPr>
        <w:t>包含在综合单价</w:t>
      </w:r>
      <w:r>
        <w:rPr>
          <w:rFonts w:hint="eastAsia" w:ascii="仿宋" w:hAnsi="仿宋" w:eastAsia="仿宋"/>
          <w:color w:val="auto"/>
          <w:sz w:val="28"/>
          <w:szCs w:val="28"/>
          <w:highlight w:val="none"/>
          <w:lang w:val="en-US" w:eastAsia="zh-CN"/>
        </w:rPr>
        <w:t>报价</w:t>
      </w:r>
      <w:r>
        <w:rPr>
          <w:rFonts w:hint="eastAsia" w:ascii="仿宋" w:hAnsi="仿宋" w:eastAsia="仿宋"/>
          <w:color w:val="auto"/>
          <w:sz w:val="28"/>
          <w:szCs w:val="28"/>
          <w:highlight w:val="none"/>
        </w:rPr>
        <w:t>中。成交供应商进场后不得以不了解现场为由提出增加费用的要求。</w:t>
      </w:r>
    </w:p>
    <w:p w14:paraId="4FAC31D6">
      <w:pPr>
        <w:spacing w:line="500" w:lineRule="exact"/>
        <w:ind w:firstLine="560" w:firstLineChars="200"/>
        <w:outlineLvl w:val="1"/>
        <w:rPr>
          <w:rFonts w:ascii="仿宋" w:hAnsi="仿宋" w:eastAsia="仿宋"/>
          <w:color w:val="auto"/>
          <w:sz w:val="28"/>
          <w:szCs w:val="28"/>
          <w:highlight w:val="none"/>
        </w:rPr>
      </w:pPr>
      <w:bookmarkStart w:id="72" w:name="_Toc23384"/>
      <w:r>
        <w:rPr>
          <w:rFonts w:hint="eastAsia" w:ascii="黑体" w:hAnsi="黑体" w:eastAsia="黑体"/>
          <w:color w:val="auto"/>
          <w:sz w:val="28"/>
          <w:szCs w:val="28"/>
          <w:highlight w:val="none"/>
        </w:rPr>
        <w:t>三、技术要求</w:t>
      </w:r>
      <w:bookmarkEnd w:id="72"/>
    </w:p>
    <w:p w14:paraId="3385399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（一）</w:t>
      </w:r>
      <w:r>
        <w:rPr>
          <w:rFonts w:hint="eastAsia" w:ascii="仿宋" w:hAnsi="仿宋" w:eastAsia="仿宋" w:cs="Times New Roman"/>
          <w:color w:val="auto"/>
          <w:sz w:val="28"/>
          <w:szCs w:val="28"/>
          <w:highlight w:val="none"/>
          <w:lang w:val="en-US" w:eastAsia="zh-CN"/>
        </w:rPr>
        <w:t>成交供应商应严格按照规范及采购文件、工程量清单、图纸等相关要求组织施工。</w:t>
      </w:r>
    </w:p>
    <w:p w14:paraId="2E63CBDC">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（二）施工期间做好清洁和保护工作，确保出入人员及车辆安全。</w:t>
      </w:r>
    </w:p>
    <w:p w14:paraId="2CE1CD65">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color w:val="auto"/>
          <w:sz w:val="28"/>
          <w:szCs w:val="28"/>
          <w:highlight w:val="none"/>
        </w:rPr>
        <w:t>（三）成交供应商在项目施工中必须严格遵守相关的法规、规范和现场采购人的规定，</w:t>
      </w:r>
      <w:r>
        <w:rPr>
          <w:rFonts w:hint="eastAsia" w:ascii="仿宋" w:hAnsi="仿宋" w:eastAsia="仿宋"/>
          <w:bCs/>
          <w:color w:val="auto"/>
          <w:sz w:val="28"/>
          <w:szCs w:val="28"/>
          <w:highlight w:val="none"/>
        </w:rPr>
        <w:t>督促现场施工人员规范操作，采取严格有力的安全防护措施，做好安全防护工作（包括施工现场防护等），确保施工安装的人身安全，相关专业技术岗位必须持证上岗，一切安全责任均由成交人自负。</w:t>
      </w:r>
    </w:p>
    <w:p w14:paraId="2EDEB18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（四）成交供应商必须按不低于采购文件要求的材料质量及技术要求等标准供货、施工、安装等。</w:t>
      </w:r>
    </w:p>
    <w:p w14:paraId="3DF6F828">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（五）施工期间的水、电费用由成交供应商负责。</w:t>
      </w:r>
    </w:p>
    <w:p w14:paraId="09C30B8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（六）成交供应商施工中必须按时清理施工场地，垃圾必须清理离场。竣工时对施工场所全面打扫。</w:t>
      </w:r>
    </w:p>
    <w:p w14:paraId="0496D6A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（七）成交供应商在施工中做到项目负责人全程现场管理。</w:t>
      </w:r>
    </w:p>
    <w:p w14:paraId="36C60C44">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（八）采购人有权对成交人提供的材料和设备进行复检，成交人应予以积极配合，对不符合设计要求及验收规范的材料和设备，有权终止使用，发生的一切损失和费用由成交人承担。</w:t>
      </w:r>
    </w:p>
    <w:p w14:paraId="69B24447">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（九）成交供应商必须遵守政府有关主管部门对施工噪音、环境保护和安全生产等的管理规定，如因成交供应商的原因，导致扰民投诉及相关部门罚款的，均由成交供应商负责处理，费用自理。</w:t>
      </w:r>
    </w:p>
    <w:p w14:paraId="5D92C819">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（十）成交供应商不得拒绝完成采购人在施工地点范围内变更或要求增加的工程内容。</w:t>
      </w:r>
    </w:p>
    <w:p w14:paraId="2179CEF2">
      <w:pPr>
        <w:pStyle w:val="47"/>
        <w:widowControl/>
        <w:spacing w:line="520" w:lineRule="exact"/>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w:t>
      </w:r>
      <w:r>
        <w:rPr>
          <w:rFonts w:hint="eastAsia" w:ascii="仿宋" w:hAnsi="仿宋" w:eastAsia="仿宋" w:cs="仿宋"/>
          <w:bCs/>
          <w:color w:val="auto"/>
          <w:sz w:val="28"/>
          <w:szCs w:val="28"/>
          <w:highlight w:val="none"/>
          <w:lang w:val="en-US" w:eastAsia="zh-CN"/>
        </w:rPr>
        <w:t>十一</w:t>
      </w:r>
      <w:r>
        <w:rPr>
          <w:rFonts w:hint="eastAsia" w:ascii="仿宋" w:hAnsi="仿宋" w:eastAsia="仿宋" w:cs="仿宋"/>
          <w:bCs/>
          <w:color w:val="auto"/>
          <w:sz w:val="28"/>
          <w:szCs w:val="28"/>
          <w:highlight w:val="none"/>
        </w:rPr>
        <w:t>）供应商对工程质量缺陷不予更正，采购单位有权另请其他单位更正，所发生的费用由成交供应商承担。</w:t>
      </w:r>
    </w:p>
    <w:p w14:paraId="140F2052">
      <w:pPr>
        <w:spacing w:line="500" w:lineRule="exact"/>
        <w:ind w:firstLine="560" w:firstLineChars="200"/>
        <w:outlineLvl w:val="1"/>
        <w:rPr>
          <w:rFonts w:ascii="仿宋" w:hAnsi="仿宋" w:eastAsia="仿宋"/>
          <w:color w:val="auto"/>
          <w:sz w:val="28"/>
          <w:szCs w:val="28"/>
          <w:highlight w:val="none"/>
        </w:rPr>
      </w:pPr>
      <w:bookmarkStart w:id="73" w:name="_Toc1598"/>
      <w:r>
        <w:rPr>
          <w:rFonts w:hint="eastAsia" w:ascii="黑体" w:hAnsi="黑体" w:eastAsia="黑体"/>
          <w:color w:val="auto"/>
          <w:sz w:val="28"/>
          <w:szCs w:val="28"/>
          <w:highlight w:val="none"/>
        </w:rPr>
        <w:t>四、质量标准</w:t>
      </w:r>
      <w:bookmarkEnd w:id="73"/>
    </w:p>
    <w:p w14:paraId="1A683233">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（一）响应供应商不能简单照搬</w:t>
      </w:r>
      <w:r>
        <w:rPr>
          <w:rFonts w:hint="eastAsia" w:ascii="仿宋" w:hAnsi="仿宋" w:eastAsia="仿宋"/>
          <w:bCs/>
          <w:color w:val="auto"/>
          <w:sz w:val="28"/>
          <w:szCs w:val="28"/>
          <w:highlight w:val="none"/>
          <w:lang w:val="en-US" w:eastAsia="zh-CN"/>
        </w:rPr>
        <w:t>采购</w:t>
      </w:r>
      <w:r>
        <w:rPr>
          <w:rFonts w:hint="eastAsia" w:ascii="仿宋" w:hAnsi="仿宋" w:eastAsia="仿宋"/>
          <w:bCs/>
          <w:color w:val="auto"/>
          <w:sz w:val="28"/>
          <w:szCs w:val="28"/>
          <w:highlight w:val="none"/>
        </w:rPr>
        <w:t>文件提供的需求，必须按</w:t>
      </w:r>
      <w:r>
        <w:rPr>
          <w:rFonts w:hint="eastAsia" w:ascii="仿宋" w:hAnsi="仿宋" w:eastAsia="仿宋"/>
          <w:bCs/>
          <w:color w:val="auto"/>
          <w:sz w:val="28"/>
          <w:szCs w:val="28"/>
          <w:highlight w:val="none"/>
          <w:lang w:val="en-US" w:eastAsia="zh-CN"/>
        </w:rPr>
        <w:t>采购</w:t>
      </w:r>
      <w:r>
        <w:rPr>
          <w:rFonts w:hint="eastAsia" w:ascii="仿宋" w:hAnsi="仿宋" w:eastAsia="仿宋"/>
          <w:bCs/>
          <w:color w:val="auto"/>
          <w:sz w:val="28"/>
          <w:szCs w:val="28"/>
          <w:highlight w:val="none"/>
        </w:rPr>
        <w:t>文件技术规格逐项作出实质性应答，如照搬照抄项目需求中的技术的，成交后成交人在同采购人签订合同和履约环节中不得提出异议，一切后果和损失由成交人承担。</w:t>
      </w:r>
    </w:p>
    <w:p w14:paraId="3EC1431E">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二）质量要求：合格；施工前需提供合格样品，需保证合同项目下所用材料是全新的、未使用过的，需与提供的样品一致且经检验是合格的。需按图纸设计要求做到安全文明施工，工完料尽，满足相关施工验收标准。</w:t>
      </w:r>
    </w:p>
    <w:p w14:paraId="308E748F">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三）成交人应保证货物是全新、未使用过的原装合格正品，并完全符合采购文件及本合同规定的质量、规格和性能的要求。验收过程中发现产品不符合上述要求的，将视作不合格产品，采购人有权终止合同，造成的一切损失由成交人承担。</w:t>
      </w:r>
    </w:p>
    <w:p w14:paraId="26A26C06">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（四）成交人应保证提供的产品不得侵犯第三方专利权、商标权和设计权、版权等。否则，成交人应负全部责任，并承担由此引起的一切后果。</w:t>
      </w:r>
    </w:p>
    <w:p w14:paraId="6775EFFC">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（五）成交人应保证其货物在正确安装、正常使用下，在其使用寿命期内应具有满意的性能。</w:t>
      </w:r>
    </w:p>
    <w:p w14:paraId="4FE9CCFA">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（六）成交人应采取必要的安全措施保证货物的运输及安装的安全，并承担货物的运输及安装过程中产生的风险。</w:t>
      </w:r>
    </w:p>
    <w:p w14:paraId="6492812D">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（七）成交人必须保证所提供的产品符合国家相应质量要求，供货时必须随产品提供出厂材料，包括但不限于检验报告（复印件）、产品合格证（原件）。</w:t>
      </w:r>
    </w:p>
    <w:p w14:paraId="6ED0B7C9">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（八）成交人所供货物最终验收后，成交人应对由于设计、工艺或材料的缺陷而发生的任何不足或故障负责，并承担由此引起的一切后果。</w:t>
      </w:r>
    </w:p>
    <w:p w14:paraId="40317CC4">
      <w:pPr>
        <w:spacing w:line="500" w:lineRule="exact"/>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九）所有成交产品的技术标准按国家标准执行，无国家标准的，按行业标准执行，无国家和行业标准的，按企业标准执行；但在采购文件中有特别要求的，按采购文件中规定的要求执行，并且符合相关法律、法规规定的要求。</w:t>
      </w:r>
    </w:p>
    <w:p w14:paraId="11A5A3CF">
      <w:pPr>
        <w:spacing w:line="500" w:lineRule="exact"/>
        <w:ind w:firstLine="560" w:firstLineChars="200"/>
        <w:rPr>
          <w:color w:val="auto"/>
          <w:highlight w:val="none"/>
        </w:rPr>
      </w:pPr>
      <w:r>
        <w:rPr>
          <w:rFonts w:hint="eastAsia" w:ascii="仿宋" w:hAnsi="仿宋" w:eastAsia="仿宋"/>
          <w:bCs/>
          <w:color w:val="auto"/>
          <w:sz w:val="28"/>
          <w:szCs w:val="28"/>
          <w:highlight w:val="none"/>
        </w:rPr>
        <w:t>（十）在项目采购或实施过程中，如国家标准修改，应按照新国家标准实施；如本</w:t>
      </w:r>
      <w:r>
        <w:rPr>
          <w:rFonts w:hint="eastAsia" w:ascii="仿宋" w:hAnsi="仿宋" w:eastAsia="仿宋"/>
          <w:bCs/>
          <w:color w:val="auto"/>
          <w:sz w:val="28"/>
          <w:szCs w:val="28"/>
          <w:highlight w:val="none"/>
          <w:lang w:val="en-US" w:eastAsia="zh-CN"/>
        </w:rPr>
        <w:t>采购</w:t>
      </w:r>
      <w:r>
        <w:rPr>
          <w:rFonts w:hint="eastAsia" w:ascii="仿宋" w:hAnsi="仿宋" w:eastAsia="仿宋"/>
          <w:bCs/>
          <w:color w:val="auto"/>
          <w:sz w:val="28"/>
          <w:szCs w:val="28"/>
          <w:highlight w:val="none"/>
        </w:rPr>
        <w:t>文件规定高于国家标准，无论新旧标准，均按本</w:t>
      </w:r>
      <w:r>
        <w:rPr>
          <w:rFonts w:hint="eastAsia" w:ascii="仿宋" w:hAnsi="仿宋" w:eastAsia="仿宋"/>
          <w:bCs/>
          <w:color w:val="auto"/>
          <w:sz w:val="28"/>
          <w:szCs w:val="28"/>
          <w:highlight w:val="none"/>
          <w:lang w:val="en-US" w:eastAsia="zh-CN"/>
        </w:rPr>
        <w:t>采购</w:t>
      </w:r>
      <w:r>
        <w:rPr>
          <w:rFonts w:hint="eastAsia" w:ascii="仿宋" w:hAnsi="仿宋" w:eastAsia="仿宋"/>
          <w:bCs/>
          <w:color w:val="auto"/>
          <w:sz w:val="28"/>
          <w:szCs w:val="28"/>
          <w:highlight w:val="none"/>
        </w:rPr>
        <w:t>文件规定实施；如本</w:t>
      </w:r>
      <w:r>
        <w:rPr>
          <w:rFonts w:hint="eastAsia" w:ascii="仿宋" w:hAnsi="仿宋" w:eastAsia="仿宋"/>
          <w:bCs/>
          <w:color w:val="auto"/>
          <w:sz w:val="28"/>
          <w:szCs w:val="28"/>
          <w:highlight w:val="none"/>
          <w:lang w:val="en-US" w:eastAsia="zh-CN"/>
        </w:rPr>
        <w:t>采购</w:t>
      </w:r>
      <w:r>
        <w:rPr>
          <w:rFonts w:hint="eastAsia" w:ascii="仿宋" w:hAnsi="仿宋" w:eastAsia="仿宋"/>
          <w:bCs/>
          <w:color w:val="auto"/>
          <w:sz w:val="28"/>
          <w:szCs w:val="28"/>
          <w:highlight w:val="none"/>
        </w:rPr>
        <w:t>文件规定低于国家标准，无论新旧标准，均按国家标准规定实施。如本</w:t>
      </w:r>
      <w:r>
        <w:rPr>
          <w:rFonts w:hint="eastAsia" w:ascii="仿宋" w:hAnsi="仿宋" w:eastAsia="仿宋"/>
          <w:bCs/>
          <w:color w:val="auto"/>
          <w:sz w:val="28"/>
          <w:szCs w:val="28"/>
          <w:highlight w:val="none"/>
          <w:lang w:val="en-US" w:eastAsia="zh-CN"/>
        </w:rPr>
        <w:t>采购</w:t>
      </w:r>
      <w:r>
        <w:rPr>
          <w:rFonts w:hint="eastAsia" w:ascii="仿宋" w:hAnsi="仿宋" w:eastAsia="仿宋"/>
          <w:bCs/>
          <w:color w:val="auto"/>
          <w:sz w:val="28"/>
          <w:szCs w:val="28"/>
          <w:highlight w:val="none"/>
        </w:rPr>
        <w:t>文件内有内容相互矛盾，以高标准高要求的为准。以上有关风险等由供应商自行考虑并承担。</w:t>
      </w:r>
    </w:p>
    <w:p w14:paraId="5872E693">
      <w:pPr>
        <w:spacing w:line="500" w:lineRule="exact"/>
        <w:ind w:firstLine="560" w:firstLineChars="200"/>
        <w:outlineLvl w:val="1"/>
        <w:rPr>
          <w:rFonts w:ascii="黑体" w:hAnsi="黑体" w:eastAsia="黑体"/>
          <w:color w:val="auto"/>
          <w:sz w:val="28"/>
          <w:szCs w:val="28"/>
          <w:highlight w:val="none"/>
        </w:rPr>
      </w:pPr>
      <w:bookmarkStart w:id="74" w:name="_Toc30038"/>
      <w:r>
        <w:rPr>
          <w:rFonts w:hint="eastAsia" w:ascii="黑体" w:hAnsi="黑体" w:eastAsia="黑体"/>
          <w:color w:val="auto"/>
          <w:sz w:val="28"/>
          <w:szCs w:val="28"/>
          <w:highlight w:val="none"/>
        </w:rPr>
        <w:t>五、</w:t>
      </w:r>
      <w:r>
        <w:rPr>
          <w:rFonts w:hint="eastAsia" w:ascii="黑体" w:hAnsi="黑体" w:eastAsia="黑体"/>
          <w:color w:val="auto"/>
          <w:sz w:val="28"/>
          <w:szCs w:val="28"/>
          <w:highlight w:val="none"/>
          <w:lang w:val="en-US" w:eastAsia="zh-CN"/>
        </w:rPr>
        <w:t>工期</w:t>
      </w:r>
      <w:r>
        <w:rPr>
          <w:rFonts w:hint="eastAsia" w:ascii="黑体" w:hAnsi="黑体" w:eastAsia="黑体"/>
          <w:color w:val="auto"/>
          <w:sz w:val="28"/>
          <w:szCs w:val="28"/>
          <w:highlight w:val="none"/>
        </w:rPr>
        <w:t>和地点</w:t>
      </w:r>
      <w:bookmarkEnd w:id="74"/>
    </w:p>
    <w:p w14:paraId="35EB840D">
      <w:pPr>
        <w:spacing w:line="500" w:lineRule="exact"/>
        <w:ind w:firstLine="560" w:firstLineChars="200"/>
        <w:rPr>
          <w:rFonts w:hint="default" w:ascii="仿宋" w:hAnsi="仿宋" w:eastAsia="仿宋"/>
          <w:color w:val="auto"/>
          <w:sz w:val="28"/>
          <w:szCs w:val="24"/>
          <w:highlight w:val="none"/>
          <w:lang w:val="en-US" w:eastAsia="zh-CN"/>
        </w:rPr>
      </w:pPr>
      <w:r>
        <w:rPr>
          <w:rFonts w:hint="eastAsia" w:ascii="仿宋" w:hAnsi="仿宋" w:eastAsia="仿宋"/>
          <w:color w:val="auto"/>
          <w:sz w:val="28"/>
          <w:szCs w:val="28"/>
          <w:highlight w:val="none"/>
          <w:lang w:val="en-US" w:eastAsia="zh-CN"/>
        </w:rPr>
        <w:t>工期</w:t>
      </w:r>
      <w:r>
        <w:rPr>
          <w:rFonts w:hint="eastAsia" w:ascii="仿宋" w:hAnsi="仿宋" w:eastAsia="仿宋"/>
          <w:color w:val="auto"/>
          <w:sz w:val="28"/>
          <w:szCs w:val="28"/>
          <w:highlight w:val="none"/>
        </w:rPr>
        <w:t>：</w:t>
      </w:r>
      <w:r>
        <w:rPr>
          <w:rFonts w:hint="eastAsia" w:ascii="仿宋" w:hAnsi="仿宋" w:eastAsia="仿宋"/>
          <w:color w:val="auto"/>
          <w:sz w:val="28"/>
          <w:szCs w:val="24"/>
          <w:highlight w:val="none"/>
          <w:lang w:val="en-US" w:eastAsia="zh-CN"/>
        </w:rPr>
        <w:t>自合同签订之日起两个月内完工，具体时间以采购人通知为准。</w:t>
      </w:r>
    </w:p>
    <w:p w14:paraId="02023593">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地点：</w:t>
      </w:r>
      <w:r>
        <w:rPr>
          <w:rFonts w:hint="eastAsia" w:ascii="仿宋" w:hAnsi="仿宋" w:eastAsia="仿宋"/>
          <w:color w:val="auto"/>
          <w:sz w:val="28"/>
          <w:szCs w:val="28"/>
          <w:highlight w:val="none"/>
          <w:lang w:val="en-US" w:eastAsia="zh-CN"/>
        </w:rPr>
        <w:t>采购人指定地点</w:t>
      </w:r>
    </w:p>
    <w:p w14:paraId="783C289E">
      <w:pPr>
        <w:spacing w:line="500" w:lineRule="exact"/>
        <w:ind w:firstLine="560" w:firstLineChars="200"/>
        <w:outlineLvl w:val="1"/>
        <w:rPr>
          <w:rFonts w:ascii="黑体" w:hAnsi="黑体" w:eastAsia="黑体"/>
          <w:color w:val="auto"/>
          <w:sz w:val="28"/>
          <w:szCs w:val="28"/>
          <w:highlight w:val="none"/>
        </w:rPr>
      </w:pPr>
      <w:bookmarkStart w:id="75" w:name="_Toc22979"/>
      <w:bookmarkStart w:id="76" w:name="_Toc31587"/>
      <w:r>
        <w:rPr>
          <w:rFonts w:hint="eastAsia" w:ascii="黑体" w:hAnsi="黑体" w:eastAsia="黑体"/>
          <w:color w:val="auto"/>
          <w:sz w:val="28"/>
          <w:szCs w:val="28"/>
          <w:highlight w:val="none"/>
        </w:rPr>
        <w:t>六、</w:t>
      </w:r>
      <w:bookmarkEnd w:id="75"/>
      <w:bookmarkStart w:id="77" w:name="_Toc10550"/>
      <w:bookmarkStart w:id="78" w:name="_Toc26741"/>
      <w:r>
        <w:rPr>
          <w:rFonts w:hint="eastAsia" w:ascii="黑体" w:hAnsi="黑体" w:eastAsia="黑体"/>
          <w:color w:val="auto"/>
          <w:sz w:val="28"/>
          <w:szCs w:val="28"/>
          <w:highlight w:val="none"/>
        </w:rPr>
        <w:t>验收方案</w:t>
      </w:r>
      <w:bookmarkEnd w:id="76"/>
      <w:bookmarkEnd w:id="77"/>
    </w:p>
    <w:p w14:paraId="71DA2BD4">
      <w:pPr>
        <w:spacing w:line="520" w:lineRule="exact"/>
        <w:ind w:firstLine="560" w:firstLineChars="200"/>
        <w:outlineLvl w:val="9"/>
        <w:rPr>
          <w:rFonts w:hint="eastAsia" w:ascii="仿宋" w:hAnsi="仿宋" w:eastAsia="仿宋" w:cs="仿宋"/>
          <w:color w:val="auto"/>
          <w:sz w:val="28"/>
          <w:szCs w:val="28"/>
          <w:highlight w:val="none"/>
        </w:rPr>
      </w:pPr>
      <w:bookmarkStart w:id="79" w:name="_Toc5264"/>
      <w:bookmarkStart w:id="80" w:name="_Toc18484"/>
      <w:bookmarkStart w:id="81" w:name="_Toc10292"/>
      <w:bookmarkStart w:id="82" w:name="_Toc9959"/>
      <w:bookmarkStart w:id="83" w:name="_Toc19307"/>
      <w:bookmarkStart w:id="84" w:name="_Toc18790"/>
      <w:r>
        <w:rPr>
          <w:rFonts w:hint="eastAsia" w:ascii="仿宋" w:hAnsi="仿宋" w:eastAsia="仿宋" w:cs="仿宋"/>
          <w:color w:val="auto"/>
          <w:sz w:val="28"/>
          <w:szCs w:val="28"/>
          <w:highlight w:val="none"/>
        </w:rPr>
        <w:t>以采购单位现场验收考核、工程竣工验收证明书为准。</w:t>
      </w:r>
      <w:bookmarkEnd w:id="79"/>
      <w:bookmarkEnd w:id="80"/>
      <w:bookmarkEnd w:id="81"/>
      <w:bookmarkEnd w:id="82"/>
      <w:bookmarkEnd w:id="83"/>
      <w:bookmarkEnd w:id="84"/>
    </w:p>
    <w:p w14:paraId="4B0ABAB4">
      <w:pPr>
        <w:spacing w:line="500" w:lineRule="exact"/>
        <w:ind w:firstLine="560" w:firstLineChars="200"/>
        <w:outlineLvl w:val="9"/>
        <w:rPr>
          <w:rFonts w:hint="eastAsia" w:ascii="仿宋" w:hAnsi="仿宋" w:eastAsia="仿宋" w:cs="仿宋"/>
          <w:color w:val="auto"/>
          <w:sz w:val="28"/>
          <w:szCs w:val="28"/>
          <w:highlight w:val="none"/>
        </w:rPr>
      </w:pPr>
      <w:bookmarkStart w:id="85" w:name="_Toc21059"/>
      <w:bookmarkStart w:id="86" w:name="_Toc28732"/>
      <w:bookmarkStart w:id="87" w:name="_Toc2273"/>
      <w:bookmarkStart w:id="88" w:name="_Toc7633"/>
      <w:bookmarkStart w:id="89" w:name="_Toc10090"/>
      <w:bookmarkStart w:id="90" w:name="_Toc13486"/>
      <w:bookmarkStart w:id="91" w:name="_Toc17903"/>
      <w:bookmarkStart w:id="92" w:name="_Toc16340"/>
      <w:bookmarkStart w:id="93" w:name="_Toc10179"/>
      <w:r>
        <w:rPr>
          <w:rFonts w:hint="eastAsia" w:ascii="仿宋" w:hAnsi="仿宋" w:eastAsia="仿宋" w:cs="仿宋"/>
          <w:color w:val="auto"/>
          <w:sz w:val="28"/>
          <w:szCs w:val="28"/>
          <w:highlight w:val="none"/>
        </w:rPr>
        <w:t>在接到施工单位以书面形式提出验收申请后，在</w:t>
      </w:r>
      <w:r>
        <w:rPr>
          <w:rFonts w:hint="eastAsia" w:ascii="仿宋" w:hAnsi="仿宋" w:eastAsia="仿宋" w:cs="仿宋"/>
          <w:color w:val="auto"/>
          <w:sz w:val="28"/>
          <w:szCs w:val="28"/>
          <w:highlight w:val="none"/>
          <w:u w:val="single"/>
        </w:rPr>
        <w:t xml:space="preserve"> 10</w:t>
      </w:r>
      <w:r>
        <w:rPr>
          <w:rFonts w:hint="eastAsia" w:ascii="仿宋" w:hAnsi="仿宋" w:eastAsia="仿宋" w:cs="仿宋"/>
          <w:color w:val="auto"/>
          <w:sz w:val="28"/>
          <w:szCs w:val="28"/>
          <w:highlight w:val="none"/>
        </w:rPr>
        <w:t>个工作日内及时组织相关专业技术人员</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相关部门共同参与验收，并出具验收报告。</w:t>
      </w:r>
      <w:bookmarkEnd w:id="85"/>
      <w:bookmarkEnd w:id="86"/>
      <w:bookmarkEnd w:id="87"/>
      <w:bookmarkEnd w:id="88"/>
      <w:bookmarkEnd w:id="89"/>
      <w:bookmarkEnd w:id="90"/>
      <w:bookmarkEnd w:id="91"/>
      <w:bookmarkEnd w:id="92"/>
      <w:bookmarkEnd w:id="93"/>
    </w:p>
    <w:bookmarkEnd w:id="78"/>
    <w:p w14:paraId="30BD7386">
      <w:pPr>
        <w:spacing w:line="500" w:lineRule="exact"/>
        <w:ind w:firstLine="560" w:firstLineChars="200"/>
        <w:outlineLvl w:val="1"/>
        <w:rPr>
          <w:rFonts w:ascii="黑体" w:hAnsi="黑体" w:eastAsia="黑体"/>
          <w:color w:val="auto"/>
          <w:sz w:val="28"/>
          <w:szCs w:val="28"/>
          <w:highlight w:val="none"/>
        </w:rPr>
      </w:pPr>
      <w:bookmarkStart w:id="94" w:name="_Toc18220"/>
      <w:bookmarkStart w:id="95" w:name="_Toc7684"/>
      <w:r>
        <w:rPr>
          <w:rFonts w:hint="eastAsia" w:ascii="黑体" w:hAnsi="黑体" w:eastAsia="黑体"/>
          <w:color w:val="auto"/>
          <w:sz w:val="28"/>
          <w:szCs w:val="28"/>
          <w:highlight w:val="none"/>
        </w:rPr>
        <w:t>七、</w:t>
      </w:r>
      <w:r>
        <w:rPr>
          <w:rFonts w:hint="eastAsia" w:ascii="黑体" w:hAnsi="黑体" w:eastAsia="黑体"/>
          <w:color w:val="auto"/>
          <w:sz w:val="28"/>
          <w:szCs w:val="28"/>
          <w:highlight w:val="none"/>
          <w:lang w:val="en-US" w:eastAsia="zh-CN"/>
        </w:rPr>
        <w:t>缺陷责任期</w:t>
      </w:r>
      <w:bookmarkEnd w:id="94"/>
      <w:bookmarkEnd w:id="95"/>
    </w:p>
    <w:p w14:paraId="6167A99C">
      <w:pPr>
        <w:spacing w:line="52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自</w:t>
      </w:r>
      <w:r>
        <w:rPr>
          <w:rFonts w:hint="eastAsia" w:ascii="仿宋" w:hAnsi="仿宋" w:eastAsia="仿宋" w:cs="仿宋"/>
          <w:color w:val="auto"/>
          <w:sz w:val="28"/>
          <w:szCs w:val="28"/>
          <w:highlight w:val="none"/>
          <w:lang w:val="en-US" w:eastAsia="zh-CN"/>
        </w:rPr>
        <w:t>工程竣工</w:t>
      </w:r>
      <w:r>
        <w:rPr>
          <w:rFonts w:hint="eastAsia" w:ascii="仿宋" w:hAnsi="仿宋" w:eastAsia="仿宋" w:cs="仿宋"/>
          <w:color w:val="auto"/>
          <w:sz w:val="28"/>
          <w:szCs w:val="28"/>
          <w:highlight w:val="none"/>
        </w:rPr>
        <w:t>并验收合格之日起计</w:t>
      </w:r>
      <w:r>
        <w:rPr>
          <w:rFonts w:hint="eastAsia" w:ascii="仿宋" w:hAnsi="仿宋" w:eastAsia="仿宋" w:cs="仿宋"/>
          <w:color w:val="auto"/>
          <w:sz w:val="28"/>
          <w:szCs w:val="28"/>
          <w:highlight w:val="none"/>
          <w:u w:val="single"/>
          <w:lang w:val="en-US" w:eastAsia="zh-CN"/>
        </w:rPr>
        <w:t>贰</w:t>
      </w:r>
      <w:r>
        <w:rPr>
          <w:rFonts w:hint="eastAsia" w:ascii="仿宋" w:hAnsi="仿宋" w:eastAsia="仿宋" w:cs="仿宋"/>
          <w:color w:val="auto"/>
          <w:sz w:val="28"/>
          <w:szCs w:val="28"/>
          <w:highlight w:val="none"/>
        </w:rPr>
        <w:t>年。</w:t>
      </w:r>
    </w:p>
    <w:p w14:paraId="18D3E89F">
      <w:pPr>
        <w:numPr>
          <w:ilvl w:val="0"/>
          <w:numId w:val="1"/>
        </w:numPr>
        <w:spacing w:line="500" w:lineRule="exact"/>
        <w:ind w:firstLine="560" w:firstLineChars="200"/>
        <w:outlineLvl w:val="1"/>
        <w:rPr>
          <w:rFonts w:hint="eastAsia" w:ascii="黑体" w:hAnsi="黑体" w:eastAsia="黑体"/>
          <w:color w:val="auto"/>
          <w:sz w:val="28"/>
          <w:szCs w:val="28"/>
          <w:highlight w:val="none"/>
        </w:rPr>
      </w:pPr>
      <w:bookmarkStart w:id="96" w:name="_Toc22046"/>
      <w:bookmarkStart w:id="97" w:name="_Toc562"/>
      <w:r>
        <w:rPr>
          <w:rFonts w:hint="eastAsia" w:ascii="黑体" w:hAnsi="黑体" w:eastAsia="黑体"/>
          <w:color w:val="auto"/>
          <w:sz w:val="28"/>
          <w:szCs w:val="28"/>
          <w:highlight w:val="none"/>
        </w:rPr>
        <w:t>付款方式</w:t>
      </w:r>
      <w:bookmarkEnd w:id="96"/>
      <w:bookmarkEnd w:id="97"/>
    </w:p>
    <w:p w14:paraId="1827535D">
      <w:pPr>
        <w:keepNext w:val="0"/>
        <w:keepLines w:val="0"/>
        <w:pageBreakBefore w:val="0"/>
        <w:widowControl w:val="0"/>
        <w:kinsoku/>
        <w:wordWrap/>
        <w:overflowPunct/>
        <w:topLinePunct w:val="0"/>
        <w:autoSpaceDE/>
        <w:autoSpaceDN/>
        <w:bidi w:val="0"/>
        <w:adjustRightInd w:val="0"/>
        <w:snapToGrid w:val="0"/>
        <w:spacing w:line="500" w:lineRule="exact"/>
        <w:ind w:firstLine="560" w:firstLineChars="20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自工程竣工验收合格取得验收报告后付至合同价的40%，审计结束后付至审计价的70%，余款于缺陷责任期满且无质量问题后</w:t>
      </w:r>
      <w:r>
        <w:rPr>
          <w:rFonts w:hint="eastAsia" w:ascii="仿宋" w:hAnsi="仿宋" w:eastAsia="仿宋" w:cs="仿宋"/>
          <w:color w:val="auto"/>
          <w:sz w:val="28"/>
          <w:szCs w:val="28"/>
          <w:highlight w:val="none"/>
          <w:lang w:eastAsia="zh-CN"/>
        </w:rPr>
        <w:t>按</w:t>
      </w:r>
      <w:r>
        <w:rPr>
          <w:rFonts w:hint="eastAsia" w:ascii="仿宋" w:hAnsi="仿宋" w:eastAsia="仿宋" w:cs="仿宋"/>
          <w:color w:val="auto"/>
          <w:sz w:val="28"/>
          <w:szCs w:val="28"/>
          <w:highlight w:val="none"/>
          <w:lang w:val="en-US" w:eastAsia="zh-CN"/>
        </w:rPr>
        <w:t>审计价</w:t>
      </w:r>
      <w:r>
        <w:rPr>
          <w:rFonts w:hint="eastAsia" w:ascii="仿宋" w:hAnsi="仿宋" w:eastAsia="仿宋" w:cs="仿宋"/>
          <w:color w:val="auto"/>
          <w:sz w:val="28"/>
          <w:szCs w:val="28"/>
          <w:highlight w:val="none"/>
          <w:lang w:eastAsia="zh-CN"/>
        </w:rPr>
        <w:t>扣除已付款项一次性付清</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eastAsia="zh-CN"/>
        </w:rPr>
        <w:t>每次支付前，成交人均应出具在税务部门开具的正式税票。</w:t>
      </w:r>
    </w:p>
    <w:p w14:paraId="3F0B3EF2">
      <w:pPr>
        <w:spacing w:line="500" w:lineRule="exact"/>
        <w:ind w:firstLine="560" w:firstLineChars="200"/>
        <w:outlineLvl w:val="1"/>
        <w:rPr>
          <w:rFonts w:ascii="仿宋" w:hAnsi="仿宋" w:eastAsia="仿宋"/>
          <w:color w:val="auto"/>
          <w:sz w:val="28"/>
          <w:szCs w:val="28"/>
          <w:highlight w:val="none"/>
        </w:rPr>
      </w:pPr>
      <w:bookmarkStart w:id="98" w:name="_Toc7221"/>
      <w:bookmarkStart w:id="99" w:name="_Toc3443"/>
      <w:r>
        <w:rPr>
          <w:rFonts w:hint="eastAsia" w:ascii="黑体" w:hAnsi="黑体" w:eastAsia="黑体"/>
          <w:color w:val="auto"/>
          <w:sz w:val="28"/>
          <w:szCs w:val="28"/>
          <w:highlight w:val="none"/>
          <w:lang w:val="en-US" w:eastAsia="zh-CN"/>
        </w:rPr>
        <w:t>九</w:t>
      </w:r>
      <w:r>
        <w:rPr>
          <w:rFonts w:hint="eastAsia" w:ascii="黑体" w:hAnsi="黑体" w:eastAsia="黑体"/>
          <w:color w:val="auto"/>
          <w:sz w:val="28"/>
          <w:szCs w:val="28"/>
          <w:highlight w:val="none"/>
        </w:rPr>
        <w:t>、</w:t>
      </w:r>
      <w:r>
        <w:rPr>
          <w:rFonts w:hint="eastAsia" w:ascii="黑体" w:hAnsi="黑体" w:eastAsia="黑体"/>
          <w:color w:val="auto"/>
          <w:sz w:val="28"/>
          <w:szCs w:val="28"/>
          <w:highlight w:val="none"/>
          <w:lang w:eastAsia="zh-CN"/>
        </w:rPr>
        <w:t>谈判</w:t>
      </w:r>
      <w:r>
        <w:rPr>
          <w:rFonts w:hint="eastAsia" w:ascii="黑体" w:hAnsi="黑体" w:eastAsia="黑体"/>
          <w:color w:val="auto"/>
          <w:sz w:val="28"/>
          <w:szCs w:val="28"/>
          <w:highlight w:val="none"/>
        </w:rPr>
        <w:t>过程中可能会实质性变动的内容</w:t>
      </w:r>
      <w:bookmarkEnd w:id="98"/>
      <w:bookmarkEnd w:id="99"/>
    </w:p>
    <w:p w14:paraId="71C9BF1E">
      <w:pPr>
        <w:spacing w:line="500" w:lineRule="exact"/>
        <w:ind w:firstLine="560" w:firstLineChars="200"/>
        <w:outlineLvl w:val="9"/>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采购需求中的技术、服务要求以及合同草案条款</w:t>
      </w:r>
      <w:r>
        <w:rPr>
          <w:rFonts w:hint="eastAsia" w:ascii="仿宋" w:hAnsi="仿宋" w:eastAsia="仿宋"/>
          <w:color w:val="auto"/>
          <w:sz w:val="28"/>
          <w:szCs w:val="28"/>
          <w:highlight w:val="none"/>
          <w:lang w:eastAsia="zh-CN"/>
        </w:rPr>
        <w:t>。</w:t>
      </w:r>
    </w:p>
    <w:p w14:paraId="5A6C8B14">
      <w:pPr>
        <w:pStyle w:val="19"/>
        <w:spacing w:before="0" w:beforeAutospacing="0" w:after="0" w:afterAutospacing="0" w:line="500" w:lineRule="exact"/>
        <w:ind w:firstLine="560"/>
        <w:outlineLvl w:val="1"/>
        <w:rPr>
          <w:rFonts w:ascii="黑体" w:eastAsia="黑体" w:cs="Times New Roman"/>
          <w:color w:val="auto"/>
          <w:sz w:val="28"/>
          <w:szCs w:val="28"/>
          <w:highlight w:val="none"/>
        </w:rPr>
      </w:pPr>
      <w:bookmarkStart w:id="100" w:name="_Toc12391"/>
      <w:bookmarkStart w:id="101" w:name="_Toc10481"/>
      <w:bookmarkStart w:id="102" w:name="_Toc11143"/>
      <w:r>
        <w:rPr>
          <w:rFonts w:hint="eastAsia" w:ascii="黑体" w:eastAsia="黑体" w:cs="黑体"/>
          <w:color w:val="auto"/>
          <w:sz w:val="28"/>
          <w:szCs w:val="28"/>
          <w:highlight w:val="none"/>
          <w:lang w:val="en-US" w:eastAsia="zh-CN"/>
        </w:rPr>
        <w:t>十</w:t>
      </w:r>
      <w:r>
        <w:rPr>
          <w:rFonts w:hint="eastAsia" w:ascii="黑体" w:eastAsia="黑体" w:cs="黑体"/>
          <w:color w:val="auto"/>
          <w:sz w:val="28"/>
          <w:szCs w:val="28"/>
          <w:highlight w:val="none"/>
        </w:rPr>
        <w:t>、安全文明施工</w:t>
      </w:r>
      <w:bookmarkEnd w:id="100"/>
      <w:bookmarkEnd w:id="101"/>
      <w:bookmarkEnd w:id="102"/>
    </w:p>
    <w:p w14:paraId="795D6288">
      <w:pPr>
        <w:pStyle w:val="19"/>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1.项目安全生产的达标目标及相应事项的约定：满足江苏省、南通市等安监部门安全文明生产的要求，做好安全技术教育及交底，落实所有安全技术措施和人身防护用品。</w:t>
      </w:r>
    </w:p>
    <w:p w14:paraId="70CB7A8A">
      <w:pPr>
        <w:pStyle w:val="19"/>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2.建立安全制度、安全检查制度、安全教育制度、工地班前活动制度、文明施工检查制度。</w:t>
      </w:r>
    </w:p>
    <w:p w14:paraId="6AC41E96">
      <w:pPr>
        <w:pStyle w:val="19"/>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3.成交人应严格按《建设工程安全生产管理条例》等法律、法规采取安全措施、组织施工，如发生事故，责任概由成交人承担。</w:t>
      </w:r>
    </w:p>
    <w:p w14:paraId="3024C34F">
      <w:pPr>
        <w:pStyle w:val="19"/>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4.成交人对施工现场的安全生产负责。成交人在工地现场必须配备专职安全员；安全员必须持证上岗。</w:t>
      </w:r>
    </w:p>
    <w:p w14:paraId="26652E4E">
      <w:pPr>
        <w:pStyle w:val="19"/>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5.工程施工前和施工中，成交人项目经理或技术负责人应当对有关安全施工技术进行交底；成交人必须编制安全施工措施和施工现场临时用电、施工现场周边及主要通道的安全防护措施及其它有关法规要求的专项施工方案，专项施工方案必须经本单位技术负责人批准后，报采购人代表批准后实施。</w:t>
      </w:r>
    </w:p>
    <w:p w14:paraId="5E60E045">
      <w:pPr>
        <w:pStyle w:val="19"/>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6.工程施工前，成交人应根据法律、法规、规范、标准等要求，制定安全施工标准及要求，负责向施工作业班组、作业人员作出详细的说明，并由双方签字确认。</w:t>
      </w:r>
    </w:p>
    <w:p w14:paraId="58C38430">
      <w:pPr>
        <w:pStyle w:val="19"/>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7.工程施工前，成交人使用的安全防护用具、机械设备（特别是垂直运输机械）、施工机具及配件，应当具有生产（制造）许可证、产品合格证，并在进入施工现场前进行查验，进场安装经有权部门检测合格签字确认后方可使用。</w:t>
      </w:r>
    </w:p>
    <w:p w14:paraId="4FFF3299">
      <w:pPr>
        <w:pStyle w:val="19"/>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8.特种作业人员，必须按照国家有关规定经过专门的安全作业培训，并取得特种作业操作资格证书后，方可上岗作业。</w:t>
      </w:r>
    </w:p>
    <w:p w14:paraId="269D0323">
      <w:pPr>
        <w:pStyle w:val="19"/>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w:t>
      </w:r>
    </w:p>
    <w:p w14:paraId="3C952597">
      <w:pPr>
        <w:pStyle w:val="19"/>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p>
    <w:p w14:paraId="00BB7EA2">
      <w:pPr>
        <w:pStyle w:val="19"/>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11.成交人负责施工期间施工区域内的安全保卫工作，包括在施工区域内提供和维护有利于工程和公众安全和方便的灯光、护板、格栅等警告警示信号和警卫。</w:t>
      </w:r>
    </w:p>
    <w:p w14:paraId="26BD9031">
      <w:pPr>
        <w:pStyle w:val="19"/>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12.成交人应对现场作业、施工方法及所施工工程的完备性、稳定性和安全性承担全部责任，并负责承担对工程的稳定、完整、安全、可靠及有效运行所必需的全部工作及相关费用。</w:t>
      </w:r>
    </w:p>
    <w:p w14:paraId="278B5D6E">
      <w:pPr>
        <w:pStyle w:val="19"/>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13.在施工期间，由于非采购人原因造成的事故，成交人需承担全部责任及由此引起的一切费用，采购人不承担任何责任，造成事故严重或多次造成事故的，采购人有权单方解除合同并拒付工程款。</w:t>
      </w:r>
    </w:p>
    <w:p w14:paraId="2DE3C597">
      <w:pPr>
        <w:pStyle w:val="19"/>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14.环境保护：成交人应在施工组织设计中列明环境保护的具体措施。在合同履行期间，承包人应根据《南通市城乡建设局关于把环境保护纳入合同管理的通知》（通建工〔2018〕97 号）文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p>
    <w:p w14:paraId="427D534A">
      <w:pPr>
        <w:pStyle w:val="19"/>
        <w:spacing w:before="0" w:beforeAutospacing="0" w:after="0" w:afterAutospacing="0" w:line="500" w:lineRule="exact"/>
        <w:ind w:firstLine="560"/>
        <w:rPr>
          <w:rFonts w:ascii="仿宋" w:hAnsi="仿宋" w:eastAsia="仿宋" w:cs="Times New Roman"/>
          <w:color w:val="auto"/>
          <w:sz w:val="28"/>
          <w:szCs w:val="28"/>
          <w:highlight w:val="none"/>
        </w:rPr>
      </w:pPr>
      <w:r>
        <w:rPr>
          <w:rFonts w:hint="eastAsia" w:ascii="仿宋" w:hAnsi="仿宋" w:eastAsia="仿宋" w:cs="仿宋"/>
          <w:color w:val="auto"/>
          <w:sz w:val="28"/>
          <w:szCs w:val="28"/>
          <w:highlight w:val="none"/>
        </w:rPr>
        <w:t>15.在施工过程中，须加强绿色建造与环境管理，做好扬尘防治工作，减少噪音污染。各潜在响应供应商自行踏勘现场，充分考虑城市交通、文明创建等客观因素对工期造成的影响；成交人自行负责材料堆场设置，严格按城区管理要求妥善处置废弃建筑材料和多余土方，同时做好项目施工期间噪音降低、扬尘洒水、现场污染源控制等环境保护措施，以及施工现场全线标准化围挡和美化等文明施工措施，最大限度地减少对周边住户、店铺以及日常交通的影响，做好安全文明施工。</w:t>
      </w:r>
    </w:p>
    <w:p w14:paraId="45950FE6">
      <w:pPr>
        <w:pStyle w:val="19"/>
        <w:spacing w:before="0" w:beforeAutospacing="0" w:after="0" w:afterAutospacing="0" w:line="500" w:lineRule="exact"/>
        <w:ind w:firstLine="560"/>
        <w:outlineLvl w:val="1"/>
        <w:rPr>
          <w:rFonts w:ascii="黑体" w:eastAsia="黑体" w:cs="Times New Roman"/>
          <w:color w:val="auto"/>
          <w:sz w:val="28"/>
          <w:szCs w:val="28"/>
          <w:highlight w:val="none"/>
        </w:rPr>
      </w:pPr>
      <w:bookmarkStart w:id="103" w:name="_Toc25011"/>
      <w:bookmarkStart w:id="104" w:name="_Toc10024"/>
      <w:bookmarkStart w:id="105" w:name="_Toc19540"/>
      <w:r>
        <w:rPr>
          <w:rFonts w:hint="eastAsia" w:ascii="黑体" w:eastAsia="黑体" w:cs="黑体"/>
          <w:color w:val="auto"/>
          <w:sz w:val="28"/>
          <w:szCs w:val="28"/>
          <w:highlight w:val="none"/>
          <w:lang w:val="en-US" w:eastAsia="zh-CN"/>
        </w:rPr>
        <w:t>十一</w:t>
      </w:r>
      <w:r>
        <w:rPr>
          <w:rFonts w:hint="eastAsia" w:ascii="黑体" w:eastAsia="黑体" w:cs="黑体"/>
          <w:color w:val="auto"/>
          <w:sz w:val="28"/>
          <w:szCs w:val="28"/>
          <w:highlight w:val="none"/>
        </w:rPr>
        <w:t>、结算方式及报价要求</w:t>
      </w:r>
      <w:bookmarkEnd w:id="103"/>
      <w:bookmarkEnd w:id="104"/>
      <w:bookmarkEnd w:id="105"/>
    </w:p>
    <w:p w14:paraId="42D3127B">
      <w:pPr>
        <w:widowControl/>
        <w:snapToGrid w:val="0"/>
        <w:spacing w:line="500" w:lineRule="exact"/>
        <w:ind w:firstLine="560" w:firstLineChars="200"/>
        <w:contextualSpacing/>
        <w:rPr>
          <w:rFonts w:ascii="仿宋" w:hAnsi="仿宋" w:eastAsia="仿宋"/>
          <w:color w:val="auto"/>
          <w:sz w:val="28"/>
          <w:szCs w:val="28"/>
          <w:highlight w:val="none"/>
        </w:rPr>
      </w:pPr>
      <w:r>
        <w:rPr>
          <w:rFonts w:hint="eastAsia" w:ascii="仿宋" w:hAnsi="仿宋" w:eastAsia="仿宋"/>
          <w:color w:val="auto"/>
          <w:sz w:val="28"/>
          <w:szCs w:val="28"/>
          <w:highlight w:val="none"/>
        </w:rPr>
        <w:t>（一）报价要求</w:t>
      </w:r>
    </w:p>
    <w:p w14:paraId="5F2DD9F7">
      <w:pPr>
        <w:widowControl/>
        <w:snapToGrid w:val="0"/>
        <w:spacing w:line="500" w:lineRule="exact"/>
        <w:ind w:firstLine="560" w:firstLineChars="200"/>
        <w:contextualSpacing/>
        <w:rPr>
          <w:rFonts w:ascii="仿宋" w:hAnsi="仿宋" w:eastAsia="仿宋"/>
          <w:color w:val="auto"/>
          <w:sz w:val="28"/>
          <w:szCs w:val="28"/>
          <w:highlight w:val="none"/>
        </w:rPr>
      </w:pPr>
      <w:r>
        <w:rPr>
          <w:rFonts w:hint="eastAsia" w:ascii="仿宋" w:hAnsi="仿宋" w:eastAsia="仿宋"/>
          <w:color w:val="auto"/>
          <w:sz w:val="28"/>
          <w:szCs w:val="28"/>
          <w:highlight w:val="none"/>
        </w:rPr>
        <w:t>1.本采购文件规定的工程范围、工程规模、工期要求、技术要求、工程量清单等是响应供应商报价的基础，响应供应商在报价中所报的单价和合价，以及报价汇总表中的价格均包括现场所有</w:t>
      </w:r>
      <w:r>
        <w:rPr>
          <w:rFonts w:hint="eastAsia" w:ascii="仿宋" w:hAnsi="仿宋" w:eastAsia="仿宋"/>
          <w:color w:val="auto"/>
          <w:sz w:val="28"/>
          <w:szCs w:val="28"/>
          <w:highlight w:val="none"/>
          <w:lang w:val="en-US" w:eastAsia="zh-CN"/>
        </w:rPr>
        <w:t>施工</w:t>
      </w:r>
      <w:r>
        <w:rPr>
          <w:rFonts w:hint="eastAsia" w:ascii="仿宋" w:hAnsi="仿宋" w:eastAsia="仿宋"/>
          <w:color w:val="auto"/>
          <w:sz w:val="28"/>
          <w:szCs w:val="28"/>
          <w:highlight w:val="none"/>
        </w:rPr>
        <w:t>相关费用；材料、运输、施工、安全、垃圾清运、税费、技术措施费、机械进出场费、风险费、政策性文件规定费用、设计费等一切与之相关费用；工程类的直接费、间接费、措施费、规费、税费等一切费用等。</w:t>
      </w:r>
    </w:p>
    <w:p w14:paraId="61E6F88D">
      <w:pPr>
        <w:widowControl/>
        <w:snapToGrid w:val="0"/>
        <w:spacing w:line="500" w:lineRule="exact"/>
        <w:ind w:firstLine="560" w:firstLineChars="200"/>
        <w:contextualSpacing/>
        <w:rPr>
          <w:rFonts w:ascii="仿宋" w:hAnsi="仿宋" w:eastAsia="仿宋"/>
          <w:color w:val="auto"/>
          <w:sz w:val="28"/>
          <w:szCs w:val="28"/>
          <w:highlight w:val="none"/>
        </w:rPr>
      </w:pPr>
      <w:r>
        <w:rPr>
          <w:rFonts w:hint="eastAsia" w:ascii="仿宋" w:hAnsi="仿宋" w:eastAsia="仿宋"/>
          <w:color w:val="auto"/>
          <w:sz w:val="28"/>
          <w:szCs w:val="28"/>
          <w:highlight w:val="none"/>
        </w:rPr>
        <w:t>2.响应供应商应按采购人提供的工程量清单列出的工程项目和工程量填报单价（合价）。每一项目只允许有一个报价。任何有选择的报价将不予接受。响应供应商未填报单价或合价的工程项目，在实施后，采购人将不予支付，并视为该项费用已包括在其他有价款的单价或合价内。</w:t>
      </w:r>
    </w:p>
    <w:p w14:paraId="4586DCAD">
      <w:pPr>
        <w:widowControl/>
        <w:snapToGrid w:val="0"/>
        <w:spacing w:line="500" w:lineRule="exact"/>
        <w:ind w:firstLine="560" w:firstLineChars="200"/>
        <w:contextualSpacing/>
        <w:rPr>
          <w:rFonts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b/>
          <w:bCs/>
          <w:color w:val="auto"/>
          <w:sz w:val="28"/>
          <w:szCs w:val="28"/>
          <w:highlight w:val="none"/>
        </w:rPr>
        <w:t>报价方式：本工程项目采用固定单价报价</w:t>
      </w:r>
      <w:r>
        <w:rPr>
          <w:rFonts w:hint="eastAsia" w:ascii="仿宋" w:hAnsi="仿宋" w:eastAsia="仿宋" w:cs="Times New Roman"/>
          <w:b/>
          <w:bCs/>
          <w:color w:val="auto"/>
          <w:sz w:val="28"/>
          <w:szCs w:val="28"/>
          <w:highlight w:val="none"/>
        </w:rPr>
        <w:t>（现场二次报价时按总价填报）。</w:t>
      </w:r>
      <w:r>
        <w:rPr>
          <w:rFonts w:hint="eastAsia" w:ascii="仿宋" w:hAnsi="仿宋" w:eastAsia="仿宋"/>
          <w:color w:val="auto"/>
          <w:sz w:val="28"/>
          <w:szCs w:val="28"/>
          <w:highlight w:val="none"/>
        </w:rPr>
        <w:t>响应供应商报价时必须充分考虑货物及施工期间人工、机械、各类建材及施工期间国家政策等风险。所报价格包含主材费、施工费、安装费、管理费利润规费及税金等全部费用，结算时除发包人要求变更外，单价一律不作调整。</w:t>
      </w:r>
    </w:p>
    <w:p w14:paraId="1119ADC1">
      <w:pPr>
        <w:widowControl/>
        <w:snapToGrid w:val="0"/>
        <w:spacing w:line="500" w:lineRule="exact"/>
        <w:ind w:firstLine="560" w:firstLineChars="200"/>
        <w:contextualSpacing/>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报价含交付使用前一切费用。不接受选择性报价。</w:t>
      </w:r>
    </w:p>
    <w:p w14:paraId="3095A6B2">
      <w:pPr>
        <w:widowControl/>
        <w:snapToGrid w:val="0"/>
        <w:spacing w:line="500" w:lineRule="exact"/>
        <w:ind w:firstLine="560" w:firstLineChars="200"/>
        <w:contextualSpacing/>
        <w:rPr>
          <w:rFonts w:ascii="仿宋" w:hAnsi="仿宋" w:eastAsia="仿宋"/>
          <w:color w:val="auto"/>
          <w:sz w:val="28"/>
          <w:szCs w:val="28"/>
          <w:highlight w:val="none"/>
        </w:rPr>
      </w:pPr>
      <w:r>
        <w:rPr>
          <w:rFonts w:hint="eastAsia" w:ascii="仿宋" w:hAnsi="仿宋" w:eastAsia="仿宋"/>
          <w:color w:val="auto"/>
          <w:sz w:val="28"/>
          <w:szCs w:val="28"/>
          <w:highlight w:val="none"/>
        </w:rPr>
        <w:t>（二）本项目成交后不允许转包或分包。</w:t>
      </w:r>
    </w:p>
    <w:p w14:paraId="02456EF4">
      <w:pPr>
        <w:spacing w:line="500" w:lineRule="exact"/>
        <w:ind w:firstLine="560"/>
        <w:outlineLvl w:val="1"/>
        <w:rPr>
          <w:rFonts w:ascii="黑体" w:hAnsi="宋体" w:eastAsia="黑体"/>
          <w:color w:val="auto"/>
          <w:sz w:val="28"/>
          <w:szCs w:val="28"/>
          <w:highlight w:val="none"/>
        </w:rPr>
      </w:pPr>
      <w:bookmarkStart w:id="106" w:name="_Toc26500"/>
      <w:bookmarkStart w:id="107" w:name="_Toc12644"/>
      <w:bookmarkStart w:id="108" w:name="_Toc15088"/>
      <w:r>
        <w:rPr>
          <w:rFonts w:hint="eastAsia" w:ascii="黑体" w:hAnsi="宋体" w:eastAsia="黑体" w:cs="黑体"/>
          <w:color w:val="auto"/>
          <w:sz w:val="28"/>
          <w:szCs w:val="28"/>
          <w:highlight w:val="none"/>
          <w:lang w:val="en-US" w:eastAsia="zh-CN"/>
        </w:rPr>
        <w:t>十二</w:t>
      </w:r>
      <w:r>
        <w:rPr>
          <w:rFonts w:hint="eastAsia" w:ascii="黑体" w:hAnsi="宋体" w:eastAsia="黑体" w:cs="黑体"/>
          <w:color w:val="auto"/>
          <w:sz w:val="28"/>
          <w:szCs w:val="28"/>
          <w:highlight w:val="none"/>
        </w:rPr>
        <w:t>、其他要求</w:t>
      </w:r>
      <w:bookmarkEnd w:id="106"/>
      <w:bookmarkEnd w:id="107"/>
      <w:bookmarkEnd w:id="108"/>
    </w:p>
    <w:p w14:paraId="0E4180A4">
      <w:pPr>
        <w:spacing w:line="500" w:lineRule="exact"/>
        <w:ind w:firstLine="560"/>
        <w:outlineLvl w:val="9"/>
        <w:rPr>
          <w:rFonts w:ascii="仿宋" w:hAnsi="仿宋" w:eastAsia="仿宋"/>
          <w:color w:val="auto"/>
          <w:sz w:val="28"/>
          <w:szCs w:val="28"/>
          <w:highlight w:val="none"/>
        </w:rPr>
      </w:pPr>
      <w:r>
        <w:rPr>
          <w:rFonts w:hint="eastAsia" w:ascii="仿宋" w:hAnsi="仿宋" w:eastAsia="仿宋" w:cs="仿宋"/>
          <w:color w:val="auto"/>
          <w:sz w:val="28"/>
          <w:szCs w:val="28"/>
          <w:highlight w:val="none"/>
        </w:rPr>
        <w:t>1.农民工工资支付须严格执行《保障农民工工资支付条例》的相关规定，采购人应按照规定，满足施工所需要的资金安排，及时足额拨付人工费用至农民工工资专用账户，拨付周期不得超过一个月，并监督施工单位按时足额支付到农民工本人的银行账户。</w:t>
      </w:r>
    </w:p>
    <w:p w14:paraId="33E82CB3">
      <w:pPr>
        <w:spacing w:line="500" w:lineRule="exact"/>
        <w:ind w:firstLine="56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2.在施工过程中，须加强绿色建造与环境管理，做好扬尘防治工作，减少噪音污染等工作。</w:t>
      </w:r>
    </w:p>
    <w:p w14:paraId="4F13CF5D">
      <w:pPr>
        <w:spacing w:line="500" w:lineRule="exact"/>
        <w:ind w:firstLine="56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成交人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p>
    <w:p w14:paraId="6C438D74">
      <w:pPr>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br w:type="page"/>
      </w:r>
    </w:p>
    <w:p w14:paraId="4A70A982">
      <w:pPr>
        <w:pStyle w:val="39"/>
        <w:ind w:firstLine="0"/>
        <w:jc w:val="center"/>
        <w:outlineLvl w:val="0"/>
        <w:rPr>
          <w:rFonts w:ascii="方正小标宋简体" w:eastAsia="方正小标宋简体"/>
          <w:bCs/>
          <w:color w:val="auto"/>
          <w:sz w:val="32"/>
          <w:szCs w:val="32"/>
          <w:highlight w:val="none"/>
        </w:rPr>
      </w:pPr>
      <w:bookmarkStart w:id="109" w:name="_Toc16924"/>
      <w:r>
        <w:rPr>
          <w:rFonts w:hint="eastAsia" w:ascii="方正小标宋简体" w:eastAsia="方正小标宋简体"/>
          <w:bCs/>
          <w:color w:val="auto"/>
          <w:sz w:val="32"/>
          <w:szCs w:val="32"/>
          <w:highlight w:val="none"/>
        </w:rPr>
        <w:t>第4章 合同文本</w:t>
      </w:r>
      <w:bookmarkEnd w:id="109"/>
    </w:p>
    <w:p w14:paraId="05ABF8AC">
      <w:pPr>
        <w:widowControl/>
        <w:snapToGrid w:val="0"/>
        <w:spacing w:before="19"/>
        <w:jc w:val="center"/>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如皋市政府采购合同</w:t>
      </w:r>
    </w:p>
    <w:p w14:paraId="7326A906">
      <w:pPr>
        <w:ind w:firstLine="640" w:firstLineChars="200"/>
        <w:rPr>
          <w:rFonts w:hint="eastAsia" w:ascii="仿宋" w:hAnsi="仿宋" w:eastAsia="仿宋"/>
          <w:color w:val="auto"/>
          <w:sz w:val="32"/>
          <w:szCs w:val="32"/>
          <w:highlight w:val="none"/>
          <w:lang w:val="en-US" w:eastAsia="zh-CN"/>
        </w:rPr>
      </w:pPr>
      <w:r>
        <w:rPr>
          <w:rFonts w:hint="eastAsia" w:ascii="仿宋" w:hAnsi="仿宋" w:eastAsia="仿宋"/>
          <w:color w:val="auto"/>
          <w:sz w:val="32"/>
          <w:szCs w:val="32"/>
          <w:highlight w:val="none"/>
        </w:rPr>
        <w:t>项目名称：</w:t>
      </w:r>
      <w:r>
        <w:rPr>
          <w:rFonts w:hint="eastAsia" w:ascii="仿宋" w:hAnsi="仿宋" w:eastAsia="仿宋"/>
          <w:color w:val="auto"/>
          <w:sz w:val="32"/>
          <w:szCs w:val="32"/>
          <w:highlight w:val="none"/>
          <w:lang w:val="en-US" w:eastAsia="zh-CN"/>
        </w:rPr>
        <w:t>东陈镇尚书工业园区污水管网建设工程</w:t>
      </w:r>
    </w:p>
    <w:p w14:paraId="6BCAE275">
      <w:pPr>
        <w:ind w:firstLine="640" w:firstLineChars="200"/>
        <w:rPr>
          <w:rFonts w:hint="eastAsia" w:ascii="仿宋" w:hAnsi="仿宋" w:eastAsia="仿宋"/>
          <w:color w:val="auto"/>
          <w:sz w:val="32"/>
          <w:szCs w:val="32"/>
          <w:highlight w:val="none"/>
          <w:u w:val="single"/>
          <w:lang w:val="en-US" w:eastAsia="zh-CN"/>
        </w:rPr>
      </w:pPr>
      <w:r>
        <w:rPr>
          <w:rFonts w:hint="eastAsia" w:ascii="仿宋" w:hAnsi="仿宋" w:eastAsia="仿宋"/>
          <w:color w:val="auto"/>
          <w:sz w:val="32"/>
          <w:szCs w:val="32"/>
          <w:highlight w:val="none"/>
        </w:rPr>
        <w:t>计划编号：</w:t>
      </w:r>
      <w:r>
        <w:rPr>
          <w:rFonts w:hint="eastAsia" w:ascii="仿宋" w:hAnsi="仿宋" w:eastAsia="仿宋"/>
          <w:color w:val="auto"/>
          <w:sz w:val="32"/>
          <w:szCs w:val="32"/>
          <w:highlight w:val="none"/>
          <w:lang w:val="en-US" w:eastAsia="zh-CN"/>
        </w:rPr>
        <w:t>JSZC-320682-NTZJ-T2026-0022</w:t>
      </w:r>
    </w:p>
    <w:p w14:paraId="67F100F0">
      <w:pPr>
        <w:ind w:firstLine="640" w:firstLineChars="200"/>
        <w:rPr>
          <w:rFonts w:hint="eastAsia" w:ascii="仿宋" w:hAnsi="仿宋" w:eastAsia="仿宋"/>
          <w:color w:val="auto"/>
          <w:sz w:val="32"/>
          <w:szCs w:val="32"/>
          <w:highlight w:val="none"/>
          <w:u w:val="single"/>
          <w:lang w:val="en-US" w:eastAsia="zh-CN"/>
        </w:rPr>
      </w:pPr>
      <w:r>
        <w:rPr>
          <w:rFonts w:hint="eastAsia" w:ascii="仿宋" w:hAnsi="仿宋" w:eastAsia="仿宋"/>
          <w:color w:val="auto"/>
          <w:sz w:val="32"/>
          <w:szCs w:val="32"/>
          <w:highlight w:val="none"/>
        </w:rPr>
        <w:t>发包方（甲方）：</w:t>
      </w:r>
      <w:r>
        <w:rPr>
          <w:rFonts w:hint="eastAsia" w:ascii="仿宋" w:hAnsi="仿宋" w:eastAsia="仿宋"/>
          <w:color w:val="auto"/>
          <w:sz w:val="32"/>
          <w:szCs w:val="32"/>
          <w:highlight w:val="none"/>
          <w:lang w:val="en-US" w:eastAsia="zh-CN"/>
        </w:rPr>
        <w:t>如皋市东陈镇人民政府</w:t>
      </w:r>
    </w:p>
    <w:p w14:paraId="4A53D9D5">
      <w:pPr>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承包方（乙方）：</w:t>
      </w:r>
    </w:p>
    <w:p w14:paraId="25E57905">
      <w:pPr>
        <w:rPr>
          <w:rFonts w:ascii="仿宋" w:hAnsi="仿宋" w:eastAsia="仿宋"/>
          <w:color w:val="auto"/>
          <w:sz w:val="32"/>
          <w:szCs w:val="32"/>
          <w:highlight w:val="none"/>
        </w:rPr>
      </w:pPr>
    </w:p>
    <w:p w14:paraId="65E7D4B4">
      <w:pPr>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签订时间：      年    月    日</w:t>
      </w:r>
    </w:p>
    <w:p w14:paraId="62F251F6">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依照《中华人民共和国民法典》、《中华人民共和国政府采购法》、《中华人民共和国建筑法》、及其他有关法律、行政法规，遵循平等、自愿、公平和诚实信用的原则，双方就</w:t>
      </w:r>
      <w:r>
        <w:rPr>
          <w:rFonts w:hint="eastAsia" w:ascii="仿宋" w:hAnsi="仿宋" w:eastAsia="仿宋"/>
          <w:bCs/>
          <w:color w:val="auto"/>
          <w:sz w:val="24"/>
          <w:highlight w:val="none"/>
        </w:rPr>
        <w:t>相关</w:t>
      </w:r>
      <w:r>
        <w:rPr>
          <w:rFonts w:hint="eastAsia" w:ascii="仿宋" w:hAnsi="仿宋" w:eastAsia="仿宋"/>
          <w:color w:val="auto"/>
          <w:sz w:val="24"/>
          <w:highlight w:val="none"/>
        </w:rPr>
        <w:t>事项协商一致，订立以下合同条款：</w:t>
      </w:r>
    </w:p>
    <w:p w14:paraId="05C58DB9">
      <w:pPr>
        <w:snapToGrid w:val="0"/>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一、工程概况</w:t>
      </w:r>
    </w:p>
    <w:p w14:paraId="3765B2AA">
      <w:pPr>
        <w:pStyle w:val="17"/>
        <w:spacing w:line="400" w:lineRule="exact"/>
        <w:ind w:right="105" w:rightChars="50" w:firstLine="480" w:firstLineChars="200"/>
        <w:rPr>
          <w:rFonts w:hint="eastAsia" w:ascii="仿宋" w:hAnsi="仿宋" w:eastAsia="仿宋"/>
          <w:bCs/>
          <w:color w:val="auto"/>
          <w:sz w:val="24"/>
          <w:szCs w:val="24"/>
          <w:highlight w:val="none"/>
          <w:lang w:val="en-US" w:eastAsia="zh-CN"/>
        </w:rPr>
      </w:pPr>
      <w:r>
        <w:rPr>
          <w:rFonts w:hint="eastAsia" w:ascii="仿宋" w:hAnsi="仿宋" w:eastAsia="仿宋"/>
          <w:bCs/>
          <w:color w:val="auto"/>
          <w:sz w:val="24"/>
          <w:szCs w:val="24"/>
          <w:highlight w:val="none"/>
        </w:rPr>
        <w:t>工程名称：</w:t>
      </w:r>
      <w:r>
        <w:rPr>
          <w:rFonts w:hint="eastAsia" w:ascii="仿宋" w:hAnsi="仿宋" w:eastAsia="仿宋"/>
          <w:bCs/>
          <w:color w:val="auto"/>
          <w:sz w:val="24"/>
          <w:szCs w:val="24"/>
          <w:highlight w:val="none"/>
          <w:lang w:val="en-US" w:eastAsia="zh-CN"/>
        </w:rPr>
        <w:t>东陈镇尚书工业园区污水管网建设工程</w:t>
      </w:r>
    </w:p>
    <w:p w14:paraId="6F2D9C2F">
      <w:pPr>
        <w:pStyle w:val="17"/>
        <w:spacing w:line="400" w:lineRule="exact"/>
        <w:ind w:right="105" w:rightChars="50" w:firstLine="480" w:firstLineChars="200"/>
        <w:rPr>
          <w:rFonts w:ascii="仿宋" w:hAnsi="仿宋" w:eastAsia="仿宋"/>
          <w:color w:val="auto"/>
          <w:sz w:val="24"/>
          <w:szCs w:val="24"/>
          <w:highlight w:val="none"/>
        </w:rPr>
      </w:pPr>
      <w:r>
        <w:rPr>
          <w:rFonts w:hint="eastAsia" w:ascii="仿宋" w:hAnsi="仿宋" w:eastAsia="仿宋"/>
          <w:bCs/>
          <w:color w:val="auto"/>
          <w:sz w:val="24"/>
          <w:szCs w:val="24"/>
          <w:highlight w:val="none"/>
        </w:rPr>
        <w:t xml:space="preserve">工程地点： </w:t>
      </w:r>
    </w:p>
    <w:p w14:paraId="193F83EB">
      <w:pPr>
        <w:pStyle w:val="17"/>
        <w:spacing w:line="400" w:lineRule="exact"/>
        <w:ind w:right="105" w:rightChars="50" w:firstLine="480" w:firstLineChars="20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工程内容： </w:t>
      </w:r>
    </w:p>
    <w:p w14:paraId="26A3B631">
      <w:pPr>
        <w:snapToGrid w:val="0"/>
        <w:spacing w:line="400" w:lineRule="exact"/>
        <w:ind w:right="105" w:rightChars="50" w:firstLine="480" w:firstLineChars="200"/>
        <w:rPr>
          <w:rFonts w:hint="eastAsia" w:ascii="仿宋" w:hAnsi="仿宋" w:eastAsia="仿宋"/>
          <w:color w:val="auto"/>
          <w:sz w:val="24"/>
          <w:highlight w:val="none"/>
          <w:lang w:eastAsia="zh-CN"/>
        </w:rPr>
      </w:pPr>
      <w:r>
        <w:rPr>
          <w:rFonts w:hint="eastAsia" w:ascii="仿宋" w:hAnsi="仿宋" w:eastAsia="仿宋"/>
          <w:color w:val="auto"/>
          <w:sz w:val="24"/>
          <w:highlight w:val="none"/>
        </w:rPr>
        <w:t>工程立项批准文号：</w:t>
      </w:r>
      <w:r>
        <w:rPr>
          <w:rFonts w:hint="eastAsia" w:ascii="仿宋" w:hAnsi="仿宋" w:eastAsia="仿宋"/>
          <w:color w:val="auto"/>
          <w:sz w:val="24"/>
          <w:highlight w:val="none"/>
          <w:lang w:val="en-US" w:eastAsia="zh-CN"/>
        </w:rPr>
        <w:t>JSZC-320682-NTZJ-T2026-0022</w:t>
      </w:r>
    </w:p>
    <w:p w14:paraId="125E4601">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承包范围：</w:t>
      </w:r>
    </w:p>
    <w:p w14:paraId="16106EF2">
      <w:pPr>
        <w:snapToGrid w:val="0"/>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二、合同工期</w:t>
      </w:r>
    </w:p>
    <w:p w14:paraId="4E7FE8BF">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开工日期：20 年  月  日（具体开工日期以发包人发出开工通知书为准）</w:t>
      </w:r>
    </w:p>
    <w:p w14:paraId="48B63B3F">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竣工日期：20 年  月  日</w:t>
      </w:r>
    </w:p>
    <w:p w14:paraId="058DC2F3">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合同工期总日历天数天</w:t>
      </w:r>
    </w:p>
    <w:p w14:paraId="390F2284">
      <w:pPr>
        <w:snapToGrid w:val="0"/>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三、质量标准</w:t>
      </w:r>
    </w:p>
    <w:p w14:paraId="626738D6">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合格。</w:t>
      </w:r>
    </w:p>
    <w:p w14:paraId="584ACB53">
      <w:pPr>
        <w:snapToGrid w:val="0"/>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四、合同价款</w:t>
      </w:r>
    </w:p>
    <w:p w14:paraId="00C52A9C">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金额（大写）：元(人民币)</w:t>
      </w:r>
    </w:p>
    <w:p w14:paraId="193614B5">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 xml:space="preserve">          ￥ ：</w:t>
      </w:r>
    </w:p>
    <w:p w14:paraId="1E8CE84E">
      <w:pPr>
        <w:snapToGrid w:val="0"/>
        <w:spacing w:line="400" w:lineRule="exact"/>
        <w:ind w:right="105" w:rightChars="50" w:firstLine="482" w:firstLineChars="200"/>
        <w:rPr>
          <w:rFonts w:ascii="仿宋" w:hAnsi="仿宋" w:eastAsia="仿宋"/>
          <w:color w:val="auto"/>
          <w:sz w:val="24"/>
          <w:highlight w:val="none"/>
        </w:rPr>
      </w:pPr>
      <w:r>
        <w:rPr>
          <w:rFonts w:hint="eastAsia" w:ascii="仿宋" w:hAnsi="仿宋" w:eastAsia="仿宋"/>
          <w:b/>
          <w:color w:val="auto"/>
          <w:sz w:val="24"/>
          <w:highlight w:val="none"/>
        </w:rPr>
        <w:t>五、组成合同的文件</w:t>
      </w:r>
    </w:p>
    <w:p w14:paraId="2BD41C7B">
      <w:pPr>
        <w:snapToGrid w:val="0"/>
        <w:spacing w:line="400" w:lineRule="exact"/>
        <w:ind w:right="105" w:rightChars="50" w:firstLine="480" w:firstLineChars="200"/>
        <w:rPr>
          <w:rFonts w:ascii="仿宋" w:hAnsi="仿宋" w:eastAsia="仿宋"/>
          <w:b/>
          <w:color w:val="auto"/>
          <w:sz w:val="24"/>
          <w:highlight w:val="none"/>
        </w:rPr>
      </w:pPr>
      <w:r>
        <w:rPr>
          <w:rFonts w:hint="eastAsia" w:ascii="仿宋" w:hAnsi="仿宋" w:eastAsia="仿宋"/>
          <w:color w:val="auto"/>
          <w:sz w:val="24"/>
          <w:highlight w:val="none"/>
        </w:rPr>
        <w:t xml:space="preserve"> 本合同的组成文件和解释顺序如下：</w:t>
      </w:r>
    </w:p>
    <w:p w14:paraId="12E3BCA0">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（一）本合同协议书；</w:t>
      </w:r>
    </w:p>
    <w:p w14:paraId="0515383D">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（二）洽商、变更等明确双方权利、义务的纪要、协议；</w:t>
      </w:r>
    </w:p>
    <w:p w14:paraId="5F638ECD">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（三）竞争性谈判文件、成交通知书和竞标文件；</w:t>
      </w:r>
    </w:p>
    <w:p w14:paraId="6147DDAA">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s="宋体"/>
          <w:color w:val="auto"/>
          <w:kern w:val="0"/>
          <w:sz w:val="24"/>
          <w:highlight w:val="none"/>
        </w:rPr>
        <w:t>（四）工程量清单或确定工程造价的工程预算书和图纸；</w:t>
      </w:r>
    </w:p>
    <w:p w14:paraId="0EC73E67">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（五）标准、规范及有关技术文件、技术要求；</w:t>
      </w:r>
    </w:p>
    <w:p w14:paraId="1C601276">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s="宋体"/>
          <w:color w:val="auto"/>
          <w:kern w:val="0"/>
          <w:sz w:val="24"/>
          <w:highlight w:val="none"/>
        </w:rPr>
        <w:t>（六）经双方确认的信函、传真、电子邮件等，将作为本合同的组成部分，具有合同的效力。</w:t>
      </w:r>
    </w:p>
    <w:p w14:paraId="432967B4">
      <w:pPr>
        <w:snapToGrid w:val="0"/>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六、本协议书中有关词语含义与本合同第二部分《通用条款》中赋予它们的定义相同。</w:t>
      </w:r>
    </w:p>
    <w:p w14:paraId="50E55D4E">
      <w:pPr>
        <w:snapToGrid w:val="0"/>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七、承包人向发包人承诺按照合同约定进行施工、竣工并在质量保修期内承担工程质量保修责任。</w:t>
      </w:r>
    </w:p>
    <w:p w14:paraId="45158C0F">
      <w:pPr>
        <w:snapToGrid w:val="0"/>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八、发包人向承包人承诺按照合同约定的期限和方式支付合同价款及其他应当支付的款项。</w:t>
      </w:r>
    </w:p>
    <w:p w14:paraId="70684033">
      <w:pPr>
        <w:snapToGrid w:val="0"/>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九、合同生效</w:t>
      </w:r>
    </w:p>
    <w:p w14:paraId="6DCFFE5C">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合同订立时间： 年月日；</w:t>
      </w:r>
    </w:p>
    <w:p w14:paraId="114DF534">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 xml:space="preserve">合同订立地点： ；   </w:t>
      </w:r>
    </w:p>
    <w:p w14:paraId="7A58F55B">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本合同双方约定</w:t>
      </w:r>
      <w:r>
        <w:rPr>
          <w:rFonts w:hint="eastAsia" w:ascii="仿宋" w:hAnsi="仿宋" w:eastAsia="仿宋"/>
          <w:color w:val="auto"/>
          <w:sz w:val="24"/>
          <w:highlight w:val="none"/>
          <w:lang w:val="en-US" w:eastAsia="zh-CN"/>
        </w:rPr>
        <w:t>签字盖章</w:t>
      </w:r>
      <w:r>
        <w:rPr>
          <w:rFonts w:hint="eastAsia" w:ascii="仿宋" w:hAnsi="仿宋" w:eastAsia="仿宋"/>
          <w:color w:val="auto"/>
          <w:sz w:val="24"/>
          <w:highlight w:val="none"/>
        </w:rPr>
        <w:t>后生效。</w:t>
      </w:r>
    </w:p>
    <w:p w14:paraId="6A7189D4">
      <w:pPr>
        <w:snapToGrid w:val="0"/>
        <w:spacing w:line="400" w:lineRule="exact"/>
        <w:ind w:right="105" w:rightChars="50"/>
        <w:jc w:val="center"/>
        <w:rPr>
          <w:rFonts w:ascii="仿宋" w:hAnsi="仿宋" w:eastAsia="仿宋"/>
          <w:b/>
          <w:color w:val="auto"/>
          <w:sz w:val="24"/>
          <w:highlight w:val="none"/>
        </w:rPr>
      </w:pPr>
    </w:p>
    <w:p w14:paraId="038FD1EC">
      <w:pPr>
        <w:snapToGrid w:val="0"/>
        <w:spacing w:line="400" w:lineRule="exact"/>
        <w:ind w:right="105" w:rightChars="50"/>
        <w:jc w:val="center"/>
        <w:rPr>
          <w:rFonts w:ascii="仿宋" w:hAnsi="仿宋" w:eastAsia="仿宋"/>
          <w:b/>
          <w:color w:val="auto"/>
          <w:sz w:val="24"/>
          <w:highlight w:val="none"/>
        </w:rPr>
      </w:pPr>
      <w:r>
        <w:rPr>
          <w:rFonts w:hint="eastAsia" w:ascii="仿宋" w:hAnsi="仿宋" w:eastAsia="仿宋"/>
          <w:b/>
          <w:color w:val="auto"/>
          <w:sz w:val="24"/>
          <w:highlight w:val="none"/>
        </w:rPr>
        <w:t>专用条款</w:t>
      </w:r>
    </w:p>
    <w:p w14:paraId="1752296B">
      <w:pPr>
        <w:snapToGrid w:val="0"/>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十、双方一般权利和义务</w:t>
      </w:r>
    </w:p>
    <w:p w14:paraId="0F67E2DD">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（一）甲方权利和义务</w:t>
      </w:r>
    </w:p>
    <w:p w14:paraId="01FBC1FB">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甲方应按约定的时间和要求完成以下工作：</w:t>
      </w:r>
    </w:p>
    <w:p w14:paraId="16AE4538">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1、施工现场具备施工条件的要求及完成时间：提供施工所需的红线内场地，并在计算工期前将施工现场各种障碍物清除；其他料场、办公等用地由承包人自行解决。</w:t>
      </w:r>
    </w:p>
    <w:p w14:paraId="5A43A72F">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2、将所需的水、电、电讯线路接至施工现场的时间、地点和供应要求： 。</w:t>
      </w:r>
    </w:p>
    <w:p w14:paraId="03372512">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3、施工场地与公共道路的通道开通时间和要求：计算工期前负责公共道路的畅通。</w:t>
      </w:r>
    </w:p>
    <w:p w14:paraId="3C26619B">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4、工程地质和地下管网线资料的提供时间：计算工期前提供工程地质和地下管网线路等资料。</w:t>
      </w:r>
    </w:p>
    <w:p w14:paraId="1C1196F0">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5、由发包人办理的施工所需证件、批件的名称和完成时间：计算工期前办妥相关开工手续。</w:t>
      </w:r>
    </w:p>
    <w:p w14:paraId="29309B94">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6、水准点与坐标控制点交验要求：开工前提供水准点与坐标控制点，按施工图由发包人、承包人、监理现场书面交验，交验后，承包人应妥善保护场内水准点与控制点，任意破坏或遗失应由承包人负责恢复的费用。</w:t>
      </w:r>
    </w:p>
    <w:p w14:paraId="37E8F9A7">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7、图纸会审和设计交底时间：现场另行确定。</w:t>
      </w:r>
    </w:p>
    <w:p w14:paraId="4F0B919F">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8、协调处理施工场地周围地下管线和邻近建筑物、构筑物（含文物保护建筑）、古树名木的保护工作：督促承包人做好保护工作。</w:t>
      </w:r>
    </w:p>
    <w:p w14:paraId="0B44B4D8">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9、双方约定发包人应做的其他工作：协商处理。</w:t>
      </w:r>
    </w:p>
    <w:p w14:paraId="00F05C16">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（二）乙方权利和义务</w:t>
      </w:r>
    </w:p>
    <w:p w14:paraId="318CE680">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乙方应按约定的时间和要求完成以下工作：</w:t>
      </w:r>
    </w:p>
    <w:p w14:paraId="09817180">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1、需由设计资质等级和业务范围允许的承包人完成的设计文件提交时间：无约定。</w:t>
      </w:r>
    </w:p>
    <w:p w14:paraId="27F538EC">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2、应提供计划、报表的名称及完成时间：进场后一周内提供材料计划，每月15日、30日前分别向发包人和监理方提供详细的施工进度计划、已完工程量报表（含工程变更及签证预算）、甲供材料清单、乙购材料清单、材料进场计划、劳动力及用款计划等资料，分项的施工组织设计开工前向发包人提供。</w:t>
      </w:r>
    </w:p>
    <w:p w14:paraId="2F31541E">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3、承担施工安全保卫工作及非夜间施工照明的责任和要求：由承包人负责。</w:t>
      </w:r>
    </w:p>
    <w:p w14:paraId="7927114E">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4、向发包人提供的办公和生活房屋及设施的要求：向发包方和监理方分别提供不少于    平方米的办公及生活用房。</w:t>
      </w:r>
    </w:p>
    <w:p w14:paraId="5BFB6DC1">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5、需承包人办理的有关施工场地交通、环卫和施工噪音管理等手续：按有关规定办理上述手续，费用由负责。施工中建筑垃圾需运出施工现场外时，承包人需到城管部门办理相关手续并按城管部门指定地点放置。</w:t>
      </w:r>
    </w:p>
    <w:p w14:paraId="1DD5E881">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6、已完工程成品保护的特殊要求及费用承担：已竣工工程未交付甲方验收之前的成品保护由承包人负责，费用由承包人负责；甲方在竣工验收前使用，发生损坏的修理费用由甲方承担。</w:t>
      </w:r>
    </w:p>
    <w:p w14:paraId="1A0E81F8">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7、施工场地周围地下管线和邻近建筑物、构筑物（含文物保护建筑）、古树名木的保护要求及费用承担：做好邻近建筑物的保护和观测工作，因承包人的责任造成的财产和人身损失，由承包人承担相关费用。</w:t>
      </w:r>
    </w:p>
    <w:p w14:paraId="5DBB630C">
      <w:pPr>
        <w:snapToGrid w:val="0"/>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8、施工现场清洁卫生的要求：承包人所有人员进入工地后必须遵守相关管理规定，做到文明施工、规范施工。</w:t>
      </w:r>
    </w:p>
    <w:p w14:paraId="65221482">
      <w:pPr>
        <w:snapToGrid w:val="0"/>
        <w:spacing w:line="400" w:lineRule="exact"/>
        <w:ind w:firstLine="480" w:firstLineChars="200"/>
        <w:rPr>
          <w:rFonts w:ascii="仿宋" w:hAnsi="仿宋" w:eastAsia="仿宋"/>
          <w:color w:val="auto"/>
          <w:sz w:val="24"/>
          <w:highlight w:val="none"/>
          <w:u w:val="single"/>
        </w:rPr>
      </w:pPr>
      <w:r>
        <w:rPr>
          <w:rFonts w:hint="eastAsia" w:ascii="仿宋" w:hAnsi="仿宋" w:eastAsia="仿宋"/>
          <w:color w:val="auto"/>
          <w:sz w:val="24"/>
          <w:highlight w:val="none"/>
        </w:rPr>
        <w:t>9、双方约定承包人应做的其他工作：</w:t>
      </w:r>
      <w:r>
        <w:rPr>
          <w:rFonts w:hint="eastAsia" w:ascii="仿宋" w:hAnsi="仿宋" w:eastAsia="仿宋"/>
          <w:color w:val="auto"/>
          <w:sz w:val="24"/>
          <w:highlight w:val="none"/>
          <w:u w:val="single"/>
        </w:rPr>
        <w:t>另订协议。</w:t>
      </w:r>
    </w:p>
    <w:p w14:paraId="5A456EFD">
      <w:pPr>
        <w:spacing w:line="400" w:lineRule="exact"/>
        <w:ind w:left="482"/>
        <w:rPr>
          <w:rFonts w:ascii="仿宋" w:hAnsi="仿宋" w:eastAsia="仿宋"/>
          <w:b/>
          <w:color w:val="auto"/>
          <w:sz w:val="24"/>
          <w:highlight w:val="none"/>
        </w:rPr>
      </w:pPr>
      <w:r>
        <w:rPr>
          <w:rFonts w:hint="eastAsia" w:ascii="仿宋" w:hAnsi="仿宋" w:eastAsia="仿宋"/>
          <w:b/>
          <w:color w:val="auto"/>
          <w:sz w:val="24"/>
          <w:highlight w:val="none"/>
          <w:lang w:eastAsia="zh-CN"/>
        </w:rPr>
        <w:t>（</w:t>
      </w:r>
      <w:r>
        <w:rPr>
          <w:rFonts w:hint="eastAsia" w:ascii="仿宋" w:hAnsi="仿宋" w:eastAsia="仿宋"/>
          <w:b/>
          <w:color w:val="auto"/>
          <w:sz w:val="24"/>
          <w:highlight w:val="none"/>
          <w:lang w:val="en-US" w:eastAsia="zh-CN"/>
        </w:rPr>
        <w:t>三</w:t>
      </w:r>
      <w:r>
        <w:rPr>
          <w:rFonts w:hint="eastAsia" w:ascii="仿宋" w:hAnsi="仿宋" w:eastAsia="仿宋"/>
          <w:b/>
          <w:color w:val="auto"/>
          <w:sz w:val="24"/>
          <w:highlight w:val="none"/>
          <w:lang w:eastAsia="zh-CN"/>
        </w:rPr>
        <w:t>）</w:t>
      </w:r>
      <w:r>
        <w:rPr>
          <w:rFonts w:hint="eastAsia" w:ascii="仿宋" w:hAnsi="仿宋" w:eastAsia="仿宋"/>
          <w:b/>
          <w:color w:val="auto"/>
          <w:sz w:val="24"/>
          <w:highlight w:val="none"/>
        </w:rPr>
        <w:t xml:space="preserve"> 项目管理服务</w:t>
      </w:r>
    </w:p>
    <w:p w14:paraId="4442D893">
      <w:pPr>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lang w:val="en-US" w:eastAsia="zh-CN"/>
        </w:rPr>
        <w:t>甲</w:t>
      </w:r>
      <w:r>
        <w:rPr>
          <w:rFonts w:hint="eastAsia" w:ascii="仿宋" w:hAnsi="仿宋" w:eastAsia="仿宋"/>
          <w:color w:val="auto"/>
          <w:sz w:val="24"/>
          <w:highlight w:val="none"/>
        </w:rPr>
        <w:t>乙方要指定不少于一人全权全程负责本项目服务的落实，包括服务的咨询、执行和后续工作。</w:t>
      </w:r>
    </w:p>
    <w:p w14:paraId="14FA117D">
      <w:pPr>
        <w:snapToGrid w:val="0"/>
        <w:spacing w:line="400" w:lineRule="exact"/>
        <w:ind w:firstLine="481"/>
        <w:textAlignment w:val="baseline"/>
        <w:rPr>
          <w:rFonts w:ascii="仿宋" w:hAnsi="仿宋" w:eastAsia="仿宋"/>
          <w:color w:val="auto"/>
          <w:sz w:val="24"/>
          <w:highlight w:val="none"/>
        </w:rPr>
      </w:pPr>
      <w:r>
        <w:rPr>
          <w:rFonts w:hint="eastAsia" w:ascii="仿宋" w:hAnsi="仿宋" w:eastAsia="仿宋"/>
          <w:color w:val="auto"/>
          <w:sz w:val="24"/>
          <w:highlight w:val="none"/>
          <w:lang w:val="en-US" w:eastAsia="zh-CN"/>
        </w:rPr>
        <w:t>甲方</w:t>
      </w:r>
      <w:r>
        <w:rPr>
          <w:rFonts w:ascii="仿宋" w:hAnsi="仿宋" w:eastAsia="仿宋"/>
          <w:color w:val="auto"/>
          <w:sz w:val="24"/>
          <w:highlight w:val="none"/>
        </w:rPr>
        <w:t>项目负责人</w:t>
      </w:r>
      <w:r>
        <w:rPr>
          <w:rFonts w:hint="eastAsia" w:ascii="仿宋" w:hAnsi="仿宋" w:eastAsia="仿宋"/>
          <w:color w:val="auto"/>
          <w:sz w:val="24"/>
          <w:highlight w:val="none"/>
        </w:rPr>
        <w:t>姓名</w:t>
      </w:r>
      <w:r>
        <w:rPr>
          <w:rFonts w:ascii="仿宋" w:hAnsi="仿宋" w:eastAsia="仿宋"/>
          <w:color w:val="auto"/>
          <w:sz w:val="24"/>
          <w:highlight w:val="none"/>
        </w:rPr>
        <w:t>：</w:t>
      </w:r>
      <w:r>
        <w:rPr>
          <w:rFonts w:hint="eastAsia" w:ascii="仿宋" w:hAnsi="仿宋" w:eastAsia="仿宋"/>
          <w:color w:val="auto"/>
          <w:sz w:val="24"/>
          <w:highlight w:val="none"/>
        </w:rPr>
        <w:t xml:space="preserve">    </w:t>
      </w:r>
      <w:r>
        <w:rPr>
          <w:rFonts w:ascii="仿宋" w:hAnsi="仿宋" w:eastAsia="仿宋"/>
          <w:color w:val="auto"/>
          <w:sz w:val="24"/>
          <w:highlight w:val="none"/>
        </w:rPr>
        <w:t>； 联系电话：</w:t>
      </w:r>
      <w:r>
        <w:rPr>
          <w:rFonts w:hint="eastAsia" w:ascii="仿宋" w:hAnsi="仿宋" w:eastAsia="仿宋"/>
          <w:color w:val="auto"/>
          <w:sz w:val="24"/>
          <w:highlight w:val="none"/>
        </w:rPr>
        <w:t xml:space="preserve">    </w:t>
      </w:r>
      <w:r>
        <w:rPr>
          <w:rFonts w:ascii="仿宋" w:hAnsi="仿宋" w:eastAsia="仿宋"/>
          <w:color w:val="auto"/>
          <w:sz w:val="24"/>
          <w:highlight w:val="none"/>
        </w:rPr>
        <w:t>。</w:t>
      </w:r>
    </w:p>
    <w:p w14:paraId="18AA0173">
      <w:pPr>
        <w:snapToGrid w:val="0"/>
        <w:spacing w:line="400" w:lineRule="exact"/>
        <w:ind w:firstLine="481"/>
        <w:textAlignment w:val="baseline"/>
        <w:rPr>
          <w:rFonts w:ascii="仿宋" w:hAnsi="仿宋" w:eastAsia="仿宋"/>
          <w:color w:val="auto"/>
          <w:sz w:val="24"/>
          <w:highlight w:val="none"/>
        </w:rPr>
      </w:pPr>
      <w:r>
        <w:rPr>
          <w:rFonts w:hint="eastAsia" w:ascii="仿宋" w:hAnsi="仿宋" w:eastAsia="仿宋"/>
          <w:color w:val="auto"/>
          <w:sz w:val="24"/>
          <w:highlight w:val="none"/>
          <w:lang w:val="en-US" w:eastAsia="zh-CN"/>
        </w:rPr>
        <w:t>乙方</w:t>
      </w:r>
      <w:r>
        <w:rPr>
          <w:rFonts w:ascii="仿宋" w:hAnsi="仿宋" w:eastAsia="仿宋"/>
          <w:color w:val="auto"/>
          <w:sz w:val="24"/>
          <w:highlight w:val="none"/>
        </w:rPr>
        <w:t>项目负责人</w:t>
      </w:r>
      <w:r>
        <w:rPr>
          <w:rFonts w:hint="eastAsia" w:ascii="仿宋" w:hAnsi="仿宋" w:eastAsia="仿宋"/>
          <w:color w:val="auto"/>
          <w:sz w:val="24"/>
          <w:highlight w:val="none"/>
        </w:rPr>
        <w:t>姓名</w:t>
      </w:r>
      <w:r>
        <w:rPr>
          <w:rFonts w:ascii="仿宋" w:hAnsi="仿宋" w:eastAsia="仿宋"/>
          <w:color w:val="auto"/>
          <w:sz w:val="24"/>
          <w:highlight w:val="none"/>
        </w:rPr>
        <w:t>：</w:t>
      </w:r>
      <w:r>
        <w:rPr>
          <w:rFonts w:hint="eastAsia" w:ascii="仿宋" w:hAnsi="仿宋" w:eastAsia="仿宋"/>
          <w:color w:val="auto"/>
          <w:sz w:val="24"/>
          <w:highlight w:val="none"/>
        </w:rPr>
        <w:t xml:space="preserve">    </w:t>
      </w:r>
      <w:r>
        <w:rPr>
          <w:rFonts w:ascii="仿宋" w:hAnsi="仿宋" w:eastAsia="仿宋"/>
          <w:color w:val="auto"/>
          <w:sz w:val="24"/>
          <w:highlight w:val="none"/>
        </w:rPr>
        <w:t>； 联系电话：</w:t>
      </w:r>
      <w:r>
        <w:rPr>
          <w:rFonts w:hint="eastAsia" w:ascii="仿宋" w:hAnsi="仿宋" w:eastAsia="仿宋"/>
          <w:color w:val="auto"/>
          <w:sz w:val="24"/>
          <w:highlight w:val="none"/>
        </w:rPr>
        <w:t xml:space="preserve">    </w:t>
      </w:r>
      <w:r>
        <w:rPr>
          <w:rFonts w:ascii="仿宋" w:hAnsi="仿宋" w:eastAsia="仿宋"/>
          <w:color w:val="auto"/>
          <w:sz w:val="24"/>
          <w:highlight w:val="none"/>
        </w:rPr>
        <w:t>。</w:t>
      </w:r>
    </w:p>
    <w:p w14:paraId="13F0436A">
      <w:pPr>
        <w:snapToGrid w:val="0"/>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十一、工程验收</w:t>
      </w:r>
    </w:p>
    <w:p w14:paraId="17BC6AEC">
      <w:pPr>
        <w:snapToGrid w:val="0"/>
        <w:spacing w:line="400" w:lineRule="exact"/>
        <w:ind w:right="105" w:rightChars="50" w:firstLine="480" w:firstLineChars="200"/>
        <w:rPr>
          <w:rFonts w:ascii="仿宋" w:hAnsi="仿宋" w:eastAsia="仿宋"/>
          <w:b/>
          <w:color w:val="auto"/>
          <w:sz w:val="24"/>
          <w:highlight w:val="none"/>
        </w:rPr>
      </w:pPr>
      <w:r>
        <w:rPr>
          <w:rFonts w:hint="eastAsia" w:ascii="仿宋" w:hAnsi="仿宋" w:eastAsia="仿宋"/>
          <w:color w:val="auto"/>
          <w:sz w:val="24"/>
          <w:highlight w:val="none"/>
        </w:rPr>
        <w:t>（一）甲方在收到乙方送交的竣工报告十</w:t>
      </w:r>
      <w:r>
        <w:rPr>
          <w:rFonts w:hint="eastAsia" w:ascii="仿宋" w:hAnsi="仿宋" w:eastAsia="仿宋"/>
          <w:color w:val="auto"/>
          <w:sz w:val="24"/>
          <w:highlight w:val="none"/>
          <w:lang w:val="en-US" w:eastAsia="zh-CN"/>
        </w:rPr>
        <w:t>个工作</w:t>
      </w:r>
      <w:r>
        <w:rPr>
          <w:rFonts w:hint="eastAsia" w:ascii="仿宋" w:hAnsi="仿宋" w:eastAsia="仿宋"/>
          <w:color w:val="auto"/>
          <w:sz w:val="24"/>
          <w:highlight w:val="none"/>
        </w:rPr>
        <w:t>日内，组织有关部门进行全面验收，</w:t>
      </w:r>
      <w:r>
        <w:rPr>
          <w:rFonts w:hint="eastAsia" w:ascii="仿宋" w:hAnsi="仿宋" w:eastAsia="仿宋"/>
          <w:bCs/>
          <w:color w:val="auto"/>
          <w:sz w:val="24"/>
          <w:highlight w:val="none"/>
        </w:rPr>
        <w:t>并出具验收报告</w:t>
      </w:r>
      <w:r>
        <w:rPr>
          <w:rFonts w:hint="eastAsia" w:ascii="仿宋" w:hAnsi="仿宋" w:eastAsia="仿宋"/>
          <w:color w:val="auto"/>
          <w:sz w:val="24"/>
          <w:highlight w:val="none"/>
        </w:rPr>
        <w:t>。</w:t>
      </w:r>
    </w:p>
    <w:p w14:paraId="000AFC2C">
      <w:pPr>
        <w:spacing w:line="400" w:lineRule="exact"/>
        <w:ind w:firstLine="480" w:firstLineChars="200"/>
        <w:rPr>
          <w:rFonts w:ascii="仿宋" w:hAnsi="仿宋" w:eastAsia="仿宋"/>
          <w:color w:val="auto"/>
          <w:sz w:val="24"/>
          <w:highlight w:val="none"/>
        </w:rPr>
      </w:pPr>
      <w:r>
        <w:rPr>
          <w:rFonts w:hint="eastAsia" w:ascii="仿宋" w:hAnsi="仿宋" w:eastAsia="仿宋"/>
          <w:color w:val="auto"/>
          <w:kern w:val="0"/>
          <w:sz w:val="24"/>
          <w:highlight w:val="none"/>
        </w:rPr>
        <w:t>（二）</w:t>
      </w:r>
      <w:r>
        <w:rPr>
          <w:rFonts w:hint="eastAsia" w:ascii="仿宋" w:hAnsi="仿宋" w:eastAsia="仿宋"/>
          <w:color w:val="auto"/>
          <w:sz w:val="24"/>
          <w:highlight w:val="none"/>
        </w:rPr>
        <w:t>甲方在验收中，如发现有与合同规定不符的，应在3天内向乙方提出书面意见，不签发验收单，并同时将该书面意见提交至市采购中心。乙方在接到甲方书面意见后，应在天内予以处理，并将处理结果以书面形式告知采购中心。</w:t>
      </w:r>
    </w:p>
    <w:p w14:paraId="1CB0D8DA">
      <w:pPr>
        <w:pStyle w:val="10"/>
        <w:adjustRightInd w:val="0"/>
        <w:snapToGrid w:val="0"/>
        <w:spacing w:line="400" w:lineRule="exact"/>
        <w:ind w:right="105" w:rightChars="50" w:firstLine="482" w:firstLineChars="200"/>
        <w:rPr>
          <w:rFonts w:ascii="仿宋" w:hAnsi="仿宋" w:eastAsia="仿宋"/>
          <w:b/>
          <w:color w:val="auto"/>
          <w:sz w:val="24"/>
          <w:szCs w:val="24"/>
          <w:highlight w:val="none"/>
        </w:rPr>
      </w:pPr>
      <w:r>
        <w:rPr>
          <w:rFonts w:hint="eastAsia" w:ascii="仿宋" w:hAnsi="仿宋" w:eastAsia="仿宋"/>
          <w:b/>
          <w:color w:val="auto"/>
          <w:sz w:val="24"/>
          <w:szCs w:val="24"/>
          <w:highlight w:val="none"/>
        </w:rPr>
        <w:t>十二、合同价款及付款方式</w:t>
      </w:r>
    </w:p>
    <w:p w14:paraId="46EDA38B">
      <w:pPr>
        <w:spacing w:line="40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一）采用固定价格合同，施工期间的各类建材市场的风险和政策性调整等风险及图纸深化设计已包括在竞标报价中，合同结算时不作调整；若工程量或施工方案调整，工程结算按原投标综合单价计算，工程量按实际发生计取；竞标文件规定的独立费、暂定价不下浮，工程结算时以实际发生额计入。</w:t>
      </w:r>
    </w:p>
    <w:p w14:paraId="1575DF1E">
      <w:pPr>
        <w:spacing w:line="400" w:lineRule="exact"/>
        <w:ind w:firstLine="480" w:firstLineChars="200"/>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（二）</w:t>
      </w:r>
      <w:r>
        <w:rPr>
          <w:rFonts w:hint="eastAsia" w:ascii="仿宋" w:hAnsi="仿宋" w:eastAsia="仿宋"/>
          <w:color w:val="auto"/>
          <w:sz w:val="24"/>
          <w:highlight w:val="none"/>
          <w:lang w:val="en-US" w:eastAsia="zh-CN"/>
        </w:rPr>
        <w:t>自工程竣工验收合格取得验收报告后付至合同价的40%，审计结束后付至审计价的70%，余款于缺陷责任期满且无质量问题后</w:t>
      </w:r>
      <w:r>
        <w:rPr>
          <w:rFonts w:hint="eastAsia" w:ascii="仿宋" w:hAnsi="仿宋" w:eastAsia="仿宋"/>
          <w:color w:val="auto"/>
          <w:sz w:val="24"/>
          <w:highlight w:val="none"/>
          <w:lang w:eastAsia="zh-CN"/>
        </w:rPr>
        <w:t>按</w:t>
      </w:r>
      <w:r>
        <w:rPr>
          <w:rFonts w:hint="eastAsia" w:ascii="仿宋" w:hAnsi="仿宋" w:eastAsia="仿宋"/>
          <w:color w:val="auto"/>
          <w:sz w:val="24"/>
          <w:highlight w:val="none"/>
          <w:lang w:val="en-US" w:eastAsia="zh-CN"/>
        </w:rPr>
        <w:t>审计价</w:t>
      </w:r>
      <w:r>
        <w:rPr>
          <w:rFonts w:hint="eastAsia" w:ascii="仿宋" w:hAnsi="仿宋" w:eastAsia="仿宋"/>
          <w:color w:val="auto"/>
          <w:sz w:val="24"/>
          <w:highlight w:val="none"/>
          <w:lang w:eastAsia="zh-CN"/>
        </w:rPr>
        <w:t>扣除已付款项一次性付清</w:t>
      </w:r>
      <w:r>
        <w:rPr>
          <w:rFonts w:hint="eastAsia" w:ascii="仿宋" w:hAnsi="仿宋" w:eastAsia="仿宋"/>
          <w:color w:val="auto"/>
          <w:sz w:val="24"/>
          <w:highlight w:val="none"/>
          <w:lang w:val="en-US" w:eastAsia="zh-CN"/>
        </w:rPr>
        <w:t>。</w:t>
      </w:r>
      <w:r>
        <w:rPr>
          <w:rFonts w:hint="eastAsia" w:ascii="仿宋" w:hAnsi="仿宋" w:eastAsia="仿宋"/>
          <w:color w:val="auto"/>
          <w:sz w:val="24"/>
          <w:highlight w:val="none"/>
          <w:lang w:eastAsia="zh-CN"/>
        </w:rPr>
        <w:t>每次支付前，</w:t>
      </w:r>
      <w:r>
        <w:rPr>
          <w:rFonts w:hint="eastAsia" w:ascii="仿宋" w:hAnsi="仿宋" w:eastAsia="仿宋"/>
          <w:color w:val="auto"/>
          <w:sz w:val="24"/>
          <w:highlight w:val="none"/>
          <w:lang w:val="en-US" w:eastAsia="zh-CN"/>
        </w:rPr>
        <w:t>乙方</w:t>
      </w:r>
      <w:r>
        <w:rPr>
          <w:rFonts w:hint="eastAsia" w:ascii="仿宋" w:hAnsi="仿宋" w:eastAsia="仿宋"/>
          <w:color w:val="auto"/>
          <w:sz w:val="24"/>
          <w:highlight w:val="none"/>
          <w:lang w:eastAsia="zh-CN"/>
        </w:rPr>
        <w:t>均应出具在税务部门开具的正式税票。</w:t>
      </w:r>
    </w:p>
    <w:p w14:paraId="1AB6EDA4">
      <w:pPr>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十三、工程保修期</w:t>
      </w:r>
    </w:p>
    <w:p w14:paraId="017631DE">
      <w:pPr>
        <w:spacing w:line="400" w:lineRule="exact"/>
        <w:ind w:right="105" w:rightChars="50" w:firstLine="360" w:firstLineChars="150"/>
        <w:rPr>
          <w:rFonts w:ascii="仿宋" w:hAnsi="仿宋" w:eastAsia="仿宋" w:cs="Arial"/>
          <w:color w:val="auto"/>
          <w:sz w:val="24"/>
          <w:highlight w:val="none"/>
        </w:rPr>
      </w:pPr>
      <w:r>
        <w:rPr>
          <w:rFonts w:hint="eastAsia" w:ascii="仿宋" w:hAnsi="仿宋" w:eastAsia="仿宋" w:cs="Arial"/>
          <w:color w:val="auto"/>
          <w:sz w:val="24"/>
          <w:highlight w:val="none"/>
        </w:rPr>
        <w:t>　本工程保修期为年。</w:t>
      </w:r>
    </w:p>
    <w:p w14:paraId="758B3A4B">
      <w:pPr>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十四、违约责任</w:t>
      </w:r>
    </w:p>
    <w:p w14:paraId="4D063B2D">
      <w:pPr>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1、乙方不按期完成合同约定的内容，应向甲方支付违约金，除不可抗力因素或甲方造成原因外，每延迟交付一天按合同总价款的</w:t>
      </w:r>
      <w:r>
        <w:rPr>
          <w:rFonts w:hint="eastAsia" w:ascii="仿宋" w:hAnsi="仿宋" w:eastAsia="仿宋"/>
          <w:color w:val="auto"/>
          <w:sz w:val="24"/>
          <w:highlight w:val="none"/>
          <w:u w:val="single"/>
        </w:rPr>
        <w:t>1-3‰</w:t>
      </w:r>
      <w:r>
        <w:rPr>
          <w:rFonts w:hint="eastAsia" w:ascii="仿宋" w:hAnsi="仿宋" w:eastAsia="仿宋"/>
          <w:color w:val="auto"/>
          <w:sz w:val="24"/>
          <w:highlight w:val="none"/>
        </w:rPr>
        <w:t xml:space="preserve">支付违约金; 延期超过日，甲方有权强制解除合同。 </w:t>
      </w:r>
    </w:p>
    <w:p w14:paraId="37D6082D">
      <w:pPr>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2、乙方的施工质量不符合设计规范要求的，应按甲方要求的时间进行返工，并承担返工费用，工期不予顺延。</w:t>
      </w:r>
    </w:p>
    <w:p w14:paraId="700059AE">
      <w:pPr>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3、非甲方原因，乙方不履行本合同规定的义务，致使工作延误，甲方有权要求其强制履行或解除合同，并要求乙方等额赔偿由此造成的一切损失。</w:t>
      </w:r>
    </w:p>
    <w:p w14:paraId="23658DCA">
      <w:pPr>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s="宋体"/>
          <w:color w:val="auto"/>
          <w:kern w:val="0"/>
          <w:sz w:val="24"/>
          <w:highlight w:val="none"/>
        </w:rPr>
        <w:t>4、甲方不及时给出必要指令、确认、批准，不按合同约定履行各项义务、支付款项及发生其它使合同无法履行的行为，应承担违约责任（包括支付因其违约导致乙方增加的经济支出和从应支付之日起计算的应支付款项的利息、赔偿因其违约给乙方造成的窝工等损失等），并相应顺延工期。</w:t>
      </w:r>
    </w:p>
    <w:p w14:paraId="711A61C6">
      <w:pPr>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5、本项目不得转让分包，如有发生，甲方有权要求乙方无条件清理退场，所造成的一切损失由乙方负责。</w:t>
      </w:r>
    </w:p>
    <w:p w14:paraId="3DAD9263">
      <w:pPr>
        <w:spacing w:line="400" w:lineRule="exact"/>
        <w:ind w:right="105" w:rightChars="50" w:firstLine="482" w:firstLineChars="200"/>
        <w:rPr>
          <w:rFonts w:ascii="仿宋" w:hAnsi="仿宋" w:eastAsia="仿宋"/>
          <w:color w:val="auto"/>
          <w:sz w:val="24"/>
          <w:highlight w:val="none"/>
        </w:rPr>
      </w:pPr>
      <w:r>
        <w:rPr>
          <w:rFonts w:hint="eastAsia" w:ascii="仿宋" w:hAnsi="仿宋" w:eastAsia="仿宋"/>
          <w:b/>
          <w:color w:val="auto"/>
          <w:sz w:val="24"/>
          <w:highlight w:val="none"/>
        </w:rPr>
        <w:t>十五、</w:t>
      </w:r>
      <w:r>
        <w:rPr>
          <w:rFonts w:hint="eastAsia" w:ascii="仿宋" w:hAnsi="仿宋" w:eastAsia="仿宋"/>
          <w:color w:val="auto"/>
          <w:sz w:val="24"/>
          <w:highlight w:val="none"/>
        </w:rPr>
        <w:t>本合同一切未尽事宜，按《民法典》有关规定执行;无相关规定的，由甲乙双方协商解决。</w:t>
      </w:r>
    </w:p>
    <w:p w14:paraId="5EF80430">
      <w:pPr>
        <w:spacing w:line="400" w:lineRule="exact"/>
        <w:ind w:right="105" w:rightChars="50" w:firstLine="482" w:firstLineChars="200"/>
        <w:rPr>
          <w:rFonts w:ascii="仿宋" w:hAnsi="仿宋" w:eastAsia="仿宋"/>
          <w:color w:val="auto"/>
          <w:sz w:val="24"/>
          <w:highlight w:val="none"/>
        </w:rPr>
      </w:pPr>
      <w:r>
        <w:rPr>
          <w:rFonts w:hint="eastAsia" w:ascii="仿宋" w:hAnsi="仿宋" w:eastAsia="仿宋"/>
          <w:b/>
          <w:color w:val="auto"/>
          <w:sz w:val="24"/>
          <w:highlight w:val="none"/>
        </w:rPr>
        <w:t>十六、合同生效与终止</w:t>
      </w:r>
    </w:p>
    <w:p w14:paraId="65A9DF72">
      <w:pPr>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（一）本合同经甲乙双方签字盖章后生效，采购中心审核后实施，双方签订的合同内容不能超出谈判文件和竞标文件的实质性内容。</w:t>
      </w:r>
    </w:p>
    <w:p w14:paraId="18C67D4C">
      <w:pPr>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（二）在竣工结算、甲方支付完毕，乙方将工程交付甲方后，除有关保修条款仍然生效外，其它条款即告终止，保修期满后，有关保修条款终止。</w:t>
      </w:r>
    </w:p>
    <w:p w14:paraId="765A9C5B">
      <w:pPr>
        <w:spacing w:line="400" w:lineRule="exact"/>
        <w:ind w:right="105" w:rightChars="50" w:firstLine="482" w:firstLineChars="200"/>
        <w:rPr>
          <w:rFonts w:ascii="仿宋" w:hAnsi="仿宋" w:eastAsia="仿宋"/>
          <w:color w:val="auto"/>
          <w:sz w:val="24"/>
          <w:highlight w:val="none"/>
        </w:rPr>
      </w:pPr>
      <w:r>
        <w:rPr>
          <w:rFonts w:hint="eastAsia" w:ascii="仿宋" w:hAnsi="仿宋" w:eastAsia="仿宋"/>
          <w:b/>
          <w:color w:val="auto"/>
          <w:sz w:val="24"/>
          <w:highlight w:val="none"/>
        </w:rPr>
        <w:t>十七、</w:t>
      </w:r>
      <w:r>
        <w:rPr>
          <w:rFonts w:hint="eastAsia" w:ascii="仿宋" w:hAnsi="仿宋" w:eastAsia="仿宋"/>
          <w:color w:val="auto"/>
          <w:sz w:val="24"/>
          <w:highlight w:val="none"/>
        </w:rPr>
        <w:t>本合同一式四份，以中文书写，甲方、乙方各执一份，市政府采购中心、市财政局政府采购管理处各一份。</w:t>
      </w:r>
    </w:p>
    <w:p w14:paraId="6A7146F6">
      <w:pPr>
        <w:snapToGrid w:val="0"/>
        <w:spacing w:line="400" w:lineRule="exact"/>
        <w:ind w:right="105" w:rightChars="50" w:firstLine="482" w:firstLineChars="200"/>
        <w:jc w:val="center"/>
        <w:rPr>
          <w:rFonts w:ascii="仿宋" w:hAnsi="仿宋" w:eastAsia="仿宋"/>
          <w:b/>
          <w:color w:val="auto"/>
          <w:sz w:val="24"/>
          <w:highlight w:val="none"/>
        </w:rPr>
      </w:pPr>
      <w:r>
        <w:rPr>
          <w:rFonts w:hint="eastAsia" w:ascii="仿宋" w:hAnsi="仿宋" w:eastAsia="仿宋"/>
          <w:b/>
          <w:color w:val="auto"/>
          <w:sz w:val="24"/>
          <w:highlight w:val="none"/>
        </w:rPr>
        <w:t xml:space="preserve">  通用条款</w:t>
      </w:r>
    </w:p>
    <w:p w14:paraId="4A9F4009">
      <w:pPr>
        <w:snapToGrid w:val="0"/>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十八、词语涵义</w:t>
      </w:r>
    </w:p>
    <w:p w14:paraId="0C18FBED">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olor w:val="auto"/>
          <w:sz w:val="24"/>
          <w:highlight w:val="none"/>
        </w:rPr>
        <w:t>（一）</w:t>
      </w:r>
      <w:r>
        <w:rPr>
          <w:rFonts w:hint="eastAsia" w:ascii="仿宋" w:hAnsi="仿宋" w:eastAsia="仿宋" w:cs="宋体"/>
          <w:color w:val="auto"/>
          <w:kern w:val="0"/>
          <w:sz w:val="24"/>
          <w:highlight w:val="none"/>
        </w:rPr>
        <w:t>发包方（简称甲方）：协议条款约定的，具有发包主体资格和支付工程价款能力的当事人。</w:t>
      </w:r>
    </w:p>
    <w:p w14:paraId="2582C203">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olor w:val="auto"/>
          <w:sz w:val="24"/>
          <w:highlight w:val="none"/>
        </w:rPr>
        <w:t>（二）</w:t>
      </w:r>
      <w:r>
        <w:rPr>
          <w:rFonts w:hint="eastAsia" w:ascii="仿宋" w:hAnsi="仿宋" w:eastAsia="仿宋" w:cs="宋体"/>
          <w:color w:val="auto"/>
          <w:kern w:val="0"/>
          <w:sz w:val="24"/>
          <w:highlight w:val="none"/>
        </w:rPr>
        <w:t>承包方（简称乙方）：协议条款约定的，具有承包主体资格并被发包方接受的当事人。</w:t>
      </w:r>
    </w:p>
    <w:p w14:paraId="2B943755">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（三）合同价款：按有关规定或协议条款约定的各种取费标准计算的，用以支付乙方按照合同要求完成工程内容的价款总额。</w:t>
      </w:r>
    </w:p>
    <w:p w14:paraId="20742F2C">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（四）经济支出：在施工中已经发生，经甲方确认后以增加预算形式支付的合同价款。</w:t>
      </w:r>
    </w:p>
    <w:p w14:paraId="0F027012">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（五）费用：甲方在合同价款之外，需要直接支付的开支和乙方应负担的开支。</w:t>
      </w:r>
    </w:p>
    <w:p w14:paraId="53620256">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（六）工期：协议条款约定的合同工期。</w:t>
      </w:r>
    </w:p>
    <w:p w14:paraId="25F05BBE">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（七）开工日期：协议条款约定的工程开工日期。</w:t>
      </w:r>
    </w:p>
    <w:p w14:paraId="55A35D9C">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（八）竣工日期：协议条款约定的工程竣工日期。</w:t>
      </w:r>
    </w:p>
    <w:p w14:paraId="39472B25">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（九）图纸：由甲方提供或乙方提供经甲方代表批准，乙方用以施工的所有图纸（包括配套说明和有关资料）。</w:t>
      </w:r>
    </w:p>
    <w:p w14:paraId="3BE414E4">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（十）施工场地（或称工地）：经甲方提供的用于本合同工程施工的场所以及在合同中指定作为施工场地组成部分的其他场所。</w:t>
      </w:r>
    </w:p>
    <w:p w14:paraId="0602BF5A">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（十一）书面形式：根据合同发生的手写、打印、印刷的各种通知、任命、委托、证书、签证、备忘录、会议纪要、函件及经过确认的电报、电传等。</w:t>
      </w:r>
    </w:p>
    <w:p w14:paraId="37F405E8">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（十二）</w:t>
      </w:r>
      <w:r>
        <w:rPr>
          <w:rFonts w:hint="eastAsia" w:ascii="仿宋" w:hAnsi="仿宋" w:eastAsia="仿宋"/>
          <w:color w:val="auto"/>
          <w:sz w:val="24"/>
          <w:highlight w:val="none"/>
        </w:rPr>
        <w:t>不可抗力：指</w:t>
      </w:r>
      <w:r>
        <w:rPr>
          <w:rFonts w:ascii="仿宋" w:hAnsi="仿宋" w:eastAsia="仿宋" w:cs="Arial"/>
          <w:color w:val="auto"/>
          <w:spacing w:val="8"/>
          <w:sz w:val="24"/>
          <w:highlight w:val="none"/>
        </w:rPr>
        <w:t>不能预见、不能避免和不能克服的客观情况</w:t>
      </w:r>
      <w:r>
        <w:rPr>
          <w:rFonts w:hint="eastAsia" w:ascii="仿宋" w:hAnsi="仿宋" w:eastAsia="仿宋" w:cs="Arial"/>
          <w:color w:val="auto"/>
          <w:spacing w:val="8"/>
          <w:sz w:val="24"/>
          <w:highlight w:val="none"/>
        </w:rPr>
        <w:t>，</w:t>
      </w:r>
      <w:r>
        <w:rPr>
          <w:rFonts w:hint="eastAsia" w:ascii="仿宋" w:hAnsi="仿宋" w:eastAsia="仿宋" w:cs="宋体"/>
          <w:color w:val="auto"/>
          <w:kern w:val="0"/>
          <w:sz w:val="24"/>
          <w:highlight w:val="none"/>
        </w:rPr>
        <w:t>如战争、动乱、空中飞行物体坠落或其它非甲乙方责任造成的爆炸、火灾，以及协议条款约定等级以上的风、雨、雪、地震等。</w:t>
      </w:r>
    </w:p>
    <w:p w14:paraId="2CE7AA83">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（十三）协议条款：结合具体工程，甲、乙协商后签订的书面协议。</w:t>
      </w:r>
    </w:p>
    <w:p w14:paraId="36C0963A">
      <w:pPr>
        <w:snapToGrid w:val="0"/>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十九、质量标准</w:t>
      </w:r>
    </w:p>
    <w:p w14:paraId="78BBFBCE">
      <w:pPr>
        <w:tabs>
          <w:tab w:val="left" w:pos="-100"/>
          <w:tab w:val="left" w:pos="0"/>
          <w:tab w:val="left" w:pos="1134"/>
        </w:tabs>
        <w:snapToGrid w:val="0"/>
        <w:spacing w:line="400" w:lineRule="exact"/>
        <w:ind w:right="105" w:rightChars="50" w:firstLine="480" w:firstLineChars="200"/>
        <w:rPr>
          <w:rFonts w:hint="eastAsia" w:ascii="仿宋" w:hAnsi="仿宋" w:eastAsia="仿宋"/>
          <w:snapToGrid w:val="0"/>
          <w:color w:val="auto"/>
          <w:sz w:val="24"/>
          <w:highlight w:val="none"/>
        </w:rPr>
      </w:pPr>
      <w:r>
        <w:rPr>
          <w:rFonts w:hint="eastAsia" w:ascii="仿宋" w:hAnsi="仿宋" w:eastAsia="仿宋"/>
          <w:snapToGrid w:val="0"/>
          <w:color w:val="auto"/>
          <w:sz w:val="24"/>
          <w:highlight w:val="none"/>
        </w:rPr>
        <w:t>《建筑工程施工质量验收统一标准》（GB50300-2013）、《建筑装饰装修工程质量验收标准》（GB50210-2018）及中华人民共和国住房和城乡建设部颁发的其他现行标准、规范和省、市有关规定。</w:t>
      </w:r>
    </w:p>
    <w:p w14:paraId="72774E7A">
      <w:pPr>
        <w:snapToGrid w:val="0"/>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二十、安全施工</w:t>
      </w:r>
    </w:p>
    <w:p w14:paraId="745ADFB3">
      <w:pPr>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 xml:space="preserve">（一）进入施工现场的各类安全防护由乙方统一协调管理，安全责任由乙方承担，费用包含在竞标报价中。 </w:t>
      </w:r>
    </w:p>
    <w:p w14:paraId="210E62E1">
      <w:pPr>
        <w:spacing w:line="400" w:lineRule="exact"/>
        <w:ind w:right="105" w:rightChars="50" w:firstLine="480" w:firstLineChars="200"/>
        <w:rPr>
          <w:rFonts w:ascii="仿宋" w:hAnsi="仿宋" w:eastAsia="仿宋"/>
          <w:color w:val="auto"/>
          <w:kern w:val="0"/>
          <w:sz w:val="24"/>
          <w:highlight w:val="none"/>
        </w:rPr>
      </w:pPr>
      <w:r>
        <w:rPr>
          <w:rFonts w:hint="eastAsia" w:ascii="仿宋" w:hAnsi="仿宋" w:eastAsia="仿宋"/>
          <w:color w:val="auto"/>
          <w:sz w:val="24"/>
          <w:highlight w:val="none"/>
        </w:rPr>
        <w:t>（二）乙方负责进入现场施工人员及财物安全，</w:t>
      </w:r>
      <w:r>
        <w:rPr>
          <w:rFonts w:hint="eastAsia" w:ascii="仿宋" w:hAnsi="仿宋" w:eastAsia="仿宋" w:cs="宋体"/>
          <w:color w:val="auto"/>
          <w:kern w:val="0"/>
          <w:sz w:val="24"/>
          <w:highlight w:val="none"/>
        </w:rPr>
        <w:t>非乙方责任造成的伤亡事故，由责任方承担责任和有关费用。</w:t>
      </w:r>
    </w:p>
    <w:p w14:paraId="3B29F580">
      <w:pPr>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kern w:val="0"/>
          <w:sz w:val="24"/>
          <w:highlight w:val="none"/>
        </w:rPr>
        <w:t>（三）</w:t>
      </w:r>
      <w:r>
        <w:rPr>
          <w:rFonts w:hint="eastAsia" w:ascii="仿宋" w:hAnsi="仿宋" w:eastAsia="仿宋"/>
          <w:color w:val="auto"/>
          <w:sz w:val="24"/>
          <w:highlight w:val="none"/>
        </w:rPr>
        <w:t>乙方应合理安全使用水、电设施，否则引起的一切责任由乙方承担。</w:t>
      </w:r>
    </w:p>
    <w:p w14:paraId="6D18BB8B">
      <w:pPr>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（四）在有毒有害环境中施工，甲方应按有关规定提供相应的防护措施，并承担有关的经济支出。</w:t>
      </w:r>
    </w:p>
    <w:p w14:paraId="0C5D9714">
      <w:pPr>
        <w:snapToGrid w:val="0"/>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二十一、检查和返工</w:t>
      </w:r>
    </w:p>
    <w:p w14:paraId="68C58C49">
      <w:pPr>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一）乙方应认真按照标准、规范和设计的要求以及甲方依据合同发出的指令施工，随时接受甲方代表及其委派人员的检查检验、为检查检验提供便利条件，并按甲方代表及委派人员的要求返工、修改，承担由自身原因导致返工、修改的费用。因甲方不正确纠正或其它非乙方原因引起的经济支出，由甲方承担。</w:t>
      </w:r>
    </w:p>
    <w:p w14:paraId="50338055">
      <w:pPr>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s="宋体"/>
          <w:color w:val="auto"/>
          <w:kern w:val="0"/>
          <w:sz w:val="24"/>
          <w:highlight w:val="none"/>
        </w:rPr>
        <w:t>（二）以上检查检验不应影响施工正常进行，如影响施工正常进行，检查检验不合格，影响正常施工的费用由乙方承担。除此之外影响正常施工的经济支出由甲方承担，相应顺延工期。</w:t>
      </w:r>
    </w:p>
    <w:p w14:paraId="02029432">
      <w:pPr>
        <w:snapToGrid w:val="0"/>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二十二、竣工验收</w:t>
      </w:r>
    </w:p>
    <w:p w14:paraId="6B3A36B7">
      <w:pPr>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一）工程竣工验收按照乙方自评、甲方验收的流程进行。工程完工后，乙方通过自检认为达到竣工验收条件时，应按国家和省市关于工程竣工有关规定，向甲方代表提供完整的竣工档案资料、竣工验收报告等满足竣工验收的资料。甲方收到上述资料后在约定时间七日内组织有关部门进行全面的验收，如乙方提供的验收资料不全或不符合规定的要求，或由于乙方的原因造成竣工条件不具备，则验收期顺延，责任由乙方承担。</w:t>
      </w:r>
    </w:p>
    <w:p w14:paraId="292997CC">
      <w:pPr>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（二）甲方组织验收后三日内，给予批准或提出修改意见，如果初次验收未通过，乙方应按甲方所提修改意见并承担整改费用，完成后再次申报。</w:t>
      </w:r>
    </w:p>
    <w:p w14:paraId="1E332044">
      <w:pPr>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（三）甲方在收到乙方送交的竣工报告十日内，无正当理由不组织验收，或验收后七天内不予批准，也不提出修改意见，可视为竣工报告已被批准，即可办理工程结算手续。</w:t>
      </w:r>
    </w:p>
    <w:p w14:paraId="04E73146">
      <w:pPr>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二十三、付款</w:t>
      </w:r>
    </w:p>
    <w:p w14:paraId="73199B72">
      <w:pPr>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甲方根据协议条款约定的时间、方式和甲方代表确认的工程量，按构成合同价款相应项目的单价和取费标准计算、支付工程价款。甲方在其代表计量签字后10天内不予支付，乙方可向甲方发出要求付款的通知，甲方在收到乙方通知后仍不能按要求支付，乙方可在发出通知5天后停止施工，甲方承担违约责任。</w:t>
      </w:r>
    </w:p>
    <w:p w14:paraId="6CBBF40B">
      <w:pPr>
        <w:spacing w:line="400" w:lineRule="exact"/>
        <w:ind w:right="105" w:rightChars="50" w:firstLine="482" w:firstLineChars="200"/>
        <w:rPr>
          <w:rFonts w:ascii="仿宋" w:hAnsi="仿宋" w:eastAsia="仿宋" w:cs="宋体"/>
          <w:b/>
          <w:color w:val="auto"/>
          <w:kern w:val="0"/>
          <w:sz w:val="24"/>
          <w:highlight w:val="none"/>
        </w:rPr>
      </w:pPr>
      <w:r>
        <w:rPr>
          <w:rFonts w:hint="eastAsia" w:ascii="仿宋" w:hAnsi="仿宋" w:eastAsia="仿宋" w:cs="宋体"/>
          <w:b/>
          <w:color w:val="auto"/>
          <w:kern w:val="0"/>
          <w:sz w:val="24"/>
          <w:highlight w:val="none"/>
        </w:rPr>
        <w:t>二十四、不可抗力</w:t>
      </w:r>
    </w:p>
    <w:p w14:paraId="6ADFB021">
      <w:pPr>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不可抗力发生后，乙方应迅速采取措施，尽力减少损失，并在24小时内向甲方代表通报受害情况，按协议条款约定的时间向甲方报告损失情况和清理、修复的费用，甲方应对灾害处理提供必要条件。灾害继续发生，乙方应每隔10天向甲方报告一次灾害情况，直到灾害结束。</w:t>
      </w:r>
    </w:p>
    <w:p w14:paraId="202D2BB4">
      <w:pPr>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因灾害发生的费用由双方分别承担：</w:t>
      </w:r>
    </w:p>
    <w:p w14:paraId="05310479">
      <w:pPr>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（一）工程本身的损害由甲方承担；　　</w:t>
      </w:r>
    </w:p>
    <w:p w14:paraId="7F908F92">
      <w:pPr>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（二）人员伤亡由其所属单位负责，并承担相应费用；</w:t>
      </w:r>
    </w:p>
    <w:p w14:paraId="03CFC747">
      <w:pPr>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（三）造成乙方设备、机械的损坏及停工等损失，由乙方承担；</w:t>
      </w:r>
    </w:p>
    <w:p w14:paraId="197969BD">
      <w:pPr>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（四）所需清理修复工作的责任与费用的承担，双方另签补充协议约定。</w:t>
      </w:r>
    </w:p>
    <w:p w14:paraId="0A64CA32">
      <w:pPr>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二十五、专利权</w:t>
      </w:r>
    </w:p>
    <w:p w14:paraId="4DDA8BE2">
      <w:pPr>
        <w:spacing w:line="400" w:lineRule="exact"/>
        <w:ind w:right="105" w:rightChars="50" w:firstLine="480" w:firstLineChars="200"/>
        <w:rPr>
          <w:rFonts w:ascii="仿宋" w:hAnsi="仿宋" w:eastAsia="仿宋"/>
          <w:b/>
          <w:color w:val="auto"/>
          <w:sz w:val="24"/>
          <w:highlight w:val="none"/>
        </w:rPr>
      </w:pPr>
      <w:r>
        <w:rPr>
          <w:rFonts w:hint="eastAsia" w:ascii="仿宋" w:hAnsi="仿宋" w:eastAsia="仿宋"/>
          <w:color w:val="auto"/>
          <w:sz w:val="24"/>
          <w:highlight w:val="none"/>
        </w:rPr>
        <w:t>承包人方应保障发包人免于受到由于工程上使用的或有关的或准备采用的承包人设备、材料或工程设备等侵犯专利权、设计商标或名称或其它受保护的权利而引起的索赔和诉讼，并保证发包人免于承担与此有关的赔偿费、诉讼费和其它开支，但由于执行工程师提供的设计或技术规范而侵犯上述权利的情况除外。</w:t>
      </w:r>
    </w:p>
    <w:p w14:paraId="26A54041">
      <w:pPr>
        <w:snapToGrid w:val="0"/>
        <w:spacing w:line="400" w:lineRule="exact"/>
        <w:ind w:right="105" w:rightChars="50" w:firstLine="482" w:firstLineChars="200"/>
        <w:rPr>
          <w:rFonts w:ascii="仿宋" w:hAnsi="仿宋" w:eastAsia="仿宋" w:cs="宋体"/>
          <w:b/>
          <w:color w:val="auto"/>
          <w:kern w:val="0"/>
          <w:sz w:val="24"/>
          <w:highlight w:val="none"/>
        </w:rPr>
      </w:pPr>
      <w:r>
        <w:rPr>
          <w:rFonts w:hint="eastAsia" w:ascii="仿宋" w:hAnsi="仿宋" w:eastAsia="仿宋" w:cs="宋体"/>
          <w:b/>
          <w:color w:val="auto"/>
          <w:kern w:val="0"/>
          <w:sz w:val="24"/>
          <w:highlight w:val="none"/>
        </w:rPr>
        <w:t>二十六、工程保修</w:t>
      </w:r>
    </w:p>
    <w:p w14:paraId="5F3C8B9A">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乙方按国家有关规定和协议条款约定的保修项目、内容、范围、期限，进行保修。保修期从甲方代表在最终验收记录上签字之日算起。分单验收的工程，按单项工程分别计算保修期。</w:t>
      </w:r>
    </w:p>
    <w:p w14:paraId="647016C5">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保修期间，乙方应在接到修理通知之日后10天内派人修理，否则，甲方可委托其它单位或人员修理。因乙方原因造成返修的费用，甲方在保修金内扣除，不足部分，由乙方交付。因乙方之外原因造成返修的经济支出，由甲方承担。</w:t>
      </w:r>
    </w:p>
    <w:p w14:paraId="384642D8">
      <w:pPr>
        <w:snapToGrid w:val="0"/>
        <w:spacing w:line="400" w:lineRule="exact"/>
        <w:ind w:right="105" w:rightChars="50" w:firstLine="482" w:firstLineChars="200"/>
        <w:rPr>
          <w:rFonts w:ascii="仿宋" w:hAnsi="仿宋" w:eastAsia="仿宋" w:cs="宋体"/>
          <w:b/>
          <w:color w:val="auto"/>
          <w:kern w:val="0"/>
          <w:sz w:val="24"/>
          <w:highlight w:val="none"/>
        </w:rPr>
      </w:pPr>
      <w:r>
        <w:rPr>
          <w:rFonts w:hint="eastAsia" w:ascii="仿宋" w:hAnsi="仿宋" w:eastAsia="仿宋" w:cs="宋体"/>
          <w:b/>
          <w:color w:val="auto"/>
          <w:kern w:val="0"/>
          <w:sz w:val="24"/>
          <w:highlight w:val="none"/>
        </w:rPr>
        <w:t>二十七、索赔</w:t>
      </w:r>
    </w:p>
    <w:p w14:paraId="62D58D29">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甲方未能按合同约定支付各种费用、顺延工期、赔偿损失，乙方可按以下方式向甲方索赔：</w:t>
      </w:r>
    </w:p>
    <w:p w14:paraId="7B2D50D4">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（一）有正当索赔理由，且有索赔事件发生时的有关证据；</w:t>
      </w:r>
    </w:p>
    <w:p w14:paraId="1B86675F">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（二）索赔事件发生后20天内，向甲方发出要求索赔的通知；</w:t>
      </w:r>
    </w:p>
    <w:p w14:paraId="256CF797">
      <w:pPr>
        <w:snapToGrid w:val="0"/>
        <w:spacing w:line="400" w:lineRule="exact"/>
        <w:ind w:right="105" w:rightChars="50" w:firstLine="480" w:firstLineChars="200"/>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（三）甲方在接到索赔通知后10天内给予批准，或要求乙方进一步补充索赔理由和证据，在10天内未予答复，应视为该项索赔已经批准。</w:t>
      </w:r>
    </w:p>
    <w:p w14:paraId="5A1A014E">
      <w:pPr>
        <w:snapToGrid w:val="0"/>
        <w:spacing w:line="400" w:lineRule="exact"/>
        <w:ind w:right="105" w:rightChars="50" w:firstLine="482" w:firstLineChars="200"/>
        <w:rPr>
          <w:rFonts w:ascii="仿宋" w:hAnsi="仿宋" w:eastAsia="仿宋" w:cs="宋体"/>
          <w:b/>
          <w:color w:val="auto"/>
          <w:kern w:val="0"/>
          <w:sz w:val="24"/>
          <w:highlight w:val="none"/>
        </w:rPr>
      </w:pPr>
      <w:r>
        <w:rPr>
          <w:rFonts w:hint="eastAsia" w:ascii="仿宋" w:hAnsi="仿宋" w:eastAsia="仿宋" w:cs="宋体"/>
          <w:b/>
          <w:color w:val="auto"/>
          <w:kern w:val="0"/>
          <w:sz w:val="24"/>
          <w:highlight w:val="none"/>
        </w:rPr>
        <w:t>二十八、合同争议</w:t>
      </w:r>
    </w:p>
    <w:p w14:paraId="45E2B408">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甲乙双方应通过友好协商，解决在执行本合同中所发生的或与本合同有关的一切争端。如果协商仍得不到解决，任何一方均可按《中华人民共和国民法典》规定提交调解和仲裁。</w:t>
      </w:r>
    </w:p>
    <w:p w14:paraId="648F7625">
      <w:pPr>
        <w:snapToGrid w:val="0"/>
        <w:spacing w:line="400" w:lineRule="exact"/>
        <w:ind w:right="105" w:rightChars="50" w:firstLine="482" w:firstLineChars="200"/>
        <w:rPr>
          <w:rFonts w:ascii="仿宋" w:hAnsi="仿宋" w:eastAsia="仿宋"/>
          <w:b/>
          <w:color w:val="auto"/>
          <w:sz w:val="24"/>
          <w:highlight w:val="none"/>
        </w:rPr>
      </w:pPr>
      <w:r>
        <w:rPr>
          <w:rFonts w:hint="eastAsia" w:ascii="仿宋" w:hAnsi="仿宋" w:eastAsia="仿宋"/>
          <w:b/>
          <w:color w:val="auto"/>
          <w:sz w:val="24"/>
          <w:highlight w:val="none"/>
        </w:rPr>
        <w:t>二十九、适用法律</w:t>
      </w:r>
    </w:p>
    <w:p w14:paraId="4318A330">
      <w:pPr>
        <w:snapToGrid w:val="0"/>
        <w:spacing w:line="400" w:lineRule="exact"/>
        <w:ind w:right="105" w:rightChars="50" w:firstLine="480" w:firstLineChars="200"/>
        <w:rPr>
          <w:rFonts w:ascii="仿宋" w:hAnsi="仿宋" w:eastAsia="仿宋"/>
          <w:color w:val="auto"/>
          <w:sz w:val="24"/>
          <w:highlight w:val="none"/>
        </w:rPr>
      </w:pPr>
      <w:r>
        <w:rPr>
          <w:rFonts w:hint="eastAsia" w:ascii="仿宋" w:hAnsi="仿宋" w:eastAsia="仿宋"/>
          <w:color w:val="auto"/>
          <w:sz w:val="24"/>
          <w:highlight w:val="none"/>
        </w:rPr>
        <w:t>本合同应按照中华人民共和国的现行法律进行解释。</w:t>
      </w:r>
    </w:p>
    <w:tbl>
      <w:tblPr>
        <w:tblStyle w:val="20"/>
        <w:tblW w:w="0" w:type="auto"/>
        <w:tblInd w:w="0" w:type="dxa"/>
        <w:tblLayout w:type="autofit"/>
        <w:tblCellMar>
          <w:top w:w="0" w:type="dxa"/>
          <w:left w:w="108" w:type="dxa"/>
          <w:bottom w:w="0" w:type="dxa"/>
          <w:right w:w="108" w:type="dxa"/>
        </w:tblCellMar>
      </w:tblPr>
      <w:tblGrid>
        <w:gridCol w:w="4261"/>
        <w:gridCol w:w="4261"/>
      </w:tblGrid>
      <w:tr w14:paraId="03C72904">
        <w:tblPrEx>
          <w:tblCellMar>
            <w:top w:w="0" w:type="dxa"/>
            <w:left w:w="108" w:type="dxa"/>
            <w:bottom w:w="0" w:type="dxa"/>
            <w:right w:w="108" w:type="dxa"/>
          </w:tblCellMar>
        </w:tblPrEx>
        <w:tc>
          <w:tcPr>
            <w:tcW w:w="4261" w:type="dxa"/>
          </w:tcPr>
          <w:p w14:paraId="6A04195C">
            <w:pPr>
              <w:spacing w:line="400" w:lineRule="exact"/>
              <w:rPr>
                <w:rFonts w:ascii="仿宋" w:hAnsi="仿宋" w:eastAsia="仿宋"/>
                <w:color w:val="auto"/>
                <w:sz w:val="24"/>
                <w:highlight w:val="none"/>
              </w:rPr>
            </w:pPr>
            <w:r>
              <w:rPr>
                <w:rFonts w:hint="eastAsia" w:ascii="仿宋" w:hAnsi="仿宋" w:eastAsia="仿宋"/>
                <w:color w:val="auto"/>
                <w:sz w:val="24"/>
                <w:highlight w:val="none"/>
              </w:rPr>
              <w:t>甲方（公章）：</w:t>
            </w:r>
          </w:p>
          <w:p w14:paraId="062A2602">
            <w:pPr>
              <w:spacing w:line="400" w:lineRule="exact"/>
              <w:rPr>
                <w:rFonts w:ascii="仿宋" w:hAnsi="仿宋" w:eastAsia="仿宋"/>
                <w:color w:val="auto"/>
                <w:sz w:val="24"/>
                <w:highlight w:val="none"/>
              </w:rPr>
            </w:pPr>
            <w:r>
              <w:rPr>
                <w:rFonts w:hint="eastAsia" w:ascii="仿宋" w:hAnsi="仿宋" w:eastAsia="仿宋"/>
                <w:color w:val="auto"/>
                <w:sz w:val="24"/>
                <w:highlight w:val="none"/>
              </w:rPr>
              <w:t>地址：</w:t>
            </w:r>
          </w:p>
          <w:p w14:paraId="140975A5">
            <w:pPr>
              <w:spacing w:line="400" w:lineRule="exact"/>
              <w:rPr>
                <w:rFonts w:ascii="仿宋" w:hAnsi="仿宋" w:eastAsia="仿宋"/>
                <w:color w:val="auto"/>
                <w:sz w:val="24"/>
                <w:highlight w:val="none"/>
              </w:rPr>
            </w:pPr>
            <w:r>
              <w:rPr>
                <w:rFonts w:hint="eastAsia" w:ascii="仿宋" w:hAnsi="仿宋" w:eastAsia="仿宋"/>
                <w:color w:val="auto"/>
                <w:sz w:val="24"/>
                <w:highlight w:val="none"/>
              </w:rPr>
              <w:t>法定代表人（授权人）：</w:t>
            </w:r>
          </w:p>
          <w:p w14:paraId="21F7B654">
            <w:pPr>
              <w:spacing w:line="400" w:lineRule="exact"/>
              <w:rPr>
                <w:rFonts w:ascii="仿宋" w:hAnsi="仿宋" w:eastAsia="仿宋"/>
                <w:color w:val="auto"/>
                <w:sz w:val="24"/>
                <w:highlight w:val="none"/>
              </w:rPr>
            </w:pPr>
          </w:p>
          <w:p w14:paraId="546D6D7A">
            <w:pPr>
              <w:spacing w:line="400" w:lineRule="exact"/>
              <w:rPr>
                <w:rFonts w:ascii="仿宋" w:hAnsi="仿宋" w:eastAsia="仿宋"/>
                <w:color w:val="auto"/>
                <w:sz w:val="24"/>
                <w:highlight w:val="none"/>
              </w:rPr>
            </w:pPr>
          </w:p>
          <w:p w14:paraId="1B34E9BB">
            <w:pPr>
              <w:spacing w:line="400" w:lineRule="exact"/>
              <w:jc w:val="right"/>
              <w:rPr>
                <w:rFonts w:ascii="仿宋" w:hAnsi="仿宋" w:eastAsia="仿宋"/>
                <w:color w:val="auto"/>
                <w:sz w:val="24"/>
                <w:highlight w:val="none"/>
              </w:rPr>
            </w:pPr>
            <w:r>
              <w:rPr>
                <w:rFonts w:hint="eastAsia" w:ascii="仿宋" w:hAnsi="仿宋" w:eastAsia="仿宋"/>
                <w:color w:val="auto"/>
                <w:sz w:val="24"/>
                <w:highlight w:val="none"/>
              </w:rPr>
              <w:t>年  月  日</w:t>
            </w:r>
          </w:p>
        </w:tc>
        <w:tc>
          <w:tcPr>
            <w:tcW w:w="4261" w:type="dxa"/>
          </w:tcPr>
          <w:p w14:paraId="7CE1B709">
            <w:pPr>
              <w:spacing w:line="400" w:lineRule="exact"/>
              <w:rPr>
                <w:rFonts w:ascii="仿宋" w:hAnsi="仿宋" w:eastAsia="仿宋"/>
                <w:color w:val="auto"/>
                <w:sz w:val="24"/>
                <w:highlight w:val="none"/>
              </w:rPr>
            </w:pPr>
            <w:r>
              <w:rPr>
                <w:rFonts w:hint="eastAsia" w:ascii="仿宋" w:hAnsi="仿宋" w:eastAsia="仿宋"/>
                <w:color w:val="auto"/>
                <w:sz w:val="24"/>
                <w:highlight w:val="none"/>
              </w:rPr>
              <w:t>乙方（公章）：</w:t>
            </w:r>
          </w:p>
          <w:p w14:paraId="3CD36094">
            <w:pPr>
              <w:spacing w:line="400" w:lineRule="exact"/>
              <w:rPr>
                <w:rFonts w:ascii="仿宋" w:hAnsi="仿宋" w:eastAsia="仿宋"/>
                <w:color w:val="auto"/>
                <w:sz w:val="24"/>
                <w:highlight w:val="none"/>
              </w:rPr>
            </w:pPr>
            <w:r>
              <w:rPr>
                <w:rFonts w:hint="eastAsia" w:ascii="仿宋" w:hAnsi="仿宋" w:eastAsia="仿宋"/>
                <w:color w:val="auto"/>
                <w:sz w:val="24"/>
                <w:highlight w:val="none"/>
              </w:rPr>
              <w:t>地址：</w:t>
            </w:r>
          </w:p>
          <w:p w14:paraId="489EED08">
            <w:pPr>
              <w:spacing w:line="400" w:lineRule="exact"/>
              <w:rPr>
                <w:rFonts w:ascii="仿宋" w:hAnsi="仿宋" w:eastAsia="仿宋"/>
                <w:color w:val="auto"/>
                <w:sz w:val="24"/>
                <w:highlight w:val="none"/>
              </w:rPr>
            </w:pPr>
            <w:r>
              <w:rPr>
                <w:rFonts w:hint="eastAsia" w:ascii="仿宋" w:hAnsi="仿宋" w:eastAsia="仿宋"/>
                <w:color w:val="auto"/>
                <w:sz w:val="24"/>
                <w:highlight w:val="none"/>
              </w:rPr>
              <w:t>法定代表人（授权人）：</w:t>
            </w:r>
          </w:p>
          <w:p w14:paraId="665698AA">
            <w:pPr>
              <w:spacing w:line="400" w:lineRule="exact"/>
              <w:rPr>
                <w:rFonts w:ascii="仿宋" w:hAnsi="仿宋" w:eastAsia="仿宋"/>
                <w:color w:val="auto"/>
                <w:sz w:val="24"/>
                <w:highlight w:val="none"/>
              </w:rPr>
            </w:pPr>
            <w:r>
              <w:rPr>
                <w:rFonts w:hint="eastAsia" w:ascii="仿宋" w:hAnsi="仿宋" w:eastAsia="仿宋"/>
                <w:color w:val="auto"/>
                <w:sz w:val="24"/>
                <w:highlight w:val="none"/>
              </w:rPr>
              <w:t>开户行：</w:t>
            </w:r>
          </w:p>
          <w:p w14:paraId="4A052309">
            <w:pPr>
              <w:spacing w:line="400" w:lineRule="exact"/>
              <w:rPr>
                <w:rFonts w:ascii="仿宋" w:hAnsi="仿宋" w:eastAsia="仿宋"/>
                <w:color w:val="auto"/>
                <w:sz w:val="24"/>
                <w:highlight w:val="none"/>
              </w:rPr>
            </w:pPr>
            <w:r>
              <w:rPr>
                <w:rFonts w:hint="eastAsia" w:ascii="仿宋" w:hAnsi="仿宋" w:eastAsia="仿宋"/>
                <w:color w:val="auto"/>
                <w:sz w:val="24"/>
                <w:highlight w:val="none"/>
              </w:rPr>
              <w:t>银行账号：</w:t>
            </w:r>
          </w:p>
          <w:p w14:paraId="496A379D">
            <w:pPr>
              <w:spacing w:line="400" w:lineRule="exact"/>
              <w:jc w:val="right"/>
              <w:rPr>
                <w:rFonts w:ascii="仿宋" w:hAnsi="仿宋" w:eastAsia="仿宋"/>
                <w:color w:val="auto"/>
                <w:sz w:val="24"/>
                <w:highlight w:val="none"/>
              </w:rPr>
            </w:pPr>
            <w:r>
              <w:rPr>
                <w:rFonts w:hint="eastAsia" w:ascii="仿宋" w:hAnsi="仿宋" w:eastAsia="仿宋"/>
                <w:color w:val="auto"/>
                <w:sz w:val="24"/>
                <w:highlight w:val="none"/>
              </w:rPr>
              <w:t xml:space="preserve">        年  月  日</w:t>
            </w:r>
          </w:p>
        </w:tc>
      </w:tr>
    </w:tbl>
    <w:p w14:paraId="3CD581AD">
      <w:pPr>
        <w:spacing w:line="400" w:lineRule="exact"/>
        <w:ind w:firstLine="480" w:firstLineChars="200"/>
        <w:outlineLvl w:val="9"/>
        <w:rPr>
          <w:rFonts w:ascii="仿宋" w:hAnsi="仿宋" w:eastAsia="仿宋"/>
          <w:color w:val="auto"/>
          <w:sz w:val="24"/>
          <w:highlight w:val="none"/>
        </w:rPr>
      </w:pPr>
    </w:p>
    <w:p w14:paraId="42794A30">
      <w:pPr>
        <w:spacing w:line="500" w:lineRule="exact"/>
        <w:ind w:firstLine="560" w:firstLineChars="200"/>
        <w:rPr>
          <w:rFonts w:ascii="仿宋" w:hAnsi="仿宋" w:eastAsia="仿宋"/>
          <w:color w:val="auto"/>
          <w:sz w:val="28"/>
          <w:szCs w:val="28"/>
          <w:highlight w:val="none"/>
        </w:rPr>
      </w:pPr>
    </w:p>
    <w:p w14:paraId="143E4A3E">
      <w:pPr>
        <w:pStyle w:val="39"/>
        <w:spacing w:line="240" w:lineRule="auto"/>
        <w:ind w:firstLine="0"/>
        <w:jc w:val="center"/>
        <w:outlineLvl w:val="0"/>
        <w:rPr>
          <w:rFonts w:ascii="方正小标宋简体" w:eastAsia="方正小标宋简体"/>
          <w:bCs/>
          <w:color w:val="auto"/>
          <w:sz w:val="32"/>
          <w:szCs w:val="32"/>
          <w:highlight w:val="none"/>
        </w:rPr>
      </w:pPr>
      <w:r>
        <w:rPr>
          <w:rFonts w:ascii="方正小标宋简体" w:eastAsia="方正小标宋简体"/>
          <w:bCs/>
          <w:color w:val="auto"/>
          <w:sz w:val="44"/>
          <w:szCs w:val="28"/>
          <w:highlight w:val="none"/>
        </w:rPr>
        <w:br w:type="page"/>
      </w:r>
      <w:bookmarkStart w:id="110" w:name="_Toc20715"/>
      <w:r>
        <w:rPr>
          <w:rFonts w:hint="eastAsia" w:ascii="方正小标宋简体" w:eastAsia="方正小标宋简体"/>
          <w:bCs/>
          <w:color w:val="auto"/>
          <w:sz w:val="32"/>
          <w:szCs w:val="32"/>
          <w:highlight w:val="none"/>
        </w:rPr>
        <w:t>第5章 竞争性谈判响应文件组成</w:t>
      </w:r>
      <w:bookmarkEnd w:id="110"/>
    </w:p>
    <w:p w14:paraId="0DB474DC">
      <w:pPr>
        <w:pStyle w:val="39"/>
        <w:spacing w:line="240" w:lineRule="auto"/>
        <w:ind w:firstLine="0"/>
        <w:jc w:val="center"/>
        <w:rPr>
          <w:rFonts w:ascii="方正小标宋简体" w:eastAsia="方正小标宋简体"/>
          <w:bCs/>
          <w:color w:val="auto"/>
          <w:sz w:val="32"/>
          <w:szCs w:val="32"/>
          <w:highlight w:val="none"/>
        </w:rPr>
      </w:pPr>
    </w:p>
    <w:p w14:paraId="7EE95548">
      <w:pPr>
        <w:spacing w:line="500" w:lineRule="exact"/>
        <w:ind w:firstLine="880" w:firstLineChars="200"/>
        <w:jc w:val="center"/>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如皋市政府采购竞争性谈判响应文件</w:t>
      </w:r>
    </w:p>
    <w:p w14:paraId="755F8330">
      <w:pPr>
        <w:ind w:firstLine="1434" w:firstLineChars="595"/>
        <w:rPr>
          <w:rFonts w:ascii="宋体" w:hAnsi="宋体"/>
          <w:b/>
          <w:color w:val="auto"/>
          <w:sz w:val="24"/>
          <w:highlight w:val="none"/>
        </w:rPr>
      </w:pPr>
    </w:p>
    <w:p w14:paraId="4E9FCCFD">
      <w:pPr>
        <w:ind w:firstLine="2072" w:firstLineChars="645"/>
        <w:rPr>
          <w:rFonts w:ascii="宋体" w:hAnsi="宋体"/>
          <w:b/>
          <w:color w:val="auto"/>
          <w:sz w:val="32"/>
          <w:szCs w:val="32"/>
          <w:highlight w:val="none"/>
        </w:rPr>
      </w:pPr>
    </w:p>
    <w:p w14:paraId="4E3172C6">
      <w:pPr>
        <w:jc w:val="center"/>
        <w:rPr>
          <w:rFonts w:hint="eastAsia" w:ascii="宋体" w:hAnsi="宋体"/>
          <w:b/>
          <w:color w:val="auto"/>
          <w:sz w:val="32"/>
          <w:szCs w:val="32"/>
          <w:highlight w:val="none"/>
        </w:rPr>
      </w:pPr>
      <w:r>
        <w:rPr>
          <w:rFonts w:hint="eastAsia" w:ascii="宋体" w:hAnsi="宋体"/>
          <w:b/>
          <w:color w:val="auto"/>
          <w:sz w:val="32"/>
          <w:szCs w:val="32"/>
          <w:highlight w:val="none"/>
        </w:rPr>
        <w:t>项目名称：</w:t>
      </w:r>
      <w:r>
        <w:rPr>
          <w:rFonts w:hint="eastAsia" w:ascii="宋体" w:hAnsi="宋体"/>
          <w:b/>
          <w:color w:val="auto"/>
          <w:sz w:val="32"/>
          <w:szCs w:val="32"/>
          <w:highlight w:val="none"/>
          <w:lang w:val="en-US" w:eastAsia="zh-CN"/>
        </w:rPr>
        <w:t>东陈镇尚书工业园区污水管网建设工程</w:t>
      </w:r>
    </w:p>
    <w:p w14:paraId="5994FEFE">
      <w:pPr>
        <w:jc w:val="center"/>
        <w:rPr>
          <w:rFonts w:hint="eastAsia" w:ascii="宋体" w:hAnsi="宋体" w:eastAsia="宋体"/>
          <w:b/>
          <w:color w:val="auto"/>
          <w:sz w:val="32"/>
          <w:szCs w:val="32"/>
          <w:highlight w:val="none"/>
          <w:u w:val="single"/>
          <w:lang w:val="en-US" w:eastAsia="zh-CN"/>
        </w:rPr>
      </w:pPr>
      <w:r>
        <w:rPr>
          <w:rFonts w:hint="eastAsia" w:ascii="宋体" w:hAnsi="宋体"/>
          <w:b/>
          <w:color w:val="auto"/>
          <w:sz w:val="32"/>
          <w:szCs w:val="32"/>
          <w:highlight w:val="none"/>
        </w:rPr>
        <w:t>计划编号：</w:t>
      </w:r>
      <w:r>
        <w:rPr>
          <w:rFonts w:hint="eastAsia" w:ascii="宋体" w:hAnsi="宋体"/>
          <w:b/>
          <w:color w:val="auto"/>
          <w:sz w:val="32"/>
          <w:szCs w:val="32"/>
          <w:highlight w:val="none"/>
          <w:lang w:val="en-US" w:eastAsia="zh-CN"/>
        </w:rPr>
        <w:t>JSZC-320682-NTZJ-T2026-0022</w:t>
      </w:r>
    </w:p>
    <w:p w14:paraId="6C5D4786">
      <w:pPr>
        <w:jc w:val="center"/>
        <w:rPr>
          <w:rFonts w:ascii="宋体" w:hAnsi="宋体"/>
          <w:b/>
          <w:color w:val="auto"/>
          <w:sz w:val="32"/>
          <w:szCs w:val="32"/>
          <w:highlight w:val="none"/>
          <w:u w:val="single"/>
        </w:rPr>
      </w:pPr>
    </w:p>
    <w:p w14:paraId="30C47C24">
      <w:pPr>
        <w:jc w:val="center"/>
        <w:rPr>
          <w:rFonts w:ascii="宋体" w:hAnsi="宋体"/>
          <w:b/>
          <w:color w:val="auto"/>
          <w:sz w:val="32"/>
          <w:szCs w:val="32"/>
          <w:highlight w:val="none"/>
          <w:u w:val="single"/>
        </w:rPr>
      </w:pPr>
    </w:p>
    <w:p w14:paraId="64DD504C">
      <w:pPr>
        <w:jc w:val="center"/>
        <w:rPr>
          <w:rFonts w:ascii="宋体" w:hAnsi="宋体"/>
          <w:b/>
          <w:color w:val="auto"/>
          <w:sz w:val="32"/>
          <w:szCs w:val="32"/>
          <w:highlight w:val="none"/>
          <w:u w:val="single"/>
        </w:rPr>
      </w:pPr>
    </w:p>
    <w:p w14:paraId="48037215">
      <w:pPr>
        <w:jc w:val="center"/>
        <w:rPr>
          <w:rFonts w:ascii="宋体" w:hAnsi="宋体"/>
          <w:b/>
          <w:color w:val="auto"/>
          <w:sz w:val="32"/>
          <w:szCs w:val="32"/>
          <w:highlight w:val="none"/>
          <w:u w:val="single"/>
        </w:rPr>
      </w:pPr>
    </w:p>
    <w:p w14:paraId="326C1F54">
      <w:pPr>
        <w:jc w:val="center"/>
        <w:rPr>
          <w:rFonts w:ascii="宋体" w:hAnsi="宋体"/>
          <w:b/>
          <w:color w:val="auto"/>
          <w:sz w:val="32"/>
          <w:szCs w:val="32"/>
          <w:highlight w:val="none"/>
          <w:u w:val="single"/>
        </w:rPr>
      </w:pPr>
    </w:p>
    <w:p w14:paraId="53B8508B">
      <w:pPr>
        <w:jc w:val="center"/>
        <w:rPr>
          <w:rFonts w:ascii="宋体" w:hAnsi="宋体"/>
          <w:b/>
          <w:color w:val="auto"/>
          <w:sz w:val="32"/>
          <w:szCs w:val="32"/>
          <w:highlight w:val="none"/>
          <w:u w:val="single"/>
        </w:rPr>
      </w:pPr>
    </w:p>
    <w:p w14:paraId="1C0C3C89">
      <w:pPr>
        <w:jc w:val="center"/>
        <w:rPr>
          <w:rFonts w:ascii="宋体" w:hAnsi="宋体"/>
          <w:b/>
          <w:color w:val="auto"/>
          <w:sz w:val="32"/>
          <w:szCs w:val="32"/>
          <w:highlight w:val="none"/>
          <w:u w:val="single"/>
        </w:rPr>
      </w:pPr>
    </w:p>
    <w:p w14:paraId="36A09430">
      <w:pPr>
        <w:jc w:val="center"/>
        <w:rPr>
          <w:rFonts w:ascii="宋体" w:hAnsi="宋体"/>
          <w:b/>
          <w:color w:val="auto"/>
          <w:sz w:val="32"/>
          <w:szCs w:val="32"/>
          <w:highlight w:val="none"/>
          <w:u w:val="single"/>
        </w:rPr>
      </w:pPr>
    </w:p>
    <w:p w14:paraId="747B7B84">
      <w:pPr>
        <w:jc w:val="center"/>
        <w:rPr>
          <w:rFonts w:ascii="宋体" w:hAnsi="宋体"/>
          <w:b/>
          <w:color w:val="auto"/>
          <w:sz w:val="32"/>
          <w:szCs w:val="32"/>
          <w:highlight w:val="none"/>
          <w:u w:val="single"/>
        </w:rPr>
      </w:pPr>
    </w:p>
    <w:p w14:paraId="6D6CF6CE">
      <w:pPr>
        <w:pStyle w:val="10"/>
        <w:rPr>
          <w:rFonts w:ascii="文鼎CS楷体" w:eastAsia="文鼎CS楷体"/>
          <w:b/>
          <w:bCs/>
          <w:color w:val="auto"/>
          <w:sz w:val="32"/>
          <w:szCs w:val="32"/>
          <w:highlight w:val="none"/>
        </w:rPr>
      </w:pPr>
    </w:p>
    <w:p w14:paraId="487C65D6">
      <w:pPr>
        <w:pStyle w:val="10"/>
        <w:rPr>
          <w:rFonts w:ascii="文鼎CS楷体" w:eastAsia="文鼎CS楷体"/>
          <w:b/>
          <w:bCs/>
          <w:color w:val="auto"/>
          <w:sz w:val="32"/>
          <w:szCs w:val="32"/>
          <w:highlight w:val="none"/>
        </w:rPr>
      </w:pPr>
    </w:p>
    <w:p w14:paraId="29769606">
      <w:pPr>
        <w:rPr>
          <w:color w:val="auto"/>
          <w:sz w:val="32"/>
          <w:szCs w:val="32"/>
          <w:highlight w:val="none"/>
          <w:u w:val="single"/>
        </w:rPr>
      </w:pPr>
      <w:r>
        <w:rPr>
          <w:rFonts w:hint="eastAsia"/>
          <w:b/>
          <w:color w:val="auto"/>
          <w:sz w:val="32"/>
          <w:szCs w:val="32"/>
          <w:highlight w:val="none"/>
        </w:rPr>
        <w:t>供应商名称：</w:t>
      </w:r>
    </w:p>
    <w:p w14:paraId="6B9385AA">
      <w:pPr>
        <w:snapToGrid w:val="0"/>
        <w:spacing w:line="500" w:lineRule="atLeast"/>
        <w:rPr>
          <w:rFonts w:ascii="宋体" w:hAnsi="宋体"/>
          <w:b/>
          <w:color w:val="auto"/>
          <w:sz w:val="32"/>
          <w:szCs w:val="32"/>
          <w:highlight w:val="none"/>
        </w:rPr>
      </w:pPr>
      <w:r>
        <w:rPr>
          <w:rFonts w:hint="eastAsia" w:ascii="宋体" w:hAnsi="宋体"/>
          <w:b/>
          <w:color w:val="auto"/>
          <w:sz w:val="32"/>
          <w:szCs w:val="32"/>
          <w:highlight w:val="none"/>
        </w:rPr>
        <w:t xml:space="preserve">地址： </w:t>
      </w:r>
    </w:p>
    <w:p w14:paraId="4DFAD5E5">
      <w:pPr>
        <w:snapToGrid w:val="0"/>
        <w:spacing w:line="500" w:lineRule="atLeast"/>
        <w:rPr>
          <w:rFonts w:ascii="宋体" w:hAnsi="宋体"/>
          <w:b/>
          <w:color w:val="auto"/>
          <w:sz w:val="32"/>
          <w:szCs w:val="32"/>
          <w:highlight w:val="none"/>
        </w:rPr>
      </w:pPr>
      <w:r>
        <w:rPr>
          <w:rFonts w:hint="eastAsia"/>
          <w:b/>
          <w:color w:val="auto"/>
          <w:sz w:val="32"/>
          <w:szCs w:val="32"/>
          <w:highlight w:val="none"/>
        </w:rPr>
        <w:t>联系</w:t>
      </w:r>
      <w:r>
        <w:rPr>
          <w:rFonts w:hint="eastAsia" w:ascii="宋体" w:hAnsi="宋体"/>
          <w:b/>
          <w:color w:val="auto"/>
          <w:sz w:val="32"/>
          <w:szCs w:val="32"/>
          <w:highlight w:val="none"/>
        </w:rPr>
        <w:t xml:space="preserve">电话： </w:t>
      </w:r>
    </w:p>
    <w:p w14:paraId="33135B4D">
      <w:pPr>
        <w:snapToGrid w:val="0"/>
        <w:spacing w:line="500" w:lineRule="atLeast"/>
        <w:jc w:val="center"/>
        <w:rPr>
          <w:rFonts w:ascii="宋体" w:hAnsi="宋体"/>
          <w:b/>
          <w:color w:val="auto"/>
          <w:sz w:val="32"/>
          <w:szCs w:val="32"/>
          <w:highlight w:val="none"/>
        </w:rPr>
      </w:pPr>
      <w:r>
        <w:rPr>
          <w:rFonts w:hint="eastAsia" w:ascii="宋体" w:hAnsi="宋体"/>
          <w:b/>
          <w:color w:val="auto"/>
          <w:sz w:val="32"/>
          <w:szCs w:val="32"/>
          <w:highlight w:val="none"/>
        </w:rPr>
        <w:t>年月日</w:t>
      </w:r>
    </w:p>
    <w:p w14:paraId="6785CB74">
      <w:pPr>
        <w:ind w:firstLine="954" w:firstLineChars="396"/>
        <w:rPr>
          <w:rFonts w:ascii="宋体" w:hAnsi="宋体"/>
          <w:b/>
          <w:color w:val="auto"/>
          <w:sz w:val="24"/>
          <w:highlight w:val="none"/>
        </w:rPr>
      </w:pPr>
    </w:p>
    <w:p w14:paraId="793D8294">
      <w:pPr>
        <w:spacing w:line="500" w:lineRule="exact"/>
        <w:ind w:firstLine="560" w:firstLineChars="200"/>
        <w:outlineLvl w:val="1"/>
        <w:rPr>
          <w:rFonts w:ascii="仿宋" w:hAnsi="仿宋" w:eastAsia="仿宋"/>
          <w:color w:val="auto"/>
          <w:sz w:val="28"/>
          <w:szCs w:val="28"/>
          <w:highlight w:val="none"/>
        </w:rPr>
      </w:pPr>
      <w:bookmarkStart w:id="111" w:name="_Toc8074"/>
      <w:r>
        <w:rPr>
          <w:rFonts w:hint="eastAsia" w:ascii="黑体" w:hAnsi="黑体" w:eastAsia="黑体"/>
          <w:color w:val="auto"/>
          <w:sz w:val="28"/>
          <w:szCs w:val="28"/>
          <w:highlight w:val="none"/>
        </w:rPr>
        <w:t>一、资格证明文件</w:t>
      </w:r>
      <w:bookmarkEnd w:id="111"/>
    </w:p>
    <w:p w14:paraId="182D5296">
      <w:pPr>
        <w:ind w:firstLine="560" w:firstLineChars="200"/>
        <w:rPr>
          <w:rFonts w:ascii="仿宋" w:hAnsi="仿宋" w:eastAsia="仿宋" w:cs="Arial"/>
          <w:color w:val="auto"/>
          <w:sz w:val="28"/>
          <w:szCs w:val="28"/>
          <w:highlight w:val="none"/>
        </w:rPr>
      </w:pPr>
      <w:r>
        <w:rPr>
          <w:rFonts w:hint="eastAsia" w:ascii="仿宋" w:hAnsi="仿宋" w:eastAsia="仿宋"/>
          <w:color w:val="auto"/>
          <w:sz w:val="28"/>
          <w:szCs w:val="28"/>
          <w:highlight w:val="none"/>
        </w:rPr>
        <w:t>（一）</w:t>
      </w:r>
      <w:r>
        <w:rPr>
          <w:rFonts w:hint="eastAsia" w:ascii="仿宋" w:hAnsi="仿宋" w:eastAsia="仿宋" w:cs="Arial"/>
          <w:color w:val="auto"/>
          <w:sz w:val="28"/>
          <w:szCs w:val="28"/>
          <w:highlight w:val="none"/>
        </w:rPr>
        <w:t>法人或者其他组织的营业执照，自然人的身份证（复印件）。</w:t>
      </w:r>
    </w:p>
    <w:p w14:paraId="33E77772">
      <w:pPr>
        <w:spacing w:before="50" w:afterLines="50"/>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（二）参加本次政府采购活动前的会计报表</w:t>
      </w:r>
      <w:r>
        <w:rPr>
          <w:rFonts w:hint="eastAsia" w:ascii="仿宋" w:hAnsi="仿宋" w:eastAsia="仿宋" w:cs="Arial"/>
          <w:color w:val="auto"/>
          <w:sz w:val="28"/>
          <w:szCs w:val="28"/>
          <w:highlight w:val="none"/>
        </w:rPr>
        <w:t>（复印件，成立不满一年不需提供）。</w:t>
      </w:r>
    </w:p>
    <w:p w14:paraId="08757A05">
      <w:pPr>
        <w:ind w:firstLine="560" w:firstLineChars="200"/>
        <w:rPr>
          <w:rFonts w:ascii="仿宋" w:hAnsi="仿宋" w:eastAsia="仿宋" w:cs="Arial"/>
          <w:color w:val="auto"/>
          <w:sz w:val="28"/>
          <w:szCs w:val="28"/>
          <w:highlight w:val="none"/>
        </w:rPr>
      </w:pPr>
      <w:r>
        <w:rPr>
          <w:rFonts w:hint="eastAsia" w:ascii="仿宋" w:hAnsi="仿宋" w:eastAsia="仿宋"/>
          <w:color w:val="auto"/>
          <w:sz w:val="28"/>
          <w:szCs w:val="28"/>
          <w:highlight w:val="none"/>
        </w:rPr>
        <w:t>（三）参加本次政府采购活动前一年内至少一个月缴纳增值税、营业税或者企业所得税的凭据，以及缴纳社会保险的凭据（专用收据或者社会保险缴纳清单）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（复印件）。</w:t>
      </w:r>
    </w:p>
    <w:p w14:paraId="36E85034">
      <w:pPr>
        <w:spacing w:before="50" w:afterLines="50"/>
        <w:ind w:firstLine="560" w:firstLineChars="200"/>
        <w:jc w:val="left"/>
        <w:rPr>
          <w:rFonts w:ascii="仿宋" w:hAnsi="仿宋" w:eastAsia="仿宋" w:cs="Arial"/>
          <w:color w:val="auto"/>
          <w:sz w:val="28"/>
          <w:szCs w:val="28"/>
          <w:highlight w:val="none"/>
        </w:rPr>
      </w:pPr>
      <w:r>
        <w:rPr>
          <w:rFonts w:ascii="仿宋" w:hAnsi="仿宋" w:eastAsia="仿宋"/>
          <w:color w:val="auto"/>
          <w:sz w:val="28"/>
          <w:szCs w:val="28"/>
          <w:highlight w:val="none"/>
        </w:rPr>
        <w:br w:type="page"/>
      </w:r>
      <w:r>
        <w:rPr>
          <w:rFonts w:hint="eastAsia" w:ascii="仿宋" w:hAnsi="仿宋" w:eastAsia="仿宋"/>
          <w:color w:val="auto"/>
          <w:sz w:val="28"/>
          <w:szCs w:val="28"/>
          <w:highlight w:val="none"/>
        </w:rPr>
        <w:t>（四）根据项目需求提供履行合同</w:t>
      </w:r>
      <w:r>
        <w:rPr>
          <w:rFonts w:hint="eastAsia" w:ascii="仿宋" w:hAnsi="仿宋" w:eastAsia="仿宋" w:cs="Arial"/>
          <w:color w:val="auto"/>
          <w:sz w:val="28"/>
          <w:szCs w:val="28"/>
          <w:highlight w:val="none"/>
        </w:rPr>
        <w:t>必需的设备和专业技术能力的声明及证明材料。</w:t>
      </w:r>
    </w:p>
    <w:p w14:paraId="20C329EA">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声  明</w:t>
      </w:r>
    </w:p>
    <w:p w14:paraId="330CBC7B">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我公司郑重声明：我公司具备履行本项采购合同所必需的设备和专业技术能力，为履行本项采购合同我公司具备如下主要设备和主要专业技术能力：</w:t>
      </w:r>
    </w:p>
    <w:p w14:paraId="474B5DE0">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主要设备有：________。</w:t>
      </w:r>
    </w:p>
    <w:p w14:paraId="3D4EBB2F">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主要专业技术能力有：________。</w:t>
      </w:r>
    </w:p>
    <w:p w14:paraId="1D80C5D1">
      <w:pPr>
        <w:ind w:firstLine="560" w:firstLineChars="200"/>
        <w:rPr>
          <w:rFonts w:ascii="仿宋" w:hAnsi="仿宋" w:eastAsia="仿宋"/>
          <w:color w:val="auto"/>
          <w:sz w:val="28"/>
          <w:szCs w:val="28"/>
          <w:highlight w:val="none"/>
        </w:rPr>
      </w:pPr>
    </w:p>
    <w:p w14:paraId="057A78AA">
      <w:pPr>
        <w:ind w:firstLine="2520" w:firstLineChars="900"/>
        <w:rPr>
          <w:rFonts w:ascii="仿宋" w:hAnsi="仿宋" w:eastAsia="仿宋"/>
          <w:color w:val="auto"/>
          <w:sz w:val="28"/>
          <w:szCs w:val="28"/>
          <w:highlight w:val="none"/>
        </w:rPr>
      </w:pPr>
      <w:r>
        <w:rPr>
          <w:rFonts w:hint="eastAsia" w:ascii="仿宋" w:hAnsi="仿宋" w:eastAsia="仿宋"/>
          <w:color w:val="auto"/>
          <w:sz w:val="28"/>
          <w:szCs w:val="28"/>
          <w:highlight w:val="none"/>
        </w:rPr>
        <w:t>供应商名称（公章）：</w:t>
      </w:r>
    </w:p>
    <w:p w14:paraId="322ED290">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p>
    <w:p w14:paraId="47450D23">
      <w:pPr>
        <w:spacing w:before="50" w:afterLines="50"/>
        <w:ind w:firstLine="560" w:firstLineChars="200"/>
        <w:jc w:val="lef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p>
    <w:p w14:paraId="4575190E">
      <w:pPr>
        <w:ind w:firstLine="560" w:firstLineChars="200"/>
        <w:rPr>
          <w:rFonts w:ascii="仿宋" w:hAnsi="仿宋" w:eastAsia="仿宋" w:cs="Arial"/>
          <w:color w:val="auto"/>
          <w:sz w:val="28"/>
          <w:szCs w:val="28"/>
          <w:highlight w:val="none"/>
        </w:rPr>
      </w:pPr>
      <w:r>
        <w:rPr>
          <w:rFonts w:ascii="仿宋" w:hAnsi="仿宋" w:eastAsia="仿宋"/>
          <w:color w:val="auto"/>
          <w:sz w:val="28"/>
          <w:szCs w:val="28"/>
          <w:highlight w:val="none"/>
        </w:rPr>
        <w:br w:type="page"/>
      </w:r>
      <w:r>
        <w:rPr>
          <w:rFonts w:hint="eastAsia" w:ascii="仿宋" w:hAnsi="仿宋" w:eastAsia="仿宋"/>
          <w:color w:val="auto"/>
          <w:sz w:val="28"/>
          <w:szCs w:val="28"/>
          <w:highlight w:val="none"/>
        </w:rPr>
        <w:t>（五）</w:t>
      </w:r>
      <w:r>
        <w:rPr>
          <w:rFonts w:hint="eastAsia" w:ascii="仿宋" w:hAnsi="仿宋" w:eastAsia="仿宋" w:cs="Arial"/>
          <w:color w:val="auto"/>
          <w:sz w:val="28"/>
          <w:szCs w:val="28"/>
          <w:highlight w:val="none"/>
        </w:rPr>
        <w:t>参加本次政府采购活动前 3 年内在经营活动中没有重大违法记录的书面声明。</w:t>
      </w:r>
    </w:p>
    <w:p w14:paraId="7C507A5D">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声  明</w:t>
      </w:r>
    </w:p>
    <w:p w14:paraId="636FC27B">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我公司郑重声明：参加本次政府采购活动前 3 年内，我公司在经营活动中没有因违法经营受到刑事处罚或者责令停产停业、吊销许可证或者执照、较大数额罚款等行政处罚。</w:t>
      </w:r>
    </w:p>
    <w:p w14:paraId="05090827">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在响应文件提交截止时间前，没有被“信用中国”（</w:t>
      </w:r>
      <w:r>
        <w:rPr>
          <w:rFonts w:ascii="仿宋" w:hAnsi="仿宋" w:eastAsia="仿宋"/>
          <w:color w:val="auto"/>
          <w:sz w:val="28"/>
          <w:szCs w:val="28"/>
          <w:highlight w:val="none"/>
        </w:rPr>
        <w:t>www.creditchina.gov.cn</w:t>
      </w:r>
      <w:r>
        <w:rPr>
          <w:rFonts w:hint="eastAsia" w:ascii="仿宋" w:hAnsi="仿宋" w:eastAsia="仿宋"/>
          <w:color w:val="auto"/>
          <w:sz w:val="28"/>
          <w:szCs w:val="28"/>
          <w:highlight w:val="none"/>
        </w:rPr>
        <w:t>）、“中国政府采购网”（</w:t>
      </w:r>
      <w:r>
        <w:rPr>
          <w:rFonts w:ascii="仿宋" w:hAnsi="仿宋" w:eastAsia="仿宋"/>
          <w:color w:val="auto"/>
          <w:sz w:val="28"/>
          <w:szCs w:val="28"/>
          <w:highlight w:val="none"/>
        </w:rPr>
        <w:t>www.ccgp.gov.cn</w:t>
      </w:r>
      <w:r>
        <w:rPr>
          <w:rFonts w:hint="eastAsia" w:ascii="仿宋" w:hAnsi="仿宋" w:eastAsia="仿宋"/>
          <w:color w:val="auto"/>
          <w:sz w:val="28"/>
          <w:szCs w:val="28"/>
          <w:highlight w:val="none"/>
        </w:rPr>
        <w:t>）网站列入失信被执行人、重大税收违法案件当事人名单、政府采购严重违法失信行为记录名单。</w:t>
      </w:r>
    </w:p>
    <w:p w14:paraId="4505BC53">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p>
    <w:p w14:paraId="792E4960">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p>
    <w:p w14:paraId="02D662B3">
      <w:pPr>
        <w:ind w:firstLine="560" w:firstLineChars="20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p>
    <w:p w14:paraId="5FE5316F">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r>
    </w:p>
    <w:p w14:paraId="3AD19D12">
      <w:pPr>
        <w:spacing w:before="5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（六）项目实施所必须的许可资质证明材料</w:t>
      </w:r>
    </w:p>
    <w:p w14:paraId="0CF73AC1">
      <w:pPr>
        <w:spacing w:line="500" w:lineRule="exact"/>
        <w:ind w:firstLine="56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（1）响应</w:t>
      </w:r>
      <w:r>
        <w:rPr>
          <w:rFonts w:ascii="仿宋" w:hAnsi="仿宋" w:eastAsia="仿宋"/>
          <w:b/>
          <w:bCs/>
          <w:color w:val="auto"/>
          <w:sz w:val="28"/>
          <w:szCs w:val="28"/>
          <w:highlight w:val="none"/>
        </w:rPr>
        <w:t>供应商</w:t>
      </w:r>
      <w:r>
        <w:rPr>
          <w:rFonts w:hint="eastAsia" w:ascii="仿宋" w:hAnsi="仿宋" w:eastAsia="仿宋"/>
          <w:b/>
          <w:bCs/>
          <w:color w:val="auto"/>
          <w:sz w:val="28"/>
          <w:szCs w:val="28"/>
          <w:highlight w:val="none"/>
        </w:rPr>
        <w:t>须具</w:t>
      </w:r>
      <w:r>
        <w:rPr>
          <w:rFonts w:hint="eastAsia" w:ascii="仿宋" w:hAnsi="仿宋" w:eastAsia="仿宋"/>
          <w:b/>
          <w:bCs/>
          <w:color w:val="auto"/>
          <w:sz w:val="28"/>
          <w:szCs w:val="28"/>
          <w:highlight w:val="none"/>
          <w:lang w:val="en-US" w:eastAsia="zh-CN"/>
        </w:rPr>
        <w:t>有市政公用</w:t>
      </w:r>
      <w:r>
        <w:rPr>
          <w:rFonts w:hint="eastAsia" w:ascii="仿宋" w:hAnsi="仿宋" w:eastAsia="仿宋"/>
          <w:b/>
          <w:bCs/>
          <w:color w:val="auto"/>
          <w:sz w:val="28"/>
          <w:szCs w:val="28"/>
          <w:highlight w:val="none"/>
        </w:rPr>
        <w:t>工程施工总承包叁级及以上资质，并具备有效的安全生产许可证。</w:t>
      </w:r>
      <w:r>
        <w:rPr>
          <w:rFonts w:hint="eastAsia" w:ascii="仿宋" w:hAnsi="仿宋" w:eastAsia="仿宋"/>
          <w:b/>
          <w:bCs/>
          <w:iCs/>
          <w:color w:val="auto"/>
          <w:sz w:val="28"/>
          <w:szCs w:val="28"/>
          <w:highlight w:val="none"/>
        </w:rPr>
        <w:t>须提供相关资质</w:t>
      </w:r>
      <w:r>
        <w:rPr>
          <w:rFonts w:hint="eastAsia" w:ascii="仿宋" w:hAnsi="仿宋" w:eastAsia="仿宋"/>
          <w:b/>
          <w:bCs/>
          <w:iCs/>
          <w:color w:val="auto"/>
          <w:sz w:val="28"/>
          <w:szCs w:val="28"/>
          <w:highlight w:val="none"/>
          <w:lang w:val="en-US" w:eastAsia="zh-CN"/>
        </w:rPr>
        <w:t>证书扫描件</w:t>
      </w:r>
      <w:r>
        <w:rPr>
          <w:rFonts w:hint="eastAsia" w:ascii="仿宋" w:hAnsi="仿宋" w:eastAsia="仿宋"/>
          <w:b/>
          <w:bCs/>
          <w:iCs/>
          <w:color w:val="auto"/>
          <w:sz w:val="28"/>
          <w:szCs w:val="28"/>
          <w:highlight w:val="none"/>
        </w:rPr>
        <w:t>加盖</w:t>
      </w:r>
      <w:r>
        <w:rPr>
          <w:rFonts w:hint="eastAsia" w:ascii="仿宋" w:hAnsi="仿宋" w:eastAsia="仿宋"/>
          <w:b/>
          <w:bCs/>
          <w:iCs/>
          <w:color w:val="auto"/>
          <w:sz w:val="28"/>
          <w:szCs w:val="28"/>
          <w:highlight w:val="none"/>
          <w:lang w:val="en-US" w:eastAsia="zh-CN"/>
        </w:rPr>
        <w:t>响应供应商</w:t>
      </w:r>
      <w:r>
        <w:rPr>
          <w:rFonts w:hint="eastAsia" w:ascii="仿宋" w:hAnsi="仿宋" w:eastAsia="仿宋"/>
          <w:b/>
          <w:bCs/>
          <w:iCs/>
          <w:color w:val="auto"/>
          <w:sz w:val="28"/>
          <w:szCs w:val="28"/>
          <w:highlight w:val="none"/>
        </w:rPr>
        <w:t>公章。</w:t>
      </w:r>
    </w:p>
    <w:p w14:paraId="5CF08189">
      <w:pPr>
        <w:pStyle w:val="19"/>
        <w:shd w:val="clear" w:color="auto" w:fill="FFFFFF"/>
        <w:spacing w:before="0" w:beforeAutospacing="0" w:after="0" w:afterAutospacing="0" w:line="500" w:lineRule="exact"/>
        <w:ind w:firstLine="567"/>
        <w:textAlignment w:val="baseline"/>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（2）响应</w:t>
      </w:r>
      <w:r>
        <w:rPr>
          <w:rFonts w:ascii="仿宋" w:hAnsi="仿宋" w:eastAsia="仿宋"/>
          <w:b/>
          <w:bCs/>
          <w:color w:val="auto"/>
          <w:sz w:val="28"/>
          <w:szCs w:val="28"/>
          <w:highlight w:val="none"/>
        </w:rPr>
        <w:t>供应商</w:t>
      </w:r>
      <w:r>
        <w:rPr>
          <w:rFonts w:hint="eastAsia" w:ascii="仿宋" w:hAnsi="仿宋" w:eastAsia="仿宋"/>
          <w:b/>
          <w:bCs/>
          <w:color w:val="auto"/>
          <w:sz w:val="28"/>
          <w:szCs w:val="28"/>
          <w:highlight w:val="none"/>
        </w:rPr>
        <w:t>拟派项目负责人须具备</w:t>
      </w:r>
      <w:r>
        <w:rPr>
          <w:rFonts w:hint="eastAsia" w:ascii="仿宋" w:hAnsi="仿宋" w:eastAsia="仿宋"/>
          <w:b/>
          <w:bCs/>
          <w:color w:val="auto"/>
          <w:sz w:val="28"/>
          <w:szCs w:val="28"/>
          <w:highlight w:val="none"/>
          <w:lang w:val="en-US" w:eastAsia="zh-CN"/>
        </w:rPr>
        <w:t>市政公用</w:t>
      </w:r>
      <w:r>
        <w:rPr>
          <w:rFonts w:hint="eastAsia" w:ascii="仿宋" w:hAnsi="仿宋" w:eastAsia="仿宋"/>
          <w:b/>
          <w:bCs/>
          <w:color w:val="auto"/>
          <w:sz w:val="28"/>
          <w:szCs w:val="28"/>
          <w:highlight w:val="none"/>
        </w:rPr>
        <w:t>工程专业注册建造师贰级及以上执业资格，并具备有效的安全生产考核合格证书。</w:t>
      </w:r>
      <w:r>
        <w:rPr>
          <w:rFonts w:hint="eastAsia" w:ascii="仿宋" w:hAnsi="仿宋" w:eastAsia="仿宋"/>
          <w:b/>
          <w:bCs/>
          <w:iCs/>
          <w:color w:val="auto"/>
          <w:sz w:val="28"/>
          <w:szCs w:val="28"/>
          <w:highlight w:val="none"/>
        </w:rPr>
        <w:t>须提供相关</w:t>
      </w:r>
      <w:r>
        <w:rPr>
          <w:rFonts w:hint="eastAsia" w:ascii="仿宋" w:hAnsi="仿宋" w:eastAsia="仿宋"/>
          <w:b/>
          <w:bCs/>
          <w:iCs/>
          <w:color w:val="auto"/>
          <w:sz w:val="28"/>
          <w:szCs w:val="28"/>
          <w:highlight w:val="none"/>
          <w:lang w:val="en-US" w:eastAsia="zh-CN"/>
        </w:rPr>
        <w:t>资格证书扫描件并</w:t>
      </w:r>
      <w:r>
        <w:rPr>
          <w:rFonts w:hint="eastAsia" w:ascii="仿宋" w:hAnsi="仿宋" w:eastAsia="仿宋"/>
          <w:b/>
          <w:bCs/>
          <w:iCs/>
          <w:color w:val="auto"/>
          <w:sz w:val="28"/>
          <w:szCs w:val="28"/>
          <w:highlight w:val="none"/>
        </w:rPr>
        <w:t>加盖</w:t>
      </w:r>
      <w:r>
        <w:rPr>
          <w:rFonts w:hint="eastAsia" w:ascii="仿宋" w:hAnsi="仿宋" w:eastAsia="仿宋"/>
          <w:b/>
          <w:bCs/>
          <w:iCs/>
          <w:color w:val="auto"/>
          <w:sz w:val="28"/>
          <w:szCs w:val="28"/>
          <w:highlight w:val="none"/>
          <w:lang w:val="en-US" w:eastAsia="zh-CN"/>
        </w:rPr>
        <w:t>响应供应商</w:t>
      </w:r>
      <w:r>
        <w:rPr>
          <w:rFonts w:hint="eastAsia" w:ascii="仿宋" w:hAnsi="仿宋" w:eastAsia="仿宋"/>
          <w:b/>
          <w:bCs/>
          <w:iCs/>
          <w:color w:val="auto"/>
          <w:sz w:val="28"/>
          <w:szCs w:val="28"/>
          <w:highlight w:val="none"/>
        </w:rPr>
        <w:t>公章</w:t>
      </w:r>
      <w:r>
        <w:rPr>
          <w:rFonts w:hint="eastAsia" w:ascii="仿宋" w:hAnsi="仿宋" w:eastAsia="仿宋"/>
          <w:b/>
          <w:bCs/>
          <w:iCs/>
          <w:color w:val="auto"/>
          <w:sz w:val="28"/>
          <w:szCs w:val="28"/>
          <w:highlight w:val="none"/>
          <w:lang w:eastAsia="zh-CN"/>
        </w:rPr>
        <w:t>、</w:t>
      </w:r>
      <w:r>
        <w:rPr>
          <w:rFonts w:hint="eastAsia" w:ascii="仿宋" w:hAnsi="仿宋" w:eastAsia="仿宋"/>
          <w:b/>
          <w:bCs/>
          <w:iCs/>
          <w:color w:val="auto"/>
          <w:sz w:val="28"/>
          <w:szCs w:val="28"/>
          <w:highlight w:val="none"/>
          <w:lang w:val="en-US" w:eastAsia="zh-CN"/>
        </w:rPr>
        <w:t>及</w:t>
      </w:r>
      <w:r>
        <w:rPr>
          <w:rFonts w:hint="eastAsia" w:ascii="仿宋" w:hAnsi="仿宋" w:eastAsia="仿宋"/>
          <w:b/>
          <w:bCs/>
          <w:iCs/>
          <w:color w:val="auto"/>
          <w:sz w:val="28"/>
          <w:szCs w:val="28"/>
          <w:highlight w:val="none"/>
        </w:rPr>
        <w:t>响应文件提交截止日前最近1个月响应供应商为其缴纳社保的证明；新成立企业距响应文件提交截止日期不足30日的，可不提供缴纳社保的证明（以新办企业营业执照发放日期为准）。</w:t>
      </w:r>
    </w:p>
    <w:p w14:paraId="4E61A886">
      <w:pPr>
        <w:keepNext w:val="0"/>
        <w:keepLines w:val="0"/>
        <w:pageBreakBefore w:val="0"/>
        <w:kinsoku/>
        <w:wordWrap/>
        <w:overflowPunct/>
        <w:topLinePunct w:val="0"/>
        <w:autoSpaceDE/>
        <w:autoSpaceDN/>
        <w:bidi w:val="0"/>
        <w:adjustRightInd w:val="0"/>
        <w:snapToGrid w:val="0"/>
        <w:spacing w:line="500" w:lineRule="exact"/>
        <w:ind w:firstLine="562" w:firstLineChars="200"/>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注：根据《住房和城乡建设部办公厅关于全面实行一级建造师电子注册证书的通知》(建办市〔2021〕40号)的规定，自2022年1月1日起，一级建造师统一使用电子证书，纸质注册证书作废。若供应商拟派项目负责人为一级建造师，则须提供符合建办市(2021)40号文件要求的电子注册证书，否则资格审查不予通过。</w:t>
      </w:r>
    </w:p>
    <w:p w14:paraId="633302B6">
      <w:pPr>
        <w:spacing w:line="500" w:lineRule="exact"/>
        <w:ind w:firstLine="562" w:firstLineChars="200"/>
        <w:rPr>
          <w:rFonts w:ascii="仿宋" w:hAnsi="仿宋" w:eastAsia="仿宋"/>
          <w:iCs/>
          <w:color w:val="auto"/>
          <w:sz w:val="28"/>
          <w:szCs w:val="28"/>
          <w:highlight w:val="none"/>
        </w:rPr>
      </w:pPr>
      <w:r>
        <w:rPr>
          <w:rFonts w:hint="eastAsia" w:ascii="仿宋" w:hAnsi="仿宋" w:eastAsia="仿宋"/>
          <w:b/>
          <w:bCs/>
          <w:color w:val="auto"/>
          <w:sz w:val="28"/>
          <w:szCs w:val="28"/>
          <w:highlight w:val="none"/>
        </w:rPr>
        <w:t>根据江苏省住房和城乡建设厅发布的《省住房和城乡建设厅关于我省二级建造师、二级造价工程师、二级注册建筑师、二级注册结构工程师注册证书电子证照换发的公告》〔2023〕第26号的规定，二级建造师统一使用新版电子证照，否则资格审查不予通过。</w:t>
      </w:r>
    </w:p>
    <w:p w14:paraId="72DE9AF1">
      <w:pPr>
        <w:rPr>
          <w:rFonts w:hint="eastAsia" w:ascii="仿宋" w:hAnsi="仿宋" w:eastAsia="仿宋"/>
          <w:color w:val="auto"/>
          <w:sz w:val="28"/>
          <w:szCs w:val="28"/>
          <w:highlight w:val="none"/>
        </w:rPr>
      </w:pPr>
    </w:p>
    <w:p w14:paraId="7ABD651A">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r>
    </w:p>
    <w:p w14:paraId="767BB840">
      <w:pPr>
        <w:spacing w:before="5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（七）法定代表人身份证明及身份证复印件</w:t>
      </w:r>
    </w:p>
    <w:p w14:paraId="52A8F936">
      <w:pPr>
        <w:spacing w:before="50" w:beforeLines="0" w:afterLines="50"/>
        <w:ind w:firstLine="562" w:firstLineChars="200"/>
        <w:jc w:val="center"/>
        <w:rPr>
          <w:rFonts w:hint="eastAsia" w:ascii="仿宋" w:hAnsi="仿宋" w:eastAsia="仿宋"/>
          <w:color w:val="auto"/>
          <w:sz w:val="28"/>
          <w:szCs w:val="28"/>
          <w:highlight w:val="none"/>
        </w:rPr>
      </w:pPr>
      <w:r>
        <w:rPr>
          <w:rFonts w:hint="eastAsia" w:ascii="仿宋" w:hAnsi="仿宋" w:eastAsia="仿宋" w:cs="仿宋"/>
          <w:b/>
          <w:color w:val="auto"/>
          <w:sz w:val="28"/>
          <w:szCs w:val="28"/>
          <w:highlight w:val="none"/>
          <w:lang w:bidi="ar"/>
        </w:rPr>
        <w:t>法定代表人身份证明</w:t>
      </w:r>
    </w:p>
    <w:p w14:paraId="051F8E4D">
      <w:pPr>
        <w:spacing w:before="50" w:beforeLines="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供应商名称：</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p>
    <w:p w14:paraId="73DCD1E9">
      <w:pPr>
        <w:spacing w:before="50" w:beforeLines="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单位性质：</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p>
    <w:p w14:paraId="77801CB4">
      <w:pPr>
        <w:spacing w:before="50" w:beforeLines="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地址：</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p>
    <w:p w14:paraId="6CF5BB0A">
      <w:pPr>
        <w:spacing w:before="50" w:beforeLines="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成立时间：</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年</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月</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日</w:t>
      </w:r>
      <w:r>
        <w:rPr>
          <w:rFonts w:hint="eastAsia" w:ascii="仿宋" w:hAnsi="仿宋" w:eastAsia="仿宋"/>
          <w:color w:val="auto"/>
          <w:sz w:val="28"/>
          <w:szCs w:val="28"/>
          <w:highlight w:val="none"/>
          <w:lang w:bidi="ar"/>
        </w:rPr>
        <w:t xml:space="preserve"> </w:t>
      </w:r>
    </w:p>
    <w:p w14:paraId="3A26382D">
      <w:pPr>
        <w:spacing w:before="50" w:beforeLines="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经营期限：</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p>
    <w:p w14:paraId="7180B286">
      <w:pPr>
        <w:spacing w:before="50" w:beforeLines="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姓名：</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性别：</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p>
    <w:p w14:paraId="3FE86395">
      <w:pPr>
        <w:spacing w:before="50" w:beforeLines="0" w:afterLines="50"/>
        <w:ind w:firstLine="560" w:firstLineChars="200"/>
        <w:jc w:val="left"/>
        <w:rPr>
          <w:rFonts w:hint="default" w:ascii="仿宋" w:hAnsi="仿宋" w:eastAsia="仿宋"/>
          <w:color w:val="auto"/>
          <w:sz w:val="28"/>
          <w:szCs w:val="28"/>
          <w:highlight w:val="none"/>
          <w:lang w:val="en-US" w:eastAsia="zh-CN"/>
        </w:rPr>
      </w:pPr>
      <w:r>
        <w:rPr>
          <w:rFonts w:hint="eastAsia" w:ascii="仿宋" w:hAnsi="仿宋" w:eastAsia="仿宋" w:cs="仿宋"/>
          <w:color w:val="auto"/>
          <w:sz w:val="28"/>
          <w:szCs w:val="28"/>
          <w:highlight w:val="none"/>
          <w:lang w:bidi="ar"/>
        </w:rPr>
        <w:t>年龄：</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职务：</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lang w:val="en-US" w:eastAsia="zh-CN" w:bidi="ar"/>
        </w:rPr>
        <w:t>联系电话：</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p>
    <w:p w14:paraId="4EFC8348">
      <w:pPr>
        <w:spacing w:before="50" w:beforeLines="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系</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（供应商名称）的法定代表人。</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特此证明。</w:t>
      </w:r>
      <w:r>
        <w:rPr>
          <w:rFonts w:hint="eastAsia" w:ascii="仿宋" w:hAnsi="仿宋" w:eastAsia="仿宋"/>
          <w:color w:val="auto"/>
          <w:sz w:val="28"/>
          <w:szCs w:val="28"/>
          <w:highlight w:val="none"/>
          <w:lang w:bidi="ar"/>
        </w:rPr>
        <w:t xml:space="preserve"> </w:t>
      </w:r>
    </w:p>
    <w:p w14:paraId="0C4AFBA8">
      <w:pPr>
        <w:spacing w:before="50" w:beforeLines="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bidi="ar"/>
        </w:rPr>
        <w:t xml:space="preserve"> </w:t>
      </w:r>
    </w:p>
    <w:p w14:paraId="5EC69A3A">
      <w:pPr>
        <w:spacing w:before="50" w:beforeLines="0" w:afterLines="50"/>
        <w:ind w:firstLine="560" w:firstLineChars="20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法定代表人身份证</w:t>
      </w:r>
    </w:p>
    <w:p w14:paraId="578FCD0B">
      <w:pPr>
        <w:wordWrap w:val="0"/>
        <w:spacing w:before="50" w:beforeLines="0" w:afterLines="50"/>
        <w:ind w:firstLine="560" w:firstLineChars="200"/>
        <w:jc w:val="righ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供应商名称（公章）：</w:t>
      </w:r>
      <w:r>
        <w:rPr>
          <w:rFonts w:hint="eastAsia" w:ascii="仿宋" w:hAnsi="仿宋" w:eastAsia="仿宋"/>
          <w:color w:val="auto"/>
          <w:sz w:val="28"/>
          <w:szCs w:val="28"/>
          <w:highlight w:val="none"/>
          <w:lang w:bidi="ar"/>
        </w:rPr>
        <w:t xml:space="preserve">              </w:t>
      </w:r>
    </w:p>
    <w:p w14:paraId="6B594D73">
      <w:pPr>
        <w:spacing w:beforeLines="0" w:afterLines="0"/>
        <w:jc w:val="righ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日期：</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年</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月</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日 </w:t>
      </w:r>
    </w:p>
    <w:p w14:paraId="69504C32">
      <w:pPr>
        <w:spacing w:before="50" w:afterLines="50"/>
        <w:ind w:firstLine="560" w:firstLineChars="200"/>
        <w:jc w:val="left"/>
        <w:rPr>
          <w:rFonts w:hint="eastAsia" w:ascii="仿宋" w:hAnsi="仿宋" w:eastAsia="仿宋"/>
          <w:color w:val="auto"/>
          <w:sz w:val="28"/>
          <w:szCs w:val="28"/>
          <w:highlight w:val="none"/>
        </w:rPr>
      </w:pPr>
    </w:p>
    <w:p w14:paraId="39371051">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r>
    </w:p>
    <w:p w14:paraId="477658E4">
      <w:pPr>
        <w:spacing w:before="50" w:afterLines="50"/>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（八）法定代表人</w:t>
      </w:r>
      <w:r>
        <w:rPr>
          <w:rFonts w:ascii="仿宋" w:hAnsi="仿宋" w:eastAsia="仿宋"/>
          <w:color w:val="auto"/>
          <w:sz w:val="28"/>
          <w:szCs w:val="28"/>
          <w:highlight w:val="none"/>
        </w:rPr>
        <w:t>授权</w:t>
      </w:r>
      <w:r>
        <w:rPr>
          <w:rFonts w:hint="eastAsia" w:ascii="仿宋" w:hAnsi="仿宋" w:eastAsia="仿宋"/>
          <w:color w:val="auto"/>
          <w:sz w:val="28"/>
          <w:szCs w:val="28"/>
          <w:highlight w:val="none"/>
        </w:rPr>
        <w:t>委托</w:t>
      </w:r>
      <w:r>
        <w:rPr>
          <w:rFonts w:ascii="仿宋" w:hAnsi="仿宋" w:eastAsia="仿宋"/>
          <w:color w:val="auto"/>
          <w:sz w:val="28"/>
          <w:szCs w:val="28"/>
          <w:highlight w:val="none"/>
        </w:rPr>
        <w:t>书</w:t>
      </w:r>
      <w:r>
        <w:rPr>
          <w:rFonts w:hint="eastAsia" w:ascii="仿宋" w:hAnsi="仿宋" w:eastAsia="仿宋"/>
          <w:color w:val="auto"/>
          <w:sz w:val="28"/>
          <w:szCs w:val="28"/>
          <w:highlight w:val="none"/>
        </w:rPr>
        <w:t>。（法定代表人参加谈判采购活动的，无需提供）</w:t>
      </w:r>
    </w:p>
    <w:p w14:paraId="13A5AD15">
      <w:pPr>
        <w:spacing w:before="50" w:afterLines="50"/>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法定代表人授权委托书</w:t>
      </w:r>
    </w:p>
    <w:p w14:paraId="008BD0C4">
      <w:pPr>
        <w:pStyle w:val="38"/>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本授权书声明：</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（供应商名称）授权</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（代理人的姓名）为我方就项目名称：</w:t>
      </w:r>
      <w:r>
        <w:rPr>
          <w:rFonts w:hint="eastAsia" w:ascii="仿宋" w:hAnsi="仿宋" w:eastAsia="仿宋"/>
          <w:color w:val="auto"/>
          <w:sz w:val="28"/>
          <w:szCs w:val="28"/>
          <w:highlight w:val="none"/>
          <w:u w:val="single"/>
          <w:lang w:val="en-US" w:eastAsia="zh-CN"/>
        </w:rPr>
        <w:t>东陈镇尚书工业园区污水管网建设工程</w:t>
      </w:r>
      <w:r>
        <w:rPr>
          <w:rFonts w:hint="eastAsia" w:ascii="仿宋" w:hAnsi="仿宋" w:eastAsia="仿宋"/>
          <w:color w:val="auto"/>
          <w:sz w:val="28"/>
          <w:szCs w:val="28"/>
          <w:highlight w:val="none"/>
        </w:rPr>
        <w:t>项目编号:</w:t>
      </w:r>
      <w:r>
        <w:rPr>
          <w:rFonts w:hint="eastAsia" w:ascii="仿宋" w:hAnsi="仿宋" w:eastAsia="仿宋"/>
          <w:color w:val="auto"/>
          <w:sz w:val="28"/>
          <w:szCs w:val="28"/>
          <w:highlight w:val="none"/>
          <w:u w:val="single"/>
          <w:lang w:val="en-US" w:eastAsia="zh-CN"/>
        </w:rPr>
        <w:t>JSZC-320682-NTZJ-T2026-0022</w:t>
      </w:r>
      <w:r>
        <w:rPr>
          <w:rFonts w:hint="eastAsia" w:ascii="仿宋" w:hAnsi="仿宋" w:eastAsia="仿宋"/>
          <w:color w:val="auto"/>
          <w:sz w:val="28"/>
          <w:szCs w:val="28"/>
          <w:highlight w:val="none"/>
        </w:rPr>
        <w:t>采购活动的合法代理人，以本公司名义全权处理一切与该项目采购有关的事务。</w:t>
      </w:r>
    </w:p>
    <w:p w14:paraId="21477EAD">
      <w:pPr>
        <w:pStyle w:val="38"/>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本授权书于______年____月____日起生效，特此声明。</w:t>
      </w:r>
    </w:p>
    <w:p w14:paraId="6B175E48">
      <w:pPr>
        <w:pStyle w:val="38"/>
        <w:spacing w:line="500" w:lineRule="exact"/>
        <w:ind w:firstLine="480"/>
        <w:rPr>
          <w:rFonts w:ascii="仿宋" w:hAnsi="仿宋" w:eastAsia="仿宋"/>
          <w:color w:val="auto"/>
          <w:sz w:val="28"/>
          <w:szCs w:val="28"/>
          <w:highlight w:val="none"/>
        </w:rPr>
      </w:pPr>
    </w:p>
    <w:p w14:paraId="42AC9294">
      <w:pPr>
        <w:pStyle w:val="38"/>
        <w:spacing w:line="500" w:lineRule="exact"/>
        <w:ind w:firstLine="48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p>
    <w:p w14:paraId="49D7B852">
      <w:pPr>
        <w:pStyle w:val="38"/>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身份证号码：</w:t>
      </w:r>
    </w:p>
    <w:p w14:paraId="75E8D327">
      <w:pPr>
        <w:pStyle w:val="38"/>
        <w:spacing w:line="500" w:lineRule="exact"/>
        <w:ind w:firstLine="232" w:firstLineChars="83"/>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p>
    <w:p w14:paraId="23E82D0F">
      <w:pPr>
        <w:pStyle w:val="38"/>
        <w:spacing w:line="500" w:lineRule="exact"/>
        <w:ind w:firstLine="480"/>
        <w:rPr>
          <w:rFonts w:ascii="仿宋" w:hAnsi="仿宋" w:eastAsia="仿宋"/>
          <w:color w:val="auto"/>
          <w:sz w:val="28"/>
          <w:szCs w:val="28"/>
          <w:highlight w:val="none"/>
        </w:rPr>
      </w:pPr>
    </w:p>
    <w:p w14:paraId="700E0FC1">
      <w:pPr>
        <w:pStyle w:val="38"/>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代理人姓名：</w:t>
      </w:r>
    </w:p>
    <w:p w14:paraId="2B713BA6">
      <w:pPr>
        <w:pStyle w:val="38"/>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p>
    <w:p w14:paraId="2D141915">
      <w:pPr>
        <w:pStyle w:val="38"/>
        <w:spacing w:line="500" w:lineRule="exact"/>
        <w:ind w:firstLine="48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p>
    <w:p w14:paraId="1EBD498F">
      <w:pPr>
        <w:pStyle w:val="38"/>
        <w:spacing w:line="500" w:lineRule="exact"/>
        <w:ind w:firstLine="480"/>
        <w:rPr>
          <w:rFonts w:ascii="仿宋" w:hAnsi="仿宋" w:eastAsia="仿宋"/>
          <w:color w:val="auto"/>
          <w:sz w:val="28"/>
          <w:szCs w:val="28"/>
          <w:highlight w:val="none"/>
        </w:rPr>
      </w:pPr>
    </w:p>
    <w:p w14:paraId="1AF5F011">
      <w:pPr>
        <w:pStyle w:val="38"/>
        <w:spacing w:line="500" w:lineRule="exact"/>
        <w:ind w:firstLine="1260" w:firstLineChars="450"/>
        <w:rPr>
          <w:rFonts w:ascii="仿宋" w:hAnsi="仿宋" w:eastAsia="仿宋"/>
          <w:color w:val="auto"/>
          <w:sz w:val="28"/>
          <w:szCs w:val="28"/>
          <w:highlight w:val="none"/>
        </w:rPr>
      </w:pPr>
      <w:r>
        <w:rPr>
          <w:rFonts w:hint="eastAsia" w:ascii="仿宋" w:hAnsi="仿宋" w:eastAsia="仿宋"/>
          <w:color w:val="auto"/>
          <w:sz w:val="28"/>
          <w:szCs w:val="28"/>
          <w:highlight w:val="none"/>
        </w:rPr>
        <w:t>供应商名称（加盖公章）：</w:t>
      </w:r>
    </w:p>
    <w:p w14:paraId="46A9A424">
      <w:pPr>
        <w:pStyle w:val="38"/>
        <w:spacing w:line="500" w:lineRule="exact"/>
        <w:ind w:firstLine="6020" w:firstLineChars="21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p>
    <w:p w14:paraId="5FF415B7">
      <w:pPr>
        <w:pStyle w:val="38"/>
        <w:spacing w:line="500" w:lineRule="exact"/>
        <w:ind w:firstLine="480"/>
        <w:rPr>
          <w:rFonts w:ascii="仿宋" w:hAnsi="仿宋" w:eastAsia="仿宋"/>
          <w:color w:val="auto"/>
          <w:sz w:val="28"/>
          <w:szCs w:val="28"/>
          <w:highlight w:val="none"/>
        </w:rPr>
      </w:pPr>
      <w:bookmarkStart w:id="112" w:name="_Hlt26671380"/>
      <w:bookmarkEnd w:id="112"/>
      <w:bookmarkStart w:id="113" w:name="_Hlt26955070"/>
      <w:bookmarkEnd w:id="113"/>
      <w:bookmarkStart w:id="114" w:name="_格式3__银行出具的资信证明"/>
      <w:bookmarkEnd w:id="114"/>
    </w:p>
    <w:p w14:paraId="168E9CB2">
      <w:pPr>
        <w:pStyle w:val="5"/>
        <w:spacing w:line="50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代理人身份证复印件</w:t>
      </w:r>
    </w:p>
    <w:p w14:paraId="6B1D8529">
      <w:pPr>
        <w:spacing w:before="50" w:afterLines="50" w:line="500" w:lineRule="exact"/>
        <w:ind w:firstLine="480"/>
        <w:jc w:val="left"/>
        <w:rPr>
          <w:rFonts w:ascii="仿宋" w:hAnsi="仿宋" w:eastAsia="仿宋" w:cs="Arial"/>
          <w:color w:val="auto"/>
          <w:sz w:val="28"/>
          <w:szCs w:val="28"/>
          <w:highlight w:val="none"/>
        </w:rPr>
      </w:pP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rPr>
        <w:t>（</w:t>
      </w:r>
      <w:r>
        <w:rPr>
          <w:rFonts w:hint="eastAsia" w:ascii="仿宋" w:hAnsi="仿宋" w:eastAsia="仿宋"/>
          <w:bCs/>
          <w:color w:val="auto"/>
          <w:sz w:val="28"/>
          <w:szCs w:val="28"/>
          <w:highlight w:val="none"/>
          <w:lang w:val="en-US" w:eastAsia="zh-CN"/>
        </w:rPr>
        <w:t>九</w:t>
      </w:r>
      <w:r>
        <w:rPr>
          <w:rFonts w:hint="eastAsia" w:ascii="仿宋" w:hAnsi="仿宋" w:eastAsia="仿宋"/>
          <w:bCs/>
          <w:color w:val="auto"/>
          <w:sz w:val="28"/>
          <w:szCs w:val="28"/>
          <w:highlight w:val="none"/>
        </w:rPr>
        <w:t>）竞争性</w:t>
      </w:r>
      <w:r>
        <w:rPr>
          <w:rFonts w:hint="eastAsia" w:ascii="仿宋" w:hAnsi="仿宋" w:eastAsia="仿宋" w:cs="Arial"/>
          <w:color w:val="auto"/>
          <w:sz w:val="28"/>
          <w:szCs w:val="28"/>
          <w:highlight w:val="none"/>
        </w:rPr>
        <w:t>谈判响应函。</w:t>
      </w:r>
    </w:p>
    <w:p w14:paraId="636E827D">
      <w:pPr>
        <w:spacing w:before="50" w:afterLines="50" w:line="500" w:lineRule="exact"/>
        <w:jc w:val="center"/>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竞争性谈判响应函</w:t>
      </w:r>
    </w:p>
    <w:p w14:paraId="65984793">
      <w:pPr>
        <w:pStyle w:val="38"/>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致：</w:t>
      </w:r>
      <w:r>
        <w:rPr>
          <w:rFonts w:hint="eastAsia" w:ascii="仿宋" w:hAnsi="仿宋" w:eastAsia="仿宋"/>
          <w:color w:val="auto"/>
          <w:sz w:val="28"/>
          <w:szCs w:val="28"/>
          <w:highlight w:val="none"/>
          <w:u w:val="single"/>
          <w:lang w:val="en-US" w:eastAsia="zh-CN"/>
        </w:rPr>
        <w:t>如皋市东陈镇人民政府</w:t>
      </w:r>
    </w:p>
    <w:p w14:paraId="19FEFEA7">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根据贵方的</w:t>
      </w:r>
      <w:r>
        <w:rPr>
          <w:rFonts w:hint="eastAsia" w:ascii="仿宋" w:hAnsi="仿宋" w:eastAsia="仿宋"/>
          <w:i/>
          <w:color w:val="auto"/>
          <w:sz w:val="28"/>
          <w:szCs w:val="28"/>
          <w:highlight w:val="none"/>
          <w:u w:val="single"/>
          <w:lang w:val="en-US" w:eastAsia="zh-CN"/>
        </w:rPr>
        <w:t>东陈镇尚书工业园区污水管网建设工程</w:t>
      </w:r>
      <w:r>
        <w:rPr>
          <w:rFonts w:hint="eastAsia" w:ascii="仿宋" w:hAnsi="仿宋" w:eastAsia="仿宋"/>
          <w:color w:val="auto"/>
          <w:sz w:val="28"/>
          <w:szCs w:val="28"/>
          <w:highlight w:val="none"/>
        </w:rPr>
        <w:t>（项目编号：</w:t>
      </w:r>
      <w:r>
        <w:rPr>
          <w:rFonts w:hint="eastAsia" w:ascii="仿宋" w:hAnsi="仿宋" w:eastAsia="仿宋"/>
          <w:color w:val="auto"/>
          <w:sz w:val="28"/>
          <w:szCs w:val="28"/>
          <w:highlight w:val="none"/>
          <w:u w:val="single"/>
          <w:lang w:val="en-US" w:eastAsia="zh-CN"/>
        </w:rPr>
        <w:t>JSZC-320682-NTZJ-T2026-0022</w:t>
      </w:r>
      <w:r>
        <w:rPr>
          <w:rFonts w:hint="eastAsia" w:ascii="仿宋" w:hAnsi="仿宋" w:eastAsia="仿宋"/>
          <w:color w:val="auto"/>
          <w:sz w:val="28"/>
          <w:szCs w:val="28"/>
          <w:highlight w:val="none"/>
        </w:rPr>
        <w:t>）竞争性谈判文件，正式授权下述签字人_________ (姓名和职务)代表我方______________（供应商的名称），全权处理本次项目谈判采购的有关事宜。</w:t>
      </w:r>
    </w:p>
    <w:p w14:paraId="40D0591D">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据此函，__________（签字人）兹宣布同意如下：</w:t>
      </w:r>
    </w:p>
    <w:p w14:paraId="4E44430C">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1.按谈判文件规定的各项要求，向买方提供所需货物、服务。</w:t>
      </w:r>
    </w:p>
    <w:p w14:paraId="67AB070C">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2.我们已详细审核全部谈判文件及其有效补充文件，我们知道必须放弃提出含糊不清或误解问题的权利。</w:t>
      </w:r>
    </w:p>
    <w:p w14:paraId="6C93F53F">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3.我们同意从规定的响应文件接收截止时间起遵循本响应文件，并在规定的谈判有效期期满之前均具有约束力。</w:t>
      </w:r>
    </w:p>
    <w:p w14:paraId="190CC1EE">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4.同意向贵方提供贵方可能另外要求的与竞争性谈判活动有关的任何证据或资料，并保证我方已提供和将要提供的文件是真实的、准确的。</w:t>
      </w:r>
    </w:p>
    <w:p w14:paraId="59615C62">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5.如果我方成交，我方将在法定期限内签订合同，否则将承担相应法律责任。</w:t>
      </w:r>
    </w:p>
    <w:p w14:paraId="72F3FF06">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6.我方将根据竞争性谈判文件的规定，严格履行合同的责任和义务，并保证在谈判文件规定的时间完成项目。</w:t>
      </w:r>
    </w:p>
    <w:p w14:paraId="4E8AEE63">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7.遵守竞争性谈判文件中要求的收费项目和标准。</w:t>
      </w:r>
    </w:p>
    <w:p w14:paraId="22EE6E3D">
      <w:pPr>
        <w:pStyle w:val="38"/>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8.与本次竞争性谈判活动有关的正式通讯地址为：</w:t>
      </w:r>
    </w:p>
    <w:p w14:paraId="5C485603">
      <w:pPr>
        <w:pStyle w:val="3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地 址：                         邮 编：</w:t>
      </w:r>
    </w:p>
    <w:p w14:paraId="0CEB7D99">
      <w:pPr>
        <w:pStyle w:val="3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电 话：                         传 真：</w:t>
      </w:r>
    </w:p>
    <w:p w14:paraId="34D9928D">
      <w:pPr>
        <w:pStyle w:val="3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p>
    <w:p w14:paraId="7BDC14CE">
      <w:pPr>
        <w:pStyle w:val="3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p>
    <w:p w14:paraId="06F50EE6">
      <w:pPr>
        <w:pStyle w:val="3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日 期：________年____月____日</w:t>
      </w:r>
    </w:p>
    <w:p w14:paraId="511F922D">
      <w:pPr>
        <w:numPr>
          <w:ilvl w:val="0"/>
          <w:numId w:val="2"/>
        </w:numPr>
        <w:jc w:val="left"/>
        <w:outlineLvl w:val="9"/>
        <w:rPr>
          <w:rFonts w:hint="eastAsia" w:ascii="仿宋" w:hAnsi="仿宋" w:eastAsia="仿宋"/>
          <w:bCs/>
          <w:color w:val="auto"/>
          <w:sz w:val="28"/>
          <w:szCs w:val="28"/>
          <w:highlight w:val="none"/>
        </w:rPr>
      </w:pP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rPr>
        <w:t>中小企业声明函</w:t>
      </w:r>
    </w:p>
    <w:p w14:paraId="788F0DF4">
      <w:pPr>
        <w:numPr>
          <w:ilvl w:val="0"/>
          <w:numId w:val="0"/>
        </w:numPr>
        <w:jc w:val="center"/>
        <w:outlineLvl w:val="9"/>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中小企业声明函（工程、服务）</w:t>
      </w:r>
    </w:p>
    <w:p w14:paraId="3249DD86">
      <w:pPr>
        <w:spacing w:line="500" w:lineRule="exact"/>
        <w:ind w:firstLine="560" w:firstLineChars="200"/>
        <w:outlineLvl w:val="9"/>
        <w:rPr>
          <w:rFonts w:ascii="仿宋" w:hAnsi="仿宋" w:eastAsia="仿宋"/>
          <w:i w:val="0"/>
          <w:iCs/>
          <w:color w:val="auto"/>
          <w:sz w:val="28"/>
          <w:szCs w:val="28"/>
          <w:highlight w:val="none"/>
        </w:rPr>
      </w:pPr>
      <w:r>
        <w:rPr>
          <w:rFonts w:hint="eastAsia" w:ascii="仿宋" w:hAnsi="仿宋" w:eastAsia="仿宋"/>
          <w:color w:val="auto"/>
          <w:sz w:val="28"/>
          <w:szCs w:val="28"/>
          <w:highlight w:val="none"/>
        </w:rPr>
        <w:t>本公司（联合体）郑重声明，根据《政府采购促进中小企业发展管理办法》（财库﹝2020﹞46 号）的规定，本公司（联合体）参加</w:t>
      </w:r>
      <w:r>
        <w:rPr>
          <w:rFonts w:hint="eastAsia" w:ascii="仿宋" w:hAnsi="仿宋" w:eastAsia="仿宋"/>
          <w:i w:val="0"/>
          <w:iCs/>
          <w:color w:val="auto"/>
          <w:sz w:val="28"/>
          <w:szCs w:val="28"/>
          <w:highlight w:val="none"/>
          <w:u w:val="single"/>
          <w:lang w:val="en-US" w:eastAsia="zh-CN"/>
        </w:rPr>
        <w:t>如皋市东陈镇人民政府</w:t>
      </w:r>
      <w:r>
        <w:rPr>
          <w:rFonts w:hint="eastAsia" w:ascii="仿宋" w:hAnsi="仿宋" w:eastAsia="仿宋"/>
          <w:i w:val="0"/>
          <w:iCs/>
          <w:color w:val="auto"/>
          <w:sz w:val="28"/>
          <w:szCs w:val="28"/>
          <w:highlight w:val="none"/>
        </w:rPr>
        <w:t>的</w:t>
      </w:r>
      <w:r>
        <w:rPr>
          <w:rFonts w:hint="eastAsia" w:ascii="仿宋" w:hAnsi="仿宋" w:eastAsia="仿宋"/>
          <w:i w:val="0"/>
          <w:iCs/>
          <w:color w:val="auto"/>
          <w:sz w:val="28"/>
          <w:szCs w:val="28"/>
          <w:highlight w:val="none"/>
          <w:u w:val="single"/>
          <w:lang w:val="en-US" w:eastAsia="zh-CN"/>
        </w:rPr>
        <w:t>东陈镇尚书工业园区污水管网建设工程</w:t>
      </w:r>
      <w:r>
        <w:rPr>
          <w:rFonts w:hint="eastAsia" w:ascii="仿宋" w:hAnsi="仿宋" w:eastAsia="仿宋"/>
          <w:i w:val="0"/>
          <w:iCs/>
          <w:color w:val="auto"/>
          <w:sz w:val="28"/>
          <w:szCs w:val="28"/>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57AE2A9">
      <w:pPr>
        <w:spacing w:line="500" w:lineRule="exact"/>
        <w:ind w:firstLine="560" w:firstLineChars="200"/>
        <w:outlineLvl w:val="9"/>
        <w:rPr>
          <w:rFonts w:ascii="仿宋" w:hAnsi="仿宋" w:eastAsia="仿宋"/>
          <w:i w:val="0"/>
          <w:iCs/>
          <w:color w:val="auto"/>
          <w:sz w:val="28"/>
          <w:szCs w:val="28"/>
          <w:highlight w:val="none"/>
        </w:rPr>
      </w:pPr>
      <w:r>
        <w:rPr>
          <w:rFonts w:hint="eastAsia" w:ascii="仿宋" w:hAnsi="仿宋" w:eastAsia="仿宋"/>
          <w:i w:val="0"/>
          <w:iCs/>
          <w:color w:val="auto"/>
          <w:sz w:val="28"/>
          <w:szCs w:val="28"/>
          <w:highlight w:val="none"/>
        </w:rPr>
        <w:t>1.</w:t>
      </w:r>
      <w:r>
        <w:rPr>
          <w:rFonts w:hint="eastAsia" w:ascii="仿宋" w:hAnsi="仿宋" w:eastAsia="仿宋"/>
          <w:i w:val="0"/>
          <w:iCs/>
          <w:color w:val="auto"/>
          <w:sz w:val="28"/>
          <w:szCs w:val="28"/>
          <w:highlight w:val="none"/>
          <w:u w:val="single"/>
          <w:lang w:val="en-US" w:eastAsia="zh-CN"/>
        </w:rPr>
        <w:t>东陈镇尚书工业园区污水管网建设工程</w:t>
      </w:r>
      <w:r>
        <w:rPr>
          <w:rFonts w:hint="eastAsia" w:ascii="仿宋" w:hAnsi="仿宋" w:eastAsia="仿宋"/>
          <w:i w:val="0"/>
          <w:iCs/>
          <w:color w:val="auto"/>
          <w:sz w:val="28"/>
          <w:szCs w:val="28"/>
          <w:highlight w:val="none"/>
        </w:rPr>
        <w:t>，属于</w:t>
      </w:r>
      <w:r>
        <w:rPr>
          <w:rFonts w:hint="eastAsia" w:ascii="仿宋" w:hAnsi="仿宋" w:eastAsia="仿宋"/>
          <w:i w:val="0"/>
          <w:iCs/>
          <w:color w:val="auto"/>
          <w:sz w:val="28"/>
          <w:szCs w:val="28"/>
          <w:highlight w:val="none"/>
          <w:u w:val="single"/>
        </w:rPr>
        <w:t>（</w:t>
      </w:r>
      <w:r>
        <w:rPr>
          <w:rFonts w:hint="eastAsia" w:ascii="仿宋" w:hAnsi="仿宋" w:eastAsia="仿宋"/>
          <w:i w:val="0"/>
          <w:iCs/>
          <w:color w:val="auto"/>
          <w:sz w:val="28"/>
          <w:szCs w:val="28"/>
          <w:highlight w:val="none"/>
          <w:u w:val="single"/>
          <w:lang w:val="en-US" w:eastAsia="zh-CN"/>
        </w:rPr>
        <w:t>建筑业</w:t>
      </w:r>
      <w:r>
        <w:rPr>
          <w:rFonts w:hint="eastAsia" w:ascii="仿宋" w:hAnsi="仿宋" w:eastAsia="仿宋"/>
          <w:i w:val="0"/>
          <w:iCs/>
          <w:color w:val="auto"/>
          <w:sz w:val="28"/>
          <w:szCs w:val="28"/>
          <w:highlight w:val="none"/>
          <w:u w:val="single"/>
        </w:rPr>
        <w:t>）</w:t>
      </w:r>
      <w:r>
        <w:rPr>
          <w:rFonts w:hint="eastAsia" w:ascii="仿宋" w:hAnsi="仿宋" w:eastAsia="仿宋"/>
          <w:i w:val="0"/>
          <w:iCs/>
          <w:color w:val="auto"/>
          <w:sz w:val="28"/>
          <w:szCs w:val="28"/>
          <w:highlight w:val="none"/>
        </w:rPr>
        <w:t xml:space="preserve"> ；承建（承接）企业为 </w:t>
      </w:r>
      <w:r>
        <w:rPr>
          <w:rFonts w:hint="eastAsia" w:ascii="仿宋" w:hAnsi="仿宋" w:eastAsia="仿宋"/>
          <w:i w:val="0"/>
          <w:iCs/>
          <w:color w:val="auto"/>
          <w:sz w:val="28"/>
          <w:szCs w:val="28"/>
          <w:highlight w:val="none"/>
          <w:u w:val="single"/>
        </w:rPr>
        <w:t>（企业名称）</w:t>
      </w:r>
      <w:r>
        <w:rPr>
          <w:rFonts w:hint="eastAsia" w:ascii="仿宋" w:hAnsi="仿宋" w:eastAsia="仿宋"/>
          <w:i w:val="0"/>
          <w:iCs/>
          <w:color w:val="auto"/>
          <w:sz w:val="28"/>
          <w:szCs w:val="28"/>
          <w:highlight w:val="none"/>
        </w:rPr>
        <w:t xml:space="preserve"> ，从业人员人，营业收入为万元，资产总额为万元</w:t>
      </w:r>
      <w:r>
        <w:rPr>
          <w:rFonts w:hint="eastAsia" w:ascii="仿宋" w:hAnsi="仿宋" w:eastAsia="仿宋"/>
          <w:i w:val="0"/>
          <w:iCs/>
          <w:color w:val="auto"/>
          <w:sz w:val="28"/>
          <w:szCs w:val="28"/>
          <w:highlight w:val="none"/>
          <w:vertAlign w:val="superscript"/>
        </w:rPr>
        <w:t>1</w:t>
      </w:r>
      <w:r>
        <w:rPr>
          <w:rFonts w:hint="eastAsia" w:ascii="仿宋" w:hAnsi="仿宋" w:eastAsia="仿宋"/>
          <w:i w:val="0"/>
          <w:iCs/>
          <w:color w:val="auto"/>
          <w:sz w:val="28"/>
          <w:szCs w:val="28"/>
          <w:highlight w:val="none"/>
        </w:rPr>
        <w:t xml:space="preserve"> ，属于</w:t>
      </w:r>
      <w:r>
        <w:rPr>
          <w:rFonts w:hint="eastAsia" w:ascii="仿宋" w:hAnsi="仿宋" w:eastAsia="仿宋"/>
          <w:i w:val="0"/>
          <w:iCs/>
          <w:color w:val="auto"/>
          <w:sz w:val="28"/>
          <w:szCs w:val="28"/>
          <w:highlight w:val="none"/>
          <w:u w:val="single"/>
        </w:rPr>
        <w:t xml:space="preserve"> （中型企业、小型企业、微型企业） </w:t>
      </w:r>
      <w:r>
        <w:rPr>
          <w:rFonts w:hint="eastAsia" w:ascii="仿宋" w:hAnsi="仿宋" w:eastAsia="仿宋"/>
          <w:i w:val="0"/>
          <w:iCs/>
          <w:color w:val="auto"/>
          <w:sz w:val="28"/>
          <w:szCs w:val="28"/>
          <w:highlight w:val="none"/>
        </w:rPr>
        <w:t>；</w:t>
      </w:r>
    </w:p>
    <w:p w14:paraId="17DCD6FF">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w:t>
      </w:r>
    </w:p>
    <w:p w14:paraId="12E42D3E">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以上企业，不属于大企业的分支机构，不存在控股股东为大企业的情形，也不存在与大企业的负责人为同一人的情形。</w:t>
      </w:r>
    </w:p>
    <w:p w14:paraId="76A0B150">
      <w:pPr>
        <w:spacing w:line="500" w:lineRule="exact"/>
        <w:ind w:firstLine="560" w:firstLineChars="20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本企业对上述声明内容的真实性负责。如有虚假，将依法承担相应责任。</w:t>
      </w:r>
    </w:p>
    <w:p w14:paraId="08EE01A3">
      <w:pPr>
        <w:spacing w:line="500" w:lineRule="exact"/>
        <w:ind w:firstLine="560" w:firstLineChars="200"/>
        <w:jc w:val="righ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企业名称（盖章）：          </w:t>
      </w:r>
    </w:p>
    <w:p w14:paraId="53D1F87C">
      <w:pPr>
        <w:spacing w:line="500" w:lineRule="exact"/>
        <w:ind w:firstLine="560" w:firstLineChars="200"/>
        <w:jc w:val="right"/>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             </w:t>
      </w:r>
    </w:p>
    <w:p w14:paraId="159E2CF7">
      <w:pPr>
        <w:spacing w:line="500" w:lineRule="exact"/>
        <w:ind w:right="560"/>
        <w:outlineLvl w:val="9"/>
        <w:rPr>
          <w:rFonts w:ascii="仿宋" w:hAnsi="仿宋" w:eastAsia="仿宋"/>
          <w:color w:val="auto"/>
          <w:sz w:val="28"/>
          <w:szCs w:val="28"/>
          <w:highlight w:val="none"/>
        </w:rPr>
      </w:pPr>
      <w:r>
        <w:rPr>
          <w:rFonts w:hint="eastAsia" w:ascii="仿宋" w:hAnsi="仿宋" w:eastAsia="仿宋"/>
          <w:color w:val="auto"/>
          <w:sz w:val="28"/>
          <w:szCs w:val="28"/>
          <w:highlight w:val="none"/>
        </w:rPr>
        <w:t>注</w:t>
      </w:r>
      <w:r>
        <w:rPr>
          <w:rFonts w:ascii="仿宋" w:hAnsi="仿宋" w:eastAsia="仿宋"/>
          <w:color w:val="auto"/>
          <w:sz w:val="28"/>
          <w:szCs w:val="28"/>
          <w:highlight w:val="none"/>
        </w:rPr>
        <w:t>1</w:t>
      </w:r>
      <w:r>
        <w:rPr>
          <w:rFonts w:hint="eastAsia" w:ascii="仿宋" w:hAnsi="仿宋" w:eastAsia="仿宋"/>
          <w:color w:val="auto"/>
          <w:sz w:val="28"/>
          <w:szCs w:val="28"/>
          <w:highlight w:val="none"/>
        </w:rPr>
        <w:t>：从业人员、营业收入、资产总额填报上一年度数据，无上一年度数据的新成立企业可不填报。</w:t>
      </w:r>
    </w:p>
    <w:p w14:paraId="505772C5">
      <w:pPr>
        <w:spacing w:before="50" w:afterLines="50"/>
        <w:ind w:firstLine="480"/>
        <w:jc w:val="left"/>
        <w:outlineLvl w:val="9"/>
        <w:rPr>
          <w:rFonts w:ascii="仿宋" w:hAnsi="仿宋" w:eastAsia="仿宋"/>
          <w:color w:val="auto"/>
          <w:sz w:val="28"/>
          <w:szCs w:val="28"/>
          <w:highlight w:val="none"/>
        </w:rPr>
      </w:pPr>
    </w:p>
    <w:p w14:paraId="6D7C7448">
      <w:pPr>
        <w:spacing w:before="50" w:afterLines="50" w:line="500" w:lineRule="exact"/>
        <w:ind w:firstLine="480"/>
        <w:jc w:val="left"/>
        <w:rPr>
          <w:rFonts w:ascii="仿宋" w:hAnsi="仿宋" w:eastAsia="仿宋"/>
          <w:color w:val="auto"/>
          <w:sz w:val="28"/>
          <w:szCs w:val="28"/>
          <w:highlight w:val="none"/>
        </w:rPr>
      </w:pPr>
    </w:p>
    <w:p w14:paraId="782EFD3D">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r>
    </w:p>
    <w:p w14:paraId="64627792">
      <w:pPr>
        <w:spacing w:before="50" w:afterLines="50" w:line="500" w:lineRule="exact"/>
        <w:ind w:firstLine="480"/>
        <w:jc w:val="left"/>
        <w:rPr>
          <w:rFonts w:ascii="仿宋" w:hAnsi="仿宋" w:eastAsia="仿宋"/>
          <w:b/>
          <w:bCs/>
          <w:color w:val="auto"/>
          <w:sz w:val="28"/>
          <w:szCs w:val="28"/>
          <w:highlight w:val="none"/>
        </w:rPr>
      </w:pPr>
      <w:r>
        <w:rPr>
          <w:rFonts w:hint="eastAsia" w:ascii="仿宋" w:hAnsi="仿宋" w:eastAsia="仿宋"/>
          <w:bCs/>
          <w:color w:val="auto"/>
          <w:sz w:val="28"/>
          <w:szCs w:val="28"/>
          <w:highlight w:val="none"/>
        </w:rPr>
        <w:t>（十</w:t>
      </w:r>
      <w:r>
        <w:rPr>
          <w:rFonts w:hint="eastAsia" w:ascii="仿宋" w:hAnsi="仿宋" w:eastAsia="仿宋"/>
          <w:bCs/>
          <w:color w:val="auto"/>
          <w:sz w:val="28"/>
          <w:szCs w:val="28"/>
          <w:highlight w:val="none"/>
          <w:lang w:val="en-US" w:eastAsia="zh-CN"/>
        </w:rPr>
        <w:t>一</w:t>
      </w:r>
      <w:r>
        <w:rPr>
          <w:rFonts w:hint="eastAsia" w:ascii="仿宋" w:hAnsi="仿宋" w:eastAsia="仿宋"/>
          <w:bCs/>
          <w:color w:val="auto"/>
          <w:sz w:val="28"/>
          <w:szCs w:val="28"/>
          <w:highlight w:val="none"/>
        </w:rPr>
        <w:t>）</w:t>
      </w:r>
      <w:r>
        <w:rPr>
          <w:rFonts w:hint="eastAsia" w:ascii="仿宋" w:hAnsi="仿宋" w:eastAsia="仿宋"/>
          <w:color w:val="auto"/>
          <w:sz w:val="28"/>
          <w:szCs w:val="28"/>
          <w:highlight w:val="none"/>
        </w:rPr>
        <w:t>其他资格证明材料</w:t>
      </w:r>
    </w:p>
    <w:p w14:paraId="0413B637">
      <w:pPr>
        <w:pStyle w:val="19"/>
        <w:shd w:val="clear" w:color="auto" w:fill="FFFFFF"/>
        <w:spacing w:before="0" w:beforeAutospacing="0" w:after="0" w:afterAutospacing="0" w:line="500" w:lineRule="exact"/>
        <w:ind w:firstLine="567"/>
        <w:textAlignment w:val="baseline"/>
        <w:rPr>
          <w:rFonts w:ascii="仿宋" w:hAnsi="仿宋" w:eastAsia="仿宋"/>
          <w:color w:val="auto"/>
          <w:sz w:val="28"/>
          <w:szCs w:val="28"/>
          <w:highlight w:val="none"/>
          <w:u w:val="single"/>
        </w:rPr>
      </w:pPr>
      <w:r>
        <w:rPr>
          <w:rFonts w:hint="eastAsia" w:ascii="仿宋" w:hAnsi="仿宋" w:eastAsia="仿宋" w:cs="Times New Roman"/>
          <w:color w:val="auto"/>
          <w:kern w:val="2"/>
          <w:sz w:val="28"/>
          <w:szCs w:val="28"/>
          <w:highlight w:val="none"/>
        </w:rPr>
        <w:t>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kern w:val="2"/>
          <w:sz w:val="28"/>
          <w:szCs w:val="28"/>
          <w:highlight w:val="none"/>
          <w:lang w:val="en-US" w:eastAsia="zh-CN"/>
        </w:rPr>
        <w:t>响应供应商须提供承诺函，格式自拟，不提供视为无效响应。</w:t>
      </w:r>
    </w:p>
    <w:p w14:paraId="48CF87AC">
      <w:pPr>
        <w:spacing w:line="500" w:lineRule="exact"/>
        <w:ind w:firstLine="562" w:firstLineChars="200"/>
        <w:rPr>
          <w:rFonts w:hint="eastAsia" w:ascii="仿宋" w:hAnsi="仿宋" w:eastAsia="仿宋"/>
          <w:b/>
          <w:color w:val="auto"/>
          <w:sz w:val="28"/>
          <w:szCs w:val="28"/>
          <w:highlight w:val="none"/>
        </w:rPr>
      </w:pPr>
    </w:p>
    <w:p w14:paraId="029D8DDC">
      <w:pPr>
        <w:spacing w:line="500" w:lineRule="exact"/>
        <w:ind w:firstLine="562" w:firstLineChars="200"/>
        <w:rPr>
          <w:rFonts w:hint="eastAsia" w:ascii="仿宋" w:hAnsi="仿宋" w:eastAsia="仿宋"/>
          <w:b/>
          <w:color w:val="auto"/>
          <w:sz w:val="28"/>
          <w:szCs w:val="28"/>
          <w:highlight w:val="none"/>
        </w:rPr>
      </w:pPr>
    </w:p>
    <w:p w14:paraId="560046E7">
      <w:pPr>
        <w:spacing w:line="500" w:lineRule="exact"/>
        <w:ind w:firstLine="562" w:firstLineChars="200"/>
        <w:rPr>
          <w:rFonts w:ascii="仿宋" w:hAnsi="仿宋" w:eastAsia="仿宋"/>
          <w:b/>
          <w:color w:val="auto"/>
          <w:sz w:val="28"/>
          <w:szCs w:val="28"/>
          <w:highlight w:val="none"/>
        </w:rPr>
      </w:pPr>
      <w:r>
        <w:rPr>
          <w:rFonts w:hint="eastAsia" w:ascii="仿宋" w:hAnsi="仿宋" w:eastAsia="仿宋"/>
          <w:b/>
          <w:color w:val="auto"/>
          <w:sz w:val="28"/>
          <w:szCs w:val="28"/>
          <w:highlight w:val="none"/>
        </w:rPr>
        <w:t>注意：以上资格证明文件中要求加盖公章的，必须加盖公章；如供应商组成联合体参加谈判，则联合体各方均须加盖公章，否则视为无效谈判响应文件。</w:t>
      </w:r>
    </w:p>
    <w:p w14:paraId="276333D7">
      <w:pPr>
        <w:spacing w:line="500" w:lineRule="exact"/>
        <w:ind w:firstLine="560" w:firstLineChars="200"/>
        <w:rPr>
          <w:rFonts w:ascii="仿宋" w:hAnsi="仿宋" w:eastAsia="仿宋"/>
          <w:color w:val="auto"/>
          <w:sz w:val="28"/>
          <w:szCs w:val="28"/>
          <w:highlight w:val="none"/>
        </w:rPr>
      </w:pPr>
    </w:p>
    <w:p w14:paraId="3CBEDB92">
      <w:pPr>
        <w:spacing w:line="500" w:lineRule="exact"/>
        <w:ind w:firstLine="560" w:firstLineChars="200"/>
        <w:rPr>
          <w:rFonts w:ascii="仿宋" w:hAnsi="仿宋" w:eastAsia="仿宋"/>
          <w:color w:val="auto"/>
          <w:sz w:val="28"/>
          <w:szCs w:val="28"/>
          <w:highlight w:val="none"/>
        </w:rPr>
      </w:pPr>
    </w:p>
    <w:p w14:paraId="36DF7A63">
      <w:pPr>
        <w:spacing w:line="500" w:lineRule="exact"/>
        <w:ind w:firstLine="560" w:firstLineChars="200"/>
        <w:outlineLvl w:val="1"/>
        <w:rPr>
          <w:rFonts w:ascii="黑体" w:hAnsi="黑体" w:eastAsia="黑体"/>
          <w:bCs/>
          <w:color w:val="auto"/>
          <w:sz w:val="28"/>
          <w:szCs w:val="28"/>
          <w:highlight w:val="none"/>
        </w:rPr>
      </w:pPr>
      <w:r>
        <w:rPr>
          <w:rFonts w:ascii="黑体" w:hAnsi="黑体" w:eastAsia="黑体"/>
          <w:color w:val="auto"/>
          <w:sz w:val="28"/>
          <w:szCs w:val="28"/>
          <w:highlight w:val="none"/>
        </w:rPr>
        <w:br w:type="page"/>
      </w:r>
      <w:bookmarkStart w:id="115" w:name="_Toc18617"/>
      <w:r>
        <w:rPr>
          <w:rFonts w:hint="eastAsia" w:ascii="黑体" w:hAnsi="黑体" w:eastAsia="黑体"/>
          <w:color w:val="auto"/>
          <w:sz w:val="28"/>
          <w:szCs w:val="28"/>
          <w:highlight w:val="none"/>
        </w:rPr>
        <w:t>二、商务技术</w:t>
      </w:r>
      <w:r>
        <w:rPr>
          <w:rFonts w:hint="eastAsia" w:ascii="黑体" w:hAnsi="黑体" w:eastAsia="黑体"/>
          <w:bCs/>
          <w:color w:val="auto"/>
          <w:sz w:val="28"/>
          <w:szCs w:val="28"/>
          <w:highlight w:val="none"/>
        </w:rPr>
        <w:t>文件</w:t>
      </w:r>
      <w:bookmarkEnd w:id="115"/>
    </w:p>
    <w:p w14:paraId="06866FAF">
      <w:pPr>
        <w:ind w:firstLine="560" w:firstLineChars="200"/>
        <w:rPr>
          <w:rFonts w:ascii="仿宋" w:hAnsi="仿宋" w:eastAsia="仿宋"/>
          <w:bCs/>
          <w:color w:val="auto"/>
          <w:sz w:val="28"/>
          <w:szCs w:val="28"/>
          <w:highlight w:val="none"/>
        </w:rPr>
      </w:pPr>
      <w:r>
        <w:rPr>
          <w:rFonts w:hint="eastAsia" w:ascii="仿宋" w:hAnsi="仿宋" w:eastAsia="仿宋"/>
          <w:bCs/>
          <w:color w:val="auto"/>
          <w:sz w:val="28"/>
          <w:szCs w:val="28"/>
          <w:highlight w:val="none"/>
        </w:rPr>
        <w:t>（一）符合技术要求或者服务要求的相关证明材料</w:t>
      </w:r>
    </w:p>
    <w:p w14:paraId="6EBDEF47">
      <w:pPr>
        <w:ind w:firstLine="1400" w:firstLineChars="500"/>
        <w:rPr>
          <w:rFonts w:hint="eastAsia"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lang w:val="en-US" w:eastAsia="zh-CN"/>
        </w:rPr>
        <w:t>无。</w:t>
      </w:r>
    </w:p>
    <w:p w14:paraId="0CA1DF71">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r>
    </w:p>
    <w:p w14:paraId="010DC6AD">
      <w:pPr>
        <w:ind w:firstLine="560" w:firstLineChars="200"/>
        <w:outlineLvl w:val="9"/>
        <w:rPr>
          <w:rFonts w:ascii="仿宋" w:hAnsi="仿宋" w:eastAsia="仿宋"/>
          <w:bCs/>
          <w:color w:val="auto"/>
          <w:sz w:val="28"/>
          <w:szCs w:val="28"/>
          <w:highlight w:val="none"/>
        </w:rPr>
      </w:pPr>
      <w:r>
        <w:rPr>
          <w:rFonts w:hint="eastAsia" w:ascii="仿宋" w:hAnsi="仿宋" w:eastAsia="仿宋"/>
          <w:bCs/>
          <w:color w:val="auto"/>
          <w:sz w:val="28"/>
          <w:szCs w:val="28"/>
          <w:highlight w:val="none"/>
        </w:rPr>
        <w:t>（二）商务部分正负偏离表</w:t>
      </w:r>
    </w:p>
    <w:p w14:paraId="1B54A1AB">
      <w:pPr>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商务部分正负偏离表</w:t>
      </w:r>
    </w:p>
    <w:p w14:paraId="04622703">
      <w:pPr>
        <w:rPr>
          <w:rFonts w:ascii="仿宋" w:hAnsi="仿宋" w:eastAsia="仿宋"/>
          <w:color w:val="auto"/>
          <w:sz w:val="24"/>
          <w:highlight w:val="none"/>
        </w:rPr>
      </w:pPr>
      <w:r>
        <w:rPr>
          <w:rFonts w:hint="eastAsia" w:ascii="仿宋" w:hAnsi="仿宋" w:eastAsia="仿宋"/>
          <w:color w:val="auto"/>
          <w:sz w:val="24"/>
          <w:highlight w:val="none"/>
        </w:rPr>
        <w:t xml:space="preserve">供应商全称（加盖公章）：        </w:t>
      </w:r>
    </w:p>
    <w:tbl>
      <w:tblPr>
        <w:tblStyle w:val="2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9"/>
        <w:gridCol w:w="1362"/>
        <w:gridCol w:w="3884"/>
        <w:gridCol w:w="1383"/>
        <w:gridCol w:w="1500"/>
        <w:gridCol w:w="752"/>
      </w:tblGrid>
      <w:tr w14:paraId="789672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c>
          <w:tcPr>
            <w:tcW w:w="689" w:type="dxa"/>
            <w:tcBorders>
              <w:top w:val="single" w:color="auto" w:sz="4" w:space="0"/>
              <w:left w:val="single" w:color="auto" w:sz="4" w:space="0"/>
              <w:bottom w:val="single" w:color="auto" w:sz="4" w:space="0"/>
              <w:right w:val="single" w:color="auto" w:sz="4" w:space="0"/>
            </w:tcBorders>
            <w:vAlign w:val="center"/>
          </w:tcPr>
          <w:p w14:paraId="61666794">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362" w:type="dxa"/>
            <w:tcBorders>
              <w:top w:val="single" w:color="auto" w:sz="4" w:space="0"/>
              <w:left w:val="single" w:color="auto" w:sz="4" w:space="0"/>
              <w:bottom w:val="single" w:color="auto" w:sz="4" w:space="0"/>
              <w:right w:val="single" w:color="auto" w:sz="4" w:space="0"/>
            </w:tcBorders>
            <w:vAlign w:val="center"/>
          </w:tcPr>
          <w:p w14:paraId="043694FE">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商务条款</w:t>
            </w:r>
          </w:p>
        </w:tc>
        <w:tc>
          <w:tcPr>
            <w:tcW w:w="3884" w:type="dxa"/>
            <w:tcBorders>
              <w:top w:val="single" w:color="auto" w:sz="4" w:space="0"/>
              <w:left w:val="single" w:color="auto" w:sz="4" w:space="0"/>
              <w:bottom w:val="single" w:color="auto" w:sz="4" w:space="0"/>
              <w:right w:val="single" w:color="auto" w:sz="4" w:space="0"/>
            </w:tcBorders>
            <w:vAlign w:val="center"/>
          </w:tcPr>
          <w:p w14:paraId="5D659BEF">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竞争性谈判文件要求</w:t>
            </w:r>
          </w:p>
        </w:tc>
        <w:tc>
          <w:tcPr>
            <w:tcW w:w="1383" w:type="dxa"/>
            <w:tcBorders>
              <w:top w:val="single" w:color="auto" w:sz="4" w:space="0"/>
              <w:left w:val="single" w:color="auto" w:sz="4" w:space="0"/>
              <w:bottom w:val="single" w:color="auto" w:sz="4" w:space="0"/>
              <w:right w:val="single" w:color="auto" w:sz="4" w:space="0"/>
            </w:tcBorders>
            <w:vAlign w:val="center"/>
          </w:tcPr>
          <w:p w14:paraId="4E10CFDB">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供应商响应具体情况</w:t>
            </w:r>
          </w:p>
        </w:tc>
        <w:tc>
          <w:tcPr>
            <w:tcW w:w="1500" w:type="dxa"/>
            <w:tcBorders>
              <w:top w:val="single" w:color="auto" w:sz="4" w:space="0"/>
              <w:left w:val="single" w:color="auto" w:sz="4" w:space="0"/>
              <w:bottom w:val="single" w:color="auto" w:sz="4" w:space="0"/>
              <w:right w:val="single" w:color="auto" w:sz="4" w:space="0"/>
            </w:tcBorders>
            <w:vAlign w:val="center"/>
          </w:tcPr>
          <w:p w14:paraId="08D87CBD">
            <w:pPr>
              <w:keepNext w:val="0"/>
              <w:keepLines w:val="0"/>
              <w:pageBreakBefore w:val="0"/>
              <w:kinsoku/>
              <w:wordWrap/>
              <w:overflowPunct/>
              <w:topLinePunct w:val="0"/>
              <w:autoSpaceDE/>
              <w:autoSpaceDN/>
              <w:bidi w:val="0"/>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结论（正偏离、符合或负偏离）</w:t>
            </w:r>
          </w:p>
        </w:tc>
        <w:tc>
          <w:tcPr>
            <w:tcW w:w="752" w:type="dxa"/>
            <w:tcBorders>
              <w:top w:val="single" w:color="auto" w:sz="4" w:space="0"/>
              <w:left w:val="single" w:color="auto" w:sz="4" w:space="0"/>
              <w:bottom w:val="single" w:color="auto" w:sz="4" w:space="0"/>
              <w:right w:val="single" w:color="auto" w:sz="4" w:space="0"/>
            </w:tcBorders>
            <w:vAlign w:val="center"/>
          </w:tcPr>
          <w:p w14:paraId="4E2CBC35">
            <w:pPr>
              <w:keepNext w:val="0"/>
              <w:keepLines w:val="0"/>
              <w:pageBreakBefore w:val="0"/>
              <w:kinsoku/>
              <w:wordWrap/>
              <w:overflowPunct/>
              <w:topLinePunct w:val="0"/>
              <w:autoSpaceDE/>
              <w:autoSpaceDN/>
              <w:bidi w:val="0"/>
              <w:spacing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15AB68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5CF3ED5">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362" w:type="dxa"/>
            <w:tcBorders>
              <w:top w:val="single" w:color="auto" w:sz="4" w:space="0"/>
              <w:left w:val="single" w:color="auto" w:sz="4" w:space="0"/>
              <w:bottom w:val="single" w:color="auto" w:sz="4" w:space="0"/>
              <w:right w:val="single" w:color="auto" w:sz="4" w:space="0"/>
            </w:tcBorders>
            <w:vAlign w:val="center"/>
          </w:tcPr>
          <w:p w14:paraId="3DAB78C6">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工期</w:t>
            </w:r>
          </w:p>
        </w:tc>
        <w:tc>
          <w:tcPr>
            <w:tcW w:w="3884" w:type="dxa"/>
            <w:tcBorders>
              <w:top w:val="single" w:color="auto" w:sz="4" w:space="0"/>
              <w:left w:val="single" w:color="auto" w:sz="4" w:space="0"/>
              <w:bottom w:val="single" w:color="auto" w:sz="4" w:space="0"/>
              <w:right w:val="single" w:color="auto" w:sz="4" w:space="0"/>
            </w:tcBorders>
          </w:tcPr>
          <w:p w14:paraId="12A026B7">
            <w:pPr>
              <w:keepNext w:val="0"/>
              <w:keepLines w:val="0"/>
              <w:pageBreakBefore w:val="0"/>
              <w:kinsoku/>
              <w:wordWrap/>
              <w:overflowPunct/>
              <w:topLinePunct w:val="0"/>
              <w:autoSpaceDE/>
              <w:autoSpaceDN/>
              <w:bidi w:val="0"/>
              <w:spacing w:line="3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自合同签订之日起两个月内完工，具体时间以采购人通知为准。</w:t>
            </w:r>
          </w:p>
        </w:tc>
        <w:tc>
          <w:tcPr>
            <w:tcW w:w="1383" w:type="dxa"/>
            <w:tcBorders>
              <w:top w:val="single" w:color="auto" w:sz="4" w:space="0"/>
              <w:left w:val="single" w:color="auto" w:sz="4" w:space="0"/>
              <w:bottom w:val="single" w:color="auto" w:sz="4" w:space="0"/>
              <w:right w:val="single" w:color="auto" w:sz="4" w:space="0"/>
            </w:tcBorders>
          </w:tcPr>
          <w:p w14:paraId="29187F8E">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76695ECB">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3F08C88F">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781083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1624212">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362" w:type="dxa"/>
            <w:tcBorders>
              <w:top w:val="single" w:color="auto" w:sz="4" w:space="0"/>
              <w:left w:val="single" w:color="auto" w:sz="4" w:space="0"/>
              <w:bottom w:val="single" w:color="auto" w:sz="4" w:space="0"/>
              <w:right w:val="single" w:color="auto" w:sz="4" w:space="0"/>
            </w:tcBorders>
            <w:vAlign w:val="center"/>
          </w:tcPr>
          <w:p w14:paraId="4A84981E">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p>
        </w:tc>
        <w:tc>
          <w:tcPr>
            <w:tcW w:w="3884" w:type="dxa"/>
            <w:tcBorders>
              <w:top w:val="single" w:color="auto" w:sz="4" w:space="0"/>
              <w:left w:val="single" w:color="auto" w:sz="4" w:space="0"/>
              <w:bottom w:val="single" w:color="auto" w:sz="4" w:space="0"/>
              <w:right w:val="single" w:color="auto" w:sz="4" w:space="0"/>
            </w:tcBorders>
          </w:tcPr>
          <w:p w14:paraId="35E646E6">
            <w:pPr>
              <w:keepNext w:val="0"/>
              <w:keepLines w:val="0"/>
              <w:pageBreakBefore w:val="0"/>
              <w:kinsoku/>
              <w:wordWrap/>
              <w:overflowPunct/>
              <w:topLinePunct w:val="0"/>
              <w:autoSpaceDE/>
              <w:autoSpaceDN/>
              <w:bidi w:val="0"/>
              <w:spacing w:line="30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采购人指定地点</w:t>
            </w:r>
          </w:p>
        </w:tc>
        <w:tc>
          <w:tcPr>
            <w:tcW w:w="1383" w:type="dxa"/>
            <w:tcBorders>
              <w:top w:val="single" w:color="auto" w:sz="4" w:space="0"/>
              <w:left w:val="single" w:color="auto" w:sz="4" w:space="0"/>
              <w:bottom w:val="single" w:color="auto" w:sz="4" w:space="0"/>
              <w:right w:val="single" w:color="auto" w:sz="4" w:space="0"/>
            </w:tcBorders>
          </w:tcPr>
          <w:p w14:paraId="5ACCF5BD">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50486693">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1AF78279">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28CE29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5D4AF5A">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362" w:type="dxa"/>
            <w:tcBorders>
              <w:top w:val="single" w:color="auto" w:sz="4" w:space="0"/>
              <w:left w:val="single" w:color="auto" w:sz="4" w:space="0"/>
              <w:bottom w:val="single" w:color="auto" w:sz="4" w:space="0"/>
              <w:right w:val="single" w:color="auto" w:sz="4" w:space="0"/>
            </w:tcBorders>
            <w:vAlign w:val="center"/>
          </w:tcPr>
          <w:p w14:paraId="04165DC5">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验收方案</w:t>
            </w:r>
          </w:p>
        </w:tc>
        <w:tc>
          <w:tcPr>
            <w:tcW w:w="3884" w:type="dxa"/>
            <w:tcBorders>
              <w:top w:val="single" w:color="auto" w:sz="4" w:space="0"/>
              <w:left w:val="single" w:color="auto" w:sz="4" w:space="0"/>
              <w:bottom w:val="single" w:color="auto" w:sz="4" w:space="0"/>
              <w:right w:val="single" w:color="auto" w:sz="4" w:space="0"/>
            </w:tcBorders>
          </w:tcPr>
          <w:p w14:paraId="29EE24BC">
            <w:pPr>
              <w:keepNext w:val="0"/>
              <w:keepLines w:val="0"/>
              <w:pageBreakBefore w:val="0"/>
              <w:kinsoku/>
              <w:wordWrap/>
              <w:overflowPunct/>
              <w:topLinePunct w:val="0"/>
              <w:autoSpaceDE/>
              <w:autoSpaceDN/>
              <w:bidi w:val="0"/>
              <w:spacing w:line="30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以采购单位现场验收考核、工程竣工验收证明书为准。</w:t>
            </w:r>
          </w:p>
        </w:tc>
        <w:tc>
          <w:tcPr>
            <w:tcW w:w="1383" w:type="dxa"/>
            <w:tcBorders>
              <w:top w:val="single" w:color="auto" w:sz="4" w:space="0"/>
              <w:left w:val="single" w:color="auto" w:sz="4" w:space="0"/>
              <w:bottom w:val="single" w:color="auto" w:sz="4" w:space="0"/>
              <w:right w:val="single" w:color="auto" w:sz="4" w:space="0"/>
            </w:tcBorders>
          </w:tcPr>
          <w:p w14:paraId="3E83BB8A">
            <w:pPr>
              <w:keepNext w:val="0"/>
              <w:keepLines w:val="0"/>
              <w:pageBreakBefore w:val="0"/>
              <w:kinsoku/>
              <w:wordWrap/>
              <w:overflowPunct/>
              <w:topLinePunct w:val="0"/>
              <w:autoSpaceDE/>
              <w:autoSpaceDN/>
              <w:bidi w:val="0"/>
              <w:snapToGrid w:val="0"/>
              <w:spacing w:beforeLines="50" w:line="300" w:lineRule="exact"/>
              <w:ind w:left="43"/>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0529F1F7">
            <w:pPr>
              <w:keepNext w:val="0"/>
              <w:keepLines w:val="0"/>
              <w:pageBreakBefore w:val="0"/>
              <w:kinsoku/>
              <w:wordWrap/>
              <w:overflowPunct/>
              <w:topLinePunct w:val="0"/>
              <w:autoSpaceDE/>
              <w:autoSpaceDN/>
              <w:bidi w:val="0"/>
              <w:snapToGrid w:val="0"/>
              <w:spacing w:beforeLines="50" w:line="300" w:lineRule="exact"/>
              <w:ind w:left="43"/>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26F0AE2F">
            <w:pPr>
              <w:keepNext w:val="0"/>
              <w:keepLines w:val="0"/>
              <w:pageBreakBefore w:val="0"/>
              <w:kinsoku/>
              <w:wordWrap/>
              <w:overflowPunct/>
              <w:topLinePunct w:val="0"/>
              <w:autoSpaceDE/>
              <w:autoSpaceDN/>
              <w:bidi w:val="0"/>
              <w:snapToGrid w:val="0"/>
              <w:spacing w:beforeLines="50" w:line="300" w:lineRule="exact"/>
              <w:ind w:left="43"/>
              <w:textAlignment w:val="auto"/>
              <w:rPr>
                <w:rFonts w:hint="eastAsia" w:ascii="仿宋" w:hAnsi="仿宋" w:eastAsia="仿宋" w:cs="仿宋"/>
                <w:color w:val="auto"/>
                <w:sz w:val="24"/>
                <w:szCs w:val="24"/>
                <w:highlight w:val="none"/>
              </w:rPr>
            </w:pPr>
          </w:p>
        </w:tc>
      </w:tr>
      <w:tr w14:paraId="7C1B9F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4F932182">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362" w:type="dxa"/>
            <w:tcBorders>
              <w:top w:val="single" w:color="auto" w:sz="4" w:space="0"/>
              <w:left w:val="single" w:color="auto" w:sz="4" w:space="0"/>
              <w:bottom w:val="single" w:color="auto" w:sz="4" w:space="0"/>
              <w:right w:val="single" w:color="auto" w:sz="4" w:space="0"/>
            </w:tcBorders>
            <w:vAlign w:val="center"/>
          </w:tcPr>
          <w:p w14:paraId="33D493CC">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缺陷责任期</w:t>
            </w:r>
          </w:p>
        </w:tc>
        <w:tc>
          <w:tcPr>
            <w:tcW w:w="3884" w:type="dxa"/>
            <w:tcBorders>
              <w:top w:val="single" w:color="auto" w:sz="4" w:space="0"/>
              <w:left w:val="single" w:color="auto" w:sz="4" w:space="0"/>
              <w:bottom w:val="single" w:color="auto" w:sz="4" w:space="0"/>
              <w:right w:val="single" w:color="auto" w:sz="4" w:space="0"/>
            </w:tcBorders>
          </w:tcPr>
          <w:p w14:paraId="051128D1">
            <w:pPr>
              <w:keepNext w:val="0"/>
              <w:keepLines w:val="0"/>
              <w:pageBreakBefore w:val="0"/>
              <w:kinsoku/>
              <w:wordWrap/>
              <w:overflowPunct/>
              <w:topLinePunct w:val="0"/>
              <w:autoSpaceDE/>
              <w:autoSpaceDN/>
              <w:bidi w:val="0"/>
              <w:spacing w:line="3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w:t>
            </w:r>
            <w:r>
              <w:rPr>
                <w:rFonts w:hint="eastAsia" w:ascii="仿宋" w:hAnsi="仿宋" w:eastAsia="仿宋" w:cs="仿宋"/>
                <w:color w:val="auto"/>
                <w:sz w:val="24"/>
                <w:szCs w:val="24"/>
                <w:highlight w:val="none"/>
                <w:lang w:val="en-US" w:eastAsia="zh-CN"/>
              </w:rPr>
              <w:t>工程竣工</w:t>
            </w:r>
            <w:r>
              <w:rPr>
                <w:rFonts w:hint="eastAsia" w:ascii="仿宋" w:hAnsi="仿宋" w:eastAsia="仿宋" w:cs="仿宋"/>
                <w:color w:val="auto"/>
                <w:sz w:val="24"/>
                <w:szCs w:val="24"/>
                <w:highlight w:val="none"/>
              </w:rPr>
              <w:t>并验收合格之日起计</w:t>
            </w:r>
            <w:r>
              <w:rPr>
                <w:rFonts w:hint="eastAsia" w:ascii="仿宋" w:hAnsi="仿宋" w:eastAsia="仿宋" w:cs="仿宋"/>
                <w:color w:val="auto"/>
                <w:sz w:val="24"/>
                <w:szCs w:val="24"/>
                <w:highlight w:val="none"/>
                <w:u w:val="single"/>
                <w:lang w:val="en-US" w:eastAsia="zh-CN"/>
              </w:rPr>
              <w:t>贰</w:t>
            </w:r>
            <w:r>
              <w:rPr>
                <w:rFonts w:hint="eastAsia" w:ascii="仿宋" w:hAnsi="仿宋" w:eastAsia="仿宋" w:cs="仿宋"/>
                <w:color w:val="auto"/>
                <w:sz w:val="24"/>
                <w:szCs w:val="24"/>
                <w:highlight w:val="none"/>
              </w:rPr>
              <w:t>年。</w:t>
            </w:r>
          </w:p>
        </w:tc>
        <w:tc>
          <w:tcPr>
            <w:tcW w:w="1383" w:type="dxa"/>
            <w:tcBorders>
              <w:top w:val="single" w:color="auto" w:sz="4" w:space="0"/>
              <w:left w:val="single" w:color="auto" w:sz="4" w:space="0"/>
              <w:bottom w:val="single" w:color="auto" w:sz="4" w:space="0"/>
              <w:right w:val="single" w:color="auto" w:sz="4" w:space="0"/>
            </w:tcBorders>
          </w:tcPr>
          <w:p w14:paraId="0957A550">
            <w:pPr>
              <w:keepNext w:val="0"/>
              <w:keepLines w:val="0"/>
              <w:pageBreakBefore w:val="0"/>
              <w:kinsoku/>
              <w:wordWrap/>
              <w:overflowPunct/>
              <w:topLinePunct w:val="0"/>
              <w:autoSpaceDE/>
              <w:autoSpaceDN/>
              <w:bidi w:val="0"/>
              <w:snapToGrid w:val="0"/>
              <w:spacing w:beforeLines="50" w:line="300" w:lineRule="exact"/>
              <w:ind w:left="43"/>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115D2932">
            <w:pPr>
              <w:keepNext w:val="0"/>
              <w:keepLines w:val="0"/>
              <w:pageBreakBefore w:val="0"/>
              <w:kinsoku/>
              <w:wordWrap/>
              <w:overflowPunct/>
              <w:topLinePunct w:val="0"/>
              <w:autoSpaceDE/>
              <w:autoSpaceDN/>
              <w:bidi w:val="0"/>
              <w:snapToGrid w:val="0"/>
              <w:spacing w:beforeLines="50" w:line="300" w:lineRule="exact"/>
              <w:ind w:left="43"/>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110D8354">
            <w:pPr>
              <w:keepNext w:val="0"/>
              <w:keepLines w:val="0"/>
              <w:pageBreakBefore w:val="0"/>
              <w:kinsoku/>
              <w:wordWrap/>
              <w:overflowPunct/>
              <w:topLinePunct w:val="0"/>
              <w:autoSpaceDE/>
              <w:autoSpaceDN/>
              <w:bidi w:val="0"/>
              <w:snapToGrid w:val="0"/>
              <w:spacing w:beforeLines="50" w:line="300" w:lineRule="exact"/>
              <w:ind w:left="43"/>
              <w:textAlignment w:val="auto"/>
              <w:rPr>
                <w:rFonts w:hint="eastAsia" w:ascii="仿宋" w:hAnsi="仿宋" w:eastAsia="仿宋" w:cs="仿宋"/>
                <w:color w:val="auto"/>
                <w:sz w:val="24"/>
                <w:szCs w:val="24"/>
                <w:highlight w:val="none"/>
              </w:rPr>
            </w:pPr>
          </w:p>
        </w:tc>
      </w:tr>
      <w:tr w14:paraId="58EF0D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0D891341">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1362" w:type="dxa"/>
            <w:tcBorders>
              <w:top w:val="single" w:color="auto" w:sz="4" w:space="0"/>
              <w:left w:val="single" w:color="auto" w:sz="4" w:space="0"/>
              <w:bottom w:val="single" w:color="auto" w:sz="4" w:space="0"/>
              <w:right w:val="single" w:color="auto" w:sz="4" w:space="0"/>
            </w:tcBorders>
            <w:vAlign w:val="center"/>
          </w:tcPr>
          <w:p w14:paraId="1D56FAE9">
            <w:pPr>
              <w:keepNext w:val="0"/>
              <w:keepLines w:val="0"/>
              <w:pageBreakBefore w:val="0"/>
              <w:numPr>
                <w:ilvl w:val="0"/>
                <w:numId w:val="0"/>
              </w:numPr>
              <w:kinsoku/>
              <w:wordWrap/>
              <w:overflowPunct/>
              <w:topLinePunct w:val="0"/>
              <w:autoSpaceDE/>
              <w:autoSpaceDN/>
              <w:bidi w:val="0"/>
              <w:spacing w:line="300" w:lineRule="exact"/>
              <w:jc w:val="center"/>
              <w:textAlignment w:val="auto"/>
              <w:outlineLvl w:val="1"/>
              <w:rPr>
                <w:rFonts w:hint="eastAsia" w:ascii="仿宋" w:hAnsi="仿宋" w:eastAsia="仿宋" w:cs="仿宋"/>
                <w:color w:val="auto"/>
                <w:sz w:val="24"/>
                <w:szCs w:val="24"/>
                <w:highlight w:val="none"/>
              </w:rPr>
            </w:pPr>
            <w:bookmarkStart w:id="116" w:name="_Toc17939"/>
            <w:bookmarkStart w:id="117" w:name="_Toc10587"/>
            <w:bookmarkStart w:id="118" w:name="_Toc8724"/>
            <w:bookmarkStart w:id="119" w:name="_Toc15223"/>
            <w:r>
              <w:rPr>
                <w:rFonts w:hint="eastAsia" w:ascii="仿宋" w:hAnsi="仿宋" w:eastAsia="仿宋" w:cs="仿宋"/>
                <w:color w:val="auto"/>
                <w:sz w:val="24"/>
                <w:szCs w:val="24"/>
                <w:highlight w:val="none"/>
              </w:rPr>
              <w:t>付款方式</w:t>
            </w:r>
            <w:bookmarkEnd w:id="116"/>
            <w:bookmarkEnd w:id="117"/>
            <w:bookmarkEnd w:id="118"/>
            <w:bookmarkEnd w:id="119"/>
          </w:p>
          <w:p w14:paraId="2A282595">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tcPr>
          <w:p w14:paraId="378E7F42">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自工程竣工验收合格取得验收报告后付至合同价的40%，审计结束后付至审计价的70%，余款于缺陷责任期满且无质量问题后</w:t>
            </w:r>
            <w:r>
              <w:rPr>
                <w:rFonts w:hint="eastAsia" w:ascii="仿宋" w:hAnsi="仿宋" w:eastAsia="仿宋" w:cs="仿宋"/>
                <w:color w:val="auto"/>
                <w:sz w:val="24"/>
                <w:szCs w:val="24"/>
                <w:highlight w:val="none"/>
                <w:lang w:eastAsia="zh-CN"/>
              </w:rPr>
              <w:t>按</w:t>
            </w:r>
            <w:r>
              <w:rPr>
                <w:rFonts w:hint="eastAsia" w:ascii="仿宋" w:hAnsi="仿宋" w:eastAsia="仿宋" w:cs="仿宋"/>
                <w:color w:val="auto"/>
                <w:sz w:val="24"/>
                <w:szCs w:val="24"/>
                <w:highlight w:val="none"/>
                <w:lang w:val="en-US" w:eastAsia="zh-CN"/>
              </w:rPr>
              <w:t>审计价</w:t>
            </w:r>
            <w:r>
              <w:rPr>
                <w:rFonts w:hint="eastAsia" w:ascii="仿宋" w:hAnsi="仿宋" w:eastAsia="仿宋" w:cs="仿宋"/>
                <w:color w:val="auto"/>
                <w:sz w:val="24"/>
                <w:szCs w:val="24"/>
                <w:highlight w:val="none"/>
                <w:lang w:eastAsia="zh-CN"/>
              </w:rPr>
              <w:t>扣除已付款项一次性付清</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每次支付前，成交人均应出具在税务部门开具的正式税票。</w:t>
            </w:r>
          </w:p>
        </w:tc>
        <w:tc>
          <w:tcPr>
            <w:tcW w:w="1383" w:type="dxa"/>
            <w:tcBorders>
              <w:top w:val="single" w:color="auto" w:sz="4" w:space="0"/>
              <w:left w:val="single" w:color="auto" w:sz="4" w:space="0"/>
              <w:bottom w:val="single" w:color="auto" w:sz="4" w:space="0"/>
              <w:right w:val="single" w:color="auto" w:sz="4" w:space="0"/>
            </w:tcBorders>
          </w:tcPr>
          <w:p w14:paraId="740B4345">
            <w:pPr>
              <w:keepNext w:val="0"/>
              <w:keepLines w:val="0"/>
              <w:pageBreakBefore w:val="0"/>
              <w:kinsoku/>
              <w:wordWrap/>
              <w:overflowPunct/>
              <w:topLinePunct w:val="0"/>
              <w:autoSpaceDE/>
              <w:autoSpaceDN/>
              <w:bidi w:val="0"/>
              <w:snapToGrid w:val="0"/>
              <w:spacing w:beforeLines="50" w:line="300" w:lineRule="exact"/>
              <w:ind w:left="43"/>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4BFF8F62">
            <w:pPr>
              <w:keepNext w:val="0"/>
              <w:keepLines w:val="0"/>
              <w:pageBreakBefore w:val="0"/>
              <w:kinsoku/>
              <w:wordWrap/>
              <w:overflowPunct/>
              <w:topLinePunct w:val="0"/>
              <w:autoSpaceDE/>
              <w:autoSpaceDN/>
              <w:bidi w:val="0"/>
              <w:snapToGrid w:val="0"/>
              <w:spacing w:beforeLines="50" w:line="300" w:lineRule="exact"/>
              <w:ind w:left="43"/>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3F239368">
            <w:pPr>
              <w:keepNext w:val="0"/>
              <w:keepLines w:val="0"/>
              <w:pageBreakBefore w:val="0"/>
              <w:kinsoku/>
              <w:wordWrap/>
              <w:overflowPunct/>
              <w:topLinePunct w:val="0"/>
              <w:autoSpaceDE/>
              <w:autoSpaceDN/>
              <w:bidi w:val="0"/>
              <w:snapToGrid w:val="0"/>
              <w:spacing w:beforeLines="50" w:line="300" w:lineRule="exact"/>
              <w:ind w:left="43"/>
              <w:textAlignment w:val="auto"/>
              <w:rPr>
                <w:rFonts w:hint="eastAsia" w:ascii="仿宋" w:hAnsi="仿宋" w:eastAsia="仿宋" w:cs="仿宋"/>
                <w:color w:val="auto"/>
                <w:sz w:val="24"/>
                <w:szCs w:val="24"/>
                <w:highlight w:val="none"/>
              </w:rPr>
            </w:pPr>
          </w:p>
        </w:tc>
      </w:tr>
      <w:tr w14:paraId="0D346B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3F20ECC4">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1362" w:type="dxa"/>
            <w:tcBorders>
              <w:top w:val="single" w:color="auto" w:sz="4" w:space="0"/>
              <w:left w:val="single" w:color="auto" w:sz="4" w:space="0"/>
              <w:bottom w:val="single" w:color="auto" w:sz="4" w:space="0"/>
              <w:right w:val="single" w:color="auto" w:sz="4" w:space="0"/>
            </w:tcBorders>
            <w:vAlign w:val="center"/>
          </w:tcPr>
          <w:p w14:paraId="351BCE54">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过程中可能会实质性变动的内容</w:t>
            </w:r>
          </w:p>
        </w:tc>
        <w:tc>
          <w:tcPr>
            <w:tcW w:w="3884" w:type="dxa"/>
            <w:tcBorders>
              <w:top w:val="single" w:color="auto" w:sz="4" w:space="0"/>
              <w:left w:val="single" w:color="auto" w:sz="4" w:space="0"/>
              <w:bottom w:val="single" w:color="auto" w:sz="4" w:space="0"/>
              <w:right w:val="single" w:color="auto" w:sz="4" w:space="0"/>
            </w:tcBorders>
          </w:tcPr>
          <w:p w14:paraId="420C67E3">
            <w:pPr>
              <w:keepNext w:val="0"/>
              <w:keepLines w:val="0"/>
              <w:pageBreakBefore w:val="0"/>
              <w:kinsoku/>
              <w:wordWrap/>
              <w:overflowPunct/>
              <w:topLinePunct w:val="0"/>
              <w:autoSpaceDE/>
              <w:autoSpaceDN/>
              <w:bidi w:val="0"/>
              <w:spacing w:line="30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采购需求中的技术、服务要求以及合同草案条款</w:t>
            </w:r>
            <w:r>
              <w:rPr>
                <w:rFonts w:hint="eastAsia" w:ascii="仿宋" w:hAnsi="仿宋" w:eastAsia="仿宋" w:cs="仿宋"/>
                <w:color w:val="auto"/>
                <w:sz w:val="24"/>
                <w:szCs w:val="24"/>
                <w:highlight w:val="none"/>
                <w:lang w:eastAsia="zh-CN"/>
              </w:rPr>
              <w:t>。</w:t>
            </w:r>
          </w:p>
        </w:tc>
        <w:tc>
          <w:tcPr>
            <w:tcW w:w="1383" w:type="dxa"/>
            <w:tcBorders>
              <w:top w:val="single" w:color="auto" w:sz="4" w:space="0"/>
              <w:left w:val="single" w:color="auto" w:sz="4" w:space="0"/>
              <w:bottom w:val="single" w:color="auto" w:sz="4" w:space="0"/>
              <w:right w:val="single" w:color="auto" w:sz="4" w:space="0"/>
            </w:tcBorders>
          </w:tcPr>
          <w:p w14:paraId="0B7E2A5F">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21ECCE39">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126A66BB">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5AE502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3846B8A3">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1362" w:type="dxa"/>
            <w:vMerge w:val="restart"/>
            <w:tcBorders>
              <w:top w:val="single" w:color="auto" w:sz="4" w:space="0"/>
              <w:left w:val="single" w:color="auto" w:sz="4" w:space="0"/>
              <w:right w:val="single" w:color="auto" w:sz="4" w:space="0"/>
            </w:tcBorders>
            <w:vAlign w:val="center"/>
          </w:tcPr>
          <w:p w14:paraId="5F09110E">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安全文明施工</w:t>
            </w:r>
          </w:p>
        </w:tc>
        <w:tc>
          <w:tcPr>
            <w:tcW w:w="3884" w:type="dxa"/>
            <w:tcBorders>
              <w:top w:val="single" w:color="auto" w:sz="4" w:space="0"/>
              <w:left w:val="single" w:color="auto" w:sz="4" w:space="0"/>
              <w:bottom w:val="single" w:color="auto" w:sz="4" w:space="0"/>
              <w:right w:val="single" w:color="auto" w:sz="4" w:space="0"/>
            </w:tcBorders>
          </w:tcPr>
          <w:p w14:paraId="1DB91E35">
            <w:pPr>
              <w:pStyle w:val="19"/>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1.项目安全生产的达标目标及相应事项的约定：满足江苏省、南通市等安监部门安全文明生产的要求，做好安全技术教育及交底，落实所有安全技术措施和人身防护用品。</w:t>
            </w:r>
          </w:p>
        </w:tc>
        <w:tc>
          <w:tcPr>
            <w:tcW w:w="1383" w:type="dxa"/>
            <w:tcBorders>
              <w:top w:val="single" w:color="auto" w:sz="4" w:space="0"/>
              <w:left w:val="single" w:color="auto" w:sz="4" w:space="0"/>
              <w:bottom w:val="single" w:color="auto" w:sz="4" w:space="0"/>
              <w:right w:val="single" w:color="auto" w:sz="4" w:space="0"/>
            </w:tcBorders>
          </w:tcPr>
          <w:p w14:paraId="38E99D86">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67C0477D">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240EB419">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04E360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30048781">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362" w:type="dxa"/>
            <w:vMerge w:val="continue"/>
            <w:tcBorders>
              <w:left w:val="single" w:color="auto" w:sz="4" w:space="0"/>
              <w:right w:val="single" w:color="auto" w:sz="4" w:space="0"/>
            </w:tcBorders>
            <w:vAlign w:val="center"/>
          </w:tcPr>
          <w:p w14:paraId="7186F4CD">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tcPr>
          <w:p w14:paraId="6373C1FD">
            <w:pPr>
              <w:pStyle w:val="19"/>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2.建立安全制度、安全检查制度、安全教育制度、工地班前活动制度、文明施工检查制度。</w:t>
            </w:r>
          </w:p>
        </w:tc>
        <w:tc>
          <w:tcPr>
            <w:tcW w:w="1383" w:type="dxa"/>
            <w:tcBorders>
              <w:top w:val="single" w:color="auto" w:sz="4" w:space="0"/>
              <w:left w:val="single" w:color="auto" w:sz="4" w:space="0"/>
              <w:bottom w:val="single" w:color="auto" w:sz="4" w:space="0"/>
              <w:right w:val="single" w:color="auto" w:sz="4" w:space="0"/>
            </w:tcBorders>
          </w:tcPr>
          <w:p w14:paraId="312B4478">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05DCC04D">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5A9389F4">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1EBBB6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86B86CF">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1362" w:type="dxa"/>
            <w:vMerge w:val="continue"/>
            <w:tcBorders>
              <w:left w:val="single" w:color="auto" w:sz="4" w:space="0"/>
              <w:right w:val="single" w:color="auto" w:sz="4" w:space="0"/>
            </w:tcBorders>
            <w:vAlign w:val="center"/>
          </w:tcPr>
          <w:p w14:paraId="7E46CC9F">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tcPr>
          <w:p w14:paraId="317011A7">
            <w:pPr>
              <w:pStyle w:val="19"/>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3.成交人应严格按《建设工程安全生产管理条例》等法律、法规采取安全措施、组织施工，如发生事故，责任概由成交人承担。</w:t>
            </w:r>
          </w:p>
        </w:tc>
        <w:tc>
          <w:tcPr>
            <w:tcW w:w="1383" w:type="dxa"/>
            <w:tcBorders>
              <w:top w:val="single" w:color="auto" w:sz="4" w:space="0"/>
              <w:left w:val="single" w:color="auto" w:sz="4" w:space="0"/>
              <w:bottom w:val="single" w:color="auto" w:sz="4" w:space="0"/>
              <w:right w:val="single" w:color="auto" w:sz="4" w:space="0"/>
            </w:tcBorders>
          </w:tcPr>
          <w:p w14:paraId="638B6F3C">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1DE5C996">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13DE0EAF">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4317CC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C78BA42">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362" w:type="dxa"/>
            <w:vMerge w:val="continue"/>
            <w:tcBorders>
              <w:left w:val="single" w:color="auto" w:sz="4" w:space="0"/>
              <w:right w:val="single" w:color="auto" w:sz="4" w:space="0"/>
            </w:tcBorders>
            <w:vAlign w:val="center"/>
          </w:tcPr>
          <w:p w14:paraId="48CA1690">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tcPr>
          <w:p w14:paraId="481D9616">
            <w:pPr>
              <w:pStyle w:val="19"/>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4.成交人对施工现场的安全生产负责。成交人在工地现场必须配备专职安全员；安全员必须持证上岗。</w:t>
            </w:r>
          </w:p>
        </w:tc>
        <w:tc>
          <w:tcPr>
            <w:tcW w:w="1383" w:type="dxa"/>
            <w:tcBorders>
              <w:top w:val="single" w:color="auto" w:sz="4" w:space="0"/>
              <w:left w:val="single" w:color="auto" w:sz="4" w:space="0"/>
              <w:bottom w:val="single" w:color="auto" w:sz="4" w:space="0"/>
              <w:right w:val="single" w:color="auto" w:sz="4" w:space="0"/>
            </w:tcBorders>
          </w:tcPr>
          <w:p w14:paraId="68EEB338">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670BE298">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2577240B">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6FB187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43735E87">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362" w:type="dxa"/>
            <w:vMerge w:val="continue"/>
            <w:tcBorders>
              <w:left w:val="single" w:color="auto" w:sz="4" w:space="0"/>
              <w:right w:val="single" w:color="auto" w:sz="4" w:space="0"/>
            </w:tcBorders>
            <w:vAlign w:val="center"/>
          </w:tcPr>
          <w:p w14:paraId="3ADA833F">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tcPr>
          <w:p w14:paraId="0A2DA618">
            <w:pPr>
              <w:pStyle w:val="19"/>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工程施工前和施工中，成交人项目经理或技术负责人应当对有关安全施工技术进行交底；成交人必须编制安全施工措施和施工现场临时用电、施工现场周边及主要通道的安全防护措施及其它有关法规要求的专项施工方案，专项施工方案必须经本单位技术负责人批准后，报采购人代表批准后实施。</w:t>
            </w:r>
          </w:p>
        </w:tc>
        <w:tc>
          <w:tcPr>
            <w:tcW w:w="1383" w:type="dxa"/>
            <w:tcBorders>
              <w:top w:val="single" w:color="auto" w:sz="4" w:space="0"/>
              <w:left w:val="single" w:color="auto" w:sz="4" w:space="0"/>
              <w:bottom w:val="single" w:color="auto" w:sz="4" w:space="0"/>
              <w:right w:val="single" w:color="auto" w:sz="4" w:space="0"/>
            </w:tcBorders>
          </w:tcPr>
          <w:p w14:paraId="610C111B">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553CCAF5">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3B8FFBBE">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00422E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A1B1973">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362" w:type="dxa"/>
            <w:vMerge w:val="continue"/>
            <w:tcBorders>
              <w:left w:val="single" w:color="auto" w:sz="4" w:space="0"/>
              <w:right w:val="single" w:color="auto" w:sz="4" w:space="0"/>
            </w:tcBorders>
            <w:vAlign w:val="center"/>
          </w:tcPr>
          <w:p w14:paraId="0EDD9525">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tcPr>
          <w:p w14:paraId="18235045">
            <w:pPr>
              <w:pStyle w:val="19"/>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6.工程施工前，成交人应根据法律、法规、规范、标准等要求，制定安全施工标准及要求，负责向施工作业班组、作业人员作出详细的说明，并由双方签字确认。</w:t>
            </w:r>
          </w:p>
        </w:tc>
        <w:tc>
          <w:tcPr>
            <w:tcW w:w="1383" w:type="dxa"/>
            <w:tcBorders>
              <w:top w:val="single" w:color="auto" w:sz="4" w:space="0"/>
              <w:left w:val="single" w:color="auto" w:sz="4" w:space="0"/>
              <w:bottom w:val="single" w:color="auto" w:sz="4" w:space="0"/>
              <w:right w:val="single" w:color="auto" w:sz="4" w:space="0"/>
            </w:tcBorders>
          </w:tcPr>
          <w:p w14:paraId="415E650F">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33B5519F">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2EC77056">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1A3C8A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822036B">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362" w:type="dxa"/>
            <w:vMerge w:val="continue"/>
            <w:tcBorders>
              <w:left w:val="single" w:color="auto" w:sz="4" w:space="0"/>
              <w:right w:val="single" w:color="auto" w:sz="4" w:space="0"/>
            </w:tcBorders>
            <w:vAlign w:val="center"/>
          </w:tcPr>
          <w:p w14:paraId="5906741B">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tcPr>
          <w:p w14:paraId="49A677CE">
            <w:pPr>
              <w:pStyle w:val="19"/>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工程施工前，成交人使用的安全防护用具、机械设备（特别是垂直运输机械）、施工机具及配件，应当具有生产（制造）许可证、产品合格证，并在进入施工现场前进行查验，进场安装经有权部门检测合格签字确认后方可使用。</w:t>
            </w:r>
          </w:p>
        </w:tc>
        <w:tc>
          <w:tcPr>
            <w:tcW w:w="1383" w:type="dxa"/>
            <w:tcBorders>
              <w:top w:val="single" w:color="auto" w:sz="4" w:space="0"/>
              <w:left w:val="single" w:color="auto" w:sz="4" w:space="0"/>
              <w:bottom w:val="single" w:color="auto" w:sz="4" w:space="0"/>
              <w:right w:val="single" w:color="auto" w:sz="4" w:space="0"/>
            </w:tcBorders>
          </w:tcPr>
          <w:p w14:paraId="4C7DADB3">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618037D5">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3A696B0D">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6D24CE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02869D1">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362" w:type="dxa"/>
            <w:vMerge w:val="continue"/>
            <w:tcBorders>
              <w:left w:val="single" w:color="auto" w:sz="4" w:space="0"/>
              <w:right w:val="single" w:color="auto" w:sz="4" w:space="0"/>
            </w:tcBorders>
            <w:vAlign w:val="center"/>
          </w:tcPr>
          <w:p w14:paraId="1EA3B249">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tcPr>
          <w:p w14:paraId="1006566A">
            <w:pPr>
              <w:pStyle w:val="19"/>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8.特种作业人员，必须按照国家有关规定经过专门的安全作业培训，并取得特种作业操作资格证书后，方可上岗作业。</w:t>
            </w:r>
          </w:p>
        </w:tc>
        <w:tc>
          <w:tcPr>
            <w:tcW w:w="1383" w:type="dxa"/>
            <w:tcBorders>
              <w:top w:val="single" w:color="auto" w:sz="4" w:space="0"/>
              <w:left w:val="single" w:color="auto" w:sz="4" w:space="0"/>
              <w:bottom w:val="single" w:color="auto" w:sz="4" w:space="0"/>
              <w:right w:val="single" w:color="auto" w:sz="4" w:space="0"/>
            </w:tcBorders>
          </w:tcPr>
          <w:p w14:paraId="0402EB55">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16AB0E93">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75C8FACA">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78AB8C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B978AF4">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362" w:type="dxa"/>
            <w:vMerge w:val="continue"/>
            <w:tcBorders>
              <w:left w:val="single" w:color="auto" w:sz="4" w:space="0"/>
              <w:right w:val="single" w:color="auto" w:sz="4" w:space="0"/>
            </w:tcBorders>
            <w:vAlign w:val="center"/>
          </w:tcPr>
          <w:p w14:paraId="193B12A7">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tcPr>
          <w:p w14:paraId="25F7C6B7">
            <w:pPr>
              <w:pStyle w:val="19"/>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w:t>
            </w:r>
          </w:p>
        </w:tc>
        <w:tc>
          <w:tcPr>
            <w:tcW w:w="1383" w:type="dxa"/>
            <w:tcBorders>
              <w:top w:val="single" w:color="auto" w:sz="4" w:space="0"/>
              <w:left w:val="single" w:color="auto" w:sz="4" w:space="0"/>
              <w:bottom w:val="single" w:color="auto" w:sz="4" w:space="0"/>
              <w:right w:val="single" w:color="auto" w:sz="4" w:space="0"/>
            </w:tcBorders>
          </w:tcPr>
          <w:p w14:paraId="69E142B4">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2BBE0352">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33B0E007">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775A3A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4F9DF2FD">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362" w:type="dxa"/>
            <w:vMerge w:val="continue"/>
            <w:tcBorders>
              <w:left w:val="single" w:color="auto" w:sz="4" w:space="0"/>
              <w:right w:val="single" w:color="auto" w:sz="4" w:space="0"/>
            </w:tcBorders>
            <w:vAlign w:val="center"/>
          </w:tcPr>
          <w:p w14:paraId="53D28CEE">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tcPr>
          <w:p w14:paraId="63ED33C6">
            <w:pPr>
              <w:pStyle w:val="19"/>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p>
        </w:tc>
        <w:tc>
          <w:tcPr>
            <w:tcW w:w="1383" w:type="dxa"/>
            <w:tcBorders>
              <w:top w:val="single" w:color="auto" w:sz="4" w:space="0"/>
              <w:left w:val="single" w:color="auto" w:sz="4" w:space="0"/>
              <w:bottom w:val="single" w:color="auto" w:sz="4" w:space="0"/>
              <w:right w:val="single" w:color="auto" w:sz="4" w:space="0"/>
            </w:tcBorders>
          </w:tcPr>
          <w:p w14:paraId="1B21D9D9">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16629B03">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34C47F13">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0A98F1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788BBCDF">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362" w:type="dxa"/>
            <w:vMerge w:val="continue"/>
            <w:tcBorders>
              <w:left w:val="single" w:color="auto" w:sz="4" w:space="0"/>
              <w:right w:val="single" w:color="auto" w:sz="4" w:space="0"/>
            </w:tcBorders>
            <w:vAlign w:val="center"/>
          </w:tcPr>
          <w:p w14:paraId="576CDD48">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tcPr>
          <w:p w14:paraId="69A781EA">
            <w:pPr>
              <w:pStyle w:val="19"/>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11.成交人负责施工期间施工区域内的安全保卫工作，包括在施工区域内提供和维护有利于工程和公众安全和方便的灯光、护板、格栅等警告警示信号和警卫。</w:t>
            </w:r>
          </w:p>
        </w:tc>
        <w:tc>
          <w:tcPr>
            <w:tcW w:w="1383" w:type="dxa"/>
            <w:tcBorders>
              <w:top w:val="single" w:color="auto" w:sz="4" w:space="0"/>
              <w:left w:val="single" w:color="auto" w:sz="4" w:space="0"/>
              <w:bottom w:val="single" w:color="auto" w:sz="4" w:space="0"/>
              <w:right w:val="single" w:color="auto" w:sz="4" w:space="0"/>
            </w:tcBorders>
          </w:tcPr>
          <w:p w14:paraId="2963D84B">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1F47E41A">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62C3E23C">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54FE7C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6FC40E8">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362" w:type="dxa"/>
            <w:vMerge w:val="continue"/>
            <w:tcBorders>
              <w:left w:val="single" w:color="auto" w:sz="4" w:space="0"/>
              <w:right w:val="single" w:color="auto" w:sz="4" w:space="0"/>
            </w:tcBorders>
            <w:vAlign w:val="center"/>
          </w:tcPr>
          <w:p w14:paraId="161FF67F">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tcPr>
          <w:p w14:paraId="05ABB1BC">
            <w:pPr>
              <w:pStyle w:val="19"/>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12.成交人应对现场作业、施工方法及所施工工程的完备性、稳定性和安全性承担全部责任，并负责承担对工程的稳定、完整、安全、可靠及有效运行所必需的全部工作及相关费用。</w:t>
            </w:r>
          </w:p>
        </w:tc>
        <w:tc>
          <w:tcPr>
            <w:tcW w:w="1383" w:type="dxa"/>
            <w:tcBorders>
              <w:top w:val="single" w:color="auto" w:sz="4" w:space="0"/>
              <w:left w:val="single" w:color="auto" w:sz="4" w:space="0"/>
              <w:bottom w:val="single" w:color="auto" w:sz="4" w:space="0"/>
              <w:right w:val="single" w:color="auto" w:sz="4" w:space="0"/>
            </w:tcBorders>
          </w:tcPr>
          <w:p w14:paraId="41799EFB">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20436852">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073369D7">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047D93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1FF0B02F">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362" w:type="dxa"/>
            <w:vMerge w:val="continue"/>
            <w:tcBorders>
              <w:left w:val="single" w:color="auto" w:sz="4" w:space="0"/>
              <w:right w:val="single" w:color="auto" w:sz="4" w:space="0"/>
            </w:tcBorders>
            <w:vAlign w:val="center"/>
          </w:tcPr>
          <w:p w14:paraId="63DCC3F5">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tcPr>
          <w:p w14:paraId="64A3E1D1">
            <w:pPr>
              <w:pStyle w:val="19"/>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13.在施工期间，由于非采购人原因造成的事故，成交人需承担全部责任及由此引起的一切费用，采购人不承担任何责任，造成事故严重或多次造成事故的，采购人有权单方解除合同并拒付工程款。</w:t>
            </w:r>
          </w:p>
        </w:tc>
        <w:tc>
          <w:tcPr>
            <w:tcW w:w="1383" w:type="dxa"/>
            <w:tcBorders>
              <w:top w:val="single" w:color="auto" w:sz="4" w:space="0"/>
              <w:left w:val="single" w:color="auto" w:sz="4" w:space="0"/>
              <w:bottom w:val="single" w:color="auto" w:sz="4" w:space="0"/>
              <w:right w:val="single" w:color="auto" w:sz="4" w:space="0"/>
            </w:tcBorders>
          </w:tcPr>
          <w:p w14:paraId="36D4B6BC">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043C40A4">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4BA74214">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0445D6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0F8E0CB1">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362" w:type="dxa"/>
            <w:vMerge w:val="continue"/>
            <w:tcBorders>
              <w:left w:val="single" w:color="auto" w:sz="4" w:space="0"/>
              <w:right w:val="single" w:color="auto" w:sz="4" w:space="0"/>
            </w:tcBorders>
            <w:vAlign w:val="center"/>
          </w:tcPr>
          <w:p w14:paraId="3568DD36">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tcPr>
          <w:p w14:paraId="5BC46BDE">
            <w:pPr>
              <w:pStyle w:val="19"/>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14.环境保护：成交人应在施工组织设计中列明环境保护的具体措施。在合同履行期间，承包人应根据《南通市城乡建设局关于把环境保护纳入合同管理的通知》（通建工〔2018〕97 号）文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p>
        </w:tc>
        <w:tc>
          <w:tcPr>
            <w:tcW w:w="1383" w:type="dxa"/>
            <w:tcBorders>
              <w:top w:val="single" w:color="auto" w:sz="4" w:space="0"/>
              <w:left w:val="single" w:color="auto" w:sz="4" w:space="0"/>
              <w:bottom w:val="single" w:color="auto" w:sz="4" w:space="0"/>
              <w:right w:val="single" w:color="auto" w:sz="4" w:space="0"/>
            </w:tcBorders>
          </w:tcPr>
          <w:p w14:paraId="2103826E">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300AA248">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624ADB68">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750F4A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5A0667C">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362" w:type="dxa"/>
            <w:vMerge w:val="continue"/>
            <w:tcBorders>
              <w:left w:val="single" w:color="auto" w:sz="4" w:space="0"/>
              <w:bottom w:val="single" w:color="auto" w:sz="4" w:space="0"/>
              <w:right w:val="single" w:color="auto" w:sz="4" w:space="0"/>
            </w:tcBorders>
            <w:vAlign w:val="center"/>
          </w:tcPr>
          <w:p w14:paraId="10BF26F5">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tcPr>
          <w:p w14:paraId="520FCAA2">
            <w:pPr>
              <w:pStyle w:val="19"/>
              <w:keepNext w:val="0"/>
              <w:keepLines w:val="0"/>
              <w:pageBreakBefore w:val="0"/>
              <w:kinsoku/>
              <w:wordWrap/>
              <w:overflowPunct/>
              <w:topLinePunct w:val="0"/>
              <w:autoSpaceDE/>
              <w:autoSpaceDN/>
              <w:bidi w:val="0"/>
              <w:snapToGrid w:val="0"/>
              <w:spacing w:before="0" w:beforeLines="50" w:beforeAutospacing="0" w:after="0" w:afterAutospacing="0" w:line="300" w:lineRule="exact"/>
              <w:ind w:firstLine="56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在施工过程中，须加强绿色建造与环境管理，做好扬尘防治工作，减少噪音污染。各潜在响应供应商自行踏勘现场，充分考虑城市交通、文明创建等客观因素对工期造成的影响；成交人自行负责材料堆场设置，严格按城区管理要求妥善处置废弃建筑材料和多余土方，同时做好项目施工期间噪音降低、扬尘洒水、现场污染源控制等环境保护措施，以及施工现场全线标准化围挡和美化等文明施工措施，最大限度地减少对周边住户、店铺以及日常交通的影响，做好安全文明施工。</w:t>
            </w:r>
          </w:p>
        </w:tc>
        <w:tc>
          <w:tcPr>
            <w:tcW w:w="1383" w:type="dxa"/>
            <w:tcBorders>
              <w:top w:val="single" w:color="auto" w:sz="4" w:space="0"/>
              <w:left w:val="single" w:color="auto" w:sz="4" w:space="0"/>
              <w:bottom w:val="single" w:color="auto" w:sz="4" w:space="0"/>
              <w:right w:val="single" w:color="auto" w:sz="4" w:space="0"/>
            </w:tcBorders>
          </w:tcPr>
          <w:p w14:paraId="5399F551">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0904928D">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030DF2E4">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72EB1F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0E0C4A1E">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1362" w:type="dxa"/>
            <w:vMerge w:val="restart"/>
            <w:tcBorders>
              <w:top w:val="single" w:color="auto" w:sz="4" w:space="0"/>
              <w:left w:val="single" w:color="auto" w:sz="4" w:space="0"/>
              <w:right w:val="single" w:color="auto" w:sz="4" w:space="0"/>
            </w:tcBorders>
            <w:vAlign w:val="center"/>
          </w:tcPr>
          <w:p w14:paraId="6E4513B5">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结算方式及报价要求</w:t>
            </w:r>
          </w:p>
        </w:tc>
        <w:tc>
          <w:tcPr>
            <w:tcW w:w="3884" w:type="dxa"/>
            <w:tcBorders>
              <w:top w:val="single" w:color="auto" w:sz="4" w:space="0"/>
              <w:left w:val="single" w:color="auto" w:sz="4" w:space="0"/>
              <w:bottom w:val="single" w:color="auto" w:sz="4" w:space="0"/>
              <w:right w:val="single" w:color="auto" w:sz="4" w:space="0"/>
            </w:tcBorders>
            <w:shd w:val="clear" w:color="auto" w:fill="auto"/>
            <w:vAlign w:val="top"/>
          </w:tcPr>
          <w:p w14:paraId="7ED167E8">
            <w:pPr>
              <w:keepNext w:val="0"/>
              <w:keepLines w:val="0"/>
              <w:pageBreakBefore w:val="0"/>
              <w:widowControl/>
              <w:kinsoku/>
              <w:wordWrap/>
              <w:overflowPunct/>
              <w:topLinePunct w:val="0"/>
              <w:autoSpaceDE/>
              <w:autoSpaceDN/>
              <w:bidi w:val="0"/>
              <w:snapToGrid w:val="0"/>
              <w:spacing w:beforeLines="50" w:line="300" w:lineRule="exact"/>
              <w:ind w:firstLine="480" w:firstLineChars="200"/>
              <w:contextualSpacing/>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（一）报价要求1.本采购文件规定的工程范围、工程规模、工期要求、技术要求、工程量清单等是响应供应商报价的基础，响应供应商在报价中所报的单价和合价，以及报价汇总表中的价格均包括现场所有</w:t>
            </w:r>
            <w:r>
              <w:rPr>
                <w:rFonts w:hint="eastAsia" w:ascii="仿宋" w:hAnsi="仿宋" w:eastAsia="仿宋" w:cs="仿宋"/>
                <w:color w:val="auto"/>
                <w:sz w:val="24"/>
                <w:szCs w:val="24"/>
                <w:highlight w:val="none"/>
                <w:lang w:val="en-US" w:eastAsia="zh-CN"/>
              </w:rPr>
              <w:t>施工</w:t>
            </w:r>
            <w:r>
              <w:rPr>
                <w:rFonts w:hint="eastAsia" w:ascii="仿宋" w:hAnsi="仿宋" w:eastAsia="仿宋" w:cs="仿宋"/>
                <w:color w:val="auto"/>
                <w:sz w:val="24"/>
                <w:szCs w:val="24"/>
                <w:highlight w:val="none"/>
              </w:rPr>
              <w:t>相关费用；材料、运输、施工、安全、垃圾清运、税费、技术措施费、机械进出场费、风险费、政策性文件规定费用、设计费等一切与之相关费用；工程类的直接费、间接费、措施费、规费、税费等一切费用等。</w:t>
            </w:r>
          </w:p>
        </w:tc>
        <w:tc>
          <w:tcPr>
            <w:tcW w:w="1383" w:type="dxa"/>
            <w:tcBorders>
              <w:top w:val="single" w:color="auto" w:sz="4" w:space="0"/>
              <w:left w:val="single" w:color="auto" w:sz="4" w:space="0"/>
              <w:bottom w:val="single" w:color="auto" w:sz="4" w:space="0"/>
              <w:right w:val="single" w:color="auto" w:sz="4" w:space="0"/>
            </w:tcBorders>
          </w:tcPr>
          <w:p w14:paraId="3A69EB54">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3B70AB6D">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71118A30">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4DD658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50A4467E">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w:t>
            </w:r>
          </w:p>
        </w:tc>
        <w:tc>
          <w:tcPr>
            <w:tcW w:w="1362" w:type="dxa"/>
            <w:vMerge w:val="continue"/>
            <w:tcBorders>
              <w:left w:val="single" w:color="auto" w:sz="4" w:space="0"/>
              <w:right w:val="single" w:color="auto" w:sz="4" w:space="0"/>
            </w:tcBorders>
            <w:vAlign w:val="center"/>
          </w:tcPr>
          <w:p w14:paraId="577E518A">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shd w:val="clear" w:color="auto" w:fill="auto"/>
            <w:vAlign w:val="top"/>
          </w:tcPr>
          <w:p w14:paraId="43790AAC">
            <w:pPr>
              <w:keepNext w:val="0"/>
              <w:keepLines w:val="0"/>
              <w:pageBreakBefore w:val="0"/>
              <w:widowControl/>
              <w:kinsoku/>
              <w:wordWrap/>
              <w:overflowPunct/>
              <w:topLinePunct w:val="0"/>
              <w:autoSpaceDE/>
              <w:autoSpaceDN/>
              <w:bidi w:val="0"/>
              <w:snapToGrid w:val="0"/>
              <w:spacing w:beforeLines="50" w:line="300" w:lineRule="exact"/>
              <w:ind w:firstLine="480" w:firstLineChars="200"/>
              <w:contextualSpacing/>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2.响应供应商应按采购人提供的工程量清单列出的工程项目和工程量填报单价（合价）。每一项目只允许有一个报价。任何有选择的报价将不予接受。响应供应商未填报单价或合价的工程项目，在实施后，采购人将不予支付，并视为该项费用已包括在其他有价款的单价或合价内。</w:t>
            </w:r>
          </w:p>
        </w:tc>
        <w:tc>
          <w:tcPr>
            <w:tcW w:w="1383" w:type="dxa"/>
            <w:tcBorders>
              <w:top w:val="single" w:color="auto" w:sz="4" w:space="0"/>
              <w:left w:val="single" w:color="auto" w:sz="4" w:space="0"/>
              <w:bottom w:val="single" w:color="auto" w:sz="4" w:space="0"/>
              <w:right w:val="single" w:color="auto" w:sz="4" w:space="0"/>
            </w:tcBorders>
          </w:tcPr>
          <w:p w14:paraId="4486FA58">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2DDAFD34">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17D45B22">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4E59AE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62ABFE57">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w:t>
            </w:r>
          </w:p>
        </w:tc>
        <w:tc>
          <w:tcPr>
            <w:tcW w:w="1362" w:type="dxa"/>
            <w:vMerge w:val="continue"/>
            <w:tcBorders>
              <w:left w:val="single" w:color="auto" w:sz="4" w:space="0"/>
              <w:right w:val="single" w:color="auto" w:sz="4" w:space="0"/>
            </w:tcBorders>
            <w:vAlign w:val="center"/>
          </w:tcPr>
          <w:p w14:paraId="013EA714">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shd w:val="clear" w:color="auto" w:fill="auto"/>
            <w:vAlign w:val="top"/>
          </w:tcPr>
          <w:p w14:paraId="46079C8F">
            <w:pPr>
              <w:keepNext w:val="0"/>
              <w:keepLines w:val="0"/>
              <w:pageBreakBefore w:val="0"/>
              <w:widowControl/>
              <w:kinsoku/>
              <w:wordWrap/>
              <w:overflowPunct/>
              <w:topLinePunct w:val="0"/>
              <w:autoSpaceDE/>
              <w:autoSpaceDN/>
              <w:bidi w:val="0"/>
              <w:snapToGrid w:val="0"/>
              <w:spacing w:beforeLines="50" w:line="300" w:lineRule="exact"/>
              <w:ind w:firstLine="480" w:firstLineChars="200"/>
              <w:contextualSpacing/>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3.</w:t>
            </w:r>
            <w:r>
              <w:rPr>
                <w:rFonts w:hint="eastAsia" w:ascii="仿宋" w:hAnsi="仿宋" w:eastAsia="仿宋" w:cs="仿宋"/>
                <w:b/>
                <w:bCs/>
                <w:color w:val="auto"/>
                <w:sz w:val="24"/>
                <w:szCs w:val="24"/>
                <w:highlight w:val="none"/>
              </w:rPr>
              <w:t>报价方式：本工程项目采用固定单价报价（现场二次报价时按总价填报）。</w:t>
            </w:r>
            <w:r>
              <w:rPr>
                <w:rFonts w:hint="eastAsia" w:ascii="仿宋" w:hAnsi="仿宋" w:eastAsia="仿宋" w:cs="仿宋"/>
                <w:color w:val="auto"/>
                <w:sz w:val="24"/>
                <w:szCs w:val="24"/>
                <w:highlight w:val="none"/>
              </w:rPr>
              <w:t>响应供应商报价时必须充分考虑货物及施工期间人工、机械、各类建材及施工期间国家政策等风险。所报价格包含主材费、施工费、安装费、管理费利润规费及税金等全部费用，结算时除发包人要求变更外，单价一律不作调整。</w:t>
            </w:r>
          </w:p>
        </w:tc>
        <w:tc>
          <w:tcPr>
            <w:tcW w:w="1383" w:type="dxa"/>
            <w:tcBorders>
              <w:top w:val="single" w:color="auto" w:sz="4" w:space="0"/>
              <w:left w:val="single" w:color="auto" w:sz="4" w:space="0"/>
              <w:bottom w:val="single" w:color="auto" w:sz="4" w:space="0"/>
              <w:right w:val="single" w:color="auto" w:sz="4" w:space="0"/>
            </w:tcBorders>
          </w:tcPr>
          <w:p w14:paraId="5B0EA11F">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7F50035F">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3D4A18E3">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2D3FEE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ED81D69">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w:t>
            </w:r>
          </w:p>
        </w:tc>
        <w:tc>
          <w:tcPr>
            <w:tcW w:w="1362" w:type="dxa"/>
            <w:vMerge w:val="continue"/>
            <w:tcBorders>
              <w:left w:val="single" w:color="auto" w:sz="4" w:space="0"/>
              <w:right w:val="single" w:color="auto" w:sz="4" w:space="0"/>
            </w:tcBorders>
            <w:vAlign w:val="center"/>
          </w:tcPr>
          <w:p w14:paraId="31FD8C28">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shd w:val="clear" w:color="auto" w:fill="auto"/>
            <w:vAlign w:val="top"/>
          </w:tcPr>
          <w:p w14:paraId="23B88792">
            <w:pPr>
              <w:keepNext w:val="0"/>
              <w:keepLines w:val="0"/>
              <w:pageBreakBefore w:val="0"/>
              <w:widowControl/>
              <w:kinsoku/>
              <w:wordWrap/>
              <w:overflowPunct/>
              <w:topLinePunct w:val="0"/>
              <w:autoSpaceDE/>
              <w:autoSpaceDN/>
              <w:bidi w:val="0"/>
              <w:snapToGrid w:val="0"/>
              <w:spacing w:line="300" w:lineRule="exact"/>
              <w:ind w:firstLine="480" w:firstLineChars="200"/>
              <w:contextualSpacing/>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报价含交付使用前一切费用。不接受选择性报价。</w:t>
            </w:r>
          </w:p>
        </w:tc>
        <w:tc>
          <w:tcPr>
            <w:tcW w:w="1383" w:type="dxa"/>
            <w:tcBorders>
              <w:top w:val="single" w:color="auto" w:sz="4" w:space="0"/>
              <w:left w:val="single" w:color="auto" w:sz="4" w:space="0"/>
              <w:bottom w:val="single" w:color="auto" w:sz="4" w:space="0"/>
              <w:right w:val="single" w:color="auto" w:sz="4" w:space="0"/>
            </w:tcBorders>
          </w:tcPr>
          <w:p w14:paraId="6EC2C7C2">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0780BC5C">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32A0D8B6">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06D741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20B74912">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w:t>
            </w:r>
          </w:p>
        </w:tc>
        <w:tc>
          <w:tcPr>
            <w:tcW w:w="1362" w:type="dxa"/>
            <w:vMerge w:val="restart"/>
            <w:tcBorders>
              <w:top w:val="single" w:color="auto" w:sz="4" w:space="0"/>
              <w:left w:val="single" w:color="auto" w:sz="4" w:space="0"/>
              <w:right w:val="single" w:color="auto" w:sz="4" w:space="0"/>
            </w:tcBorders>
            <w:vAlign w:val="center"/>
          </w:tcPr>
          <w:p w14:paraId="6073F9FB">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其他要求</w:t>
            </w:r>
          </w:p>
        </w:tc>
        <w:tc>
          <w:tcPr>
            <w:tcW w:w="3884" w:type="dxa"/>
            <w:tcBorders>
              <w:top w:val="single" w:color="auto" w:sz="4" w:space="0"/>
              <w:left w:val="single" w:color="auto" w:sz="4" w:space="0"/>
              <w:bottom w:val="single" w:color="auto" w:sz="4" w:space="0"/>
              <w:right w:val="single" w:color="auto" w:sz="4" w:space="0"/>
            </w:tcBorders>
          </w:tcPr>
          <w:p w14:paraId="118C244D">
            <w:pPr>
              <w:keepNext w:val="0"/>
              <w:keepLines w:val="0"/>
              <w:pageBreakBefore w:val="0"/>
              <w:kinsoku/>
              <w:wordWrap/>
              <w:overflowPunct/>
              <w:topLinePunct w:val="0"/>
              <w:autoSpaceDE/>
              <w:autoSpaceDN/>
              <w:bidi w:val="0"/>
              <w:snapToGrid w:val="0"/>
              <w:spacing w:beforeLines="50" w:line="300" w:lineRule="exact"/>
              <w:ind w:firstLine="560" w:firstLineChars="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农民工工资支付须严格执行《保障农民工工资支付条例》的相关规定，采购人应按照规定，满足施工所需要的资金安排，及时足额拨付人工费用至农民工工资专用账户，拨付周期不得超过一个月，并监督施工单位按时足额支付到农民工本人的银行账户。</w:t>
            </w:r>
          </w:p>
        </w:tc>
        <w:tc>
          <w:tcPr>
            <w:tcW w:w="1383" w:type="dxa"/>
            <w:tcBorders>
              <w:top w:val="single" w:color="auto" w:sz="4" w:space="0"/>
              <w:left w:val="single" w:color="auto" w:sz="4" w:space="0"/>
              <w:bottom w:val="single" w:color="auto" w:sz="4" w:space="0"/>
              <w:right w:val="single" w:color="auto" w:sz="4" w:space="0"/>
            </w:tcBorders>
          </w:tcPr>
          <w:p w14:paraId="3939B7C2">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1E564911">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534D3365">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4F7BC0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0C991E2F">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w:t>
            </w:r>
          </w:p>
        </w:tc>
        <w:tc>
          <w:tcPr>
            <w:tcW w:w="1362" w:type="dxa"/>
            <w:vMerge w:val="continue"/>
            <w:tcBorders>
              <w:left w:val="single" w:color="auto" w:sz="4" w:space="0"/>
              <w:right w:val="single" w:color="auto" w:sz="4" w:space="0"/>
            </w:tcBorders>
            <w:vAlign w:val="center"/>
          </w:tcPr>
          <w:p w14:paraId="57B9EEA3">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tcPr>
          <w:p w14:paraId="16414084">
            <w:pPr>
              <w:keepNext w:val="0"/>
              <w:keepLines w:val="0"/>
              <w:pageBreakBefore w:val="0"/>
              <w:kinsoku/>
              <w:wordWrap/>
              <w:overflowPunct/>
              <w:topLinePunct w:val="0"/>
              <w:autoSpaceDE/>
              <w:autoSpaceDN/>
              <w:bidi w:val="0"/>
              <w:snapToGrid w:val="0"/>
              <w:spacing w:beforeLines="50" w:line="300" w:lineRule="exact"/>
              <w:ind w:firstLine="560" w:firstLineChars="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2.在施工过程中，须加强绿色建造与环境管理，做好扬尘防治工作，减少噪音污染等工作。</w:t>
            </w:r>
          </w:p>
        </w:tc>
        <w:tc>
          <w:tcPr>
            <w:tcW w:w="1383" w:type="dxa"/>
            <w:tcBorders>
              <w:top w:val="single" w:color="auto" w:sz="4" w:space="0"/>
              <w:left w:val="single" w:color="auto" w:sz="4" w:space="0"/>
              <w:bottom w:val="single" w:color="auto" w:sz="4" w:space="0"/>
              <w:right w:val="single" w:color="auto" w:sz="4" w:space="0"/>
            </w:tcBorders>
          </w:tcPr>
          <w:p w14:paraId="4AB36605">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118C8083">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64B0A4CB">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r w14:paraId="69B778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689" w:type="dxa"/>
            <w:tcBorders>
              <w:top w:val="single" w:color="auto" w:sz="4" w:space="0"/>
              <w:left w:val="single" w:color="auto" w:sz="4" w:space="0"/>
              <w:bottom w:val="single" w:color="auto" w:sz="4" w:space="0"/>
              <w:right w:val="single" w:color="auto" w:sz="4" w:space="0"/>
            </w:tcBorders>
            <w:vAlign w:val="center"/>
          </w:tcPr>
          <w:p w14:paraId="40AB0414">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w:t>
            </w:r>
          </w:p>
        </w:tc>
        <w:tc>
          <w:tcPr>
            <w:tcW w:w="1362" w:type="dxa"/>
            <w:vMerge w:val="continue"/>
            <w:tcBorders>
              <w:left w:val="single" w:color="auto" w:sz="4" w:space="0"/>
              <w:bottom w:val="single" w:color="auto" w:sz="4" w:space="0"/>
              <w:right w:val="single" w:color="auto" w:sz="4" w:space="0"/>
            </w:tcBorders>
            <w:vAlign w:val="center"/>
          </w:tcPr>
          <w:p w14:paraId="30CED690">
            <w:pPr>
              <w:keepNext w:val="0"/>
              <w:keepLines w:val="0"/>
              <w:pageBreakBefore w:val="0"/>
              <w:kinsoku/>
              <w:wordWrap/>
              <w:overflowPunct/>
              <w:topLinePunct w:val="0"/>
              <w:autoSpaceDE/>
              <w:autoSpaceDN/>
              <w:bidi w:val="0"/>
              <w:snapToGrid w:val="0"/>
              <w:spacing w:beforeLines="50" w:line="300" w:lineRule="exact"/>
              <w:jc w:val="center"/>
              <w:textAlignment w:val="auto"/>
              <w:rPr>
                <w:rFonts w:hint="eastAsia" w:ascii="仿宋" w:hAnsi="仿宋" w:eastAsia="仿宋" w:cs="仿宋"/>
                <w:color w:val="auto"/>
                <w:sz w:val="24"/>
                <w:szCs w:val="24"/>
                <w:highlight w:val="none"/>
              </w:rPr>
            </w:pPr>
          </w:p>
        </w:tc>
        <w:tc>
          <w:tcPr>
            <w:tcW w:w="3884" w:type="dxa"/>
            <w:tcBorders>
              <w:top w:val="single" w:color="auto" w:sz="4" w:space="0"/>
              <w:left w:val="single" w:color="auto" w:sz="4" w:space="0"/>
              <w:bottom w:val="single" w:color="auto" w:sz="4" w:space="0"/>
              <w:right w:val="single" w:color="auto" w:sz="4" w:space="0"/>
            </w:tcBorders>
          </w:tcPr>
          <w:p w14:paraId="02190DB2">
            <w:pPr>
              <w:keepNext w:val="0"/>
              <w:keepLines w:val="0"/>
              <w:pageBreakBefore w:val="0"/>
              <w:kinsoku/>
              <w:wordWrap/>
              <w:overflowPunct/>
              <w:topLinePunct w:val="0"/>
              <w:autoSpaceDE/>
              <w:autoSpaceDN/>
              <w:bidi w:val="0"/>
              <w:snapToGrid w:val="0"/>
              <w:spacing w:beforeLines="50" w:line="300" w:lineRule="exact"/>
              <w:ind w:firstLine="560" w:firstLineChars="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成交人应严格按照《建设工程安全生产管理条例》等法律、工程建设安全生产地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p>
        </w:tc>
        <w:tc>
          <w:tcPr>
            <w:tcW w:w="1383" w:type="dxa"/>
            <w:tcBorders>
              <w:top w:val="single" w:color="auto" w:sz="4" w:space="0"/>
              <w:left w:val="single" w:color="auto" w:sz="4" w:space="0"/>
              <w:bottom w:val="single" w:color="auto" w:sz="4" w:space="0"/>
              <w:right w:val="single" w:color="auto" w:sz="4" w:space="0"/>
            </w:tcBorders>
          </w:tcPr>
          <w:p w14:paraId="6E0272FF">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1500" w:type="dxa"/>
            <w:tcBorders>
              <w:top w:val="single" w:color="auto" w:sz="4" w:space="0"/>
              <w:left w:val="single" w:color="auto" w:sz="4" w:space="0"/>
              <w:bottom w:val="single" w:color="auto" w:sz="4" w:space="0"/>
              <w:right w:val="single" w:color="auto" w:sz="4" w:space="0"/>
            </w:tcBorders>
          </w:tcPr>
          <w:p w14:paraId="5EE067F7">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c>
          <w:tcPr>
            <w:tcW w:w="752" w:type="dxa"/>
            <w:tcBorders>
              <w:top w:val="single" w:color="auto" w:sz="4" w:space="0"/>
              <w:left w:val="single" w:color="auto" w:sz="4" w:space="0"/>
              <w:bottom w:val="single" w:color="auto" w:sz="4" w:space="0"/>
              <w:right w:val="single" w:color="auto" w:sz="4" w:space="0"/>
            </w:tcBorders>
          </w:tcPr>
          <w:p w14:paraId="1F36EF22">
            <w:pPr>
              <w:keepNext w:val="0"/>
              <w:keepLines w:val="0"/>
              <w:pageBreakBefore w:val="0"/>
              <w:kinsoku/>
              <w:wordWrap/>
              <w:overflowPunct/>
              <w:topLinePunct w:val="0"/>
              <w:autoSpaceDE/>
              <w:autoSpaceDN/>
              <w:bidi w:val="0"/>
              <w:snapToGrid w:val="0"/>
              <w:spacing w:beforeLines="50" w:line="300" w:lineRule="exact"/>
              <w:textAlignment w:val="auto"/>
              <w:rPr>
                <w:rFonts w:hint="eastAsia" w:ascii="仿宋" w:hAnsi="仿宋" w:eastAsia="仿宋" w:cs="仿宋"/>
                <w:color w:val="auto"/>
                <w:sz w:val="24"/>
                <w:szCs w:val="24"/>
                <w:highlight w:val="none"/>
              </w:rPr>
            </w:pPr>
          </w:p>
        </w:tc>
      </w:tr>
    </w:tbl>
    <w:p w14:paraId="7711026D">
      <w:pPr>
        <w:rPr>
          <w:rFonts w:ascii="仿宋" w:hAnsi="仿宋" w:eastAsia="仿宋"/>
          <w:color w:val="auto"/>
          <w:szCs w:val="21"/>
          <w:highlight w:val="none"/>
        </w:rPr>
      </w:pPr>
      <w:r>
        <w:rPr>
          <w:rFonts w:hint="eastAsia" w:ascii="仿宋" w:hAnsi="仿宋" w:eastAsia="仿宋"/>
          <w:color w:val="auto"/>
          <w:szCs w:val="21"/>
          <w:highlight w:val="none"/>
        </w:rPr>
        <w:t>注：按照竞争性谈判文件要求详细填列，可增减行。</w:t>
      </w:r>
    </w:p>
    <w:p w14:paraId="4737DAA7">
      <w:pPr>
        <w:rPr>
          <w:rFonts w:ascii="仿宋" w:hAnsi="仿宋" w:eastAsia="仿宋"/>
          <w:color w:val="auto"/>
          <w:sz w:val="24"/>
          <w:highlight w:val="none"/>
        </w:rPr>
      </w:pPr>
    </w:p>
    <w:p w14:paraId="1BA6303B">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三</w:t>
      </w:r>
      <w:r>
        <w:rPr>
          <w:rFonts w:hint="eastAsia" w:ascii="仿宋" w:hAnsi="仿宋" w:eastAsia="仿宋"/>
          <w:color w:val="auto"/>
          <w:sz w:val="28"/>
          <w:szCs w:val="28"/>
          <w:highlight w:val="none"/>
        </w:rPr>
        <w:t>）竞争性谈判文件规定提交的其他材料（如有）</w:t>
      </w:r>
    </w:p>
    <w:p w14:paraId="53D31B2F">
      <w:pPr>
        <w:spacing w:line="500" w:lineRule="exact"/>
        <w:ind w:firstLine="560" w:firstLineChars="200"/>
        <w:rPr>
          <w:rFonts w:ascii="仿宋" w:hAnsi="仿宋" w:eastAsia="仿宋"/>
          <w:color w:val="auto"/>
          <w:sz w:val="28"/>
          <w:szCs w:val="28"/>
          <w:highlight w:val="none"/>
        </w:rPr>
      </w:pPr>
    </w:p>
    <w:p w14:paraId="6967A0A9">
      <w:pPr>
        <w:spacing w:line="500" w:lineRule="exact"/>
        <w:ind w:firstLine="560" w:firstLineChars="200"/>
        <w:outlineLvl w:val="1"/>
        <w:rPr>
          <w:rFonts w:ascii="黑体" w:hAnsi="黑体" w:eastAsia="黑体"/>
          <w:bCs/>
          <w:color w:val="auto"/>
          <w:sz w:val="28"/>
          <w:szCs w:val="28"/>
          <w:highlight w:val="none"/>
        </w:rPr>
      </w:pPr>
      <w:r>
        <w:rPr>
          <w:rFonts w:ascii="黑体" w:hAnsi="黑体" w:eastAsia="黑体"/>
          <w:color w:val="auto"/>
          <w:sz w:val="28"/>
          <w:szCs w:val="28"/>
          <w:highlight w:val="none"/>
        </w:rPr>
        <w:br w:type="page"/>
      </w:r>
      <w:bookmarkStart w:id="120" w:name="_Toc20495"/>
      <w:r>
        <w:rPr>
          <w:rFonts w:hint="eastAsia" w:ascii="黑体" w:hAnsi="黑体" w:eastAsia="黑体"/>
          <w:color w:val="auto"/>
          <w:sz w:val="28"/>
          <w:szCs w:val="28"/>
          <w:highlight w:val="none"/>
        </w:rPr>
        <w:t>三、</w:t>
      </w:r>
      <w:r>
        <w:rPr>
          <w:rFonts w:hint="eastAsia" w:ascii="黑体" w:hAnsi="黑体" w:eastAsia="黑体"/>
          <w:bCs/>
          <w:color w:val="auto"/>
          <w:sz w:val="28"/>
          <w:szCs w:val="28"/>
          <w:highlight w:val="none"/>
        </w:rPr>
        <w:t>报价文件</w:t>
      </w:r>
      <w:bookmarkEnd w:id="120"/>
    </w:p>
    <w:p w14:paraId="3D512CC6">
      <w:pPr>
        <w:spacing w:line="500" w:lineRule="exact"/>
        <w:ind w:firstLine="560" w:firstLineChars="200"/>
        <w:outlineLvl w:val="9"/>
        <w:rPr>
          <w:rFonts w:ascii="仿宋" w:hAnsi="仿宋" w:eastAsia="仿宋"/>
          <w:bCs/>
          <w:color w:val="auto"/>
          <w:sz w:val="28"/>
          <w:szCs w:val="28"/>
          <w:highlight w:val="none"/>
        </w:rPr>
      </w:pPr>
      <w:r>
        <w:rPr>
          <w:rFonts w:hint="eastAsia" w:ascii="仿宋" w:hAnsi="仿宋" w:eastAsia="仿宋"/>
          <w:bCs/>
          <w:color w:val="auto"/>
          <w:sz w:val="28"/>
          <w:szCs w:val="28"/>
          <w:highlight w:val="none"/>
        </w:rPr>
        <w:t>（一）竞争性谈判响应报价表</w:t>
      </w:r>
    </w:p>
    <w:p w14:paraId="106CC418">
      <w:pPr>
        <w:spacing w:line="560" w:lineRule="exact"/>
        <w:ind w:firstLine="3040" w:firstLineChars="950"/>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竞争性谈判响应报价表</w:t>
      </w:r>
    </w:p>
    <w:tbl>
      <w:tblPr>
        <w:tblStyle w:val="20"/>
        <w:tblW w:w="8807" w:type="dxa"/>
        <w:tblInd w:w="95" w:type="dxa"/>
        <w:tblLayout w:type="fixed"/>
        <w:tblCellMar>
          <w:top w:w="0" w:type="dxa"/>
          <w:left w:w="108" w:type="dxa"/>
          <w:bottom w:w="0" w:type="dxa"/>
          <w:right w:w="108" w:type="dxa"/>
        </w:tblCellMar>
      </w:tblPr>
      <w:tblGrid>
        <w:gridCol w:w="4087"/>
        <w:gridCol w:w="2220"/>
        <w:gridCol w:w="2500"/>
      </w:tblGrid>
      <w:tr w14:paraId="445941F1">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343A1927">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供应商名称（加盖公章）：</w:t>
            </w:r>
          </w:p>
        </w:tc>
      </w:tr>
      <w:tr w14:paraId="7101E814">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234C391A">
            <w:pPr>
              <w:widowControl/>
              <w:jc w:val="left"/>
              <w:rPr>
                <w:rFonts w:hint="eastAsia" w:ascii="仿宋" w:hAnsi="仿宋" w:eastAsia="仿宋" w:cs="宋体"/>
                <w:color w:val="auto"/>
                <w:kern w:val="0"/>
                <w:sz w:val="24"/>
                <w:highlight w:val="none"/>
                <w:lang w:val="en-US" w:eastAsia="zh-CN"/>
              </w:rPr>
            </w:pPr>
            <w:r>
              <w:rPr>
                <w:rFonts w:hint="eastAsia" w:ascii="仿宋" w:hAnsi="仿宋" w:eastAsia="仿宋" w:cs="宋体"/>
                <w:color w:val="auto"/>
                <w:kern w:val="0"/>
                <w:sz w:val="24"/>
                <w:highlight w:val="none"/>
              </w:rPr>
              <w:t>项目名称：</w:t>
            </w:r>
            <w:r>
              <w:rPr>
                <w:rFonts w:hint="eastAsia" w:ascii="仿宋" w:hAnsi="仿宋" w:eastAsia="仿宋" w:cs="宋体"/>
                <w:color w:val="auto"/>
                <w:kern w:val="0"/>
                <w:sz w:val="24"/>
                <w:highlight w:val="none"/>
                <w:lang w:val="en-US" w:eastAsia="zh-CN"/>
              </w:rPr>
              <w:t>东陈镇尚书工业园区污水管网建设工程</w:t>
            </w:r>
          </w:p>
        </w:tc>
      </w:tr>
      <w:tr w14:paraId="38438CD1">
        <w:tblPrEx>
          <w:tblCellMar>
            <w:top w:w="0" w:type="dxa"/>
            <w:left w:w="108" w:type="dxa"/>
            <w:bottom w:w="0" w:type="dxa"/>
            <w:right w:w="108" w:type="dxa"/>
          </w:tblCellMar>
        </w:tblPrEx>
        <w:trPr>
          <w:trHeight w:val="420" w:hRule="atLeast"/>
        </w:trPr>
        <w:tc>
          <w:tcPr>
            <w:tcW w:w="6307" w:type="dxa"/>
            <w:gridSpan w:val="2"/>
            <w:tcBorders>
              <w:top w:val="nil"/>
              <w:left w:val="nil"/>
              <w:bottom w:val="nil"/>
              <w:right w:val="nil"/>
            </w:tcBorders>
            <w:noWrap/>
            <w:vAlign w:val="center"/>
          </w:tcPr>
          <w:p w14:paraId="6CA04CA9">
            <w:pPr>
              <w:widowControl/>
              <w:jc w:val="left"/>
              <w:rPr>
                <w:rFonts w:hint="eastAsia" w:ascii="仿宋" w:hAnsi="仿宋" w:eastAsia="仿宋" w:cs="宋体"/>
                <w:color w:val="auto"/>
                <w:kern w:val="0"/>
                <w:sz w:val="24"/>
                <w:highlight w:val="none"/>
                <w:lang w:val="en-US" w:eastAsia="zh-CN"/>
              </w:rPr>
            </w:pPr>
            <w:r>
              <w:rPr>
                <w:rFonts w:hint="eastAsia" w:ascii="仿宋" w:hAnsi="仿宋" w:eastAsia="仿宋" w:cs="宋体"/>
                <w:color w:val="auto"/>
                <w:kern w:val="0"/>
                <w:sz w:val="24"/>
                <w:highlight w:val="none"/>
              </w:rPr>
              <w:t>项目编号：</w:t>
            </w:r>
            <w:r>
              <w:rPr>
                <w:rFonts w:hint="eastAsia" w:ascii="仿宋" w:hAnsi="仿宋" w:eastAsia="仿宋" w:cs="宋体"/>
                <w:color w:val="auto"/>
                <w:kern w:val="0"/>
                <w:sz w:val="24"/>
                <w:highlight w:val="none"/>
                <w:lang w:val="en-US" w:eastAsia="zh-CN"/>
              </w:rPr>
              <w:t>JSZC-320682-NTZJ-T2026-0022</w:t>
            </w:r>
          </w:p>
        </w:tc>
        <w:tc>
          <w:tcPr>
            <w:tcW w:w="2500" w:type="dxa"/>
            <w:tcBorders>
              <w:top w:val="nil"/>
              <w:left w:val="nil"/>
              <w:bottom w:val="nil"/>
              <w:right w:val="nil"/>
            </w:tcBorders>
            <w:noWrap/>
            <w:vAlign w:val="center"/>
          </w:tcPr>
          <w:p w14:paraId="4F509ECB">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分包号：</w:t>
            </w:r>
          </w:p>
        </w:tc>
      </w:tr>
      <w:tr w14:paraId="31BE3520">
        <w:tblPrEx>
          <w:tblCellMar>
            <w:top w:w="0" w:type="dxa"/>
            <w:left w:w="108" w:type="dxa"/>
            <w:bottom w:w="0" w:type="dxa"/>
            <w:right w:w="108" w:type="dxa"/>
          </w:tblCellMar>
        </w:tblPrEx>
        <w:trPr>
          <w:trHeight w:val="525" w:hRule="atLeast"/>
        </w:trPr>
        <w:tc>
          <w:tcPr>
            <w:tcW w:w="4087" w:type="dxa"/>
            <w:vMerge w:val="restart"/>
            <w:tcBorders>
              <w:top w:val="single" w:color="auto" w:sz="4" w:space="0"/>
              <w:left w:val="single" w:color="auto" w:sz="4" w:space="0"/>
              <w:bottom w:val="single" w:color="auto" w:sz="4" w:space="0"/>
              <w:right w:val="single" w:color="auto" w:sz="4" w:space="0"/>
            </w:tcBorders>
            <w:noWrap/>
            <w:vAlign w:val="center"/>
          </w:tcPr>
          <w:p w14:paraId="36C14535">
            <w:pPr>
              <w:widowControl/>
              <w:jc w:val="center"/>
              <w:rPr>
                <w:rFonts w:hint="eastAsia" w:ascii="仿宋" w:hAnsi="仿宋" w:eastAsia="仿宋" w:cs="宋体"/>
                <w:color w:val="auto"/>
                <w:kern w:val="0"/>
                <w:sz w:val="24"/>
                <w:highlight w:val="none"/>
                <w:lang w:eastAsia="zh-CN"/>
              </w:rPr>
            </w:pPr>
            <w:r>
              <w:rPr>
                <w:rFonts w:hint="eastAsia" w:ascii="仿宋" w:hAnsi="仿宋" w:eastAsia="仿宋" w:cs="宋体"/>
                <w:color w:val="auto"/>
                <w:kern w:val="0"/>
                <w:sz w:val="24"/>
                <w:highlight w:val="none"/>
              </w:rPr>
              <w:t>竞争性</w:t>
            </w:r>
            <w:r>
              <w:rPr>
                <w:rFonts w:hint="eastAsia" w:ascii="仿宋" w:hAnsi="仿宋" w:eastAsia="仿宋" w:cs="宋体"/>
                <w:color w:val="auto"/>
                <w:kern w:val="0"/>
                <w:sz w:val="24"/>
                <w:highlight w:val="none"/>
                <w:lang w:eastAsia="zh-CN"/>
              </w:rPr>
              <w:t>谈判</w:t>
            </w:r>
            <w:r>
              <w:rPr>
                <w:rFonts w:hint="eastAsia" w:ascii="仿宋" w:hAnsi="仿宋" w:eastAsia="仿宋" w:cs="宋体"/>
                <w:color w:val="auto"/>
                <w:kern w:val="0"/>
                <w:sz w:val="24"/>
                <w:highlight w:val="none"/>
              </w:rPr>
              <w:t>响应报价</w:t>
            </w:r>
            <w:r>
              <w:rPr>
                <w:rFonts w:hint="eastAsia" w:ascii="仿宋" w:hAnsi="仿宋" w:eastAsia="仿宋" w:cs="宋体"/>
                <w:color w:val="auto"/>
                <w:kern w:val="0"/>
                <w:sz w:val="24"/>
                <w:highlight w:val="none"/>
                <w:lang w:eastAsia="zh-CN"/>
              </w:rPr>
              <w:t>（</w:t>
            </w:r>
            <w:r>
              <w:rPr>
                <w:rFonts w:hint="eastAsia" w:ascii="仿宋" w:hAnsi="仿宋" w:eastAsia="仿宋" w:cs="宋体"/>
                <w:color w:val="auto"/>
                <w:kern w:val="0"/>
                <w:sz w:val="24"/>
                <w:highlight w:val="none"/>
                <w:lang w:val="en-US" w:eastAsia="zh-CN"/>
              </w:rPr>
              <w:t>元</w:t>
            </w:r>
            <w:r>
              <w:rPr>
                <w:rFonts w:hint="eastAsia" w:ascii="仿宋" w:hAnsi="仿宋" w:eastAsia="仿宋" w:cs="宋体"/>
                <w:color w:val="auto"/>
                <w:kern w:val="0"/>
                <w:sz w:val="24"/>
                <w:highlight w:val="none"/>
                <w:lang w:eastAsia="zh-CN"/>
              </w:rPr>
              <w:t>）</w:t>
            </w:r>
          </w:p>
        </w:tc>
        <w:tc>
          <w:tcPr>
            <w:tcW w:w="4720" w:type="dxa"/>
            <w:gridSpan w:val="2"/>
            <w:tcBorders>
              <w:top w:val="single" w:color="auto" w:sz="4" w:space="0"/>
              <w:left w:val="nil"/>
              <w:bottom w:val="single" w:color="auto" w:sz="4" w:space="0"/>
              <w:right w:val="single" w:color="auto" w:sz="4" w:space="0"/>
            </w:tcBorders>
            <w:noWrap/>
            <w:vAlign w:val="center"/>
          </w:tcPr>
          <w:p w14:paraId="16CC7F1D">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小写：</w:t>
            </w:r>
          </w:p>
        </w:tc>
      </w:tr>
      <w:tr w14:paraId="6E4A6867">
        <w:tblPrEx>
          <w:tblCellMar>
            <w:top w:w="0" w:type="dxa"/>
            <w:left w:w="108" w:type="dxa"/>
            <w:bottom w:w="0" w:type="dxa"/>
            <w:right w:w="108" w:type="dxa"/>
          </w:tblCellMar>
        </w:tblPrEx>
        <w:trPr>
          <w:trHeight w:val="525" w:hRule="atLeast"/>
        </w:trPr>
        <w:tc>
          <w:tcPr>
            <w:tcW w:w="4087" w:type="dxa"/>
            <w:vMerge w:val="continue"/>
            <w:tcBorders>
              <w:top w:val="single" w:color="auto" w:sz="4" w:space="0"/>
              <w:left w:val="single" w:color="auto" w:sz="4" w:space="0"/>
              <w:bottom w:val="single" w:color="auto" w:sz="4" w:space="0"/>
              <w:right w:val="single" w:color="auto" w:sz="4" w:space="0"/>
            </w:tcBorders>
            <w:vAlign w:val="center"/>
          </w:tcPr>
          <w:p w14:paraId="78A5DE3B">
            <w:pPr>
              <w:widowControl/>
              <w:jc w:val="left"/>
              <w:rPr>
                <w:rFonts w:ascii="仿宋" w:hAnsi="仿宋" w:eastAsia="仿宋" w:cs="宋体"/>
                <w:color w:val="auto"/>
                <w:kern w:val="0"/>
                <w:sz w:val="24"/>
                <w:highlight w:val="none"/>
              </w:rPr>
            </w:pPr>
          </w:p>
        </w:tc>
        <w:tc>
          <w:tcPr>
            <w:tcW w:w="4720" w:type="dxa"/>
            <w:gridSpan w:val="2"/>
            <w:tcBorders>
              <w:top w:val="single" w:color="auto" w:sz="4" w:space="0"/>
              <w:left w:val="nil"/>
              <w:bottom w:val="single" w:color="auto" w:sz="4" w:space="0"/>
              <w:right w:val="single" w:color="auto" w:sz="4" w:space="0"/>
            </w:tcBorders>
            <w:noWrap/>
            <w:vAlign w:val="center"/>
          </w:tcPr>
          <w:p w14:paraId="3BE4605B">
            <w:pPr>
              <w:widowControl/>
              <w:jc w:val="left"/>
              <w:rPr>
                <w:rFonts w:ascii="仿宋" w:hAnsi="仿宋" w:eastAsia="仿宋" w:cs="宋体"/>
                <w:color w:val="auto"/>
                <w:kern w:val="0"/>
                <w:sz w:val="24"/>
                <w:highlight w:val="none"/>
              </w:rPr>
            </w:pPr>
            <w:r>
              <w:rPr>
                <w:rFonts w:hint="eastAsia" w:ascii="仿宋" w:hAnsi="仿宋" w:eastAsia="仿宋" w:cs="宋体"/>
                <w:color w:val="auto"/>
                <w:kern w:val="0"/>
                <w:sz w:val="24"/>
                <w:highlight w:val="none"/>
              </w:rPr>
              <w:t>大写：</w:t>
            </w:r>
          </w:p>
        </w:tc>
      </w:tr>
      <w:tr w14:paraId="08ABFE35">
        <w:tblPrEx>
          <w:tblCellMar>
            <w:top w:w="0" w:type="dxa"/>
            <w:left w:w="108" w:type="dxa"/>
            <w:bottom w:w="0" w:type="dxa"/>
            <w:right w:w="108" w:type="dxa"/>
          </w:tblCellMar>
        </w:tblPrEx>
        <w:trPr>
          <w:trHeight w:val="436" w:hRule="atLeast"/>
        </w:trPr>
        <w:tc>
          <w:tcPr>
            <w:tcW w:w="8807" w:type="dxa"/>
            <w:gridSpan w:val="3"/>
            <w:tcBorders>
              <w:top w:val="nil"/>
              <w:left w:val="nil"/>
              <w:bottom w:val="nil"/>
              <w:right w:val="nil"/>
            </w:tcBorders>
            <w:vAlign w:val="center"/>
          </w:tcPr>
          <w:p w14:paraId="66E77733">
            <w:pPr>
              <w:widowControl/>
              <w:ind w:firstLine="420" w:firstLineChars="200"/>
              <w:jc w:val="left"/>
              <w:rPr>
                <w:rFonts w:ascii="仿宋" w:hAnsi="仿宋" w:eastAsia="仿宋" w:cs="宋体"/>
                <w:color w:val="auto"/>
                <w:kern w:val="0"/>
                <w:szCs w:val="21"/>
                <w:highlight w:val="none"/>
              </w:rPr>
            </w:pPr>
          </w:p>
        </w:tc>
      </w:tr>
    </w:tbl>
    <w:p w14:paraId="4FC543CE">
      <w:pPr>
        <w:spacing w:line="500" w:lineRule="exact"/>
        <w:ind w:firstLine="560" w:firstLineChars="200"/>
        <w:rPr>
          <w:rFonts w:ascii="仿宋" w:hAnsi="仿宋" w:eastAsia="仿宋"/>
          <w:bCs/>
          <w:color w:val="auto"/>
          <w:sz w:val="28"/>
          <w:szCs w:val="28"/>
          <w:highlight w:val="none"/>
        </w:rPr>
      </w:pPr>
    </w:p>
    <w:p w14:paraId="30C7D924">
      <w:pPr>
        <w:spacing w:line="500" w:lineRule="exact"/>
        <w:ind w:firstLine="560" w:firstLineChars="200"/>
        <w:outlineLvl w:val="9"/>
        <w:rPr>
          <w:rFonts w:ascii="仿宋" w:hAnsi="仿宋" w:eastAsia="仿宋"/>
          <w:bCs/>
          <w:color w:val="auto"/>
          <w:sz w:val="28"/>
          <w:szCs w:val="28"/>
          <w:highlight w:val="none"/>
        </w:rPr>
      </w:pP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rPr>
        <w:t>（二）竞争性谈判响应报价明细表</w:t>
      </w:r>
    </w:p>
    <w:p w14:paraId="591C12B1">
      <w:pPr>
        <w:spacing w:line="560" w:lineRule="exact"/>
        <w:ind w:firstLine="3040" w:firstLineChars="950"/>
        <w:rPr>
          <w:rFonts w:ascii="宋体" w:hAnsi="宋体"/>
          <w:color w:val="auto"/>
          <w:sz w:val="24"/>
          <w:highlight w:val="none"/>
        </w:rPr>
      </w:pPr>
      <w:r>
        <w:rPr>
          <w:rFonts w:hint="eastAsia" w:ascii="方正小标宋简体" w:hAnsi="宋体" w:eastAsia="方正小标宋简体"/>
          <w:color w:val="auto"/>
          <w:sz w:val="32"/>
          <w:szCs w:val="32"/>
          <w:highlight w:val="none"/>
        </w:rPr>
        <w:t>竞争性谈判响应报价明细表</w:t>
      </w:r>
    </w:p>
    <w:p w14:paraId="712C27A6">
      <w:pPr>
        <w:spacing w:line="360" w:lineRule="auto"/>
        <w:rPr>
          <w:rFonts w:ascii="宋体" w:hAnsi="宋体"/>
          <w:color w:val="auto"/>
          <w:highlight w:val="none"/>
        </w:rPr>
      </w:pPr>
    </w:p>
    <w:p w14:paraId="7F063838">
      <w:pPr>
        <w:pStyle w:val="16"/>
        <w:jc w:val="center"/>
        <w:rPr>
          <w:rFonts w:hint="default" w:ascii="仿宋" w:hAnsi="仿宋" w:eastAsia="仿宋"/>
          <w:color w:val="auto"/>
          <w:sz w:val="32"/>
          <w:szCs w:val="32"/>
          <w:highlight w:val="none"/>
          <w:lang w:val="en-US" w:eastAsia="zh-CN"/>
        </w:rPr>
      </w:pPr>
      <w:r>
        <w:rPr>
          <w:rFonts w:hint="eastAsia" w:ascii="仿宋" w:hAnsi="仿宋" w:eastAsia="仿宋"/>
          <w:color w:val="auto"/>
          <w:sz w:val="32"/>
          <w:szCs w:val="32"/>
          <w:highlight w:val="none"/>
          <w:lang w:val="en-US" w:eastAsia="zh-CN"/>
        </w:rPr>
        <w:t>请供应商按清单进行报价</w:t>
      </w:r>
    </w:p>
    <w:p w14:paraId="73AB997C">
      <w:pPr>
        <w:pStyle w:val="7"/>
        <w:rPr>
          <w:rFonts w:ascii="仿宋" w:hAnsi="仿宋" w:eastAsia="仿宋"/>
          <w:color w:val="auto"/>
          <w:sz w:val="24"/>
          <w:highlight w:val="none"/>
        </w:rPr>
      </w:pPr>
    </w:p>
    <w:p w14:paraId="66D8D2C6">
      <w:pPr>
        <w:spacing w:line="500" w:lineRule="exact"/>
        <w:ind w:left="0" w:leftChars="0" w:firstLine="641" w:firstLineChars="228"/>
        <w:rPr>
          <w:rFonts w:hint="eastAsia" w:ascii="仿宋" w:hAnsi="仿宋" w:eastAsia="仿宋"/>
          <w:b/>
          <w:bCs/>
          <w:color w:val="auto"/>
          <w:kern w:val="2"/>
          <w:sz w:val="28"/>
          <w:szCs w:val="28"/>
          <w:highlight w:val="none"/>
          <w:lang w:val="en-US" w:eastAsia="zh-CN"/>
        </w:rPr>
      </w:pPr>
      <w:r>
        <w:rPr>
          <w:rFonts w:hint="eastAsia" w:ascii="仿宋" w:hAnsi="仿宋" w:eastAsia="仿宋"/>
          <w:b/>
          <w:bCs/>
          <w:color w:val="auto"/>
          <w:kern w:val="2"/>
          <w:sz w:val="28"/>
          <w:szCs w:val="28"/>
          <w:highlight w:val="none"/>
          <w:lang w:eastAsia="zh-CN"/>
        </w:rPr>
        <w:t>1.根据提供的工程量清单进行报价。</w:t>
      </w:r>
    </w:p>
    <w:p w14:paraId="4279F626">
      <w:pPr>
        <w:spacing w:line="500" w:lineRule="exact"/>
        <w:ind w:left="0" w:leftChars="0" w:firstLine="638" w:firstLineChars="228"/>
        <w:rPr>
          <w:rFonts w:hint="eastAsia" w:ascii="仿宋" w:hAnsi="仿宋" w:eastAsia="仿宋"/>
          <w:color w:val="auto"/>
          <w:kern w:val="2"/>
          <w:sz w:val="28"/>
          <w:szCs w:val="28"/>
          <w:highlight w:val="none"/>
        </w:rPr>
      </w:pPr>
      <w:r>
        <w:rPr>
          <w:rFonts w:hint="eastAsia" w:ascii="仿宋" w:hAnsi="仿宋" w:eastAsia="仿宋"/>
          <w:color w:val="auto"/>
          <w:kern w:val="2"/>
          <w:sz w:val="28"/>
          <w:szCs w:val="28"/>
          <w:highlight w:val="none"/>
        </w:rPr>
        <w:t>2.此表可以根据需要自行增减行数</w:t>
      </w:r>
      <w:r>
        <w:rPr>
          <w:rFonts w:hint="eastAsia" w:ascii="仿宋" w:hAnsi="仿宋" w:eastAsia="仿宋"/>
          <w:b/>
          <w:bCs/>
          <w:color w:val="auto"/>
          <w:kern w:val="2"/>
          <w:sz w:val="28"/>
          <w:szCs w:val="28"/>
          <w:highlight w:val="none"/>
        </w:rPr>
        <w:t>（详见项目需求）</w:t>
      </w:r>
      <w:r>
        <w:rPr>
          <w:rFonts w:hint="eastAsia" w:ascii="仿宋" w:hAnsi="仿宋" w:eastAsia="仿宋"/>
          <w:color w:val="auto"/>
          <w:kern w:val="2"/>
          <w:sz w:val="28"/>
          <w:szCs w:val="28"/>
          <w:highlight w:val="none"/>
        </w:rPr>
        <w:t>。</w:t>
      </w:r>
    </w:p>
    <w:p w14:paraId="7413C564">
      <w:pPr>
        <w:spacing w:line="500" w:lineRule="exact"/>
        <w:ind w:left="0" w:leftChars="0" w:firstLine="638" w:firstLineChars="228"/>
        <w:rPr>
          <w:rFonts w:hint="eastAsia" w:ascii="仿宋" w:hAnsi="仿宋" w:eastAsia="仿宋"/>
          <w:color w:val="auto"/>
          <w:kern w:val="2"/>
          <w:sz w:val="28"/>
          <w:szCs w:val="28"/>
          <w:highlight w:val="none"/>
        </w:rPr>
      </w:pPr>
      <w:r>
        <w:rPr>
          <w:rFonts w:hint="eastAsia" w:ascii="仿宋" w:hAnsi="仿宋" w:eastAsia="仿宋"/>
          <w:color w:val="auto"/>
          <w:kern w:val="2"/>
          <w:sz w:val="28"/>
          <w:szCs w:val="28"/>
          <w:highlight w:val="none"/>
        </w:rPr>
        <w:t>3.项目如有分包，请各</w:t>
      </w:r>
      <w:r>
        <w:rPr>
          <w:rFonts w:hint="eastAsia" w:ascii="仿宋" w:hAnsi="仿宋" w:eastAsia="仿宋"/>
          <w:color w:val="auto"/>
          <w:kern w:val="2"/>
          <w:sz w:val="28"/>
          <w:szCs w:val="28"/>
          <w:highlight w:val="none"/>
          <w:lang w:eastAsia="zh-CN"/>
        </w:rPr>
        <w:t>谈判</w:t>
      </w:r>
      <w:r>
        <w:rPr>
          <w:rFonts w:hint="eastAsia" w:ascii="仿宋" w:hAnsi="仿宋" w:eastAsia="仿宋"/>
          <w:color w:val="auto"/>
          <w:kern w:val="2"/>
          <w:sz w:val="28"/>
          <w:szCs w:val="28"/>
          <w:highlight w:val="none"/>
        </w:rPr>
        <w:t>供应商按投报的分包分别列表。</w:t>
      </w:r>
    </w:p>
    <w:p w14:paraId="1C604B1A">
      <w:pPr>
        <w:spacing w:line="500" w:lineRule="exact"/>
        <w:ind w:left="0" w:leftChars="0" w:firstLine="638" w:firstLineChars="228"/>
        <w:rPr>
          <w:rFonts w:ascii="仿宋" w:hAnsi="仿宋" w:eastAsia="仿宋" w:cs="Arial"/>
          <w:color w:val="auto"/>
          <w:sz w:val="28"/>
          <w:szCs w:val="28"/>
          <w:highlight w:val="none"/>
        </w:rPr>
      </w:pPr>
      <w:r>
        <w:rPr>
          <w:rFonts w:hint="eastAsia" w:ascii="仿宋" w:hAnsi="仿宋" w:eastAsia="仿宋"/>
          <w:color w:val="auto"/>
          <w:kern w:val="2"/>
          <w:sz w:val="28"/>
          <w:szCs w:val="28"/>
          <w:highlight w:val="none"/>
        </w:rPr>
        <w:t>4.报价包括完成本项目涉及的一切费用，采购人不再支付其他任何费用。</w:t>
      </w:r>
      <w:r>
        <w:rPr>
          <w:rFonts w:ascii="仿宋" w:hAnsi="仿宋" w:eastAsia="仿宋"/>
          <w:bCs/>
          <w:color w:val="auto"/>
          <w:sz w:val="28"/>
          <w:szCs w:val="28"/>
          <w:highlight w:val="none"/>
        </w:rPr>
        <w:br w:type="page"/>
      </w:r>
      <w:r>
        <w:rPr>
          <w:rFonts w:hint="eastAsia" w:ascii="仿宋" w:hAnsi="仿宋" w:eastAsia="仿宋"/>
          <w:bCs/>
          <w:color w:val="auto"/>
          <w:sz w:val="28"/>
          <w:szCs w:val="28"/>
          <w:highlight w:val="none"/>
        </w:rPr>
        <w:t>（三）</w:t>
      </w:r>
      <w:r>
        <w:rPr>
          <w:rFonts w:hint="eastAsia" w:ascii="仿宋" w:hAnsi="仿宋" w:eastAsia="仿宋" w:cs="Arial"/>
          <w:color w:val="auto"/>
          <w:sz w:val="28"/>
          <w:szCs w:val="28"/>
          <w:highlight w:val="none"/>
        </w:rPr>
        <w:t>残疾人福利性单位声明函</w:t>
      </w:r>
    </w:p>
    <w:p w14:paraId="4AD149BE">
      <w:pPr>
        <w:spacing w:line="500" w:lineRule="exact"/>
        <w:rPr>
          <w:rFonts w:ascii="仿宋" w:hAnsi="仿宋" w:eastAsia="仿宋" w:cs="Arial"/>
          <w:color w:val="auto"/>
          <w:sz w:val="28"/>
          <w:szCs w:val="28"/>
          <w:highlight w:val="none"/>
        </w:rPr>
      </w:pPr>
    </w:p>
    <w:p w14:paraId="48F4A137">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残疾人福利性单位声明函</w:t>
      </w:r>
    </w:p>
    <w:p w14:paraId="565736C6">
      <w:pPr>
        <w:spacing w:line="500" w:lineRule="exact"/>
        <w:ind w:firstLine="560" w:firstLineChars="200"/>
        <w:rPr>
          <w:rFonts w:ascii="仿宋" w:hAnsi="仿宋" w:eastAsia="仿宋"/>
          <w:color w:val="auto"/>
          <w:sz w:val="28"/>
          <w:szCs w:val="28"/>
          <w:highlight w:val="none"/>
        </w:rPr>
      </w:pPr>
    </w:p>
    <w:p w14:paraId="5A04060A">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lang w:val="en-US" w:eastAsia="zh-CN"/>
        </w:rPr>
        <w:t>如皋市东陈镇人民政府</w:t>
      </w:r>
      <w:r>
        <w:rPr>
          <w:rFonts w:hint="eastAsia" w:ascii="仿宋" w:hAnsi="仿宋" w:eastAsia="仿宋"/>
          <w:color w:val="auto"/>
          <w:sz w:val="28"/>
          <w:szCs w:val="28"/>
          <w:highlight w:val="none"/>
        </w:rPr>
        <w:t>单位的项目编号为</w:t>
      </w:r>
      <w:r>
        <w:rPr>
          <w:rFonts w:hint="eastAsia" w:ascii="仿宋" w:hAnsi="仿宋" w:eastAsia="仿宋"/>
          <w:color w:val="auto"/>
          <w:sz w:val="28"/>
          <w:szCs w:val="28"/>
          <w:highlight w:val="none"/>
          <w:u w:val="single"/>
          <w:lang w:eastAsia="zh-CN"/>
        </w:rPr>
        <w:t>JSZC-320682-NTZJ-T2026-0022</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u w:val="single"/>
          <w:lang w:val="en-US" w:eastAsia="zh-CN"/>
        </w:rPr>
        <w:t>东陈镇尚书工业园区污水管网建设工程</w:t>
      </w:r>
      <w:r>
        <w:rPr>
          <w:rFonts w:hint="eastAsia" w:ascii="仿宋" w:hAnsi="仿宋" w:eastAsia="仿宋"/>
          <w:color w:val="auto"/>
          <w:sz w:val="28"/>
          <w:szCs w:val="28"/>
          <w:highlight w:val="none"/>
        </w:rPr>
        <w:t>采购活动提供本单位制造的货物（由本单位承担工程/提供服务），或者提供其他残疾人福利性单位制造的货物（不包括使用非残疾人福利性单位注册商标的货物）。</w:t>
      </w:r>
    </w:p>
    <w:p w14:paraId="38CFB3FD">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本单位在本次政府采购活动中提供的残疾人福利单位产品报价合计为人民币（大写）元整（￥：）。</w:t>
      </w:r>
    </w:p>
    <w:p w14:paraId="59220EA5">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本单位对上述声明的真实性负责。如有虚假，将依法承担相应责任。</w:t>
      </w:r>
    </w:p>
    <w:p w14:paraId="10F21DFB">
      <w:pPr>
        <w:spacing w:line="500" w:lineRule="exact"/>
        <w:ind w:firstLine="560" w:firstLineChars="200"/>
        <w:rPr>
          <w:rFonts w:ascii="仿宋" w:hAnsi="仿宋" w:eastAsia="仿宋"/>
          <w:color w:val="auto"/>
          <w:sz w:val="28"/>
          <w:szCs w:val="28"/>
          <w:highlight w:val="none"/>
        </w:rPr>
      </w:pPr>
    </w:p>
    <w:p w14:paraId="665157A7">
      <w:pPr>
        <w:tabs>
          <w:tab w:val="left" w:pos="4860"/>
        </w:tabs>
        <w:spacing w:line="500" w:lineRule="exact"/>
        <w:ind w:right="1560" w:firstLine="560" w:firstLineChars="20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p>
    <w:p w14:paraId="41E256E7">
      <w:pPr>
        <w:tabs>
          <w:tab w:val="left" w:pos="4860"/>
        </w:tabs>
        <w:spacing w:line="500" w:lineRule="exact"/>
        <w:ind w:right="1560" w:firstLine="560" w:firstLineChars="200"/>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p>
    <w:p w14:paraId="0DCB708F">
      <w:pPr>
        <w:spacing w:line="500" w:lineRule="exact"/>
        <w:ind w:firstLine="560" w:firstLineChars="200"/>
        <w:rPr>
          <w:rFonts w:ascii="仿宋" w:hAnsi="仿宋" w:eastAsia="仿宋"/>
          <w:color w:val="auto"/>
          <w:sz w:val="28"/>
          <w:szCs w:val="28"/>
          <w:highlight w:val="none"/>
        </w:rPr>
      </w:pPr>
    </w:p>
    <w:p w14:paraId="1BD1A215">
      <w:pPr>
        <w:spacing w:line="500" w:lineRule="exact"/>
        <w:ind w:firstLine="560" w:firstLineChars="200"/>
        <w:rPr>
          <w:rFonts w:ascii="仿宋" w:hAnsi="仿宋" w:eastAsia="仿宋"/>
          <w:color w:val="auto"/>
          <w:sz w:val="28"/>
          <w:szCs w:val="28"/>
          <w:highlight w:val="none"/>
        </w:rPr>
      </w:pPr>
    </w:p>
    <w:p w14:paraId="417FD03D">
      <w:pPr>
        <w:spacing w:line="500" w:lineRule="exact"/>
        <w:ind w:firstLine="562" w:firstLineChars="200"/>
        <w:rPr>
          <w:rFonts w:ascii="仿宋" w:hAnsi="仿宋" w:eastAsia="仿宋"/>
          <w:b/>
          <w:color w:val="auto"/>
          <w:sz w:val="28"/>
          <w:szCs w:val="28"/>
          <w:highlight w:val="none"/>
        </w:rPr>
      </w:pPr>
      <w:r>
        <w:rPr>
          <w:rFonts w:hint="eastAsia" w:ascii="仿宋" w:hAnsi="仿宋" w:eastAsia="仿宋"/>
          <w:b/>
          <w:color w:val="auto"/>
          <w:sz w:val="28"/>
          <w:szCs w:val="28"/>
          <w:highlight w:val="none"/>
        </w:rPr>
        <w:t>注意： 成交供应商提供的《中小企业声明函》、《残疾人福利性单位声明函》将随成交结果同时公告，接受社会监督。</w:t>
      </w:r>
    </w:p>
    <w:p w14:paraId="2C44DCE4">
      <w:pPr>
        <w:widowControl/>
        <w:jc w:val="left"/>
        <w:rPr>
          <w:rFonts w:ascii="仿宋" w:hAnsi="仿宋" w:eastAsia="仿宋"/>
          <w:b/>
          <w:color w:val="auto"/>
          <w:sz w:val="28"/>
          <w:szCs w:val="28"/>
          <w:highlight w:val="none"/>
        </w:rPr>
      </w:pPr>
      <w:r>
        <w:rPr>
          <w:rFonts w:ascii="仿宋" w:hAnsi="仿宋" w:eastAsia="仿宋"/>
          <w:b/>
          <w:color w:val="auto"/>
          <w:sz w:val="28"/>
          <w:szCs w:val="28"/>
          <w:highlight w:val="none"/>
        </w:rPr>
        <w:br w:type="page"/>
      </w:r>
    </w:p>
    <w:p w14:paraId="5AA9A6D3">
      <w:pPr>
        <w:jc w:val="center"/>
        <w:outlineLvl w:val="0"/>
        <w:rPr>
          <w:rFonts w:hint="eastAsia" w:ascii="方正小标宋简体" w:eastAsia="方正小标宋简体"/>
          <w:bCs/>
          <w:color w:val="auto"/>
          <w:sz w:val="32"/>
          <w:szCs w:val="32"/>
          <w:highlight w:val="none"/>
          <w:lang w:eastAsia="zh-CN"/>
        </w:rPr>
      </w:pPr>
      <w:bookmarkStart w:id="121" w:name="_Toc7554"/>
      <w:bookmarkStart w:id="122" w:name="_Toc5627"/>
      <w:bookmarkStart w:id="123" w:name="_Toc10838"/>
      <w:bookmarkStart w:id="124" w:name="_Toc16289"/>
      <w:bookmarkStart w:id="125" w:name="_Toc25793"/>
      <w:bookmarkStart w:id="126" w:name="_Toc31933"/>
      <w:bookmarkStart w:id="127" w:name="_Toc8475"/>
      <w:bookmarkStart w:id="128" w:name="_Toc11504"/>
      <w:bookmarkStart w:id="129" w:name="_Toc22834"/>
      <w:bookmarkStart w:id="130" w:name="_Toc16866"/>
      <w:r>
        <w:rPr>
          <w:rFonts w:hint="eastAsia" w:ascii="方正小标宋简体" w:eastAsia="方正小标宋简体"/>
          <w:bCs/>
          <w:color w:val="auto"/>
          <w:sz w:val="32"/>
          <w:szCs w:val="32"/>
          <w:highlight w:val="none"/>
        </w:rPr>
        <w:t>第</w:t>
      </w:r>
      <w:r>
        <w:rPr>
          <w:rFonts w:hint="eastAsia" w:ascii="方正小标宋简体" w:eastAsia="方正小标宋简体"/>
          <w:bCs/>
          <w:color w:val="auto"/>
          <w:sz w:val="32"/>
          <w:szCs w:val="32"/>
          <w:highlight w:val="none"/>
          <w:lang w:val="en-US" w:eastAsia="zh-CN"/>
        </w:rPr>
        <w:t>6</w:t>
      </w:r>
      <w:r>
        <w:rPr>
          <w:rFonts w:hint="eastAsia" w:ascii="方正小标宋简体" w:eastAsia="方正小标宋简体"/>
          <w:bCs/>
          <w:color w:val="auto"/>
          <w:sz w:val="32"/>
          <w:szCs w:val="32"/>
          <w:highlight w:val="none"/>
        </w:rPr>
        <w:t xml:space="preserve">章 </w:t>
      </w:r>
      <w:r>
        <w:rPr>
          <w:rFonts w:hint="eastAsia" w:ascii="方正小标宋简体" w:eastAsia="方正小标宋简体"/>
          <w:bCs/>
          <w:color w:val="auto"/>
          <w:sz w:val="32"/>
          <w:szCs w:val="32"/>
          <w:highlight w:val="none"/>
          <w:lang w:val="en-US" w:eastAsia="zh-CN"/>
        </w:rPr>
        <w:t>附件</w:t>
      </w:r>
      <w:bookmarkEnd w:id="121"/>
      <w:bookmarkEnd w:id="122"/>
      <w:bookmarkEnd w:id="123"/>
      <w:bookmarkEnd w:id="124"/>
      <w:bookmarkEnd w:id="125"/>
      <w:bookmarkEnd w:id="126"/>
      <w:bookmarkEnd w:id="127"/>
      <w:bookmarkEnd w:id="128"/>
    </w:p>
    <w:bookmarkEnd w:id="129"/>
    <w:bookmarkEnd w:id="130"/>
    <w:p w14:paraId="1D8AA376">
      <w:pPr>
        <w:spacing w:line="500" w:lineRule="exact"/>
        <w:ind w:firstLine="560"/>
        <w:outlineLvl w:val="1"/>
        <w:rPr>
          <w:rFonts w:hint="eastAsia" w:ascii="方正小标宋简体" w:hAnsi="Arial" w:eastAsia="方正小标宋简体" w:cs="Times New Roman"/>
          <w:bCs/>
          <w:color w:val="auto"/>
          <w:kern w:val="0"/>
          <w:sz w:val="32"/>
          <w:szCs w:val="32"/>
          <w:highlight w:val="none"/>
          <w:lang w:val="en-US" w:eastAsia="zh-CN" w:bidi="ar-SA"/>
        </w:rPr>
      </w:pPr>
      <w:bookmarkStart w:id="131" w:name="_Toc5946"/>
      <w:bookmarkStart w:id="132" w:name="_Toc31166"/>
      <w:bookmarkStart w:id="133" w:name="_Toc9320"/>
      <w:bookmarkStart w:id="134" w:name="_Toc26066"/>
      <w:bookmarkStart w:id="135" w:name="_Toc10302"/>
      <w:bookmarkStart w:id="136" w:name="_Toc6445"/>
      <w:bookmarkStart w:id="137" w:name="_Toc20215"/>
      <w:bookmarkStart w:id="138" w:name="_Toc79"/>
      <w:bookmarkStart w:id="139" w:name="_Toc17353"/>
      <w:r>
        <w:rPr>
          <w:rFonts w:hint="eastAsia" w:ascii="方正小标宋简体" w:hAnsi="Arial" w:eastAsia="方正小标宋简体" w:cs="Times New Roman"/>
          <w:bCs/>
          <w:color w:val="auto"/>
          <w:kern w:val="0"/>
          <w:sz w:val="32"/>
          <w:szCs w:val="32"/>
          <w:highlight w:val="none"/>
          <w:lang w:val="en-US" w:eastAsia="zh-CN" w:bidi="ar-SA"/>
        </w:rPr>
        <w:t>附件1：</w:t>
      </w:r>
      <w:bookmarkEnd w:id="131"/>
      <w:bookmarkEnd w:id="132"/>
      <w:bookmarkStart w:id="140" w:name="_Toc15951"/>
      <w:bookmarkStart w:id="141" w:name="_Toc10068"/>
      <w:r>
        <w:rPr>
          <w:rFonts w:hint="eastAsia" w:ascii="方正小标宋简体" w:hAnsi="Arial" w:eastAsia="方正小标宋简体" w:cs="Times New Roman"/>
          <w:bCs/>
          <w:color w:val="auto"/>
          <w:kern w:val="0"/>
          <w:sz w:val="32"/>
          <w:szCs w:val="32"/>
          <w:highlight w:val="none"/>
          <w:lang w:val="en-US" w:eastAsia="zh-CN" w:bidi="ar-SA"/>
        </w:rPr>
        <w:t>清单编制说明</w:t>
      </w:r>
      <w:bookmarkEnd w:id="133"/>
      <w:bookmarkEnd w:id="134"/>
    </w:p>
    <w:p w14:paraId="38497261">
      <w:pPr>
        <w:spacing w:line="500" w:lineRule="exact"/>
        <w:ind w:firstLine="560"/>
        <w:outlineLvl w:val="1"/>
        <w:rPr>
          <w:rFonts w:hint="eastAsia" w:ascii="方正小标宋简体" w:hAnsi="Arial" w:eastAsia="方正小标宋简体" w:cs="Times New Roman"/>
          <w:bCs/>
          <w:color w:val="auto"/>
          <w:kern w:val="0"/>
          <w:sz w:val="32"/>
          <w:szCs w:val="32"/>
          <w:highlight w:val="none"/>
          <w:lang w:val="en-US" w:eastAsia="zh-CN" w:bidi="ar-SA"/>
        </w:rPr>
      </w:pPr>
      <w:bookmarkStart w:id="142" w:name="_Toc12454"/>
      <w:bookmarkStart w:id="143" w:name="_Toc19628"/>
      <w:r>
        <w:rPr>
          <w:rFonts w:hint="eastAsia" w:ascii="方正小标宋简体" w:hAnsi="Arial" w:eastAsia="方正小标宋简体" w:cs="Times New Roman"/>
          <w:bCs/>
          <w:color w:val="auto"/>
          <w:kern w:val="0"/>
          <w:sz w:val="32"/>
          <w:szCs w:val="32"/>
          <w:highlight w:val="none"/>
          <w:lang w:val="en-US" w:eastAsia="zh-CN" w:bidi="ar-SA"/>
        </w:rPr>
        <w:t>附件2：</w:t>
      </w:r>
      <w:bookmarkEnd w:id="142"/>
      <w:r>
        <w:rPr>
          <w:rFonts w:hint="eastAsia" w:ascii="方正小标宋简体" w:hAnsi="Arial" w:eastAsia="方正小标宋简体" w:cs="Times New Roman"/>
          <w:bCs/>
          <w:color w:val="auto"/>
          <w:kern w:val="0"/>
          <w:sz w:val="32"/>
          <w:szCs w:val="32"/>
          <w:highlight w:val="none"/>
          <w:lang w:val="en-US" w:eastAsia="zh-CN" w:bidi="ar-SA"/>
        </w:rPr>
        <w:t>图纸</w:t>
      </w:r>
      <w:bookmarkEnd w:id="143"/>
    </w:p>
    <w:p w14:paraId="66BBD896">
      <w:pPr>
        <w:spacing w:line="500" w:lineRule="exact"/>
        <w:ind w:firstLine="560"/>
        <w:outlineLvl w:val="1"/>
        <w:rPr>
          <w:rFonts w:hint="eastAsia" w:ascii="方正小标宋简体" w:hAnsi="Arial" w:eastAsia="方正小标宋简体" w:cs="Times New Roman"/>
          <w:bCs/>
          <w:color w:val="auto"/>
          <w:kern w:val="0"/>
          <w:sz w:val="32"/>
          <w:szCs w:val="32"/>
          <w:highlight w:val="none"/>
          <w:lang w:val="en-US" w:eastAsia="zh-CN" w:bidi="ar-SA"/>
        </w:rPr>
      </w:pPr>
      <w:bookmarkStart w:id="144" w:name="_Toc15593"/>
      <w:bookmarkStart w:id="145" w:name="_Toc15424"/>
      <w:r>
        <w:rPr>
          <w:rFonts w:hint="eastAsia" w:ascii="方正小标宋简体" w:hAnsi="Arial" w:eastAsia="方正小标宋简体" w:cs="Times New Roman"/>
          <w:bCs/>
          <w:color w:val="auto"/>
          <w:kern w:val="0"/>
          <w:sz w:val="32"/>
          <w:szCs w:val="32"/>
          <w:highlight w:val="none"/>
          <w:lang w:val="en-US" w:eastAsia="zh-CN" w:bidi="ar-SA"/>
        </w:rPr>
        <w:t>附件3：工程量清单</w:t>
      </w:r>
      <w:bookmarkEnd w:id="140"/>
      <w:bookmarkEnd w:id="141"/>
      <w:bookmarkEnd w:id="144"/>
      <w:bookmarkEnd w:id="145"/>
    </w:p>
    <w:p w14:paraId="600992D0">
      <w:pPr>
        <w:spacing w:line="500" w:lineRule="exact"/>
        <w:ind w:firstLine="560"/>
        <w:outlineLvl w:val="1"/>
        <w:rPr>
          <w:rFonts w:hint="eastAsia" w:ascii="方正小标宋简体" w:hAnsi="Arial" w:eastAsia="方正小标宋简体" w:cs="Times New Roman"/>
          <w:bCs/>
          <w:color w:val="auto"/>
          <w:kern w:val="0"/>
          <w:sz w:val="32"/>
          <w:szCs w:val="32"/>
          <w:highlight w:val="none"/>
          <w:lang w:val="en-US" w:eastAsia="zh-CN" w:bidi="ar-SA"/>
        </w:rPr>
      </w:pPr>
      <w:bookmarkStart w:id="146" w:name="_Toc19711"/>
      <w:bookmarkStart w:id="147" w:name="_Toc5385"/>
      <w:bookmarkStart w:id="148" w:name="_Toc6981"/>
      <w:bookmarkStart w:id="149" w:name="_Toc26974"/>
      <w:r>
        <w:rPr>
          <w:rFonts w:hint="eastAsia" w:ascii="方正小标宋简体" w:hAnsi="Arial" w:eastAsia="方正小标宋简体" w:cs="Times New Roman"/>
          <w:bCs/>
          <w:color w:val="auto"/>
          <w:kern w:val="0"/>
          <w:sz w:val="32"/>
          <w:szCs w:val="32"/>
          <w:highlight w:val="none"/>
          <w:lang w:val="en-US" w:eastAsia="zh-CN" w:bidi="ar-SA"/>
        </w:rPr>
        <w:t>附件4：</w:t>
      </w:r>
      <w:bookmarkEnd w:id="146"/>
      <w:bookmarkStart w:id="150" w:name="_Toc18425"/>
      <w:bookmarkStart w:id="151" w:name="_Toc7231"/>
      <w:bookmarkStart w:id="152" w:name="_Toc26344"/>
      <w:r>
        <w:rPr>
          <w:rFonts w:hint="eastAsia" w:ascii="方正小标宋简体" w:hAnsi="Arial" w:eastAsia="方正小标宋简体" w:cs="Times New Roman"/>
          <w:bCs/>
          <w:color w:val="auto"/>
          <w:kern w:val="0"/>
          <w:sz w:val="32"/>
          <w:szCs w:val="32"/>
          <w:highlight w:val="none"/>
          <w:lang w:val="en-US" w:eastAsia="zh-CN" w:bidi="ar-SA"/>
        </w:rPr>
        <w:t>现场踏勘确认函</w:t>
      </w:r>
      <w:bookmarkEnd w:id="147"/>
      <w:bookmarkEnd w:id="148"/>
      <w:bookmarkEnd w:id="149"/>
      <w:bookmarkEnd w:id="150"/>
    </w:p>
    <w:bookmarkEnd w:id="135"/>
    <w:bookmarkEnd w:id="136"/>
    <w:bookmarkEnd w:id="137"/>
    <w:bookmarkEnd w:id="138"/>
    <w:bookmarkEnd w:id="139"/>
    <w:bookmarkEnd w:id="151"/>
    <w:bookmarkEnd w:id="152"/>
    <w:p w14:paraId="41D2AC75">
      <w:pPr>
        <w:jc w:val="center"/>
        <w:rPr>
          <w:rFonts w:hint="eastAsia" w:ascii="宋体" w:hAnsi="宋体"/>
          <w:b/>
          <w:color w:val="auto"/>
          <w:sz w:val="32"/>
          <w:szCs w:val="32"/>
          <w:highlight w:val="none"/>
        </w:rPr>
      </w:pPr>
      <w:r>
        <w:rPr>
          <w:rFonts w:hint="eastAsia" w:ascii="宋体" w:hAnsi="宋体"/>
          <w:b/>
          <w:color w:val="auto"/>
          <w:sz w:val="32"/>
          <w:szCs w:val="32"/>
          <w:highlight w:val="none"/>
        </w:rPr>
        <w:t>现场踏勘确认函</w:t>
      </w:r>
    </w:p>
    <w:p w14:paraId="391C161D">
      <w:pPr>
        <w:spacing w:line="300" w:lineRule="exact"/>
        <w:outlineLvl w:val="9"/>
        <w:rPr>
          <w:rFonts w:hint="default" w:ascii="仿宋" w:hAnsi="仿宋" w:eastAsia="仿宋"/>
          <w:color w:val="auto"/>
          <w:szCs w:val="21"/>
          <w:highlight w:val="none"/>
          <w:lang w:val="en-US" w:eastAsia="zh-CN"/>
        </w:rPr>
      </w:pPr>
    </w:p>
    <w:p w14:paraId="6ADF0EE2">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______________________________：</w:t>
      </w:r>
    </w:p>
    <w:p w14:paraId="462B5890">
      <w:pPr>
        <w:spacing w:line="500" w:lineRule="exact"/>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依据贵单位（采购项目名称</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项目</w:t>
      </w:r>
      <w:r>
        <w:rPr>
          <w:rFonts w:hint="eastAsia" w:ascii="仿宋" w:hAnsi="仿宋" w:eastAsia="仿宋"/>
          <w:color w:val="auto"/>
          <w:sz w:val="28"/>
          <w:szCs w:val="28"/>
          <w:highlight w:val="none"/>
          <w:lang w:val="en-US" w:eastAsia="zh-CN"/>
        </w:rPr>
        <w:t>谈判</w:t>
      </w:r>
      <w:r>
        <w:rPr>
          <w:rFonts w:hint="eastAsia" w:ascii="仿宋" w:hAnsi="仿宋" w:eastAsia="仿宋"/>
          <w:color w:val="auto"/>
          <w:sz w:val="28"/>
          <w:szCs w:val="28"/>
          <w:highlight w:val="none"/>
        </w:rPr>
        <w:t>文件的要求。我方已于</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年</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月</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日自行对该项目进行了现场勘察，我公司现就现场勘察情况做如下承诺：</w:t>
      </w:r>
    </w:p>
    <w:p w14:paraId="572B7182">
      <w:pPr>
        <w:spacing w:line="500" w:lineRule="exact"/>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、经现场勘察，我方已熟悉与该项目相关的</w:t>
      </w:r>
      <w:r>
        <w:rPr>
          <w:rFonts w:hint="eastAsia" w:ascii="仿宋" w:hAnsi="仿宋" w:eastAsia="仿宋"/>
          <w:color w:val="auto"/>
          <w:sz w:val="28"/>
          <w:szCs w:val="28"/>
          <w:highlight w:val="none"/>
          <w:lang w:val="en-US" w:eastAsia="zh-CN"/>
        </w:rPr>
        <w:t>施工</w:t>
      </w:r>
      <w:r>
        <w:rPr>
          <w:rFonts w:hint="eastAsia" w:ascii="仿宋" w:hAnsi="仿宋" w:eastAsia="仿宋"/>
          <w:color w:val="auto"/>
          <w:sz w:val="28"/>
          <w:szCs w:val="28"/>
          <w:highlight w:val="none"/>
        </w:rPr>
        <w:t>管理现场、现场周围交通道路等所有情况。</w:t>
      </w:r>
    </w:p>
    <w:p w14:paraId="5FB46AE2">
      <w:pPr>
        <w:spacing w:line="500" w:lineRule="exact"/>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、我方承诺自行承担本次现场勘察所发生的所有费用并承担勘察现场的相关责任和风险。</w:t>
      </w:r>
    </w:p>
    <w:p w14:paraId="34F098DA">
      <w:pPr>
        <w:spacing w:line="500" w:lineRule="exact"/>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3</w:t>
      </w:r>
      <w:r>
        <w:rPr>
          <w:rFonts w:hint="eastAsia" w:ascii="仿宋" w:hAnsi="仿宋" w:eastAsia="仿宋"/>
          <w:color w:val="auto"/>
          <w:sz w:val="28"/>
          <w:szCs w:val="28"/>
          <w:highlight w:val="none"/>
        </w:rPr>
        <w:t>、我方承诺在任何情况下均不以不完全了解现场情况为理由而向采购人提出任何索赔的要求。</w:t>
      </w:r>
    </w:p>
    <w:p w14:paraId="053D8FE8">
      <w:pPr>
        <w:spacing w:line="500" w:lineRule="exact"/>
        <w:jc w:val="right"/>
        <w:rPr>
          <w:rFonts w:hint="eastAsia" w:ascii="仿宋" w:hAnsi="仿宋" w:eastAsia="仿宋"/>
          <w:color w:val="auto"/>
          <w:sz w:val="28"/>
          <w:szCs w:val="28"/>
          <w:highlight w:val="none"/>
        </w:rPr>
      </w:pPr>
    </w:p>
    <w:p w14:paraId="55E13D56">
      <w:pPr>
        <w:spacing w:line="500" w:lineRule="exact"/>
        <w:jc w:val="righ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响应供应商：</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（加盖公章）</w:t>
      </w:r>
    </w:p>
    <w:p w14:paraId="2BAC4237">
      <w:pPr>
        <w:pStyle w:val="16"/>
        <w:rPr>
          <w:color w:val="auto"/>
          <w:highlight w:val="none"/>
        </w:rPr>
      </w:pPr>
    </w:p>
    <w:p w14:paraId="4D607982">
      <w:pPr>
        <w:spacing w:line="500" w:lineRule="exact"/>
        <w:ind w:firstLine="560" w:firstLineChars="200"/>
        <w:jc w:val="righ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法定代表人或被授权人：</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（签字或盖章）</w:t>
      </w:r>
    </w:p>
    <w:p w14:paraId="72B9EFE3">
      <w:pPr>
        <w:pStyle w:val="16"/>
        <w:rPr>
          <w:color w:val="auto"/>
          <w:highlight w:val="none"/>
        </w:rPr>
      </w:pPr>
    </w:p>
    <w:p w14:paraId="67BD4665">
      <w:pPr>
        <w:spacing w:line="300" w:lineRule="exact"/>
        <w:jc w:val="right"/>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年</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月</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日</w:t>
      </w:r>
    </w:p>
    <w:p w14:paraId="267F88F5">
      <w:pPr>
        <w:outlineLvl w:val="9"/>
        <w:rPr>
          <w:rFonts w:hint="eastAsia" w:ascii="仿宋" w:hAnsi="仿宋" w:eastAsia="仿宋"/>
          <w:color w:val="auto"/>
          <w:szCs w:val="21"/>
          <w:highlight w:val="none"/>
        </w:rPr>
      </w:pPr>
    </w:p>
    <w:p w14:paraId="06AB8884">
      <w:pPr>
        <w:spacing w:line="500" w:lineRule="exact"/>
        <w:ind w:firstLine="560" w:firstLineChars="200"/>
        <w:rPr>
          <w:rFonts w:hint="eastAsia" w:ascii="仿宋" w:hAnsi="仿宋" w:eastAsia="仿宋"/>
          <w:color w:val="auto"/>
          <w:sz w:val="28"/>
          <w:szCs w:val="28"/>
          <w:highlight w:val="none"/>
        </w:rPr>
      </w:pPr>
    </w:p>
    <w:sectPr>
      <w:footerReference r:id="rId5" w:type="default"/>
      <w:pgSz w:w="11906" w:h="16838"/>
      <w:pgMar w:top="1418" w:right="1134" w:bottom="1134" w:left="1418"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A30311B-3605-4695-88DC-35EB35BD4129}"/>
  </w:font>
  <w:font w:name="黑体">
    <w:panose1 w:val="02010609060101010101"/>
    <w:charset w:val="86"/>
    <w:family w:val="auto"/>
    <w:pitch w:val="default"/>
    <w:sig w:usb0="800002BF" w:usb1="38CF7CFA" w:usb2="00000016" w:usb3="00000000" w:csb0="00040001" w:csb1="00000000"/>
    <w:embedRegular r:id="rId2" w:fontKey="{C25CBC38-6EF6-40D5-B2B5-EE9BB6AACA0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3" w:fontKey="{8FAFEEC6-3E90-47DD-98C2-A257FF858680}"/>
  </w:font>
  <w:font w:name="仿宋">
    <w:panose1 w:val="02010609060101010101"/>
    <w:charset w:val="86"/>
    <w:family w:val="modern"/>
    <w:pitch w:val="default"/>
    <w:sig w:usb0="800002BF" w:usb1="38CF7CFA" w:usb2="00000016" w:usb3="00000000" w:csb0="00040001" w:csb1="00000000"/>
    <w:embedRegular r:id="rId4" w:fontKey="{6D6E5B6B-041E-435D-BBB7-D1A963145E89}"/>
  </w:font>
  <w:font w:name="Tahoma">
    <w:panose1 w:val="020B0604030504040204"/>
    <w:charset w:val="00"/>
    <w:family w:val="swiss"/>
    <w:pitch w:val="default"/>
    <w:sig w:usb0="E1002EFF" w:usb1="C000605B" w:usb2="00000029" w:usb3="00000000" w:csb0="200101FF" w:csb1="20280000"/>
  </w:font>
  <w:font w:name="方正小标宋简体">
    <w:panose1 w:val="02010600010101010101"/>
    <w:charset w:val="86"/>
    <w:family w:val="auto"/>
    <w:pitch w:val="default"/>
    <w:sig w:usb0="00000001" w:usb1="080E0000" w:usb2="00000000" w:usb3="00000000" w:csb0="00040000" w:csb1="00000000"/>
    <w:embedRegular r:id="rId5" w:fontKey="{60D1893E-4BC6-4C11-8AC6-9898DEF29100}"/>
  </w:font>
  <w:font w:name="文鼎CS楷体">
    <w:panose1 w:val="02010609010101010101"/>
    <w:charset w:val="86"/>
    <w:family w:val="modern"/>
    <w:pitch w:val="default"/>
    <w:sig w:usb0="00000000" w:usb1="00000000" w:usb2="00000000" w:usb3="00000000" w:csb0="00000000" w:csb1="00000000"/>
    <w:embedRegular r:id="rId6" w:fontKey="{7AFB0047-8F20-470B-8FFC-61D164F399B3}"/>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2D3FF">
    <w:pPr>
      <w:pStyle w:val="13"/>
      <w:framePr w:wrap="around" w:vAnchor="text" w:hAnchor="margin" w:xAlign="center" w:y="1"/>
      <w:rPr>
        <w:rStyle w:val="24"/>
      </w:rPr>
    </w:pPr>
    <w:r>
      <w:fldChar w:fldCharType="begin"/>
    </w:r>
    <w:r>
      <w:rPr>
        <w:rStyle w:val="24"/>
      </w:rPr>
      <w:instrText xml:space="preserve">PAGE  </w:instrText>
    </w:r>
    <w:r>
      <w:fldChar w:fldCharType="end"/>
    </w:r>
  </w:p>
  <w:p w14:paraId="5402D130">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96057">
    <w:pPr>
      <w:pStyle w:val="13"/>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5FFA1955">
                <w:pPr>
                  <w:pStyle w:val="13"/>
                  <w:rPr>
                    <w:rStyle w:val="24"/>
                  </w:rPr>
                </w:pPr>
                <w:r>
                  <w:fldChar w:fldCharType="begin"/>
                </w:r>
                <w:r>
                  <w:rPr>
                    <w:rStyle w:val="24"/>
                  </w:rPr>
                  <w:instrText xml:space="preserve">PAGE  </w:instrText>
                </w:r>
                <w:r>
                  <w:fldChar w:fldCharType="separate"/>
                </w:r>
                <w:r>
                  <w:rPr>
                    <w:rStyle w:val="24"/>
                  </w:rPr>
                  <w:t>6</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50B93">
    <w:pPr>
      <w:pStyle w:val="14"/>
    </w:pPr>
    <w:r>
      <w:rPr>
        <w:rFonts w:hint="eastAsia"/>
      </w:rPr>
      <w:t>如</w:t>
    </w:r>
    <w:r>
      <w:t>皋市政府采购</w:t>
    </w:r>
    <w:r>
      <w:rPr>
        <w:rFonts w:hint="eastAsia"/>
      </w:rPr>
      <w:t>竞争</w:t>
    </w:r>
    <w:r>
      <w:t>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B883CB"/>
    <w:multiLevelType w:val="singleLevel"/>
    <w:tmpl w:val="99B883CB"/>
    <w:lvl w:ilvl="0" w:tentative="0">
      <w:start w:val="8"/>
      <w:numFmt w:val="chineseCounting"/>
      <w:suff w:val="nothing"/>
      <w:lvlText w:val="%1、"/>
      <w:lvlJc w:val="left"/>
      <w:rPr>
        <w:rFonts w:hint="eastAsia"/>
      </w:rPr>
    </w:lvl>
  </w:abstractNum>
  <w:abstractNum w:abstractNumId="1">
    <w:nsid w:val="6D599E10"/>
    <w:multiLevelType w:val="singleLevel"/>
    <w:tmpl w:val="6D599E10"/>
    <w:lvl w:ilvl="0" w:tentative="0">
      <w:start w:val="10"/>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NGE2MTgwYzBkMTkzZDNjOGI1OWU1ZjZjODQwZWE5YWQifQ=="/>
  </w:docVars>
  <w:rsids>
    <w:rsidRoot w:val="00172A27"/>
    <w:rsid w:val="00003D0F"/>
    <w:rsid w:val="00004047"/>
    <w:rsid w:val="00004EEE"/>
    <w:rsid w:val="000056BE"/>
    <w:rsid w:val="0000649A"/>
    <w:rsid w:val="000075E8"/>
    <w:rsid w:val="00007D0D"/>
    <w:rsid w:val="00007F6F"/>
    <w:rsid w:val="00010D73"/>
    <w:rsid w:val="00012515"/>
    <w:rsid w:val="000146E4"/>
    <w:rsid w:val="00017872"/>
    <w:rsid w:val="000224F2"/>
    <w:rsid w:val="00024B8A"/>
    <w:rsid w:val="00026B11"/>
    <w:rsid w:val="00027BB8"/>
    <w:rsid w:val="000302F1"/>
    <w:rsid w:val="00030326"/>
    <w:rsid w:val="00033AD2"/>
    <w:rsid w:val="00037DBC"/>
    <w:rsid w:val="000408D8"/>
    <w:rsid w:val="00043C24"/>
    <w:rsid w:val="00045758"/>
    <w:rsid w:val="0004600C"/>
    <w:rsid w:val="00046680"/>
    <w:rsid w:val="000467E8"/>
    <w:rsid w:val="00051A8F"/>
    <w:rsid w:val="000520C4"/>
    <w:rsid w:val="000521AA"/>
    <w:rsid w:val="0005552C"/>
    <w:rsid w:val="0006367C"/>
    <w:rsid w:val="000649E6"/>
    <w:rsid w:val="00064FB2"/>
    <w:rsid w:val="000650E9"/>
    <w:rsid w:val="00065B58"/>
    <w:rsid w:val="00065E0B"/>
    <w:rsid w:val="0007487C"/>
    <w:rsid w:val="00074F56"/>
    <w:rsid w:val="00076998"/>
    <w:rsid w:val="00077225"/>
    <w:rsid w:val="0008063C"/>
    <w:rsid w:val="00084764"/>
    <w:rsid w:val="00085315"/>
    <w:rsid w:val="00085405"/>
    <w:rsid w:val="00086F34"/>
    <w:rsid w:val="000871A8"/>
    <w:rsid w:val="00087229"/>
    <w:rsid w:val="000908B9"/>
    <w:rsid w:val="00095630"/>
    <w:rsid w:val="000957D2"/>
    <w:rsid w:val="000958FB"/>
    <w:rsid w:val="00095E4C"/>
    <w:rsid w:val="00096AD0"/>
    <w:rsid w:val="000970E2"/>
    <w:rsid w:val="00097375"/>
    <w:rsid w:val="000A04A8"/>
    <w:rsid w:val="000A16E3"/>
    <w:rsid w:val="000A2DB2"/>
    <w:rsid w:val="000A3128"/>
    <w:rsid w:val="000A3B6D"/>
    <w:rsid w:val="000A3C62"/>
    <w:rsid w:val="000A41F5"/>
    <w:rsid w:val="000A6601"/>
    <w:rsid w:val="000A720D"/>
    <w:rsid w:val="000A7870"/>
    <w:rsid w:val="000B0233"/>
    <w:rsid w:val="000B0986"/>
    <w:rsid w:val="000B0D4C"/>
    <w:rsid w:val="000B1A80"/>
    <w:rsid w:val="000B486C"/>
    <w:rsid w:val="000B49C4"/>
    <w:rsid w:val="000B551D"/>
    <w:rsid w:val="000B627B"/>
    <w:rsid w:val="000B62BF"/>
    <w:rsid w:val="000B65BC"/>
    <w:rsid w:val="000B666D"/>
    <w:rsid w:val="000B72C8"/>
    <w:rsid w:val="000B7662"/>
    <w:rsid w:val="000C000E"/>
    <w:rsid w:val="000C1489"/>
    <w:rsid w:val="000C3185"/>
    <w:rsid w:val="000C62A7"/>
    <w:rsid w:val="000D1DDB"/>
    <w:rsid w:val="000E08EF"/>
    <w:rsid w:val="000E10B3"/>
    <w:rsid w:val="000E55E7"/>
    <w:rsid w:val="000E7622"/>
    <w:rsid w:val="000E7DA3"/>
    <w:rsid w:val="000F450C"/>
    <w:rsid w:val="000F596B"/>
    <w:rsid w:val="000F695B"/>
    <w:rsid w:val="000F6C1F"/>
    <w:rsid w:val="000F6D86"/>
    <w:rsid w:val="000F7C94"/>
    <w:rsid w:val="000F7FA8"/>
    <w:rsid w:val="001000E4"/>
    <w:rsid w:val="00100493"/>
    <w:rsid w:val="00100830"/>
    <w:rsid w:val="0010140C"/>
    <w:rsid w:val="001041F0"/>
    <w:rsid w:val="00105A76"/>
    <w:rsid w:val="00105AD1"/>
    <w:rsid w:val="00105B54"/>
    <w:rsid w:val="001064C9"/>
    <w:rsid w:val="0010677C"/>
    <w:rsid w:val="001100C9"/>
    <w:rsid w:val="00110C96"/>
    <w:rsid w:val="00110E30"/>
    <w:rsid w:val="00111314"/>
    <w:rsid w:val="0011345C"/>
    <w:rsid w:val="00113A63"/>
    <w:rsid w:val="00114B25"/>
    <w:rsid w:val="00114F40"/>
    <w:rsid w:val="00115D57"/>
    <w:rsid w:val="00117BC2"/>
    <w:rsid w:val="00124306"/>
    <w:rsid w:val="00126D12"/>
    <w:rsid w:val="00127240"/>
    <w:rsid w:val="00127629"/>
    <w:rsid w:val="0013182C"/>
    <w:rsid w:val="00132EDE"/>
    <w:rsid w:val="001334A5"/>
    <w:rsid w:val="00133659"/>
    <w:rsid w:val="0013368E"/>
    <w:rsid w:val="00133D14"/>
    <w:rsid w:val="001345E5"/>
    <w:rsid w:val="001349F1"/>
    <w:rsid w:val="001419AB"/>
    <w:rsid w:val="00145860"/>
    <w:rsid w:val="00147DA4"/>
    <w:rsid w:val="0015239E"/>
    <w:rsid w:val="00153255"/>
    <w:rsid w:val="00155DF2"/>
    <w:rsid w:val="00156777"/>
    <w:rsid w:val="00161510"/>
    <w:rsid w:val="00162EED"/>
    <w:rsid w:val="00163BF8"/>
    <w:rsid w:val="001644AF"/>
    <w:rsid w:val="001649F7"/>
    <w:rsid w:val="00165914"/>
    <w:rsid w:val="00167929"/>
    <w:rsid w:val="001705C6"/>
    <w:rsid w:val="001712E4"/>
    <w:rsid w:val="001740E6"/>
    <w:rsid w:val="00180295"/>
    <w:rsid w:val="00180865"/>
    <w:rsid w:val="001812CA"/>
    <w:rsid w:val="00181918"/>
    <w:rsid w:val="001842CF"/>
    <w:rsid w:val="0018443E"/>
    <w:rsid w:val="0019026D"/>
    <w:rsid w:val="00191574"/>
    <w:rsid w:val="001917E5"/>
    <w:rsid w:val="00194D5C"/>
    <w:rsid w:val="001A0FCD"/>
    <w:rsid w:val="001A122F"/>
    <w:rsid w:val="001A4D58"/>
    <w:rsid w:val="001A5BBD"/>
    <w:rsid w:val="001A5E89"/>
    <w:rsid w:val="001A612C"/>
    <w:rsid w:val="001A6BB5"/>
    <w:rsid w:val="001A73A2"/>
    <w:rsid w:val="001A7C78"/>
    <w:rsid w:val="001B00E4"/>
    <w:rsid w:val="001B00EC"/>
    <w:rsid w:val="001B090C"/>
    <w:rsid w:val="001B0AF2"/>
    <w:rsid w:val="001B1841"/>
    <w:rsid w:val="001B2814"/>
    <w:rsid w:val="001B4726"/>
    <w:rsid w:val="001B4841"/>
    <w:rsid w:val="001B4D60"/>
    <w:rsid w:val="001B729E"/>
    <w:rsid w:val="001C01F6"/>
    <w:rsid w:val="001C281A"/>
    <w:rsid w:val="001C3F69"/>
    <w:rsid w:val="001C4969"/>
    <w:rsid w:val="001C5507"/>
    <w:rsid w:val="001C5F46"/>
    <w:rsid w:val="001D2D19"/>
    <w:rsid w:val="001D3753"/>
    <w:rsid w:val="001D42B3"/>
    <w:rsid w:val="001D6A95"/>
    <w:rsid w:val="001D73F3"/>
    <w:rsid w:val="001D7FC6"/>
    <w:rsid w:val="001E2B14"/>
    <w:rsid w:val="001E35A1"/>
    <w:rsid w:val="001E4CA5"/>
    <w:rsid w:val="001F24A9"/>
    <w:rsid w:val="001F2B35"/>
    <w:rsid w:val="001F2FC2"/>
    <w:rsid w:val="001F6197"/>
    <w:rsid w:val="001F672D"/>
    <w:rsid w:val="001F6A0B"/>
    <w:rsid w:val="001F6DC3"/>
    <w:rsid w:val="001F78B2"/>
    <w:rsid w:val="001F7ED8"/>
    <w:rsid w:val="00201593"/>
    <w:rsid w:val="00202637"/>
    <w:rsid w:val="00202F3E"/>
    <w:rsid w:val="00204FF8"/>
    <w:rsid w:val="00206D9D"/>
    <w:rsid w:val="0020708E"/>
    <w:rsid w:val="00210A81"/>
    <w:rsid w:val="002120E9"/>
    <w:rsid w:val="00214D2E"/>
    <w:rsid w:val="00217A36"/>
    <w:rsid w:val="00222308"/>
    <w:rsid w:val="00223FE8"/>
    <w:rsid w:val="002248EF"/>
    <w:rsid w:val="00226BC6"/>
    <w:rsid w:val="00230887"/>
    <w:rsid w:val="002341A3"/>
    <w:rsid w:val="00234AA1"/>
    <w:rsid w:val="00234FAA"/>
    <w:rsid w:val="00236047"/>
    <w:rsid w:val="002368D0"/>
    <w:rsid w:val="00241D07"/>
    <w:rsid w:val="00242069"/>
    <w:rsid w:val="00242BDE"/>
    <w:rsid w:val="00245739"/>
    <w:rsid w:val="00245AD7"/>
    <w:rsid w:val="00247B44"/>
    <w:rsid w:val="00250F9F"/>
    <w:rsid w:val="002512E6"/>
    <w:rsid w:val="00252AAE"/>
    <w:rsid w:val="002533FB"/>
    <w:rsid w:val="00253833"/>
    <w:rsid w:val="00255ED0"/>
    <w:rsid w:val="0025739E"/>
    <w:rsid w:val="00262C71"/>
    <w:rsid w:val="00263E7B"/>
    <w:rsid w:val="00266AA3"/>
    <w:rsid w:val="00266E77"/>
    <w:rsid w:val="00270D89"/>
    <w:rsid w:val="00271AF8"/>
    <w:rsid w:val="002721FF"/>
    <w:rsid w:val="002748FD"/>
    <w:rsid w:val="00275E72"/>
    <w:rsid w:val="00276B7A"/>
    <w:rsid w:val="00281501"/>
    <w:rsid w:val="00282304"/>
    <w:rsid w:val="00283F31"/>
    <w:rsid w:val="0028486A"/>
    <w:rsid w:val="00284C01"/>
    <w:rsid w:val="00285B89"/>
    <w:rsid w:val="00286DC8"/>
    <w:rsid w:val="00287690"/>
    <w:rsid w:val="00287BAF"/>
    <w:rsid w:val="00290BD1"/>
    <w:rsid w:val="002928D6"/>
    <w:rsid w:val="002967B2"/>
    <w:rsid w:val="002A111D"/>
    <w:rsid w:val="002A2392"/>
    <w:rsid w:val="002A4511"/>
    <w:rsid w:val="002A47A2"/>
    <w:rsid w:val="002A7835"/>
    <w:rsid w:val="002A7DA5"/>
    <w:rsid w:val="002B0F3D"/>
    <w:rsid w:val="002B1D62"/>
    <w:rsid w:val="002B2DEC"/>
    <w:rsid w:val="002B37B5"/>
    <w:rsid w:val="002B3941"/>
    <w:rsid w:val="002B406D"/>
    <w:rsid w:val="002B505E"/>
    <w:rsid w:val="002B6ED5"/>
    <w:rsid w:val="002B7F98"/>
    <w:rsid w:val="002C1C9F"/>
    <w:rsid w:val="002C223A"/>
    <w:rsid w:val="002C327B"/>
    <w:rsid w:val="002C4617"/>
    <w:rsid w:val="002C4CD8"/>
    <w:rsid w:val="002C6149"/>
    <w:rsid w:val="002D0A56"/>
    <w:rsid w:val="002D0BC3"/>
    <w:rsid w:val="002D2CEA"/>
    <w:rsid w:val="002D3156"/>
    <w:rsid w:val="002E38B2"/>
    <w:rsid w:val="002F04FD"/>
    <w:rsid w:val="002F1A79"/>
    <w:rsid w:val="002F2AC6"/>
    <w:rsid w:val="002F3F72"/>
    <w:rsid w:val="002F5C27"/>
    <w:rsid w:val="00300644"/>
    <w:rsid w:val="003015DA"/>
    <w:rsid w:val="003029DE"/>
    <w:rsid w:val="00303347"/>
    <w:rsid w:val="0030399E"/>
    <w:rsid w:val="003048FD"/>
    <w:rsid w:val="003068B2"/>
    <w:rsid w:val="00307127"/>
    <w:rsid w:val="00311048"/>
    <w:rsid w:val="00313F9C"/>
    <w:rsid w:val="003149B4"/>
    <w:rsid w:val="00315EFE"/>
    <w:rsid w:val="003210C3"/>
    <w:rsid w:val="003248D7"/>
    <w:rsid w:val="003250B4"/>
    <w:rsid w:val="00325A77"/>
    <w:rsid w:val="0033046A"/>
    <w:rsid w:val="003311AC"/>
    <w:rsid w:val="0033131E"/>
    <w:rsid w:val="003318D5"/>
    <w:rsid w:val="003338C9"/>
    <w:rsid w:val="00333B0E"/>
    <w:rsid w:val="003362A6"/>
    <w:rsid w:val="003363D5"/>
    <w:rsid w:val="00337283"/>
    <w:rsid w:val="00337736"/>
    <w:rsid w:val="00343298"/>
    <w:rsid w:val="0034458A"/>
    <w:rsid w:val="00345375"/>
    <w:rsid w:val="00345CF9"/>
    <w:rsid w:val="0034773F"/>
    <w:rsid w:val="003516AA"/>
    <w:rsid w:val="00353806"/>
    <w:rsid w:val="00354E1A"/>
    <w:rsid w:val="00357832"/>
    <w:rsid w:val="003612FE"/>
    <w:rsid w:val="00362041"/>
    <w:rsid w:val="003621BB"/>
    <w:rsid w:val="00362D37"/>
    <w:rsid w:val="00363534"/>
    <w:rsid w:val="003636A7"/>
    <w:rsid w:val="0036607A"/>
    <w:rsid w:val="00366540"/>
    <w:rsid w:val="00366D25"/>
    <w:rsid w:val="003672FB"/>
    <w:rsid w:val="003674D2"/>
    <w:rsid w:val="00371196"/>
    <w:rsid w:val="003721CA"/>
    <w:rsid w:val="00373BBF"/>
    <w:rsid w:val="00375083"/>
    <w:rsid w:val="00375719"/>
    <w:rsid w:val="00375FDC"/>
    <w:rsid w:val="00382426"/>
    <w:rsid w:val="00385F5D"/>
    <w:rsid w:val="00385FF6"/>
    <w:rsid w:val="003867BC"/>
    <w:rsid w:val="0039188A"/>
    <w:rsid w:val="00392FB7"/>
    <w:rsid w:val="00393C8E"/>
    <w:rsid w:val="00394338"/>
    <w:rsid w:val="003944F5"/>
    <w:rsid w:val="003A2953"/>
    <w:rsid w:val="003A31B3"/>
    <w:rsid w:val="003A34C0"/>
    <w:rsid w:val="003A4699"/>
    <w:rsid w:val="003A46C4"/>
    <w:rsid w:val="003A4FE6"/>
    <w:rsid w:val="003A5E0F"/>
    <w:rsid w:val="003A6468"/>
    <w:rsid w:val="003A6FB7"/>
    <w:rsid w:val="003A71FF"/>
    <w:rsid w:val="003A72D7"/>
    <w:rsid w:val="003B16A7"/>
    <w:rsid w:val="003B5884"/>
    <w:rsid w:val="003B6794"/>
    <w:rsid w:val="003C0F69"/>
    <w:rsid w:val="003C6B90"/>
    <w:rsid w:val="003C6F19"/>
    <w:rsid w:val="003D3723"/>
    <w:rsid w:val="003D3A49"/>
    <w:rsid w:val="003D3E54"/>
    <w:rsid w:val="003D3ECE"/>
    <w:rsid w:val="003D4183"/>
    <w:rsid w:val="003D4E38"/>
    <w:rsid w:val="003D5508"/>
    <w:rsid w:val="003D68A7"/>
    <w:rsid w:val="003D696E"/>
    <w:rsid w:val="003D77F0"/>
    <w:rsid w:val="003E0928"/>
    <w:rsid w:val="003E25B4"/>
    <w:rsid w:val="003E3F16"/>
    <w:rsid w:val="003E41B3"/>
    <w:rsid w:val="003F09BB"/>
    <w:rsid w:val="003F1B7F"/>
    <w:rsid w:val="003F2D2B"/>
    <w:rsid w:val="003F31F1"/>
    <w:rsid w:val="003F40A5"/>
    <w:rsid w:val="003F4825"/>
    <w:rsid w:val="003F6497"/>
    <w:rsid w:val="00401FCA"/>
    <w:rsid w:val="004064FC"/>
    <w:rsid w:val="004078AB"/>
    <w:rsid w:val="00410A9D"/>
    <w:rsid w:val="00410B14"/>
    <w:rsid w:val="00410C7F"/>
    <w:rsid w:val="00411080"/>
    <w:rsid w:val="00411081"/>
    <w:rsid w:val="00414442"/>
    <w:rsid w:val="00415031"/>
    <w:rsid w:val="004155F4"/>
    <w:rsid w:val="00415A48"/>
    <w:rsid w:val="00415D3C"/>
    <w:rsid w:val="00415EED"/>
    <w:rsid w:val="00416948"/>
    <w:rsid w:val="00417502"/>
    <w:rsid w:val="0042098E"/>
    <w:rsid w:val="00422129"/>
    <w:rsid w:val="00422321"/>
    <w:rsid w:val="00422CC9"/>
    <w:rsid w:val="004232C7"/>
    <w:rsid w:val="00423455"/>
    <w:rsid w:val="004234C5"/>
    <w:rsid w:val="00424021"/>
    <w:rsid w:val="00424A4D"/>
    <w:rsid w:val="00425C81"/>
    <w:rsid w:val="0042609E"/>
    <w:rsid w:val="004264E0"/>
    <w:rsid w:val="00427191"/>
    <w:rsid w:val="0043055C"/>
    <w:rsid w:val="00431F51"/>
    <w:rsid w:val="00433126"/>
    <w:rsid w:val="004340C3"/>
    <w:rsid w:val="00434289"/>
    <w:rsid w:val="00441291"/>
    <w:rsid w:val="00442326"/>
    <w:rsid w:val="00442D98"/>
    <w:rsid w:val="004436C8"/>
    <w:rsid w:val="00443B43"/>
    <w:rsid w:val="00445047"/>
    <w:rsid w:val="0044567F"/>
    <w:rsid w:val="00450BF1"/>
    <w:rsid w:val="00454777"/>
    <w:rsid w:val="0045479C"/>
    <w:rsid w:val="0045540A"/>
    <w:rsid w:val="004554A4"/>
    <w:rsid w:val="00456385"/>
    <w:rsid w:val="004565E7"/>
    <w:rsid w:val="00457182"/>
    <w:rsid w:val="00457587"/>
    <w:rsid w:val="004606EC"/>
    <w:rsid w:val="00460884"/>
    <w:rsid w:val="004631D0"/>
    <w:rsid w:val="004641C3"/>
    <w:rsid w:val="00466E69"/>
    <w:rsid w:val="0046782D"/>
    <w:rsid w:val="00470ABA"/>
    <w:rsid w:val="00472FCB"/>
    <w:rsid w:val="0047370E"/>
    <w:rsid w:val="00473D0C"/>
    <w:rsid w:val="00477522"/>
    <w:rsid w:val="00477EB5"/>
    <w:rsid w:val="00480C42"/>
    <w:rsid w:val="00481CFB"/>
    <w:rsid w:val="00486085"/>
    <w:rsid w:val="004870A9"/>
    <w:rsid w:val="004873AA"/>
    <w:rsid w:val="00487FB2"/>
    <w:rsid w:val="00490F01"/>
    <w:rsid w:val="0049296A"/>
    <w:rsid w:val="00494667"/>
    <w:rsid w:val="004956DA"/>
    <w:rsid w:val="00495738"/>
    <w:rsid w:val="004961F1"/>
    <w:rsid w:val="00496680"/>
    <w:rsid w:val="00497431"/>
    <w:rsid w:val="004A2E0C"/>
    <w:rsid w:val="004A3EF2"/>
    <w:rsid w:val="004A6D5B"/>
    <w:rsid w:val="004A7FCA"/>
    <w:rsid w:val="004B218B"/>
    <w:rsid w:val="004B4C91"/>
    <w:rsid w:val="004B6815"/>
    <w:rsid w:val="004B6918"/>
    <w:rsid w:val="004C138F"/>
    <w:rsid w:val="004C345A"/>
    <w:rsid w:val="004C3971"/>
    <w:rsid w:val="004C4207"/>
    <w:rsid w:val="004C4437"/>
    <w:rsid w:val="004C472C"/>
    <w:rsid w:val="004C6200"/>
    <w:rsid w:val="004C7416"/>
    <w:rsid w:val="004D1FE1"/>
    <w:rsid w:val="004D4FD7"/>
    <w:rsid w:val="004D6C03"/>
    <w:rsid w:val="004E1D13"/>
    <w:rsid w:val="004E32BA"/>
    <w:rsid w:val="004E34A9"/>
    <w:rsid w:val="004E397C"/>
    <w:rsid w:val="004E4141"/>
    <w:rsid w:val="004E4771"/>
    <w:rsid w:val="004E576D"/>
    <w:rsid w:val="004E72B4"/>
    <w:rsid w:val="004E7C51"/>
    <w:rsid w:val="004F08E5"/>
    <w:rsid w:val="004F409F"/>
    <w:rsid w:val="004F5731"/>
    <w:rsid w:val="005007D1"/>
    <w:rsid w:val="00504C4C"/>
    <w:rsid w:val="00505586"/>
    <w:rsid w:val="0050766C"/>
    <w:rsid w:val="00507772"/>
    <w:rsid w:val="005107D4"/>
    <w:rsid w:val="005109F1"/>
    <w:rsid w:val="00511862"/>
    <w:rsid w:val="00513AD1"/>
    <w:rsid w:val="00514DB0"/>
    <w:rsid w:val="005159D7"/>
    <w:rsid w:val="00520885"/>
    <w:rsid w:val="005217C8"/>
    <w:rsid w:val="005256B1"/>
    <w:rsid w:val="00525D82"/>
    <w:rsid w:val="0052633A"/>
    <w:rsid w:val="00527A3C"/>
    <w:rsid w:val="00527B03"/>
    <w:rsid w:val="0053122C"/>
    <w:rsid w:val="00531DDD"/>
    <w:rsid w:val="00535858"/>
    <w:rsid w:val="005360D8"/>
    <w:rsid w:val="0053612C"/>
    <w:rsid w:val="005404D6"/>
    <w:rsid w:val="00540533"/>
    <w:rsid w:val="00540FA8"/>
    <w:rsid w:val="005444CA"/>
    <w:rsid w:val="00544847"/>
    <w:rsid w:val="00552C0D"/>
    <w:rsid w:val="00557981"/>
    <w:rsid w:val="00561B47"/>
    <w:rsid w:val="00562862"/>
    <w:rsid w:val="00567203"/>
    <w:rsid w:val="005735C6"/>
    <w:rsid w:val="00573A38"/>
    <w:rsid w:val="00576F6E"/>
    <w:rsid w:val="00577F52"/>
    <w:rsid w:val="0058020A"/>
    <w:rsid w:val="0058140C"/>
    <w:rsid w:val="00582345"/>
    <w:rsid w:val="00583328"/>
    <w:rsid w:val="00584332"/>
    <w:rsid w:val="00585FBE"/>
    <w:rsid w:val="005864C5"/>
    <w:rsid w:val="00586512"/>
    <w:rsid w:val="005937AA"/>
    <w:rsid w:val="00593C81"/>
    <w:rsid w:val="005965B5"/>
    <w:rsid w:val="005968E5"/>
    <w:rsid w:val="00597A44"/>
    <w:rsid w:val="005A045E"/>
    <w:rsid w:val="005A2282"/>
    <w:rsid w:val="005A2C5C"/>
    <w:rsid w:val="005A2D04"/>
    <w:rsid w:val="005A34CD"/>
    <w:rsid w:val="005A355B"/>
    <w:rsid w:val="005A4A9D"/>
    <w:rsid w:val="005A5551"/>
    <w:rsid w:val="005A7F3B"/>
    <w:rsid w:val="005B0A48"/>
    <w:rsid w:val="005B163A"/>
    <w:rsid w:val="005B1CC5"/>
    <w:rsid w:val="005B1E67"/>
    <w:rsid w:val="005B3389"/>
    <w:rsid w:val="005B41B7"/>
    <w:rsid w:val="005B5547"/>
    <w:rsid w:val="005B6501"/>
    <w:rsid w:val="005B6CBD"/>
    <w:rsid w:val="005B6D90"/>
    <w:rsid w:val="005C3FA1"/>
    <w:rsid w:val="005C45AF"/>
    <w:rsid w:val="005C5D19"/>
    <w:rsid w:val="005C65BF"/>
    <w:rsid w:val="005C6A8F"/>
    <w:rsid w:val="005C6D22"/>
    <w:rsid w:val="005C7390"/>
    <w:rsid w:val="005D0832"/>
    <w:rsid w:val="005D0F8C"/>
    <w:rsid w:val="005D1A07"/>
    <w:rsid w:val="005D1EBA"/>
    <w:rsid w:val="005D2FD5"/>
    <w:rsid w:val="005D6824"/>
    <w:rsid w:val="005D6E97"/>
    <w:rsid w:val="005E1B49"/>
    <w:rsid w:val="005E2A24"/>
    <w:rsid w:val="005E6266"/>
    <w:rsid w:val="005E68DA"/>
    <w:rsid w:val="005E71B2"/>
    <w:rsid w:val="005F1E92"/>
    <w:rsid w:val="005F2D94"/>
    <w:rsid w:val="005F3CE9"/>
    <w:rsid w:val="005F5AC5"/>
    <w:rsid w:val="005F6C63"/>
    <w:rsid w:val="00600863"/>
    <w:rsid w:val="00603774"/>
    <w:rsid w:val="006039C3"/>
    <w:rsid w:val="00604A0E"/>
    <w:rsid w:val="00604CF7"/>
    <w:rsid w:val="00605CF1"/>
    <w:rsid w:val="0060742A"/>
    <w:rsid w:val="006077E3"/>
    <w:rsid w:val="0061030A"/>
    <w:rsid w:val="006163F8"/>
    <w:rsid w:val="00620CEA"/>
    <w:rsid w:val="00621656"/>
    <w:rsid w:val="006238A4"/>
    <w:rsid w:val="00625485"/>
    <w:rsid w:val="00625842"/>
    <w:rsid w:val="0062644F"/>
    <w:rsid w:val="00626F31"/>
    <w:rsid w:val="00630D78"/>
    <w:rsid w:val="00631DAD"/>
    <w:rsid w:val="00633158"/>
    <w:rsid w:val="00633CDA"/>
    <w:rsid w:val="00635B08"/>
    <w:rsid w:val="00635FB6"/>
    <w:rsid w:val="0063693F"/>
    <w:rsid w:val="00637CE5"/>
    <w:rsid w:val="00643BC1"/>
    <w:rsid w:val="0064785F"/>
    <w:rsid w:val="006521CF"/>
    <w:rsid w:val="00653655"/>
    <w:rsid w:val="0065467A"/>
    <w:rsid w:val="0065589C"/>
    <w:rsid w:val="006565A9"/>
    <w:rsid w:val="00656A41"/>
    <w:rsid w:val="00656DCB"/>
    <w:rsid w:val="00661251"/>
    <w:rsid w:val="0066144A"/>
    <w:rsid w:val="00661AE6"/>
    <w:rsid w:val="006631D6"/>
    <w:rsid w:val="00663737"/>
    <w:rsid w:val="0066525D"/>
    <w:rsid w:val="006666DB"/>
    <w:rsid w:val="00666C45"/>
    <w:rsid w:val="0067146B"/>
    <w:rsid w:val="00673A14"/>
    <w:rsid w:val="00673EEA"/>
    <w:rsid w:val="0067569A"/>
    <w:rsid w:val="006756F7"/>
    <w:rsid w:val="00676B2F"/>
    <w:rsid w:val="00676C31"/>
    <w:rsid w:val="00680007"/>
    <w:rsid w:val="006832CD"/>
    <w:rsid w:val="00685128"/>
    <w:rsid w:val="00685974"/>
    <w:rsid w:val="00686A20"/>
    <w:rsid w:val="00687C76"/>
    <w:rsid w:val="00687F65"/>
    <w:rsid w:val="00690669"/>
    <w:rsid w:val="00692E0F"/>
    <w:rsid w:val="00693828"/>
    <w:rsid w:val="00694E56"/>
    <w:rsid w:val="00697286"/>
    <w:rsid w:val="006A0C8C"/>
    <w:rsid w:val="006A1B4A"/>
    <w:rsid w:val="006A45A2"/>
    <w:rsid w:val="006A479D"/>
    <w:rsid w:val="006A5DD7"/>
    <w:rsid w:val="006A7341"/>
    <w:rsid w:val="006B1982"/>
    <w:rsid w:val="006B57D6"/>
    <w:rsid w:val="006C7682"/>
    <w:rsid w:val="006D2D87"/>
    <w:rsid w:val="006D6C77"/>
    <w:rsid w:val="006D6FED"/>
    <w:rsid w:val="006E37C2"/>
    <w:rsid w:val="006E41D2"/>
    <w:rsid w:val="006E46D7"/>
    <w:rsid w:val="006E4AC8"/>
    <w:rsid w:val="006E505D"/>
    <w:rsid w:val="006F1F3A"/>
    <w:rsid w:val="006F206F"/>
    <w:rsid w:val="006F269B"/>
    <w:rsid w:val="006F4B62"/>
    <w:rsid w:val="006F53FC"/>
    <w:rsid w:val="0070025C"/>
    <w:rsid w:val="00701A5B"/>
    <w:rsid w:val="007022A3"/>
    <w:rsid w:val="007039B8"/>
    <w:rsid w:val="00704166"/>
    <w:rsid w:val="00704458"/>
    <w:rsid w:val="00705ED0"/>
    <w:rsid w:val="00706D61"/>
    <w:rsid w:val="00707147"/>
    <w:rsid w:val="00707764"/>
    <w:rsid w:val="00710B1A"/>
    <w:rsid w:val="00711996"/>
    <w:rsid w:val="00714A08"/>
    <w:rsid w:val="00715048"/>
    <w:rsid w:val="007156B9"/>
    <w:rsid w:val="007164C0"/>
    <w:rsid w:val="00722672"/>
    <w:rsid w:val="00722C39"/>
    <w:rsid w:val="00723763"/>
    <w:rsid w:val="00723C06"/>
    <w:rsid w:val="00725378"/>
    <w:rsid w:val="007254CE"/>
    <w:rsid w:val="00726F91"/>
    <w:rsid w:val="00730296"/>
    <w:rsid w:val="007309A7"/>
    <w:rsid w:val="00731C2D"/>
    <w:rsid w:val="007406E3"/>
    <w:rsid w:val="007460E4"/>
    <w:rsid w:val="007469CD"/>
    <w:rsid w:val="00747873"/>
    <w:rsid w:val="00747F59"/>
    <w:rsid w:val="0075175B"/>
    <w:rsid w:val="00753CB1"/>
    <w:rsid w:val="0075569A"/>
    <w:rsid w:val="00761BCB"/>
    <w:rsid w:val="00762E34"/>
    <w:rsid w:val="007631D4"/>
    <w:rsid w:val="00763833"/>
    <w:rsid w:val="00767ECE"/>
    <w:rsid w:val="007709E6"/>
    <w:rsid w:val="00770A02"/>
    <w:rsid w:val="00771932"/>
    <w:rsid w:val="00771935"/>
    <w:rsid w:val="00772EF3"/>
    <w:rsid w:val="00775011"/>
    <w:rsid w:val="00776BD2"/>
    <w:rsid w:val="007771B5"/>
    <w:rsid w:val="00780DFE"/>
    <w:rsid w:val="00780FA3"/>
    <w:rsid w:val="00783DCC"/>
    <w:rsid w:val="007855C1"/>
    <w:rsid w:val="00786474"/>
    <w:rsid w:val="00786944"/>
    <w:rsid w:val="007900CC"/>
    <w:rsid w:val="00791FD3"/>
    <w:rsid w:val="00792375"/>
    <w:rsid w:val="0079314E"/>
    <w:rsid w:val="00793F9D"/>
    <w:rsid w:val="007948B7"/>
    <w:rsid w:val="00794CCA"/>
    <w:rsid w:val="007951E0"/>
    <w:rsid w:val="00795865"/>
    <w:rsid w:val="007959FE"/>
    <w:rsid w:val="00797A10"/>
    <w:rsid w:val="007A0944"/>
    <w:rsid w:val="007A13FA"/>
    <w:rsid w:val="007A1F3D"/>
    <w:rsid w:val="007A2DA5"/>
    <w:rsid w:val="007A45E6"/>
    <w:rsid w:val="007A4C07"/>
    <w:rsid w:val="007A4D7A"/>
    <w:rsid w:val="007B2A53"/>
    <w:rsid w:val="007B34A8"/>
    <w:rsid w:val="007B37F0"/>
    <w:rsid w:val="007B677B"/>
    <w:rsid w:val="007B6EF9"/>
    <w:rsid w:val="007C0C96"/>
    <w:rsid w:val="007C2F32"/>
    <w:rsid w:val="007C3699"/>
    <w:rsid w:val="007C4867"/>
    <w:rsid w:val="007C5712"/>
    <w:rsid w:val="007C75A3"/>
    <w:rsid w:val="007C7E20"/>
    <w:rsid w:val="007D188B"/>
    <w:rsid w:val="007D1BBC"/>
    <w:rsid w:val="007D1DD6"/>
    <w:rsid w:val="007D6C62"/>
    <w:rsid w:val="007D7955"/>
    <w:rsid w:val="007D7B0E"/>
    <w:rsid w:val="007E00FB"/>
    <w:rsid w:val="007E0298"/>
    <w:rsid w:val="007E0C9D"/>
    <w:rsid w:val="007E0E74"/>
    <w:rsid w:val="007E17B8"/>
    <w:rsid w:val="007E5C67"/>
    <w:rsid w:val="007E5EB8"/>
    <w:rsid w:val="007E7C48"/>
    <w:rsid w:val="007F1CAC"/>
    <w:rsid w:val="007F58EE"/>
    <w:rsid w:val="00800CD2"/>
    <w:rsid w:val="0080691D"/>
    <w:rsid w:val="0081032B"/>
    <w:rsid w:val="00810ACD"/>
    <w:rsid w:val="00810E64"/>
    <w:rsid w:val="00812A1D"/>
    <w:rsid w:val="00812CC4"/>
    <w:rsid w:val="0081447F"/>
    <w:rsid w:val="00814893"/>
    <w:rsid w:val="00816468"/>
    <w:rsid w:val="00817133"/>
    <w:rsid w:val="00817D75"/>
    <w:rsid w:val="00821719"/>
    <w:rsid w:val="00821A3A"/>
    <w:rsid w:val="00823949"/>
    <w:rsid w:val="00824032"/>
    <w:rsid w:val="008249E6"/>
    <w:rsid w:val="008251A4"/>
    <w:rsid w:val="00827ABF"/>
    <w:rsid w:val="00827EA9"/>
    <w:rsid w:val="008309EE"/>
    <w:rsid w:val="00831582"/>
    <w:rsid w:val="00832567"/>
    <w:rsid w:val="00833345"/>
    <w:rsid w:val="008341A3"/>
    <w:rsid w:val="008365F8"/>
    <w:rsid w:val="008372B9"/>
    <w:rsid w:val="008379AC"/>
    <w:rsid w:val="00840519"/>
    <w:rsid w:val="008448AB"/>
    <w:rsid w:val="008459FC"/>
    <w:rsid w:val="00850598"/>
    <w:rsid w:val="00850CBC"/>
    <w:rsid w:val="00851471"/>
    <w:rsid w:val="00852821"/>
    <w:rsid w:val="008549DA"/>
    <w:rsid w:val="00861757"/>
    <w:rsid w:val="0086357C"/>
    <w:rsid w:val="00865076"/>
    <w:rsid w:val="008665D1"/>
    <w:rsid w:val="0086740E"/>
    <w:rsid w:val="00867FFD"/>
    <w:rsid w:val="00871C59"/>
    <w:rsid w:val="008751BD"/>
    <w:rsid w:val="00875772"/>
    <w:rsid w:val="00876D51"/>
    <w:rsid w:val="008774FC"/>
    <w:rsid w:val="00877ED2"/>
    <w:rsid w:val="008904BF"/>
    <w:rsid w:val="00891938"/>
    <w:rsid w:val="008924DD"/>
    <w:rsid w:val="00892ED5"/>
    <w:rsid w:val="00893255"/>
    <w:rsid w:val="00894EBE"/>
    <w:rsid w:val="00895143"/>
    <w:rsid w:val="00895A7F"/>
    <w:rsid w:val="00896855"/>
    <w:rsid w:val="00896EE9"/>
    <w:rsid w:val="0089716A"/>
    <w:rsid w:val="008973D6"/>
    <w:rsid w:val="008A061A"/>
    <w:rsid w:val="008A19AA"/>
    <w:rsid w:val="008A3EB6"/>
    <w:rsid w:val="008A4F6B"/>
    <w:rsid w:val="008A618A"/>
    <w:rsid w:val="008A6457"/>
    <w:rsid w:val="008A71EA"/>
    <w:rsid w:val="008B1FBF"/>
    <w:rsid w:val="008B324A"/>
    <w:rsid w:val="008B324B"/>
    <w:rsid w:val="008B3B46"/>
    <w:rsid w:val="008B6FBE"/>
    <w:rsid w:val="008B71C8"/>
    <w:rsid w:val="008C3461"/>
    <w:rsid w:val="008C36BA"/>
    <w:rsid w:val="008C4B81"/>
    <w:rsid w:val="008C5E05"/>
    <w:rsid w:val="008C692D"/>
    <w:rsid w:val="008C7ED9"/>
    <w:rsid w:val="008D033D"/>
    <w:rsid w:val="008D113F"/>
    <w:rsid w:val="008D1BBD"/>
    <w:rsid w:val="008D271C"/>
    <w:rsid w:val="008D53DB"/>
    <w:rsid w:val="008D6341"/>
    <w:rsid w:val="008E0A4D"/>
    <w:rsid w:val="008E1128"/>
    <w:rsid w:val="008E112A"/>
    <w:rsid w:val="008E1141"/>
    <w:rsid w:val="008E1C48"/>
    <w:rsid w:val="008E1FFD"/>
    <w:rsid w:val="008E2B52"/>
    <w:rsid w:val="008E3B6F"/>
    <w:rsid w:val="008E48B7"/>
    <w:rsid w:val="008F09C4"/>
    <w:rsid w:val="008F2017"/>
    <w:rsid w:val="008F2050"/>
    <w:rsid w:val="008F31B4"/>
    <w:rsid w:val="00900126"/>
    <w:rsid w:val="009007BC"/>
    <w:rsid w:val="00900AE9"/>
    <w:rsid w:val="00901445"/>
    <w:rsid w:val="009035E7"/>
    <w:rsid w:val="00903FB8"/>
    <w:rsid w:val="0090558B"/>
    <w:rsid w:val="00905892"/>
    <w:rsid w:val="009068CA"/>
    <w:rsid w:val="00907CFD"/>
    <w:rsid w:val="00910187"/>
    <w:rsid w:val="00913A8F"/>
    <w:rsid w:val="009159B2"/>
    <w:rsid w:val="009162BF"/>
    <w:rsid w:val="009164F3"/>
    <w:rsid w:val="0092092A"/>
    <w:rsid w:val="00923006"/>
    <w:rsid w:val="009243D3"/>
    <w:rsid w:val="00924B70"/>
    <w:rsid w:val="00925174"/>
    <w:rsid w:val="009258D5"/>
    <w:rsid w:val="00926C5D"/>
    <w:rsid w:val="00927691"/>
    <w:rsid w:val="009305A1"/>
    <w:rsid w:val="00930BC2"/>
    <w:rsid w:val="00931436"/>
    <w:rsid w:val="009321A8"/>
    <w:rsid w:val="009327ED"/>
    <w:rsid w:val="009335EF"/>
    <w:rsid w:val="009338C7"/>
    <w:rsid w:val="00934FD7"/>
    <w:rsid w:val="00935573"/>
    <w:rsid w:val="00936DCE"/>
    <w:rsid w:val="00937C0B"/>
    <w:rsid w:val="0094093F"/>
    <w:rsid w:val="00945AFE"/>
    <w:rsid w:val="009471D9"/>
    <w:rsid w:val="00947855"/>
    <w:rsid w:val="00950BC0"/>
    <w:rsid w:val="00951514"/>
    <w:rsid w:val="00951F67"/>
    <w:rsid w:val="00952314"/>
    <w:rsid w:val="00952DB8"/>
    <w:rsid w:val="00953BFF"/>
    <w:rsid w:val="009547A9"/>
    <w:rsid w:val="009547E2"/>
    <w:rsid w:val="009559E3"/>
    <w:rsid w:val="00956C6F"/>
    <w:rsid w:val="00960332"/>
    <w:rsid w:val="00960D8D"/>
    <w:rsid w:val="0096291E"/>
    <w:rsid w:val="00964A21"/>
    <w:rsid w:val="00971806"/>
    <w:rsid w:val="0097312B"/>
    <w:rsid w:val="0097571D"/>
    <w:rsid w:val="00975E69"/>
    <w:rsid w:val="00980598"/>
    <w:rsid w:val="00981485"/>
    <w:rsid w:val="0098213D"/>
    <w:rsid w:val="00982775"/>
    <w:rsid w:val="009858EA"/>
    <w:rsid w:val="00985A80"/>
    <w:rsid w:val="00985B1E"/>
    <w:rsid w:val="00986BC0"/>
    <w:rsid w:val="00987D51"/>
    <w:rsid w:val="009907E9"/>
    <w:rsid w:val="00990D00"/>
    <w:rsid w:val="009912E2"/>
    <w:rsid w:val="009923B2"/>
    <w:rsid w:val="00996840"/>
    <w:rsid w:val="009971D3"/>
    <w:rsid w:val="009A27AA"/>
    <w:rsid w:val="009A4D41"/>
    <w:rsid w:val="009A4FA9"/>
    <w:rsid w:val="009A6A5A"/>
    <w:rsid w:val="009A7084"/>
    <w:rsid w:val="009A736F"/>
    <w:rsid w:val="009B0DB5"/>
    <w:rsid w:val="009B259F"/>
    <w:rsid w:val="009B2B15"/>
    <w:rsid w:val="009B5F59"/>
    <w:rsid w:val="009B628C"/>
    <w:rsid w:val="009B661B"/>
    <w:rsid w:val="009B703D"/>
    <w:rsid w:val="009B79D6"/>
    <w:rsid w:val="009C16CC"/>
    <w:rsid w:val="009C213F"/>
    <w:rsid w:val="009C2C5E"/>
    <w:rsid w:val="009C2C82"/>
    <w:rsid w:val="009C72BD"/>
    <w:rsid w:val="009C73EF"/>
    <w:rsid w:val="009D2907"/>
    <w:rsid w:val="009D2C52"/>
    <w:rsid w:val="009E0199"/>
    <w:rsid w:val="009E06BF"/>
    <w:rsid w:val="009E0A07"/>
    <w:rsid w:val="009E2471"/>
    <w:rsid w:val="009E362F"/>
    <w:rsid w:val="009E47B8"/>
    <w:rsid w:val="009E4827"/>
    <w:rsid w:val="009E70E3"/>
    <w:rsid w:val="009F297D"/>
    <w:rsid w:val="009F2B56"/>
    <w:rsid w:val="009F492E"/>
    <w:rsid w:val="009F5160"/>
    <w:rsid w:val="009F55B3"/>
    <w:rsid w:val="009F58C0"/>
    <w:rsid w:val="009F6869"/>
    <w:rsid w:val="009F73C0"/>
    <w:rsid w:val="009F7D84"/>
    <w:rsid w:val="009F7F2E"/>
    <w:rsid w:val="00A0068E"/>
    <w:rsid w:val="00A020CF"/>
    <w:rsid w:val="00A02441"/>
    <w:rsid w:val="00A0247F"/>
    <w:rsid w:val="00A03729"/>
    <w:rsid w:val="00A0487C"/>
    <w:rsid w:val="00A057BF"/>
    <w:rsid w:val="00A06959"/>
    <w:rsid w:val="00A109D0"/>
    <w:rsid w:val="00A128F8"/>
    <w:rsid w:val="00A15E13"/>
    <w:rsid w:val="00A16E76"/>
    <w:rsid w:val="00A173D7"/>
    <w:rsid w:val="00A177A2"/>
    <w:rsid w:val="00A207A7"/>
    <w:rsid w:val="00A20B1B"/>
    <w:rsid w:val="00A20F64"/>
    <w:rsid w:val="00A213D0"/>
    <w:rsid w:val="00A22E24"/>
    <w:rsid w:val="00A2387F"/>
    <w:rsid w:val="00A2429B"/>
    <w:rsid w:val="00A2738F"/>
    <w:rsid w:val="00A3052C"/>
    <w:rsid w:val="00A30C66"/>
    <w:rsid w:val="00A331DF"/>
    <w:rsid w:val="00A344AA"/>
    <w:rsid w:val="00A35DB4"/>
    <w:rsid w:val="00A378D8"/>
    <w:rsid w:val="00A41E82"/>
    <w:rsid w:val="00A4285A"/>
    <w:rsid w:val="00A44605"/>
    <w:rsid w:val="00A44B5B"/>
    <w:rsid w:val="00A44EE8"/>
    <w:rsid w:val="00A46AA4"/>
    <w:rsid w:val="00A505BC"/>
    <w:rsid w:val="00A518EA"/>
    <w:rsid w:val="00A53FBF"/>
    <w:rsid w:val="00A56DF9"/>
    <w:rsid w:val="00A60601"/>
    <w:rsid w:val="00A6063F"/>
    <w:rsid w:val="00A61CE3"/>
    <w:rsid w:val="00A644CE"/>
    <w:rsid w:val="00A72B22"/>
    <w:rsid w:val="00A7457F"/>
    <w:rsid w:val="00A77D81"/>
    <w:rsid w:val="00A8132C"/>
    <w:rsid w:val="00A815B8"/>
    <w:rsid w:val="00A83BA0"/>
    <w:rsid w:val="00A8403C"/>
    <w:rsid w:val="00A84B26"/>
    <w:rsid w:val="00A91A7D"/>
    <w:rsid w:val="00A96994"/>
    <w:rsid w:val="00A97D63"/>
    <w:rsid w:val="00AA09B9"/>
    <w:rsid w:val="00AA0D95"/>
    <w:rsid w:val="00AA1814"/>
    <w:rsid w:val="00AA37EB"/>
    <w:rsid w:val="00AB369E"/>
    <w:rsid w:val="00AB3A2E"/>
    <w:rsid w:val="00AB5C54"/>
    <w:rsid w:val="00AB7379"/>
    <w:rsid w:val="00AB7565"/>
    <w:rsid w:val="00AB7F52"/>
    <w:rsid w:val="00AC0853"/>
    <w:rsid w:val="00AC3650"/>
    <w:rsid w:val="00AC39AE"/>
    <w:rsid w:val="00AC4800"/>
    <w:rsid w:val="00AC4CB9"/>
    <w:rsid w:val="00AC4F96"/>
    <w:rsid w:val="00AC6DDB"/>
    <w:rsid w:val="00AC7C99"/>
    <w:rsid w:val="00AD25FF"/>
    <w:rsid w:val="00AD4004"/>
    <w:rsid w:val="00AD437F"/>
    <w:rsid w:val="00AD473A"/>
    <w:rsid w:val="00AD4919"/>
    <w:rsid w:val="00AD6143"/>
    <w:rsid w:val="00AD7470"/>
    <w:rsid w:val="00AE6F46"/>
    <w:rsid w:val="00AE7968"/>
    <w:rsid w:val="00AE79FB"/>
    <w:rsid w:val="00AF0A33"/>
    <w:rsid w:val="00AF15A2"/>
    <w:rsid w:val="00AF6724"/>
    <w:rsid w:val="00B01C01"/>
    <w:rsid w:val="00B02E65"/>
    <w:rsid w:val="00B03AA5"/>
    <w:rsid w:val="00B040B6"/>
    <w:rsid w:val="00B06FC1"/>
    <w:rsid w:val="00B071B1"/>
    <w:rsid w:val="00B078A6"/>
    <w:rsid w:val="00B07BA3"/>
    <w:rsid w:val="00B1184E"/>
    <w:rsid w:val="00B1233B"/>
    <w:rsid w:val="00B12D48"/>
    <w:rsid w:val="00B13FF5"/>
    <w:rsid w:val="00B14490"/>
    <w:rsid w:val="00B1732E"/>
    <w:rsid w:val="00B175F6"/>
    <w:rsid w:val="00B17EAC"/>
    <w:rsid w:val="00B2002A"/>
    <w:rsid w:val="00B2035C"/>
    <w:rsid w:val="00B23620"/>
    <w:rsid w:val="00B24487"/>
    <w:rsid w:val="00B24E76"/>
    <w:rsid w:val="00B253B0"/>
    <w:rsid w:val="00B26835"/>
    <w:rsid w:val="00B302F3"/>
    <w:rsid w:val="00B30F8A"/>
    <w:rsid w:val="00B311D4"/>
    <w:rsid w:val="00B319DA"/>
    <w:rsid w:val="00B3252E"/>
    <w:rsid w:val="00B41ED0"/>
    <w:rsid w:val="00B4292B"/>
    <w:rsid w:val="00B44364"/>
    <w:rsid w:val="00B4511A"/>
    <w:rsid w:val="00B46C39"/>
    <w:rsid w:val="00B47B9C"/>
    <w:rsid w:val="00B5057F"/>
    <w:rsid w:val="00B5138B"/>
    <w:rsid w:val="00B52178"/>
    <w:rsid w:val="00B549F7"/>
    <w:rsid w:val="00B54B75"/>
    <w:rsid w:val="00B54EA0"/>
    <w:rsid w:val="00B620AC"/>
    <w:rsid w:val="00B64F01"/>
    <w:rsid w:val="00B67843"/>
    <w:rsid w:val="00B73E68"/>
    <w:rsid w:val="00B75567"/>
    <w:rsid w:val="00B767EB"/>
    <w:rsid w:val="00B77E26"/>
    <w:rsid w:val="00B8156F"/>
    <w:rsid w:val="00B81A07"/>
    <w:rsid w:val="00B81E8E"/>
    <w:rsid w:val="00B81E90"/>
    <w:rsid w:val="00B844FE"/>
    <w:rsid w:val="00B84EA0"/>
    <w:rsid w:val="00B86920"/>
    <w:rsid w:val="00B87927"/>
    <w:rsid w:val="00B87C05"/>
    <w:rsid w:val="00B94563"/>
    <w:rsid w:val="00B94E71"/>
    <w:rsid w:val="00B95752"/>
    <w:rsid w:val="00B95916"/>
    <w:rsid w:val="00B95AD4"/>
    <w:rsid w:val="00B97A93"/>
    <w:rsid w:val="00BA0205"/>
    <w:rsid w:val="00BA4250"/>
    <w:rsid w:val="00BA543B"/>
    <w:rsid w:val="00BA55FB"/>
    <w:rsid w:val="00BA5E5D"/>
    <w:rsid w:val="00BA7616"/>
    <w:rsid w:val="00BB2C2B"/>
    <w:rsid w:val="00BB3437"/>
    <w:rsid w:val="00BB3896"/>
    <w:rsid w:val="00BC06C0"/>
    <w:rsid w:val="00BC268D"/>
    <w:rsid w:val="00BC3410"/>
    <w:rsid w:val="00BC3979"/>
    <w:rsid w:val="00BD06D6"/>
    <w:rsid w:val="00BD1997"/>
    <w:rsid w:val="00BD1E4E"/>
    <w:rsid w:val="00BD6638"/>
    <w:rsid w:val="00BD7A3F"/>
    <w:rsid w:val="00BE16D9"/>
    <w:rsid w:val="00BE3EA9"/>
    <w:rsid w:val="00BE41EA"/>
    <w:rsid w:val="00BE47C1"/>
    <w:rsid w:val="00BE5D77"/>
    <w:rsid w:val="00BE6AC4"/>
    <w:rsid w:val="00BF512D"/>
    <w:rsid w:val="00BF54E4"/>
    <w:rsid w:val="00BF56B4"/>
    <w:rsid w:val="00BF667E"/>
    <w:rsid w:val="00BF67D5"/>
    <w:rsid w:val="00BF70A1"/>
    <w:rsid w:val="00C00503"/>
    <w:rsid w:val="00C0112B"/>
    <w:rsid w:val="00C02A60"/>
    <w:rsid w:val="00C035A3"/>
    <w:rsid w:val="00C0589C"/>
    <w:rsid w:val="00C06553"/>
    <w:rsid w:val="00C1060A"/>
    <w:rsid w:val="00C116FF"/>
    <w:rsid w:val="00C123FF"/>
    <w:rsid w:val="00C135EB"/>
    <w:rsid w:val="00C151E4"/>
    <w:rsid w:val="00C15480"/>
    <w:rsid w:val="00C155B3"/>
    <w:rsid w:val="00C165B3"/>
    <w:rsid w:val="00C17F90"/>
    <w:rsid w:val="00C207ED"/>
    <w:rsid w:val="00C2083B"/>
    <w:rsid w:val="00C21579"/>
    <w:rsid w:val="00C22902"/>
    <w:rsid w:val="00C255D6"/>
    <w:rsid w:val="00C25907"/>
    <w:rsid w:val="00C2641B"/>
    <w:rsid w:val="00C314FD"/>
    <w:rsid w:val="00C31573"/>
    <w:rsid w:val="00C316F1"/>
    <w:rsid w:val="00C31BFA"/>
    <w:rsid w:val="00C32D07"/>
    <w:rsid w:val="00C34389"/>
    <w:rsid w:val="00C34BF6"/>
    <w:rsid w:val="00C356FC"/>
    <w:rsid w:val="00C3633D"/>
    <w:rsid w:val="00C37013"/>
    <w:rsid w:val="00C37147"/>
    <w:rsid w:val="00C40D64"/>
    <w:rsid w:val="00C411E2"/>
    <w:rsid w:val="00C4291C"/>
    <w:rsid w:val="00C43003"/>
    <w:rsid w:val="00C4386C"/>
    <w:rsid w:val="00C44677"/>
    <w:rsid w:val="00C44BF3"/>
    <w:rsid w:val="00C5109A"/>
    <w:rsid w:val="00C5226D"/>
    <w:rsid w:val="00C52D13"/>
    <w:rsid w:val="00C55B26"/>
    <w:rsid w:val="00C57B96"/>
    <w:rsid w:val="00C60730"/>
    <w:rsid w:val="00C60A80"/>
    <w:rsid w:val="00C6163C"/>
    <w:rsid w:val="00C62C10"/>
    <w:rsid w:val="00C66083"/>
    <w:rsid w:val="00C66293"/>
    <w:rsid w:val="00C673D6"/>
    <w:rsid w:val="00C6766E"/>
    <w:rsid w:val="00C70BD7"/>
    <w:rsid w:val="00C70D7F"/>
    <w:rsid w:val="00C71AA8"/>
    <w:rsid w:val="00C72D3B"/>
    <w:rsid w:val="00C73479"/>
    <w:rsid w:val="00C73A81"/>
    <w:rsid w:val="00C74FD5"/>
    <w:rsid w:val="00C80909"/>
    <w:rsid w:val="00C80CD1"/>
    <w:rsid w:val="00C812D9"/>
    <w:rsid w:val="00C8194B"/>
    <w:rsid w:val="00C81B18"/>
    <w:rsid w:val="00C81FAF"/>
    <w:rsid w:val="00C81FF9"/>
    <w:rsid w:val="00C8354A"/>
    <w:rsid w:val="00C8358F"/>
    <w:rsid w:val="00C83931"/>
    <w:rsid w:val="00C845D5"/>
    <w:rsid w:val="00C84B57"/>
    <w:rsid w:val="00C9251A"/>
    <w:rsid w:val="00C93093"/>
    <w:rsid w:val="00C93B60"/>
    <w:rsid w:val="00C93EA1"/>
    <w:rsid w:val="00C94EC7"/>
    <w:rsid w:val="00CA16D9"/>
    <w:rsid w:val="00CA189E"/>
    <w:rsid w:val="00CA2BE6"/>
    <w:rsid w:val="00CA5578"/>
    <w:rsid w:val="00CB0435"/>
    <w:rsid w:val="00CB04B1"/>
    <w:rsid w:val="00CB324B"/>
    <w:rsid w:val="00CB624D"/>
    <w:rsid w:val="00CB6386"/>
    <w:rsid w:val="00CB656A"/>
    <w:rsid w:val="00CC060D"/>
    <w:rsid w:val="00CC0786"/>
    <w:rsid w:val="00CC0ACC"/>
    <w:rsid w:val="00CC2B4B"/>
    <w:rsid w:val="00CC2D1F"/>
    <w:rsid w:val="00CC3162"/>
    <w:rsid w:val="00CC4A42"/>
    <w:rsid w:val="00CC79DC"/>
    <w:rsid w:val="00CD0A22"/>
    <w:rsid w:val="00CD137D"/>
    <w:rsid w:val="00CD3B00"/>
    <w:rsid w:val="00CD43AB"/>
    <w:rsid w:val="00CD4BFE"/>
    <w:rsid w:val="00CD641E"/>
    <w:rsid w:val="00CD6CC9"/>
    <w:rsid w:val="00CD75B6"/>
    <w:rsid w:val="00CD78F6"/>
    <w:rsid w:val="00CE1361"/>
    <w:rsid w:val="00CE192C"/>
    <w:rsid w:val="00CE1FCC"/>
    <w:rsid w:val="00CE2A86"/>
    <w:rsid w:val="00CE4ED0"/>
    <w:rsid w:val="00CE78A7"/>
    <w:rsid w:val="00CE7CB5"/>
    <w:rsid w:val="00CF07D2"/>
    <w:rsid w:val="00CF16EF"/>
    <w:rsid w:val="00CF3617"/>
    <w:rsid w:val="00CF3ABA"/>
    <w:rsid w:val="00D02DD5"/>
    <w:rsid w:val="00D07325"/>
    <w:rsid w:val="00D0786F"/>
    <w:rsid w:val="00D104DB"/>
    <w:rsid w:val="00D11347"/>
    <w:rsid w:val="00D119CB"/>
    <w:rsid w:val="00D14B88"/>
    <w:rsid w:val="00D15E28"/>
    <w:rsid w:val="00D20AC3"/>
    <w:rsid w:val="00D2138E"/>
    <w:rsid w:val="00D219FC"/>
    <w:rsid w:val="00D21D47"/>
    <w:rsid w:val="00D22374"/>
    <w:rsid w:val="00D24003"/>
    <w:rsid w:val="00D24255"/>
    <w:rsid w:val="00D26F04"/>
    <w:rsid w:val="00D27171"/>
    <w:rsid w:val="00D279BF"/>
    <w:rsid w:val="00D317BA"/>
    <w:rsid w:val="00D32DC5"/>
    <w:rsid w:val="00D3302E"/>
    <w:rsid w:val="00D342C2"/>
    <w:rsid w:val="00D4034A"/>
    <w:rsid w:val="00D4374A"/>
    <w:rsid w:val="00D44421"/>
    <w:rsid w:val="00D45198"/>
    <w:rsid w:val="00D45808"/>
    <w:rsid w:val="00D4646C"/>
    <w:rsid w:val="00D47AD7"/>
    <w:rsid w:val="00D47CE8"/>
    <w:rsid w:val="00D50231"/>
    <w:rsid w:val="00D5043E"/>
    <w:rsid w:val="00D52095"/>
    <w:rsid w:val="00D53170"/>
    <w:rsid w:val="00D5431E"/>
    <w:rsid w:val="00D54C0E"/>
    <w:rsid w:val="00D5580E"/>
    <w:rsid w:val="00D55A20"/>
    <w:rsid w:val="00D561F1"/>
    <w:rsid w:val="00D615C7"/>
    <w:rsid w:val="00D63A43"/>
    <w:rsid w:val="00D63EBB"/>
    <w:rsid w:val="00D641ED"/>
    <w:rsid w:val="00D64A11"/>
    <w:rsid w:val="00D71087"/>
    <w:rsid w:val="00D756A8"/>
    <w:rsid w:val="00D75B19"/>
    <w:rsid w:val="00D75CD0"/>
    <w:rsid w:val="00D7640B"/>
    <w:rsid w:val="00D776C3"/>
    <w:rsid w:val="00D82325"/>
    <w:rsid w:val="00D858B5"/>
    <w:rsid w:val="00D85949"/>
    <w:rsid w:val="00D86E99"/>
    <w:rsid w:val="00D87B14"/>
    <w:rsid w:val="00D87DF7"/>
    <w:rsid w:val="00D90616"/>
    <w:rsid w:val="00D90D51"/>
    <w:rsid w:val="00D931B4"/>
    <w:rsid w:val="00D94462"/>
    <w:rsid w:val="00D95FE5"/>
    <w:rsid w:val="00D9731D"/>
    <w:rsid w:val="00DA3372"/>
    <w:rsid w:val="00DA708B"/>
    <w:rsid w:val="00DA78D9"/>
    <w:rsid w:val="00DB1362"/>
    <w:rsid w:val="00DB2890"/>
    <w:rsid w:val="00DB5CF2"/>
    <w:rsid w:val="00DB6129"/>
    <w:rsid w:val="00DB6CFF"/>
    <w:rsid w:val="00DB77B0"/>
    <w:rsid w:val="00DC0122"/>
    <w:rsid w:val="00DC12A9"/>
    <w:rsid w:val="00DC3517"/>
    <w:rsid w:val="00DC38C9"/>
    <w:rsid w:val="00DC4BD9"/>
    <w:rsid w:val="00DD2C7C"/>
    <w:rsid w:val="00DD5084"/>
    <w:rsid w:val="00DD7318"/>
    <w:rsid w:val="00DE1268"/>
    <w:rsid w:val="00DE20C0"/>
    <w:rsid w:val="00DE3431"/>
    <w:rsid w:val="00DE5F6D"/>
    <w:rsid w:val="00DE7A87"/>
    <w:rsid w:val="00DF3A20"/>
    <w:rsid w:val="00DF6BFB"/>
    <w:rsid w:val="00E00CF2"/>
    <w:rsid w:val="00E022F5"/>
    <w:rsid w:val="00E03E41"/>
    <w:rsid w:val="00E043DC"/>
    <w:rsid w:val="00E05654"/>
    <w:rsid w:val="00E05B9C"/>
    <w:rsid w:val="00E0779F"/>
    <w:rsid w:val="00E10580"/>
    <w:rsid w:val="00E106B4"/>
    <w:rsid w:val="00E10B81"/>
    <w:rsid w:val="00E111A0"/>
    <w:rsid w:val="00E12AA0"/>
    <w:rsid w:val="00E21ECE"/>
    <w:rsid w:val="00E2301E"/>
    <w:rsid w:val="00E25333"/>
    <w:rsid w:val="00E261CD"/>
    <w:rsid w:val="00E26E2F"/>
    <w:rsid w:val="00E31BF1"/>
    <w:rsid w:val="00E34139"/>
    <w:rsid w:val="00E34860"/>
    <w:rsid w:val="00E37B2C"/>
    <w:rsid w:val="00E40A25"/>
    <w:rsid w:val="00E41875"/>
    <w:rsid w:val="00E42C81"/>
    <w:rsid w:val="00E438D6"/>
    <w:rsid w:val="00E43A42"/>
    <w:rsid w:val="00E4475B"/>
    <w:rsid w:val="00E449C1"/>
    <w:rsid w:val="00E471DC"/>
    <w:rsid w:val="00E51ACB"/>
    <w:rsid w:val="00E53190"/>
    <w:rsid w:val="00E56EA6"/>
    <w:rsid w:val="00E57B67"/>
    <w:rsid w:val="00E61870"/>
    <w:rsid w:val="00E62C3D"/>
    <w:rsid w:val="00E63BDB"/>
    <w:rsid w:val="00E65471"/>
    <w:rsid w:val="00E66350"/>
    <w:rsid w:val="00E66B4E"/>
    <w:rsid w:val="00E66CA7"/>
    <w:rsid w:val="00E7023E"/>
    <w:rsid w:val="00E70E10"/>
    <w:rsid w:val="00E73B6B"/>
    <w:rsid w:val="00E7468B"/>
    <w:rsid w:val="00E75F59"/>
    <w:rsid w:val="00E77858"/>
    <w:rsid w:val="00E80B40"/>
    <w:rsid w:val="00E8347F"/>
    <w:rsid w:val="00E84DC3"/>
    <w:rsid w:val="00E862DF"/>
    <w:rsid w:val="00E869D3"/>
    <w:rsid w:val="00E90CFC"/>
    <w:rsid w:val="00E9215B"/>
    <w:rsid w:val="00E9533A"/>
    <w:rsid w:val="00EA108B"/>
    <w:rsid w:val="00EA1098"/>
    <w:rsid w:val="00EA1A65"/>
    <w:rsid w:val="00EA2DB3"/>
    <w:rsid w:val="00EA5201"/>
    <w:rsid w:val="00EA7E12"/>
    <w:rsid w:val="00EB0FB2"/>
    <w:rsid w:val="00EB1513"/>
    <w:rsid w:val="00EB3222"/>
    <w:rsid w:val="00EB6F43"/>
    <w:rsid w:val="00EC34C2"/>
    <w:rsid w:val="00ED2B12"/>
    <w:rsid w:val="00ED329E"/>
    <w:rsid w:val="00ED5293"/>
    <w:rsid w:val="00EE0531"/>
    <w:rsid w:val="00EE2478"/>
    <w:rsid w:val="00EE3C76"/>
    <w:rsid w:val="00EE446A"/>
    <w:rsid w:val="00EE6279"/>
    <w:rsid w:val="00EE7357"/>
    <w:rsid w:val="00EE762F"/>
    <w:rsid w:val="00EE7B8C"/>
    <w:rsid w:val="00EF188A"/>
    <w:rsid w:val="00EF201A"/>
    <w:rsid w:val="00EF5985"/>
    <w:rsid w:val="00EF625F"/>
    <w:rsid w:val="00EF6459"/>
    <w:rsid w:val="00EF6A54"/>
    <w:rsid w:val="00F00CE1"/>
    <w:rsid w:val="00F02AE9"/>
    <w:rsid w:val="00F03CB0"/>
    <w:rsid w:val="00F0674B"/>
    <w:rsid w:val="00F07639"/>
    <w:rsid w:val="00F11890"/>
    <w:rsid w:val="00F122C4"/>
    <w:rsid w:val="00F128A4"/>
    <w:rsid w:val="00F156C7"/>
    <w:rsid w:val="00F16586"/>
    <w:rsid w:val="00F169DB"/>
    <w:rsid w:val="00F17A45"/>
    <w:rsid w:val="00F20F62"/>
    <w:rsid w:val="00F22273"/>
    <w:rsid w:val="00F226D8"/>
    <w:rsid w:val="00F22D0D"/>
    <w:rsid w:val="00F23C07"/>
    <w:rsid w:val="00F247E3"/>
    <w:rsid w:val="00F25FA6"/>
    <w:rsid w:val="00F26A6D"/>
    <w:rsid w:val="00F26EAB"/>
    <w:rsid w:val="00F300DC"/>
    <w:rsid w:val="00F3153F"/>
    <w:rsid w:val="00F32425"/>
    <w:rsid w:val="00F338AE"/>
    <w:rsid w:val="00F361DB"/>
    <w:rsid w:val="00F366C7"/>
    <w:rsid w:val="00F37B29"/>
    <w:rsid w:val="00F37E3F"/>
    <w:rsid w:val="00F44145"/>
    <w:rsid w:val="00F45B74"/>
    <w:rsid w:val="00F504F0"/>
    <w:rsid w:val="00F54D97"/>
    <w:rsid w:val="00F55A08"/>
    <w:rsid w:val="00F561F9"/>
    <w:rsid w:val="00F61EE3"/>
    <w:rsid w:val="00F62727"/>
    <w:rsid w:val="00F634AF"/>
    <w:rsid w:val="00F63687"/>
    <w:rsid w:val="00F64176"/>
    <w:rsid w:val="00F64901"/>
    <w:rsid w:val="00F65F90"/>
    <w:rsid w:val="00F7042A"/>
    <w:rsid w:val="00F719B0"/>
    <w:rsid w:val="00F7226D"/>
    <w:rsid w:val="00F73986"/>
    <w:rsid w:val="00F7464E"/>
    <w:rsid w:val="00F74D12"/>
    <w:rsid w:val="00F75E81"/>
    <w:rsid w:val="00F7642E"/>
    <w:rsid w:val="00F76DA0"/>
    <w:rsid w:val="00F773DE"/>
    <w:rsid w:val="00F8004B"/>
    <w:rsid w:val="00F802B2"/>
    <w:rsid w:val="00F80BAD"/>
    <w:rsid w:val="00F82E80"/>
    <w:rsid w:val="00F83849"/>
    <w:rsid w:val="00F84D60"/>
    <w:rsid w:val="00F9633A"/>
    <w:rsid w:val="00F96B31"/>
    <w:rsid w:val="00FA0D51"/>
    <w:rsid w:val="00FA1639"/>
    <w:rsid w:val="00FA1B7F"/>
    <w:rsid w:val="00FA2908"/>
    <w:rsid w:val="00FA6EF1"/>
    <w:rsid w:val="00FB0558"/>
    <w:rsid w:val="00FB069B"/>
    <w:rsid w:val="00FB0E98"/>
    <w:rsid w:val="00FB1D1E"/>
    <w:rsid w:val="00FB4FEE"/>
    <w:rsid w:val="00FB53D1"/>
    <w:rsid w:val="00FB54A8"/>
    <w:rsid w:val="00FB6F78"/>
    <w:rsid w:val="00FB7F1B"/>
    <w:rsid w:val="00FC0A1D"/>
    <w:rsid w:val="00FC17B0"/>
    <w:rsid w:val="00FC32F3"/>
    <w:rsid w:val="00FC36BF"/>
    <w:rsid w:val="00FC416D"/>
    <w:rsid w:val="00FC472F"/>
    <w:rsid w:val="00FC590A"/>
    <w:rsid w:val="00FC5AB9"/>
    <w:rsid w:val="00FC7E00"/>
    <w:rsid w:val="00FD03FA"/>
    <w:rsid w:val="00FD124D"/>
    <w:rsid w:val="00FD2969"/>
    <w:rsid w:val="00FD2EF1"/>
    <w:rsid w:val="00FD3D71"/>
    <w:rsid w:val="00FD54CF"/>
    <w:rsid w:val="00FD5591"/>
    <w:rsid w:val="00FE0CEF"/>
    <w:rsid w:val="00FE2296"/>
    <w:rsid w:val="00FE2E1E"/>
    <w:rsid w:val="00FE3DAD"/>
    <w:rsid w:val="00FE4705"/>
    <w:rsid w:val="00FE5C5A"/>
    <w:rsid w:val="00FE7CAE"/>
    <w:rsid w:val="00FF1334"/>
    <w:rsid w:val="00FF29EB"/>
    <w:rsid w:val="00FF3791"/>
    <w:rsid w:val="00FF620A"/>
    <w:rsid w:val="00FF6297"/>
    <w:rsid w:val="00FF6A6F"/>
    <w:rsid w:val="00FF6BFF"/>
    <w:rsid w:val="00FF6DFB"/>
    <w:rsid w:val="00FF765E"/>
    <w:rsid w:val="00FF7EE3"/>
    <w:rsid w:val="01372781"/>
    <w:rsid w:val="03DB240E"/>
    <w:rsid w:val="05177A13"/>
    <w:rsid w:val="051E17DF"/>
    <w:rsid w:val="067B3F03"/>
    <w:rsid w:val="0953091C"/>
    <w:rsid w:val="0BD05882"/>
    <w:rsid w:val="0C0F04CE"/>
    <w:rsid w:val="0C247805"/>
    <w:rsid w:val="0C8E798B"/>
    <w:rsid w:val="0D1A0C33"/>
    <w:rsid w:val="0E660EC0"/>
    <w:rsid w:val="0F852BA1"/>
    <w:rsid w:val="11EE2DE1"/>
    <w:rsid w:val="18AB4C5B"/>
    <w:rsid w:val="198A2469"/>
    <w:rsid w:val="220D5A31"/>
    <w:rsid w:val="23E46282"/>
    <w:rsid w:val="259D2BCF"/>
    <w:rsid w:val="26013AFE"/>
    <w:rsid w:val="262D66A1"/>
    <w:rsid w:val="263A5741"/>
    <w:rsid w:val="279A25BF"/>
    <w:rsid w:val="27DA63B5"/>
    <w:rsid w:val="2ADE3FEA"/>
    <w:rsid w:val="2B612F94"/>
    <w:rsid w:val="2B6C0F14"/>
    <w:rsid w:val="2D2F7CBD"/>
    <w:rsid w:val="32E27652"/>
    <w:rsid w:val="33756C7C"/>
    <w:rsid w:val="33B37B52"/>
    <w:rsid w:val="33BB1FAE"/>
    <w:rsid w:val="34630893"/>
    <w:rsid w:val="36083882"/>
    <w:rsid w:val="376B702A"/>
    <w:rsid w:val="3C005023"/>
    <w:rsid w:val="3CF5377D"/>
    <w:rsid w:val="3FF445A9"/>
    <w:rsid w:val="41DD0CA1"/>
    <w:rsid w:val="425E1BD5"/>
    <w:rsid w:val="429A6694"/>
    <w:rsid w:val="437716C9"/>
    <w:rsid w:val="43D322F8"/>
    <w:rsid w:val="457C7DBE"/>
    <w:rsid w:val="471C4A9D"/>
    <w:rsid w:val="47C602D4"/>
    <w:rsid w:val="47CB6071"/>
    <w:rsid w:val="482467DA"/>
    <w:rsid w:val="48270794"/>
    <w:rsid w:val="48771E1D"/>
    <w:rsid w:val="48E52647"/>
    <w:rsid w:val="497C6219"/>
    <w:rsid w:val="49FF69DD"/>
    <w:rsid w:val="4A485EED"/>
    <w:rsid w:val="511D0F3D"/>
    <w:rsid w:val="51275030"/>
    <w:rsid w:val="51A4340C"/>
    <w:rsid w:val="52316D3E"/>
    <w:rsid w:val="54FB6F56"/>
    <w:rsid w:val="552D40CE"/>
    <w:rsid w:val="59DE3063"/>
    <w:rsid w:val="59F9238B"/>
    <w:rsid w:val="5BE17A95"/>
    <w:rsid w:val="5CD32DF8"/>
    <w:rsid w:val="5E9E38C2"/>
    <w:rsid w:val="5F1C5B9B"/>
    <w:rsid w:val="5F463D55"/>
    <w:rsid w:val="60134064"/>
    <w:rsid w:val="616A131A"/>
    <w:rsid w:val="61AA5B04"/>
    <w:rsid w:val="61D72006"/>
    <w:rsid w:val="649B2A2E"/>
    <w:rsid w:val="65155298"/>
    <w:rsid w:val="657D51CC"/>
    <w:rsid w:val="65817456"/>
    <w:rsid w:val="664A3695"/>
    <w:rsid w:val="67062943"/>
    <w:rsid w:val="679F7EC5"/>
    <w:rsid w:val="6A926192"/>
    <w:rsid w:val="6B2710C8"/>
    <w:rsid w:val="6C903C3A"/>
    <w:rsid w:val="6CA5589A"/>
    <w:rsid w:val="6D362951"/>
    <w:rsid w:val="6DCF05A0"/>
    <w:rsid w:val="6E5B2C4D"/>
    <w:rsid w:val="6F024672"/>
    <w:rsid w:val="7098355B"/>
    <w:rsid w:val="70E7268E"/>
    <w:rsid w:val="74985512"/>
    <w:rsid w:val="77EB2796"/>
    <w:rsid w:val="7971702E"/>
    <w:rsid w:val="7C667815"/>
    <w:rsid w:val="7D6312AB"/>
    <w:rsid w:val="7D892BEC"/>
    <w:rsid w:val="7F827898"/>
    <w:rsid w:val="7F8972BA"/>
    <w:rsid w:val="7FB6418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5"/>
    <w:link w:val="34"/>
    <w:qFormat/>
    <w:uiPriority w:val="0"/>
    <w:pPr>
      <w:keepNext/>
      <w:keepLines/>
      <w:spacing w:before="260" w:after="260" w:line="416" w:lineRule="auto"/>
      <w:outlineLvl w:val="2"/>
    </w:pPr>
    <w:rPr>
      <w:b/>
      <w:sz w:val="32"/>
      <w:szCs w:val="20"/>
    </w:rPr>
  </w:style>
  <w:style w:type="paragraph" w:styleId="6">
    <w:name w:val="heading 4"/>
    <w:basedOn w:val="1"/>
    <w:next w:val="1"/>
    <w:link w:val="30"/>
    <w:qFormat/>
    <w:uiPriority w:val="0"/>
    <w:pPr>
      <w:keepNext/>
      <w:keepLines/>
      <w:spacing w:before="280" w:after="290" w:line="376" w:lineRule="auto"/>
      <w:outlineLvl w:val="3"/>
    </w:pPr>
    <w:rPr>
      <w:rFonts w:ascii="Arial" w:hAnsi="Arial" w:eastAsia="黑体"/>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33"/>
    <w:qFormat/>
    <w:uiPriority w:val="0"/>
    <w:pPr>
      <w:ind w:firstLine="420" w:firstLineChars="200"/>
    </w:pPr>
  </w:style>
  <w:style w:type="paragraph" w:styleId="7">
    <w:name w:val="index 5"/>
    <w:basedOn w:val="1"/>
    <w:next w:val="1"/>
    <w:unhideWhenUsed/>
    <w:qFormat/>
    <w:uiPriority w:val="0"/>
    <w:pPr>
      <w:spacing w:beforeLines="0" w:afterLines="0"/>
      <w:ind w:left="800" w:leftChars="800"/>
    </w:pPr>
    <w:rPr>
      <w:rFonts w:hint="default"/>
      <w:sz w:val="21"/>
      <w:szCs w:val="24"/>
    </w:rPr>
  </w:style>
  <w:style w:type="paragraph" w:styleId="8">
    <w:name w:val="Document Map"/>
    <w:basedOn w:val="1"/>
    <w:semiHidden/>
    <w:qFormat/>
    <w:uiPriority w:val="0"/>
    <w:pPr>
      <w:shd w:val="clear" w:color="auto" w:fill="000080"/>
    </w:pPr>
  </w:style>
  <w:style w:type="paragraph" w:styleId="9">
    <w:name w:val="Body Text Indent"/>
    <w:basedOn w:val="1"/>
    <w:qFormat/>
    <w:uiPriority w:val="0"/>
    <w:pPr>
      <w:spacing w:after="120"/>
      <w:ind w:left="420" w:leftChars="200"/>
    </w:pPr>
  </w:style>
  <w:style w:type="paragraph" w:styleId="10">
    <w:name w:val="Plain Text"/>
    <w:basedOn w:val="1"/>
    <w:link w:val="35"/>
    <w:qFormat/>
    <w:uiPriority w:val="0"/>
    <w:pPr>
      <w:widowControl/>
      <w:spacing w:after="200" w:line="252" w:lineRule="auto"/>
      <w:jc w:val="left"/>
    </w:pPr>
    <w:rPr>
      <w:rFonts w:ascii="宋体" w:hAnsi="Courier New"/>
      <w:szCs w:val="20"/>
    </w:rPr>
  </w:style>
  <w:style w:type="paragraph" w:styleId="11">
    <w:name w:val="Date"/>
    <w:basedOn w:val="1"/>
    <w:next w:val="1"/>
    <w:link w:val="43"/>
    <w:qFormat/>
    <w:uiPriority w:val="0"/>
    <w:rPr>
      <w:sz w:val="24"/>
      <w:szCs w:val="20"/>
    </w:rPr>
  </w:style>
  <w:style w:type="paragraph" w:styleId="12">
    <w:name w:val="Balloon Text"/>
    <w:basedOn w:val="1"/>
    <w:link w:val="31"/>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link w:val="32"/>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0"/>
  </w:style>
  <w:style w:type="paragraph" w:styleId="16">
    <w:name w:val="footnote text"/>
    <w:basedOn w:val="1"/>
    <w:next w:val="7"/>
    <w:unhideWhenUsed/>
    <w:qFormat/>
    <w:uiPriority w:val="0"/>
    <w:pPr>
      <w:adjustRightInd w:val="0"/>
      <w:spacing w:beforeLines="0" w:afterLines="0" w:line="312" w:lineRule="atLeast"/>
      <w:jc w:val="left"/>
      <w:textAlignment w:val="baseline"/>
    </w:pPr>
    <w:rPr>
      <w:rFonts w:hint="default"/>
      <w:sz w:val="18"/>
      <w:szCs w:val="22"/>
    </w:rPr>
  </w:style>
  <w:style w:type="paragraph" w:styleId="17">
    <w:name w:val="Body Text Indent 3"/>
    <w:basedOn w:val="1"/>
    <w:link w:val="42"/>
    <w:qFormat/>
    <w:uiPriority w:val="0"/>
    <w:pPr>
      <w:spacing w:after="120"/>
      <w:ind w:left="420" w:leftChars="200"/>
    </w:pPr>
    <w:rPr>
      <w:sz w:val="16"/>
      <w:szCs w:val="16"/>
    </w:rPr>
  </w:style>
  <w:style w:type="paragraph" w:styleId="18">
    <w:name w:val="toc 2"/>
    <w:basedOn w:val="1"/>
    <w:next w:val="1"/>
    <w:qFormat/>
    <w:uiPriority w:val="0"/>
    <w:pPr>
      <w:ind w:left="420" w:leftChars="200"/>
    </w:p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22"/>
    <w:rPr>
      <w:b/>
      <w:bCs/>
    </w:rPr>
  </w:style>
  <w:style w:type="character" w:styleId="24">
    <w:name w:val="page number"/>
    <w:basedOn w:val="22"/>
    <w:qFormat/>
    <w:uiPriority w:val="0"/>
  </w:style>
  <w:style w:type="character" w:styleId="25">
    <w:name w:val="Emphasis"/>
    <w:basedOn w:val="22"/>
    <w:qFormat/>
    <w:uiPriority w:val="20"/>
    <w:rPr>
      <w:i/>
      <w:iCs/>
    </w:rPr>
  </w:style>
  <w:style w:type="character" w:styleId="26">
    <w:name w:val="Hyperlink"/>
    <w:basedOn w:val="22"/>
    <w:qFormat/>
    <w:uiPriority w:val="0"/>
    <w:rPr>
      <w:color w:val="0000FF"/>
      <w:u w:val="single"/>
    </w:rPr>
  </w:style>
  <w:style w:type="character" w:customStyle="1" w:styleId="27">
    <w:name w:val="正文缩进2格 Char"/>
    <w:link w:val="28"/>
    <w:qFormat/>
    <w:uiPriority w:val="0"/>
    <w:rPr>
      <w:rFonts w:ascii="仿宋_GB2312" w:hAnsi="宋体" w:eastAsia="仿宋_GB2312"/>
      <w:sz w:val="31"/>
      <w:szCs w:val="28"/>
      <w:lang w:bidi="ar-SA"/>
    </w:rPr>
  </w:style>
  <w:style w:type="paragraph" w:customStyle="1" w:styleId="28">
    <w:name w:val="正文缩进2格"/>
    <w:basedOn w:val="1"/>
    <w:link w:val="27"/>
    <w:qFormat/>
    <w:uiPriority w:val="0"/>
    <w:pPr>
      <w:spacing w:line="600" w:lineRule="exact"/>
      <w:ind w:firstLine="639" w:firstLineChars="206"/>
    </w:pPr>
    <w:rPr>
      <w:rFonts w:ascii="仿宋_GB2312" w:hAnsi="宋体" w:eastAsia="仿宋_GB2312"/>
      <w:kern w:val="0"/>
      <w:sz w:val="31"/>
      <w:szCs w:val="28"/>
    </w:rPr>
  </w:style>
  <w:style w:type="character" w:customStyle="1" w:styleId="29">
    <w:name w:val="纯文本 Char"/>
    <w:qFormat/>
    <w:uiPriority w:val="99"/>
    <w:rPr>
      <w:rFonts w:ascii="宋体" w:hAnsi="Courier New"/>
      <w:kern w:val="2"/>
      <w:sz w:val="21"/>
    </w:rPr>
  </w:style>
  <w:style w:type="character" w:customStyle="1" w:styleId="30">
    <w:name w:val="标题 4 Char"/>
    <w:basedOn w:val="22"/>
    <w:link w:val="6"/>
    <w:qFormat/>
    <w:uiPriority w:val="0"/>
    <w:rPr>
      <w:rFonts w:ascii="Arial" w:hAnsi="Arial" w:eastAsia="黑体"/>
      <w:b/>
      <w:bCs/>
      <w:kern w:val="2"/>
      <w:sz w:val="28"/>
      <w:szCs w:val="28"/>
    </w:rPr>
  </w:style>
  <w:style w:type="character" w:customStyle="1" w:styleId="31">
    <w:name w:val="批注框文本 Char"/>
    <w:basedOn w:val="22"/>
    <w:link w:val="12"/>
    <w:qFormat/>
    <w:uiPriority w:val="0"/>
    <w:rPr>
      <w:kern w:val="2"/>
      <w:sz w:val="18"/>
      <w:szCs w:val="18"/>
    </w:rPr>
  </w:style>
  <w:style w:type="character" w:customStyle="1" w:styleId="32">
    <w:name w:val="页眉 Char"/>
    <w:link w:val="14"/>
    <w:qFormat/>
    <w:uiPriority w:val="99"/>
    <w:rPr>
      <w:kern w:val="2"/>
      <w:sz w:val="18"/>
      <w:szCs w:val="18"/>
    </w:rPr>
  </w:style>
  <w:style w:type="character" w:customStyle="1" w:styleId="33">
    <w:name w:val="正文缩进 Char"/>
    <w:link w:val="5"/>
    <w:qFormat/>
    <w:uiPriority w:val="0"/>
    <w:rPr>
      <w:rFonts w:eastAsia="宋体"/>
      <w:kern w:val="2"/>
      <w:sz w:val="21"/>
      <w:szCs w:val="24"/>
      <w:lang w:val="en-US" w:eastAsia="zh-CN" w:bidi="ar-SA"/>
    </w:rPr>
  </w:style>
  <w:style w:type="character" w:customStyle="1" w:styleId="34">
    <w:name w:val="标题 3 Char"/>
    <w:basedOn w:val="22"/>
    <w:link w:val="4"/>
    <w:qFormat/>
    <w:uiPriority w:val="0"/>
    <w:rPr>
      <w:b/>
      <w:kern w:val="2"/>
      <w:sz w:val="32"/>
    </w:rPr>
  </w:style>
  <w:style w:type="character" w:customStyle="1" w:styleId="35">
    <w:name w:val="纯文本 Char1"/>
    <w:basedOn w:val="22"/>
    <w:link w:val="10"/>
    <w:qFormat/>
    <w:uiPriority w:val="0"/>
    <w:rPr>
      <w:rFonts w:ascii="宋体" w:hAnsi="Courier New" w:cs="Courier New"/>
      <w:kern w:val="2"/>
      <w:sz w:val="21"/>
      <w:szCs w:val="21"/>
    </w:rPr>
  </w:style>
  <w:style w:type="paragraph" w:customStyle="1" w:styleId="36">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7">
    <w:name w:val="Char Char Char Char"/>
    <w:basedOn w:val="8"/>
    <w:qFormat/>
    <w:uiPriority w:val="0"/>
    <w:pPr>
      <w:adjustRightInd w:val="0"/>
      <w:snapToGrid w:val="0"/>
      <w:spacing w:line="360" w:lineRule="auto"/>
    </w:pPr>
    <w:rPr>
      <w:szCs w:val="20"/>
    </w:rPr>
  </w:style>
  <w:style w:type="paragraph" w:customStyle="1" w:styleId="38">
    <w:name w:val="Char"/>
    <w:basedOn w:val="1"/>
    <w:qFormat/>
    <w:uiPriority w:val="0"/>
    <w:pPr>
      <w:tabs>
        <w:tab w:val="left" w:pos="360"/>
      </w:tabs>
    </w:pPr>
    <w:rPr>
      <w:color w:val="000000"/>
      <w:sz w:val="24"/>
    </w:rPr>
  </w:style>
  <w:style w:type="paragraph" w:customStyle="1" w:styleId="3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40">
    <w:name w:val="Char1"/>
    <w:basedOn w:val="8"/>
    <w:qFormat/>
    <w:uiPriority w:val="0"/>
    <w:rPr>
      <w:rFonts w:ascii="Tahoma" w:hAnsi="Tahoma"/>
      <w:sz w:val="24"/>
    </w:rPr>
  </w:style>
  <w:style w:type="character" w:customStyle="1" w:styleId="41">
    <w:name w:val="纯文本 Char2"/>
    <w:basedOn w:val="22"/>
    <w:qFormat/>
    <w:uiPriority w:val="0"/>
    <w:rPr>
      <w:rFonts w:ascii="宋体" w:hAnsi="Courier New" w:eastAsia="宋体"/>
      <w:kern w:val="2"/>
      <w:sz w:val="24"/>
      <w:lang w:val="en-US" w:eastAsia="zh-CN" w:bidi="ar-SA"/>
    </w:rPr>
  </w:style>
  <w:style w:type="character" w:customStyle="1" w:styleId="42">
    <w:name w:val="正文文本缩进 3 Char"/>
    <w:basedOn w:val="22"/>
    <w:link w:val="17"/>
    <w:qFormat/>
    <w:uiPriority w:val="0"/>
    <w:rPr>
      <w:kern w:val="2"/>
      <w:sz w:val="16"/>
      <w:szCs w:val="16"/>
    </w:rPr>
  </w:style>
  <w:style w:type="character" w:customStyle="1" w:styleId="43">
    <w:name w:val="日期 Char"/>
    <w:basedOn w:val="22"/>
    <w:link w:val="11"/>
    <w:qFormat/>
    <w:uiPriority w:val="0"/>
    <w:rPr>
      <w:kern w:val="2"/>
      <w:sz w:val="24"/>
    </w:rPr>
  </w:style>
  <w:style w:type="paragraph" w:customStyle="1" w:styleId="44">
    <w:name w:val="正文1"/>
    <w:basedOn w:val="1"/>
    <w:qFormat/>
    <w:uiPriority w:val="0"/>
    <w:pPr>
      <w:spacing w:line="360" w:lineRule="auto"/>
      <w:ind w:firstLine="361"/>
    </w:pPr>
    <w:rPr>
      <w:rFonts w:ascii="宋体" w:hAnsi="宋体" w:eastAsia="仿宋_GB2312"/>
    </w:rPr>
  </w:style>
  <w:style w:type="character" w:customStyle="1" w:styleId="45">
    <w:name w:val="15"/>
    <w:basedOn w:val="22"/>
    <w:qFormat/>
    <w:uiPriority w:val="0"/>
    <w:rPr>
      <w:rFonts w:hint="default" w:ascii="Times New Roman" w:hAnsi="Times New Roman" w:cs="Times New Roman"/>
    </w:rPr>
  </w:style>
  <w:style w:type="character" w:customStyle="1" w:styleId="46">
    <w:name w:val="10"/>
    <w:basedOn w:val="22"/>
    <w:qFormat/>
    <w:uiPriority w:val="0"/>
    <w:rPr>
      <w:rFonts w:hint="default" w:ascii="Times New Roman" w:hAnsi="Times New Roman" w:cs="Times New Roman"/>
    </w:rPr>
  </w:style>
  <w:style w:type="paragraph" w:customStyle="1" w:styleId="47">
    <w:name w:val="无间隔1"/>
    <w:basedOn w:val="1"/>
    <w:qFormat/>
    <w:uiPriority w:val="0"/>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AFE7FE-88DA-4944-B5DB-E41717E8ACFC}">
  <ds:schemaRefs/>
</ds:datastoreItem>
</file>

<file path=docProps/app.xml><?xml version="1.0" encoding="utf-8"?>
<Properties xmlns="http://schemas.openxmlformats.org/officeDocument/2006/extended-properties" xmlns:vt="http://schemas.openxmlformats.org/officeDocument/2006/docPropsVTypes">
  <Template>Normal</Template>
  <Company>kdc</Company>
  <Pages>58</Pages>
  <Words>7790</Words>
  <Characters>9009</Characters>
  <Lines>1</Lines>
  <Paragraphs>1</Paragraphs>
  <TotalTime>2</TotalTime>
  <ScaleCrop>false</ScaleCrop>
  <LinksUpToDate>false</LinksUpToDate>
  <CharactersWithSpaces>9234</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2023-07-31T00:19:00Z</dcterms:created>
  <dc:creator>chencd</dc:creator>
  <cp:lastModifiedBy>魏小美</cp:lastModifiedBy>
  <cp:lastPrinted>2019-04-16T01:48:00Z</cp:lastPrinted>
  <dcterms:modified xsi:type="dcterms:W3CDTF">2026-10-23T02:08:15Z</dcterms:modified>
  <dc:title>招标技术规格及要求</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D9009F60029141ADB79D3C810900E994_12</vt:lpwstr>
  </property>
  <property fmtid="{D5CDD505-2E9C-101B-9397-08002B2CF9AE}" pid="4" name="KSOTemplateDocerSaveRecord">
    <vt:lpwstr>eyJoZGlkIjoiYmViMmMzOTZmM2RlY2U5YzgxYmVjYmVmOThmZDA4MzIiLCJ1c2VySWQiOiI2MzQ3ODY4MTAifQ==</vt:lpwstr>
  </property>
</Properties>
</file>