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82390">
      <w:pPr>
        <w:jc w:val="center"/>
        <w:rPr>
          <w:rFonts w:ascii="宋体" w:hAnsi="宋体"/>
          <w:b/>
          <w:bCs/>
          <w:sz w:val="72"/>
          <w:szCs w:val="72"/>
        </w:rPr>
      </w:pPr>
      <w:bookmarkStart w:id="0" w:name="OLE_LINK184"/>
      <w:bookmarkStart w:id="1" w:name="OLE_LINK183"/>
      <w:r>
        <w:rPr>
          <w:rFonts w:hint="eastAsia" w:ascii="宋体" w:hAnsi="宋体"/>
          <w:b/>
          <w:bCs/>
          <w:sz w:val="72"/>
          <w:szCs w:val="72"/>
        </w:rPr>
        <w:t>南京工业大学</w:t>
      </w:r>
    </w:p>
    <w:p w14:paraId="13F98A1F">
      <w:pPr>
        <w:jc w:val="center"/>
        <w:rPr>
          <w:rFonts w:ascii="宋体" w:hAnsi="宋体"/>
          <w:b/>
          <w:bCs/>
          <w:sz w:val="44"/>
          <w:szCs w:val="44"/>
        </w:rPr>
      </w:pPr>
    </w:p>
    <w:p w14:paraId="563255E5">
      <w:pPr>
        <w:jc w:val="center"/>
        <w:rPr>
          <w:rFonts w:ascii="宋体" w:hAnsi="宋体"/>
          <w:b/>
          <w:bCs/>
          <w:snapToGrid w:val="0"/>
          <w:sz w:val="40"/>
          <w:szCs w:val="40"/>
          <w:lang w:val="zh-CN"/>
        </w:rPr>
      </w:pPr>
      <w:r>
        <w:rPr>
          <w:rFonts w:hint="eastAsia" w:ascii="宋体" w:hAnsi="宋体"/>
          <w:b/>
          <w:bCs/>
          <w:snapToGrid w:val="0"/>
          <w:sz w:val="44"/>
          <w:szCs w:val="44"/>
          <w:lang w:val="zh-CN"/>
        </w:rPr>
        <w:t>2026年第4批生产用金属磁性粉体材料采购</w:t>
      </w:r>
      <w:r>
        <w:rPr>
          <w:rFonts w:hint="eastAsia" w:ascii="宋体" w:hAnsi="宋体"/>
          <w:b/>
          <w:bCs/>
          <w:snapToGrid w:val="0"/>
          <w:sz w:val="40"/>
          <w:szCs w:val="40"/>
          <w:lang w:val="zh-CN"/>
        </w:rPr>
        <w:t xml:space="preserve"> </w:t>
      </w:r>
    </w:p>
    <w:p w14:paraId="69636320">
      <w:pPr>
        <w:jc w:val="center"/>
        <w:rPr>
          <w:rFonts w:ascii="宋体" w:hAnsi="宋体"/>
          <w:b/>
          <w:bCs/>
          <w:snapToGrid w:val="0"/>
          <w:sz w:val="48"/>
          <w:szCs w:val="48"/>
        </w:rPr>
      </w:pPr>
    </w:p>
    <w:bookmarkEnd w:id="0"/>
    <w:bookmarkEnd w:id="1"/>
    <w:p w14:paraId="6DBC88D6">
      <w:pPr>
        <w:jc w:val="center"/>
        <w:rPr>
          <w:rFonts w:ascii="宋体" w:hAnsi="宋体"/>
          <w:b/>
          <w:bCs/>
          <w:snapToGrid w:val="0"/>
          <w:sz w:val="48"/>
          <w:szCs w:val="48"/>
        </w:rPr>
      </w:pPr>
    </w:p>
    <w:p w14:paraId="1CD98043">
      <w:pPr>
        <w:jc w:val="center"/>
        <w:rPr>
          <w:rFonts w:ascii="宋体" w:hAnsi="宋体"/>
          <w:b/>
          <w:bCs/>
          <w:sz w:val="72"/>
          <w:szCs w:val="60"/>
        </w:rPr>
      </w:pPr>
      <w:r>
        <w:rPr>
          <w:rFonts w:hint="eastAsia" w:ascii="宋体" w:hAnsi="宋体"/>
          <w:b/>
          <w:bCs/>
          <w:sz w:val="72"/>
          <w:szCs w:val="60"/>
        </w:rPr>
        <w:t>公开招标文件</w:t>
      </w:r>
    </w:p>
    <w:p w14:paraId="7DC1F840">
      <w:pPr>
        <w:jc w:val="center"/>
        <w:rPr>
          <w:rFonts w:ascii="宋体" w:hAnsi="宋体"/>
          <w:b/>
          <w:bCs/>
          <w:sz w:val="72"/>
          <w:szCs w:val="60"/>
        </w:rPr>
      </w:pPr>
    </w:p>
    <w:p w14:paraId="18ABDD13">
      <w:pPr>
        <w:rPr>
          <w:rFonts w:ascii="宋体" w:hAnsi="宋体"/>
          <w:b/>
          <w:bCs/>
          <w:sz w:val="36"/>
        </w:rPr>
      </w:pPr>
    </w:p>
    <w:p w14:paraId="691CEF5B">
      <w:pPr>
        <w:rPr>
          <w:rFonts w:ascii="宋体" w:hAnsi="宋体"/>
          <w:b/>
          <w:bCs/>
          <w:sz w:val="36"/>
        </w:rPr>
      </w:pPr>
    </w:p>
    <w:p w14:paraId="3E65DD5B">
      <w:pPr>
        <w:ind w:firstLine="643" w:firstLineChars="200"/>
        <w:rPr>
          <w:rFonts w:hint="eastAsia" w:ascii="宋体" w:hAnsi="宋体" w:eastAsia="宋体"/>
          <w:b/>
          <w:bCs/>
          <w:sz w:val="32"/>
          <w:szCs w:val="22"/>
          <w:highlight w:val="none"/>
          <w:lang w:eastAsia="zh-CN"/>
        </w:rPr>
      </w:pPr>
      <w:r>
        <w:rPr>
          <w:rFonts w:hint="eastAsia" w:ascii="宋体" w:hAnsi="宋体"/>
          <w:b/>
          <w:bCs/>
          <w:sz w:val="32"/>
          <w:szCs w:val="22"/>
          <w:highlight w:val="none"/>
        </w:rPr>
        <w:t>项目编号：</w:t>
      </w:r>
      <w:r>
        <w:rPr>
          <w:rFonts w:hint="eastAsia" w:ascii="宋体" w:hAnsi="宋体"/>
          <w:b/>
          <w:bCs/>
          <w:sz w:val="32"/>
          <w:szCs w:val="22"/>
          <w:highlight w:val="none"/>
          <w:lang w:eastAsia="zh-CN"/>
        </w:rPr>
        <w:t>JSZC-320000-HTMY-G2026-0022</w:t>
      </w:r>
    </w:p>
    <w:p w14:paraId="176BEBD6">
      <w:pPr>
        <w:ind w:firstLine="643" w:firstLineChars="200"/>
        <w:rPr>
          <w:rFonts w:ascii="宋体" w:hAnsi="宋体"/>
          <w:b/>
          <w:bCs/>
          <w:snapToGrid w:val="0"/>
          <w:sz w:val="32"/>
          <w:szCs w:val="22"/>
          <w:highlight w:val="none"/>
        </w:rPr>
      </w:pPr>
      <w:r>
        <w:rPr>
          <w:rFonts w:hint="eastAsia" w:ascii="宋体" w:hAnsi="宋体"/>
          <w:b/>
          <w:bCs/>
          <w:sz w:val="32"/>
          <w:szCs w:val="22"/>
          <w:highlight w:val="none"/>
        </w:rPr>
        <w:t>代理机构内部编号：1678-264109806HTT</w:t>
      </w:r>
    </w:p>
    <w:p w14:paraId="7516F5EE">
      <w:pPr>
        <w:rPr>
          <w:rFonts w:ascii="宋体" w:hAnsi="宋体"/>
          <w:b/>
          <w:bCs/>
          <w:snapToGrid w:val="0"/>
          <w:sz w:val="36"/>
        </w:rPr>
      </w:pPr>
    </w:p>
    <w:p w14:paraId="60A01E7F">
      <w:pPr>
        <w:jc w:val="center"/>
        <w:rPr>
          <w:rFonts w:ascii="宋体" w:hAnsi="宋体"/>
          <w:b/>
          <w:sz w:val="32"/>
          <w:szCs w:val="28"/>
        </w:rPr>
      </w:pPr>
      <w:r>
        <w:rPr>
          <w:rFonts w:hint="eastAsia" w:ascii="宋体" w:hAnsi="宋体"/>
          <w:b/>
          <w:sz w:val="32"/>
          <w:szCs w:val="28"/>
        </w:rPr>
        <w:t>采购代理机构：江苏汉唐国际贸易集团有限公司</w:t>
      </w:r>
    </w:p>
    <w:p w14:paraId="2D9F4589">
      <w:pPr>
        <w:jc w:val="center"/>
        <w:rPr>
          <w:rFonts w:ascii="宋体" w:hAnsi="宋体"/>
          <w:b/>
          <w:sz w:val="32"/>
          <w:szCs w:val="28"/>
        </w:rPr>
        <w:sectPr>
          <w:headerReference r:id="rId4" w:type="first"/>
          <w:headerReference r:id="rId3" w:type="default"/>
          <w:footerReference r:id="rId5" w:type="default"/>
          <w:pgSz w:w="11906" w:h="16838"/>
          <w:pgMar w:top="1701" w:right="1440" w:bottom="1440" w:left="1440" w:header="851" w:footer="992" w:gutter="0"/>
          <w:cols w:space="425" w:num="1"/>
          <w:docGrid w:type="lines" w:linePitch="348" w:charSpace="0"/>
        </w:sectPr>
      </w:pPr>
      <w:r>
        <w:rPr>
          <w:rFonts w:ascii="宋体" w:hAnsi="宋体"/>
          <w:b/>
          <w:sz w:val="32"/>
          <w:szCs w:val="28"/>
        </w:rPr>
        <w:t>202</w:t>
      </w:r>
      <w:r>
        <w:rPr>
          <w:rFonts w:hint="eastAsia" w:ascii="宋体" w:hAnsi="宋体"/>
          <w:b/>
          <w:sz w:val="32"/>
          <w:szCs w:val="28"/>
        </w:rPr>
        <w:t>6年</w:t>
      </w:r>
      <w:r>
        <w:rPr>
          <w:rFonts w:hint="eastAsia" w:ascii="宋体" w:hAnsi="宋体"/>
          <w:b/>
          <w:sz w:val="32"/>
          <w:szCs w:val="28"/>
          <w:lang w:val="en-US" w:eastAsia="zh-CN"/>
        </w:rPr>
        <w:t>10</w:t>
      </w:r>
      <w:r>
        <w:rPr>
          <w:rFonts w:hint="eastAsia" w:ascii="宋体" w:hAnsi="宋体"/>
          <w:b/>
          <w:sz w:val="32"/>
          <w:szCs w:val="28"/>
        </w:rPr>
        <w:t>月</w:t>
      </w:r>
    </w:p>
    <w:p w14:paraId="57A3153D">
      <w:pPr>
        <w:spacing w:line="440" w:lineRule="exact"/>
        <w:jc w:val="center"/>
        <w:rPr>
          <w:rFonts w:ascii="宋体" w:hAnsi="宋体" w:cs="Arial"/>
          <w:b/>
          <w:sz w:val="32"/>
        </w:rPr>
      </w:pPr>
      <w:r>
        <w:rPr>
          <w:rFonts w:ascii="宋体" w:hAnsi="宋体" w:cs="Arial"/>
          <w:b/>
          <w:sz w:val="32"/>
        </w:rPr>
        <w:t>目   录</w:t>
      </w:r>
    </w:p>
    <w:p w14:paraId="2C7DA9D0">
      <w:pPr>
        <w:pStyle w:val="24"/>
        <w:tabs>
          <w:tab w:val="right" w:leader="dot" w:pos="9026"/>
        </w:tabs>
        <w:spacing w:line="360" w:lineRule="auto"/>
        <w:rPr>
          <w:sz w:val="22"/>
          <w:szCs w:val="28"/>
        </w:rPr>
      </w:pPr>
      <w:r>
        <w:rPr>
          <w:rFonts w:ascii="宋体" w:hAnsi="宋体"/>
          <w:sz w:val="22"/>
          <w:szCs w:val="21"/>
        </w:rPr>
        <w:fldChar w:fldCharType="begin"/>
      </w:r>
      <w:r>
        <w:rPr>
          <w:rFonts w:ascii="宋体" w:hAnsi="宋体"/>
          <w:sz w:val="22"/>
          <w:szCs w:val="21"/>
        </w:rPr>
        <w:instrText xml:space="preserve"> TOC \o "1-3" \h \z \u </w:instrText>
      </w:r>
      <w:r>
        <w:rPr>
          <w:rFonts w:ascii="宋体" w:hAnsi="宋体"/>
          <w:sz w:val="22"/>
          <w:szCs w:val="21"/>
        </w:rPr>
        <w:fldChar w:fldCharType="separate"/>
      </w:r>
      <w:r>
        <w:fldChar w:fldCharType="begin"/>
      </w:r>
      <w:r>
        <w:instrText xml:space="preserve"> HYPERLINK \l "_Toc758" </w:instrText>
      </w:r>
      <w:r>
        <w:fldChar w:fldCharType="separate"/>
      </w:r>
      <w:r>
        <w:rPr>
          <w:rFonts w:hint="eastAsia" w:ascii="宋体" w:hAnsi="宋体" w:cs="Arial"/>
          <w:sz w:val="22"/>
          <w:szCs w:val="32"/>
        </w:rPr>
        <w:t>第一部分：投标邀请书（招标公告）</w:t>
      </w:r>
      <w:r>
        <w:rPr>
          <w:sz w:val="22"/>
          <w:szCs w:val="28"/>
        </w:rPr>
        <w:tab/>
      </w:r>
      <w:r>
        <w:rPr>
          <w:sz w:val="22"/>
          <w:szCs w:val="28"/>
        </w:rPr>
        <w:fldChar w:fldCharType="begin"/>
      </w:r>
      <w:r>
        <w:rPr>
          <w:sz w:val="22"/>
          <w:szCs w:val="28"/>
        </w:rPr>
        <w:instrText xml:space="preserve"> PAGEREF _Toc758 \h </w:instrText>
      </w:r>
      <w:r>
        <w:rPr>
          <w:sz w:val="22"/>
          <w:szCs w:val="28"/>
        </w:rPr>
        <w:fldChar w:fldCharType="separate"/>
      </w:r>
      <w:r>
        <w:rPr>
          <w:sz w:val="22"/>
          <w:szCs w:val="28"/>
        </w:rPr>
        <w:t>3</w:t>
      </w:r>
      <w:r>
        <w:rPr>
          <w:sz w:val="22"/>
          <w:szCs w:val="28"/>
        </w:rPr>
        <w:fldChar w:fldCharType="end"/>
      </w:r>
      <w:r>
        <w:rPr>
          <w:sz w:val="22"/>
          <w:szCs w:val="28"/>
        </w:rPr>
        <w:fldChar w:fldCharType="end"/>
      </w:r>
    </w:p>
    <w:p w14:paraId="490E1750">
      <w:pPr>
        <w:pStyle w:val="24"/>
        <w:tabs>
          <w:tab w:val="right" w:leader="dot" w:pos="9026"/>
        </w:tabs>
        <w:spacing w:line="360" w:lineRule="auto"/>
        <w:rPr>
          <w:sz w:val="22"/>
          <w:szCs w:val="28"/>
        </w:rPr>
      </w:pPr>
      <w:r>
        <w:fldChar w:fldCharType="begin"/>
      </w:r>
      <w:r>
        <w:instrText xml:space="preserve"> HYPERLINK \l "_Toc11982" </w:instrText>
      </w:r>
      <w:r>
        <w:fldChar w:fldCharType="separate"/>
      </w:r>
      <w:r>
        <w:rPr>
          <w:rFonts w:hint="eastAsia" w:ascii="宋体" w:hAnsi="宋体" w:cs="Arial"/>
          <w:sz w:val="22"/>
          <w:szCs w:val="32"/>
        </w:rPr>
        <w:t>第二部分：投标人须知</w:t>
      </w:r>
      <w:r>
        <w:rPr>
          <w:sz w:val="22"/>
          <w:szCs w:val="28"/>
        </w:rPr>
        <w:tab/>
      </w:r>
      <w:r>
        <w:rPr>
          <w:sz w:val="22"/>
          <w:szCs w:val="28"/>
        </w:rPr>
        <w:fldChar w:fldCharType="begin"/>
      </w:r>
      <w:r>
        <w:rPr>
          <w:sz w:val="22"/>
          <w:szCs w:val="28"/>
        </w:rPr>
        <w:instrText xml:space="preserve"> PAGEREF _Toc11982 \h </w:instrText>
      </w:r>
      <w:r>
        <w:rPr>
          <w:sz w:val="22"/>
          <w:szCs w:val="28"/>
        </w:rPr>
        <w:fldChar w:fldCharType="separate"/>
      </w:r>
      <w:r>
        <w:rPr>
          <w:sz w:val="22"/>
          <w:szCs w:val="28"/>
        </w:rPr>
        <w:t>6</w:t>
      </w:r>
      <w:r>
        <w:rPr>
          <w:sz w:val="22"/>
          <w:szCs w:val="28"/>
        </w:rPr>
        <w:fldChar w:fldCharType="end"/>
      </w:r>
      <w:r>
        <w:rPr>
          <w:sz w:val="22"/>
          <w:szCs w:val="28"/>
        </w:rPr>
        <w:fldChar w:fldCharType="end"/>
      </w:r>
    </w:p>
    <w:p w14:paraId="002D418A">
      <w:pPr>
        <w:pStyle w:val="28"/>
        <w:tabs>
          <w:tab w:val="right" w:leader="dot" w:pos="9026"/>
        </w:tabs>
        <w:spacing w:line="360" w:lineRule="auto"/>
        <w:rPr>
          <w:sz w:val="22"/>
          <w:szCs w:val="28"/>
        </w:rPr>
      </w:pPr>
      <w:r>
        <w:fldChar w:fldCharType="begin"/>
      </w:r>
      <w:r>
        <w:instrText xml:space="preserve"> HYPERLINK \l "_Toc15055" </w:instrText>
      </w:r>
      <w:r>
        <w:fldChar w:fldCharType="separate"/>
      </w:r>
      <w:r>
        <w:rPr>
          <w:rFonts w:hint="eastAsia" w:ascii="宋体" w:hAnsi="宋体"/>
          <w:sz w:val="22"/>
          <w:szCs w:val="28"/>
        </w:rPr>
        <w:t>投标人须知前附表</w:t>
      </w:r>
      <w:r>
        <w:rPr>
          <w:sz w:val="22"/>
          <w:szCs w:val="28"/>
        </w:rPr>
        <w:tab/>
      </w:r>
      <w:r>
        <w:rPr>
          <w:sz w:val="22"/>
          <w:szCs w:val="28"/>
        </w:rPr>
        <w:fldChar w:fldCharType="begin"/>
      </w:r>
      <w:r>
        <w:rPr>
          <w:sz w:val="22"/>
          <w:szCs w:val="28"/>
        </w:rPr>
        <w:instrText xml:space="preserve"> PAGEREF _Toc15055 \h </w:instrText>
      </w:r>
      <w:r>
        <w:rPr>
          <w:sz w:val="22"/>
          <w:szCs w:val="28"/>
        </w:rPr>
        <w:fldChar w:fldCharType="separate"/>
      </w:r>
      <w:r>
        <w:rPr>
          <w:sz w:val="22"/>
          <w:szCs w:val="28"/>
        </w:rPr>
        <w:t>6</w:t>
      </w:r>
      <w:r>
        <w:rPr>
          <w:sz w:val="22"/>
          <w:szCs w:val="28"/>
        </w:rPr>
        <w:fldChar w:fldCharType="end"/>
      </w:r>
      <w:r>
        <w:rPr>
          <w:sz w:val="22"/>
          <w:szCs w:val="28"/>
        </w:rPr>
        <w:fldChar w:fldCharType="end"/>
      </w:r>
    </w:p>
    <w:p w14:paraId="1B1DB2B1">
      <w:pPr>
        <w:pStyle w:val="24"/>
        <w:tabs>
          <w:tab w:val="right" w:leader="dot" w:pos="9026"/>
        </w:tabs>
        <w:spacing w:line="360" w:lineRule="auto"/>
        <w:rPr>
          <w:sz w:val="22"/>
          <w:szCs w:val="28"/>
        </w:rPr>
      </w:pPr>
      <w:r>
        <w:fldChar w:fldCharType="begin"/>
      </w:r>
      <w:r>
        <w:instrText xml:space="preserve"> HYPERLINK \l "_Toc5473" </w:instrText>
      </w:r>
      <w:r>
        <w:fldChar w:fldCharType="separate"/>
      </w:r>
      <w:r>
        <w:rPr>
          <w:rFonts w:hint="eastAsia" w:ascii="宋体" w:hAnsi="宋体" w:cs="Arial"/>
          <w:sz w:val="22"/>
          <w:szCs w:val="32"/>
        </w:rPr>
        <w:t>第三部分：采购需求</w:t>
      </w:r>
      <w:r>
        <w:rPr>
          <w:sz w:val="22"/>
          <w:szCs w:val="28"/>
        </w:rPr>
        <w:tab/>
      </w:r>
      <w:r>
        <w:rPr>
          <w:sz w:val="22"/>
          <w:szCs w:val="28"/>
        </w:rPr>
        <w:fldChar w:fldCharType="begin"/>
      </w:r>
      <w:r>
        <w:rPr>
          <w:sz w:val="22"/>
          <w:szCs w:val="28"/>
        </w:rPr>
        <w:instrText xml:space="preserve"> PAGEREF _Toc5473 \h </w:instrText>
      </w:r>
      <w:r>
        <w:rPr>
          <w:sz w:val="22"/>
          <w:szCs w:val="28"/>
        </w:rPr>
        <w:fldChar w:fldCharType="separate"/>
      </w:r>
      <w:r>
        <w:rPr>
          <w:sz w:val="22"/>
          <w:szCs w:val="28"/>
        </w:rPr>
        <w:t>22</w:t>
      </w:r>
      <w:r>
        <w:rPr>
          <w:sz w:val="22"/>
          <w:szCs w:val="28"/>
        </w:rPr>
        <w:fldChar w:fldCharType="end"/>
      </w:r>
      <w:r>
        <w:rPr>
          <w:sz w:val="22"/>
          <w:szCs w:val="28"/>
        </w:rPr>
        <w:fldChar w:fldCharType="end"/>
      </w:r>
    </w:p>
    <w:p w14:paraId="2040949F">
      <w:pPr>
        <w:pStyle w:val="28"/>
        <w:tabs>
          <w:tab w:val="right" w:leader="dot" w:pos="9026"/>
        </w:tabs>
        <w:spacing w:line="360" w:lineRule="auto"/>
        <w:rPr>
          <w:sz w:val="22"/>
          <w:szCs w:val="28"/>
        </w:rPr>
      </w:pPr>
      <w:r>
        <w:fldChar w:fldCharType="begin"/>
      </w:r>
      <w:r>
        <w:instrText xml:space="preserve"> HYPERLINK \l "_Toc16993" </w:instrText>
      </w:r>
      <w:r>
        <w:fldChar w:fldCharType="separate"/>
      </w:r>
      <w:r>
        <w:rPr>
          <w:rFonts w:hint="eastAsia" w:ascii="宋体" w:hAnsi="宋体" w:cs="宋体"/>
          <w:sz w:val="22"/>
        </w:rPr>
        <w:t>一、材质和数量要求</w:t>
      </w:r>
      <w:r>
        <w:rPr>
          <w:sz w:val="22"/>
          <w:szCs w:val="28"/>
        </w:rPr>
        <w:tab/>
      </w:r>
      <w:r>
        <w:rPr>
          <w:sz w:val="22"/>
          <w:szCs w:val="28"/>
        </w:rPr>
        <w:fldChar w:fldCharType="begin"/>
      </w:r>
      <w:r>
        <w:rPr>
          <w:sz w:val="22"/>
          <w:szCs w:val="28"/>
        </w:rPr>
        <w:instrText xml:space="preserve"> PAGEREF _Toc16993 \h </w:instrText>
      </w:r>
      <w:r>
        <w:rPr>
          <w:sz w:val="22"/>
          <w:szCs w:val="28"/>
        </w:rPr>
        <w:fldChar w:fldCharType="separate"/>
      </w:r>
      <w:r>
        <w:rPr>
          <w:sz w:val="22"/>
          <w:szCs w:val="28"/>
        </w:rPr>
        <w:t>22</w:t>
      </w:r>
      <w:r>
        <w:rPr>
          <w:sz w:val="22"/>
          <w:szCs w:val="28"/>
        </w:rPr>
        <w:fldChar w:fldCharType="end"/>
      </w:r>
      <w:r>
        <w:rPr>
          <w:sz w:val="22"/>
          <w:szCs w:val="28"/>
        </w:rPr>
        <w:fldChar w:fldCharType="end"/>
      </w:r>
    </w:p>
    <w:p w14:paraId="7B103831">
      <w:pPr>
        <w:pStyle w:val="28"/>
        <w:tabs>
          <w:tab w:val="right" w:leader="dot" w:pos="9026"/>
        </w:tabs>
        <w:spacing w:line="360" w:lineRule="auto"/>
        <w:rPr>
          <w:sz w:val="22"/>
          <w:szCs w:val="28"/>
        </w:rPr>
      </w:pPr>
      <w:r>
        <w:fldChar w:fldCharType="begin"/>
      </w:r>
      <w:r>
        <w:instrText xml:space="preserve"> HYPERLINK \l "_Toc7151" </w:instrText>
      </w:r>
      <w:r>
        <w:fldChar w:fldCharType="separate"/>
      </w:r>
      <w:r>
        <w:rPr>
          <w:rFonts w:hint="eastAsia" w:ascii="宋体" w:hAnsi="宋体" w:cs="宋体"/>
          <w:sz w:val="22"/>
        </w:rPr>
        <w:t>二、功能要求</w:t>
      </w:r>
      <w:r>
        <w:rPr>
          <w:sz w:val="22"/>
          <w:szCs w:val="28"/>
        </w:rPr>
        <w:tab/>
      </w:r>
      <w:r>
        <w:rPr>
          <w:sz w:val="22"/>
          <w:szCs w:val="28"/>
        </w:rPr>
        <w:fldChar w:fldCharType="begin"/>
      </w:r>
      <w:r>
        <w:rPr>
          <w:sz w:val="22"/>
          <w:szCs w:val="28"/>
        </w:rPr>
        <w:instrText xml:space="preserve"> PAGEREF _Toc7151 \h </w:instrText>
      </w:r>
      <w:r>
        <w:rPr>
          <w:sz w:val="22"/>
          <w:szCs w:val="28"/>
        </w:rPr>
        <w:fldChar w:fldCharType="separate"/>
      </w:r>
      <w:r>
        <w:rPr>
          <w:sz w:val="22"/>
          <w:szCs w:val="28"/>
        </w:rPr>
        <w:t>22</w:t>
      </w:r>
      <w:r>
        <w:rPr>
          <w:sz w:val="22"/>
          <w:szCs w:val="28"/>
        </w:rPr>
        <w:fldChar w:fldCharType="end"/>
      </w:r>
      <w:r>
        <w:rPr>
          <w:sz w:val="22"/>
          <w:szCs w:val="28"/>
        </w:rPr>
        <w:fldChar w:fldCharType="end"/>
      </w:r>
    </w:p>
    <w:p w14:paraId="6771C279">
      <w:pPr>
        <w:pStyle w:val="28"/>
        <w:tabs>
          <w:tab w:val="right" w:leader="dot" w:pos="9026"/>
        </w:tabs>
        <w:spacing w:line="360" w:lineRule="auto"/>
        <w:rPr>
          <w:sz w:val="22"/>
          <w:szCs w:val="28"/>
        </w:rPr>
      </w:pPr>
      <w:r>
        <w:fldChar w:fldCharType="begin"/>
      </w:r>
      <w:r>
        <w:instrText xml:space="preserve"> HYPERLINK \l "_Toc27017" </w:instrText>
      </w:r>
      <w:r>
        <w:fldChar w:fldCharType="separate"/>
      </w:r>
      <w:r>
        <w:rPr>
          <w:rFonts w:hint="eastAsia" w:ascii="宋体" w:hAnsi="宋体" w:cs="宋体"/>
          <w:sz w:val="22"/>
        </w:rPr>
        <w:t>三、技术指标</w:t>
      </w:r>
      <w:r>
        <w:rPr>
          <w:sz w:val="22"/>
          <w:szCs w:val="28"/>
        </w:rPr>
        <w:tab/>
      </w:r>
      <w:r>
        <w:rPr>
          <w:sz w:val="22"/>
          <w:szCs w:val="28"/>
        </w:rPr>
        <w:fldChar w:fldCharType="begin"/>
      </w:r>
      <w:r>
        <w:rPr>
          <w:sz w:val="22"/>
          <w:szCs w:val="28"/>
        </w:rPr>
        <w:instrText xml:space="preserve"> PAGEREF _Toc27017 \h </w:instrText>
      </w:r>
      <w:r>
        <w:rPr>
          <w:sz w:val="22"/>
          <w:szCs w:val="28"/>
        </w:rPr>
        <w:fldChar w:fldCharType="separate"/>
      </w:r>
      <w:r>
        <w:rPr>
          <w:sz w:val="22"/>
          <w:szCs w:val="28"/>
        </w:rPr>
        <w:t>22</w:t>
      </w:r>
      <w:r>
        <w:rPr>
          <w:sz w:val="22"/>
          <w:szCs w:val="28"/>
        </w:rPr>
        <w:fldChar w:fldCharType="end"/>
      </w:r>
      <w:r>
        <w:rPr>
          <w:sz w:val="22"/>
          <w:szCs w:val="28"/>
        </w:rPr>
        <w:fldChar w:fldCharType="end"/>
      </w:r>
    </w:p>
    <w:p w14:paraId="233F3359">
      <w:pPr>
        <w:pStyle w:val="28"/>
        <w:tabs>
          <w:tab w:val="right" w:leader="dot" w:pos="9026"/>
        </w:tabs>
        <w:spacing w:line="360" w:lineRule="auto"/>
        <w:rPr>
          <w:sz w:val="22"/>
          <w:szCs w:val="28"/>
        </w:rPr>
      </w:pPr>
      <w:r>
        <w:fldChar w:fldCharType="begin"/>
      </w:r>
      <w:r>
        <w:instrText xml:space="preserve"> HYPERLINK \l "_Toc15898" </w:instrText>
      </w:r>
      <w:r>
        <w:fldChar w:fldCharType="separate"/>
      </w:r>
      <w:r>
        <w:rPr>
          <w:rFonts w:hint="eastAsia" w:ascii="宋体" w:hAnsi="宋体" w:cs="宋体"/>
          <w:sz w:val="22"/>
        </w:rPr>
        <w:t>四、商务要求</w:t>
      </w:r>
      <w:r>
        <w:rPr>
          <w:sz w:val="22"/>
          <w:szCs w:val="28"/>
        </w:rPr>
        <w:tab/>
      </w:r>
      <w:r>
        <w:rPr>
          <w:sz w:val="22"/>
          <w:szCs w:val="28"/>
        </w:rPr>
        <w:fldChar w:fldCharType="begin"/>
      </w:r>
      <w:r>
        <w:rPr>
          <w:sz w:val="22"/>
          <w:szCs w:val="28"/>
        </w:rPr>
        <w:instrText xml:space="preserve"> PAGEREF _Toc15898 \h </w:instrText>
      </w:r>
      <w:r>
        <w:rPr>
          <w:sz w:val="22"/>
          <w:szCs w:val="28"/>
        </w:rPr>
        <w:fldChar w:fldCharType="separate"/>
      </w:r>
      <w:r>
        <w:rPr>
          <w:sz w:val="22"/>
          <w:szCs w:val="28"/>
        </w:rPr>
        <w:t>22</w:t>
      </w:r>
      <w:r>
        <w:rPr>
          <w:sz w:val="22"/>
          <w:szCs w:val="28"/>
        </w:rPr>
        <w:fldChar w:fldCharType="end"/>
      </w:r>
      <w:r>
        <w:rPr>
          <w:sz w:val="22"/>
          <w:szCs w:val="28"/>
        </w:rPr>
        <w:fldChar w:fldCharType="end"/>
      </w:r>
    </w:p>
    <w:p w14:paraId="54FAA8D5">
      <w:pPr>
        <w:pStyle w:val="24"/>
        <w:tabs>
          <w:tab w:val="right" w:leader="dot" w:pos="9026"/>
        </w:tabs>
        <w:spacing w:line="360" w:lineRule="auto"/>
        <w:rPr>
          <w:sz w:val="22"/>
          <w:szCs w:val="28"/>
        </w:rPr>
      </w:pPr>
      <w:r>
        <w:fldChar w:fldCharType="begin"/>
      </w:r>
      <w:r>
        <w:instrText xml:space="preserve"> HYPERLINK \l "_Toc25526" </w:instrText>
      </w:r>
      <w:r>
        <w:fldChar w:fldCharType="separate"/>
      </w:r>
      <w:r>
        <w:rPr>
          <w:rFonts w:hint="eastAsia" w:ascii="宋体" w:hAnsi="宋体" w:cs="Arial"/>
          <w:sz w:val="22"/>
          <w:szCs w:val="32"/>
        </w:rPr>
        <w:t>第四部分：合同条款</w:t>
      </w:r>
      <w:r>
        <w:rPr>
          <w:sz w:val="22"/>
          <w:szCs w:val="28"/>
        </w:rPr>
        <w:tab/>
      </w:r>
      <w:r>
        <w:rPr>
          <w:sz w:val="22"/>
          <w:szCs w:val="28"/>
        </w:rPr>
        <w:fldChar w:fldCharType="begin"/>
      </w:r>
      <w:r>
        <w:rPr>
          <w:sz w:val="22"/>
          <w:szCs w:val="28"/>
        </w:rPr>
        <w:instrText xml:space="preserve"> PAGEREF _Toc25526 \h </w:instrText>
      </w:r>
      <w:r>
        <w:rPr>
          <w:sz w:val="22"/>
          <w:szCs w:val="28"/>
        </w:rPr>
        <w:fldChar w:fldCharType="separate"/>
      </w:r>
      <w:r>
        <w:rPr>
          <w:sz w:val="22"/>
          <w:szCs w:val="28"/>
        </w:rPr>
        <w:t>24</w:t>
      </w:r>
      <w:r>
        <w:rPr>
          <w:sz w:val="22"/>
          <w:szCs w:val="28"/>
        </w:rPr>
        <w:fldChar w:fldCharType="end"/>
      </w:r>
      <w:r>
        <w:rPr>
          <w:sz w:val="22"/>
          <w:szCs w:val="28"/>
        </w:rPr>
        <w:fldChar w:fldCharType="end"/>
      </w:r>
    </w:p>
    <w:p w14:paraId="63040DE6">
      <w:pPr>
        <w:pStyle w:val="24"/>
        <w:tabs>
          <w:tab w:val="right" w:leader="dot" w:pos="9026"/>
        </w:tabs>
        <w:spacing w:line="360" w:lineRule="auto"/>
        <w:rPr>
          <w:sz w:val="22"/>
          <w:szCs w:val="28"/>
        </w:rPr>
      </w:pPr>
      <w:r>
        <w:fldChar w:fldCharType="begin"/>
      </w:r>
      <w:r>
        <w:instrText xml:space="preserve"> HYPERLINK \l "_Toc13988" </w:instrText>
      </w:r>
      <w:r>
        <w:fldChar w:fldCharType="separate"/>
      </w:r>
      <w:r>
        <w:rPr>
          <w:rFonts w:hint="eastAsia" w:ascii="宋体" w:hAnsi="宋体" w:cs="Arial"/>
          <w:sz w:val="22"/>
          <w:szCs w:val="32"/>
        </w:rPr>
        <w:t>第五部分：评标办法</w:t>
      </w:r>
      <w:r>
        <w:rPr>
          <w:sz w:val="22"/>
          <w:szCs w:val="28"/>
        </w:rPr>
        <w:tab/>
      </w:r>
      <w:r>
        <w:rPr>
          <w:sz w:val="22"/>
          <w:szCs w:val="28"/>
        </w:rPr>
        <w:fldChar w:fldCharType="begin"/>
      </w:r>
      <w:r>
        <w:rPr>
          <w:sz w:val="22"/>
          <w:szCs w:val="28"/>
        </w:rPr>
        <w:instrText xml:space="preserve"> PAGEREF _Toc13988 \h </w:instrText>
      </w:r>
      <w:r>
        <w:rPr>
          <w:sz w:val="22"/>
          <w:szCs w:val="28"/>
        </w:rPr>
        <w:fldChar w:fldCharType="separate"/>
      </w:r>
      <w:r>
        <w:rPr>
          <w:sz w:val="22"/>
          <w:szCs w:val="28"/>
        </w:rPr>
        <w:t>28</w:t>
      </w:r>
      <w:r>
        <w:rPr>
          <w:sz w:val="22"/>
          <w:szCs w:val="28"/>
        </w:rPr>
        <w:fldChar w:fldCharType="end"/>
      </w:r>
      <w:r>
        <w:rPr>
          <w:sz w:val="22"/>
          <w:szCs w:val="28"/>
        </w:rPr>
        <w:fldChar w:fldCharType="end"/>
      </w:r>
    </w:p>
    <w:p w14:paraId="0E53AB56">
      <w:pPr>
        <w:pStyle w:val="28"/>
        <w:tabs>
          <w:tab w:val="right" w:leader="dot" w:pos="9026"/>
        </w:tabs>
        <w:spacing w:line="360" w:lineRule="auto"/>
        <w:rPr>
          <w:sz w:val="22"/>
          <w:szCs w:val="28"/>
        </w:rPr>
      </w:pPr>
      <w:r>
        <w:fldChar w:fldCharType="begin"/>
      </w:r>
      <w:r>
        <w:instrText xml:space="preserve"> HYPERLINK \l "_Toc10631" </w:instrText>
      </w:r>
      <w:r>
        <w:fldChar w:fldCharType="separate"/>
      </w:r>
      <w:r>
        <w:rPr>
          <w:rFonts w:hint="eastAsia" w:ascii="宋体" w:hAnsi="宋体" w:cs="Arial"/>
          <w:bCs/>
          <w:kern w:val="0"/>
          <w:sz w:val="22"/>
          <w:szCs w:val="20"/>
        </w:rPr>
        <w:t>一、投标人资格审查标准</w:t>
      </w:r>
      <w:r>
        <w:rPr>
          <w:sz w:val="22"/>
          <w:szCs w:val="28"/>
        </w:rPr>
        <w:tab/>
      </w:r>
      <w:r>
        <w:rPr>
          <w:sz w:val="22"/>
          <w:szCs w:val="28"/>
        </w:rPr>
        <w:fldChar w:fldCharType="begin"/>
      </w:r>
      <w:r>
        <w:rPr>
          <w:sz w:val="22"/>
          <w:szCs w:val="28"/>
        </w:rPr>
        <w:instrText xml:space="preserve"> PAGEREF _Toc10631 \h </w:instrText>
      </w:r>
      <w:r>
        <w:rPr>
          <w:sz w:val="22"/>
          <w:szCs w:val="28"/>
        </w:rPr>
        <w:fldChar w:fldCharType="separate"/>
      </w:r>
      <w:r>
        <w:rPr>
          <w:sz w:val="22"/>
          <w:szCs w:val="28"/>
        </w:rPr>
        <w:t>28</w:t>
      </w:r>
      <w:r>
        <w:rPr>
          <w:sz w:val="22"/>
          <w:szCs w:val="28"/>
        </w:rPr>
        <w:fldChar w:fldCharType="end"/>
      </w:r>
      <w:r>
        <w:rPr>
          <w:sz w:val="22"/>
          <w:szCs w:val="28"/>
        </w:rPr>
        <w:fldChar w:fldCharType="end"/>
      </w:r>
    </w:p>
    <w:p w14:paraId="32A5C736">
      <w:pPr>
        <w:pStyle w:val="28"/>
        <w:tabs>
          <w:tab w:val="right" w:leader="dot" w:pos="9026"/>
        </w:tabs>
        <w:spacing w:line="360" w:lineRule="auto"/>
        <w:rPr>
          <w:sz w:val="22"/>
          <w:szCs w:val="28"/>
        </w:rPr>
      </w:pPr>
      <w:r>
        <w:fldChar w:fldCharType="begin"/>
      </w:r>
      <w:r>
        <w:instrText xml:space="preserve"> HYPERLINK \l "_Toc10503" </w:instrText>
      </w:r>
      <w:r>
        <w:fldChar w:fldCharType="separate"/>
      </w:r>
      <w:r>
        <w:rPr>
          <w:rFonts w:hint="eastAsia" w:ascii="宋体" w:hAnsi="宋体" w:cs="Arial"/>
          <w:bCs/>
          <w:kern w:val="0"/>
          <w:sz w:val="22"/>
          <w:szCs w:val="20"/>
        </w:rPr>
        <w:t>二、投标文件符合性审查标准</w:t>
      </w:r>
      <w:r>
        <w:rPr>
          <w:sz w:val="22"/>
          <w:szCs w:val="28"/>
        </w:rPr>
        <w:tab/>
      </w:r>
      <w:r>
        <w:rPr>
          <w:sz w:val="22"/>
          <w:szCs w:val="28"/>
        </w:rPr>
        <w:fldChar w:fldCharType="begin"/>
      </w:r>
      <w:r>
        <w:rPr>
          <w:sz w:val="22"/>
          <w:szCs w:val="28"/>
        </w:rPr>
        <w:instrText xml:space="preserve"> PAGEREF _Toc10503 \h </w:instrText>
      </w:r>
      <w:r>
        <w:rPr>
          <w:sz w:val="22"/>
          <w:szCs w:val="28"/>
        </w:rPr>
        <w:fldChar w:fldCharType="separate"/>
      </w:r>
      <w:r>
        <w:rPr>
          <w:sz w:val="22"/>
          <w:szCs w:val="28"/>
        </w:rPr>
        <w:t>29</w:t>
      </w:r>
      <w:r>
        <w:rPr>
          <w:sz w:val="22"/>
          <w:szCs w:val="28"/>
        </w:rPr>
        <w:fldChar w:fldCharType="end"/>
      </w:r>
      <w:r>
        <w:rPr>
          <w:sz w:val="22"/>
          <w:szCs w:val="28"/>
        </w:rPr>
        <w:fldChar w:fldCharType="end"/>
      </w:r>
    </w:p>
    <w:p w14:paraId="4B07BAB6">
      <w:pPr>
        <w:pStyle w:val="28"/>
        <w:tabs>
          <w:tab w:val="right" w:leader="dot" w:pos="9026"/>
        </w:tabs>
        <w:spacing w:line="360" w:lineRule="auto"/>
        <w:rPr>
          <w:sz w:val="22"/>
          <w:szCs w:val="28"/>
        </w:rPr>
      </w:pPr>
      <w:r>
        <w:fldChar w:fldCharType="begin"/>
      </w:r>
      <w:r>
        <w:instrText xml:space="preserve"> HYPERLINK \l "_Toc4220" </w:instrText>
      </w:r>
      <w:r>
        <w:fldChar w:fldCharType="separate"/>
      </w:r>
      <w:r>
        <w:rPr>
          <w:rFonts w:hint="eastAsia" w:ascii="宋体" w:hAnsi="宋体" w:cs="Arial"/>
          <w:bCs/>
          <w:kern w:val="0"/>
          <w:sz w:val="22"/>
          <w:szCs w:val="20"/>
        </w:rPr>
        <w:t>三、评分标准</w:t>
      </w:r>
      <w:r>
        <w:rPr>
          <w:sz w:val="22"/>
          <w:szCs w:val="28"/>
        </w:rPr>
        <w:tab/>
      </w:r>
      <w:r>
        <w:rPr>
          <w:sz w:val="22"/>
          <w:szCs w:val="28"/>
        </w:rPr>
        <w:fldChar w:fldCharType="begin"/>
      </w:r>
      <w:r>
        <w:rPr>
          <w:sz w:val="22"/>
          <w:szCs w:val="28"/>
        </w:rPr>
        <w:instrText xml:space="preserve"> PAGEREF _Toc4220 \h </w:instrText>
      </w:r>
      <w:r>
        <w:rPr>
          <w:sz w:val="22"/>
          <w:szCs w:val="28"/>
        </w:rPr>
        <w:fldChar w:fldCharType="separate"/>
      </w:r>
      <w:r>
        <w:rPr>
          <w:sz w:val="22"/>
          <w:szCs w:val="28"/>
        </w:rPr>
        <w:t>30</w:t>
      </w:r>
      <w:r>
        <w:rPr>
          <w:sz w:val="22"/>
          <w:szCs w:val="28"/>
        </w:rPr>
        <w:fldChar w:fldCharType="end"/>
      </w:r>
      <w:r>
        <w:rPr>
          <w:sz w:val="22"/>
          <w:szCs w:val="28"/>
        </w:rPr>
        <w:fldChar w:fldCharType="end"/>
      </w:r>
    </w:p>
    <w:p w14:paraId="30635ED3">
      <w:pPr>
        <w:pStyle w:val="16"/>
        <w:tabs>
          <w:tab w:val="right" w:leader="dot" w:pos="9026"/>
        </w:tabs>
        <w:spacing w:line="360" w:lineRule="auto"/>
        <w:rPr>
          <w:sz w:val="22"/>
          <w:szCs w:val="28"/>
        </w:rPr>
      </w:pPr>
      <w:r>
        <w:fldChar w:fldCharType="begin"/>
      </w:r>
      <w:r>
        <w:instrText xml:space="preserve"> HYPERLINK \l "_Toc7406" </w:instrText>
      </w:r>
      <w:r>
        <w:fldChar w:fldCharType="separate"/>
      </w:r>
      <w:r>
        <w:rPr>
          <w:rFonts w:hint="eastAsia" w:ascii="宋体" w:hAnsi="宋体" w:cs="Arial"/>
          <w:bCs/>
          <w:sz w:val="22"/>
          <w:szCs w:val="22"/>
          <w:lang w:val="zh-CN"/>
        </w:rPr>
        <w:t xml:space="preserve">1 </w:t>
      </w:r>
      <w:r>
        <w:rPr>
          <w:rFonts w:ascii="宋体" w:hAnsi="宋体" w:cs="Arial"/>
          <w:bCs/>
          <w:sz w:val="22"/>
          <w:szCs w:val="22"/>
          <w:lang w:val="zh-CN"/>
        </w:rPr>
        <w:t>评审方法</w:t>
      </w:r>
      <w:r>
        <w:rPr>
          <w:sz w:val="22"/>
          <w:szCs w:val="28"/>
        </w:rPr>
        <w:tab/>
      </w:r>
      <w:r>
        <w:rPr>
          <w:sz w:val="22"/>
          <w:szCs w:val="28"/>
        </w:rPr>
        <w:fldChar w:fldCharType="begin"/>
      </w:r>
      <w:r>
        <w:rPr>
          <w:sz w:val="22"/>
          <w:szCs w:val="28"/>
        </w:rPr>
        <w:instrText xml:space="preserve"> PAGEREF _Toc7406 \h </w:instrText>
      </w:r>
      <w:r>
        <w:rPr>
          <w:sz w:val="22"/>
          <w:szCs w:val="28"/>
        </w:rPr>
        <w:fldChar w:fldCharType="separate"/>
      </w:r>
      <w:r>
        <w:rPr>
          <w:sz w:val="22"/>
          <w:szCs w:val="28"/>
        </w:rPr>
        <w:t>30</w:t>
      </w:r>
      <w:r>
        <w:rPr>
          <w:sz w:val="22"/>
          <w:szCs w:val="28"/>
        </w:rPr>
        <w:fldChar w:fldCharType="end"/>
      </w:r>
      <w:r>
        <w:rPr>
          <w:sz w:val="22"/>
          <w:szCs w:val="28"/>
        </w:rPr>
        <w:fldChar w:fldCharType="end"/>
      </w:r>
    </w:p>
    <w:p w14:paraId="5AEA76A3">
      <w:pPr>
        <w:pStyle w:val="16"/>
        <w:tabs>
          <w:tab w:val="right" w:leader="dot" w:pos="9026"/>
        </w:tabs>
        <w:spacing w:line="360" w:lineRule="auto"/>
        <w:rPr>
          <w:sz w:val="22"/>
          <w:szCs w:val="28"/>
        </w:rPr>
      </w:pPr>
      <w:r>
        <w:fldChar w:fldCharType="begin"/>
      </w:r>
      <w:r>
        <w:instrText xml:space="preserve"> HYPERLINK \l "_Toc4377" </w:instrText>
      </w:r>
      <w:r>
        <w:fldChar w:fldCharType="separate"/>
      </w:r>
      <w:r>
        <w:rPr>
          <w:rFonts w:hint="eastAsia" w:ascii="宋体" w:hAnsi="宋体" w:cs="Arial"/>
          <w:bCs/>
          <w:sz w:val="22"/>
          <w:szCs w:val="22"/>
          <w:lang w:val="zh-CN"/>
        </w:rPr>
        <w:t>2 综合评审因素及评审标准</w:t>
      </w:r>
      <w:r>
        <w:rPr>
          <w:sz w:val="22"/>
          <w:szCs w:val="28"/>
        </w:rPr>
        <w:tab/>
      </w:r>
      <w:r>
        <w:rPr>
          <w:sz w:val="22"/>
          <w:szCs w:val="28"/>
        </w:rPr>
        <w:fldChar w:fldCharType="begin"/>
      </w:r>
      <w:r>
        <w:rPr>
          <w:sz w:val="22"/>
          <w:szCs w:val="28"/>
        </w:rPr>
        <w:instrText xml:space="preserve"> PAGEREF _Toc4377 \h </w:instrText>
      </w:r>
      <w:r>
        <w:rPr>
          <w:sz w:val="22"/>
          <w:szCs w:val="28"/>
        </w:rPr>
        <w:fldChar w:fldCharType="separate"/>
      </w:r>
      <w:r>
        <w:rPr>
          <w:sz w:val="22"/>
          <w:szCs w:val="28"/>
        </w:rPr>
        <w:t>30</w:t>
      </w:r>
      <w:r>
        <w:rPr>
          <w:sz w:val="22"/>
          <w:szCs w:val="28"/>
        </w:rPr>
        <w:fldChar w:fldCharType="end"/>
      </w:r>
      <w:r>
        <w:rPr>
          <w:sz w:val="22"/>
          <w:szCs w:val="28"/>
        </w:rPr>
        <w:fldChar w:fldCharType="end"/>
      </w:r>
    </w:p>
    <w:p w14:paraId="0D7E0AA0">
      <w:pPr>
        <w:pStyle w:val="24"/>
        <w:tabs>
          <w:tab w:val="right" w:leader="dot" w:pos="9026"/>
        </w:tabs>
        <w:spacing w:line="360" w:lineRule="auto"/>
        <w:rPr>
          <w:sz w:val="22"/>
          <w:szCs w:val="28"/>
        </w:rPr>
      </w:pPr>
      <w:r>
        <w:fldChar w:fldCharType="begin"/>
      </w:r>
      <w:r>
        <w:instrText xml:space="preserve"> HYPERLINK \l "_Toc582" </w:instrText>
      </w:r>
      <w:r>
        <w:fldChar w:fldCharType="separate"/>
      </w:r>
      <w:r>
        <w:rPr>
          <w:rFonts w:hint="eastAsia" w:ascii="宋体" w:hAnsi="宋体" w:cs="Arial"/>
          <w:sz w:val="22"/>
          <w:szCs w:val="32"/>
        </w:rPr>
        <w:t>第六部分：投标</w:t>
      </w:r>
      <w:r>
        <w:rPr>
          <w:rFonts w:ascii="宋体" w:hAnsi="宋体" w:cs="Arial"/>
          <w:sz w:val="22"/>
          <w:szCs w:val="32"/>
        </w:rPr>
        <w:t>文件格式</w:t>
      </w:r>
      <w:r>
        <w:rPr>
          <w:sz w:val="22"/>
          <w:szCs w:val="28"/>
        </w:rPr>
        <w:tab/>
      </w:r>
      <w:r>
        <w:rPr>
          <w:sz w:val="22"/>
          <w:szCs w:val="28"/>
        </w:rPr>
        <w:fldChar w:fldCharType="begin"/>
      </w:r>
      <w:r>
        <w:rPr>
          <w:sz w:val="22"/>
          <w:szCs w:val="28"/>
        </w:rPr>
        <w:instrText xml:space="preserve"> PAGEREF _Toc582 \h </w:instrText>
      </w:r>
      <w:r>
        <w:rPr>
          <w:sz w:val="22"/>
          <w:szCs w:val="28"/>
        </w:rPr>
        <w:fldChar w:fldCharType="separate"/>
      </w:r>
      <w:r>
        <w:rPr>
          <w:sz w:val="22"/>
          <w:szCs w:val="28"/>
        </w:rPr>
        <w:t>33</w:t>
      </w:r>
      <w:r>
        <w:rPr>
          <w:sz w:val="22"/>
          <w:szCs w:val="28"/>
        </w:rPr>
        <w:fldChar w:fldCharType="end"/>
      </w:r>
      <w:r>
        <w:rPr>
          <w:sz w:val="22"/>
          <w:szCs w:val="28"/>
        </w:rPr>
        <w:fldChar w:fldCharType="end"/>
      </w:r>
    </w:p>
    <w:p w14:paraId="04844145">
      <w:pPr>
        <w:pStyle w:val="28"/>
        <w:tabs>
          <w:tab w:val="right" w:leader="dot" w:pos="9026"/>
        </w:tabs>
        <w:spacing w:line="360" w:lineRule="auto"/>
        <w:rPr>
          <w:sz w:val="22"/>
          <w:szCs w:val="28"/>
        </w:rPr>
      </w:pPr>
      <w:r>
        <w:fldChar w:fldCharType="begin"/>
      </w:r>
      <w:r>
        <w:instrText xml:space="preserve"> HYPERLINK \l "_Toc14119" </w:instrText>
      </w:r>
      <w:r>
        <w:fldChar w:fldCharType="separate"/>
      </w:r>
      <w:r>
        <w:rPr>
          <w:rFonts w:hint="eastAsia" w:ascii="宋体" w:hAnsi="宋体"/>
          <w:sz w:val="22"/>
          <w:szCs w:val="32"/>
        </w:rPr>
        <w:t>评审索引表</w:t>
      </w:r>
      <w:r>
        <w:rPr>
          <w:sz w:val="22"/>
          <w:szCs w:val="28"/>
        </w:rPr>
        <w:t>（可按需调整）</w:t>
      </w:r>
      <w:r>
        <w:rPr>
          <w:sz w:val="22"/>
          <w:szCs w:val="28"/>
        </w:rPr>
        <w:tab/>
      </w:r>
      <w:r>
        <w:rPr>
          <w:sz w:val="22"/>
          <w:szCs w:val="28"/>
        </w:rPr>
        <w:fldChar w:fldCharType="begin"/>
      </w:r>
      <w:r>
        <w:rPr>
          <w:sz w:val="22"/>
          <w:szCs w:val="28"/>
        </w:rPr>
        <w:instrText xml:space="preserve"> PAGEREF _Toc14119 \h </w:instrText>
      </w:r>
      <w:r>
        <w:rPr>
          <w:sz w:val="22"/>
          <w:szCs w:val="28"/>
        </w:rPr>
        <w:fldChar w:fldCharType="separate"/>
      </w:r>
      <w:r>
        <w:rPr>
          <w:sz w:val="22"/>
          <w:szCs w:val="28"/>
        </w:rPr>
        <w:t>34</w:t>
      </w:r>
      <w:r>
        <w:rPr>
          <w:sz w:val="22"/>
          <w:szCs w:val="28"/>
        </w:rPr>
        <w:fldChar w:fldCharType="end"/>
      </w:r>
      <w:r>
        <w:rPr>
          <w:sz w:val="22"/>
          <w:szCs w:val="28"/>
        </w:rPr>
        <w:fldChar w:fldCharType="end"/>
      </w:r>
    </w:p>
    <w:p w14:paraId="7AE58500">
      <w:pPr>
        <w:pStyle w:val="28"/>
        <w:tabs>
          <w:tab w:val="right" w:leader="dot" w:pos="9026"/>
        </w:tabs>
        <w:spacing w:line="360" w:lineRule="auto"/>
        <w:rPr>
          <w:sz w:val="22"/>
          <w:szCs w:val="28"/>
        </w:rPr>
      </w:pPr>
      <w:r>
        <w:fldChar w:fldCharType="begin"/>
      </w:r>
      <w:r>
        <w:instrText xml:space="preserve"> HYPERLINK \l "_Toc27390" </w:instrText>
      </w:r>
      <w:r>
        <w:fldChar w:fldCharType="separate"/>
      </w:r>
      <w:r>
        <w:rPr>
          <w:rFonts w:hint="eastAsia" w:ascii="宋体" w:hAnsi="宋体" w:cs="Arial"/>
          <w:sz w:val="22"/>
          <w:szCs w:val="22"/>
        </w:rPr>
        <w:t>一、投标函</w:t>
      </w:r>
      <w:r>
        <w:rPr>
          <w:sz w:val="22"/>
          <w:szCs w:val="28"/>
        </w:rPr>
        <w:tab/>
      </w:r>
      <w:r>
        <w:rPr>
          <w:sz w:val="22"/>
          <w:szCs w:val="28"/>
        </w:rPr>
        <w:fldChar w:fldCharType="begin"/>
      </w:r>
      <w:r>
        <w:rPr>
          <w:sz w:val="22"/>
          <w:szCs w:val="28"/>
        </w:rPr>
        <w:instrText xml:space="preserve"> PAGEREF _Toc27390 \h </w:instrText>
      </w:r>
      <w:r>
        <w:rPr>
          <w:sz w:val="22"/>
          <w:szCs w:val="28"/>
        </w:rPr>
        <w:fldChar w:fldCharType="separate"/>
      </w:r>
      <w:r>
        <w:rPr>
          <w:sz w:val="22"/>
          <w:szCs w:val="28"/>
        </w:rPr>
        <w:t>36</w:t>
      </w:r>
      <w:r>
        <w:rPr>
          <w:sz w:val="22"/>
          <w:szCs w:val="28"/>
        </w:rPr>
        <w:fldChar w:fldCharType="end"/>
      </w:r>
      <w:r>
        <w:rPr>
          <w:sz w:val="22"/>
          <w:szCs w:val="28"/>
        </w:rPr>
        <w:fldChar w:fldCharType="end"/>
      </w:r>
    </w:p>
    <w:p w14:paraId="44D23C1F">
      <w:pPr>
        <w:pStyle w:val="28"/>
        <w:tabs>
          <w:tab w:val="right" w:leader="dot" w:pos="9026"/>
        </w:tabs>
        <w:spacing w:line="360" w:lineRule="auto"/>
        <w:rPr>
          <w:sz w:val="22"/>
          <w:szCs w:val="28"/>
        </w:rPr>
      </w:pPr>
      <w:r>
        <w:fldChar w:fldCharType="begin"/>
      </w:r>
      <w:r>
        <w:instrText xml:space="preserve"> HYPERLINK \l "_Toc21752" </w:instrText>
      </w:r>
      <w:r>
        <w:fldChar w:fldCharType="separate"/>
      </w:r>
      <w:r>
        <w:rPr>
          <w:rFonts w:hint="eastAsia" w:ascii="宋体" w:hAnsi="宋体" w:cs="Arial"/>
          <w:sz w:val="22"/>
          <w:szCs w:val="22"/>
        </w:rPr>
        <w:t>二、开标一览表</w:t>
      </w:r>
      <w:r>
        <w:rPr>
          <w:sz w:val="22"/>
          <w:szCs w:val="28"/>
        </w:rPr>
        <w:tab/>
      </w:r>
      <w:r>
        <w:rPr>
          <w:sz w:val="22"/>
          <w:szCs w:val="28"/>
        </w:rPr>
        <w:fldChar w:fldCharType="begin"/>
      </w:r>
      <w:r>
        <w:rPr>
          <w:sz w:val="22"/>
          <w:szCs w:val="28"/>
        </w:rPr>
        <w:instrText xml:space="preserve"> PAGEREF _Toc21752 \h </w:instrText>
      </w:r>
      <w:r>
        <w:rPr>
          <w:sz w:val="22"/>
          <w:szCs w:val="28"/>
        </w:rPr>
        <w:fldChar w:fldCharType="separate"/>
      </w:r>
      <w:r>
        <w:rPr>
          <w:sz w:val="22"/>
          <w:szCs w:val="28"/>
        </w:rPr>
        <w:t>37</w:t>
      </w:r>
      <w:r>
        <w:rPr>
          <w:sz w:val="22"/>
          <w:szCs w:val="28"/>
        </w:rPr>
        <w:fldChar w:fldCharType="end"/>
      </w:r>
      <w:r>
        <w:rPr>
          <w:sz w:val="22"/>
          <w:szCs w:val="28"/>
        </w:rPr>
        <w:fldChar w:fldCharType="end"/>
      </w:r>
    </w:p>
    <w:p w14:paraId="6AD8480D">
      <w:pPr>
        <w:pStyle w:val="28"/>
        <w:tabs>
          <w:tab w:val="right" w:leader="dot" w:pos="9026"/>
        </w:tabs>
        <w:spacing w:line="360" w:lineRule="auto"/>
        <w:rPr>
          <w:sz w:val="22"/>
          <w:szCs w:val="28"/>
        </w:rPr>
      </w:pPr>
      <w:r>
        <w:fldChar w:fldCharType="begin"/>
      </w:r>
      <w:r>
        <w:instrText xml:space="preserve"> HYPERLINK \l "_Toc20408" </w:instrText>
      </w:r>
      <w:r>
        <w:fldChar w:fldCharType="separate"/>
      </w:r>
      <w:r>
        <w:rPr>
          <w:rFonts w:hint="eastAsia" w:ascii="宋体" w:hAnsi="宋体" w:cs="Arial"/>
          <w:sz w:val="22"/>
          <w:szCs w:val="22"/>
        </w:rPr>
        <w:t>三、投标产品配置及分项报价表</w:t>
      </w:r>
      <w:r>
        <w:rPr>
          <w:sz w:val="22"/>
          <w:szCs w:val="28"/>
        </w:rPr>
        <w:tab/>
      </w:r>
      <w:r>
        <w:rPr>
          <w:sz w:val="22"/>
          <w:szCs w:val="28"/>
        </w:rPr>
        <w:fldChar w:fldCharType="begin"/>
      </w:r>
      <w:r>
        <w:rPr>
          <w:sz w:val="22"/>
          <w:szCs w:val="28"/>
        </w:rPr>
        <w:instrText xml:space="preserve"> PAGEREF _Toc20408 \h </w:instrText>
      </w:r>
      <w:r>
        <w:rPr>
          <w:sz w:val="22"/>
          <w:szCs w:val="28"/>
        </w:rPr>
        <w:fldChar w:fldCharType="separate"/>
      </w:r>
      <w:r>
        <w:rPr>
          <w:sz w:val="22"/>
          <w:szCs w:val="28"/>
        </w:rPr>
        <w:t>38</w:t>
      </w:r>
      <w:r>
        <w:rPr>
          <w:sz w:val="22"/>
          <w:szCs w:val="28"/>
        </w:rPr>
        <w:fldChar w:fldCharType="end"/>
      </w:r>
      <w:r>
        <w:rPr>
          <w:sz w:val="22"/>
          <w:szCs w:val="28"/>
        </w:rPr>
        <w:fldChar w:fldCharType="end"/>
      </w:r>
    </w:p>
    <w:p w14:paraId="3B9C42CD">
      <w:pPr>
        <w:pStyle w:val="28"/>
        <w:tabs>
          <w:tab w:val="right" w:leader="dot" w:pos="9026"/>
        </w:tabs>
        <w:spacing w:line="360" w:lineRule="auto"/>
        <w:rPr>
          <w:sz w:val="22"/>
          <w:szCs w:val="28"/>
        </w:rPr>
      </w:pPr>
      <w:r>
        <w:fldChar w:fldCharType="begin"/>
      </w:r>
      <w:r>
        <w:instrText xml:space="preserve"> HYPERLINK \l "_Toc6622" </w:instrText>
      </w:r>
      <w:r>
        <w:fldChar w:fldCharType="separate"/>
      </w:r>
      <w:r>
        <w:rPr>
          <w:rFonts w:hint="eastAsia" w:ascii="宋体" w:hAnsi="宋体" w:cs="Arial"/>
          <w:sz w:val="22"/>
          <w:szCs w:val="22"/>
        </w:rPr>
        <w:t>四、技术参数响应/偏离表</w:t>
      </w:r>
      <w:r>
        <w:rPr>
          <w:sz w:val="22"/>
          <w:szCs w:val="28"/>
        </w:rPr>
        <w:tab/>
      </w:r>
      <w:r>
        <w:rPr>
          <w:sz w:val="22"/>
          <w:szCs w:val="28"/>
        </w:rPr>
        <w:fldChar w:fldCharType="begin"/>
      </w:r>
      <w:r>
        <w:rPr>
          <w:sz w:val="22"/>
          <w:szCs w:val="28"/>
        </w:rPr>
        <w:instrText xml:space="preserve"> PAGEREF _Toc6622 \h </w:instrText>
      </w:r>
      <w:r>
        <w:rPr>
          <w:sz w:val="22"/>
          <w:szCs w:val="28"/>
        </w:rPr>
        <w:fldChar w:fldCharType="separate"/>
      </w:r>
      <w:r>
        <w:rPr>
          <w:sz w:val="22"/>
          <w:szCs w:val="28"/>
        </w:rPr>
        <w:t>39</w:t>
      </w:r>
      <w:r>
        <w:rPr>
          <w:sz w:val="22"/>
          <w:szCs w:val="28"/>
        </w:rPr>
        <w:fldChar w:fldCharType="end"/>
      </w:r>
      <w:r>
        <w:rPr>
          <w:sz w:val="22"/>
          <w:szCs w:val="28"/>
        </w:rPr>
        <w:fldChar w:fldCharType="end"/>
      </w:r>
    </w:p>
    <w:p w14:paraId="6FCFEA24">
      <w:pPr>
        <w:pStyle w:val="28"/>
        <w:tabs>
          <w:tab w:val="right" w:leader="dot" w:pos="9026"/>
        </w:tabs>
        <w:spacing w:line="360" w:lineRule="auto"/>
        <w:rPr>
          <w:sz w:val="22"/>
          <w:szCs w:val="28"/>
        </w:rPr>
      </w:pPr>
      <w:r>
        <w:fldChar w:fldCharType="begin"/>
      </w:r>
      <w:r>
        <w:instrText xml:space="preserve"> HYPERLINK \l "_Toc7917" </w:instrText>
      </w:r>
      <w:r>
        <w:fldChar w:fldCharType="separate"/>
      </w:r>
      <w:r>
        <w:rPr>
          <w:rFonts w:hint="eastAsia" w:ascii="宋体" w:hAnsi="宋体" w:cs="Arial"/>
          <w:sz w:val="22"/>
          <w:szCs w:val="22"/>
        </w:rPr>
        <w:t>五</w:t>
      </w:r>
      <w:r>
        <w:rPr>
          <w:rFonts w:ascii="宋体" w:hAnsi="宋体" w:cs="Arial"/>
          <w:sz w:val="22"/>
          <w:szCs w:val="22"/>
        </w:rPr>
        <w:t>、</w:t>
      </w:r>
      <w:r>
        <w:rPr>
          <w:rFonts w:hint="eastAsia" w:ascii="宋体" w:hAnsi="宋体" w:cs="Arial"/>
          <w:sz w:val="22"/>
          <w:szCs w:val="22"/>
        </w:rPr>
        <w:t>商务要求响应/偏离表</w:t>
      </w:r>
      <w:r>
        <w:rPr>
          <w:sz w:val="22"/>
          <w:szCs w:val="28"/>
        </w:rPr>
        <w:tab/>
      </w:r>
      <w:r>
        <w:rPr>
          <w:sz w:val="22"/>
          <w:szCs w:val="28"/>
        </w:rPr>
        <w:fldChar w:fldCharType="begin"/>
      </w:r>
      <w:r>
        <w:rPr>
          <w:sz w:val="22"/>
          <w:szCs w:val="28"/>
        </w:rPr>
        <w:instrText xml:space="preserve"> PAGEREF _Toc7917 \h </w:instrText>
      </w:r>
      <w:r>
        <w:rPr>
          <w:sz w:val="22"/>
          <w:szCs w:val="28"/>
        </w:rPr>
        <w:fldChar w:fldCharType="separate"/>
      </w:r>
      <w:r>
        <w:rPr>
          <w:sz w:val="22"/>
          <w:szCs w:val="28"/>
        </w:rPr>
        <w:t>41</w:t>
      </w:r>
      <w:r>
        <w:rPr>
          <w:sz w:val="22"/>
          <w:szCs w:val="28"/>
        </w:rPr>
        <w:fldChar w:fldCharType="end"/>
      </w:r>
      <w:r>
        <w:rPr>
          <w:sz w:val="22"/>
          <w:szCs w:val="28"/>
        </w:rPr>
        <w:fldChar w:fldCharType="end"/>
      </w:r>
    </w:p>
    <w:p w14:paraId="09B82F28">
      <w:pPr>
        <w:pStyle w:val="28"/>
        <w:tabs>
          <w:tab w:val="right" w:leader="dot" w:pos="9026"/>
        </w:tabs>
        <w:spacing w:line="360" w:lineRule="auto"/>
        <w:rPr>
          <w:sz w:val="22"/>
          <w:szCs w:val="28"/>
        </w:rPr>
      </w:pPr>
      <w:r>
        <w:fldChar w:fldCharType="begin"/>
      </w:r>
      <w:r>
        <w:instrText xml:space="preserve"> HYPERLINK \l "_Toc27948" </w:instrText>
      </w:r>
      <w:r>
        <w:fldChar w:fldCharType="separate"/>
      </w:r>
      <w:r>
        <w:rPr>
          <w:rFonts w:hint="eastAsia" w:ascii="宋体" w:hAnsi="宋体" w:cs="Arial"/>
          <w:sz w:val="22"/>
          <w:szCs w:val="22"/>
        </w:rPr>
        <w:t>六、 类似业绩情况一览表</w:t>
      </w:r>
      <w:r>
        <w:rPr>
          <w:sz w:val="22"/>
          <w:szCs w:val="28"/>
        </w:rPr>
        <w:tab/>
      </w:r>
      <w:r>
        <w:rPr>
          <w:sz w:val="22"/>
          <w:szCs w:val="28"/>
        </w:rPr>
        <w:fldChar w:fldCharType="begin"/>
      </w:r>
      <w:r>
        <w:rPr>
          <w:sz w:val="22"/>
          <w:szCs w:val="28"/>
        </w:rPr>
        <w:instrText xml:space="preserve"> PAGEREF _Toc27948 \h </w:instrText>
      </w:r>
      <w:r>
        <w:rPr>
          <w:sz w:val="22"/>
          <w:szCs w:val="28"/>
        </w:rPr>
        <w:fldChar w:fldCharType="separate"/>
      </w:r>
      <w:r>
        <w:rPr>
          <w:sz w:val="22"/>
          <w:szCs w:val="28"/>
        </w:rPr>
        <w:t>42</w:t>
      </w:r>
      <w:r>
        <w:rPr>
          <w:sz w:val="22"/>
          <w:szCs w:val="28"/>
        </w:rPr>
        <w:fldChar w:fldCharType="end"/>
      </w:r>
      <w:r>
        <w:rPr>
          <w:sz w:val="22"/>
          <w:szCs w:val="28"/>
        </w:rPr>
        <w:fldChar w:fldCharType="end"/>
      </w:r>
    </w:p>
    <w:p w14:paraId="39D3039B">
      <w:pPr>
        <w:pStyle w:val="28"/>
        <w:tabs>
          <w:tab w:val="right" w:leader="dot" w:pos="9026"/>
        </w:tabs>
        <w:spacing w:line="360" w:lineRule="auto"/>
        <w:rPr>
          <w:sz w:val="22"/>
          <w:szCs w:val="28"/>
        </w:rPr>
      </w:pPr>
      <w:r>
        <w:fldChar w:fldCharType="begin"/>
      </w:r>
      <w:r>
        <w:instrText xml:space="preserve"> HYPERLINK \l "_Toc4697" </w:instrText>
      </w:r>
      <w:r>
        <w:fldChar w:fldCharType="separate"/>
      </w:r>
      <w:r>
        <w:rPr>
          <w:rFonts w:hint="eastAsia" w:ascii="宋体" w:hAnsi="宋体" w:cs="Arial"/>
          <w:sz w:val="22"/>
          <w:szCs w:val="22"/>
        </w:rPr>
        <w:t>七</w:t>
      </w:r>
      <w:r>
        <w:rPr>
          <w:rFonts w:ascii="宋体" w:hAnsi="宋体" w:cs="Arial"/>
          <w:sz w:val="22"/>
          <w:szCs w:val="22"/>
        </w:rPr>
        <w:t>、资格证明文件</w:t>
      </w:r>
      <w:r>
        <w:rPr>
          <w:sz w:val="22"/>
          <w:szCs w:val="28"/>
        </w:rPr>
        <w:tab/>
      </w:r>
      <w:r>
        <w:rPr>
          <w:sz w:val="22"/>
          <w:szCs w:val="28"/>
        </w:rPr>
        <w:fldChar w:fldCharType="begin"/>
      </w:r>
      <w:r>
        <w:rPr>
          <w:sz w:val="22"/>
          <w:szCs w:val="28"/>
        </w:rPr>
        <w:instrText xml:space="preserve"> PAGEREF _Toc4697 \h </w:instrText>
      </w:r>
      <w:r>
        <w:rPr>
          <w:sz w:val="22"/>
          <w:szCs w:val="28"/>
        </w:rPr>
        <w:fldChar w:fldCharType="separate"/>
      </w:r>
      <w:r>
        <w:rPr>
          <w:sz w:val="22"/>
          <w:szCs w:val="28"/>
        </w:rPr>
        <w:t>43</w:t>
      </w:r>
      <w:r>
        <w:rPr>
          <w:sz w:val="22"/>
          <w:szCs w:val="28"/>
        </w:rPr>
        <w:fldChar w:fldCharType="end"/>
      </w:r>
      <w:r>
        <w:rPr>
          <w:sz w:val="22"/>
          <w:szCs w:val="28"/>
        </w:rPr>
        <w:fldChar w:fldCharType="end"/>
      </w:r>
    </w:p>
    <w:p w14:paraId="45AB9625">
      <w:pPr>
        <w:pStyle w:val="16"/>
        <w:tabs>
          <w:tab w:val="right" w:leader="dot" w:pos="9026"/>
        </w:tabs>
        <w:spacing w:line="360" w:lineRule="auto"/>
        <w:rPr>
          <w:sz w:val="22"/>
          <w:szCs w:val="28"/>
        </w:rPr>
      </w:pPr>
      <w:r>
        <w:fldChar w:fldCharType="begin"/>
      </w:r>
      <w:r>
        <w:instrText xml:space="preserve"> HYPERLINK \l "_Toc14977" </w:instrText>
      </w:r>
      <w:r>
        <w:fldChar w:fldCharType="separate"/>
      </w:r>
      <w:r>
        <w:rPr>
          <w:rFonts w:hint="eastAsia" w:ascii="宋体" w:hAnsi="宋体" w:cs="Arial"/>
          <w:bCs/>
          <w:sz w:val="22"/>
          <w:szCs w:val="22"/>
        </w:rPr>
        <w:t>附件1：声明函</w:t>
      </w:r>
      <w:r>
        <w:rPr>
          <w:sz w:val="22"/>
          <w:szCs w:val="28"/>
        </w:rPr>
        <w:tab/>
      </w:r>
      <w:r>
        <w:rPr>
          <w:sz w:val="22"/>
          <w:szCs w:val="28"/>
        </w:rPr>
        <w:fldChar w:fldCharType="begin"/>
      </w:r>
      <w:r>
        <w:rPr>
          <w:sz w:val="22"/>
          <w:szCs w:val="28"/>
        </w:rPr>
        <w:instrText xml:space="preserve"> PAGEREF _Toc14977 \h </w:instrText>
      </w:r>
      <w:r>
        <w:rPr>
          <w:sz w:val="22"/>
          <w:szCs w:val="28"/>
        </w:rPr>
        <w:fldChar w:fldCharType="separate"/>
      </w:r>
      <w:r>
        <w:rPr>
          <w:sz w:val="22"/>
          <w:szCs w:val="28"/>
        </w:rPr>
        <w:t>50</w:t>
      </w:r>
      <w:r>
        <w:rPr>
          <w:sz w:val="22"/>
          <w:szCs w:val="28"/>
        </w:rPr>
        <w:fldChar w:fldCharType="end"/>
      </w:r>
      <w:r>
        <w:rPr>
          <w:sz w:val="22"/>
          <w:szCs w:val="28"/>
        </w:rPr>
        <w:fldChar w:fldCharType="end"/>
      </w:r>
    </w:p>
    <w:p w14:paraId="5086542A">
      <w:pPr>
        <w:pStyle w:val="16"/>
        <w:tabs>
          <w:tab w:val="right" w:leader="dot" w:pos="9026"/>
        </w:tabs>
        <w:spacing w:line="360" w:lineRule="auto"/>
        <w:rPr>
          <w:sz w:val="22"/>
          <w:szCs w:val="28"/>
        </w:rPr>
      </w:pPr>
      <w:r>
        <w:fldChar w:fldCharType="begin"/>
      </w:r>
      <w:r>
        <w:instrText xml:space="preserve"> HYPERLINK \l "_Toc25773" </w:instrText>
      </w:r>
      <w:r>
        <w:fldChar w:fldCharType="separate"/>
      </w:r>
      <w:r>
        <w:rPr>
          <w:rFonts w:hint="eastAsia" w:ascii="宋体" w:hAnsi="宋体" w:cs="Arial"/>
          <w:bCs/>
          <w:sz w:val="22"/>
          <w:szCs w:val="22"/>
        </w:rPr>
        <w:t>附件2：</w:t>
      </w:r>
      <w:r>
        <w:rPr>
          <w:rFonts w:hint="eastAsia" w:ascii="宋体" w:hAnsi="宋体" w:cs="Arial"/>
          <w:bCs/>
          <w:sz w:val="22"/>
          <w:szCs w:val="22"/>
          <w:lang w:val="zh-CN"/>
        </w:rPr>
        <w:t>信用等截图</w:t>
      </w:r>
      <w:r>
        <w:rPr>
          <w:sz w:val="22"/>
          <w:szCs w:val="28"/>
        </w:rPr>
        <w:tab/>
      </w:r>
      <w:r>
        <w:rPr>
          <w:sz w:val="22"/>
          <w:szCs w:val="28"/>
        </w:rPr>
        <w:fldChar w:fldCharType="begin"/>
      </w:r>
      <w:r>
        <w:rPr>
          <w:sz w:val="22"/>
          <w:szCs w:val="28"/>
        </w:rPr>
        <w:instrText xml:space="preserve"> PAGEREF _Toc25773 \h </w:instrText>
      </w:r>
      <w:r>
        <w:rPr>
          <w:sz w:val="22"/>
          <w:szCs w:val="28"/>
        </w:rPr>
        <w:fldChar w:fldCharType="separate"/>
      </w:r>
      <w:r>
        <w:rPr>
          <w:sz w:val="22"/>
          <w:szCs w:val="28"/>
        </w:rPr>
        <w:t>51</w:t>
      </w:r>
      <w:r>
        <w:rPr>
          <w:sz w:val="22"/>
          <w:szCs w:val="28"/>
        </w:rPr>
        <w:fldChar w:fldCharType="end"/>
      </w:r>
      <w:r>
        <w:rPr>
          <w:sz w:val="22"/>
          <w:szCs w:val="28"/>
        </w:rPr>
        <w:fldChar w:fldCharType="end"/>
      </w:r>
    </w:p>
    <w:p w14:paraId="67B604CF">
      <w:pPr>
        <w:pStyle w:val="28"/>
        <w:tabs>
          <w:tab w:val="right" w:leader="dot" w:pos="9026"/>
        </w:tabs>
        <w:spacing w:line="360" w:lineRule="auto"/>
        <w:rPr>
          <w:sz w:val="22"/>
          <w:szCs w:val="28"/>
        </w:rPr>
      </w:pPr>
      <w:r>
        <w:fldChar w:fldCharType="begin"/>
      </w:r>
      <w:r>
        <w:instrText xml:space="preserve"> HYPERLINK \l "_Toc301" </w:instrText>
      </w:r>
      <w:r>
        <w:fldChar w:fldCharType="separate"/>
      </w:r>
      <w:r>
        <w:rPr>
          <w:rFonts w:hint="eastAsia" w:ascii="宋体" w:hAnsi="宋体" w:cs="Arial"/>
          <w:sz w:val="22"/>
          <w:szCs w:val="22"/>
        </w:rPr>
        <w:t>八</w:t>
      </w:r>
      <w:r>
        <w:rPr>
          <w:rFonts w:ascii="宋体" w:hAnsi="宋体" w:cs="Arial"/>
          <w:sz w:val="22"/>
          <w:szCs w:val="22"/>
        </w:rPr>
        <w:t>、</w:t>
      </w:r>
      <w:r>
        <w:rPr>
          <w:rFonts w:hint="eastAsia" w:ascii="宋体" w:hAnsi="宋体" w:cs="Arial"/>
          <w:sz w:val="22"/>
          <w:szCs w:val="22"/>
        </w:rPr>
        <w:t>政府采购政策功能落实证明材料</w:t>
      </w:r>
      <w:r>
        <w:rPr>
          <w:sz w:val="22"/>
          <w:szCs w:val="28"/>
        </w:rPr>
        <w:tab/>
      </w:r>
      <w:r>
        <w:rPr>
          <w:sz w:val="22"/>
          <w:szCs w:val="28"/>
        </w:rPr>
        <w:fldChar w:fldCharType="begin"/>
      </w:r>
      <w:r>
        <w:rPr>
          <w:sz w:val="22"/>
          <w:szCs w:val="28"/>
        </w:rPr>
        <w:instrText xml:space="preserve"> PAGEREF _Toc301 \h </w:instrText>
      </w:r>
      <w:r>
        <w:rPr>
          <w:sz w:val="22"/>
          <w:szCs w:val="28"/>
        </w:rPr>
        <w:fldChar w:fldCharType="separate"/>
      </w:r>
      <w:r>
        <w:rPr>
          <w:sz w:val="22"/>
          <w:szCs w:val="28"/>
        </w:rPr>
        <w:t>52</w:t>
      </w:r>
      <w:r>
        <w:rPr>
          <w:sz w:val="22"/>
          <w:szCs w:val="28"/>
        </w:rPr>
        <w:fldChar w:fldCharType="end"/>
      </w:r>
      <w:r>
        <w:rPr>
          <w:sz w:val="22"/>
          <w:szCs w:val="28"/>
        </w:rPr>
        <w:fldChar w:fldCharType="end"/>
      </w:r>
    </w:p>
    <w:p w14:paraId="63B8576D">
      <w:pPr>
        <w:pStyle w:val="16"/>
        <w:tabs>
          <w:tab w:val="right" w:leader="dot" w:pos="9026"/>
        </w:tabs>
        <w:spacing w:line="360" w:lineRule="auto"/>
        <w:rPr>
          <w:sz w:val="22"/>
          <w:szCs w:val="28"/>
        </w:rPr>
      </w:pPr>
      <w:r>
        <w:fldChar w:fldCharType="begin"/>
      </w:r>
      <w:r>
        <w:instrText xml:space="preserve"> HYPERLINK \l "_Toc4561" </w:instrText>
      </w:r>
      <w:r>
        <w:fldChar w:fldCharType="separate"/>
      </w:r>
      <w:r>
        <w:rPr>
          <w:rFonts w:hint="eastAsia" w:ascii="宋体" w:hAnsi="宋体" w:cs="Arial"/>
          <w:bCs/>
          <w:sz w:val="22"/>
          <w:szCs w:val="22"/>
        </w:rPr>
        <w:t>1、</w:t>
      </w:r>
      <w:r>
        <w:rPr>
          <w:rFonts w:hint="eastAsia" w:ascii="宋体" w:hAnsi="宋体" w:cs="Arial"/>
          <w:bCs/>
          <w:sz w:val="22"/>
          <w:szCs w:val="22"/>
          <w:lang w:val="zh-CN"/>
        </w:rPr>
        <w:t>中小企业声明函（</w:t>
      </w:r>
      <w:r>
        <w:rPr>
          <w:rFonts w:hint="eastAsia" w:ascii="宋体" w:hAnsi="宋体" w:cs="Arial"/>
          <w:bCs/>
          <w:sz w:val="22"/>
          <w:szCs w:val="22"/>
        </w:rPr>
        <w:t>货物</w:t>
      </w:r>
      <w:r>
        <w:rPr>
          <w:rFonts w:hint="eastAsia" w:ascii="宋体" w:hAnsi="宋体" w:cs="Arial"/>
          <w:bCs/>
          <w:sz w:val="22"/>
          <w:szCs w:val="22"/>
          <w:lang w:val="zh-CN"/>
        </w:rPr>
        <w:t>）</w:t>
      </w:r>
      <w:r>
        <w:rPr>
          <w:sz w:val="22"/>
          <w:szCs w:val="28"/>
        </w:rPr>
        <w:tab/>
      </w:r>
      <w:r>
        <w:rPr>
          <w:sz w:val="22"/>
          <w:szCs w:val="28"/>
        </w:rPr>
        <w:fldChar w:fldCharType="begin"/>
      </w:r>
      <w:r>
        <w:rPr>
          <w:sz w:val="22"/>
          <w:szCs w:val="28"/>
        </w:rPr>
        <w:instrText xml:space="preserve"> PAGEREF _Toc4561 \h </w:instrText>
      </w:r>
      <w:r>
        <w:rPr>
          <w:sz w:val="22"/>
          <w:szCs w:val="28"/>
        </w:rPr>
        <w:fldChar w:fldCharType="separate"/>
      </w:r>
      <w:r>
        <w:rPr>
          <w:sz w:val="22"/>
          <w:szCs w:val="28"/>
        </w:rPr>
        <w:t>52</w:t>
      </w:r>
      <w:r>
        <w:rPr>
          <w:sz w:val="22"/>
          <w:szCs w:val="28"/>
        </w:rPr>
        <w:fldChar w:fldCharType="end"/>
      </w:r>
      <w:r>
        <w:rPr>
          <w:sz w:val="22"/>
          <w:szCs w:val="28"/>
        </w:rPr>
        <w:fldChar w:fldCharType="end"/>
      </w:r>
    </w:p>
    <w:p w14:paraId="23F53E8F">
      <w:pPr>
        <w:pStyle w:val="16"/>
        <w:tabs>
          <w:tab w:val="right" w:leader="dot" w:pos="9026"/>
        </w:tabs>
        <w:spacing w:line="360" w:lineRule="auto"/>
        <w:rPr>
          <w:sz w:val="22"/>
          <w:szCs w:val="28"/>
        </w:rPr>
      </w:pPr>
      <w:r>
        <w:fldChar w:fldCharType="begin"/>
      </w:r>
      <w:r>
        <w:instrText xml:space="preserve"> HYPERLINK \l "_Toc18411" </w:instrText>
      </w:r>
      <w:r>
        <w:fldChar w:fldCharType="separate"/>
      </w:r>
      <w:r>
        <w:rPr>
          <w:rFonts w:hint="eastAsia" w:ascii="宋体" w:hAnsi="宋体" w:cs="Arial"/>
          <w:bCs/>
          <w:sz w:val="22"/>
          <w:szCs w:val="22"/>
        </w:rPr>
        <w:t>2、</w:t>
      </w:r>
      <w:r>
        <w:rPr>
          <w:rFonts w:hint="eastAsia" w:ascii="宋体" w:hAnsi="宋体" w:cs="Arial"/>
          <w:bCs/>
          <w:sz w:val="22"/>
          <w:szCs w:val="22"/>
          <w:lang w:val="zh-CN"/>
        </w:rPr>
        <w:t>残疾人福利性单位声明函</w:t>
      </w:r>
      <w:r>
        <w:rPr>
          <w:sz w:val="22"/>
          <w:szCs w:val="28"/>
        </w:rPr>
        <w:tab/>
      </w:r>
      <w:r>
        <w:rPr>
          <w:sz w:val="22"/>
          <w:szCs w:val="28"/>
        </w:rPr>
        <w:fldChar w:fldCharType="begin"/>
      </w:r>
      <w:r>
        <w:rPr>
          <w:sz w:val="22"/>
          <w:szCs w:val="28"/>
        </w:rPr>
        <w:instrText xml:space="preserve"> PAGEREF _Toc18411 \h </w:instrText>
      </w:r>
      <w:r>
        <w:rPr>
          <w:sz w:val="22"/>
          <w:szCs w:val="28"/>
        </w:rPr>
        <w:fldChar w:fldCharType="separate"/>
      </w:r>
      <w:r>
        <w:rPr>
          <w:sz w:val="22"/>
          <w:szCs w:val="28"/>
        </w:rPr>
        <w:t>54</w:t>
      </w:r>
      <w:r>
        <w:rPr>
          <w:sz w:val="22"/>
          <w:szCs w:val="28"/>
        </w:rPr>
        <w:fldChar w:fldCharType="end"/>
      </w:r>
      <w:r>
        <w:rPr>
          <w:sz w:val="22"/>
          <w:szCs w:val="28"/>
        </w:rPr>
        <w:fldChar w:fldCharType="end"/>
      </w:r>
    </w:p>
    <w:p w14:paraId="3C33B16D">
      <w:pPr>
        <w:pStyle w:val="16"/>
        <w:tabs>
          <w:tab w:val="right" w:leader="dot" w:pos="9026"/>
        </w:tabs>
        <w:spacing w:line="360" w:lineRule="auto"/>
        <w:rPr>
          <w:sz w:val="22"/>
          <w:szCs w:val="28"/>
        </w:rPr>
      </w:pPr>
      <w:r>
        <w:fldChar w:fldCharType="begin"/>
      </w:r>
      <w:r>
        <w:instrText xml:space="preserve"> HYPERLINK \l "_Toc24128" </w:instrText>
      </w:r>
      <w:r>
        <w:fldChar w:fldCharType="separate"/>
      </w:r>
      <w:r>
        <w:rPr>
          <w:rFonts w:hint="eastAsia" w:ascii="宋体" w:hAnsi="宋体" w:cs="Arial"/>
          <w:bCs/>
          <w:sz w:val="22"/>
          <w:szCs w:val="22"/>
        </w:rPr>
        <w:t>3、</w:t>
      </w:r>
      <w:r>
        <w:rPr>
          <w:rFonts w:hint="eastAsia" w:ascii="宋体" w:hAnsi="宋体" w:cs="Arial"/>
          <w:bCs/>
          <w:sz w:val="22"/>
          <w:szCs w:val="22"/>
          <w:lang w:val="zh-CN"/>
        </w:rPr>
        <w:t>监狱企业资格证明材料</w:t>
      </w:r>
      <w:r>
        <w:rPr>
          <w:sz w:val="22"/>
          <w:szCs w:val="28"/>
        </w:rPr>
        <w:tab/>
      </w:r>
      <w:r>
        <w:rPr>
          <w:sz w:val="22"/>
          <w:szCs w:val="28"/>
        </w:rPr>
        <w:fldChar w:fldCharType="begin"/>
      </w:r>
      <w:r>
        <w:rPr>
          <w:sz w:val="22"/>
          <w:szCs w:val="28"/>
        </w:rPr>
        <w:instrText xml:space="preserve"> PAGEREF _Toc24128 \h </w:instrText>
      </w:r>
      <w:r>
        <w:rPr>
          <w:sz w:val="22"/>
          <w:szCs w:val="28"/>
        </w:rPr>
        <w:fldChar w:fldCharType="separate"/>
      </w:r>
      <w:r>
        <w:rPr>
          <w:sz w:val="22"/>
          <w:szCs w:val="28"/>
        </w:rPr>
        <w:t>55</w:t>
      </w:r>
      <w:r>
        <w:rPr>
          <w:sz w:val="22"/>
          <w:szCs w:val="28"/>
        </w:rPr>
        <w:fldChar w:fldCharType="end"/>
      </w:r>
      <w:r>
        <w:rPr>
          <w:sz w:val="22"/>
          <w:szCs w:val="28"/>
        </w:rPr>
        <w:fldChar w:fldCharType="end"/>
      </w:r>
    </w:p>
    <w:p w14:paraId="60472BB1">
      <w:pPr>
        <w:pStyle w:val="16"/>
        <w:tabs>
          <w:tab w:val="right" w:leader="dot" w:pos="9026"/>
        </w:tabs>
        <w:spacing w:line="360" w:lineRule="auto"/>
        <w:rPr>
          <w:sz w:val="22"/>
          <w:szCs w:val="28"/>
        </w:rPr>
      </w:pPr>
      <w:r>
        <w:fldChar w:fldCharType="begin"/>
      </w:r>
      <w:r>
        <w:instrText xml:space="preserve"> HYPERLINK \l "_Toc24393" </w:instrText>
      </w:r>
      <w:r>
        <w:fldChar w:fldCharType="separate"/>
      </w:r>
      <w:r>
        <w:rPr>
          <w:rFonts w:hint="eastAsia" w:ascii="宋体" w:hAnsi="宋体" w:cs="Arial"/>
          <w:bCs/>
          <w:sz w:val="22"/>
          <w:szCs w:val="22"/>
        </w:rPr>
        <w:t>4、本国产品声明函</w:t>
      </w:r>
      <w:r>
        <w:rPr>
          <w:sz w:val="22"/>
          <w:szCs w:val="28"/>
        </w:rPr>
        <w:tab/>
      </w:r>
      <w:r>
        <w:rPr>
          <w:sz w:val="22"/>
          <w:szCs w:val="28"/>
        </w:rPr>
        <w:fldChar w:fldCharType="begin"/>
      </w:r>
      <w:r>
        <w:rPr>
          <w:sz w:val="22"/>
          <w:szCs w:val="28"/>
        </w:rPr>
        <w:instrText xml:space="preserve"> PAGEREF _Toc24393 \h </w:instrText>
      </w:r>
      <w:r>
        <w:rPr>
          <w:sz w:val="22"/>
          <w:szCs w:val="28"/>
        </w:rPr>
        <w:fldChar w:fldCharType="separate"/>
      </w:r>
      <w:r>
        <w:rPr>
          <w:sz w:val="22"/>
          <w:szCs w:val="28"/>
        </w:rPr>
        <w:t>56</w:t>
      </w:r>
      <w:r>
        <w:rPr>
          <w:sz w:val="22"/>
          <w:szCs w:val="28"/>
        </w:rPr>
        <w:fldChar w:fldCharType="end"/>
      </w:r>
      <w:r>
        <w:rPr>
          <w:sz w:val="22"/>
          <w:szCs w:val="28"/>
        </w:rPr>
        <w:fldChar w:fldCharType="end"/>
      </w:r>
    </w:p>
    <w:p w14:paraId="505275AD">
      <w:pPr>
        <w:pStyle w:val="28"/>
        <w:tabs>
          <w:tab w:val="right" w:leader="dot" w:pos="9026"/>
        </w:tabs>
        <w:spacing w:line="360" w:lineRule="auto"/>
        <w:rPr>
          <w:sz w:val="22"/>
          <w:szCs w:val="28"/>
        </w:rPr>
      </w:pPr>
      <w:r>
        <w:fldChar w:fldCharType="begin"/>
      </w:r>
      <w:r>
        <w:instrText xml:space="preserve"> HYPERLINK \l "_Toc1606" </w:instrText>
      </w:r>
      <w:r>
        <w:fldChar w:fldCharType="separate"/>
      </w:r>
      <w:r>
        <w:rPr>
          <w:rFonts w:hint="eastAsia" w:ascii="宋体" w:hAnsi="宋体" w:cs="Arial"/>
          <w:sz w:val="22"/>
          <w:szCs w:val="22"/>
        </w:rPr>
        <w:t>九</w:t>
      </w:r>
      <w:r>
        <w:rPr>
          <w:rFonts w:ascii="宋体" w:hAnsi="宋体" w:cs="Arial"/>
          <w:sz w:val="22"/>
          <w:szCs w:val="22"/>
        </w:rPr>
        <w:t>、</w:t>
      </w:r>
      <w:r>
        <w:rPr>
          <w:rFonts w:hint="eastAsia" w:ascii="宋体" w:hAnsi="宋体" w:cs="Arial"/>
          <w:sz w:val="22"/>
          <w:szCs w:val="22"/>
        </w:rPr>
        <w:t>综合评分标准中涉及的相关证明材料</w:t>
      </w:r>
      <w:r>
        <w:rPr>
          <w:sz w:val="22"/>
          <w:szCs w:val="28"/>
        </w:rPr>
        <w:tab/>
      </w:r>
      <w:r>
        <w:rPr>
          <w:sz w:val="22"/>
          <w:szCs w:val="28"/>
        </w:rPr>
        <w:fldChar w:fldCharType="begin"/>
      </w:r>
      <w:r>
        <w:rPr>
          <w:sz w:val="22"/>
          <w:szCs w:val="28"/>
        </w:rPr>
        <w:instrText xml:space="preserve"> PAGEREF _Toc1606 \h </w:instrText>
      </w:r>
      <w:r>
        <w:rPr>
          <w:sz w:val="22"/>
          <w:szCs w:val="28"/>
        </w:rPr>
        <w:fldChar w:fldCharType="separate"/>
      </w:r>
      <w:r>
        <w:rPr>
          <w:sz w:val="22"/>
          <w:szCs w:val="28"/>
        </w:rPr>
        <w:t>57</w:t>
      </w:r>
      <w:r>
        <w:rPr>
          <w:sz w:val="22"/>
          <w:szCs w:val="28"/>
        </w:rPr>
        <w:fldChar w:fldCharType="end"/>
      </w:r>
      <w:r>
        <w:rPr>
          <w:sz w:val="22"/>
          <w:szCs w:val="28"/>
        </w:rPr>
        <w:fldChar w:fldCharType="end"/>
      </w:r>
    </w:p>
    <w:p w14:paraId="54E6FBB8">
      <w:pPr>
        <w:pStyle w:val="28"/>
        <w:tabs>
          <w:tab w:val="right" w:leader="dot" w:pos="9026"/>
        </w:tabs>
        <w:spacing w:line="360" w:lineRule="auto"/>
      </w:pPr>
      <w:r>
        <w:fldChar w:fldCharType="begin"/>
      </w:r>
      <w:r>
        <w:instrText xml:space="preserve"> HYPERLINK \l "_Toc28788" </w:instrText>
      </w:r>
      <w:r>
        <w:fldChar w:fldCharType="separate"/>
      </w:r>
      <w:r>
        <w:rPr>
          <w:rFonts w:hint="eastAsia" w:ascii="宋体" w:hAnsi="宋体" w:cs="Arial"/>
          <w:sz w:val="22"/>
          <w:szCs w:val="22"/>
        </w:rPr>
        <w:t>十</w:t>
      </w:r>
      <w:r>
        <w:rPr>
          <w:rFonts w:ascii="宋体" w:hAnsi="宋体" w:cs="Arial"/>
          <w:sz w:val="22"/>
          <w:szCs w:val="22"/>
        </w:rPr>
        <w:t>、</w:t>
      </w:r>
      <w:r>
        <w:rPr>
          <w:rFonts w:hint="eastAsia" w:ascii="宋体" w:hAnsi="宋体" w:cs="Arial"/>
          <w:sz w:val="22"/>
          <w:szCs w:val="22"/>
        </w:rPr>
        <w:t>投标人认为需要提供的其它资料（如有）</w:t>
      </w:r>
      <w:r>
        <w:rPr>
          <w:sz w:val="22"/>
          <w:szCs w:val="28"/>
        </w:rPr>
        <w:tab/>
      </w:r>
      <w:r>
        <w:rPr>
          <w:sz w:val="22"/>
          <w:szCs w:val="28"/>
        </w:rPr>
        <w:fldChar w:fldCharType="begin"/>
      </w:r>
      <w:r>
        <w:rPr>
          <w:sz w:val="22"/>
          <w:szCs w:val="28"/>
        </w:rPr>
        <w:instrText xml:space="preserve"> PAGEREF _Toc28788 \h </w:instrText>
      </w:r>
      <w:r>
        <w:rPr>
          <w:sz w:val="22"/>
          <w:szCs w:val="28"/>
        </w:rPr>
        <w:fldChar w:fldCharType="separate"/>
      </w:r>
      <w:r>
        <w:rPr>
          <w:sz w:val="22"/>
          <w:szCs w:val="28"/>
        </w:rPr>
        <w:t>58</w:t>
      </w:r>
      <w:r>
        <w:rPr>
          <w:sz w:val="22"/>
          <w:szCs w:val="28"/>
        </w:rPr>
        <w:fldChar w:fldCharType="end"/>
      </w:r>
      <w:r>
        <w:rPr>
          <w:sz w:val="22"/>
          <w:szCs w:val="28"/>
        </w:rPr>
        <w:fldChar w:fldCharType="end"/>
      </w:r>
    </w:p>
    <w:p w14:paraId="539D0AA1">
      <w:pPr>
        <w:spacing w:line="360" w:lineRule="auto"/>
        <w:ind w:firstLine="420" w:firstLineChars="200"/>
        <w:rPr>
          <w:rFonts w:ascii="宋体" w:hAnsi="宋体"/>
          <w:szCs w:val="20"/>
        </w:rPr>
      </w:pPr>
      <w:r>
        <w:rPr>
          <w:rFonts w:ascii="宋体" w:hAnsi="宋体"/>
          <w:szCs w:val="21"/>
        </w:rPr>
        <w:fldChar w:fldCharType="end"/>
      </w:r>
    </w:p>
    <w:p w14:paraId="4741700E">
      <w:pPr>
        <w:ind w:firstLine="420" w:firstLineChars="200"/>
        <w:rPr>
          <w:rFonts w:ascii="宋体" w:hAnsi="宋体"/>
          <w:szCs w:val="20"/>
        </w:rPr>
        <w:sectPr>
          <w:headerReference r:id="rId6" w:type="default"/>
          <w:footerReference r:id="rId7" w:type="default"/>
          <w:pgSz w:w="11906" w:h="16838"/>
          <w:pgMar w:top="1701" w:right="1440" w:bottom="1440" w:left="1440" w:header="851" w:footer="992" w:gutter="0"/>
          <w:cols w:space="425" w:num="1"/>
          <w:docGrid w:type="lines" w:linePitch="312" w:charSpace="0"/>
        </w:sectPr>
      </w:pPr>
    </w:p>
    <w:p w14:paraId="3ACDFF19">
      <w:pPr>
        <w:spacing w:line="440" w:lineRule="exact"/>
        <w:ind w:left="1440" w:hanging="1440"/>
        <w:jc w:val="center"/>
        <w:outlineLvl w:val="0"/>
        <w:rPr>
          <w:rFonts w:ascii="宋体" w:hAnsi="宋体" w:cs="Arial"/>
          <w:b/>
          <w:sz w:val="28"/>
          <w:szCs w:val="28"/>
        </w:rPr>
      </w:pPr>
      <w:bookmarkStart w:id="2" w:name="_Toc758"/>
      <w:r>
        <w:rPr>
          <w:rFonts w:hint="eastAsia" w:ascii="宋体" w:hAnsi="宋体" w:cs="Arial"/>
          <w:b/>
          <w:sz w:val="28"/>
          <w:szCs w:val="28"/>
        </w:rPr>
        <w:t>第一部分：投标邀请书（招标公告）</w:t>
      </w:r>
      <w:bookmarkEnd w:id="2"/>
    </w:p>
    <w:p w14:paraId="28BD9851">
      <w:pPr>
        <w:rPr>
          <w:rFonts w:ascii="宋体" w:hAnsi="宋体"/>
          <w:b/>
          <w:szCs w:val="21"/>
        </w:rPr>
      </w:pPr>
      <w:bookmarkStart w:id="3" w:name="_Toc35393790"/>
      <w:bookmarkStart w:id="4" w:name="_Toc35393621"/>
      <w:bookmarkStart w:id="5" w:name="_Toc28359002"/>
      <w:bookmarkStart w:id="6" w:name="_Toc28359079"/>
      <w:bookmarkStart w:id="7" w:name="_Hlk24379207"/>
    </w:p>
    <w:bookmarkEnd w:id="3"/>
    <w:bookmarkEnd w:id="4"/>
    <w:bookmarkEnd w:id="5"/>
    <w:bookmarkEnd w:id="6"/>
    <w:bookmarkEnd w:id="7"/>
    <w:p w14:paraId="242CA9DA">
      <w:pPr>
        <w:pBdr>
          <w:top w:val="none" w:color="000000" w:sz="0" w:space="1"/>
          <w:left w:val="none" w:color="000000" w:sz="0" w:space="4"/>
          <w:bottom w:val="none" w:color="000000" w:sz="0" w:space="1"/>
          <w:right w:val="none" w:color="000000" w:sz="0" w:space="4"/>
        </w:pBdr>
        <w:spacing w:line="420" w:lineRule="exact"/>
        <w:ind w:firstLine="420"/>
        <w:rPr>
          <w:rFonts w:ascii="微软雅黑" w:hAnsi="微软雅黑" w:cs="微软雅黑"/>
          <w:sz w:val="22"/>
          <w:szCs w:val="22"/>
        </w:rPr>
      </w:pPr>
      <w:bookmarkStart w:id="8" w:name="_Toc219219023"/>
      <w:r>
        <w:rPr>
          <w:rFonts w:hint="eastAsia" w:ascii="微软雅黑" w:hAnsi="微软雅黑" w:cs="微软雅黑"/>
          <w:sz w:val="22"/>
          <w:szCs w:val="22"/>
        </w:rPr>
        <w:t>项目概况</w:t>
      </w:r>
    </w:p>
    <w:p w14:paraId="639CFFB4">
      <w:pPr>
        <w:pBdr>
          <w:top w:val="none" w:color="000000" w:sz="0" w:space="1"/>
          <w:left w:val="none" w:color="000000" w:sz="0" w:space="4"/>
          <w:bottom w:val="none" w:color="000000" w:sz="0" w:space="1"/>
          <w:right w:val="none" w:color="000000" w:sz="0" w:space="4"/>
        </w:pBdr>
        <w:spacing w:line="420" w:lineRule="exact"/>
        <w:ind w:firstLine="440" w:firstLineChars="200"/>
        <w:rPr>
          <w:rFonts w:hint="eastAsia" w:ascii="宋体" w:hAnsi="宋体" w:eastAsia="宋体" w:cs="宋体"/>
          <w:color w:val="auto"/>
          <w:sz w:val="22"/>
          <w:szCs w:val="22"/>
          <w:highlight w:val="none"/>
        </w:rPr>
      </w:pPr>
      <w:r>
        <w:rPr>
          <w:rFonts w:hint="eastAsia" w:ascii="微软雅黑" w:hAnsi="微软雅黑" w:cs="微软雅黑"/>
          <w:b w:val="0"/>
          <w:bCs w:val="0"/>
          <w:sz w:val="22"/>
          <w:szCs w:val="22"/>
          <w:u w:val="none"/>
        </w:rPr>
        <w:t>南京工业大学</w:t>
      </w:r>
      <w:r>
        <w:rPr>
          <w:rFonts w:hint="eastAsia" w:ascii="微软雅黑" w:hAnsi="微软雅黑" w:cs="微软雅黑"/>
          <w:b w:val="0"/>
          <w:bCs w:val="0"/>
          <w:sz w:val="22"/>
          <w:szCs w:val="22"/>
          <w:u w:val="single"/>
        </w:rPr>
        <w:t>2026年第4批生产用金属磁性粉体材料采购</w:t>
      </w:r>
      <w:r>
        <w:rPr>
          <w:rFonts w:hint="eastAsia" w:ascii="微软雅黑" w:hAnsi="微软雅黑" w:cs="微软雅黑"/>
          <w:b/>
          <w:bCs/>
          <w:sz w:val="22"/>
          <w:szCs w:val="22"/>
          <w:u w:val="single"/>
        </w:rPr>
        <w:t xml:space="preserve"> </w:t>
      </w:r>
      <w:r>
        <w:rPr>
          <w:rFonts w:hint="eastAsia" w:ascii="微软雅黑" w:hAnsi="微软雅黑" w:cs="微软雅黑"/>
          <w:sz w:val="22"/>
          <w:szCs w:val="22"/>
        </w:rPr>
        <w:t>的潜在投标供应商应在</w:t>
      </w:r>
      <w:r>
        <w:rPr>
          <w:rFonts w:hint="eastAsia" w:ascii="微软雅黑" w:hAnsi="微软雅黑" w:cs="微软雅黑"/>
          <w:sz w:val="22"/>
          <w:szCs w:val="22"/>
          <w:lang w:bidi="ar"/>
        </w:rPr>
        <w:t>（</w:t>
      </w:r>
      <w:r>
        <w:rPr>
          <w:rFonts w:hint="eastAsia" w:ascii="微软雅黑" w:hAnsi="微软雅黑" w:cs="微软雅黑"/>
          <w:sz w:val="22"/>
          <w:szCs w:val="22"/>
          <w:u w:val="single"/>
          <w:lang w:bidi="ar"/>
        </w:rPr>
        <w:t>江苏省政府采购管理交易系统（苏采云）</w:t>
      </w:r>
      <w:r>
        <w:rPr>
          <w:rFonts w:hint="eastAsia" w:ascii="微软雅黑" w:hAnsi="微软雅黑" w:cs="微软雅黑"/>
          <w:sz w:val="22"/>
          <w:szCs w:val="22"/>
          <w:lang w:bidi="ar"/>
        </w:rPr>
        <w:t>）</w:t>
      </w:r>
      <w:r>
        <w:rPr>
          <w:rFonts w:hint="eastAsia" w:ascii="微软雅黑" w:hAnsi="微软雅黑" w:cs="微软雅黑"/>
          <w:sz w:val="22"/>
          <w:szCs w:val="22"/>
        </w:rPr>
        <w:t>获取采购文件，并</w:t>
      </w:r>
      <w:r>
        <w:rPr>
          <w:rFonts w:hint="eastAsia" w:ascii="微软雅黑" w:hAnsi="微软雅黑" w:cs="微软雅黑"/>
          <w:sz w:val="22"/>
          <w:szCs w:val="22"/>
          <w:highlight w:val="none"/>
        </w:rPr>
        <w:t>于</w:t>
      </w:r>
      <w:r>
        <w:rPr>
          <w:rFonts w:hint="eastAsia" w:ascii="宋体" w:hAnsi="宋体" w:eastAsia="宋体" w:cs="宋体"/>
          <w:color w:val="auto"/>
          <w:sz w:val="22"/>
          <w:szCs w:val="22"/>
          <w:highlight w:val="none"/>
          <w:u w:val="single"/>
        </w:rPr>
        <w:t>2026年</w:t>
      </w:r>
      <w:r>
        <w:rPr>
          <w:rFonts w:hint="eastAsia" w:ascii="宋体" w:hAnsi="宋体" w:cs="宋体"/>
          <w:color w:val="auto"/>
          <w:sz w:val="22"/>
          <w:szCs w:val="22"/>
          <w:highlight w:val="none"/>
          <w:u w:val="single"/>
          <w:lang w:val="en-US" w:eastAsia="zh-CN"/>
        </w:rPr>
        <w:t>11</w:t>
      </w:r>
      <w:r>
        <w:rPr>
          <w:rFonts w:hint="eastAsia" w:ascii="宋体" w:hAnsi="宋体" w:eastAsia="宋体" w:cs="宋体"/>
          <w:color w:val="auto"/>
          <w:sz w:val="22"/>
          <w:szCs w:val="22"/>
          <w:highlight w:val="none"/>
          <w:u w:val="single"/>
        </w:rPr>
        <w:t>月</w:t>
      </w:r>
      <w:r>
        <w:rPr>
          <w:rFonts w:hint="eastAsia" w:ascii="宋体" w:hAnsi="宋体" w:cs="宋体"/>
          <w:color w:val="auto"/>
          <w:sz w:val="22"/>
          <w:szCs w:val="22"/>
          <w:highlight w:val="none"/>
          <w:u w:val="single"/>
          <w:lang w:val="en-US" w:eastAsia="zh-CN"/>
        </w:rPr>
        <w:t>25</w:t>
      </w:r>
      <w:r>
        <w:rPr>
          <w:rFonts w:hint="eastAsia" w:ascii="宋体" w:hAnsi="宋体" w:eastAsia="宋体" w:cs="宋体"/>
          <w:color w:val="auto"/>
          <w:sz w:val="22"/>
          <w:szCs w:val="22"/>
          <w:highlight w:val="none"/>
          <w:u w:val="single"/>
        </w:rPr>
        <w:t>日</w:t>
      </w:r>
      <w:r>
        <w:rPr>
          <w:rFonts w:hint="eastAsia" w:ascii="宋体" w:hAnsi="宋体" w:cs="宋体"/>
          <w:color w:val="auto"/>
          <w:sz w:val="22"/>
          <w:szCs w:val="22"/>
          <w:highlight w:val="none"/>
          <w:u w:val="single"/>
          <w:lang w:val="en-US" w:eastAsia="zh-CN"/>
        </w:rPr>
        <w:t>10</w:t>
      </w:r>
      <w:r>
        <w:rPr>
          <w:rFonts w:hint="eastAsia" w:ascii="宋体" w:hAnsi="宋体" w:eastAsia="宋体" w:cs="宋体"/>
          <w:bCs/>
          <w:color w:val="auto"/>
          <w:sz w:val="22"/>
          <w:szCs w:val="22"/>
          <w:highlight w:val="none"/>
          <w:u w:val="single"/>
        </w:rPr>
        <w:t>点</w:t>
      </w:r>
      <w:r>
        <w:rPr>
          <w:rFonts w:hint="eastAsia" w:ascii="宋体" w:hAnsi="宋体" w:cs="宋体"/>
          <w:bCs/>
          <w:color w:val="auto"/>
          <w:sz w:val="22"/>
          <w:szCs w:val="22"/>
          <w:highlight w:val="none"/>
          <w:u w:val="single"/>
          <w:lang w:val="en-US" w:eastAsia="zh-CN"/>
        </w:rPr>
        <w:t>0</w:t>
      </w:r>
      <w:r>
        <w:rPr>
          <w:rFonts w:hint="eastAsia" w:ascii="宋体" w:hAnsi="宋体" w:eastAsia="宋体" w:cs="宋体"/>
          <w:bCs/>
          <w:color w:val="auto"/>
          <w:sz w:val="22"/>
          <w:szCs w:val="22"/>
          <w:highlight w:val="none"/>
          <w:u w:val="single"/>
        </w:rPr>
        <w:t>0分</w:t>
      </w:r>
      <w:r>
        <w:rPr>
          <w:rFonts w:hint="eastAsia" w:ascii="宋体" w:hAnsi="宋体" w:eastAsia="宋体" w:cs="宋体"/>
          <w:bCs/>
          <w:color w:val="auto"/>
          <w:sz w:val="22"/>
          <w:szCs w:val="22"/>
          <w:highlight w:val="none"/>
        </w:rPr>
        <w:t>（北京时间）前递交投标文件</w:t>
      </w:r>
      <w:r>
        <w:rPr>
          <w:rFonts w:hint="eastAsia" w:ascii="宋体" w:hAnsi="宋体" w:eastAsia="宋体" w:cs="宋体"/>
          <w:color w:val="auto"/>
          <w:sz w:val="22"/>
          <w:szCs w:val="22"/>
          <w:highlight w:val="none"/>
        </w:rPr>
        <w:t>。</w:t>
      </w:r>
    </w:p>
    <w:p w14:paraId="4679FC74">
      <w:pPr>
        <w:spacing w:line="420" w:lineRule="exact"/>
        <w:rPr>
          <w:rFonts w:ascii="微软雅黑" w:hAnsi="微软雅黑" w:cs="微软雅黑"/>
          <w:sz w:val="22"/>
          <w:szCs w:val="22"/>
        </w:rPr>
      </w:pPr>
      <w:bookmarkStart w:id="9" w:name="_Toc5452"/>
      <w:r>
        <w:rPr>
          <w:rFonts w:hint="eastAsia" w:ascii="微软雅黑" w:hAnsi="微软雅黑" w:cs="微软雅黑"/>
          <w:b/>
          <w:bCs/>
          <w:sz w:val="22"/>
          <w:szCs w:val="28"/>
        </w:rPr>
        <w:t>一、项目基本情况</w:t>
      </w:r>
      <w:bookmarkEnd w:id="9"/>
    </w:p>
    <w:p w14:paraId="460F155C">
      <w:pPr>
        <w:spacing w:line="420" w:lineRule="exact"/>
        <w:ind w:right="105" w:firstLine="420"/>
        <w:rPr>
          <w:rFonts w:hint="eastAsia" w:ascii="微软雅黑" w:hAnsi="微软雅黑" w:eastAsia="宋体" w:cs="微软雅黑"/>
          <w:sz w:val="22"/>
          <w:szCs w:val="22"/>
          <w:highlight w:val="yellow"/>
          <w:lang w:eastAsia="zh-CN"/>
        </w:rPr>
      </w:pPr>
      <w:r>
        <w:rPr>
          <w:rFonts w:hint="eastAsia" w:ascii="微软雅黑" w:hAnsi="微软雅黑" w:cs="微软雅黑"/>
          <w:sz w:val="22"/>
          <w:szCs w:val="22"/>
          <w:highlight w:val="none"/>
        </w:rPr>
        <w:t>项目编号：</w:t>
      </w:r>
      <w:r>
        <w:rPr>
          <w:rFonts w:hint="eastAsia" w:ascii="Segoe UI" w:hAnsi="Segoe UI" w:cs="Segoe UI"/>
          <w:i w:val="0"/>
          <w:iCs w:val="0"/>
          <w:caps w:val="0"/>
          <w:spacing w:val="0"/>
          <w:sz w:val="21"/>
          <w:szCs w:val="21"/>
          <w:highlight w:val="none"/>
          <w:shd w:val="clear" w:fill="FFFFFF"/>
          <w:lang w:eastAsia="zh-CN"/>
        </w:rPr>
        <w:t>JSZC-320000-HTMY-G2026-0022</w:t>
      </w:r>
    </w:p>
    <w:p w14:paraId="4CAA03C7">
      <w:pPr>
        <w:spacing w:line="420" w:lineRule="exact"/>
        <w:ind w:right="105" w:firstLine="420"/>
        <w:rPr>
          <w:rFonts w:ascii="宋体" w:hAnsi="宋体" w:cs="宋体"/>
          <w:sz w:val="22"/>
          <w:szCs w:val="22"/>
        </w:rPr>
      </w:pPr>
      <w:r>
        <w:rPr>
          <w:rFonts w:hint="eastAsia" w:ascii="宋体" w:hAnsi="宋体" w:cs="宋体"/>
          <w:sz w:val="22"/>
          <w:szCs w:val="22"/>
        </w:rPr>
        <w:t>项目名称：2026年第4批生产用金属磁性粉体材料采购</w:t>
      </w:r>
    </w:p>
    <w:p w14:paraId="5EAF8555">
      <w:pPr>
        <w:spacing w:line="420" w:lineRule="exact"/>
        <w:ind w:firstLine="420"/>
        <w:rPr>
          <w:rFonts w:ascii="宋体" w:hAnsi="宋体" w:cs="宋体"/>
          <w:sz w:val="22"/>
          <w:szCs w:val="22"/>
        </w:rPr>
      </w:pPr>
      <w:r>
        <w:rPr>
          <w:rFonts w:hint="eastAsia" w:ascii="宋体" w:hAnsi="宋体" w:cs="宋体"/>
          <w:sz w:val="22"/>
          <w:szCs w:val="22"/>
        </w:rPr>
        <w:t>预算金额：150万元</w:t>
      </w:r>
    </w:p>
    <w:p w14:paraId="2A3DAFE5">
      <w:pPr>
        <w:spacing w:line="420" w:lineRule="exact"/>
        <w:ind w:firstLine="420"/>
        <w:rPr>
          <w:rFonts w:ascii="宋体" w:hAnsi="宋体" w:cs="宋体"/>
          <w:sz w:val="22"/>
          <w:szCs w:val="22"/>
        </w:rPr>
      </w:pPr>
      <w:r>
        <w:rPr>
          <w:rFonts w:hint="eastAsia" w:ascii="宋体" w:hAnsi="宋体" w:cs="宋体"/>
          <w:sz w:val="22"/>
          <w:szCs w:val="22"/>
        </w:rPr>
        <w:t>最高限价：150万元</w:t>
      </w:r>
    </w:p>
    <w:p w14:paraId="3F08ACB0">
      <w:pPr>
        <w:spacing w:line="420" w:lineRule="exact"/>
        <w:ind w:firstLine="420"/>
        <w:rPr>
          <w:rFonts w:ascii="宋体" w:hAnsi="宋体" w:cs="宋体"/>
          <w:sz w:val="22"/>
          <w:szCs w:val="22"/>
        </w:rPr>
      </w:pPr>
      <w:r>
        <w:rPr>
          <w:rFonts w:hint="eastAsia" w:ascii="宋体" w:hAnsi="宋体" w:cs="宋体"/>
          <w:sz w:val="22"/>
          <w:szCs w:val="22"/>
        </w:rPr>
        <w:t>采购需求：应采购人实际需要采购一批符合要求的</w:t>
      </w:r>
      <w:r>
        <w:rPr>
          <w:rFonts w:hint="eastAsia" w:ascii="宋体" w:hAnsi="宋体" w:cs="宋体"/>
          <w:sz w:val="22"/>
          <w:szCs w:val="22"/>
          <w:lang w:val="zh-CN"/>
        </w:rPr>
        <w:t>金属磁性粉体材料</w:t>
      </w:r>
      <w:r>
        <w:rPr>
          <w:rFonts w:hint="eastAsia" w:ascii="宋体" w:hAnsi="宋体" w:cs="宋体"/>
          <w:sz w:val="22"/>
          <w:szCs w:val="22"/>
        </w:rPr>
        <w:t>。详见采购文件第三章 采购需求。</w:t>
      </w:r>
    </w:p>
    <w:p w14:paraId="04E8A7BE">
      <w:pPr>
        <w:spacing w:line="420" w:lineRule="exact"/>
        <w:ind w:firstLine="420"/>
        <w:jc w:val="left"/>
        <w:rPr>
          <w:rFonts w:ascii="宋体" w:hAnsi="宋体" w:cs="宋体"/>
          <w:sz w:val="22"/>
          <w:szCs w:val="22"/>
        </w:rPr>
      </w:pPr>
      <w:r>
        <w:rPr>
          <w:rFonts w:hint="eastAsia" w:ascii="宋体" w:hAnsi="宋体" w:cs="宋体"/>
          <w:sz w:val="22"/>
          <w:szCs w:val="22"/>
        </w:rPr>
        <w:t>供货期限：采购人可以根据实际需要量，要求供应商分批次提供产品。供应商应在接到采购人需求订单后30天内，将原材料按时、安全运至采购人指定地点。</w:t>
      </w:r>
    </w:p>
    <w:p w14:paraId="2BB044C4">
      <w:pPr>
        <w:spacing w:line="420" w:lineRule="exact"/>
        <w:ind w:firstLine="420"/>
        <w:rPr>
          <w:rFonts w:ascii="微软雅黑" w:hAnsi="微软雅黑" w:cs="微软雅黑"/>
          <w:sz w:val="22"/>
          <w:szCs w:val="22"/>
        </w:rPr>
      </w:pPr>
      <w:r>
        <w:rPr>
          <w:rFonts w:hint="eastAsia" w:ascii="微软雅黑" w:hAnsi="微软雅黑" w:cs="微软雅黑"/>
          <w:sz w:val="22"/>
          <w:szCs w:val="22"/>
        </w:rPr>
        <w:t>本项目</w:t>
      </w:r>
      <w:r>
        <w:rPr>
          <w:rFonts w:hint="eastAsia" w:ascii="微软雅黑" w:hAnsi="微软雅黑" w:cs="微软雅黑"/>
          <w:b/>
          <w:bCs/>
          <w:sz w:val="22"/>
          <w:szCs w:val="22"/>
        </w:rPr>
        <w:t>不接受</w:t>
      </w:r>
      <w:r>
        <w:rPr>
          <w:rFonts w:hint="eastAsia" w:ascii="微软雅黑" w:hAnsi="微软雅黑" w:cs="微软雅黑"/>
          <w:sz w:val="22"/>
          <w:szCs w:val="22"/>
        </w:rPr>
        <w:t>联合体。</w:t>
      </w:r>
    </w:p>
    <w:p w14:paraId="06A716EB">
      <w:pPr>
        <w:spacing w:line="420" w:lineRule="exact"/>
        <w:rPr>
          <w:rFonts w:ascii="微软雅黑" w:hAnsi="微软雅黑" w:cs="微软雅黑"/>
          <w:b/>
          <w:bCs/>
          <w:sz w:val="22"/>
          <w:szCs w:val="28"/>
        </w:rPr>
      </w:pPr>
      <w:bookmarkStart w:id="10" w:name="_Toc28359003"/>
      <w:bookmarkStart w:id="11" w:name="_Toc35393791"/>
      <w:bookmarkStart w:id="12" w:name="_Toc35393622"/>
      <w:bookmarkStart w:id="13" w:name="_Toc18689"/>
      <w:bookmarkStart w:id="14" w:name="_Toc28359080"/>
      <w:r>
        <w:rPr>
          <w:rFonts w:hint="eastAsia" w:ascii="微软雅黑" w:hAnsi="微软雅黑" w:cs="微软雅黑"/>
          <w:b/>
          <w:bCs/>
          <w:sz w:val="22"/>
          <w:szCs w:val="28"/>
        </w:rPr>
        <w:t>二、申请人的资格要求：</w:t>
      </w:r>
      <w:bookmarkEnd w:id="10"/>
      <w:bookmarkEnd w:id="11"/>
      <w:bookmarkEnd w:id="12"/>
      <w:bookmarkEnd w:id="13"/>
      <w:bookmarkEnd w:id="14"/>
    </w:p>
    <w:p w14:paraId="5127BF20">
      <w:pPr>
        <w:spacing w:line="420" w:lineRule="exact"/>
        <w:ind w:firstLine="420"/>
        <w:rPr>
          <w:rFonts w:ascii="微软雅黑" w:hAnsi="微软雅黑" w:cs="微软雅黑"/>
          <w:sz w:val="22"/>
          <w:szCs w:val="22"/>
        </w:rPr>
      </w:pPr>
      <w:r>
        <w:rPr>
          <w:rFonts w:hint="eastAsia" w:ascii="微软雅黑" w:hAnsi="微软雅黑" w:cs="微软雅黑"/>
          <w:sz w:val="22"/>
          <w:szCs w:val="22"/>
        </w:rPr>
        <w:t>1.满足《中华人民共和国政府采购法》第二十二条规定：</w:t>
      </w:r>
    </w:p>
    <w:p w14:paraId="6A865DD0">
      <w:pPr>
        <w:spacing w:line="420" w:lineRule="exact"/>
        <w:ind w:firstLine="420"/>
        <w:rPr>
          <w:rFonts w:ascii="宋体" w:hAnsi="宋体" w:cs="宋体"/>
          <w:sz w:val="22"/>
          <w:szCs w:val="22"/>
        </w:rPr>
      </w:pPr>
      <w:r>
        <w:rPr>
          <w:rFonts w:hint="eastAsia" w:ascii="宋体" w:hAnsi="宋体" w:cs="宋体"/>
          <w:sz w:val="22"/>
          <w:szCs w:val="22"/>
        </w:rPr>
        <w:t>1.1具有独立承担民事责任的能力（提供法人或者其他组织的营业执照复印件）；</w:t>
      </w:r>
    </w:p>
    <w:p w14:paraId="3AB305FD">
      <w:pPr>
        <w:spacing w:line="420" w:lineRule="exact"/>
        <w:ind w:firstLine="420"/>
        <w:rPr>
          <w:rFonts w:ascii="宋体" w:hAnsi="宋体" w:cs="宋体"/>
          <w:sz w:val="22"/>
          <w:szCs w:val="22"/>
        </w:rPr>
      </w:pPr>
      <w:r>
        <w:rPr>
          <w:rFonts w:hint="eastAsia" w:ascii="宋体" w:hAnsi="宋体" w:cs="宋体"/>
          <w:sz w:val="22"/>
          <w:szCs w:val="22"/>
        </w:rPr>
        <w:t>1.2具有良好的商业信誉和健全的财务会计制度（提供至投标截止时间前六个月内任一个月份的</w:t>
      </w:r>
      <w:r>
        <w:rPr>
          <w:rFonts w:hint="eastAsia" w:ascii="宋体" w:hAnsi="宋体" w:cs="宋体"/>
          <w:b/>
          <w:bCs/>
          <w:sz w:val="22"/>
          <w:szCs w:val="22"/>
        </w:rPr>
        <w:t>资产负债表和利润表</w:t>
      </w:r>
      <w:r>
        <w:rPr>
          <w:rFonts w:hint="eastAsia" w:ascii="宋体" w:hAnsi="宋体" w:cs="宋体"/>
          <w:sz w:val="22"/>
          <w:szCs w:val="22"/>
        </w:rPr>
        <w:t>，</w:t>
      </w:r>
      <w:r>
        <w:rPr>
          <w:rFonts w:hint="eastAsia" w:ascii="宋体" w:hAnsi="宋体" w:cs="宋体"/>
          <w:b/>
          <w:bCs/>
          <w:sz w:val="22"/>
          <w:szCs w:val="22"/>
        </w:rPr>
        <w:t>或</w:t>
      </w:r>
      <w:r>
        <w:rPr>
          <w:rFonts w:hint="eastAsia" w:ascii="宋体" w:hAnsi="宋体" w:cs="宋体"/>
          <w:sz w:val="22"/>
          <w:szCs w:val="22"/>
        </w:rPr>
        <w:t>2025年度审计报告（包括报告及报告中所附的完整内容，并由注册会计师签名、盖章以及会计师事务所盖章），</w:t>
      </w:r>
      <w:r>
        <w:rPr>
          <w:rFonts w:hint="eastAsia" w:ascii="宋体" w:hAnsi="宋体" w:cs="宋体"/>
          <w:b/>
          <w:bCs/>
          <w:sz w:val="22"/>
          <w:szCs w:val="22"/>
        </w:rPr>
        <w:t>或</w:t>
      </w:r>
      <w:r>
        <w:rPr>
          <w:rFonts w:hint="eastAsia" w:ascii="宋体" w:hAnsi="宋体" w:cs="宋体"/>
          <w:sz w:val="22"/>
          <w:szCs w:val="22"/>
        </w:rPr>
        <w:t>银行出具的资信证明，</w:t>
      </w:r>
      <w:r>
        <w:rPr>
          <w:rFonts w:hint="eastAsia" w:ascii="宋体" w:hAnsi="宋体" w:cs="宋体"/>
          <w:b/>
          <w:bCs/>
          <w:sz w:val="22"/>
          <w:szCs w:val="22"/>
        </w:rPr>
        <w:t>或</w:t>
      </w:r>
      <w:r>
        <w:rPr>
          <w:rFonts w:hint="eastAsia" w:ascii="宋体" w:hAnsi="宋体" w:cs="宋体"/>
          <w:sz w:val="22"/>
          <w:szCs w:val="22"/>
        </w:rPr>
        <w:t>财政部门认可的专业担保机构出具的投标担保函）；（法人或者其他组织成立未满一年的可以不提供）</w:t>
      </w:r>
    </w:p>
    <w:p w14:paraId="1F2EADE2">
      <w:pPr>
        <w:spacing w:line="420" w:lineRule="exact"/>
        <w:ind w:firstLine="420"/>
        <w:rPr>
          <w:rFonts w:ascii="宋体" w:hAnsi="宋体" w:cs="宋体"/>
          <w:sz w:val="22"/>
          <w:szCs w:val="22"/>
        </w:rPr>
      </w:pPr>
      <w:r>
        <w:rPr>
          <w:rFonts w:hint="eastAsia" w:ascii="宋体" w:hAnsi="宋体" w:cs="宋体"/>
          <w:sz w:val="22"/>
          <w:szCs w:val="22"/>
        </w:rPr>
        <w:t>1.3具有履行合同所必需的设备和专业技术能力（根据项目需求提供履行合同所必需的设备和专业技术能力的证明材料或承诺函）；</w:t>
      </w:r>
    </w:p>
    <w:p w14:paraId="48BC8A40">
      <w:pPr>
        <w:spacing w:line="420" w:lineRule="exact"/>
        <w:ind w:firstLine="420"/>
        <w:rPr>
          <w:rFonts w:ascii="宋体" w:hAnsi="宋体" w:cs="宋体"/>
          <w:sz w:val="22"/>
          <w:szCs w:val="22"/>
        </w:rPr>
      </w:pPr>
      <w:r>
        <w:rPr>
          <w:rFonts w:hint="eastAsia" w:ascii="宋体" w:hAnsi="宋体" w:cs="宋体"/>
          <w:sz w:val="22"/>
          <w:szCs w:val="22"/>
        </w:rPr>
        <w:t>1.4有依法缴纳税收</w:t>
      </w:r>
      <w:r>
        <w:rPr>
          <w:rFonts w:hint="eastAsia" w:ascii="宋体" w:hAnsi="宋体" w:cs="宋体"/>
          <w:b/>
          <w:bCs/>
          <w:sz w:val="22"/>
          <w:szCs w:val="22"/>
        </w:rPr>
        <w:t>和</w:t>
      </w:r>
      <w:r>
        <w:rPr>
          <w:rFonts w:hint="eastAsia" w:ascii="宋体" w:hAnsi="宋体" w:cs="宋体"/>
          <w:sz w:val="22"/>
          <w:szCs w:val="22"/>
        </w:rPr>
        <w:t>社会保障资金的良好记录（</w:t>
      </w:r>
      <w:r>
        <w:rPr>
          <w:rFonts w:hint="eastAsia" w:ascii="宋体" w:hAnsi="宋体" w:cs="宋体"/>
          <w:sz w:val="22"/>
          <w:szCs w:val="22"/>
          <w:lang w:val="zh-CN"/>
        </w:rPr>
        <w:t>提供至投标截止时间前六个月内任一个月份</w:t>
      </w:r>
      <w:r>
        <w:rPr>
          <w:rFonts w:hint="eastAsia" w:ascii="宋体" w:hAnsi="宋体" w:cs="宋体"/>
          <w:sz w:val="22"/>
          <w:szCs w:val="22"/>
        </w:rPr>
        <w:t>依法缴纳税收的凭据（企业代缴的个人所得税除外），以及缴纳社会保险的凭据（专用收据或社会保险的凭据）。依法免税或不需要缴纳社会保障资金的投标供应商，应提供相应文件证明）；</w:t>
      </w:r>
    </w:p>
    <w:p w14:paraId="03AF2BF4">
      <w:pPr>
        <w:spacing w:line="420" w:lineRule="exact"/>
        <w:ind w:firstLine="420"/>
        <w:rPr>
          <w:rFonts w:ascii="宋体" w:hAnsi="宋体" w:cs="宋体"/>
          <w:sz w:val="22"/>
          <w:szCs w:val="22"/>
        </w:rPr>
      </w:pPr>
      <w:r>
        <w:rPr>
          <w:rFonts w:hint="eastAsia" w:ascii="宋体" w:hAnsi="宋体" w:cs="宋体"/>
          <w:sz w:val="22"/>
          <w:szCs w:val="22"/>
        </w:rPr>
        <w:t>1.5参加本次采购活动前三年内（成立时间不足三年的自成立之日起），在经营活动中没有重大违法记录（提供参加本次采购活动前三年内在经营活动中没有重大违法记录的书面声明）；</w:t>
      </w:r>
    </w:p>
    <w:p w14:paraId="7F6BBA8E">
      <w:pPr>
        <w:spacing w:line="420" w:lineRule="exact"/>
        <w:ind w:firstLine="420"/>
        <w:rPr>
          <w:rFonts w:ascii="宋体" w:hAnsi="宋体" w:cs="宋体"/>
          <w:sz w:val="22"/>
          <w:szCs w:val="22"/>
        </w:rPr>
      </w:pPr>
      <w:r>
        <w:rPr>
          <w:rFonts w:hint="eastAsia" w:ascii="宋体" w:hAnsi="宋体" w:cs="宋体"/>
          <w:sz w:val="22"/>
          <w:szCs w:val="22"/>
        </w:rPr>
        <w:t>1.6投标供应商须提供法定代表人授权书原件、法定代表人身份证复印件、授权代表身份证复印件（如果是法定代表人直接参与投标的可以不提供授权书）。</w:t>
      </w:r>
    </w:p>
    <w:p w14:paraId="0E47F0FB">
      <w:pPr>
        <w:spacing w:line="420" w:lineRule="exact"/>
        <w:ind w:firstLine="420"/>
        <w:rPr>
          <w:rFonts w:ascii="微软雅黑" w:hAnsi="微软雅黑" w:cs="微软雅黑"/>
          <w:b/>
          <w:bCs/>
          <w:sz w:val="22"/>
          <w:szCs w:val="28"/>
        </w:rPr>
      </w:pPr>
      <w:bookmarkStart w:id="15" w:name="_Toc28359004"/>
      <w:bookmarkStart w:id="16" w:name="_Toc28359081"/>
      <w:r>
        <w:rPr>
          <w:rFonts w:hint="eastAsia" w:ascii="微软雅黑" w:hAnsi="微软雅黑" w:cs="微软雅黑"/>
          <w:sz w:val="22"/>
          <w:szCs w:val="28"/>
        </w:rPr>
        <w:t>2.是否专门面向中小企业：</w:t>
      </w:r>
      <w:r>
        <w:rPr>
          <w:rFonts w:hint="eastAsia" w:ascii="微软雅黑" w:hAnsi="微软雅黑" w:cs="微软雅黑"/>
          <w:b/>
          <w:bCs/>
          <w:sz w:val="22"/>
          <w:szCs w:val="28"/>
        </w:rPr>
        <w:t>否</w:t>
      </w:r>
    </w:p>
    <w:p w14:paraId="1DF63F51">
      <w:pPr>
        <w:spacing w:line="420" w:lineRule="exact"/>
        <w:ind w:firstLine="420"/>
        <w:rPr>
          <w:rFonts w:ascii="微软雅黑" w:hAnsi="微软雅黑" w:cs="微软雅黑"/>
          <w:sz w:val="22"/>
          <w:szCs w:val="28"/>
        </w:rPr>
      </w:pPr>
      <w:r>
        <w:rPr>
          <w:rFonts w:hint="eastAsia" w:ascii="微软雅黑" w:hAnsi="微软雅黑" w:cs="微软雅黑"/>
          <w:sz w:val="22"/>
          <w:szCs w:val="22"/>
        </w:rPr>
        <w:t>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p>
    <w:p w14:paraId="6378263F">
      <w:pPr>
        <w:spacing w:line="420" w:lineRule="exact"/>
        <w:ind w:firstLine="420"/>
        <w:rPr>
          <w:rFonts w:ascii="微软雅黑" w:hAnsi="微软雅黑" w:cs="微软雅黑"/>
          <w:sz w:val="22"/>
          <w:szCs w:val="22"/>
        </w:rPr>
      </w:pPr>
      <w:r>
        <w:rPr>
          <w:rFonts w:hint="eastAsia" w:ascii="微软雅黑" w:hAnsi="微软雅黑" w:cs="微软雅黑"/>
          <w:sz w:val="22"/>
          <w:szCs w:val="22"/>
        </w:rPr>
        <w:t>4.本项目的特定资格要求：</w:t>
      </w:r>
      <w:r>
        <w:rPr>
          <w:rFonts w:hint="eastAsia" w:ascii="微软雅黑" w:hAnsi="微软雅黑" w:cs="微软雅黑"/>
          <w:b/>
          <w:bCs/>
          <w:sz w:val="22"/>
          <w:szCs w:val="22"/>
        </w:rPr>
        <w:t>无</w:t>
      </w:r>
      <w:r>
        <w:rPr>
          <w:rFonts w:hint="eastAsia" w:ascii="微软雅黑" w:hAnsi="微软雅黑" w:cs="微软雅黑"/>
          <w:sz w:val="22"/>
          <w:szCs w:val="22"/>
        </w:rPr>
        <w:t>。</w:t>
      </w:r>
    </w:p>
    <w:p w14:paraId="4076E6EE">
      <w:pPr>
        <w:spacing w:line="420" w:lineRule="exact"/>
        <w:ind w:firstLine="420"/>
        <w:rPr>
          <w:rFonts w:ascii="微软雅黑" w:hAnsi="微软雅黑" w:cs="微软雅黑"/>
          <w:sz w:val="22"/>
          <w:szCs w:val="28"/>
        </w:rPr>
      </w:pPr>
      <w:r>
        <w:rPr>
          <w:rFonts w:hint="eastAsia" w:ascii="微软雅黑" w:hAnsi="微软雅黑" w:cs="微软雅黑"/>
          <w:sz w:val="22"/>
          <w:szCs w:val="22"/>
        </w:rPr>
        <w:t>5.本项目</w:t>
      </w:r>
      <w:r>
        <w:rPr>
          <w:rFonts w:hint="eastAsia" w:ascii="微软雅黑" w:hAnsi="微软雅黑" w:cs="微软雅黑"/>
          <w:b/>
          <w:bCs/>
          <w:sz w:val="22"/>
          <w:szCs w:val="22"/>
        </w:rPr>
        <w:t>不接受</w:t>
      </w:r>
      <w:r>
        <w:rPr>
          <w:rFonts w:hint="eastAsia" w:ascii="微软雅黑" w:hAnsi="微软雅黑" w:cs="微软雅黑"/>
          <w:sz w:val="22"/>
          <w:szCs w:val="22"/>
        </w:rPr>
        <w:t>联合体投标</w:t>
      </w:r>
      <w:r>
        <w:rPr>
          <w:rFonts w:hint="eastAsia" w:ascii="微软雅黑" w:hAnsi="微软雅黑" w:cs="微软雅黑"/>
          <w:sz w:val="22"/>
          <w:szCs w:val="22"/>
          <w:lang w:val="zh-CN"/>
        </w:rPr>
        <w:t>。</w:t>
      </w:r>
    </w:p>
    <w:p w14:paraId="10738E7F">
      <w:pPr>
        <w:spacing w:line="420" w:lineRule="exact"/>
        <w:ind w:firstLine="420"/>
        <w:rPr>
          <w:rFonts w:ascii="微软雅黑" w:hAnsi="微软雅黑" w:cs="微软雅黑"/>
          <w:sz w:val="22"/>
          <w:szCs w:val="22"/>
        </w:rPr>
      </w:pPr>
      <w:r>
        <w:rPr>
          <w:rFonts w:hint="eastAsia" w:ascii="微软雅黑" w:hAnsi="微软雅黑" w:cs="微软雅黑"/>
          <w:sz w:val="22"/>
          <w:szCs w:val="22"/>
        </w:rPr>
        <w:t>6.本项目</w:t>
      </w:r>
      <w:r>
        <w:rPr>
          <w:rFonts w:hint="eastAsia" w:ascii="微软雅黑" w:hAnsi="微软雅黑" w:cs="微软雅黑"/>
          <w:b/>
          <w:bCs/>
          <w:sz w:val="22"/>
          <w:szCs w:val="22"/>
        </w:rPr>
        <w:t>不接受</w:t>
      </w:r>
      <w:r>
        <w:rPr>
          <w:rFonts w:hint="eastAsia" w:ascii="微软雅黑" w:hAnsi="微软雅黑" w:cs="微软雅黑"/>
          <w:sz w:val="22"/>
          <w:szCs w:val="22"/>
        </w:rPr>
        <w:t>进口产品投标。</w:t>
      </w:r>
    </w:p>
    <w:p w14:paraId="12ED83CC">
      <w:pPr>
        <w:spacing w:line="420" w:lineRule="exact"/>
        <w:ind w:firstLine="420"/>
        <w:rPr>
          <w:rFonts w:ascii="微软雅黑" w:hAnsi="微软雅黑" w:cs="微软雅黑"/>
          <w:sz w:val="22"/>
          <w:szCs w:val="22"/>
        </w:rPr>
      </w:pPr>
      <w:r>
        <w:rPr>
          <w:rFonts w:hint="eastAsia" w:ascii="微软雅黑" w:hAnsi="微软雅黑" w:cs="微软雅黑"/>
          <w:sz w:val="22"/>
          <w:szCs w:val="22"/>
        </w:rPr>
        <w:t>7.拒绝下述供应商参加本次采购活动:</w:t>
      </w:r>
    </w:p>
    <w:p w14:paraId="4160FB72">
      <w:pPr>
        <w:spacing w:line="420" w:lineRule="exact"/>
        <w:ind w:firstLine="420"/>
        <w:rPr>
          <w:rFonts w:ascii="微软雅黑" w:hAnsi="微软雅黑" w:cs="微软雅黑"/>
          <w:sz w:val="22"/>
          <w:szCs w:val="22"/>
        </w:rPr>
      </w:pPr>
      <w:r>
        <w:rPr>
          <w:rFonts w:hint="eastAsia" w:ascii="微软雅黑" w:hAnsi="微软雅黑" w:cs="微软雅黑"/>
          <w:sz w:val="22"/>
          <w:szCs w:val="22"/>
        </w:rPr>
        <w:t>7.1为采购项目提供整体设计、规范编制或者项目管理、监理、检测等服务的；</w:t>
      </w:r>
    </w:p>
    <w:p w14:paraId="3AB4479C">
      <w:pPr>
        <w:spacing w:line="420" w:lineRule="exact"/>
        <w:ind w:firstLine="420"/>
        <w:rPr>
          <w:rFonts w:ascii="微软雅黑" w:hAnsi="微软雅黑" w:cs="微软雅黑"/>
          <w:sz w:val="22"/>
          <w:szCs w:val="22"/>
        </w:rPr>
      </w:pPr>
      <w:r>
        <w:rPr>
          <w:rFonts w:hint="eastAsia" w:ascii="微软雅黑" w:hAnsi="微软雅黑" w:cs="微软雅黑"/>
          <w:sz w:val="22"/>
          <w:szCs w:val="22"/>
        </w:rPr>
        <w:t>7.2供应商单位负责人为同一人或者存在直接控股、管理关系的不同供应商，不得参加同一合同项下的采购活动；</w:t>
      </w:r>
    </w:p>
    <w:p w14:paraId="6CE8F1F6">
      <w:pPr>
        <w:spacing w:line="420" w:lineRule="exact"/>
        <w:ind w:firstLine="420"/>
        <w:rPr>
          <w:rFonts w:ascii="微软雅黑" w:hAnsi="微软雅黑" w:cs="微软雅黑"/>
          <w:sz w:val="22"/>
          <w:szCs w:val="22"/>
        </w:rPr>
      </w:pPr>
      <w:r>
        <w:rPr>
          <w:rFonts w:hint="eastAsia" w:ascii="微软雅黑" w:hAnsi="微软雅黑" w:cs="微软雅黑"/>
          <w:sz w:val="22"/>
          <w:szCs w:val="22"/>
        </w:rPr>
        <w:t>7.3</w:t>
      </w:r>
      <w:r>
        <w:rPr>
          <w:rFonts w:hint="eastAsia" w:ascii="宋体" w:hAnsi="宋体" w:cs="宋体"/>
          <w:szCs w:val="21"/>
        </w:rPr>
        <w:t>拒绝列入失信被执行人、重大税收违法案件当事人名单、严重违法失信行为记录名单中的供应商参加本项目的投标活动。采购代理机构将在供应商提交响应文件截止时间后，通过中国政府采购网（www.ccgp.gov.cn）、“信用中国”网站（www.creditchina.gov.cn）查询其信用记录。</w:t>
      </w:r>
    </w:p>
    <w:p w14:paraId="5920BBDC">
      <w:pPr>
        <w:spacing w:line="420" w:lineRule="exact"/>
        <w:rPr>
          <w:rFonts w:ascii="微软雅黑" w:hAnsi="微软雅黑" w:cs="微软雅黑"/>
          <w:b/>
          <w:bCs/>
          <w:sz w:val="22"/>
          <w:szCs w:val="28"/>
        </w:rPr>
      </w:pPr>
      <w:bookmarkStart w:id="17" w:name="_Toc15914"/>
      <w:bookmarkStart w:id="18" w:name="_Toc35393623"/>
      <w:bookmarkStart w:id="19" w:name="_Toc35393792"/>
      <w:r>
        <w:rPr>
          <w:rFonts w:hint="eastAsia" w:ascii="微软雅黑" w:hAnsi="微软雅黑" w:cs="微软雅黑"/>
          <w:b/>
          <w:bCs/>
          <w:sz w:val="22"/>
          <w:szCs w:val="28"/>
        </w:rPr>
        <w:t>三、获取采购文件</w:t>
      </w:r>
      <w:bookmarkEnd w:id="15"/>
      <w:bookmarkEnd w:id="16"/>
      <w:bookmarkEnd w:id="17"/>
      <w:bookmarkEnd w:id="18"/>
      <w:bookmarkEnd w:id="19"/>
    </w:p>
    <w:p w14:paraId="3833846C">
      <w:pPr>
        <w:spacing w:line="420" w:lineRule="exact"/>
        <w:ind w:firstLine="420"/>
        <w:rPr>
          <w:rFonts w:ascii="微软雅黑" w:hAnsi="微软雅黑" w:cs="微软雅黑"/>
          <w:sz w:val="22"/>
          <w:szCs w:val="22"/>
        </w:rPr>
      </w:pPr>
      <w:bookmarkStart w:id="20" w:name="_Toc1219"/>
      <w:bookmarkStart w:id="21" w:name="_Toc28359082"/>
      <w:bookmarkStart w:id="22" w:name="_Toc35393793"/>
      <w:bookmarkStart w:id="23" w:name="_Toc28359005"/>
      <w:bookmarkStart w:id="24" w:name="_Toc35393624"/>
      <w:r>
        <w:rPr>
          <w:rFonts w:hint="eastAsia" w:ascii="微软雅黑" w:hAnsi="微软雅黑" w:cs="微软雅黑"/>
          <w:sz w:val="22"/>
          <w:szCs w:val="22"/>
        </w:rPr>
        <w:t xml:space="preserve">时间：自招标文件公告发布之日起5个工作日 </w:t>
      </w:r>
    </w:p>
    <w:p w14:paraId="2E18A3CD">
      <w:pPr>
        <w:spacing w:line="420" w:lineRule="exact"/>
        <w:ind w:firstLine="420"/>
        <w:rPr>
          <w:rFonts w:ascii="微软雅黑" w:hAnsi="微软雅黑" w:cs="微软雅黑"/>
          <w:sz w:val="22"/>
          <w:szCs w:val="22"/>
        </w:rPr>
      </w:pPr>
      <w:r>
        <w:rPr>
          <w:rFonts w:hint="eastAsia" w:ascii="微软雅黑" w:hAnsi="微软雅黑" w:cs="微软雅黑"/>
          <w:sz w:val="22"/>
          <w:szCs w:val="22"/>
        </w:rPr>
        <w:t>地点：江苏省政府采购管理交易系统（苏采云）</w:t>
      </w:r>
    </w:p>
    <w:p w14:paraId="61430329">
      <w:pPr>
        <w:spacing w:line="420" w:lineRule="exact"/>
        <w:ind w:firstLine="420"/>
        <w:rPr>
          <w:rFonts w:ascii="微软雅黑" w:hAnsi="微软雅黑" w:cs="微软雅黑"/>
          <w:sz w:val="22"/>
          <w:szCs w:val="22"/>
        </w:rPr>
      </w:pPr>
      <w:r>
        <w:rPr>
          <w:rFonts w:hint="eastAsia" w:ascii="微软雅黑" w:hAnsi="微软雅黑" w:cs="微软雅黑"/>
          <w:sz w:val="22"/>
          <w:szCs w:val="22"/>
        </w:rPr>
        <w:t>方式：自行下载。</w:t>
      </w:r>
    </w:p>
    <w:p w14:paraId="141AD081">
      <w:pPr>
        <w:spacing w:line="420" w:lineRule="exact"/>
        <w:ind w:firstLine="420"/>
        <w:rPr>
          <w:rFonts w:hint="eastAsia" w:ascii="宋体" w:hAnsi="宋体" w:eastAsia="宋体" w:cs="宋体"/>
          <w:sz w:val="22"/>
          <w:szCs w:val="22"/>
        </w:rPr>
      </w:pPr>
      <w:r>
        <w:rPr>
          <w:rFonts w:hint="eastAsia" w:ascii="微软雅黑" w:hAnsi="微软雅黑" w:cs="微软雅黑"/>
          <w:sz w:val="22"/>
          <w:szCs w:val="22"/>
        </w:rPr>
        <w:t>售价</w:t>
      </w:r>
      <w:r>
        <w:rPr>
          <w:rFonts w:hint="eastAsia" w:ascii="宋体" w:hAnsi="宋体" w:eastAsia="宋体" w:cs="宋体"/>
          <w:sz w:val="22"/>
          <w:szCs w:val="22"/>
        </w:rPr>
        <w:t>：0.00元</w:t>
      </w:r>
    </w:p>
    <w:p w14:paraId="04DDE652">
      <w:pPr>
        <w:spacing w:line="420" w:lineRule="exact"/>
        <w:rPr>
          <w:rFonts w:ascii="微软雅黑" w:hAnsi="微软雅黑" w:cs="微软雅黑"/>
          <w:b/>
          <w:bCs/>
          <w:sz w:val="22"/>
          <w:szCs w:val="28"/>
        </w:rPr>
      </w:pPr>
      <w:r>
        <w:rPr>
          <w:rFonts w:hint="eastAsia" w:ascii="微软雅黑" w:hAnsi="微软雅黑" w:cs="微软雅黑"/>
          <w:b/>
          <w:bCs/>
          <w:sz w:val="22"/>
          <w:szCs w:val="28"/>
        </w:rPr>
        <w:t>四、</w:t>
      </w:r>
      <w:bookmarkEnd w:id="20"/>
      <w:bookmarkEnd w:id="21"/>
      <w:bookmarkEnd w:id="22"/>
      <w:bookmarkEnd w:id="23"/>
      <w:bookmarkEnd w:id="24"/>
      <w:r>
        <w:rPr>
          <w:rFonts w:hint="eastAsia" w:ascii="微软雅黑" w:hAnsi="微软雅黑" w:cs="微软雅黑"/>
          <w:b/>
          <w:bCs/>
          <w:sz w:val="22"/>
          <w:szCs w:val="28"/>
        </w:rPr>
        <w:t>提交投标文件截止时间、开标时间和地点</w:t>
      </w:r>
    </w:p>
    <w:p w14:paraId="06A4A4D4">
      <w:pPr>
        <w:spacing w:line="420" w:lineRule="exact"/>
        <w:ind w:firstLine="420"/>
        <w:rPr>
          <w:rFonts w:hint="eastAsia" w:ascii="宋体" w:hAnsi="宋体" w:eastAsia="宋体" w:cs="宋体"/>
          <w:bCs/>
          <w:color w:val="auto"/>
          <w:sz w:val="22"/>
          <w:szCs w:val="22"/>
          <w:highlight w:val="none"/>
        </w:rPr>
      </w:pPr>
      <w:r>
        <w:rPr>
          <w:rFonts w:hint="eastAsia" w:ascii="微软雅黑" w:hAnsi="微软雅黑" w:cs="微软雅黑"/>
          <w:bCs/>
          <w:sz w:val="22"/>
          <w:szCs w:val="22"/>
        </w:rPr>
        <w:t>时间：</w:t>
      </w:r>
      <w:r>
        <w:rPr>
          <w:rFonts w:hint="eastAsia" w:ascii="宋体" w:hAnsi="宋体" w:eastAsia="宋体" w:cs="宋体"/>
          <w:color w:val="auto"/>
          <w:sz w:val="22"/>
          <w:szCs w:val="22"/>
          <w:highlight w:val="none"/>
        </w:rPr>
        <w:t>2026年</w:t>
      </w:r>
      <w:r>
        <w:rPr>
          <w:rFonts w:hint="eastAsia" w:ascii="宋体" w:hAnsi="宋体" w:cs="宋体"/>
          <w:color w:val="auto"/>
          <w:sz w:val="22"/>
          <w:szCs w:val="22"/>
          <w:highlight w:val="none"/>
          <w:lang w:val="en-US" w:eastAsia="zh-CN"/>
        </w:rPr>
        <w:t>11</w:t>
      </w:r>
      <w:r>
        <w:rPr>
          <w:rFonts w:hint="eastAsia" w:ascii="宋体" w:hAnsi="宋体" w:eastAsia="宋体" w:cs="宋体"/>
          <w:color w:val="auto"/>
          <w:sz w:val="22"/>
          <w:szCs w:val="22"/>
          <w:highlight w:val="none"/>
        </w:rPr>
        <w:t>月</w:t>
      </w:r>
      <w:r>
        <w:rPr>
          <w:rFonts w:hint="eastAsia" w:ascii="宋体" w:hAnsi="宋体" w:cs="宋体"/>
          <w:color w:val="auto"/>
          <w:sz w:val="22"/>
          <w:szCs w:val="22"/>
          <w:highlight w:val="none"/>
          <w:lang w:val="en-US" w:eastAsia="zh-CN"/>
        </w:rPr>
        <w:t>25</w:t>
      </w:r>
      <w:r>
        <w:rPr>
          <w:rFonts w:hint="eastAsia" w:ascii="宋体" w:hAnsi="宋体" w:eastAsia="宋体" w:cs="宋体"/>
          <w:color w:val="auto"/>
          <w:sz w:val="22"/>
          <w:szCs w:val="22"/>
          <w:highlight w:val="none"/>
        </w:rPr>
        <w:t>日</w:t>
      </w:r>
      <w:r>
        <w:rPr>
          <w:rFonts w:hint="eastAsia" w:ascii="宋体" w:hAnsi="宋体" w:cs="宋体"/>
          <w:color w:val="auto"/>
          <w:sz w:val="22"/>
          <w:szCs w:val="22"/>
          <w:highlight w:val="none"/>
          <w:lang w:val="en-US" w:eastAsia="zh-CN"/>
        </w:rPr>
        <w:t>10:00</w:t>
      </w:r>
      <w:r>
        <w:rPr>
          <w:rFonts w:hint="eastAsia" w:ascii="宋体" w:hAnsi="宋体" w:eastAsia="宋体" w:cs="宋体"/>
          <w:bCs/>
          <w:color w:val="auto"/>
          <w:sz w:val="22"/>
          <w:szCs w:val="22"/>
          <w:highlight w:val="none"/>
        </w:rPr>
        <w:t>（北京时间）</w:t>
      </w:r>
    </w:p>
    <w:p w14:paraId="18D8B881">
      <w:pPr>
        <w:spacing w:line="420" w:lineRule="exact"/>
        <w:ind w:firstLine="420"/>
        <w:rPr>
          <w:rFonts w:ascii="微软雅黑" w:hAnsi="微软雅黑" w:cs="微软雅黑"/>
          <w:sz w:val="22"/>
          <w:szCs w:val="22"/>
        </w:rPr>
      </w:pPr>
      <w:r>
        <w:rPr>
          <w:rFonts w:hint="eastAsia" w:ascii="微软雅黑" w:hAnsi="微软雅黑" w:cs="微软雅黑"/>
          <w:sz w:val="22"/>
          <w:szCs w:val="22"/>
        </w:rPr>
        <w:t>地点：“苏采云”政府采购交易系统网上开标大厅</w:t>
      </w:r>
    </w:p>
    <w:p w14:paraId="0AB3C345">
      <w:pPr>
        <w:spacing w:line="420" w:lineRule="exact"/>
        <w:rPr>
          <w:rFonts w:ascii="微软雅黑" w:hAnsi="微软雅黑" w:cs="微软雅黑"/>
          <w:b/>
          <w:bCs/>
          <w:sz w:val="22"/>
          <w:szCs w:val="28"/>
        </w:rPr>
      </w:pPr>
      <w:bookmarkStart w:id="25" w:name="_Toc31210"/>
      <w:bookmarkStart w:id="26" w:name="_Toc35393794"/>
      <w:bookmarkStart w:id="27" w:name="_Toc28359007"/>
      <w:bookmarkStart w:id="28" w:name="_Toc28359084"/>
      <w:bookmarkStart w:id="29" w:name="_Toc35393625"/>
      <w:r>
        <w:rPr>
          <w:rFonts w:hint="eastAsia" w:ascii="微软雅黑" w:hAnsi="微软雅黑" w:cs="微软雅黑"/>
          <w:b/>
          <w:bCs/>
          <w:sz w:val="22"/>
          <w:szCs w:val="28"/>
        </w:rPr>
        <w:t>五、公告期限</w:t>
      </w:r>
      <w:bookmarkEnd w:id="25"/>
      <w:bookmarkEnd w:id="26"/>
      <w:bookmarkEnd w:id="27"/>
      <w:bookmarkEnd w:id="28"/>
      <w:bookmarkEnd w:id="29"/>
    </w:p>
    <w:p w14:paraId="1EF56BE8">
      <w:pPr>
        <w:spacing w:line="420" w:lineRule="exact"/>
        <w:ind w:firstLine="420"/>
        <w:rPr>
          <w:rFonts w:hint="eastAsia" w:ascii="宋体" w:hAnsi="宋体" w:eastAsia="宋体" w:cs="宋体"/>
          <w:b/>
          <w:bCs/>
          <w:sz w:val="22"/>
          <w:szCs w:val="28"/>
        </w:rPr>
      </w:pPr>
      <w:r>
        <w:rPr>
          <w:rFonts w:hint="eastAsia" w:ascii="宋体" w:hAnsi="宋体" w:eastAsia="宋体" w:cs="宋体"/>
          <w:b/>
          <w:bCs/>
          <w:sz w:val="22"/>
          <w:szCs w:val="28"/>
        </w:rPr>
        <w:t>自本公告发布之日起5个工作日。</w:t>
      </w:r>
    </w:p>
    <w:p w14:paraId="6D947D73">
      <w:pPr>
        <w:numPr>
          <w:ilvl w:val="0"/>
          <w:numId w:val="4"/>
        </w:numPr>
        <w:spacing w:line="420" w:lineRule="exact"/>
        <w:rPr>
          <w:rFonts w:ascii="微软雅黑" w:hAnsi="微软雅黑" w:cs="微软雅黑"/>
          <w:b/>
          <w:bCs/>
          <w:sz w:val="22"/>
          <w:szCs w:val="22"/>
        </w:rPr>
      </w:pPr>
      <w:r>
        <w:rPr>
          <w:rFonts w:hint="eastAsia" w:ascii="微软雅黑" w:hAnsi="微软雅黑" w:cs="微软雅黑"/>
          <w:b/>
          <w:bCs/>
          <w:sz w:val="22"/>
          <w:szCs w:val="28"/>
        </w:rPr>
        <w:t>其他补充事宜</w:t>
      </w:r>
    </w:p>
    <w:p w14:paraId="41597E66">
      <w:pPr>
        <w:spacing w:line="420" w:lineRule="exact"/>
        <w:ind w:firstLine="420"/>
        <w:jc w:val="left"/>
        <w:rPr>
          <w:rFonts w:ascii="微软雅黑" w:hAnsi="微软雅黑" w:cs="微软雅黑"/>
          <w:sz w:val="22"/>
          <w:szCs w:val="22"/>
        </w:rPr>
      </w:pPr>
      <w:r>
        <w:rPr>
          <w:rFonts w:hint="eastAsia" w:ascii="微软雅黑" w:hAnsi="微软雅黑" w:cs="微软雅黑"/>
          <w:sz w:val="22"/>
          <w:szCs w:val="22"/>
        </w:rPr>
        <w:t>1.评标方法和标准：采用综合评分法。</w:t>
      </w:r>
    </w:p>
    <w:p w14:paraId="7E368CCD">
      <w:pPr>
        <w:spacing w:line="420" w:lineRule="exact"/>
        <w:ind w:firstLine="420"/>
        <w:rPr>
          <w:rFonts w:ascii="微软雅黑" w:hAnsi="微软雅黑" w:cs="微软雅黑"/>
          <w:sz w:val="22"/>
          <w:szCs w:val="22"/>
        </w:rPr>
      </w:pPr>
      <w:r>
        <w:rPr>
          <w:rFonts w:hint="eastAsia" w:ascii="微软雅黑" w:hAnsi="微软雅黑" w:cs="微软雅黑"/>
          <w:sz w:val="22"/>
          <w:szCs w:val="22"/>
        </w:rPr>
        <w:t>2.此采购公告在江苏政府采购网（www.ccgp-jiangsu.gov.cn）发布。</w:t>
      </w:r>
    </w:p>
    <w:p w14:paraId="272EA479">
      <w:pPr>
        <w:spacing w:line="420" w:lineRule="exact"/>
        <w:ind w:firstLine="420"/>
        <w:rPr>
          <w:rFonts w:ascii="微软雅黑" w:hAnsi="微软雅黑" w:cs="微软雅黑"/>
          <w:sz w:val="22"/>
          <w:szCs w:val="22"/>
        </w:rPr>
      </w:pPr>
      <w:r>
        <w:rPr>
          <w:rFonts w:hint="eastAsia" w:ascii="微软雅黑" w:hAnsi="微软雅黑" w:cs="微软雅黑"/>
          <w:sz w:val="22"/>
          <w:szCs w:val="22"/>
        </w:rPr>
        <w:t>3. 苏采云CA办理及登录：</w:t>
      </w:r>
    </w:p>
    <w:p w14:paraId="268A8020">
      <w:pPr>
        <w:spacing w:line="420" w:lineRule="exact"/>
        <w:ind w:firstLine="420"/>
        <w:rPr>
          <w:rFonts w:ascii="微软雅黑" w:hAnsi="微软雅黑" w:cs="微软雅黑"/>
          <w:sz w:val="22"/>
          <w:szCs w:val="22"/>
        </w:rPr>
      </w:pPr>
      <w:r>
        <w:rPr>
          <w:rFonts w:hint="eastAsia" w:ascii="微软雅黑" w:hAnsi="微软雅黑" w:cs="微软雅黑"/>
          <w:sz w:val="22"/>
          <w:szCs w:val="22"/>
        </w:rPr>
        <w:t>苏采云系统网址：http://jszfcg.jsczt.cn/，供应商需办理江苏省政府采购数字证书CA及电子签章，并在苏采云登录页面进行用户注册及CA绑定。详见江苏省政府采购管理交易系统（苏采云）供应商操作指南（http://www.ccgp-jiangsu.gov.cn/jiangsu/zlxz/ee/ee3a4bc5a3454aa2b0d9312230633ce9.html）。</w:t>
      </w:r>
    </w:p>
    <w:p w14:paraId="566FF3FD">
      <w:pPr>
        <w:spacing w:line="420" w:lineRule="exact"/>
        <w:ind w:firstLine="420"/>
        <w:rPr>
          <w:rFonts w:ascii="微软雅黑" w:hAnsi="微软雅黑" w:cs="微软雅黑"/>
          <w:sz w:val="22"/>
          <w:szCs w:val="22"/>
        </w:rPr>
      </w:pPr>
      <w:r>
        <w:rPr>
          <w:rFonts w:hint="eastAsia" w:ascii="微软雅黑" w:hAnsi="微软雅黑" w:cs="微软雅黑"/>
          <w:sz w:val="22"/>
          <w:szCs w:val="22"/>
        </w:rPr>
        <w:t>4.采购文件下载及投标文件制作：</w:t>
      </w:r>
    </w:p>
    <w:p w14:paraId="5E7E8F1D">
      <w:pPr>
        <w:spacing w:line="420" w:lineRule="exact"/>
        <w:ind w:firstLine="420"/>
        <w:rPr>
          <w:rFonts w:ascii="微软雅黑" w:hAnsi="微软雅黑" w:cs="微软雅黑"/>
          <w:sz w:val="22"/>
          <w:szCs w:val="22"/>
        </w:rPr>
      </w:pPr>
      <w:r>
        <w:rPr>
          <w:rFonts w:hint="eastAsia" w:ascii="微软雅黑" w:hAnsi="微软雅黑" w:cs="微软雅黑"/>
          <w:sz w:val="22"/>
          <w:szCs w:val="22"/>
        </w:rPr>
        <w:t>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p>
    <w:p w14:paraId="7880CD95">
      <w:pPr>
        <w:spacing w:line="420" w:lineRule="exact"/>
        <w:ind w:firstLine="420"/>
        <w:rPr>
          <w:rFonts w:ascii="微软雅黑" w:hAnsi="微软雅黑" w:cs="微软雅黑"/>
          <w:sz w:val="22"/>
          <w:szCs w:val="22"/>
        </w:rPr>
      </w:pPr>
      <w:r>
        <w:rPr>
          <w:rFonts w:hint="eastAsia" w:ascii="微软雅黑" w:hAnsi="微软雅黑" w:cs="微软雅黑"/>
          <w:sz w:val="22"/>
          <w:szCs w:val="22"/>
        </w:rPr>
        <w:t>5. 不见面远程开标：</w:t>
      </w:r>
    </w:p>
    <w:p w14:paraId="5F4545B7">
      <w:pPr>
        <w:spacing w:line="420" w:lineRule="exact"/>
        <w:rPr>
          <w:rFonts w:ascii="微软雅黑" w:hAnsi="微软雅黑" w:cs="微软雅黑"/>
          <w:sz w:val="22"/>
          <w:szCs w:val="22"/>
        </w:rPr>
      </w:pPr>
      <w:r>
        <w:rPr>
          <w:rFonts w:hint="eastAsia" w:ascii="微软雅黑" w:hAnsi="微软雅黑" w:cs="微软雅黑"/>
          <w:sz w:val="22"/>
          <w:szCs w:val="22"/>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p>
    <w:p w14:paraId="373E3B51">
      <w:pPr>
        <w:spacing w:line="420" w:lineRule="exact"/>
        <w:ind w:right="105" w:firstLine="420"/>
      </w:pPr>
      <w:r>
        <w:rPr>
          <w:rFonts w:hint="eastAsia" w:ascii="微软雅黑" w:hAnsi="微软雅黑" w:cs="微软雅黑"/>
          <w:sz w:val="22"/>
          <w:szCs w:val="22"/>
        </w:rPr>
        <w:t>6.代理机构内部编号：1678-264109806HTT</w:t>
      </w:r>
    </w:p>
    <w:p w14:paraId="09F900F9">
      <w:pPr>
        <w:numPr>
          <w:ilvl w:val="0"/>
          <w:numId w:val="4"/>
        </w:numPr>
        <w:spacing w:line="420" w:lineRule="exact"/>
        <w:rPr>
          <w:rFonts w:ascii="微软雅黑" w:hAnsi="微软雅黑" w:cs="微软雅黑"/>
          <w:b/>
          <w:bCs/>
          <w:sz w:val="22"/>
          <w:szCs w:val="28"/>
        </w:rPr>
      </w:pPr>
      <w:r>
        <w:rPr>
          <w:rFonts w:hint="eastAsia" w:ascii="微软雅黑" w:hAnsi="微软雅黑" w:cs="微软雅黑"/>
          <w:b/>
          <w:bCs/>
          <w:sz w:val="22"/>
          <w:szCs w:val="28"/>
        </w:rPr>
        <w:t>对本次招标提出询问，请按以下方式联系</w:t>
      </w:r>
      <w:bookmarkEnd w:id="8"/>
    </w:p>
    <w:p w14:paraId="0F26DF78">
      <w:pPr>
        <w:spacing w:line="420" w:lineRule="exact"/>
        <w:rPr>
          <w:rFonts w:ascii="微软雅黑" w:hAnsi="微软雅黑" w:cs="微软雅黑"/>
          <w:sz w:val="22"/>
          <w:szCs w:val="22"/>
        </w:rPr>
      </w:pPr>
      <w:r>
        <w:rPr>
          <w:rFonts w:hint="eastAsia" w:ascii="微软雅黑" w:hAnsi="微软雅黑" w:cs="微软雅黑"/>
          <w:sz w:val="22"/>
          <w:szCs w:val="22"/>
        </w:rPr>
        <w:t>1、采购方信息</w:t>
      </w:r>
    </w:p>
    <w:p w14:paraId="491733BA">
      <w:pPr>
        <w:spacing w:line="420" w:lineRule="exact"/>
        <w:rPr>
          <w:rFonts w:ascii="微软雅黑" w:hAnsi="微软雅黑" w:cs="微软雅黑"/>
          <w:sz w:val="22"/>
          <w:szCs w:val="22"/>
        </w:rPr>
      </w:pPr>
      <w:r>
        <w:rPr>
          <w:rFonts w:hint="eastAsia" w:ascii="微软雅黑" w:hAnsi="微软雅黑" w:cs="微软雅黑"/>
          <w:sz w:val="22"/>
          <w:szCs w:val="22"/>
        </w:rPr>
        <w:t>名称：南京工业大学</w:t>
      </w:r>
    </w:p>
    <w:p w14:paraId="793C8A0E">
      <w:pPr>
        <w:spacing w:line="420" w:lineRule="exact"/>
        <w:rPr>
          <w:rFonts w:ascii="微软雅黑" w:hAnsi="微软雅黑" w:cs="微软雅黑"/>
          <w:sz w:val="22"/>
          <w:szCs w:val="22"/>
        </w:rPr>
      </w:pPr>
      <w:r>
        <w:rPr>
          <w:rFonts w:hint="eastAsia" w:ascii="微软雅黑" w:hAnsi="微软雅黑" w:cs="微软雅黑"/>
          <w:sz w:val="22"/>
          <w:szCs w:val="22"/>
        </w:rPr>
        <w:t>地址：南京市浦口区浦珠南路30号</w:t>
      </w:r>
    </w:p>
    <w:p w14:paraId="7E7D03E8">
      <w:pPr>
        <w:spacing w:line="420" w:lineRule="exact"/>
        <w:rPr>
          <w:rFonts w:ascii="微软雅黑" w:hAnsi="微软雅黑" w:cs="微软雅黑"/>
          <w:sz w:val="22"/>
          <w:szCs w:val="22"/>
        </w:rPr>
      </w:pPr>
      <w:r>
        <w:rPr>
          <w:rFonts w:hint="eastAsia" w:ascii="微软雅黑" w:hAnsi="微软雅黑" w:cs="微软雅黑"/>
          <w:sz w:val="22"/>
          <w:szCs w:val="22"/>
        </w:rPr>
        <w:t>联系人：石老师</w:t>
      </w:r>
    </w:p>
    <w:p w14:paraId="23DE1D4E">
      <w:pPr>
        <w:spacing w:line="420" w:lineRule="exact"/>
        <w:rPr>
          <w:rFonts w:ascii="微软雅黑" w:hAnsi="微软雅黑" w:cs="微软雅黑"/>
          <w:sz w:val="22"/>
          <w:szCs w:val="22"/>
        </w:rPr>
      </w:pPr>
      <w:r>
        <w:rPr>
          <w:rFonts w:hint="eastAsia" w:ascii="微软雅黑" w:hAnsi="微软雅黑" w:cs="微软雅黑"/>
          <w:sz w:val="22"/>
          <w:szCs w:val="22"/>
        </w:rPr>
        <w:t>联系方式：025-58139230</w:t>
      </w:r>
    </w:p>
    <w:p w14:paraId="34C10B3F">
      <w:pPr>
        <w:spacing w:line="420" w:lineRule="exact"/>
        <w:rPr>
          <w:rFonts w:ascii="微软雅黑" w:hAnsi="微软雅黑" w:cs="微软雅黑"/>
          <w:sz w:val="22"/>
          <w:szCs w:val="22"/>
        </w:rPr>
      </w:pPr>
      <w:r>
        <w:rPr>
          <w:rFonts w:hint="eastAsia" w:ascii="微软雅黑" w:hAnsi="微软雅黑" w:cs="微软雅黑"/>
          <w:sz w:val="22"/>
          <w:szCs w:val="22"/>
        </w:rPr>
        <w:t>2、采购代理机构信息</w:t>
      </w:r>
    </w:p>
    <w:p w14:paraId="340BE716">
      <w:pPr>
        <w:spacing w:line="420" w:lineRule="exact"/>
        <w:rPr>
          <w:rFonts w:ascii="微软雅黑" w:hAnsi="微软雅黑" w:cs="微软雅黑"/>
          <w:sz w:val="22"/>
          <w:szCs w:val="22"/>
        </w:rPr>
      </w:pPr>
      <w:r>
        <w:rPr>
          <w:rFonts w:hint="eastAsia" w:ascii="微软雅黑" w:hAnsi="微软雅黑" w:cs="微软雅黑"/>
          <w:sz w:val="22"/>
          <w:szCs w:val="22"/>
        </w:rPr>
        <w:t>名称：江苏汉唐国际贸易集团有限公司</w:t>
      </w:r>
    </w:p>
    <w:p w14:paraId="08C8FCA7">
      <w:pPr>
        <w:spacing w:line="420" w:lineRule="exact"/>
        <w:rPr>
          <w:rFonts w:ascii="微软雅黑" w:hAnsi="微软雅黑" w:cs="微软雅黑"/>
          <w:sz w:val="22"/>
          <w:szCs w:val="22"/>
        </w:rPr>
      </w:pPr>
      <w:r>
        <w:rPr>
          <w:rFonts w:hint="eastAsia" w:ascii="微软雅黑" w:hAnsi="微软雅黑" w:cs="微软雅黑"/>
          <w:sz w:val="22"/>
          <w:szCs w:val="22"/>
        </w:rPr>
        <w:t>地址：南京市玄武区北京东路22号和平大厦1810室</w:t>
      </w:r>
    </w:p>
    <w:p w14:paraId="6C541154">
      <w:pPr>
        <w:spacing w:line="420" w:lineRule="exact"/>
        <w:rPr>
          <w:rFonts w:ascii="微软雅黑" w:hAnsi="微软雅黑" w:cs="微软雅黑"/>
          <w:sz w:val="22"/>
          <w:szCs w:val="22"/>
        </w:rPr>
      </w:pPr>
      <w:r>
        <w:rPr>
          <w:rFonts w:hint="eastAsia" w:ascii="微软雅黑" w:hAnsi="微软雅黑" w:cs="微软雅黑"/>
          <w:sz w:val="22"/>
          <w:szCs w:val="22"/>
        </w:rPr>
        <w:t>联系方式：025-86975797</w:t>
      </w:r>
    </w:p>
    <w:p w14:paraId="5CC4B3F5">
      <w:pPr>
        <w:spacing w:line="420" w:lineRule="exact"/>
        <w:rPr>
          <w:rFonts w:ascii="微软雅黑" w:hAnsi="微软雅黑" w:cs="微软雅黑"/>
          <w:sz w:val="22"/>
          <w:szCs w:val="22"/>
        </w:rPr>
      </w:pPr>
      <w:r>
        <w:rPr>
          <w:rFonts w:hint="eastAsia" w:ascii="微软雅黑" w:hAnsi="微软雅黑" w:cs="微软雅黑"/>
          <w:sz w:val="22"/>
          <w:szCs w:val="22"/>
        </w:rPr>
        <w:t>联系人：苍盛、杨涛、王梦珂、徐琳、唐虹</w:t>
      </w:r>
    </w:p>
    <w:p w14:paraId="492285E7">
      <w:pPr>
        <w:spacing w:line="420" w:lineRule="exact"/>
        <w:rPr>
          <w:rFonts w:ascii="微软雅黑" w:hAnsi="微软雅黑" w:cs="微软雅黑"/>
          <w:sz w:val="22"/>
          <w:szCs w:val="22"/>
        </w:rPr>
      </w:pPr>
      <w:r>
        <w:rPr>
          <w:rFonts w:hint="eastAsia" w:ascii="微软雅黑" w:hAnsi="微软雅黑" w:cs="微软雅黑"/>
          <w:sz w:val="22"/>
          <w:szCs w:val="22"/>
        </w:rPr>
        <w:t>邮箱：jshtzb18@sina.com</w:t>
      </w:r>
    </w:p>
    <w:p w14:paraId="13780DA0">
      <w:pPr>
        <w:spacing w:line="420" w:lineRule="exact"/>
        <w:rPr>
          <w:rFonts w:ascii="微软雅黑" w:hAnsi="微软雅黑" w:cs="微软雅黑"/>
          <w:sz w:val="22"/>
          <w:szCs w:val="22"/>
        </w:rPr>
      </w:pPr>
      <w:r>
        <w:rPr>
          <w:rFonts w:hint="eastAsia" w:ascii="微软雅黑" w:hAnsi="微软雅黑" w:cs="微软雅黑"/>
          <w:sz w:val="22"/>
          <w:szCs w:val="22"/>
        </w:rPr>
        <w:t>3、项目联系方式</w:t>
      </w:r>
    </w:p>
    <w:p w14:paraId="3F3E8009">
      <w:pPr>
        <w:spacing w:line="420" w:lineRule="exact"/>
        <w:rPr>
          <w:rFonts w:ascii="微软雅黑" w:hAnsi="微软雅黑" w:cs="微软雅黑"/>
          <w:sz w:val="22"/>
          <w:szCs w:val="22"/>
        </w:rPr>
      </w:pPr>
      <w:r>
        <w:rPr>
          <w:rFonts w:hint="eastAsia" w:ascii="微软雅黑" w:hAnsi="微软雅黑" w:cs="微软雅黑"/>
          <w:sz w:val="22"/>
          <w:szCs w:val="22"/>
        </w:rPr>
        <w:t>项目联系人：苍盛、杨涛、王梦珂、徐琳、唐虹</w:t>
      </w:r>
    </w:p>
    <w:p w14:paraId="62C27B44">
      <w:pPr>
        <w:spacing w:line="420" w:lineRule="exact"/>
        <w:rPr>
          <w:rFonts w:ascii="微软雅黑" w:hAnsi="微软雅黑" w:cs="微软雅黑"/>
          <w:sz w:val="22"/>
          <w:szCs w:val="22"/>
        </w:rPr>
      </w:pPr>
      <w:r>
        <w:rPr>
          <w:rFonts w:hint="eastAsia" w:ascii="微软雅黑" w:hAnsi="微软雅黑" w:cs="微软雅黑"/>
          <w:sz w:val="22"/>
          <w:szCs w:val="22"/>
        </w:rPr>
        <w:t>电话：025-86975797</w:t>
      </w:r>
    </w:p>
    <w:p w14:paraId="2E7A4A62">
      <w:pPr>
        <w:spacing w:line="360" w:lineRule="auto"/>
        <w:ind w:left="420" w:leftChars="200" w:firstLine="420" w:firstLineChars="200"/>
        <w:rPr>
          <w:rFonts w:ascii="宋体" w:hAnsi="宋体"/>
          <w:szCs w:val="21"/>
        </w:rPr>
      </w:pPr>
    </w:p>
    <w:p w14:paraId="464011FF">
      <w:pPr>
        <w:ind w:firstLine="422" w:firstLineChars="200"/>
        <w:rPr>
          <w:rFonts w:ascii="宋体" w:hAnsi="宋体"/>
          <w:b/>
          <w:szCs w:val="21"/>
        </w:rPr>
      </w:pPr>
    </w:p>
    <w:p w14:paraId="266D1C8A">
      <w:pPr>
        <w:ind w:firstLine="420" w:firstLineChars="200"/>
        <w:rPr>
          <w:rFonts w:ascii="宋体" w:hAnsi="宋体"/>
          <w:szCs w:val="21"/>
        </w:rPr>
        <w:sectPr>
          <w:pgSz w:w="11906" w:h="16838"/>
          <w:pgMar w:top="1560" w:right="1440" w:bottom="1440" w:left="1440" w:header="851" w:footer="992" w:gutter="0"/>
          <w:cols w:space="425" w:num="1"/>
          <w:docGrid w:type="lines" w:linePitch="312" w:charSpace="0"/>
        </w:sectPr>
      </w:pPr>
    </w:p>
    <w:p w14:paraId="6016FFEE">
      <w:pPr>
        <w:spacing w:line="440" w:lineRule="exact"/>
        <w:ind w:left="1440" w:hanging="1440"/>
        <w:jc w:val="center"/>
        <w:outlineLvl w:val="0"/>
        <w:rPr>
          <w:rFonts w:ascii="宋体" w:hAnsi="宋体" w:cs="Arial"/>
          <w:b/>
          <w:sz w:val="28"/>
          <w:szCs w:val="28"/>
        </w:rPr>
      </w:pPr>
      <w:bookmarkStart w:id="30" w:name="_Toc11982"/>
      <w:r>
        <w:rPr>
          <w:rFonts w:hint="eastAsia" w:ascii="宋体" w:hAnsi="宋体" w:cs="Arial"/>
          <w:b/>
          <w:sz w:val="28"/>
          <w:szCs w:val="28"/>
        </w:rPr>
        <w:t>第二部分：投标人须知</w:t>
      </w:r>
      <w:bookmarkEnd w:id="30"/>
    </w:p>
    <w:p w14:paraId="49772B1F">
      <w:pPr>
        <w:rPr>
          <w:rFonts w:ascii="宋体" w:hAnsi="宋体"/>
          <w:szCs w:val="21"/>
        </w:rPr>
      </w:pPr>
    </w:p>
    <w:p w14:paraId="0ACA18BA">
      <w:pPr>
        <w:spacing w:line="360" w:lineRule="auto"/>
        <w:ind w:left="238"/>
        <w:jc w:val="center"/>
        <w:outlineLvl w:val="1"/>
        <w:rPr>
          <w:rFonts w:ascii="宋体" w:hAnsi="宋体"/>
          <w:b/>
          <w:sz w:val="24"/>
        </w:rPr>
      </w:pPr>
      <w:bookmarkStart w:id="31" w:name="_Toc15055"/>
      <w:r>
        <w:rPr>
          <w:rFonts w:hint="eastAsia" w:ascii="宋体" w:hAnsi="宋体"/>
          <w:b/>
          <w:sz w:val="24"/>
        </w:rPr>
        <w:t>投标人须知前附表</w:t>
      </w:r>
      <w:bookmarkEnd w:id="31"/>
    </w:p>
    <w:tbl>
      <w:tblPr>
        <w:tblStyle w:val="36"/>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3"/>
        <w:gridCol w:w="8079"/>
      </w:tblGrid>
      <w:tr w14:paraId="208EE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tcBorders>
              <w:top w:val="single" w:color="auto" w:sz="4" w:space="0"/>
              <w:left w:val="single" w:color="auto" w:sz="4" w:space="0"/>
              <w:bottom w:val="single" w:color="auto" w:sz="4" w:space="0"/>
              <w:right w:val="single" w:color="auto" w:sz="4" w:space="0"/>
            </w:tcBorders>
            <w:vAlign w:val="center"/>
          </w:tcPr>
          <w:p w14:paraId="597B6092">
            <w:pPr>
              <w:spacing w:line="360" w:lineRule="auto"/>
              <w:jc w:val="center"/>
              <w:rPr>
                <w:rFonts w:ascii="宋体" w:hAnsi="宋体"/>
                <w:szCs w:val="21"/>
              </w:rPr>
            </w:pPr>
            <w:r>
              <w:rPr>
                <w:rFonts w:hint="eastAsia" w:ascii="宋体" w:hAnsi="宋体"/>
                <w:szCs w:val="21"/>
              </w:rPr>
              <w:t>条款号</w:t>
            </w:r>
          </w:p>
        </w:tc>
        <w:tc>
          <w:tcPr>
            <w:tcW w:w="8079" w:type="dxa"/>
            <w:tcBorders>
              <w:top w:val="single" w:color="auto" w:sz="4" w:space="0"/>
              <w:left w:val="single" w:color="auto" w:sz="4" w:space="0"/>
              <w:bottom w:val="single" w:color="auto" w:sz="4" w:space="0"/>
              <w:right w:val="single" w:color="auto" w:sz="4" w:space="0"/>
            </w:tcBorders>
            <w:vAlign w:val="center"/>
          </w:tcPr>
          <w:p w14:paraId="58C703E1">
            <w:pPr>
              <w:spacing w:line="360" w:lineRule="auto"/>
              <w:jc w:val="center"/>
              <w:rPr>
                <w:rFonts w:ascii="宋体" w:hAnsi="宋体"/>
                <w:szCs w:val="21"/>
              </w:rPr>
            </w:pPr>
            <w:r>
              <w:rPr>
                <w:rFonts w:hint="eastAsia" w:ascii="宋体" w:hAnsi="宋体"/>
                <w:szCs w:val="21"/>
              </w:rPr>
              <w:t>内容、要求</w:t>
            </w:r>
          </w:p>
        </w:tc>
      </w:tr>
      <w:tr w14:paraId="54BBA4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93" w:type="dxa"/>
            <w:tcBorders>
              <w:top w:val="single" w:color="auto" w:sz="4" w:space="0"/>
              <w:left w:val="single" w:color="auto" w:sz="4" w:space="0"/>
              <w:bottom w:val="single" w:color="auto" w:sz="4" w:space="0"/>
              <w:right w:val="single" w:color="auto" w:sz="4" w:space="0"/>
            </w:tcBorders>
            <w:vAlign w:val="center"/>
          </w:tcPr>
          <w:p w14:paraId="3A39588C">
            <w:pPr>
              <w:spacing w:line="360" w:lineRule="auto"/>
              <w:jc w:val="center"/>
              <w:rPr>
                <w:rFonts w:ascii="宋体" w:hAnsi="宋体"/>
                <w:szCs w:val="21"/>
              </w:rPr>
            </w:pPr>
            <w:r>
              <w:rPr>
                <w:rFonts w:hint="eastAsia" w:ascii="宋体" w:hAnsi="宋体"/>
                <w:szCs w:val="21"/>
              </w:rPr>
              <w:t>1</w:t>
            </w:r>
          </w:p>
        </w:tc>
        <w:tc>
          <w:tcPr>
            <w:tcW w:w="8079" w:type="dxa"/>
            <w:tcBorders>
              <w:top w:val="single" w:color="auto" w:sz="4" w:space="0"/>
              <w:left w:val="single" w:color="auto" w:sz="4" w:space="0"/>
              <w:bottom w:val="single" w:color="auto" w:sz="4" w:space="0"/>
              <w:right w:val="single" w:color="auto" w:sz="4" w:space="0"/>
            </w:tcBorders>
            <w:vAlign w:val="center"/>
          </w:tcPr>
          <w:p w14:paraId="5375B9C6">
            <w:pPr>
              <w:spacing w:line="360" w:lineRule="auto"/>
              <w:rPr>
                <w:rFonts w:ascii="宋体" w:hAnsi="宋体"/>
                <w:szCs w:val="21"/>
              </w:rPr>
            </w:pPr>
            <w:r>
              <w:rPr>
                <w:rFonts w:hint="eastAsia" w:ascii="宋体" w:hAnsi="宋体"/>
                <w:szCs w:val="21"/>
              </w:rPr>
              <w:t>项目名称：2026年第4批生产用金属磁性粉体材料采购</w:t>
            </w:r>
          </w:p>
          <w:p w14:paraId="393BFA99">
            <w:pPr>
              <w:spacing w:line="360" w:lineRule="auto"/>
              <w:rPr>
                <w:rFonts w:hint="eastAsia" w:ascii="Segoe UI" w:hAnsi="Segoe UI" w:eastAsia="宋体" w:cs="Segoe UI"/>
                <w:i w:val="0"/>
                <w:iCs w:val="0"/>
                <w:caps w:val="0"/>
                <w:spacing w:val="0"/>
                <w:sz w:val="21"/>
                <w:szCs w:val="21"/>
                <w:shd w:val="clear" w:fill="FFFFFF"/>
                <w:lang w:eastAsia="zh-CN"/>
              </w:rPr>
            </w:pPr>
            <w:r>
              <w:rPr>
                <w:rFonts w:hint="eastAsia" w:ascii="宋体" w:hAnsi="宋体"/>
                <w:szCs w:val="21"/>
                <w:highlight w:val="none"/>
              </w:rPr>
              <w:t>项目编号：</w:t>
            </w:r>
            <w:r>
              <w:rPr>
                <w:rFonts w:hint="eastAsia" w:ascii="Segoe UI" w:hAnsi="Segoe UI" w:cs="Segoe UI"/>
                <w:i w:val="0"/>
                <w:iCs w:val="0"/>
                <w:caps w:val="0"/>
                <w:spacing w:val="0"/>
                <w:sz w:val="21"/>
                <w:szCs w:val="21"/>
                <w:shd w:val="clear" w:fill="FFFFFF"/>
                <w:lang w:eastAsia="zh-CN"/>
              </w:rPr>
              <w:t>JSZC-320000-HTMY-G2026-0022</w:t>
            </w:r>
          </w:p>
          <w:p w14:paraId="28D618D9">
            <w:pPr>
              <w:spacing w:line="360" w:lineRule="auto"/>
              <w:rPr>
                <w:rFonts w:ascii="Segoe UI" w:hAnsi="Segoe UI" w:eastAsia="Segoe UI" w:cs="Segoe UI"/>
                <w:i w:val="0"/>
                <w:iCs w:val="0"/>
                <w:caps w:val="0"/>
                <w:spacing w:val="0"/>
                <w:sz w:val="21"/>
                <w:szCs w:val="21"/>
                <w:shd w:val="clear" w:fill="FFFFFF"/>
              </w:rPr>
            </w:pPr>
            <w:r>
              <w:rPr>
                <w:rFonts w:hint="eastAsia" w:ascii="Segoe UI" w:hAnsi="Segoe UI" w:eastAsia="Segoe UI" w:cs="Segoe UI"/>
                <w:i w:val="0"/>
                <w:iCs w:val="0"/>
                <w:caps w:val="0"/>
                <w:spacing w:val="0"/>
                <w:sz w:val="21"/>
                <w:szCs w:val="21"/>
                <w:shd w:val="clear" w:fill="FFFFFF"/>
              </w:rPr>
              <w:t>代理机构内部编号：1678-264109806HTT</w:t>
            </w:r>
          </w:p>
        </w:tc>
      </w:tr>
      <w:tr w14:paraId="01BD97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tcBorders>
              <w:top w:val="single" w:color="auto" w:sz="4" w:space="0"/>
              <w:left w:val="single" w:color="auto" w:sz="4" w:space="0"/>
              <w:bottom w:val="single" w:color="auto" w:sz="4" w:space="0"/>
              <w:right w:val="single" w:color="auto" w:sz="4" w:space="0"/>
            </w:tcBorders>
            <w:vAlign w:val="center"/>
          </w:tcPr>
          <w:p w14:paraId="3FC5B567">
            <w:pPr>
              <w:spacing w:line="360" w:lineRule="auto"/>
              <w:jc w:val="center"/>
              <w:rPr>
                <w:rFonts w:ascii="宋体" w:hAnsi="宋体"/>
                <w:szCs w:val="21"/>
              </w:rPr>
            </w:pPr>
            <w:r>
              <w:rPr>
                <w:rFonts w:hint="eastAsia" w:ascii="宋体" w:hAnsi="宋体"/>
                <w:szCs w:val="21"/>
              </w:rPr>
              <w:t>2</w:t>
            </w:r>
          </w:p>
        </w:tc>
        <w:tc>
          <w:tcPr>
            <w:tcW w:w="8079" w:type="dxa"/>
            <w:tcBorders>
              <w:top w:val="single" w:color="auto" w:sz="4" w:space="0"/>
              <w:left w:val="single" w:color="auto" w:sz="4" w:space="0"/>
              <w:bottom w:val="single" w:color="auto" w:sz="4" w:space="0"/>
              <w:right w:val="single" w:color="auto" w:sz="4" w:space="0"/>
            </w:tcBorders>
            <w:vAlign w:val="center"/>
          </w:tcPr>
          <w:p w14:paraId="54D32515">
            <w:pPr>
              <w:spacing w:line="360" w:lineRule="auto"/>
              <w:rPr>
                <w:rFonts w:ascii="宋体" w:hAnsi="宋体"/>
                <w:szCs w:val="21"/>
              </w:rPr>
            </w:pPr>
            <w:r>
              <w:rPr>
                <w:rFonts w:hint="eastAsia" w:ascii="宋体" w:hAnsi="宋体"/>
                <w:szCs w:val="21"/>
              </w:rPr>
              <w:t>公告发布媒体：</w:t>
            </w:r>
            <w:r>
              <w:rPr>
                <w:rFonts w:hint="eastAsia" w:ascii="宋体" w:hAnsi="宋体"/>
              </w:rPr>
              <w:t>江苏政府采购网</w:t>
            </w:r>
          </w:p>
        </w:tc>
      </w:tr>
      <w:tr w14:paraId="1AA23C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tcBorders>
              <w:top w:val="single" w:color="auto" w:sz="4" w:space="0"/>
              <w:left w:val="single" w:color="auto" w:sz="4" w:space="0"/>
              <w:bottom w:val="single" w:color="auto" w:sz="4" w:space="0"/>
              <w:right w:val="single" w:color="auto" w:sz="4" w:space="0"/>
            </w:tcBorders>
            <w:vAlign w:val="center"/>
          </w:tcPr>
          <w:p w14:paraId="7078B4C2">
            <w:pPr>
              <w:spacing w:line="360" w:lineRule="auto"/>
              <w:jc w:val="center"/>
              <w:rPr>
                <w:rFonts w:ascii="宋体" w:hAnsi="宋体"/>
                <w:szCs w:val="21"/>
              </w:rPr>
            </w:pPr>
            <w:r>
              <w:rPr>
                <w:rFonts w:hint="eastAsia" w:ascii="宋体" w:hAnsi="宋体"/>
                <w:szCs w:val="21"/>
              </w:rPr>
              <w:t>3</w:t>
            </w:r>
          </w:p>
        </w:tc>
        <w:tc>
          <w:tcPr>
            <w:tcW w:w="8079" w:type="dxa"/>
            <w:tcBorders>
              <w:top w:val="single" w:color="auto" w:sz="4" w:space="0"/>
              <w:left w:val="single" w:color="auto" w:sz="4" w:space="0"/>
              <w:bottom w:val="single" w:color="auto" w:sz="4" w:space="0"/>
              <w:right w:val="single" w:color="auto" w:sz="4" w:space="0"/>
            </w:tcBorders>
            <w:vAlign w:val="center"/>
          </w:tcPr>
          <w:p w14:paraId="1DD05465">
            <w:pPr>
              <w:spacing w:line="360" w:lineRule="auto"/>
              <w:jc w:val="left"/>
              <w:rPr>
                <w:rFonts w:ascii="宋体" w:hAnsi="宋体"/>
                <w:szCs w:val="21"/>
              </w:rPr>
            </w:pPr>
            <w:r>
              <w:rPr>
                <w:rFonts w:hint="eastAsia" w:ascii="宋体" w:hAnsi="宋体"/>
                <w:szCs w:val="21"/>
              </w:rPr>
              <w:t>资金来源：</w:t>
            </w:r>
            <w:r>
              <w:rPr>
                <w:rFonts w:hint="eastAsia" w:ascii="宋体" w:hAnsi="宋体" w:cs="宋体"/>
                <w:kern w:val="0"/>
                <w:szCs w:val="21"/>
              </w:rPr>
              <w:t>财政资金</w:t>
            </w:r>
          </w:p>
        </w:tc>
      </w:tr>
      <w:tr w14:paraId="7455F1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4A9E1373">
            <w:pPr>
              <w:spacing w:line="360" w:lineRule="auto"/>
              <w:jc w:val="center"/>
              <w:rPr>
                <w:rFonts w:ascii="宋体" w:hAnsi="宋体"/>
                <w:szCs w:val="21"/>
              </w:rPr>
            </w:pPr>
            <w:r>
              <w:rPr>
                <w:rFonts w:hint="eastAsia" w:ascii="宋体" w:hAnsi="宋体"/>
                <w:szCs w:val="21"/>
              </w:rPr>
              <w:t>4</w:t>
            </w:r>
          </w:p>
        </w:tc>
        <w:tc>
          <w:tcPr>
            <w:tcW w:w="8079" w:type="dxa"/>
            <w:tcBorders>
              <w:top w:val="single" w:color="auto" w:sz="4" w:space="0"/>
              <w:left w:val="single" w:color="auto" w:sz="4" w:space="0"/>
              <w:bottom w:val="single" w:color="auto" w:sz="4" w:space="0"/>
              <w:right w:val="single" w:color="auto" w:sz="4" w:space="0"/>
            </w:tcBorders>
            <w:vAlign w:val="center"/>
          </w:tcPr>
          <w:p w14:paraId="28BEB92A">
            <w:pPr>
              <w:spacing w:line="360" w:lineRule="auto"/>
              <w:jc w:val="left"/>
              <w:rPr>
                <w:rFonts w:ascii="宋体" w:hAnsi="宋体"/>
                <w:szCs w:val="21"/>
              </w:rPr>
            </w:pPr>
            <w:r>
              <w:rPr>
                <w:rFonts w:hint="eastAsia" w:ascii="宋体" w:hAnsi="宋体"/>
              </w:rPr>
              <w:t>预算金额/最高限价：</w:t>
            </w:r>
            <w:r>
              <w:rPr>
                <w:rFonts w:hint="eastAsia" w:ascii="宋体" w:hAnsi="宋体"/>
                <w:szCs w:val="21"/>
              </w:rPr>
              <w:t>150万元</w:t>
            </w:r>
            <w:r>
              <w:rPr>
                <w:rFonts w:hint="eastAsia" w:ascii="宋体" w:hAnsi="宋体"/>
                <w:color w:val="000000" w:themeColor="text1"/>
                <w:szCs w:val="21"/>
                <w14:textFill>
                  <w14:solidFill>
                    <w14:schemeClr w14:val="tx1"/>
                  </w14:solidFill>
                </w14:textFill>
              </w:rPr>
              <w:t>，</w:t>
            </w:r>
            <w:r>
              <w:rPr>
                <w:rFonts w:ascii="宋体" w:hAnsi="宋体"/>
                <w:b/>
                <w:bCs/>
                <w:color w:val="000000" w:themeColor="text1"/>
                <w:szCs w:val="21"/>
                <w14:textFill>
                  <w14:solidFill>
                    <w14:schemeClr w14:val="tx1"/>
                  </w14:solidFill>
                </w14:textFill>
              </w:rPr>
              <w:t>报价超过</w:t>
            </w:r>
            <w:r>
              <w:rPr>
                <w:rFonts w:hint="eastAsia" w:ascii="宋体" w:hAnsi="宋体"/>
                <w:b/>
                <w:bCs/>
                <w:color w:val="000000" w:themeColor="text1"/>
                <w:szCs w:val="21"/>
                <w14:textFill>
                  <w14:solidFill>
                    <w14:schemeClr w14:val="tx1"/>
                  </w14:solidFill>
                </w14:textFill>
              </w:rPr>
              <w:t>预算金额/最高限价的</w:t>
            </w:r>
            <w:r>
              <w:rPr>
                <w:rFonts w:ascii="宋体" w:hAnsi="宋体"/>
                <w:b/>
                <w:bCs/>
                <w:color w:val="000000" w:themeColor="text1"/>
                <w:szCs w:val="21"/>
                <w14:textFill>
                  <w14:solidFill>
                    <w14:schemeClr w14:val="tx1"/>
                  </w14:solidFill>
                </w14:textFill>
              </w:rPr>
              <w:t>将作无效</w:t>
            </w:r>
            <w:r>
              <w:rPr>
                <w:rFonts w:hint="eastAsia" w:ascii="宋体" w:hAnsi="宋体"/>
                <w:b/>
                <w:bCs/>
                <w:color w:val="000000" w:themeColor="text1"/>
                <w:szCs w:val="21"/>
                <w14:textFill>
                  <w14:solidFill>
                    <w14:schemeClr w14:val="tx1"/>
                  </w14:solidFill>
                </w14:textFill>
              </w:rPr>
              <w:t>响应</w:t>
            </w:r>
            <w:r>
              <w:rPr>
                <w:rFonts w:ascii="宋体" w:hAnsi="宋体"/>
                <w:b/>
                <w:bCs/>
                <w:color w:val="000000" w:themeColor="text1"/>
                <w:szCs w:val="21"/>
                <w14:textFill>
                  <w14:solidFill>
                    <w14:schemeClr w14:val="tx1"/>
                  </w14:solidFill>
                </w14:textFill>
              </w:rPr>
              <w:t>处理</w:t>
            </w:r>
            <w:r>
              <w:rPr>
                <w:rFonts w:hint="eastAsia" w:ascii="宋体" w:hAnsi="宋体"/>
                <w:b/>
                <w:bCs/>
                <w:color w:val="000000" w:themeColor="text1"/>
                <w:szCs w:val="21"/>
                <w14:textFill>
                  <w14:solidFill>
                    <w14:schemeClr w14:val="tx1"/>
                  </w14:solidFill>
                </w14:textFill>
              </w:rPr>
              <w:t>。</w:t>
            </w:r>
          </w:p>
        </w:tc>
      </w:tr>
      <w:tr w14:paraId="062273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tcBorders>
              <w:top w:val="single" w:color="auto" w:sz="4" w:space="0"/>
              <w:left w:val="single" w:color="auto" w:sz="4" w:space="0"/>
              <w:bottom w:val="single" w:color="auto" w:sz="4" w:space="0"/>
              <w:right w:val="single" w:color="auto" w:sz="4" w:space="0"/>
            </w:tcBorders>
            <w:vAlign w:val="center"/>
          </w:tcPr>
          <w:p w14:paraId="7F90AE88">
            <w:pPr>
              <w:spacing w:line="360" w:lineRule="auto"/>
              <w:jc w:val="center"/>
              <w:rPr>
                <w:rFonts w:ascii="宋体" w:hAnsi="宋体"/>
                <w:szCs w:val="21"/>
              </w:rPr>
            </w:pPr>
            <w:r>
              <w:rPr>
                <w:rFonts w:hint="eastAsia" w:ascii="宋体" w:hAnsi="宋体"/>
                <w:szCs w:val="21"/>
              </w:rPr>
              <w:t>5</w:t>
            </w:r>
          </w:p>
        </w:tc>
        <w:tc>
          <w:tcPr>
            <w:tcW w:w="8079" w:type="dxa"/>
            <w:tcBorders>
              <w:top w:val="single" w:color="auto" w:sz="4" w:space="0"/>
              <w:left w:val="single" w:color="auto" w:sz="4" w:space="0"/>
              <w:bottom w:val="single" w:color="auto" w:sz="4" w:space="0"/>
              <w:right w:val="single" w:color="auto" w:sz="4" w:space="0"/>
            </w:tcBorders>
            <w:vAlign w:val="center"/>
          </w:tcPr>
          <w:p w14:paraId="3440D73A">
            <w:pPr>
              <w:spacing w:line="360" w:lineRule="auto"/>
              <w:jc w:val="left"/>
              <w:rPr>
                <w:rFonts w:ascii="宋体" w:hAnsi="宋体"/>
                <w:szCs w:val="21"/>
              </w:rPr>
            </w:pPr>
            <w:r>
              <w:rPr>
                <w:rFonts w:hint="eastAsia" w:ascii="宋体" w:hAnsi="宋体"/>
                <w:szCs w:val="21"/>
              </w:rPr>
              <w:t>采购方式：公开招标</w:t>
            </w:r>
          </w:p>
        </w:tc>
      </w:tr>
      <w:tr w14:paraId="062FF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tcBorders>
              <w:top w:val="single" w:color="auto" w:sz="4" w:space="0"/>
              <w:left w:val="single" w:color="auto" w:sz="4" w:space="0"/>
              <w:bottom w:val="single" w:color="auto" w:sz="4" w:space="0"/>
              <w:right w:val="single" w:color="auto" w:sz="4" w:space="0"/>
            </w:tcBorders>
            <w:vAlign w:val="center"/>
          </w:tcPr>
          <w:p w14:paraId="75D9C43F">
            <w:pPr>
              <w:spacing w:line="360" w:lineRule="auto"/>
              <w:jc w:val="center"/>
              <w:rPr>
                <w:rFonts w:ascii="宋体" w:hAnsi="宋体"/>
                <w:szCs w:val="21"/>
              </w:rPr>
            </w:pPr>
            <w:r>
              <w:rPr>
                <w:rFonts w:hint="eastAsia" w:ascii="宋体" w:hAnsi="宋体"/>
                <w:szCs w:val="21"/>
              </w:rPr>
              <w:t>6</w:t>
            </w:r>
          </w:p>
        </w:tc>
        <w:tc>
          <w:tcPr>
            <w:tcW w:w="8079" w:type="dxa"/>
            <w:tcBorders>
              <w:top w:val="single" w:color="auto" w:sz="4" w:space="0"/>
              <w:left w:val="single" w:color="auto" w:sz="4" w:space="0"/>
              <w:bottom w:val="single" w:color="auto" w:sz="4" w:space="0"/>
              <w:right w:val="single" w:color="auto" w:sz="4" w:space="0"/>
            </w:tcBorders>
            <w:vAlign w:val="center"/>
          </w:tcPr>
          <w:p w14:paraId="7B408D88">
            <w:pPr>
              <w:spacing w:line="360" w:lineRule="auto"/>
              <w:jc w:val="left"/>
              <w:rPr>
                <w:rFonts w:ascii="宋体" w:hAnsi="宋体"/>
                <w:szCs w:val="21"/>
              </w:rPr>
            </w:pPr>
            <w:r>
              <w:rPr>
                <w:rFonts w:hint="eastAsia" w:ascii="微软雅黑" w:hAnsi="微软雅黑" w:cs="微软雅黑"/>
                <w:szCs w:val="21"/>
              </w:rPr>
              <w:t>投标文件递交开始时间、截止时间及地点：详见第一章 投标邀请书（招标公告）</w:t>
            </w:r>
          </w:p>
        </w:tc>
      </w:tr>
      <w:tr w14:paraId="3610E4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61480A94">
            <w:pPr>
              <w:spacing w:line="360" w:lineRule="auto"/>
              <w:jc w:val="center"/>
              <w:rPr>
                <w:rFonts w:ascii="宋体" w:hAnsi="宋体"/>
                <w:szCs w:val="21"/>
              </w:rPr>
            </w:pPr>
            <w:r>
              <w:rPr>
                <w:rFonts w:hint="eastAsia" w:ascii="宋体" w:hAnsi="宋体"/>
                <w:szCs w:val="21"/>
              </w:rPr>
              <w:t>7</w:t>
            </w:r>
          </w:p>
        </w:tc>
        <w:tc>
          <w:tcPr>
            <w:tcW w:w="8079" w:type="dxa"/>
            <w:tcBorders>
              <w:top w:val="single" w:color="auto" w:sz="4" w:space="0"/>
              <w:left w:val="single" w:color="auto" w:sz="4" w:space="0"/>
              <w:bottom w:val="single" w:color="auto" w:sz="4" w:space="0"/>
              <w:right w:val="single" w:color="auto" w:sz="4" w:space="0"/>
            </w:tcBorders>
            <w:vAlign w:val="center"/>
          </w:tcPr>
          <w:p w14:paraId="1498B9E9">
            <w:pPr>
              <w:autoSpaceDE w:val="0"/>
              <w:autoSpaceDN w:val="0"/>
              <w:spacing w:line="360" w:lineRule="auto"/>
              <w:textAlignment w:val="bottom"/>
              <w:rPr>
                <w:rFonts w:ascii="宋体" w:hAnsi="宋体"/>
                <w:szCs w:val="21"/>
              </w:rPr>
            </w:pPr>
            <w:r>
              <w:rPr>
                <w:rFonts w:ascii="宋体" w:hAnsi="宋体"/>
                <w:szCs w:val="21"/>
              </w:rPr>
              <w:t>信用信息</w:t>
            </w:r>
            <w:r>
              <w:rPr>
                <w:rFonts w:hint="eastAsia" w:ascii="宋体" w:hAnsi="宋体"/>
                <w:szCs w:val="21"/>
              </w:rPr>
              <w:t>（</w:t>
            </w:r>
            <w:r>
              <w:rPr>
                <w:rFonts w:hint="eastAsia" w:ascii="宋体" w:hAnsi="宋体"/>
                <w:b/>
                <w:bCs/>
                <w:i/>
                <w:iCs/>
                <w:szCs w:val="21"/>
                <w:u w:val="single"/>
              </w:rPr>
              <w:t>由采购代理机构查询</w:t>
            </w:r>
            <w:r>
              <w:rPr>
                <w:rFonts w:hint="eastAsia" w:ascii="宋体" w:hAnsi="宋体"/>
                <w:szCs w:val="21"/>
              </w:rPr>
              <w:t>）：</w:t>
            </w:r>
          </w:p>
          <w:p w14:paraId="4220E28E">
            <w:pPr>
              <w:autoSpaceDE w:val="0"/>
              <w:autoSpaceDN w:val="0"/>
              <w:spacing w:line="360" w:lineRule="auto"/>
              <w:textAlignment w:val="bottom"/>
              <w:rPr>
                <w:rFonts w:ascii="宋体" w:hAnsi="宋体"/>
                <w:szCs w:val="21"/>
              </w:rPr>
            </w:pPr>
            <w:r>
              <w:rPr>
                <w:rFonts w:hint="eastAsia" w:ascii="宋体" w:hAnsi="宋体"/>
                <w:szCs w:val="21"/>
              </w:rPr>
              <w:t>（1）</w:t>
            </w:r>
            <w:r>
              <w:rPr>
                <w:rFonts w:ascii="宋体" w:hAnsi="宋体"/>
                <w:szCs w:val="21"/>
              </w:rPr>
              <w:t>信用信息查询渠道</w:t>
            </w:r>
            <w:r>
              <w:rPr>
                <w:rFonts w:hint="eastAsia" w:ascii="宋体" w:hAnsi="宋体"/>
                <w:szCs w:val="21"/>
              </w:rPr>
              <w:t>：</w:t>
            </w:r>
            <w:r>
              <w:rPr>
                <w:rFonts w:ascii="宋体" w:hAnsi="宋体"/>
                <w:szCs w:val="21"/>
              </w:rPr>
              <w:t>“信用中国”网站(www.creditchina.gov.cn)、中国政府采购网(www.ccgp.gov.cn)等。</w:t>
            </w:r>
          </w:p>
          <w:p w14:paraId="02A0434C">
            <w:pPr>
              <w:autoSpaceDE w:val="0"/>
              <w:autoSpaceDN w:val="0"/>
              <w:spacing w:line="360" w:lineRule="auto"/>
              <w:textAlignment w:val="bottom"/>
              <w:rPr>
                <w:rFonts w:ascii="宋体" w:hAnsi="宋体"/>
                <w:szCs w:val="21"/>
              </w:rPr>
            </w:pPr>
            <w:r>
              <w:rPr>
                <w:rFonts w:hint="eastAsia" w:ascii="宋体" w:hAnsi="宋体"/>
                <w:szCs w:val="21"/>
              </w:rPr>
              <w:t>（2）</w:t>
            </w:r>
            <w:r>
              <w:rPr>
                <w:rFonts w:ascii="宋体" w:hAnsi="宋体"/>
                <w:szCs w:val="21"/>
              </w:rPr>
              <w:t>信用信息查询截止时点</w:t>
            </w:r>
            <w:r>
              <w:rPr>
                <w:rFonts w:hint="eastAsia" w:ascii="宋体" w:hAnsi="宋体"/>
                <w:szCs w:val="21"/>
              </w:rPr>
              <w:t>：提交响应文件截止之日</w:t>
            </w:r>
            <w:r>
              <w:rPr>
                <w:rFonts w:ascii="宋体" w:hAnsi="宋体"/>
                <w:szCs w:val="21"/>
              </w:rPr>
              <w:t>24</w:t>
            </w:r>
            <w:r>
              <w:rPr>
                <w:rFonts w:hint="eastAsia" w:ascii="宋体" w:hAnsi="宋体"/>
                <w:szCs w:val="21"/>
              </w:rPr>
              <w:t>时内。</w:t>
            </w:r>
          </w:p>
          <w:p w14:paraId="594268B0">
            <w:pPr>
              <w:autoSpaceDE w:val="0"/>
              <w:autoSpaceDN w:val="0"/>
              <w:spacing w:line="360" w:lineRule="auto"/>
              <w:textAlignment w:val="bottom"/>
              <w:rPr>
                <w:rFonts w:ascii="宋体" w:hAnsi="宋体"/>
                <w:szCs w:val="21"/>
              </w:rPr>
            </w:pPr>
            <w:r>
              <w:rPr>
                <w:rFonts w:hint="eastAsia" w:ascii="宋体" w:hAnsi="宋体"/>
                <w:szCs w:val="21"/>
              </w:rPr>
              <w:t>（3）</w:t>
            </w:r>
            <w:r>
              <w:rPr>
                <w:rFonts w:ascii="宋体" w:hAnsi="宋体"/>
                <w:szCs w:val="21"/>
              </w:rPr>
              <w:t>信用信息查询记录和证据留存的具体方式</w:t>
            </w:r>
            <w:r>
              <w:rPr>
                <w:rFonts w:hint="eastAsia" w:ascii="宋体" w:hAnsi="宋体"/>
                <w:szCs w:val="21"/>
              </w:rPr>
              <w:t>：</w:t>
            </w:r>
            <w:r>
              <w:rPr>
                <w:rFonts w:ascii="宋体" w:hAnsi="宋体"/>
                <w:szCs w:val="21"/>
              </w:rPr>
              <w:t>信用信息查询记录将以网站截图打印稿形式与其他采购文件一并保存。</w:t>
            </w:r>
          </w:p>
          <w:p w14:paraId="7E3B63CA">
            <w:pPr>
              <w:autoSpaceDE w:val="0"/>
              <w:autoSpaceDN w:val="0"/>
              <w:spacing w:line="360" w:lineRule="auto"/>
              <w:textAlignment w:val="bottom"/>
              <w:rPr>
                <w:rFonts w:ascii="宋体" w:hAnsi="宋体"/>
                <w:szCs w:val="21"/>
              </w:rPr>
            </w:pPr>
            <w:r>
              <w:rPr>
                <w:rFonts w:hint="eastAsia" w:ascii="宋体" w:hAnsi="宋体"/>
                <w:szCs w:val="21"/>
              </w:rPr>
              <w:t>（4）</w:t>
            </w:r>
            <w:r>
              <w:rPr>
                <w:rFonts w:ascii="宋体" w:hAnsi="宋体"/>
                <w:szCs w:val="21"/>
              </w:rPr>
              <w:t>信用信息的使用规则</w:t>
            </w:r>
            <w:r>
              <w:rPr>
                <w:rFonts w:hint="eastAsia" w:ascii="宋体" w:hAnsi="宋体"/>
                <w:szCs w:val="21"/>
              </w:rPr>
              <w:t>：</w:t>
            </w:r>
            <w:r>
              <w:rPr>
                <w:rFonts w:ascii="宋体" w:hAnsi="宋体"/>
                <w:szCs w:val="21"/>
              </w:rPr>
              <w:t>拒绝列入失信被执行人、重大税收违法案件当事人名单、政府采购严重违法失信行为记录名单的</w:t>
            </w:r>
            <w:r>
              <w:rPr>
                <w:rFonts w:hint="eastAsia" w:ascii="宋体" w:hAnsi="宋体"/>
                <w:szCs w:val="21"/>
              </w:rPr>
              <w:t>供应商</w:t>
            </w:r>
            <w:r>
              <w:rPr>
                <w:rFonts w:ascii="宋体" w:hAnsi="宋体"/>
                <w:szCs w:val="21"/>
              </w:rPr>
              <w:t>参与政府采购活动。联合体成员存在不良信用记录的，视同联合体存在不良信用记录。</w:t>
            </w:r>
          </w:p>
        </w:tc>
      </w:tr>
      <w:tr w14:paraId="56C6F4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3D01E1AE">
            <w:pPr>
              <w:spacing w:line="360" w:lineRule="auto"/>
              <w:jc w:val="center"/>
              <w:rPr>
                <w:rFonts w:ascii="宋体" w:hAnsi="宋体"/>
                <w:szCs w:val="21"/>
              </w:rPr>
            </w:pPr>
            <w:r>
              <w:rPr>
                <w:rFonts w:hint="eastAsia" w:ascii="宋体" w:hAnsi="宋体"/>
                <w:szCs w:val="21"/>
              </w:rPr>
              <w:t>8</w:t>
            </w:r>
          </w:p>
        </w:tc>
        <w:tc>
          <w:tcPr>
            <w:tcW w:w="8079" w:type="dxa"/>
            <w:tcBorders>
              <w:top w:val="single" w:color="auto" w:sz="4" w:space="0"/>
              <w:left w:val="single" w:color="auto" w:sz="4" w:space="0"/>
              <w:bottom w:val="single" w:color="auto" w:sz="4" w:space="0"/>
              <w:right w:val="single" w:color="auto" w:sz="4" w:space="0"/>
            </w:tcBorders>
            <w:vAlign w:val="center"/>
          </w:tcPr>
          <w:p w14:paraId="0250A1C0">
            <w:pPr>
              <w:spacing w:line="360" w:lineRule="auto"/>
              <w:rPr>
                <w:rFonts w:ascii="宋体" w:hAnsi="宋体"/>
                <w:szCs w:val="21"/>
              </w:rPr>
            </w:pPr>
            <w:r>
              <w:rPr>
                <w:rFonts w:hint="eastAsia" w:ascii="宋体" w:hAnsi="宋体"/>
                <w:szCs w:val="21"/>
              </w:rPr>
              <w:t>投标保证金：本项目</w:t>
            </w:r>
            <w:r>
              <w:rPr>
                <w:rFonts w:hint="eastAsia" w:ascii="宋体" w:hAnsi="宋体"/>
                <w:b/>
                <w:bCs/>
                <w:szCs w:val="21"/>
              </w:rPr>
              <w:t>不收取</w:t>
            </w:r>
            <w:r>
              <w:rPr>
                <w:rFonts w:hint="eastAsia" w:ascii="宋体" w:hAnsi="宋体"/>
                <w:szCs w:val="21"/>
              </w:rPr>
              <w:t>投标保证金，本文件中涉及投标保证金的条款均不适用。</w:t>
            </w:r>
          </w:p>
        </w:tc>
      </w:tr>
      <w:tr w14:paraId="242428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118EE14F">
            <w:pPr>
              <w:spacing w:line="360" w:lineRule="auto"/>
              <w:jc w:val="center"/>
              <w:rPr>
                <w:rFonts w:ascii="宋体" w:hAnsi="宋体"/>
                <w:szCs w:val="21"/>
              </w:rPr>
            </w:pPr>
            <w:r>
              <w:rPr>
                <w:rFonts w:hint="eastAsia" w:ascii="宋体" w:hAnsi="宋体"/>
                <w:szCs w:val="21"/>
              </w:rPr>
              <w:t>9</w:t>
            </w:r>
          </w:p>
        </w:tc>
        <w:tc>
          <w:tcPr>
            <w:tcW w:w="8079" w:type="dxa"/>
            <w:tcBorders>
              <w:top w:val="single" w:color="auto" w:sz="4" w:space="0"/>
              <w:left w:val="single" w:color="auto" w:sz="4" w:space="0"/>
              <w:bottom w:val="single" w:color="auto" w:sz="4" w:space="0"/>
              <w:right w:val="single" w:color="auto" w:sz="4" w:space="0"/>
            </w:tcBorders>
            <w:vAlign w:val="center"/>
          </w:tcPr>
          <w:p w14:paraId="2F95B223">
            <w:pPr>
              <w:spacing w:line="360" w:lineRule="auto"/>
              <w:rPr>
                <w:rFonts w:ascii="宋体" w:hAnsi="宋体"/>
                <w:szCs w:val="21"/>
              </w:rPr>
            </w:pPr>
            <w:r>
              <w:rPr>
                <w:rFonts w:hint="eastAsia" w:ascii="宋体" w:hAnsi="宋体"/>
                <w:szCs w:val="21"/>
              </w:rPr>
              <w:t>招标代理服务费：</w:t>
            </w:r>
          </w:p>
          <w:p w14:paraId="68DCF27D">
            <w:pPr>
              <w:spacing w:line="360" w:lineRule="auto"/>
            </w:pPr>
            <w:r>
              <w:rPr>
                <w:rFonts w:hint="eastAsia" w:ascii="宋体" w:hAnsi="宋体"/>
              </w:rPr>
              <w:t>（1）投标人应在中标后向采购代理机构支付代理服务费。代理服务费</w:t>
            </w:r>
            <w:r>
              <w:rPr>
                <w:rFonts w:hint="eastAsia" w:ascii="宋体" w:hAnsi="宋体"/>
                <w:color w:val="000000" w:themeColor="text1"/>
                <w14:textFill>
                  <w14:solidFill>
                    <w14:schemeClr w14:val="tx1"/>
                  </w14:solidFill>
                </w14:textFill>
              </w:rPr>
              <w:t>以</w:t>
            </w:r>
            <w:r>
              <w:rPr>
                <w:rFonts w:hint="eastAsia" w:ascii="宋体" w:hAnsi="宋体"/>
                <w:b/>
                <w:bCs/>
                <w:color w:val="000000" w:themeColor="text1"/>
                <w14:textFill>
                  <w14:solidFill>
                    <w14:schemeClr w14:val="tx1"/>
                  </w14:solidFill>
                </w14:textFill>
              </w:rPr>
              <w:t>中标金额</w:t>
            </w:r>
            <w:r>
              <w:rPr>
                <w:rFonts w:hint="eastAsia" w:ascii="宋体" w:hAnsi="宋体"/>
              </w:rPr>
              <w:t>作为收取的计算基数，</w:t>
            </w:r>
            <w:r>
              <w:t>依据下表中的服务费率，采用差额定率累进法计算代理服务费金额。</w:t>
            </w:r>
            <w:r>
              <w:rPr>
                <w:rFonts w:hint="eastAsia"/>
              </w:rPr>
              <w:t>每个项目最低收费</w:t>
            </w:r>
            <w:r>
              <w:rPr>
                <w:rFonts w:hint="eastAsia"/>
                <w:b/>
                <w:bCs/>
              </w:rPr>
              <w:t>3000元</w:t>
            </w:r>
            <w:r>
              <w:rPr>
                <w:rFonts w:hint="eastAsia"/>
              </w:rPr>
              <w:t>。</w:t>
            </w:r>
          </w:p>
          <w:tbl>
            <w:tblPr>
              <w:tblStyle w:val="36"/>
              <w:tblW w:w="7366" w:type="dxa"/>
              <w:jc w:val="center"/>
              <w:tblLayout w:type="fixed"/>
              <w:tblCellMar>
                <w:top w:w="0" w:type="dxa"/>
                <w:left w:w="108" w:type="dxa"/>
                <w:bottom w:w="0" w:type="dxa"/>
                <w:right w:w="108" w:type="dxa"/>
              </w:tblCellMar>
            </w:tblPr>
            <w:tblGrid>
              <w:gridCol w:w="2830"/>
              <w:gridCol w:w="2268"/>
              <w:gridCol w:w="2268"/>
            </w:tblGrid>
            <w:tr w14:paraId="0B199113">
              <w:tblPrEx>
                <w:tblCellMar>
                  <w:top w:w="0" w:type="dxa"/>
                  <w:left w:w="108" w:type="dxa"/>
                  <w:bottom w:w="0" w:type="dxa"/>
                  <w:right w:w="108" w:type="dxa"/>
                </w:tblCellMar>
              </w:tblPrEx>
              <w:trPr>
                <w:trHeight w:val="634" w:hRule="atLeast"/>
                <w:jc w:val="center"/>
              </w:trPr>
              <w:tc>
                <w:tcPr>
                  <w:tcW w:w="2830" w:type="dxa"/>
                  <w:tcBorders>
                    <w:top w:val="single" w:color="auto" w:sz="4" w:space="0"/>
                    <w:left w:val="single" w:color="auto" w:sz="4" w:space="0"/>
                    <w:bottom w:val="single" w:color="auto" w:sz="4" w:space="0"/>
                    <w:right w:val="single" w:color="auto" w:sz="4" w:space="0"/>
                    <w:tl2br w:val="single" w:color="auto" w:sz="4" w:space="0"/>
                  </w:tcBorders>
                  <w:vAlign w:val="center"/>
                </w:tcPr>
                <w:p w14:paraId="6970B9C6">
                  <w:pPr>
                    <w:rPr>
                      <w:rFonts w:cs="宋体"/>
                    </w:rPr>
                  </w:pPr>
                  <w:r>
                    <w:rPr>
                      <w:rFonts w:hint="eastAsia" w:cs="宋体"/>
                    </w:rPr>
                    <w:t xml:space="preserve">金额      </w:t>
                  </w:r>
                  <w:r>
                    <w:rPr>
                      <w:rFonts w:cs="宋体"/>
                    </w:rPr>
                    <w:t xml:space="preserve">     </w:t>
                  </w:r>
                  <w:r>
                    <w:rPr>
                      <w:rFonts w:hint="eastAsia" w:cs="宋体"/>
                    </w:rPr>
                    <w:t>类型</w:t>
                  </w:r>
                </w:p>
              </w:tc>
              <w:tc>
                <w:tcPr>
                  <w:tcW w:w="2268" w:type="dxa"/>
                  <w:tcBorders>
                    <w:top w:val="single" w:color="auto" w:sz="4" w:space="0"/>
                    <w:left w:val="single" w:color="auto" w:sz="4" w:space="0"/>
                    <w:bottom w:val="single" w:color="000000" w:sz="4" w:space="0"/>
                    <w:right w:val="single" w:color="auto" w:sz="4" w:space="0"/>
                  </w:tcBorders>
                  <w:noWrap/>
                  <w:vAlign w:val="center"/>
                </w:tcPr>
                <w:p w14:paraId="434CA21C">
                  <w:pPr>
                    <w:jc w:val="center"/>
                    <w:rPr>
                      <w:rFonts w:cs="宋体"/>
                    </w:rPr>
                  </w:pPr>
                  <w:r>
                    <w:rPr>
                      <w:rFonts w:hint="eastAsia" w:cs="宋体"/>
                    </w:rPr>
                    <w:t>货物类</w:t>
                  </w:r>
                </w:p>
              </w:tc>
              <w:tc>
                <w:tcPr>
                  <w:tcW w:w="2268" w:type="dxa"/>
                  <w:tcBorders>
                    <w:top w:val="single" w:color="auto" w:sz="4" w:space="0"/>
                    <w:left w:val="single" w:color="auto" w:sz="4" w:space="0"/>
                    <w:bottom w:val="single" w:color="000000" w:sz="4" w:space="0"/>
                    <w:right w:val="single" w:color="auto" w:sz="4" w:space="0"/>
                  </w:tcBorders>
                  <w:noWrap/>
                  <w:vAlign w:val="center"/>
                </w:tcPr>
                <w:p w14:paraId="5A27194F">
                  <w:pPr>
                    <w:jc w:val="center"/>
                    <w:rPr>
                      <w:rFonts w:cs="宋体"/>
                    </w:rPr>
                  </w:pPr>
                  <w:r>
                    <w:rPr>
                      <w:rFonts w:hint="eastAsia" w:cs="宋体"/>
                    </w:rPr>
                    <w:t>服务类</w:t>
                  </w:r>
                </w:p>
              </w:tc>
            </w:tr>
            <w:tr w14:paraId="15B280EB">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61333742">
                  <w:pPr>
                    <w:jc w:val="center"/>
                    <w:rPr>
                      <w:rFonts w:cs="宋体"/>
                    </w:rPr>
                  </w:pPr>
                  <w:r>
                    <w:rPr>
                      <w:rFonts w:hint="eastAsia" w:cs="宋体"/>
                    </w:rPr>
                    <w:t>100万元以下</w:t>
                  </w:r>
                </w:p>
              </w:tc>
              <w:tc>
                <w:tcPr>
                  <w:tcW w:w="2268" w:type="dxa"/>
                  <w:tcBorders>
                    <w:top w:val="nil"/>
                    <w:left w:val="nil"/>
                    <w:bottom w:val="single" w:color="auto" w:sz="4" w:space="0"/>
                    <w:right w:val="single" w:color="auto" w:sz="4" w:space="0"/>
                  </w:tcBorders>
                  <w:noWrap/>
                  <w:vAlign w:val="center"/>
                </w:tcPr>
                <w:p w14:paraId="57FBC5C1">
                  <w:pPr>
                    <w:jc w:val="center"/>
                    <w:rPr>
                      <w:rFonts w:cs="宋体"/>
                    </w:rPr>
                  </w:pPr>
                  <w:r>
                    <w:rPr>
                      <w:rFonts w:hint="eastAsia" w:cs="宋体"/>
                    </w:rPr>
                    <w:t>0.82%</w:t>
                  </w:r>
                </w:p>
              </w:tc>
              <w:tc>
                <w:tcPr>
                  <w:tcW w:w="2268" w:type="dxa"/>
                  <w:tcBorders>
                    <w:top w:val="nil"/>
                    <w:left w:val="nil"/>
                    <w:bottom w:val="single" w:color="auto" w:sz="4" w:space="0"/>
                    <w:right w:val="single" w:color="auto" w:sz="4" w:space="0"/>
                  </w:tcBorders>
                  <w:noWrap/>
                  <w:vAlign w:val="center"/>
                </w:tcPr>
                <w:p w14:paraId="53376E12">
                  <w:pPr>
                    <w:jc w:val="center"/>
                    <w:rPr>
                      <w:rFonts w:cs="宋体"/>
                    </w:rPr>
                  </w:pPr>
                  <w:r>
                    <w:rPr>
                      <w:rFonts w:hint="eastAsia" w:cs="宋体"/>
                    </w:rPr>
                    <w:t>0.82%</w:t>
                  </w:r>
                </w:p>
              </w:tc>
            </w:tr>
            <w:tr w14:paraId="7CF23B89">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2FC8DEE4">
                  <w:pPr>
                    <w:jc w:val="center"/>
                    <w:rPr>
                      <w:rFonts w:cs="宋体"/>
                    </w:rPr>
                  </w:pPr>
                  <w:r>
                    <w:rPr>
                      <w:rFonts w:hint="eastAsia" w:cs="宋体"/>
                    </w:rPr>
                    <w:t>100-500万元</w:t>
                  </w:r>
                </w:p>
              </w:tc>
              <w:tc>
                <w:tcPr>
                  <w:tcW w:w="2268" w:type="dxa"/>
                  <w:tcBorders>
                    <w:top w:val="nil"/>
                    <w:left w:val="nil"/>
                    <w:bottom w:val="single" w:color="auto" w:sz="4" w:space="0"/>
                    <w:right w:val="single" w:color="auto" w:sz="4" w:space="0"/>
                  </w:tcBorders>
                  <w:noWrap/>
                  <w:vAlign w:val="center"/>
                </w:tcPr>
                <w:p w14:paraId="00959EFE">
                  <w:pPr>
                    <w:jc w:val="center"/>
                    <w:rPr>
                      <w:rFonts w:cs="宋体"/>
                    </w:rPr>
                  </w:pPr>
                  <w:r>
                    <w:rPr>
                      <w:rFonts w:hint="eastAsia" w:cs="宋体"/>
                    </w:rPr>
                    <w:t>0.</w:t>
                  </w:r>
                  <w:r>
                    <w:rPr>
                      <w:rFonts w:cs="宋体"/>
                    </w:rPr>
                    <w:t>66</w:t>
                  </w:r>
                  <w:r>
                    <w:rPr>
                      <w:rFonts w:hint="eastAsia" w:cs="宋体"/>
                    </w:rPr>
                    <w:t>%</w:t>
                  </w:r>
                </w:p>
              </w:tc>
              <w:tc>
                <w:tcPr>
                  <w:tcW w:w="2268" w:type="dxa"/>
                  <w:tcBorders>
                    <w:top w:val="nil"/>
                    <w:left w:val="nil"/>
                    <w:bottom w:val="single" w:color="auto" w:sz="4" w:space="0"/>
                    <w:right w:val="single" w:color="auto" w:sz="4" w:space="0"/>
                  </w:tcBorders>
                  <w:noWrap/>
                  <w:vAlign w:val="center"/>
                </w:tcPr>
                <w:p w14:paraId="6A8215EA">
                  <w:pPr>
                    <w:jc w:val="center"/>
                    <w:rPr>
                      <w:rFonts w:cs="宋体"/>
                    </w:rPr>
                  </w:pPr>
                  <w:r>
                    <w:rPr>
                      <w:rFonts w:hint="eastAsia" w:cs="宋体"/>
                    </w:rPr>
                    <w:t>0.4</w:t>
                  </w:r>
                  <w:r>
                    <w:rPr>
                      <w:rFonts w:cs="宋体"/>
                    </w:rPr>
                    <w:t>8</w:t>
                  </w:r>
                  <w:r>
                    <w:rPr>
                      <w:rFonts w:hint="eastAsia" w:cs="宋体"/>
                    </w:rPr>
                    <w:t>%</w:t>
                  </w:r>
                </w:p>
              </w:tc>
            </w:tr>
            <w:tr w14:paraId="574C9E7D">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1B832621">
                  <w:pPr>
                    <w:jc w:val="center"/>
                    <w:rPr>
                      <w:rFonts w:cs="宋体"/>
                    </w:rPr>
                  </w:pPr>
                  <w:r>
                    <w:rPr>
                      <w:rFonts w:hint="eastAsia" w:cs="宋体"/>
                    </w:rPr>
                    <w:t>500-1000万元</w:t>
                  </w:r>
                </w:p>
              </w:tc>
              <w:tc>
                <w:tcPr>
                  <w:tcW w:w="2268" w:type="dxa"/>
                  <w:tcBorders>
                    <w:top w:val="nil"/>
                    <w:left w:val="nil"/>
                    <w:bottom w:val="single" w:color="auto" w:sz="4" w:space="0"/>
                    <w:right w:val="single" w:color="auto" w:sz="4" w:space="0"/>
                  </w:tcBorders>
                  <w:noWrap/>
                  <w:vAlign w:val="center"/>
                </w:tcPr>
                <w:p w14:paraId="48A758E7">
                  <w:pPr>
                    <w:jc w:val="center"/>
                    <w:rPr>
                      <w:rFonts w:cs="宋体"/>
                    </w:rPr>
                  </w:pPr>
                  <w:r>
                    <w:rPr>
                      <w:rFonts w:hint="eastAsia" w:cs="宋体"/>
                    </w:rPr>
                    <w:t>0.39%</w:t>
                  </w:r>
                </w:p>
              </w:tc>
              <w:tc>
                <w:tcPr>
                  <w:tcW w:w="2268" w:type="dxa"/>
                  <w:tcBorders>
                    <w:top w:val="nil"/>
                    <w:left w:val="nil"/>
                    <w:bottom w:val="single" w:color="auto" w:sz="4" w:space="0"/>
                    <w:right w:val="single" w:color="auto" w:sz="4" w:space="0"/>
                  </w:tcBorders>
                  <w:noWrap/>
                  <w:vAlign w:val="center"/>
                </w:tcPr>
                <w:p w14:paraId="2F6EBA52">
                  <w:pPr>
                    <w:jc w:val="center"/>
                    <w:rPr>
                      <w:rFonts w:cs="宋体"/>
                    </w:rPr>
                  </w:pPr>
                  <w:r>
                    <w:rPr>
                      <w:rFonts w:hint="eastAsia" w:cs="宋体"/>
                    </w:rPr>
                    <w:t>0.28%</w:t>
                  </w:r>
                </w:p>
              </w:tc>
            </w:tr>
            <w:tr w14:paraId="6775291C">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0BC49454">
                  <w:pPr>
                    <w:jc w:val="center"/>
                    <w:rPr>
                      <w:rFonts w:cs="宋体"/>
                    </w:rPr>
                  </w:pPr>
                  <w:r>
                    <w:rPr>
                      <w:rFonts w:hint="eastAsia" w:cs="宋体"/>
                    </w:rPr>
                    <w:t>1000-5000万元</w:t>
                  </w:r>
                </w:p>
              </w:tc>
              <w:tc>
                <w:tcPr>
                  <w:tcW w:w="2268" w:type="dxa"/>
                  <w:tcBorders>
                    <w:top w:val="nil"/>
                    <w:left w:val="nil"/>
                    <w:bottom w:val="single" w:color="auto" w:sz="4" w:space="0"/>
                    <w:right w:val="single" w:color="auto" w:sz="4" w:space="0"/>
                  </w:tcBorders>
                  <w:noWrap/>
                  <w:vAlign w:val="center"/>
                </w:tcPr>
                <w:p w14:paraId="3F376903">
                  <w:pPr>
                    <w:jc w:val="center"/>
                    <w:rPr>
                      <w:rFonts w:cs="宋体"/>
                    </w:rPr>
                  </w:pPr>
                  <w:r>
                    <w:rPr>
                      <w:rFonts w:hint="eastAsia" w:cs="宋体"/>
                    </w:rPr>
                    <w:t>0.25%</w:t>
                  </w:r>
                </w:p>
              </w:tc>
              <w:tc>
                <w:tcPr>
                  <w:tcW w:w="2268" w:type="dxa"/>
                  <w:tcBorders>
                    <w:top w:val="nil"/>
                    <w:left w:val="nil"/>
                    <w:bottom w:val="single" w:color="auto" w:sz="4" w:space="0"/>
                    <w:right w:val="single" w:color="auto" w:sz="4" w:space="0"/>
                  </w:tcBorders>
                  <w:noWrap/>
                  <w:vAlign w:val="center"/>
                </w:tcPr>
                <w:p w14:paraId="23207898">
                  <w:pPr>
                    <w:jc w:val="center"/>
                    <w:rPr>
                      <w:rFonts w:cs="宋体"/>
                    </w:rPr>
                  </w:pPr>
                  <w:r>
                    <w:rPr>
                      <w:rFonts w:hint="eastAsia" w:cs="宋体"/>
                    </w:rPr>
                    <w:t>0.19%</w:t>
                  </w:r>
                </w:p>
              </w:tc>
            </w:tr>
          </w:tbl>
          <w:p w14:paraId="455C4D36">
            <w:pPr>
              <w:rPr>
                <w:rFonts w:ascii="宋体" w:hAnsi="宋体"/>
              </w:rPr>
            </w:pPr>
            <w:r>
              <w:rPr>
                <w:rFonts w:hint="eastAsia" w:ascii="宋体" w:hAnsi="宋体"/>
              </w:rPr>
              <w:t>（2）汇款地址同招标文件《第一部分：投标邀请书》中购买招标文件汇款地址。</w:t>
            </w:r>
          </w:p>
        </w:tc>
      </w:tr>
      <w:tr w14:paraId="03454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02A886E0">
            <w:pPr>
              <w:spacing w:line="360" w:lineRule="auto"/>
              <w:jc w:val="center"/>
              <w:rPr>
                <w:rFonts w:ascii="宋体" w:hAnsi="宋体"/>
                <w:szCs w:val="21"/>
              </w:rPr>
            </w:pPr>
            <w:r>
              <w:rPr>
                <w:rFonts w:hint="eastAsia" w:ascii="宋体" w:hAnsi="宋体"/>
                <w:szCs w:val="21"/>
              </w:rPr>
              <w:t>10</w:t>
            </w:r>
          </w:p>
        </w:tc>
        <w:tc>
          <w:tcPr>
            <w:tcW w:w="8079" w:type="dxa"/>
            <w:tcBorders>
              <w:top w:val="single" w:color="auto" w:sz="4" w:space="0"/>
              <w:left w:val="single" w:color="auto" w:sz="4" w:space="0"/>
              <w:bottom w:val="single" w:color="auto" w:sz="4" w:space="0"/>
              <w:right w:val="single" w:color="auto" w:sz="4" w:space="0"/>
            </w:tcBorders>
            <w:vAlign w:val="center"/>
          </w:tcPr>
          <w:p w14:paraId="5564C1DD">
            <w:pPr>
              <w:spacing w:line="400" w:lineRule="exact"/>
              <w:rPr>
                <w:rFonts w:ascii="微软雅黑" w:hAnsi="微软雅黑" w:cs="微软雅黑"/>
                <w:b/>
                <w:szCs w:val="21"/>
              </w:rPr>
            </w:pPr>
            <w:r>
              <w:rPr>
                <w:rFonts w:hint="eastAsia" w:ascii="微软雅黑" w:hAnsi="微软雅黑" w:cs="微软雅黑"/>
                <w:b/>
                <w:szCs w:val="21"/>
              </w:rPr>
              <w:t>投标报价：</w:t>
            </w:r>
          </w:p>
          <w:p w14:paraId="2A173C73">
            <w:pPr>
              <w:spacing w:line="400" w:lineRule="exact"/>
              <w:rPr>
                <w:rFonts w:ascii="微软雅黑" w:hAnsi="微软雅黑" w:cs="微软雅黑"/>
                <w:b/>
                <w:szCs w:val="21"/>
              </w:rPr>
            </w:pPr>
            <w:r>
              <w:rPr>
                <w:rFonts w:hint="eastAsia" w:ascii="微软雅黑" w:hAnsi="微软雅黑" w:cs="微软雅黑"/>
                <w:b/>
                <w:szCs w:val="21"/>
              </w:rPr>
              <w:t>（1）所有投标（响应）均以人民币报价。供应商的投标（响应）报价应遵守“中华人民共和国价格法”。该报价为到采购人指定地点现场的全部费用，含相关税费，运输费，保险费，安装费及相关服务费等一切可能发生的费用。如投标货物为进口产品，投标（响应）报价必须报进口免税价。 进口免税价须包含在采购人指定地点交货的，包含安装、调试、培训、检测费用以及外贸代理费等所有费用。</w:t>
            </w:r>
          </w:p>
          <w:p w14:paraId="66D18607">
            <w:pPr>
              <w:spacing w:line="400" w:lineRule="exact"/>
              <w:rPr>
                <w:rFonts w:ascii="微软雅黑" w:hAnsi="微软雅黑" w:cs="微软雅黑"/>
                <w:b/>
                <w:szCs w:val="21"/>
              </w:rPr>
            </w:pPr>
            <w:r>
              <w:rPr>
                <w:rFonts w:hint="eastAsia" w:ascii="微软雅黑" w:hAnsi="微软雅黑" w:cs="微软雅黑"/>
                <w:b/>
                <w:szCs w:val="21"/>
              </w:rPr>
              <w:t>注：</w:t>
            </w:r>
          </w:p>
          <w:p w14:paraId="1FFEA5E1">
            <w:pPr>
              <w:spacing w:line="400" w:lineRule="exact"/>
              <w:rPr>
                <w:rFonts w:ascii="微软雅黑" w:hAnsi="微软雅黑" w:cs="微软雅黑"/>
                <w:b/>
                <w:szCs w:val="21"/>
              </w:rPr>
            </w:pPr>
            <w:r>
              <w:rPr>
                <w:rFonts w:hint="eastAsia" w:ascii="微软雅黑" w:hAnsi="微软雅黑" w:cs="微软雅黑"/>
                <w:b/>
                <w:szCs w:val="21"/>
              </w:rPr>
              <w:t>1）进口产品预算不含依法免征的进口环节税，但包含贸易战加征关税等依法征收的税费。</w:t>
            </w:r>
          </w:p>
          <w:p w14:paraId="3E9BA194">
            <w:pPr>
              <w:spacing w:line="400" w:lineRule="exact"/>
              <w:rPr>
                <w:rFonts w:ascii="微软雅黑" w:hAnsi="微软雅黑" w:cs="微软雅黑"/>
                <w:b/>
                <w:szCs w:val="21"/>
              </w:rPr>
            </w:pPr>
            <w:r>
              <w:rPr>
                <w:rFonts w:hint="eastAsia" w:ascii="微软雅黑" w:hAnsi="微软雅黑" w:cs="微软雅黑"/>
                <w:b/>
                <w:szCs w:val="21"/>
              </w:rPr>
              <w:t>2）合同履行过程中的汇率风险由中标人承担。</w:t>
            </w:r>
          </w:p>
          <w:p w14:paraId="570885CC">
            <w:pPr>
              <w:spacing w:line="400" w:lineRule="exact"/>
              <w:rPr>
                <w:rFonts w:ascii="微软雅黑" w:hAnsi="微软雅黑" w:cs="微软雅黑"/>
                <w:b/>
                <w:szCs w:val="21"/>
              </w:rPr>
            </w:pPr>
            <w:r>
              <w:rPr>
                <w:rFonts w:hint="eastAsia" w:ascii="微软雅黑" w:hAnsi="微软雅黑" w:cs="微软雅黑"/>
                <w:b/>
                <w:szCs w:val="21"/>
              </w:rPr>
              <w:t>（2）报价时应充分考虑所有可能影响到报价的因素，一旦评审结束最终中标（成交），如发生漏、缺、少项，都将被认为是中标（成交）供应商的报价让利行为，损失自负。</w:t>
            </w:r>
          </w:p>
          <w:p w14:paraId="35B95C74">
            <w:pPr>
              <w:pStyle w:val="64"/>
              <w:spacing w:line="360" w:lineRule="auto"/>
              <w:ind w:left="-107" w:firstLine="0" w:firstLineChars="0"/>
              <w:rPr>
                <w:rFonts w:ascii="宋体" w:hAnsi="宋体" w:cs="宋体"/>
                <w:bCs/>
                <w:szCs w:val="21"/>
              </w:rPr>
            </w:pPr>
            <w:r>
              <w:rPr>
                <w:rFonts w:hint="eastAsia" w:ascii="微软雅黑" w:hAnsi="微软雅黑" w:cs="微软雅黑"/>
                <w:b/>
                <w:szCs w:val="21"/>
              </w:rPr>
              <w:t>（3）投标报价不得超过招标公告、招标文件规定的预算金额或最高限价，超过规定的预算金额或最高限价的投标文件将作无效投标处理。</w:t>
            </w:r>
          </w:p>
        </w:tc>
      </w:tr>
      <w:tr w14:paraId="5290F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63CF15E9">
            <w:pPr>
              <w:spacing w:line="360" w:lineRule="auto"/>
              <w:jc w:val="center"/>
              <w:rPr>
                <w:rFonts w:ascii="宋体" w:hAnsi="宋体"/>
                <w:szCs w:val="21"/>
              </w:rPr>
            </w:pPr>
            <w:r>
              <w:rPr>
                <w:rFonts w:ascii="宋体" w:hAnsi="宋体"/>
                <w:szCs w:val="21"/>
              </w:rPr>
              <w:t>1</w:t>
            </w:r>
            <w:r>
              <w:rPr>
                <w:rFonts w:hint="eastAsia" w:ascii="宋体" w:hAnsi="宋体"/>
                <w:szCs w:val="21"/>
              </w:rPr>
              <w:t>1</w:t>
            </w:r>
          </w:p>
        </w:tc>
        <w:tc>
          <w:tcPr>
            <w:tcW w:w="8079" w:type="dxa"/>
            <w:tcBorders>
              <w:top w:val="single" w:color="auto" w:sz="4" w:space="0"/>
              <w:left w:val="single" w:color="auto" w:sz="4" w:space="0"/>
              <w:bottom w:val="single" w:color="auto" w:sz="4" w:space="0"/>
              <w:right w:val="single" w:color="auto" w:sz="4" w:space="0"/>
            </w:tcBorders>
            <w:vAlign w:val="center"/>
          </w:tcPr>
          <w:p w14:paraId="465DB498">
            <w:pPr>
              <w:spacing w:line="360" w:lineRule="auto"/>
              <w:rPr>
                <w:rFonts w:ascii="宋体" w:hAnsi="宋体" w:cs="宋体"/>
                <w:bCs/>
                <w:szCs w:val="21"/>
              </w:rPr>
            </w:pPr>
            <w:r>
              <w:rPr>
                <w:rFonts w:hint="eastAsia" w:ascii="微软雅黑" w:hAnsi="微软雅黑" w:cs="微软雅黑"/>
              </w:rPr>
              <w:t>投标有效期为：从投标截止之日起计算的</w:t>
            </w:r>
            <w:r>
              <w:rPr>
                <w:rFonts w:hint="eastAsia" w:ascii="微软雅黑" w:hAnsi="微软雅黑" w:cs="微软雅黑"/>
                <w:b/>
                <w:bCs/>
              </w:rPr>
              <w:t>九十天</w:t>
            </w:r>
            <w:r>
              <w:rPr>
                <w:rFonts w:hint="eastAsia" w:ascii="微软雅黑" w:hAnsi="微软雅黑" w:cs="微软雅黑"/>
              </w:rPr>
              <w:t>，有效期短于此规定的投标文件将被视为无效</w:t>
            </w:r>
          </w:p>
        </w:tc>
      </w:tr>
      <w:tr w14:paraId="74200C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4132F9E0">
            <w:pPr>
              <w:spacing w:line="360" w:lineRule="auto"/>
              <w:jc w:val="center"/>
              <w:rPr>
                <w:rFonts w:ascii="宋体" w:hAnsi="宋体"/>
                <w:szCs w:val="21"/>
              </w:rPr>
            </w:pPr>
            <w:r>
              <w:rPr>
                <w:rFonts w:ascii="宋体" w:hAnsi="宋体"/>
                <w:szCs w:val="21"/>
              </w:rPr>
              <w:t>1</w:t>
            </w:r>
            <w:r>
              <w:rPr>
                <w:rFonts w:hint="eastAsia" w:ascii="宋体" w:hAnsi="宋体"/>
                <w:szCs w:val="21"/>
              </w:rPr>
              <w:t>2</w:t>
            </w:r>
          </w:p>
        </w:tc>
        <w:tc>
          <w:tcPr>
            <w:tcW w:w="8079" w:type="dxa"/>
            <w:tcBorders>
              <w:top w:val="single" w:color="auto" w:sz="4" w:space="0"/>
              <w:left w:val="single" w:color="auto" w:sz="4" w:space="0"/>
              <w:bottom w:val="single" w:color="auto" w:sz="4" w:space="0"/>
              <w:right w:val="single" w:color="auto" w:sz="4" w:space="0"/>
            </w:tcBorders>
            <w:vAlign w:val="center"/>
          </w:tcPr>
          <w:p w14:paraId="2DB16694">
            <w:pPr>
              <w:spacing w:line="360" w:lineRule="auto"/>
              <w:rPr>
                <w:rFonts w:ascii="宋体" w:hAnsi="宋体"/>
                <w:szCs w:val="21"/>
              </w:rPr>
            </w:pPr>
            <w:r>
              <w:rPr>
                <w:rFonts w:hint="eastAsia" w:ascii="宋体" w:hAnsi="宋体"/>
                <w:szCs w:val="21"/>
              </w:rPr>
              <w:t>投标文件形式：</w:t>
            </w:r>
          </w:p>
          <w:p w14:paraId="0924EAAC">
            <w:pPr>
              <w:spacing w:line="360" w:lineRule="auto"/>
              <w:rPr>
                <w:rFonts w:ascii="宋体" w:hAnsi="宋体"/>
                <w:iCs/>
                <w:spacing w:val="-6"/>
                <w:szCs w:val="21"/>
              </w:rPr>
            </w:pPr>
            <w:r>
              <w:rPr>
                <w:rFonts w:hint="eastAsia"/>
                <w:szCs w:val="21"/>
              </w:rPr>
              <w:t>“苏采云”政府采购交易系统。</w:t>
            </w:r>
          </w:p>
        </w:tc>
      </w:tr>
      <w:tr w14:paraId="6DF4F9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7900B902">
            <w:pPr>
              <w:spacing w:line="360" w:lineRule="auto"/>
              <w:jc w:val="center"/>
              <w:rPr>
                <w:rFonts w:ascii="宋体" w:hAnsi="宋体"/>
                <w:szCs w:val="21"/>
              </w:rPr>
            </w:pPr>
            <w:r>
              <w:rPr>
                <w:rFonts w:hint="eastAsia" w:ascii="宋体" w:hAnsi="宋体"/>
                <w:szCs w:val="21"/>
              </w:rPr>
              <w:t>13</w:t>
            </w:r>
          </w:p>
        </w:tc>
        <w:tc>
          <w:tcPr>
            <w:tcW w:w="8079" w:type="dxa"/>
            <w:tcBorders>
              <w:top w:val="single" w:color="auto" w:sz="4" w:space="0"/>
              <w:left w:val="single" w:color="auto" w:sz="4" w:space="0"/>
              <w:bottom w:val="single" w:color="auto" w:sz="4" w:space="0"/>
              <w:right w:val="single" w:color="auto" w:sz="4" w:space="0"/>
            </w:tcBorders>
            <w:vAlign w:val="center"/>
          </w:tcPr>
          <w:p w14:paraId="7FF30D52">
            <w:pPr>
              <w:autoSpaceDE w:val="0"/>
              <w:autoSpaceDN w:val="0"/>
              <w:adjustRightInd w:val="0"/>
              <w:spacing w:line="360" w:lineRule="auto"/>
              <w:rPr>
                <w:rFonts w:ascii="宋体" w:hAnsi="宋体" w:cs="Arial"/>
                <w:szCs w:val="21"/>
                <w:lang w:val="zh-CN"/>
              </w:rPr>
            </w:pPr>
            <w:r>
              <w:rPr>
                <w:rFonts w:hint="eastAsia" w:ascii="宋体" w:hAnsi="宋体" w:cs="Arial"/>
                <w:szCs w:val="21"/>
                <w:lang w:val="zh-CN"/>
              </w:rPr>
              <w:t>评审过程中出现下列情形之一的，评审委员会应当启动异常低价投标（响应）审查程序：</w:t>
            </w:r>
          </w:p>
          <w:p w14:paraId="2A52F9C7">
            <w:pPr>
              <w:spacing w:line="360" w:lineRule="auto"/>
              <w:rPr>
                <w:rFonts w:ascii="宋体" w:hAnsi="宋体"/>
                <w:szCs w:val="21"/>
              </w:rPr>
            </w:pPr>
            <w:r>
              <w:rPr>
                <w:rFonts w:hint="eastAsia" w:ascii="宋体" w:hAnsi="宋体"/>
                <w:szCs w:val="21"/>
              </w:rPr>
              <w:t>（1）</w:t>
            </w:r>
            <w:r>
              <w:rPr>
                <w:rFonts w:ascii="宋体" w:hAnsi="宋体"/>
                <w:szCs w:val="21"/>
              </w:rPr>
              <w:t>投标（响应）报价低于全部通过符合性审查供应商投标（响应）报价平均值50%的，即投标（响应）报价&lt;全部通过符合性审查供应商投标（响应）报价平均值×50%；</w:t>
            </w:r>
          </w:p>
          <w:p w14:paraId="4C450BDA">
            <w:pPr>
              <w:spacing w:line="360" w:lineRule="auto"/>
              <w:rPr>
                <w:rFonts w:ascii="宋体" w:hAnsi="宋体"/>
                <w:szCs w:val="21"/>
              </w:rPr>
            </w:pPr>
            <w:r>
              <w:rPr>
                <w:rFonts w:hint="eastAsia" w:ascii="宋体" w:hAnsi="宋体"/>
                <w:szCs w:val="21"/>
              </w:rPr>
              <w:t>（2）</w:t>
            </w:r>
            <w:r>
              <w:rPr>
                <w:rFonts w:ascii="宋体" w:hAnsi="宋体"/>
                <w:szCs w:val="21"/>
              </w:rPr>
              <w:t>投标（响应）报价低于通过符合性审查的次低报价供应商投标（响应）报价50%的，即投标（响应）报价&lt;通过符合性审查的次低报价供应商投标（响应）报价×50%；</w:t>
            </w:r>
          </w:p>
          <w:p w14:paraId="0FE48BC1">
            <w:pPr>
              <w:spacing w:line="360" w:lineRule="auto"/>
              <w:rPr>
                <w:rFonts w:ascii="宋体" w:hAnsi="宋体"/>
                <w:szCs w:val="21"/>
              </w:rPr>
            </w:pPr>
            <w:r>
              <w:rPr>
                <w:rFonts w:hint="eastAsia" w:ascii="宋体" w:hAnsi="宋体"/>
                <w:szCs w:val="21"/>
              </w:rPr>
              <w:t>（3）</w:t>
            </w:r>
            <w:r>
              <w:rPr>
                <w:rFonts w:ascii="宋体" w:hAnsi="宋体"/>
                <w:szCs w:val="21"/>
              </w:rPr>
              <w:t>投标（响应）报价低于采购项目最高限价45%的，即投标（响应）报价&lt;采购项目最高限价×45%；</w:t>
            </w:r>
          </w:p>
          <w:p w14:paraId="4DD2319F">
            <w:pPr>
              <w:spacing w:line="360" w:lineRule="auto"/>
              <w:rPr>
                <w:rFonts w:ascii="宋体" w:hAnsi="宋体"/>
                <w:szCs w:val="21"/>
              </w:rPr>
            </w:pPr>
            <w:r>
              <w:rPr>
                <w:rFonts w:hint="eastAsia" w:ascii="宋体" w:hAnsi="宋体"/>
                <w:szCs w:val="21"/>
              </w:rPr>
              <w:t>（4）</w:t>
            </w:r>
            <w:r>
              <w:rPr>
                <w:rFonts w:ascii="宋体" w:hAnsi="宋体"/>
                <w:szCs w:val="21"/>
              </w:rPr>
              <w:t>评审委员会基于专业判断，认为供应商报价过低，有可能影响产品质量或者不能诚信履约的其他情形。</w:t>
            </w:r>
          </w:p>
          <w:p w14:paraId="13C677AE">
            <w:pPr>
              <w:spacing w:line="360" w:lineRule="auto"/>
              <w:rPr>
                <w:rFonts w:ascii="宋体" w:hAnsi="宋体"/>
                <w:szCs w:val="21"/>
              </w:rPr>
            </w:pPr>
            <w:r>
              <w:rPr>
                <w:rFonts w:hint="eastAsia" w:ascii="宋体" w:hAnsi="宋体"/>
                <w:szCs w:val="21"/>
              </w:rPr>
              <w:t>启动异常低价投标（响应）审查后，评审委员会</w:t>
            </w:r>
            <w:r>
              <w:rPr>
                <w:rFonts w:ascii="宋体" w:hAnsi="宋体"/>
                <w:szCs w:val="21"/>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szCs w:val="21"/>
              </w:rPr>
              <w:t>。</w:t>
            </w:r>
            <w:r>
              <w:rPr>
                <w:rFonts w:ascii="宋体" w:hAnsi="宋体"/>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5B4163">
            <w:pPr>
              <w:spacing w:line="360" w:lineRule="auto"/>
              <w:rPr>
                <w:rFonts w:ascii="宋体" w:hAnsi="宋体"/>
                <w:szCs w:val="21"/>
              </w:rPr>
            </w:pPr>
            <w:r>
              <w:rPr>
                <w:rFonts w:hint="eastAsia"/>
                <w:kern w:val="0"/>
                <w:szCs w:val="21"/>
              </w:rPr>
              <w:t>评标委员会通过“苏采云”系统要求供应商作出必要的说明，并规定回复时间。供应商说明应当采用通过“苏采云”系统（使用“CA数字证书”，加盖电子签章）形式。</w:t>
            </w:r>
          </w:p>
        </w:tc>
      </w:tr>
      <w:tr w14:paraId="77762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tcBorders>
              <w:top w:val="single" w:color="auto" w:sz="4" w:space="0"/>
              <w:left w:val="single" w:color="auto" w:sz="4" w:space="0"/>
              <w:bottom w:val="single" w:color="auto" w:sz="4" w:space="0"/>
              <w:right w:val="single" w:color="auto" w:sz="4" w:space="0"/>
            </w:tcBorders>
            <w:vAlign w:val="center"/>
          </w:tcPr>
          <w:p w14:paraId="55DB5EFC">
            <w:pPr>
              <w:spacing w:line="360" w:lineRule="auto"/>
              <w:jc w:val="center"/>
              <w:rPr>
                <w:rFonts w:ascii="宋体" w:hAnsi="宋体"/>
                <w:szCs w:val="21"/>
              </w:rPr>
            </w:pPr>
            <w:r>
              <w:rPr>
                <w:rFonts w:hint="eastAsia" w:ascii="宋体" w:hAnsi="宋体"/>
                <w:szCs w:val="21"/>
              </w:rPr>
              <w:t>14</w:t>
            </w:r>
          </w:p>
        </w:tc>
        <w:tc>
          <w:tcPr>
            <w:tcW w:w="8079" w:type="dxa"/>
            <w:tcBorders>
              <w:top w:val="single" w:color="auto" w:sz="4" w:space="0"/>
              <w:left w:val="single" w:color="auto" w:sz="4" w:space="0"/>
              <w:bottom w:val="single" w:color="auto" w:sz="4" w:space="0"/>
              <w:right w:val="single" w:color="auto" w:sz="4" w:space="0"/>
            </w:tcBorders>
            <w:vAlign w:val="center"/>
          </w:tcPr>
          <w:p w14:paraId="4D54C8AF">
            <w:pPr>
              <w:autoSpaceDE w:val="0"/>
              <w:autoSpaceDN w:val="0"/>
              <w:spacing w:line="360" w:lineRule="auto"/>
              <w:textAlignment w:val="bottom"/>
              <w:rPr>
                <w:rFonts w:ascii="宋体" w:hAnsi="宋体"/>
                <w:szCs w:val="21"/>
              </w:rPr>
            </w:pPr>
            <w:r>
              <w:rPr>
                <w:rFonts w:hint="eastAsia" w:ascii="宋体" w:hAnsi="宋体"/>
                <w:szCs w:val="21"/>
              </w:rPr>
              <w:t>评审办法：综合评分法。</w:t>
            </w:r>
          </w:p>
        </w:tc>
      </w:tr>
      <w:tr w14:paraId="612F2E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tcBorders>
              <w:top w:val="single" w:color="auto" w:sz="4" w:space="0"/>
              <w:left w:val="single" w:color="auto" w:sz="4" w:space="0"/>
              <w:bottom w:val="single" w:color="auto" w:sz="4" w:space="0"/>
              <w:right w:val="single" w:color="auto" w:sz="4" w:space="0"/>
            </w:tcBorders>
            <w:vAlign w:val="center"/>
          </w:tcPr>
          <w:p w14:paraId="5F5E0BE9">
            <w:pPr>
              <w:spacing w:line="360" w:lineRule="auto"/>
              <w:jc w:val="center"/>
              <w:rPr>
                <w:rFonts w:ascii="宋体" w:hAnsi="宋体"/>
                <w:szCs w:val="21"/>
              </w:rPr>
            </w:pPr>
            <w:r>
              <w:rPr>
                <w:rFonts w:hint="eastAsia" w:ascii="宋体" w:hAnsi="宋体"/>
                <w:szCs w:val="21"/>
              </w:rPr>
              <w:t>15</w:t>
            </w:r>
          </w:p>
        </w:tc>
        <w:tc>
          <w:tcPr>
            <w:tcW w:w="8079" w:type="dxa"/>
            <w:tcBorders>
              <w:top w:val="single" w:color="auto" w:sz="4" w:space="0"/>
              <w:left w:val="single" w:color="auto" w:sz="4" w:space="0"/>
              <w:bottom w:val="single" w:color="auto" w:sz="4" w:space="0"/>
              <w:right w:val="single" w:color="auto" w:sz="4" w:space="0"/>
            </w:tcBorders>
            <w:vAlign w:val="center"/>
          </w:tcPr>
          <w:p w14:paraId="64BFAA47">
            <w:pPr>
              <w:autoSpaceDE w:val="0"/>
              <w:autoSpaceDN w:val="0"/>
              <w:spacing w:line="360" w:lineRule="auto"/>
              <w:textAlignment w:val="bottom"/>
              <w:rPr>
                <w:rFonts w:ascii="宋体" w:hAnsi="宋体"/>
                <w:szCs w:val="21"/>
              </w:rPr>
            </w:pPr>
            <w:r>
              <w:rPr>
                <w:rFonts w:hint="eastAsia" w:ascii="宋体" w:hAnsi="宋体"/>
                <w:szCs w:val="21"/>
              </w:rPr>
              <w:t>签订合同：中标通知书发出后30个工作日内。</w:t>
            </w:r>
          </w:p>
        </w:tc>
      </w:tr>
      <w:tr w14:paraId="12B5B2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36FED6D2">
            <w:pPr>
              <w:spacing w:line="360" w:lineRule="auto"/>
              <w:jc w:val="center"/>
              <w:rPr>
                <w:rFonts w:ascii="宋体" w:hAnsi="宋体"/>
                <w:szCs w:val="21"/>
              </w:rPr>
            </w:pPr>
            <w:r>
              <w:rPr>
                <w:rFonts w:hint="eastAsia" w:ascii="宋体" w:hAnsi="宋体"/>
                <w:szCs w:val="21"/>
              </w:rPr>
              <w:t>16</w:t>
            </w:r>
          </w:p>
        </w:tc>
        <w:tc>
          <w:tcPr>
            <w:tcW w:w="8079" w:type="dxa"/>
            <w:tcBorders>
              <w:top w:val="single" w:color="auto" w:sz="4" w:space="0"/>
              <w:left w:val="single" w:color="auto" w:sz="4" w:space="0"/>
              <w:bottom w:val="single" w:color="auto" w:sz="4" w:space="0"/>
              <w:right w:val="single" w:color="auto" w:sz="4" w:space="0"/>
            </w:tcBorders>
            <w:vAlign w:val="center"/>
          </w:tcPr>
          <w:p w14:paraId="5C68F163">
            <w:pPr>
              <w:autoSpaceDE w:val="0"/>
              <w:autoSpaceDN w:val="0"/>
              <w:adjustRightInd w:val="0"/>
              <w:spacing w:line="360" w:lineRule="auto"/>
              <w:textAlignment w:val="bottom"/>
              <w:rPr>
                <w:rFonts w:ascii="宋体" w:hAnsi="宋体"/>
                <w:szCs w:val="21"/>
              </w:rPr>
            </w:pPr>
            <w:r>
              <w:rPr>
                <w:rFonts w:ascii="宋体" w:hAnsi="宋体"/>
                <w:szCs w:val="21"/>
              </w:rPr>
              <w:t>现场勘查</w:t>
            </w:r>
            <w:r>
              <w:rPr>
                <w:rFonts w:hint="eastAsia" w:ascii="宋体" w:hAnsi="宋体"/>
                <w:szCs w:val="21"/>
              </w:rPr>
              <w:t>：无</w:t>
            </w:r>
          </w:p>
        </w:tc>
      </w:tr>
      <w:tr w14:paraId="776E1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2567F714">
            <w:pPr>
              <w:spacing w:line="360" w:lineRule="auto"/>
              <w:jc w:val="center"/>
              <w:rPr>
                <w:rFonts w:ascii="宋体" w:hAnsi="宋体"/>
                <w:szCs w:val="21"/>
              </w:rPr>
            </w:pPr>
            <w:r>
              <w:rPr>
                <w:rFonts w:hint="eastAsia" w:ascii="宋体" w:hAnsi="宋体"/>
                <w:szCs w:val="21"/>
              </w:rPr>
              <w:t>17</w:t>
            </w:r>
          </w:p>
        </w:tc>
        <w:tc>
          <w:tcPr>
            <w:tcW w:w="8079" w:type="dxa"/>
            <w:tcBorders>
              <w:top w:val="single" w:color="auto" w:sz="4" w:space="0"/>
              <w:left w:val="single" w:color="auto" w:sz="4" w:space="0"/>
              <w:bottom w:val="single" w:color="auto" w:sz="4" w:space="0"/>
              <w:right w:val="single" w:color="auto" w:sz="4" w:space="0"/>
            </w:tcBorders>
            <w:vAlign w:val="center"/>
          </w:tcPr>
          <w:p w14:paraId="3AB3D853">
            <w:pPr>
              <w:autoSpaceDE w:val="0"/>
              <w:autoSpaceDN w:val="0"/>
              <w:adjustRightInd w:val="0"/>
              <w:spacing w:line="360" w:lineRule="auto"/>
              <w:textAlignment w:val="bottom"/>
              <w:rPr>
                <w:rFonts w:ascii="宋体" w:hAnsi="宋体"/>
                <w:szCs w:val="21"/>
              </w:rPr>
            </w:pPr>
            <w:r>
              <w:rPr>
                <w:rFonts w:hint="eastAsia" w:ascii="微软雅黑" w:hAnsi="微软雅黑" w:cs="微软雅黑"/>
                <w:szCs w:val="21"/>
              </w:rPr>
              <w:t>采购标的对应的中小企业划分标准所属行业：</w:t>
            </w:r>
            <w:r>
              <w:rPr>
                <w:rFonts w:hint="eastAsia" w:ascii="微软雅黑" w:hAnsi="微软雅黑" w:cs="微软雅黑"/>
                <w:b/>
                <w:bCs/>
                <w:szCs w:val="21"/>
                <w:u w:val="single"/>
              </w:rPr>
              <w:t>工业</w:t>
            </w:r>
          </w:p>
        </w:tc>
      </w:tr>
      <w:tr w14:paraId="1E6390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6B150829">
            <w:pPr>
              <w:spacing w:line="360" w:lineRule="auto"/>
              <w:jc w:val="center"/>
              <w:rPr>
                <w:rFonts w:ascii="宋体" w:hAnsi="宋体"/>
                <w:szCs w:val="21"/>
              </w:rPr>
            </w:pPr>
            <w:r>
              <w:rPr>
                <w:rFonts w:hint="eastAsia" w:ascii="宋体" w:hAnsi="宋体"/>
                <w:szCs w:val="21"/>
              </w:rPr>
              <w:t>18</w:t>
            </w:r>
          </w:p>
        </w:tc>
        <w:tc>
          <w:tcPr>
            <w:tcW w:w="8079" w:type="dxa"/>
            <w:tcBorders>
              <w:top w:val="single" w:color="auto" w:sz="4" w:space="0"/>
              <w:left w:val="single" w:color="auto" w:sz="4" w:space="0"/>
              <w:bottom w:val="single" w:color="auto" w:sz="4" w:space="0"/>
              <w:right w:val="single" w:color="auto" w:sz="4" w:space="0"/>
            </w:tcBorders>
            <w:vAlign w:val="center"/>
          </w:tcPr>
          <w:p w14:paraId="054A9398">
            <w:pPr>
              <w:spacing w:line="360" w:lineRule="auto"/>
              <w:rPr>
                <w:kern w:val="0"/>
                <w:szCs w:val="21"/>
              </w:rPr>
            </w:pPr>
            <w:r>
              <w:rPr>
                <w:rFonts w:hint="eastAsia"/>
                <w:kern w:val="0"/>
                <w:szCs w:val="21"/>
              </w:rPr>
              <w:t>相同品牌产品投标要求：(1)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p>
          <w:p w14:paraId="77934D67">
            <w:pPr>
              <w:spacing w:line="360" w:lineRule="auto"/>
              <w:rPr>
                <w:kern w:val="0"/>
                <w:szCs w:val="21"/>
              </w:rPr>
            </w:pPr>
            <w:r>
              <w:rPr>
                <w:rFonts w:hint="eastAsia"/>
                <w:kern w:val="0"/>
                <w:szCs w:val="21"/>
              </w:rPr>
              <w:t>(2)在单一品目的货物采购招标中，同一品牌的产品有多家供应商参加投标，只能按照一家供应商计算。</w:t>
            </w:r>
          </w:p>
          <w:p w14:paraId="2C4A5791">
            <w:pPr>
              <w:spacing w:line="360" w:lineRule="auto"/>
              <w:rPr>
                <w:rFonts w:ascii="微软雅黑" w:hAnsi="微软雅黑" w:cs="微软雅黑"/>
                <w:szCs w:val="21"/>
              </w:rPr>
            </w:pPr>
            <w:r>
              <w:rPr>
                <w:rFonts w:hint="eastAsia"/>
                <w:kern w:val="0"/>
                <w:szCs w:val="21"/>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tc>
      </w:tr>
      <w:tr w14:paraId="305DC2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93" w:type="dxa"/>
            <w:tcBorders>
              <w:top w:val="single" w:color="auto" w:sz="4" w:space="0"/>
              <w:left w:val="single" w:color="auto" w:sz="4" w:space="0"/>
              <w:bottom w:val="single" w:color="auto" w:sz="4" w:space="0"/>
              <w:right w:val="single" w:color="auto" w:sz="4" w:space="0"/>
            </w:tcBorders>
            <w:vAlign w:val="center"/>
          </w:tcPr>
          <w:p w14:paraId="07414341">
            <w:pPr>
              <w:spacing w:line="360" w:lineRule="auto"/>
              <w:jc w:val="center"/>
              <w:rPr>
                <w:rFonts w:ascii="宋体" w:hAnsi="宋体"/>
                <w:szCs w:val="21"/>
              </w:rPr>
            </w:pPr>
            <w:r>
              <w:rPr>
                <w:rFonts w:hint="eastAsia" w:ascii="宋体" w:hAnsi="宋体"/>
                <w:szCs w:val="21"/>
              </w:rPr>
              <w:t>19</w:t>
            </w:r>
          </w:p>
        </w:tc>
        <w:tc>
          <w:tcPr>
            <w:tcW w:w="8079" w:type="dxa"/>
            <w:tcBorders>
              <w:top w:val="single" w:color="auto" w:sz="4" w:space="0"/>
              <w:left w:val="single" w:color="auto" w:sz="4" w:space="0"/>
              <w:bottom w:val="single" w:color="auto" w:sz="4" w:space="0"/>
              <w:right w:val="single" w:color="auto" w:sz="4" w:space="0"/>
            </w:tcBorders>
            <w:vAlign w:val="center"/>
          </w:tcPr>
          <w:p w14:paraId="46DF9606">
            <w:pPr>
              <w:spacing w:line="360" w:lineRule="auto"/>
              <w:rPr>
                <w:kern w:val="0"/>
                <w:szCs w:val="21"/>
              </w:rPr>
            </w:pPr>
            <w:r>
              <w:rPr>
                <w:rFonts w:hint="eastAsia"/>
                <w:kern w:val="0"/>
                <w:szCs w:val="21"/>
              </w:rPr>
              <w:t>盖章要求：供应商投标文件中加盖的公章仅能使用与供应商名称一致的标准公章，不得使用其他形式（如带有“专用章”、“合同章”、“财务章”、“业务章”等字样）的印章；否则，按无效投标处理。</w:t>
            </w:r>
          </w:p>
        </w:tc>
      </w:tr>
    </w:tbl>
    <w:p w14:paraId="7F4D7A36">
      <w:pPr>
        <w:rPr>
          <w:rFonts w:ascii="宋体" w:hAnsi="宋体"/>
          <w:b/>
          <w:spacing w:val="-6"/>
          <w:szCs w:val="21"/>
        </w:rPr>
      </w:pPr>
      <w:r>
        <w:rPr>
          <w:rFonts w:ascii="宋体" w:hAnsi="宋体"/>
          <w:b/>
          <w:spacing w:val="-6"/>
          <w:szCs w:val="21"/>
        </w:rPr>
        <w:br w:type="page"/>
      </w:r>
    </w:p>
    <w:p w14:paraId="79DB4017">
      <w:pPr>
        <w:spacing w:line="360" w:lineRule="auto"/>
        <w:ind w:firstLine="482"/>
        <w:rPr>
          <w:rFonts w:ascii="宋体" w:hAnsi="宋体" w:cs="宋体"/>
          <w:b/>
          <w:bCs/>
          <w:color w:val="000000"/>
          <w:sz w:val="22"/>
          <w:szCs w:val="22"/>
        </w:rPr>
      </w:pPr>
      <w:r>
        <w:rPr>
          <w:rFonts w:hint="eastAsia" w:ascii="宋体" w:hAnsi="宋体" w:cs="宋体"/>
          <w:b/>
          <w:bCs/>
          <w:color w:val="000000"/>
          <w:sz w:val="22"/>
          <w:szCs w:val="22"/>
        </w:rPr>
        <w:t>一、总 则</w:t>
      </w:r>
    </w:p>
    <w:p w14:paraId="778FB8D5">
      <w:pPr>
        <w:spacing w:line="360" w:lineRule="auto"/>
        <w:ind w:firstLine="482"/>
        <w:rPr>
          <w:rFonts w:ascii="宋体" w:hAnsi="宋体" w:cs="宋体"/>
          <w:b/>
          <w:bCs/>
          <w:color w:val="000000"/>
          <w:sz w:val="22"/>
          <w:szCs w:val="22"/>
        </w:rPr>
      </w:pPr>
      <w:r>
        <w:rPr>
          <w:rFonts w:hint="eastAsia" w:ascii="宋体" w:hAnsi="宋体" w:cs="宋体"/>
          <w:b/>
          <w:bCs/>
          <w:color w:val="000000"/>
          <w:sz w:val="22"/>
          <w:szCs w:val="22"/>
        </w:rPr>
        <w:t>1、适用法律</w:t>
      </w:r>
    </w:p>
    <w:p w14:paraId="25EFBCD8">
      <w:pPr>
        <w:spacing w:line="360" w:lineRule="auto"/>
        <w:ind w:firstLine="480"/>
        <w:rPr>
          <w:rFonts w:ascii="宋体" w:hAnsi="宋体" w:cs="宋体"/>
          <w:color w:val="000000"/>
          <w:sz w:val="22"/>
          <w:szCs w:val="22"/>
        </w:rPr>
      </w:pPr>
      <w:r>
        <w:rPr>
          <w:rFonts w:hint="eastAsia" w:ascii="宋体" w:hAnsi="宋体" w:cs="宋体"/>
          <w:color w:val="000000"/>
          <w:sz w:val="22"/>
          <w:szCs w:val="22"/>
        </w:rPr>
        <w:t>1.1执行《中华人民共和国政府采购法》、《政府采购货物和服务招标投标管理办法》等有关法律、规章和规定等。</w:t>
      </w:r>
    </w:p>
    <w:p w14:paraId="3908FFBB">
      <w:pPr>
        <w:spacing w:line="360" w:lineRule="auto"/>
        <w:ind w:firstLine="482"/>
        <w:rPr>
          <w:rFonts w:ascii="宋体" w:hAnsi="宋体" w:cs="宋体"/>
          <w:b/>
          <w:bCs/>
          <w:color w:val="000000"/>
          <w:sz w:val="22"/>
          <w:szCs w:val="22"/>
        </w:rPr>
      </w:pPr>
      <w:r>
        <w:rPr>
          <w:rFonts w:hint="eastAsia" w:ascii="宋体" w:hAnsi="宋体" w:cs="宋体"/>
          <w:b/>
          <w:bCs/>
          <w:color w:val="000000"/>
          <w:sz w:val="22"/>
          <w:szCs w:val="22"/>
        </w:rPr>
        <w:t>2、供应商定义</w:t>
      </w:r>
    </w:p>
    <w:p w14:paraId="14B59A92">
      <w:pPr>
        <w:spacing w:line="360" w:lineRule="auto"/>
        <w:ind w:firstLine="480"/>
        <w:rPr>
          <w:rFonts w:ascii="宋体" w:hAnsi="宋体" w:cs="宋体"/>
          <w:color w:val="000000"/>
          <w:sz w:val="22"/>
          <w:szCs w:val="22"/>
        </w:rPr>
      </w:pPr>
      <w:r>
        <w:rPr>
          <w:rFonts w:hint="eastAsia" w:ascii="宋体" w:hAnsi="宋体" w:cs="宋体"/>
          <w:color w:val="000000"/>
          <w:sz w:val="22"/>
          <w:szCs w:val="22"/>
        </w:rPr>
        <w:t>2.1 “供应商”是指参加投标竞争，并符合招标文件规定资格条件的法人、其他组织或者自然人。</w:t>
      </w:r>
    </w:p>
    <w:p w14:paraId="78801BCA">
      <w:pPr>
        <w:spacing w:line="360" w:lineRule="auto"/>
        <w:ind w:firstLine="482"/>
        <w:rPr>
          <w:rFonts w:ascii="宋体" w:hAnsi="宋体" w:cs="宋体"/>
          <w:b/>
          <w:bCs/>
          <w:color w:val="000000"/>
          <w:sz w:val="22"/>
          <w:szCs w:val="22"/>
        </w:rPr>
      </w:pPr>
      <w:r>
        <w:rPr>
          <w:rFonts w:hint="eastAsia" w:ascii="宋体" w:hAnsi="宋体" w:cs="宋体"/>
          <w:b/>
          <w:bCs/>
          <w:color w:val="000000"/>
          <w:sz w:val="22"/>
          <w:szCs w:val="22"/>
        </w:rPr>
        <w:t>3、货物和服务、用户或使用单位定义</w:t>
      </w:r>
    </w:p>
    <w:p w14:paraId="1EF40628">
      <w:pPr>
        <w:spacing w:line="360" w:lineRule="auto"/>
        <w:ind w:firstLine="480"/>
        <w:rPr>
          <w:rFonts w:ascii="宋体" w:hAnsi="宋体" w:cs="宋体"/>
          <w:color w:val="000000"/>
          <w:sz w:val="22"/>
          <w:szCs w:val="22"/>
        </w:rPr>
      </w:pPr>
      <w:r>
        <w:rPr>
          <w:rFonts w:hint="eastAsia" w:ascii="宋体" w:hAnsi="宋体" w:cs="宋体"/>
          <w:color w:val="000000"/>
          <w:sz w:val="22"/>
          <w:szCs w:val="22"/>
        </w:rPr>
        <w:t>3.1“货物和服务”指本招标文件中所述产品及相关服务。</w:t>
      </w:r>
    </w:p>
    <w:p w14:paraId="56B0598D">
      <w:pPr>
        <w:spacing w:line="360" w:lineRule="auto"/>
        <w:ind w:firstLine="480"/>
        <w:rPr>
          <w:rFonts w:ascii="宋体" w:hAnsi="宋体" w:cs="宋体"/>
          <w:color w:val="000000"/>
          <w:sz w:val="24"/>
        </w:rPr>
      </w:pPr>
      <w:r>
        <w:rPr>
          <w:rFonts w:hint="eastAsia" w:ascii="宋体" w:hAnsi="宋体" w:cs="宋体"/>
          <w:color w:val="000000"/>
          <w:sz w:val="22"/>
          <w:szCs w:val="22"/>
        </w:rPr>
        <w:t>3.2“用户或使用单位”是指使用货物及接受服务的单</w:t>
      </w:r>
      <w:r>
        <w:rPr>
          <w:rFonts w:hint="eastAsia" w:ascii="宋体" w:hAnsi="宋体" w:cs="宋体"/>
          <w:color w:val="000000"/>
          <w:sz w:val="24"/>
        </w:rPr>
        <w:t>位。</w:t>
      </w:r>
    </w:p>
    <w:p w14:paraId="7C3A22B1">
      <w:pPr>
        <w:spacing w:line="360" w:lineRule="auto"/>
        <w:ind w:firstLine="482"/>
        <w:rPr>
          <w:rFonts w:ascii="宋体" w:hAnsi="宋体" w:cs="宋体"/>
          <w:b/>
          <w:bCs/>
          <w:color w:val="000000"/>
          <w:sz w:val="24"/>
        </w:rPr>
      </w:pPr>
      <w:r>
        <w:rPr>
          <w:rFonts w:hint="eastAsia" w:ascii="宋体" w:hAnsi="宋体" w:cs="宋体"/>
          <w:b/>
          <w:bCs/>
          <w:color w:val="000000"/>
          <w:sz w:val="24"/>
        </w:rPr>
        <w:t>4、政策功能</w:t>
      </w:r>
    </w:p>
    <w:p w14:paraId="50639B4A">
      <w:pPr>
        <w:spacing w:line="360" w:lineRule="auto"/>
        <w:ind w:firstLine="480"/>
        <w:rPr>
          <w:rFonts w:ascii="宋体" w:hAnsi="宋体" w:cs="宋体"/>
          <w:color w:val="000000"/>
          <w:sz w:val="22"/>
          <w:szCs w:val="22"/>
        </w:rPr>
      </w:pPr>
      <w:r>
        <w:rPr>
          <w:rFonts w:hint="eastAsia" w:ascii="宋体" w:hAnsi="宋体" w:cs="宋体"/>
          <w:color w:val="000000"/>
          <w:sz w:val="22"/>
          <w:szCs w:val="22"/>
        </w:rPr>
        <w:t>4.1 中小企业政策</w:t>
      </w:r>
    </w:p>
    <w:p w14:paraId="6BEE084A">
      <w:pPr>
        <w:spacing w:line="360" w:lineRule="auto"/>
        <w:ind w:firstLine="480"/>
        <w:rPr>
          <w:rFonts w:ascii="宋体" w:hAnsi="宋体" w:cs="宋体"/>
          <w:color w:val="000000"/>
          <w:sz w:val="22"/>
          <w:szCs w:val="22"/>
        </w:rPr>
      </w:pPr>
      <w:r>
        <w:rPr>
          <w:rFonts w:hint="eastAsia" w:ascii="宋体" w:hAnsi="宋体" w:cs="宋体"/>
          <w:color w:val="000000"/>
          <w:sz w:val="22"/>
          <w:szCs w:val="22"/>
        </w:rPr>
        <w:t>（1）政府采购促进中小企业发展，小企业（含小型、微型企业）提供的产品和服务在评标时将获得优势，参加投标的小企业，应当提供《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p>
    <w:p w14:paraId="4AAF1867">
      <w:pPr>
        <w:spacing w:line="360" w:lineRule="auto"/>
        <w:ind w:firstLine="480"/>
        <w:rPr>
          <w:rFonts w:ascii="宋体" w:hAnsi="宋体" w:cs="宋体"/>
          <w:color w:val="000000"/>
          <w:sz w:val="22"/>
          <w:szCs w:val="22"/>
        </w:rPr>
      </w:pPr>
      <w:r>
        <w:rPr>
          <w:rFonts w:hint="eastAsia" w:ascii="宋体" w:hAnsi="宋体" w:cs="宋体"/>
          <w:color w:val="000000"/>
          <w:sz w:val="22"/>
          <w:szCs w:val="22"/>
          <w:lang w:val="zh-CN"/>
        </w:rPr>
        <w:t>（2）</w:t>
      </w:r>
      <w:r>
        <w:rPr>
          <w:rFonts w:hint="eastAsia" w:ascii="宋体" w:hAnsi="宋体" w:cs="宋体"/>
          <w:color w:val="000000"/>
          <w:sz w:val="22"/>
          <w:szCs w:val="22"/>
        </w:rPr>
        <w:t>根据</w:t>
      </w:r>
      <w:r>
        <w:rPr>
          <w:rFonts w:hint="eastAsia" w:ascii="宋体" w:hAnsi="宋体" w:cs="宋体"/>
          <w:color w:val="000000"/>
          <w:sz w:val="22"/>
          <w:szCs w:val="22"/>
          <w:lang w:val="zh-CN"/>
        </w:rPr>
        <w:t>《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2"/>
          <w:szCs w:val="22"/>
        </w:rPr>
        <w:t>对符合规定的小微企业报价给予10%的扣除，用扣除后的价格参加评审。</w:t>
      </w:r>
    </w:p>
    <w:p w14:paraId="49F43473">
      <w:pPr>
        <w:spacing w:line="360" w:lineRule="auto"/>
        <w:ind w:firstLine="480"/>
        <w:rPr>
          <w:rFonts w:ascii="宋体" w:hAnsi="宋体" w:cs="宋体"/>
          <w:color w:val="000000"/>
          <w:sz w:val="22"/>
          <w:szCs w:val="22"/>
        </w:rPr>
      </w:pPr>
      <w:r>
        <w:rPr>
          <w:rFonts w:hint="eastAsia" w:ascii="宋体" w:hAnsi="宋体" w:cs="宋体"/>
          <w:color w:val="000000"/>
          <w:sz w:val="22"/>
          <w:szCs w:val="22"/>
          <w:lang w:val="zh-CN"/>
        </w:rPr>
        <w:t>（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2"/>
          <w:szCs w:val="22"/>
        </w:rPr>
        <w:t>4</w:t>
      </w:r>
      <w:r>
        <w:rPr>
          <w:rFonts w:hint="eastAsia" w:ascii="宋体" w:hAnsi="宋体" w:cs="宋体"/>
          <w:color w:val="000000"/>
          <w:sz w:val="22"/>
          <w:szCs w:val="22"/>
          <w:lang w:val="zh-CN"/>
        </w:rPr>
        <w:t>%的价格扣除。联合体各方均为小型、微型企业的，联合体视同为小型、微型企业给予10%价格扣除。组成联合体的大中型企业和其他自然人、法人或者其他组织，与小型、微型企业之间不得存在投资关系。</w:t>
      </w:r>
    </w:p>
    <w:p w14:paraId="7CBC1BEC">
      <w:pPr>
        <w:spacing w:line="360" w:lineRule="auto"/>
        <w:ind w:firstLine="480"/>
        <w:rPr>
          <w:rFonts w:ascii="宋体" w:hAnsi="宋体" w:cs="宋体"/>
          <w:color w:val="000000"/>
          <w:sz w:val="22"/>
          <w:szCs w:val="22"/>
        </w:rPr>
      </w:pPr>
      <w:r>
        <w:rPr>
          <w:rFonts w:hint="eastAsia" w:ascii="宋体" w:hAnsi="宋体" w:cs="宋体"/>
          <w:color w:val="000000"/>
          <w:sz w:val="22"/>
          <w:szCs w:val="22"/>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48BE0E7C">
      <w:pPr>
        <w:spacing w:line="360" w:lineRule="auto"/>
        <w:ind w:firstLine="480"/>
        <w:rPr>
          <w:rFonts w:ascii="宋体" w:hAnsi="宋体" w:cs="宋体"/>
          <w:color w:val="000000"/>
          <w:sz w:val="22"/>
          <w:szCs w:val="22"/>
        </w:rPr>
      </w:pPr>
      <w:r>
        <w:rPr>
          <w:rFonts w:hint="eastAsia" w:ascii="宋体" w:hAnsi="宋体" w:cs="宋体"/>
          <w:color w:val="000000"/>
          <w:sz w:val="22"/>
          <w:szCs w:val="22"/>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419C8D63">
      <w:pPr>
        <w:spacing w:line="360" w:lineRule="auto"/>
        <w:ind w:firstLine="480"/>
        <w:rPr>
          <w:rFonts w:ascii="宋体" w:hAnsi="宋体" w:cs="宋体"/>
          <w:color w:val="000000"/>
          <w:sz w:val="22"/>
          <w:szCs w:val="22"/>
        </w:rPr>
      </w:pPr>
      <w:r>
        <w:rPr>
          <w:rFonts w:hint="eastAsia" w:ascii="宋体" w:hAnsi="宋体" w:cs="宋体"/>
          <w:color w:val="000000"/>
          <w:sz w:val="22"/>
          <w:szCs w:val="22"/>
        </w:rPr>
        <w:t>（6）参加政府采购活动的中小企业应当按“关于印发《政府采购促进中小企业发展管理办法》的通知[财库〔2020〕46号]” 规定提供《中小企业声明函》，未提供上述资料的报价，其价格不予扣除。</w:t>
      </w:r>
    </w:p>
    <w:p w14:paraId="61951EAB">
      <w:pPr>
        <w:spacing w:line="360" w:lineRule="auto"/>
        <w:ind w:firstLine="480"/>
        <w:rPr>
          <w:rFonts w:ascii="宋体" w:hAnsi="宋体" w:cs="宋体"/>
          <w:color w:val="000000"/>
          <w:sz w:val="22"/>
          <w:szCs w:val="22"/>
        </w:rPr>
      </w:pPr>
      <w:r>
        <w:rPr>
          <w:rFonts w:hint="eastAsia" w:ascii="宋体" w:hAnsi="宋体" w:cs="宋体"/>
          <w:color w:val="000000"/>
          <w:sz w:val="22"/>
          <w:szCs w:val="22"/>
        </w:rPr>
        <w:t>（7）中小企业依据《政府采购促进中小企业发展管理办法》（财库〔2020〕46号）、</w:t>
      </w:r>
      <w:r>
        <w:rPr>
          <w:rFonts w:hint="eastAsia" w:ascii="宋体" w:hAnsi="宋体" w:cs="宋体"/>
          <w:color w:val="000000"/>
          <w:sz w:val="22"/>
          <w:szCs w:val="22"/>
          <w:lang w:val="zh-CN"/>
        </w:rPr>
        <w:t>《关于进一步加大政府采购支持中小企业力度的通知》（财库〔2022〕19号）</w:t>
      </w:r>
      <w:r>
        <w:rPr>
          <w:rFonts w:hint="eastAsia" w:ascii="宋体" w:hAnsi="宋体" w:cs="宋体"/>
          <w:color w:val="000000"/>
          <w:sz w:val="22"/>
          <w:szCs w:val="22"/>
        </w:rPr>
        <w:t>规定的政策获取政府采购合同后，小微企业不得将合同分包给大中型企业，中型企业不得将合同分包给大型企业。</w:t>
      </w:r>
      <w:r>
        <w:rPr>
          <w:rFonts w:ascii="宋体" w:hAnsi="宋体" w:cs="宋体"/>
          <w:color w:val="000000"/>
          <w:sz w:val="22"/>
          <w:szCs w:val="22"/>
        </w:rPr>
        <w:t>4</w:t>
      </w:r>
    </w:p>
    <w:p w14:paraId="7B2586DA">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4.2节能产品、环境标志产品政策</w:t>
      </w:r>
    </w:p>
    <w:p w14:paraId="213976FB">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（1）政府采购节能产品、环境标志产品实施品目清单管理。</w:t>
      </w:r>
    </w:p>
    <w:p w14:paraId="0209EC52">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（2）拟采购产品属于节能产品、环境标志产品品目清单规定必须强制采购的，实行强制采购。</w:t>
      </w:r>
    </w:p>
    <w:p w14:paraId="0101C356">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（3）拟采购产品属于节能产品、环境标志产品品目清单规定优先采购的，在性能、技术、服务等指标同等条件下，实行优先采购，优先采购的评审标准详见本招标文件第</w:t>
      </w:r>
      <w:r>
        <w:rPr>
          <w:rFonts w:hint="eastAsia" w:ascii="宋体" w:hAnsi="宋体" w:cs="宋体"/>
          <w:color w:val="000000"/>
          <w:sz w:val="22"/>
          <w:szCs w:val="22"/>
        </w:rPr>
        <w:t>五</w:t>
      </w:r>
      <w:r>
        <w:rPr>
          <w:rFonts w:hint="eastAsia" w:ascii="宋体" w:hAnsi="宋体" w:cs="宋体"/>
          <w:color w:val="000000"/>
          <w:sz w:val="22"/>
          <w:szCs w:val="22"/>
          <w:lang w:val="zh-CN"/>
        </w:rPr>
        <w:t>章。</w:t>
      </w:r>
    </w:p>
    <w:p w14:paraId="7AB14DC6">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（4）参加政府采购活动的节能产品、环境标志产品供应商应当提供国家确定的认证机构出具的、处于有效期之内的节能产品、环境标志产品认证证书。</w:t>
      </w:r>
    </w:p>
    <w:p w14:paraId="7B27AB94">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4.3进口产品政策</w:t>
      </w:r>
    </w:p>
    <w:p w14:paraId="5492C4E5">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（1）除在招标文件另有规定外，不允许进口产品参加。进口产品认定依照《财政部关于政府采购进口产品管理有关问题的通知》（财办库〔2008〕248号）的规定。</w:t>
      </w:r>
    </w:p>
    <w:p w14:paraId="0FAF6CEE">
      <w:pPr>
        <w:spacing w:line="360" w:lineRule="auto"/>
        <w:ind w:firstLine="480"/>
        <w:jc w:val="left"/>
        <w:rPr>
          <w:rFonts w:ascii="宋体" w:hAnsi="宋体" w:cs="宋体"/>
          <w:color w:val="000000"/>
          <w:sz w:val="22"/>
          <w:szCs w:val="22"/>
          <w:lang w:val="zh-CN"/>
        </w:rPr>
      </w:pPr>
      <w:r>
        <w:rPr>
          <w:rFonts w:hint="eastAsia" w:ascii="宋体" w:hAnsi="宋体" w:cs="宋体"/>
          <w:color w:val="000000"/>
          <w:sz w:val="22"/>
          <w:szCs w:val="22"/>
          <w:lang w:val="zh-CN"/>
        </w:rPr>
        <w:t>（2）允许进口产品参加的，满足需求的国内产品可以参加。</w:t>
      </w:r>
    </w:p>
    <w:p w14:paraId="14C51AE6">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lang w:val="zh-CN"/>
        </w:rPr>
        <w:t>（3）允许进口产品参加的，优先采购向我国企业转让技术、与我国企业签订消化吸收再创新方</w:t>
      </w:r>
      <w:r>
        <w:rPr>
          <w:rFonts w:hint="eastAsia" w:ascii="宋体" w:hAnsi="宋体" w:cs="宋体"/>
          <w:color w:val="000000"/>
          <w:sz w:val="22"/>
          <w:szCs w:val="22"/>
        </w:rPr>
        <w:t>案的供应商的进口产品。</w:t>
      </w:r>
    </w:p>
    <w:p w14:paraId="4F1DD385">
      <w:pPr>
        <w:spacing w:line="360" w:lineRule="auto"/>
        <w:ind w:firstLine="420"/>
        <w:rPr>
          <w:rFonts w:ascii="宋体" w:hAnsi="宋体" w:cs="宋体"/>
          <w:color w:val="000000"/>
          <w:sz w:val="22"/>
          <w:szCs w:val="22"/>
          <w:lang w:val="zh-TW"/>
        </w:rPr>
      </w:pPr>
      <w:r>
        <w:rPr>
          <w:rFonts w:hint="eastAsia" w:ascii="宋体" w:hAnsi="宋体" w:cs="宋体"/>
          <w:color w:val="000000"/>
          <w:sz w:val="22"/>
          <w:szCs w:val="22"/>
          <w:lang w:val="zh-TW"/>
        </w:rPr>
        <w:t>4.</w:t>
      </w:r>
      <w:r>
        <w:rPr>
          <w:rFonts w:hint="eastAsia" w:ascii="宋体" w:hAnsi="宋体" w:cs="宋体"/>
          <w:color w:val="000000"/>
          <w:sz w:val="22"/>
          <w:szCs w:val="22"/>
        </w:rPr>
        <w:t>4</w:t>
      </w:r>
      <w:r>
        <w:rPr>
          <w:rFonts w:hint="eastAsia" w:ascii="宋体" w:hAnsi="宋体" w:cs="宋体"/>
          <w:color w:val="000000"/>
          <w:sz w:val="22"/>
          <w:szCs w:val="22"/>
          <w:lang w:val="zh-TW"/>
        </w:rPr>
        <w:t>支持本国产品的政策</w:t>
      </w:r>
    </w:p>
    <w:p w14:paraId="58796D06">
      <w:pPr>
        <w:spacing w:line="360" w:lineRule="auto"/>
        <w:ind w:firstLine="420"/>
        <w:rPr>
          <w:rFonts w:ascii="宋体" w:hAnsi="宋体" w:cs="宋体"/>
          <w:color w:val="000000"/>
          <w:sz w:val="22"/>
          <w:szCs w:val="22"/>
          <w:lang w:val="zh-TW"/>
        </w:rPr>
      </w:pPr>
      <w:r>
        <w:rPr>
          <w:rFonts w:hint="eastAsia" w:ascii="宋体" w:hAnsi="宋体" w:cs="宋体"/>
          <w:color w:val="000000"/>
          <w:sz w:val="22"/>
          <w:szCs w:val="22"/>
          <w:lang w:val="zh-TW"/>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70D03840">
      <w:pPr>
        <w:spacing w:line="360" w:lineRule="auto"/>
        <w:ind w:firstLine="420"/>
        <w:rPr>
          <w:rFonts w:ascii="宋体" w:hAnsi="宋体" w:cs="宋体"/>
          <w:color w:val="000000"/>
          <w:sz w:val="22"/>
          <w:szCs w:val="22"/>
          <w:lang w:val="zh-TW"/>
        </w:rPr>
      </w:pPr>
      <w:r>
        <w:rPr>
          <w:rFonts w:hint="eastAsia" w:ascii="宋体" w:hAnsi="宋体" w:cs="宋体"/>
          <w:color w:val="000000"/>
          <w:sz w:val="22"/>
          <w:szCs w:val="22"/>
          <w:lang w:val="zh-TW"/>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EA2E0E">
      <w:pPr>
        <w:spacing w:line="360" w:lineRule="auto"/>
        <w:ind w:firstLine="420"/>
        <w:rPr>
          <w:rFonts w:ascii="宋体" w:hAnsi="宋体" w:cs="宋体"/>
          <w:color w:val="000000"/>
          <w:sz w:val="22"/>
          <w:szCs w:val="22"/>
          <w:lang w:val="zh-TW"/>
        </w:rPr>
      </w:pPr>
      <w:r>
        <w:rPr>
          <w:rFonts w:hint="eastAsia" w:ascii="宋体" w:hAnsi="宋体" w:cs="宋体"/>
          <w:color w:val="000000"/>
          <w:sz w:val="22"/>
          <w:szCs w:val="22"/>
          <w:lang w:val="zh-TW"/>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FE21B5">
      <w:pPr>
        <w:spacing w:line="360" w:lineRule="auto"/>
        <w:ind w:firstLine="482"/>
        <w:rPr>
          <w:rFonts w:ascii="宋体" w:hAnsi="宋体" w:cs="宋体"/>
          <w:b/>
          <w:bCs/>
          <w:color w:val="000000"/>
          <w:sz w:val="22"/>
          <w:szCs w:val="22"/>
        </w:rPr>
      </w:pPr>
      <w:r>
        <w:rPr>
          <w:rFonts w:hint="eastAsia" w:ascii="宋体" w:hAnsi="宋体" w:cs="宋体"/>
          <w:b/>
          <w:bCs/>
          <w:color w:val="000000"/>
          <w:sz w:val="22"/>
          <w:szCs w:val="22"/>
        </w:rPr>
        <w:t>二、招标文件构成</w:t>
      </w:r>
    </w:p>
    <w:p w14:paraId="6DD0A1BC">
      <w:pPr>
        <w:spacing w:line="360" w:lineRule="auto"/>
        <w:ind w:firstLine="482"/>
        <w:jc w:val="left"/>
        <w:rPr>
          <w:rFonts w:ascii="宋体" w:hAnsi="宋体" w:cs="宋体"/>
          <w:b/>
          <w:bCs/>
          <w:color w:val="000000"/>
          <w:sz w:val="22"/>
          <w:szCs w:val="22"/>
        </w:rPr>
      </w:pPr>
      <w:r>
        <w:rPr>
          <w:rFonts w:hint="eastAsia" w:ascii="宋体" w:hAnsi="宋体" w:cs="宋体"/>
          <w:b/>
          <w:bCs/>
          <w:color w:val="000000"/>
          <w:sz w:val="22"/>
          <w:szCs w:val="22"/>
        </w:rPr>
        <w:t>5、招标文件组成</w:t>
      </w:r>
    </w:p>
    <w:p w14:paraId="11609261">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5.1招标文件包括以下主要内容：</w:t>
      </w:r>
    </w:p>
    <w:p w14:paraId="18168FF1">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（1）招标公告；</w:t>
      </w:r>
    </w:p>
    <w:p w14:paraId="3DBB59AA">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（2）投标人须知；</w:t>
      </w:r>
    </w:p>
    <w:p w14:paraId="3F291180">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（3）采购需求；</w:t>
      </w:r>
    </w:p>
    <w:p w14:paraId="30517D16">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（4）合同条款；</w:t>
      </w:r>
    </w:p>
    <w:p w14:paraId="577136BA">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（5）评标办法；</w:t>
      </w:r>
    </w:p>
    <w:p w14:paraId="67AB9DD4">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（6）投标文件格式。</w:t>
      </w:r>
    </w:p>
    <w:p w14:paraId="0997E7F9">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5.2如标书制作工具中格式和内容与“江苏政府采购网”发布的招标文件不一致的，以上述网站发布的招标文件为准。</w:t>
      </w:r>
    </w:p>
    <w:p w14:paraId="2E32C336">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招标的最小单位是标段。招标货物数量及技术要求中未分标段的，投标人对要求提供的货物和服务不得部分投标；招标货物数量及技术要求中已经分标段的，可以以标段为单位投标。</w:t>
      </w:r>
    </w:p>
    <w:p w14:paraId="474321AA">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5.3采购代理机构如果要求投标人按照招标文件规定提交备选投标方案的，投标人可以提交备选方案；否则，备选方案将被拒绝。</w:t>
      </w:r>
    </w:p>
    <w:p w14:paraId="05D4932E">
      <w:pPr>
        <w:spacing w:line="360" w:lineRule="auto"/>
        <w:ind w:firstLine="482"/>
        <w:jc w:val="left"/>
        <w:rPr>
          <w:rFonts w:ascii="宋体" w:hAnsi="宋体" w:cs="宋体"/>
          <w:b/>
          <w:bCs/>
          <w:color w:val="000000"/>
          <w:sz w:val="22"/>
          <w:szCs w:val="22"/>
        </w:rPr>
      </w:pPr>
      <w:r>
        <w:rPr>
          <w:rFonts w:hint="eastAsia" w:ascii="宋体" w:hAnsi="宋体" w:cs="宋体"/>
          <w:b/>
          <w:bCs/>
          <w:color w:val="000000"/>
          <w:sz w:val="22"/>
          <w:szCs w:val="22"/>
        </w:rPr>
        <w:t>6、其他说明</w:t>
      </w:r>
    </w:p>
    <w:p w14:paraId="737DDD62">
      <w:pPr>
        <w:spacing w:line="360" w:lineRule="auto"/>
        <w:ind w:firstLine="480"/>
        <w:jc w:val="left"/>
        <w:rPr>
          <w:rFonts w:ascii="宋体" w:hAnsi="宋体" w:cs="宋体"/>
          <w:color w:val="000000"/>
          <w:sz w:val="22"/>
          <w:szCs w:val="22"/>
        </w:rPr>
      </w:pPr>
      <w:r>
        <w:rPr>
          <w:rFonts w:hint="eastAsia" w:ascii="宋体" w:hAnsi="宋体" w:cs="宋体"/>
          <w:color w:val="000000"/>
          <w:sz w:val="22"/>
          <w:szCs w:val="22"/>
        </w:rPr>
        <w:t>招标文件中要求的产品品牌或型号，是采购人根据项目所要实现的功能推荐的品牌或型号，仅供投标人参考，并不是限制条件。</w:t>
      </w:r>
    </w:p>
    <w:p w14:paraId="0E0E9D6B">
      <w:pPr>
        <w:spacing w:line="360" w:lineRule="auto"/>
        <w:ind w:firstLine="482"/>
        <w:jc w:val="left"/>
        <w:rPr>
          <w:rFonts w:ascii="宋体" w:hAnsi="宋体" w:cs="宋体"/>
          <w:b/>
          <w:bCs/>
          <w:color w:val="000000"/>
          <w:sz w:val="22"/>
          <w:szCs w:val="22"/>
          <w:lang w:val="zh-CN"/>
        </w:rPr>
      </w:pPr>
      <w:r>
        <w:rPr>
          <w:rFonts w:hint="eastAsia" w:ascii="宋体" w:hAnsi="宋体" w:cs="宋体"/>
          <w:b/>
          <w:bCs/>
          <w:color w:val="000000"/>
          <w:sz w:val="22"/>
          <w:szCs w:val="22"/>
          <w:lang w:val="zh-CN"/>
        </w:rPr>
        <w:t>三、投标文件的编制</w:t>
      </w:r>
    </w:p>
    <w:p w14:paraId="2B94267D">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7、投标文件的语言、计量单位、货币和编制</w:t>
      </w:r>
    </w:p>
    <w:p w14:paraId="76DB038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7.1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19E3911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B380173">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7.3 投标人应在提交投标文件截止时间前，关注原公告媒体有关本项目的更正公告，根据更正公告内容自行决定是否需要重新制作和提交投标文件，并承担由此产生的相应责任。</w:t>
      </w:r>
    </w:p>
    <w:p w14:paraId="06F1080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8、投标文件的组成</w:t>
      </w:r>
    </w:p>
    <w:p w14:paraId="0565832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8.1 投标人编写的投标文件应包括资格证明文件、符合性证明文件、投标分项报价表、响应及偏离表、其他证明文件、投标函、开标一览表等部分。</w:t>
      </w:r>
    </w:p>
    <w:p w14:paraId="561376C7">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8.2 如标书制作工具中格式和内容与“江苏政府采购网”发布的招标文件不一致，以“江苏政府采购网”发布的招标文件为准。</w:t>
      </w:r>
    </w:p>
    <w:p w14:paraId="59DEFE4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9、投标文件的商务部分</w:t>
      </w:r>
    </w:p>
    <w:p w14:paraId="4081D74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9.1 商务部分是证明投标人有资格参加投标和中标后有能力履行合同的文件，这些文件应能满足招标文件的要求，包括但不限于下列文件，其中加“★”项目不得有缺失或无效：</w:t>
      </w:r>
    </w:p>
    <w:p w14:paraId="0CE0E6A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（1）★投标函（投标申请及声明）；</w:t>
      </w:r>
    </w:p>
    <w:p w14:paraId="63F5558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（2）★法定代表人授权委托书及委托代理人的身份证明文件的原件扫描件；</w:t>
      </w:r>
    </w:p>
    <w:p w14:paraId="48A337E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（3）★第一章投标邀请书中《中华人民共和国政府采购法》规定的资格条件证明文件；</w:t>
      </w:r>
    </w:p>
    <w:p w14:paraId="7666A8C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（4）★第一章投标邀请书中采购人根据采购项目的特殊要求规定的特定条件证明文件； </w:t>
      </w:r>
    </w:p>
    <w:p w14:paraId="263A569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（5）《开标一览表》</w:t>
      </w:r>
    </w:p>
    <w:p w14:paraId="17796DD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（6）《分项报价表》</w:t>
      </w:r>
    </w:p>
    <w:p w14:paraId="1622AE00">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（7）★《商务条款偏离表》；</w:t>
      </w:r>
    </w:p>
    <w:p w14:paraId="4BFDE0D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w:t>
      </w:r>
      <w:r>
        <w:rPr>
          <w:rFonts w:hint="eastAsia" w:ascii="宋体" w:hAnsi="宋体" w:cs="宋体"/>
          <w:sz w:val="22"/>
          <w:szCs w:val="22"/>
        </w:rPr>
        <w:t>8</w:t>
      </w:r>
      <w:r>
        <w:rPr>
          <w:rFonts w:hint="eastAsia" w:ascii="宋体" w:hAnsi="宋体" w:cs="宋体"/>
          <w:sz w:val="22"/>
          <w:szCs w:val="22"/>
          <w:lang w:val="zh-TW" w:eastAsia="zh-TW"/>
        </w:rPr>
        <w:t>）供应商认为需要提供的其他资格证明文件和商务资料。</w:t>
      </w:r>
    </w:p>
    <w:p w14:paraId="3C4AFED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10、投标文件的技术部分</w:t>
      </w:r>
    </w:p>
    <w:p w14:paraId="0F2A2C1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p>
    <w:p w14:paraId="6461CB3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 （1）技术说明和方案；</w:t>
      </w:r>
    </w:p>
    <w:p w14:paraId="242F46E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 （2）★《技术条款偏离表》；</w:t>
      </w:r>
    </w:p>
    <w:p w14:paraId="4471B50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 （3）服务承诺；</w:t>
      </w:r>
    </w:p>
    <w:p w14:paraId="52C3D710">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（4）投标人拟投入本项目的设备、人员情况一览表；</w:t>
      </w:r>
    </w:p>
    <w:p w14:paraId="2697CE4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 （5）供应商认为需要提供的其他技术资料。</w:t>
      </w:r>
    </w:p>
    <w:p w14:paraId="204E1A8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11、投标文件的价格部分</w:t>
      </w:r>
    </w:p>
    <w:p w14:paraId="63C01C69">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11.1价格部分是对货物和服务价格构成的说明，招标文件如没有特别说明的话，对每一项货物和服务仅接受一个价格。</w:t>
      </w:r>
    </w:p>
    <w:p w14:paraId="3AAAE6D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11.2报价应包含本次招标项目有关的所有费用，以及技术资料、支付给员工的工资和国家强制缴纳的各种社会保障资金，以及投标人认为需要的其他费用等。</w:t>
      </w:r>
    </w:p>
    <w:p w14:paraId="734931B4">
      <w:pPr>
        <w:pStyle w:val="92"/>
        <w:spacing w:line="360" w:lineRule="auto"/>
        <w:ind w:firstLine="480"/>
        <w:rPr>
          <w:rFonts w:ascii="宋体" w:hAnsi="宋体" w:cs="宋体"/>
          <w:sz w:val="22"/>
          <w:szCs w:val="22"/>
          <w:lang w:val="zh-TW"/>
        </w:rPr>
      </w:pPr>
      <w:r>
        <w:rPr>
          <w:rFonts w:hint="eastAsia" w:ascii="宋体" w:hAnsi="宋体" w:cs="宋体"/>
          <w:sz w:val="22"/>
          <w:szCs w:val="22"/>
          <w:lang w:val="zh-TW" w:eastAsia="zh-TW"/>
        </w:rPr>
        <w:t>11.3投标人的任何错漏、优惠、竞争性报价不得作为减轻责任、减少货物和服务、增加收费、降低质量的理由。</w:t>
      </w:r>
    </w:p>
    <w:p w14:paraId="0B41E873">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12、投标文件的其他部分</w:t>
      </w:r>
    </w:p>
    <w:p w14:paraId="7119D27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12.1 其他部分由投标人根据编制投标文件需要提供的其他相关文件。</w:t>
      </w:r>
    </w:p>
    <w:p w14:paraId="0CC729C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13、投标保证金（</w:t>
      </w:r>
      <w:r>
        <w:rPr>
          <w:rFonts w:hint="eastAsia" w:ascii="宋体" w:hAnsi="宋体" w:cs="宋体"/>
          <w:sz w:val="22"/>
          <w:szCs w:val="22"/>
        </w:rPr>
        <w:t>本项目无</w:t>
      </w:r>
      <w:r>
        <w:rPr>
          <w:rFonts w:hint="eastAsia" w:ascii="宋体" w:hAnsi="宋体" w:cs="宋体"/>
          <w:sz w:val="22"/>
          <w:szCs w:val="22"/>
          <w:lang w:val="zh-TW" w:eastAsia="zh-TW"/>
        </w:rPr>
        <w:t>）</w:t>
      </w:r>
    </w:p>
    <w:p w14:paraId="3E9EFFE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13.1 投标人应按照投标邀请提交投标保证金，并作为其投标的一部分。</w:t>
      </w:r>
    </w:p>
    <w:p w14:paraId="5432B0C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13.2 投标保证金应按照投标邀请规定的数额和办法缴纳。</w:t>
      </w:r>
    </w:p>
    <w:p w14:paraId="50989A7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p>
    <w:p w14:paraId="1D03085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13.4 中标供应商的投标保证金，将在采购合同签订后五个工作日内无息退还。</w:t>
      </w:r>
    </w:p>
    <w:p w14:paraId="75F00E2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13.5 下列任何情况发生时，投标保证金不予退还：</w:t>
      </w:r>
    </w:p>
    <w:p w14:paraId="2413FD4D">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（1）投标人在投标截止时间后至投标有效期期满前撤回其投标的；</w:t>
      </w:r>
    </w:p>
    <w:p w14:paraId="23524FB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（2）中标通知书发出后三十天内，中标供应商未与采购人签订合同的；</w:t>
      </w:r>
    </w:p>
    <w:p w14:paraId="1071122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（3）提供虚假材料谋取中标的；</w:t>
      </w:r>
    </w:p>
    <w:p w14:paraId="187F029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（4）经查实属于串通投标的等。</w:t>
      </w:r>
    </w:p>
    <w:p w14:paraId="75A4F03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14、投标有效期</w:t>
      </w:r>
    </w:p>
    <w:p w14:paraId="71FE8034">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14.1 自开标之日起90天内投标有效。</w:t>
      </w:r>
    </w:p>
    <w:p w14:paraId="5AE6CCD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14:paraId="39409FA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15、投标文件签署</w:t>
      </w:r>
    </w:p>
    <w:p w14:paraId="17240FAD">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15.1 </w:t>
      </w:r>
      <w:r>
        <w:rPr>
          <w:rFonts w:ascii="宋体" w:hAnsi="宋体" w:cs="宋体"/>
          <w:sz w:val="22"/>
          <w:szCs w:val="22"/>
          <w:lang w:val="zh-TW" w:eastAsia="zh-TW"/>
        </w:rPr>
        <w:t>投标文件应按照招标文件要求加盖电子公章，否则视为无效投标</w:t>
      </w:r>
      <w:r>
        <w:rPr>
          <w:rFonts w:hint="eastAsia" w:ascii="宋体" w:hAnsi="宋体" w:cs="宋体"/>
          <w:sz w:val="22"/>
          <w:szCs w:val="22"/>
          <w:lang w:val="zh-TW" w:eastAsia="zh-TW"/>
        </w:rPr>
        <w:t>。</w:t>
      </w:r>
    </w:p>
    <w:p w14:paraId="6854005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16、投标费用</w:t>
      </w:r>
    </w:p>
    <w:p w14:paraId="4F01871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16.1 投标人应承担所有与准备和参加投标有关的费用，无论采购结果如何，代理机构和采购人在任何情况下均无义务和责任承担这些费用。</w:t>
      </w:r>
    </w:p>
    <w:p w14:paraId="24C2BB05">
      <w:pPr>
        <w:pStyle w:val="92"/>
        <w:spacing w:line="360" w:lineRule="auto"/>
        <w:ind w:firstLine="482"/>
        <w:rPr>
          <w:rFonts w:ascii="宋体" w:hAnsi="宋体" w:eastAsia="宋体" w:cs="宋体"/>
          <w:b/>
          <w:bCs/>
          <w:sz w:val="22"/>
          <w:szCs w:val="22"/>
        </w:rPr>
      </w:pPr>
      <w:r>
        <w:rPr>
          <w:rFonts w:hint="eastAsia" w:ascii="宋体" w:hAnsi="宋体" w:cs="宋体"/>
          <w:b/>
          <w:bCs/>
          <w:sz w:val="22"/>
          <w:szCs w:val="22"/>
          <w:lang w:val="zh-TW" w:eastAsia="zh-TW"/>
        </w:rPr>
        <w:t>16.2 本次招标代理服务费由中标人支付，</w:t>
      </w:r>
      <w:r>
        <w:rPr>
          <w:rFonts w:hint="eastAsia" w:ascii="宋体" w:hAnsi="宋体" w:eastAsia="宋体" w:cs="宋体"/>
          <w:b/>
          <w:bCs/>
          <w:sz w:val="22"/>
          <w:szCs w:val="22"/>
        </w:rPr>
        <w:t>详见下表：</w:t>
      </w:r>
    </w:p>
    <w:p w14:paraId="57ED3076">
      <w:pPr>
        <w:spacing w:line="360" w:lineRule="auto"/>
        <w:ind w:firstLine="420" w:firstLineChars="200"/>
      </w:pPr>
      <w:r>
        <w:rPr>
          <w:rFonts w:hint="eastAsia" w:ascii="宋体" w:hAnsi="宋体"/>
        </w:rPr>
        <w:t>投标人应在中标后向采购代理机构支付代理服务费。代理服务费</w:t>
      </w:r>
      <w:r>
        <w:rPr>
          <w:rFonts w:hint="eastAsia" w:ascii="宋体" w:hAnsi="宋体"/>
          <w:color w:val="000000" w:themeColor="text1"/>
          <w14:textFill>
            <w14:solidFill>
              <w14:schemeClr w14:val="tx1"/>
            </w14:solidFill>
          </w14:textFill>
        </w:rPr>
        <w:t>以</w:t>
      </w:r>
      <w:r>
        <w:rPr>
          <w:rFonts w:hint="eastAsia" w:ascii="宋体" w:hAnsi="宋体"/>
          <w:b/>
          <w:bCs/>
          <w:color w:val="000000" w:themeColor="text1"/>
          <w14:textFill>
            <w14:solidFill>
              <w14:schemeClr w14:val="tx1"/>
            </w14:solidFill>
          </w14:textFill>
        </w:rPr>
        <w:t>中标</w:t>
      </w:r>
      <w:r>
        <w:rPr>
          <w:rFonts w:hint="eastAsia" w:ascii="宋体" w:hAnsi="宋体"/>
          <w:color w:val="000000" w:themeColor="text1"/>
          <w14:textFill>
            <w14:solidFill>
              <w14:schemeClr w14:val="tx1"/>
            </w14:solidFill>
          </w14:textFill>
        </w:rPr>
        <w:t>金</w:t>
      </w:r>
      <w:r>
        <w:rPr>
          <w:rFonts w:hint="eastAsia" w:ascii="宋体" w:hAnsi="宋体"/>
        </w:rPr>
        <w:t>额作为收取的计算基数，</w:t>
      </w:r>
      <w:r>
        <w:t>依据下表中的服务费率，采用差额定率累进法计算代理服务费金额。</w:t>
      </w:r>
      <w:r>
        <w:rPr>
          <w:rFonts w:hint="eastAsia"/>
        </w:rPr>
        <w:t>每个项目最低收费</w:t>
      </w:r>
      <w:r>
        <w:rPr>
          <w:rFonts w:hint="eastAsia"/>
          <w:b/>
          <w:bCs/>
        </w:rPr>
        <w:t>3000元</w:t>
      </w:r>
      <w:r>
        <w:rPr>
          <w:rFonts w:hint="eastAsia"/>
        </w:rPr>
        <w:t>。</w:t>
      </w:r>
    </w:p>
    <w:tbl>
      <w:tblPr>
        <w:tblStyle w:val="36"/>
        <w:tblW w:w="7366" w:type="dxa"/>
        <w:jc w:val="center"/>
        <w:tblLayout w:type="fixed"/>
        <w:tblCellMar>
          <w:top w:w="0" w:type="dxa"/>
          <w:left w:w="108" w:type="dxa"/>
          <w:bottom w:w="0" w:type="dxa"/>
          <w:right w:w="108" w:type="dxa"/>
        </w:tblCellMar>
      </w:tblPr>
      <w:tblGrid>
        <w:gridCol w:w="2830"/>
        <w:gridCol w:w="2268"/>
        <w:gridCol w:w="2268"/>
      </w:tblGrid>
      <w:tr w14:paraId="616B705E">
        <w:tblPrEx>
          <w:tblCellMar>
            <w:top w:w="0" w:type="dxa"/>
            <w:left w:w="108" w:type="dxa"/>
            <w:bottom w:w="0" w:type="dxa"/>
            <w:right w:w="108" w:type="dxa"/>
          </w:tblCellMar>
        </w:tblPrEx>
        <w:trPr>
          <w:trHeight w:val="634" w:hRule="atLeast"/>
          <w:jc w:val="center"/>
        </w:trPr>
        <w:tc>
          <w:tcPr>
            <w:tcW w:w="2830" w:type="dxa"/>
            <w:tcBorders>
              <w:top w:val="single" w:color="auto" w:sz="4" w:space="0"/>
              <w:left w:val="single" w:color="auto" w:sz="4" w:space="0"/>
              <w:bottom w:val="single" w:color="auto" w:sz="4" w:space="0"/>
              <w:right w:val="single" w:color="auto" w:sz="4" w:space="0"/>
              <w:tl2br w:val="single" w:color="auto" w:sz="4" w:space="0"/>
            </w:tcBorders>
            <w:vAlign w:val="center"/>
          </w:tcPr>
          <w:p w14:paraId="43F2B7C1">
            <w:pPr>
              <w:rPr>
                <w:rFonts w:cs="宋体"/>
              </w:rPr>
            </w:pPr>
            <w:r>
              <w:rPr>
                <w:rFonts w:hint="eastAsia" w:cs="宋体"/>
              </w:rPr>
              <w:t xml:space="preserve">金额      </w:t>
            </w:r>
            <w:r>
              <w:rPr>
                <w:rFonts w:cs="宋体"/>
              </w:rPr>
              <w:t xml:space="preserve">     </w:t>
            </w:r>
            <w:r>
              <w:rPr>
                <w:rFonts w:hint="eastAsia" w:cs="宋体"/>
              </w:rPr>
              <w:t>类型</w:t>
            </w:r>
          </w:p>
        </w:tc>
        <w:tc>
          <w:tcPr>
            <w:tcW w:w="2268" w:type="dxa"/>
            <w:tcBorders>
              <w:top w:val="single" w:color="auto" w:sz="4" w:space="0"/>
              <w:left w:val="single" w:color="auto" w:sz="4" w:space="0"/>
              <w:bottom w:val="single" w:color="000000" w:sz="4" w:space="0"/>
              <w:right w:val="single" w:color="auto" w:sz="4" w:space="0"/>
            </w:tcBorders>
            <w:noWrap/>
            <w:vAlign w:val="center"/>
          </w:tcPr>
          <w:p w14:paraId="55AE2374">
            <w:pPr>
              <w:jc w:val="center"/>
              <w:rPr>
                <w:rFonts w:cs="宋体"/>
              </w:rPr>
            </w:pPr>
            <w:r>
              <w:rPr>
                <w:rFonts w:hint="eastAsia" w:cs="宋体"/>
              </w:rPr>
              <w:t>货物类</w:t>
            </w:r>
          </w:p>
        </w:tc>
        <w:tc>
          <w:tcPr>
            <w:tcW w:w="2268" w:type="dxa"/>
            <w:tcBorders>
              <w:top w:val="single" w:color="auto" w:sz="4" w:space="0"/>
              <w:left w:val="single" w:color="auto" w:sz="4" w:space="0"/>
              <w:bottom w:val="single" w:color="000000" w:sz="4" w:space="0"/>
              <w:right w:val="single" w:color="auto" w:sz="4" w:space="0"/>
            </w:tcBorders>
            <w:noWrap/>
            <w:vAlign w:val="center"/>
          </w:tcPr>
          <w:p w14:paraId="0722F54B">
            <w:pPr>
              <w:jc w:val="center"/>
              <w:rPr>
                <w:rFonts w:cs="宋体"/>
              </w:rPr>
            </w:pPr>
            <w:r>
              <w:rPr>
                <w:rFonts w:hint="eastAsia" w:cs="宋体"/>
              </w:rPr>
              <w:t>服务类</w:t>
            </w:r>
          </w:p>
        </w:tc>
      </w:tr>
      <w:tr w14:paraId="55B5213C">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3ACEC1B1">
            <w:pPr>
              <w:jc w:val="center"/>
              <w:rPr>
                <w:rFonts w:cs="宋体"/>
              </w:rPr>
            </w:pPr>
            <w:r>
              <w:rPr>
                <w:rFonts w:hint="eastAsia" w:cs="宋体"/>
              </w:rPr>
              <w:t>100万元以下</w:t>
            </w:r>
          </w:p>
        </w:tc>
        <w:tc>
          <w:tcPr>
            <w:tcW w:w="2268" w:type="dxa"/>
            <w:tcBorders>
              <w:top w:val="nil"/>
              <w:left w:val="nil"/>
              <w:bottom w:val="single" w:color="auto" w:sz="4" w:space="0"/>
              <w:right w:val="single" w:color="auto" w:sz="4" w:space="0"/>
            </w:tcBorders>
            <w:noWrap/>
            <w:vAlign w:val="center"/>
          </w:tcPr>
          <w:p w14:paraId="6F892607">
            <w:pPr>
              <w:jc w:val="center"/>
              <w:rPr>
                <w:rFonts w:cs="宋体"/>
              </w:rPr>
            </w:pPr>
            <w:r>
              <w:rPr>
                <w:rFonts w:hint="eastAsia" w:cs="宋体"/>
              </w:rPr>
              <w:t>0.82%</w:t>
            </w:r>
          </w:p>
        </w:tc>
        <w:tc>
          <w:tcPr>
            <w:tcW w:w="2268" w:type="dxa"/>
            <w:tcBorders>
              <w:top w:val="nil"/>
              <w:left w:val="nil"/>
              <w:bottom w:val="single" w:color="auto" w:sz="4" w:space="0"/>
              <w:right w:val="single" w:color="auto" w:sz="4" w:space="0"/>
            </w:tcBorders>
            <w:noWrap/>
            <w:vAlign w:val="center"/>
          </w:tcPr>
          <w:p w14:paraId="1BF7A772">
            <w:pPr>
              <w:jc w:val="center"/>
              <w:rPr>
                <w:rFonts w:cs="宋体"/>
              </w:rPr>
            </w:pPr>
            <w:r>
              <w:rPr>
                <w:rFonts w:hint="eastAsia" w:cs="宋体"/>
              </w:rPr>
              <w:t>0.82%</w:t>
            </w:r>
          </w:p>
        </w:tc>
      </w:tr>
      <w:tr w14:paraId="1E4E46E1">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207AE596">
            <w:pPr>
              <w:jc w:val="center"/>
              <w:rPr>
                <w:rFonts w:cs="宋体"/>
              </w:rPr>
            </w:pPr>
            <w:r>
              <w:rPr>
                <w:rFonts w:hint="eastAsia" w:cs="宋体"/>
              </w:rPr>
              <w:t>100-500万元</w:t>
            </w:r>
          </w:p>
        </w:tc>
        <w:tc>
          <w:tcPr>
            <w:tcW w:w="2268" w:type="dxa"/>
            <w:tcBorders>
              <w:top w:val="nil"/>
              <w:left w:val="nil"/>
              <w:bottom w:val="single" w:color="auto" w:sz="4" w:space="0"/>
              <w:right w:val="single" w:color="auto" w:sz="4" w:space="0"/>
            </w:tcBorders>
            <w:noWrap/>
            <w:vAlign w:val="center"/>
          </w:tcPr>
          <w:p w14:paraId="2FE8161C">
            <w:pPr>
              <w:jc w:val="center"/>
              <w:rPr>
                <w:rFonts w:cs="宋体"/>
              </w:rPr>
            </w:pPr>
            <w:r>
              <w:rPr>
                <w:rFonts w:hint="eastAsia" w:cs="宋体"/>
              </w:rPr>
              <w:t>0.</w:t>
            </w:r>
            <w:r>
              <w:rPr>
                <w:rFonts w:cs="宋体"/>
              </w:rPr>
              <w:t>66</w:t>
            </w:r>
            <w:r>
              <w:rPr>
                <w:rFonts w:hint="eastAsia" w:cs="宋体"/>
              </w:rPr>
              <w:t>%</w:t>
            </w:r>
          </w:p>
        </w:tc>
        <w:tc>
          <w:tcPr>
            <w:tcW w:w="2268" w:type="dxa"/>
            <w:tcBorders>
              <w:top w:val="nil"/>
              <w:left w:val="nil"/>
              <w:bottom w:val="single" w:color="auto" w:sz="4" w:space="0"/>
              <w:right w:val="single" w:color="auto" w:sz="4" w:space="0"/>
            </w:tcBorders>
            <w:noWrap/>
            <w:vAlign w:val="center"/>
          </w:tcPr>
          <w:p w14:paraId="7C71A5A0">
            <w:pPr>
              <w:jc w:val="center"/>
              <w:rPr>
                <w:rFonts w:cs="宋体"/>
              </w:rPr>
            </w:pPr>
            <w:r>
              <w:rPr>
                <w:rFonts w:hint="eastAsia" w:cs="宋体"/>
              </w:rPr>
              <w:t>0.4</w:t>
            </w:r>
            <w:r>
              <w:rPr>
                <w:rFonts w:cs="宋体"/>
              </w:rPr>
              <w:t>8</w:t>
            </w:r>
            <w:r>
              <w:rPr>
                <w:rFonts w:hint="eastAsia" w:cs="宋体"/>
              </w:rPr>
              <w:t>%</w:t>
            </w:r>
          </w:p>
        </w:tc>
      </w:tr>
      <w:tr w14:paraId="3021883C">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5056493E">
            <w:pPr>
              <w:jc w:val="center"/>
              <w:rPr>
                <w:rFonts w:cs="宋体"/>
              </w:rPr>
            </w:pPr>
            <w:r>
              <w:rPr>
                <w:rFonts w:hint="eastAsia" w:cs="宋体"/>
              </w:rPr>
              <w:t>500-1000万元</w:t>
            </w:r>
          </w:p>
        </w:tc>
        <w:tc>
          <w:tcPr>
            <w:tcW w:w="2268" w:type="dxa"/>
            <w:tcBorders>
              <w:top w:val="nil"/>
              <w:left w:val="nil"/>
              <w:bottom w:val="single" w:color="auto" w:sz="4" w:space="0"/>
              <w:right w:val="single" w:color="auto" w:sz="4" w:space="0"/>
            </w:tcBorders>
            <w:noWrap/>
            <w:vAlign w:val="center"/>
          </w:tcPr>
          <w:p w14:paraId="508AA677">
            <w:pPr>
              <w:jc w:val="center"/>
              <w:rPr>
                <w:rFonts w:cs="宋体"/>
              </w:rPr>
            </w:pPr>
            <w:r>
              <w:rPr>
                <w:rFonts w:hint="eastAsia" w:cs="宋体"/>
              </w:rPr>
              <w:t>0.39%</w:t>
            </w:r>
          </w:p>
        </w:tc>
        <w:tc>
          <w:tcPr>
            <w:tcW w:w="2268" w:type="dxa"/>
            <w:tcBorders>
              <w:top w:val="nil"/>
              <w:left w:val="nil"/>
              <w:bottom w:val="single" w:color="auto" w:sz="4" w:space="0"/>
              <w:right w:val="single" w:color="auto" w:sz="4" w:space="0"/>
            </w:tcBorders>
            <w:noWrap/>
            <w:vAlign w:val="center"/>
          </w:tcPr>
          <w:p w14:paraId="2098BE5A">
            <w:pPr>
              <w:jc w:val="center"/>
              <w:rPr>
                <w:rFonts w:cs="宋体"/>
              </w:rPr>
            </w:pPr>
            <w:r>
              <w:rPr>
                <w:rFonts w:hint="eastAsia" w:cs="宋体"/>
              </w:rPr>
              <w:t>0.28%</w:t>
            </w:r>
          </w:p>
        </w:tc>
      </w:tr>
      <w:tr w14:paraId="38E7AF02">
        <w:tblPrEx>
          <w:tblCellMar>
            <w:top w:w="0" w:type="dxa"/>
            <w:left w:w="108" w:type="dxa"/>
            <w:bottom w:w="0" w:type="dxa"/>
            <w:right w:w="108" w:type="dxa"/>
          </w:tblCellMar>
        </w:tblPrEx>
        <w:trPr>
          <w:trHeight w:val="402" w:hRule="atLeast"/>
          <w:jc w:val="center"/>
        </w:trPr>
        <w:tc>
          <w:tcPr>
            <w:tcW w:w="2830" w:type="dxa"/>
            <w:tcBorders>
              <w:top w:val="nil"/>
              <w:left w:val="single" w:color="auto" w:sz="4" w:space="0"/>
              <w:bottom w:val="single" w:color="auto" w:sz="4" w:space="0"/>
              <w:right w:val="single" w:color="auto" w:sz="4" w:space="0"/>
            </w:tcBorders>
            <w:noWrap/>
            <w:vAlign w:val="center"/>
          </w:tcPr>
          <w:p w14:paraId="35C85FD5">
            <w:pPr>
              <w:jc w:val="center"/>
              <w:rPr>
                <w:rFonts w:cs="宋体"/>
              </w:rPr>
            </w:pPr>
            <w:r>
              <w:rPr>
                <w:rFonts w:hint="eastAsia" w:cs="宋体"/>
              </w:rPr>
              <w:t>1000-5000万元</w:t>
            </w:r>
          </w:p>
        </w:tc>
        <w:tc>
          <w:tcPr>
            <w:tcW w:w="2268" w:type="dxa"/>
            <w:tcBorders>
              <w:top w:val="nil"/>
              <w:left w:val="nil"/>
              <w:bottom w:val="single" w:color="auto" w:sz="4" w:space="0"/>
              <w:right w:val="single" w:color="auto" w:sz="4" w:space="0"/>
            </w:tcBorders>
            <w:noWrap/>
            <w:vAlign w:val="center"/>
          </w:tcPr>
          <w:p w14:paraId="2DBD39B1">
            <w:pPr>
              <w:jc w:val="center"/>
              <w:rPr>
                <w:rFonts w:cs="宋体"/>
              </w:rPr>
            </w:pPr>
            <w:r>
              <w:rPr>
                <w:rFonts w:hint="eastAsia" w:cs="宋体"/>
              </w:rPr>
              <w:t>0.25%</w:t>
            </w:r>
          </w:p>
        </w:tc>
        <w:tc>
          <w:tcPr>
            <w:tcW w:w="2268" w:type="dxa"/>
            <w:tcBorders>
              <w:top w:val="nil"/>
              <w:left w:val="nil"/>
              <w:bottom w:val="single" w:color="auto" w:sz="4" w:space="0"/>
              <w:right w:val="single" w:color="auto" w:sz="4" w:space="0"/>
            </w:tcBorders>
            <w:noWrap/>
            <w:vAlign w:val="center"/>
          </w:tcPr>
          <w:p w14:paraId="0DC26CE2">
            <w:pPr>
              <w:jc w:val="center"/>
              <w:rPr>
                <w:rFonts w:cs="宋体"/>
              </w:rPr>
            </w:pPr>
            <w:r>
              <w:rPr>
                <w:rFonts w:hint="eastAsia" w:cs="宋体"/>
              </w:rPr>
              <w:t>0.19%</w:t>
            </w:r>
          </w:p>
        </w:tc>
      </w:tr>
    </w:tbl>
    <w:p w14:paraId="48E74EB2">
      <w:pPr>
        <w:pStyle w:val="92"/>
        <w:spacing w:line="360" w:lineRule="auto"/>
        <w:rPr>
          <w:rFonts w:ascii="宋体" w:hAnsi="宋体" w:eastAsia="宋体" w:cs="宋体"/>
          <w:b/>
          <w:bCs/>
          <w:sz w:val="22"/>
          <w:szCs w:val="22"/>
        </w:rPr>
      </w:pPr>
    </w:p>
    <w:p w14:paraId="2B90D64B">
      <w:pPr>
        <w:pStyle w:val="92"/>
        <w:spacing w:line="360" w:lineRule="auto"/>
        <w:ind w:firstLine="482"/>
        <w:rPr>
          <w:rFonts w:ascii="宋体" w:hAnsi="宋体" w:cs="宋体"/>
          <w:b/>
          <w:bCs/>
          <w:sz w:val="22"/>
          <w:szCs w:val="22"/>
          <w:lang w:val="zh-TW" w:eastAsia="zh-TW"/>
        </w:rPr>
      </w:pPr>
      <w:r>
        <w:rPr>
          <w:rFonts w:hint="eastAsia" w:ascii="宋体" w:hAnsi="宋体" w:cs="宋体"/>
          <w:b/>
          <w:bCs/>
          <w:sz w:val="22"/>
          <w:szCs w:val="22"/>
          <w:lang w:val="zh-TW" w:eastAsia="zh-TW"/>
        </w:rPr>
        <w:t>四、投标文件的递交</w:t>
      </w:r>
    </w:p>
    <w:p w14:paraId="2F40CBF1">
      <w:pPr>
        <w:pStyle w:val="92"/>
        <w:spacing w:line="360" w:lineRule="auto"/>
        <w:ind w:firstLine="482"/>
        <w:rPr>
          <w:rFonts w:ascii="宋体" w:hAnsi="宋体" w:cs="宋体"/>
          <w:b/>
          <w:bCs/>
          <w:sz w:val="22"/>
          <w:szCs w:val="22"/>
          <w:lang w:val="zh-TW" w:eastAsia="zh-TW"/>
        </w:rPr>
      </w:pPr>
      <w:r>
        <w:rPr>
          <w:rFonts w:hint="eastAsia" w:ascii="宋体" w:hAnsi="宋体" w:cs="宋体"/>
          <w:b/>
          <w:bCs/>
          <w:sz w:val="22"/>
          <w:szCs w:val="22"/>
          <w:lang w:val="zh-TW" w:eastAsia="zh-TW"/>
        </w:rPr>
        <w:t>17、投标文件的递交</w:t>
      </w:r>
    </w:p>
    <w:p w14:paraId="5C7686D5">
      <w:pPr>
        <w:pStyle w:val="137"/>
        <w:spacing w:line="360" w:lineRule="auto"/>
        <w:ind w:firstLine="482"/>
        <w:jc w:val="left"/>
        <w:rPr>
          <w:rFonts w:ascii="宋体" w:hAnsi="宋体" w:eastAsia="宋体"/>
          <w:b w:val="0"/>
          <w:color w:val="000000"/>
          <w:sz w:val="22"/>
          <w:szCs w:val="22"/>
        </w:rPr>
      </w:pPr>
      <w:r>
        <w:rPr>
          <w:rFonts w:hint="eastAsia" w:ascii="宋体" w:hAnsi="宋体" w:eastAsia="宋体" w:cs="宋体"/>
          <w:color w:val="000000"/>
          <w:sz w:val="22"/>
          <w:szCs w:val="22"/>
          <w:lang w:val="zh-TW" w:eastAsia="zh-TW"/>
        </w:rPr>
        <w:t>17.1</w:t>
      </w:r>
      <w:r>
        <w:rPr>
          <w:rFonts w:ascii="宋体" w:hAnsi="宋体" w:eastAsia="宋体"/>
          <w:b w:val="0"/>
          <w:color w:val="000000"/>
          <w:sz w:val="22"/>
          <w:szCs w:val="22"/>
        </w:rPr>
        <w:t>投标人应当按照《操作手册》规定，在招标公告规定的投标截止时间前制作并上传电子投标文件。招标代理机构拒绝接收提交投标文件截止时间后上传的任何电子投标文件。</w:t>
      </w:r>
    </w:p>
    <w:p w14:paraId="3FE713A8">
      <w:pPr>
        <w:pStyle w:val="92"/>
        <w:spacing w:line="360" w:lineRule="auto"/>
        <w:ind w:firstLine="482"/>
        <w:rPr>
          <w:rFonts w:ascii="宋体" w:hAnsi="宋体" w:cs="宋体"/>
          <w:b/>
          <w:bCs/>
          <w:sz w:val="22"/>
          <w:szCs w:val="22"/>
          <w:lang w:val="zh-TW" w:eastAsia="zh-TW"/>
        </w:rPr>
      </w:pPr>
      <w:r>
        <w:rPr>
          <w:rFonts w:hint="eastAsia" w:ascii="宋体" w:hAnsi="宋体" w:cs="宋体"/>
          <w:b/>
          <w:bCs/>
          <w:sz w:val="22"/>
          <w:szCs w:val="22"/>
          <w:lang w:val="zh-TW"/>
        </w:rPr>
        <w:t>18、</w:t>
      </w:r>
      <w:r>
        <w:rPr>
          <w:rFonts w:ascii="宋体" w:hAnsi="宋体" w:cs="宋体"/>
          <w:b/>
          <w:bCs/>
          <w:sz w:val="22"/>
          <w:szCs w:val="22"/>
          <w:lang w:val="zh-TW" w:eastAsia="zh-TW"/>
        </w:rPr>
        <w:t>投标文件的解密</w:t>
      </w:r>
    </w:p>
    <w:p w14:paraId="4E911FEC">
      <w:pPr>
        <w:pStyle w:val="137"/>
        <w:numPr>
          <w:ilvl w:val="0"/>
          <w:numId w:val="5"/>
        </w:numPr>
        <w:spacing w:line="360" w:lineRule="auto"/>
        <w:ind w:firstLine="480"/>
        <w:jc w:val="both"/>
        <w:rPr>
          <w:rFonts w:ascii="宋体" w:hAnsi="宋体" w:eastAsia="宋体"/>
          <w:b w:val="0"/>
          <w:color w:val="000000"/>
          <w:sz w:val="22"/>
          <w:szCs w:val="22"/>
        </w:rPr>
      </w:pPr>
      <w:r>
        <w:rPr>
          <w:rFonts w:ascii="宋体" w:hAnsi="宋体" w:eastAsia="宋体"/>
          <w:b w:val="0"/>
          <w:color w:val="000000"/>
          <w:sz w:val="22"/>
          <w:szCs w:val="22"/>
        </w:rPr>
        <w:t>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b w:val="0"/>
          <w:color w:val="000000"/>
          <w:sz w:val="22"/>
          <w:szCs w:val="22"/>
        </w:rPr>
        <w:t>。</w:t>
      </w:r>
    </w:p>
    <w:p w14:paraId="5667A1C3">
      <w:pPr>
        <w:spacing w:line="360" w:lineRule="auto"/>
        <w:ind w:firstLine="482"/>
        <w:rPr>
          <w:rFonts w:ascii="宋体" w:hAnsi="宋体" w:cs="宋体"/>
          <w:color w:val="000000"/>
          <w:sz w:val="22"/>
          <w:szCs w:val="22"/>
          <w:lang w:val="zh-TW" w:eastAsia="zh-TW"/>
        </w:rPr>
      </w:pPr>
      <w:r>
        <w:rPr>
          <w:rFonts w:ascii="宋体" w:hAnsi="宋体"/>
          <w:b/>
          <w:color w:val="000000"/>
          <w:sz w:val="22"/>
          <w:szCs w:val="22"/>
        </w:rPr>
        <w:t>招标人可以按照规定，通过修改招标文件酌情延长投标截止时间，在此情况下，投标人的所有权利和义务均以延长后新的截止时间为准</w:t>
      </w:r>
      <w:r>
        <w:rPr>
          <w:rFonts w:hint="eastAsia" w:ascii="宋体" w:hAnsi="宋体" w:cs="宋体"/>
          <w:color w:val="000000"/>
          <w:sz w:val="22"/>
          <w:szCs w:val="22"/>
          <w:lang w:val="zh-TW" w:eastAsia="zh-TW"/>
        </w:rPr>
        <w:t>。</w:t>
      </w:r>
    </w:p>
    <w:p w14:paraId="6EB6619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19、投标文件的修改和撤回</w:t>
      </w:r>
    </w:p>
    <w:p w14:paraId="4E87E76B">
      <w:pPr>
        <w:pStyle w:val="92"/>
        <w:spacing w:line="360" w:lineRule="auto"/>
        <w:ind w:firstLine="480"/>
        <w:rPr>
          <w:rFonts w:ascii="宋体" w:hAnsi="宋体" w:cs="宋体"/>
          <w:sz w:val="22"/>
          <w:szCs w:val="22"/>
          <w:lang w:val="zh-TW"/>
        </w:rPr>
      </w:pPr>
      <w:r>
        <w:rPr>
          <w:rFonts w:hint="eastAsia" w:ascii="宋体" w:hAnsi="宋体" w:cs="宋体"/>
          <w:sz w:val="22"/>
          <w:szCs w:val="22"/>
          <w:lang w:val="zh-TW"/>
        </w:rPr>
        <w:t>19.1</w:t>
      </w:r>
      <w:r>
        <w:rPr>
          <w:rFonts w:hint="eastAsia" w:ascii="宋体" w:hAnsi="宋体"/>
          <w:sz w:val="22"/>
          <w:szCs w:val="22"/>
        </w:rPr>
        <w:t xml:space="preserve"> </w:t>
      </w:r>
      <w:r>
        <w:rPr>
          <w:rFonts w:hint="eastAsia" w:ascii="宋体" w:hAnsi="宋体" w:cs="宋体"/>
          <w:sz w:val="22"/>
          <w:szCs w:val="22"/>
          <w:lang w:val="zh-TW"/>
        </w:rPr>
        <w:t>投标文件的撤回</w:t>
      </w:r>
    </w:p>
    <w:p w14:paraId="3DB751C3">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19.1</w:t>
      </w:r>
      <w:r>
        <w:rPr>
          <w:rFonts w:hint="eastAsia" w:ascii="宋体" w:hAnsi="宋体" w:cs="宋体"/>
          <w:sz w:val="22"/>
          <w:szCs w:val="22"/>
          <w:lang w:val="zh-TW"/>
        </w:rPr>
        <w:t>.1</w:t>
      </w:r>
      <w:r>
        <w:rPr>
          <w:rFonts w:hint="eastAsia" w:ascii="宋体" w:hAnsi="宋体" w:cs="宋体"/>
          <w:sz w:val="22"/>
          <w:szCs w:val="22"/>
          <w:lang w:val="zh-TW" w:eastAsia="zh-TW"/>
        </w:rPr>
        <w:t>投标人可在投标截止时间前撤回其电子投标文件，具体操作方法见《操作手册》。</w:t>
      </w:r>
    </w:p>
    <w:p w14:paraId="257E28CD">
      <w:pPr>
        <w:pStyle w:val="92"/>
        <w:spacing w:line="360" w:lineRule="auto"/>
        <w:ind w:firstLine="480"/>
        <w:rPr>
          <w:rFonts w:ascii="宋体" w:hAnsi="宋体" w:cs="宋体"/>
          <w:sz w:val="22"/>
          <w:szCs w:val="22"/>
          <w:lang w:val="zh-TW"/>
        </w:rPr>
      </w:pPr>
      <w:r>
        <w:rPr>
          <w:rFonts w:hint="eastAsia" w:ascii="宋体" w:hAnsi="宋体" w:cs="宋体"/>
          <w:sz w:val="22"/>
          <w:szCs w:val="22"/>
          <w:lang w:val="zh-TW"/>
        </w:rPr>
        <w:t>19.1.2</w:t>
      </w:r>
      <w:r>
        <w:rPr>
          <w:rFonts w:hint="eastAsia" w:ascii="宋体" w:hAnsi="宋体" w:cs="宋体"/>
          <w:sz w:val="22"/>
          <w:szCs w:val="22"/>
          <w:lang w:val="zh-TW" w:eastAsia="zh-TW"/>
        </w:rPr>
        <w:t>投标人撤回电子投标文件，则认为其不再参与本项目投标活动。</w:t>
      </w:r>
    </w:p>
    <w:p w14:paraId="3055F27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19.2</w:t>
      </w:r>
      <w:r>
        <w:rPr>
          <w:rFonts w:ascii="宋体" w:hAnsi="宋体" w:cs="宋体"/>
          <w:sz w:val="22"/>
          <w:szCs w:val="22"/>
          <w:lang w:val="zh-TW" w:eastAsia="zh-TW"/>
        </w:rPr>
        <w:t>投标文件的修改</w:t>
      </w:r>
    </w:p>
    <w:p w14:paraId="27E86E4C">
      <w:pPr>
        <w:pStyle w:val="137"/>
        <w:numPr>
          <w:ilvl w:val="0"/>
          <w:numId w:val="6"/>
        </w:numPr>
        <w:spacing w:line="360" w:lineRule="auto"/>
        <w:ind w:firstLine="482"/>
        <w:jc w:val="both"/>
        <w:rPr>
          <w:rFonts w:ascii="宋体" w:hAnsi="宋体" w:eastAsia="宋体"/>
          <w:color w:val="000000"/>
          <w:sz w:val="22"/>
          <w:szCs w:val="22"/>
        </w:rPr>
      </w:pPr>
      <w:r>
        <w:rPr>
          <w:rFonts w:hint="eastAsia" w:ascii="宋体" w:hAnsi="宋体" w:eastAsia="宋体"/>
          <w:color w:val="000000"/>
          <w:sz w:val="22"/>
          <w:szCs w:val="22"/>
        </w:rPr>
        <w:t>投标人可在投标截止时间前对其电子投标文件进行修改，具体操作方法见《操作手册》</w:t>
      </w:r>
      <w:r>
        <w:rPr>
          <w:rFonts w:ascii="宋体" w:hAnsi="宋体" w:eastAsia="宋体"/>
          <w:color w:val="000000"/>
          <w:sz w:val="22"/>
          <w:szCs w:val="22"/>
        </w:rPr>
        <w:t>。</w:t>
      </w:r>
    </w:p>
    <w:p w14:paraId="433ED05A">
      <w:pPr>
        <w:pStyle w:val="92"/>
        <w:spacing w:line="360" w:lineRule="auto"/>
        <w:ind w:firstLine="480"/>
        <w:rPr>
          <w:rFonts w:ascii="宋体" w:hAnsi="宋体" w:cs="宋体"/>
          <w:sz w:val="22"/>
          <w:szCs w:val="22"/>
        </w:rPr>
      </w:pPr>
      <w:r>
        <w:rPr>
          <w:rFonts w:hint="eastAsia" w:ascii="宋体" w:hAnsi="宋体" w:cs="宋体"/>
          <w:sz w:val="22"/>
          <w:szCs w:val="22"/>
        </w:rPr>
        <w:t>19.2.2</w:t>
      </w:r>
      <w:r>
        <w:rPr>
          <w:rFonts w:hint="eastAsia" w:ascii="宋体" w:hAnsi="宋体"/>
          <w:sz w:val="22"/>
          <w:szCs w:val="22"/>
        </w:rPr>
        <w:t xml:space="preserve"> </w:t>
      </w:r>
      <w:r>
        <w:rPr>
          <w:rFonts w:hint="eastAsia" w:ascii="宋体" w:hAnsi="宋体" w:cs="宋体"/>
          <w:sz w:val="22"/>
          <w:szCs w:val="22"/>
        </w:rPr>
        <w:t>投标截止时间之后，投标人不得对其电子投标文件作任何修改。</w:t>
      </w:r>
    </w:p>
    <w:p w14:paraId="063DEF1C">
      <w:pPr>
        <w:pStyle w:val="92"/>
        <w:spacing w:line="360" w:lineRule="auto"/>
        <w:ind w:firstLine="480"/>
        <w:rPr>
          <w:rFonts w:ascii="宋体" w:hAnsi="宋体" w:cs="宋体"/>
          <w:sz w:val="22"/>
          <w:szCs w:val="22"/>
        </w:rPr>
      </w:pPr>
      <w:r>
        <w:rPr>
          <w:rFonts w:hint="eastAsia" w:ascii="宋体" w:hAnsi="宋体" w:cs="宋体"/>
          <w:sz w:val="22"/>
          <w:szCs w:val="22"/>
        </w:rPr>
        <w:t>19.2.3</w:t>
      </w:r>
      <w:r>
        <w:rPr>
          <w:rFonts w:hint="eastAsia" w:ascii="宋体" w:hAnsi="宋体"/>
          <w:sz w:val="22"/>
          <w:szCs w:val="22"/>
        </w:rPr>
        <w:t xml:space="preserve"> </w:t>
      </w:r>
      <w:r>
        <w:rPr>
          <w:rFonts w:hint="eastAsia" w:ascii="宋体" w:hAnsi="宋体" w:cs="宋体"/>
          <w:sz w:val="22"/>
          <w:szCs w:val="22"/>
        </w:rPr>
        <w:t>在投标截止时间至招标文件中规定的投标有效期满之间的这段时间内，投标人不得撤回其投标。</w:t>
      </w:r>
    </w:p>
    <w:p w14:paraId="7E07F41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20、诚实信用</w:t>
      </w:r>
    </w:p>
    <w:p w14:paraId="5B3A29C1">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20.1 投标人之间不得相互串通投标报价，不得妨碍其他投标人的公平竞争，不得损害采购人和其他投标人的合法权益。</w:t>
      </w:r>
    </w:p>
    <w:p w14:paraId="2D4E1CE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20.2 投标人不得以向代理机构工作人员、评标委员会成员行贿或者采取其他不正当手段谋取中标。</w:t>
      </w:r>
    </w:p>
    <w:p w14:paraId="6F141FA5">
      <w:pPr>
        <w:pStyle w:val="92"/>
        <w:spacing w:line="360" w:lineRule="auto"/>
        <w:ind w:firstLine="482"/>
        <w:rPr>
          <w:rFonts w:ascii="宋体" w:hAnsi="宋体" w:cs="宋体"/>
          <w:b/>
          <w:bCs/>
          <w:sz w:val="22"/>
          <w:szCs w:val="22"/>
          <w:lang w:val="zh-TW" w:eastAsia="zh-TW"/>
        </w:rPr>
      </w:pPr>
      <w:r>
        <w:rPr>
          <w:rFonts w:hint="eastAsia" w:ascii="宋体" w:hAnsi="宋体" w:cs="宋体"/>
          <w:b/>
          <w:bCs/>
          <w:sz w:val="22"/>
          <w:szCs w:val="22"/>
          <w:lang w:val="zh-TW" w:eastAsia="zh-TW"/>
        </w:rPr>
        <w:t>五、开标、评标与定标</w:t>
      </w:r>
    </w:p>
    <w:p w14:paraId="6E8A3233">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21、开标</w:t>
      </w:r>
    </w:p>
    <w:p w14:paraId="07A436E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21.1 招标人在招标公告中规定的时间和地点组织公开开标。投标人按照《操作手册》规定参加开标活动，并在苏采云系统规定的时间内对投标文件进行解密。苏采云系统公布各投标人名称和投标价格。</w:t>
      </w:r>
    </w:p>
    <w:p w14:paraId="5F0D81E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21.2 投标人在开标过程中涉及到的投标文件解密、开标结果确认等工作，应按照《操作手册》规定执行。</w:t>
      </w:r>
    </w:p>
    <w:p w14:paraId="36157330">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21.3 投标人不足3家的，不得开标。</w:t>
      </w:r>
    </w:p>
    <w:p w14:paraId="4D5846A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21.4 投标人如果对开标过程和开标结果有疑义，应当根据《操作手册》规定提出，“苏采云”系统中《开标记录表》公布后5分钟内未提出的，视同认可开标结果。</w:t>
      </w:r>
    </w:p>
    <w:p w14:paraId="64892C7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22、评标</w:t>
      </w:r>
    </w:p>
    <w:p w14:paraId="4EC77AA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22.1 评标委员会</w:t>
      </w:r>
    </w:p>
    <w:p w14:paraId="013B32B1">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22.1 评标由组织评标委员会（以下简称“评委会”）进行。</w:t>
      </w:r>
    </w:p>
    <w:p w14:paraId="19530800">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22.2 评委会由采购人代表和有关技术、经济等方面的专家组成，且人员构成符合政府采购有关规定。</w:t>
      </w:r>
    </w:p>
    <w:p w14:paraId="0B87D88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22.3 评委会独立工作，负责评审所有投标文件并推荐中标候选人，或根据采购人授权直接确定中标人。</w:t>
      </w:r>
    </w:p>
    <w:p w14:paraId="5690555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4</w:t>
      </w:r>
      <w:r>
        <w:rPr>
          <w:rFonts w:hint="eastAsia" w:ascii="宋体" w:hAnsi="宋体" w:cs="宋体"/>
          <w:sz w:val="22"/>
          <w:szCs w:val="22"/>
          <w:lang w:val="zh-TW" w:eastAsia="zh-TW"/>
        </w:rPr>
        <w:t>评标委员会负责具体评标事务，并独立履行下列职责：</w:t>
      </w:r>
    </w:p>
    <w:p w14:paraId="1E99FC8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（一）审查、评价投标文件是否符合招标文件的商务、技术等实质性要求；</w:t>
      </w:r>
    </w:p>
    <w:p w14:paraId="0F5CDB3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（二）要求投标人对投标文件有关事项作出澄清或者说明；</w:t>
      </w:r>
    </w:p>
    <w:p w14:paraId="77AA1176">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（三）对投标文件进行比较和评价；</w:t>
      </w:r>
    </w:p>
    <w:p w14:paraId="69CA673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（四）确定中标候选人名单，以及根据采购人委托直接确定中标人；</w:t>
      </w:r>
    </w:p>
    <w:p w14:paraId="55AAF584">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（五）向采购人、采购代理机构或者有关部门报告评标中发现的违法行为。</w:t>
      </w:r>
    </w:p>
    <w:p w14:paraId="37FA60A7">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 xml:space="preserve"> 评标程序</w:t>
      </w:r>
    </w:p>
    <w:p w14:paraId="3B00FCC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.1 投标文件的资格性检查。公开招标采购项目开标结束后，采购人或者采购代理机构应当依法对投标人的资格进行审查。合格投标人不足3家的，不得评标。</w:t>
      </w:r>
    </w:p>
    <w:p w14:paraId="33339679">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.2 投标文件的符合性审查。评标委员会对通过资格性检查的投标人的投标文件进行符合性审查，以确定其是否满足招标文件的实质性要求。投标文件有下列情况之一的，在符合性检查时按照无效投标处理：</w:t>
      </w:r>
    </w:p>
    <w:p w14:paraId="01C42BA1">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（1）投标人在“苏采云”系统规定的时间内未成功解密电子投标文件的；</w:t>
      </w:r>
    </w:p>
    <w:p w14:paraId="17ABB8E4">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（2）投标人未按照招标文件要求上传电子投标文件的；</w:t>
      </w:r>
    </w:p>
    <w:p w14:paraId="2526E8E9">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（3）同一投标人提交两个（含两个）以上不同的投标报价的；</w:t>
      </w:r>
    </w:p>
    <w:p w14:paraId="0611E4A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（4）投标文件未按照招标文件要求加盖电子公章的；</w:t>
      </w:r>
    </w:p>
    <w:p w14:paraId="587BA0D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（5）不具备招标文件中规定的资格要求的；</w:t>
      </w:r>
    </w:p>
    <w:p w14:paraId="6A3E6A39">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（6）报价超过招标文件中规定的预算金额或者最高限价的；</w:t>
      </w:r>
    </w:p>
    <w:p w14:paraId="1BDD7541">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（7）投标文件含有采购人不能接受的附加条件的；</w:t>
      </w:r>
    </w:p>
    <w:p w14:paraId="331C2834">
      <w:pPr>
        <w:pStyle w:val="92"/>
        <w:spacing w:line="360" w:lineRule="auto"/>
        <w:ind w:firstLine="480"/>
        <w:rPr>
          <w:rFonts w:ascii="宋体" w:hAnsi="宋体" w:cs="宋体"/>
          <w:sz w:val="22"/>
          <w:szCs w:val="22"/>
          <w:lang w:val="zh-TW"/>
        </w:rPr>
      </w:pPr>
      <w:r>
        <w:rPr>
          <w:rFonts w:hint="eastAsia" w:ascii="宋体" w:hAnsi="宋体" w:cs="宋体"/>
          <w:sz w:val="22"/>
          <w:szCs w:val="22"/>
          <w:lang w:val="zh-TW" w:eastAsia="zh-TW"/>
        </w:rPr>
        <w:t>（8）投标文件内容不全或不符合招标文件中规定的其他实质性要求的；</w:t>
      </w:r>
    </w:p>
    <w:p w14:paraId="798A10C6">
      <w:pPr>
        <w:pStyle w:val="92"/>
        <w:spacing w:line="360" w:lineRule="auto"/>
        <w:ind w:firstLine="480"/>
        <w:rPr>
          <w:rFonts w:ascii="宋体" w:hAnsi="宋体" w:eastAsia="宋体" w:cs="宋体"/>
          <w:sz w:val="22"/>
          <w:szCs w:val="22"/>
          <w:lang w:val="zh-TW"/>
        </w:rPr>
      </w:pPr>
      <w:r>
        <w:rPr>
          <w:rFonts w:hint="eastAsia" w:ascii="宋体" w:hAnsi="宋体" w:cs="宋体"/>
          <w:sz w:val="22"/>
          <w:szCs w:val="22"/>
          <w:lang w:val="zh-TW"/>
        </w:rPr>
        <w:t>（9）</w:t>
      </w:r>
      <w:r>
        <w:rPr>
          <w:rFonts w:ascii="宋体" w:hAnsi="宋体" w:cs="宋体"/>
          <w:sz w:val="22"/>
          <w:szCs w:val="22"/>
          <w:lang w:val="zh-TW"/>
        </w:rPr>
        <w:t>没有逐一说明提供产品名称、品牌、规格型号</w:t>
      </w:r>
      <w:r>
        <w:rPr>
          <w:rFonts w:hint="eastAsia" w:ascii="宋体" w:hAnsi="宋体" w:eastAsia="宋体" w:cs="宋体"/>
          <w:sz w:val="22"/>
          <w:szCs w:val="22"/>
        </w:rPr>
        <w:t>等；</w:t>
      </w:r>
    </w:p>
    <w:p w14:paraId="7659B59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w:t>
      </w:r>
      <w:r>
        <w:rPr>
          <w:rFonts w:hint="eastAsia" w:ascii="宋体" w:hAnsi="宋体" w:cs="宋体"/>
          <w:sz w:val="22"/>
          <w:szCs w:val="22"/>
          <w:lang w:val="zh-TW"/>
        </w:rPr>
        <w:t>10</w:t>
      </w:r>
      <w:r>
        <w:rPr>
          <w:rFonts w:hint="eastAsia" w:ascii="宋体" w:hAnsi="宋体" w:cs="宋体"/>
          <w:sz w:val="22"/>
          <w:szCs w:val="22"/>
          <w:lang w:val="zh-TW" w:eastAsia="zh-TW"/>
        </w:rPr>
        <w:t>）现行法律、法规、规章和招标文件规定的其他无效情形。</w:t>
      </w:r>
    </w:p>
    <w:p w14:paraId="1CC07C56">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.2.1 实质性要求是指本招标文件中用带星号（“★”）等或者其他明确要求的废标的商务和技术要求。</w:t>
      </w:r>
    </w:p>
    <w:p w14:paraId="24F1728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.2.2 未通过资格审查或符合性审查的投标人，代理机构将通过“苏采云”系统告知其具体原因，评标结束后不再接受有关询问。</w:t>
      </w:r>
    </w:p>
    <w:p w14:paraId="4B36A4F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.2.3 有下列情形之一的予以废标：</w:t>
      </w:r>
    </w:p>
    <w:p w14:paraId="53C9C61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（1）符合专业条件的投标人或者对招标文件作实质性响应的投标人不足三家的；</w:t>
      </w:r>
    </w:p>
    <w:p w14:paraId="68AACDB9">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（2）出现影响采购公正的违法、违规行为的；</w:t>
      </w:r>
    </w:p>
    <w:p w14:paraId="2A30AAD6">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（3）投标人的报价均超过了采购预算，采购人不能支付的；</w:t>
      </w:r>
    </w:p>
    <w:p w14:paraId="76A4DF2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（4）因苏采云系统故障造成开标不成功的；</w:t>
      </w:r>
    </w:p>
    <w:p w14:paraId="4B84F75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（5）因重大变故，采购任务取消的。</w:t>
      </w:r>
    </w:p>
    <w:p w14:paraId="3BB595D2">
      <w:pPr>
        <w:pStyle w:val="92"/>
        <w:spacing w:line="360" w:lineRule="auto"/>
        <w:ind w:firstLine="480"/>
        <w:rPr>
          <w:rFonts w:ascii="宋体" w:hAnsi="宋体" w:cs="宋体"/>
          <w:sz w:val="22"/>
          <w:szCs w:val="22"/>
          <w:lang w:val="zh-TW"/>
        </w:rPr>
      </w:pPr>
      <w:r>
        <w:rPr>
          <w:rFonts w:hint="eastAsia" w:ascii="宋体" w:hAnsi="宋体" w:cs="宋体"/>
          <w:sz w:val="22"/>
          <w:szCs w:val="22"/>
          <w:lang w:val="zh-TW" w:eastAsia="zh-TW"/>
        </w:rPr>
        <w:t>（6）投标人以明显低于其他通过符合性审查投标人的报价，有可能影响产品质量或者不能诚信履约的，且不能证明其报价合理性的。</w:t>
      </w:r>
    </w:p>
    <w:p w14:paraId="714F32E6">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.3 澄清有关问题。</w:t>
      </w:r>
    </w:p>
    <w:p w14:paraId="5210182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.3.1 评标期间，评委会对投标文件中含义不明确、同类问题表述不一致或者有明显文字和计算错误的内容，有权要求投标人作出必要的澄清、说明或者补正。</w:t>
      </w:r>
    </w:p>
    <w:p w14:paraId="2E5287B3">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投标人的澄清、说明或者补正不得超出投标文件的范围或者改变投标文件的实质性内容。</w:t>
      </w:r>
    </w:p>
    <w:p w14:paraId="0104F19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评委会并非对每个投标人都做澄清要求。</w:t>
      </w:r>
    </w:p>
    <w:p w14:paraId="46E25E3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501AFF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.3.3 接到评委会澄清、说明和补正要求的，投标人如未按规定作出澄清、说明和补正，其风险由投标人自行承担。</w:t>
      </w:r>
    </w:p>
    <w:p w14:paraId="72895A17">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.3.4 投标人在开、评标全过程中应保持通讯畅通，及时登录苏采云系统查阅、答复相关信息，并安排专人与代理机构及评委会联系。</w:t>
      </w:r>
    </w:p>
    <w:p w14:paraId="0B61FC5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.4 比较与评价。评标委员会应当按照招标文件中规定的评标方法和标准，对符合性审查合格的投标文件进行商务和技术评估，综合比较与评价。</w:t>
      </w:r>
    </w:p>
    <w:p w14:paraId="4FBAAF5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.5 相同品牌产品的投标</w:t>
      </w:r>
    </w:p>
    <w:p w14:paraId="4B13F747">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0B11545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02665A8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非单一产品采购项目，确定核心产品的方法在招标文件技术需求中载明。多家投标人提供的核心产品品牌相同的，按前两款规定处理。</w:t>
      </w:r>
    </w:p>
    <w:p w14:paraId="1CBD2E9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5</w:t>
      </w:r>
      <w:r>
        <w:rPr>
          <w:rFonts w:hint="eastAsia" w:ascii="宋体" w:hAnsi="宋体" w:cs="宋体"/>
          <w:sz w:val="22"/>
          <w:szCs w:val="22"/>
          <w:lang w:val="zh-TW" w:eastAsia="zh-TW"/>
        </w:rPr>
        <w:t>.6评标过程中出现下列情形之一的，评标委员会应当启动异常低价响应审查程序：</w:t>
      </w:r>
    </w:p>
    <w:p w14:paraId="13089707">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（1）投标(响应)报价低于全部通过符合性审查供应商投标(响应)报价平均值50%的，即投标(响应)报价&lt;全部通过符合性审查供应商投标(响应)报价平均值×50%；</w:t>
      </w:r>
    </w:p>
    <w:p w14:paraId="3EBD6657">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（2）投标(响应)报价低于通过符合性审查的次低报价供应商投标(响应)报价50%的，即投标(响应)报价&lt;通过符合性审查的次低报价供应商投标(响应)报价×50%；</w:t>
      </w:r>
    </w:p>
    <w:p w14:paraId="20FF591E">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（3）投标(响应)报价低于采购项目最高限价45%的，即投标(响应)报价&lt;采购项目最高限价×45%；</w:t>
      </w:r>
    </w:p>
    <w:p w14:paraId="19BE0539">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（4）评标委员会基于专业判断，认为供应商报价过低，有可能影响产品质量或者不能诚信履约的其他情形。</w:t>
      </w:r>
    </w:p>
    <w:p w14:paraId="4146C48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4A20FAEF">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p>
    <w:p w14:paraId="4184892D">
      <w:pPr>
        <w:pStyle w:val="92"/>
        <w:spacing w:line="360" w:lineRule="auto"/>
        <w:ind w:firstLine="480"/>
        <w:rPr>
          <w:rFonts w:ascii="宋体" w:hAnsi="宋体" w:cs="宋体"/>
          <w:sz w:val="22"/>
          <w:szCs w:val="22"/>
          <w:lang w:val="zh-TW"/>
        </w:rPr>
      </w:pPr>
      <w:r>
        <w:rPr>
          <w:rFonts w:hint="eastAsia" w:ascii="宋体" w:hAnsi="宋体" w:cs="宋体"/>
          <w:sz w:val="22"/>
          <w:szCs w:val="22"/>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p>
    <w:p w14:paraId="02B3944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22.</w:t>
      </w:r>
      <w:r>
        <w:rPr>
          <w:rFonts w:hint="eastAsia" w:ascii="宋体" w:hAnsi="宋体" w:eastAsia="宋体" w:cs="宋体"/>
          <w:sz w:val="22"/>
          <w:szCs w:val="22"/>
        </w:rPr>
        <w:t>6</w:t>
      </w:r>
      <w:r>
        <w:rPr>
          <w:rFonts w:hint="eastAsia" w:ascii="宋体" w:hAnsi="宋体" w:cs="宋体"/>
          <w:sz w:val="22"/>
          <w:szCs w:val="22"/>
          <w:lang w:val="zh-TW" w:eastAsia="zh-TW"/>
        </w:rPr>
        <w:t xml:space="preserve"> 评标方法和标准</w:t>
      </w:r>
    </w:p>
    <w:p w14:paraId="3131F45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 xml:space="preserve"> 采用综合评分法的，评标结果按评审后最终得分由高到低进行排名，得分相同的，按投标报价由低到高顺序排列。得分且投标报价相同的，按技术部分方案优劣顺序排列。</w:t>
      </w:r>
    </w:p>
    <w:p w14:paraId="5ED1B36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23、确定中标人</w:t>
      </w:r>
    </w:p>
    <w:p w14:paraId="5FC0D32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p>
    <w:p w14:paraId="0E20111D">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23.2 按以下第（</w:t>
      </w:r>
      <w:r>
        <w:rPr>
          <w:rFonts w:hint="eastAsia" w:ascii="宋体" w:hAnsi="宋体" w:cs="宋体"/>
          <w:sz w:val="22"/>
          <w:szCs w:val="22"/>
          <w:lang w:val="zh-TW"/>
        </w:rPr>
        <w:t>2</w:t>
      </w:r>
      <w:r>
        <w:rPr>
          <w:rFonts w:hint="eastAsia" w:ascii="宋体" w:hAnsi="宋体" w:cs="宋体"/>
          <w:sz w:val="22"/>
          <w:szCs w:val="22"/>
          <w:lang w:val="zh-TW" w:eastAsia="zh-TW"/>
        </w:rPr>
        <w:t>）种方式确定中标人：</w:t>
      </w:r>
    </w:p>
    <w:p w14:paraId="28616596">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（1）评委会直接确定排名第一的中标候选人为中标人；</w:t>
      </w:r>
    </w:p>
    <w:p w14:paraId="5087A2E1">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（2）采购人在评委会推荐的中标候选人中按顺序确定中标人。</w:t>
      </w:r>
    </w:p>
    <w:p w14:paraId="262B7F5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按第二种方式确定中标人的，招标代理机构自评审结束之日起两个工作日内将评审报告送达采购人，采购人自收到评审报告之日起五个工作日内，在评审报告推荐的中标候选人中按顺序确定中标人。</w:t>
      </w:r>
    </w:p>
    <w:p w14:paraId="3B4C6D0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23.3 中标人确定后，将在“江苏政府采购网”发布中标公告，公告期限为1个工作日。</w:t>
      </w:r>
    </w:p>
    <w:p w14:paraId="37E9CA88">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24、中标通知书</w:t>
      </w:r>
    </w:p>
    <w:p w14:paraId="7CC676E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p>
    <w:p w14:paraId="5ACAB427">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24.2 《中标通知书》是合同的一个组成部分，对采购人和中标人均具有法律效力。《中标通知书》发出后，采购人改变中标结果或者中标人放弃中标项目的，应当依法承担法律责任。</w:t>
      </w:r>
    </w:p>
    <w:p w14:paraId="152B4C96">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25、评标过程的保密性</w:t>
      </w:r>
    </w:p>
    <w:p w14:paraId="05206B6A">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25.1 凡是与审查、澄清、评价和比较投标的有关资料以及投标建议等，采购人、评委、均不得向投标人或与评标无关的其他人员透露。</w:t>
      </w:r>
    </w:p>
    <w:p w14:paraId="5B1EECCD">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25.2 投标人不得以任何方式影响评标，否则其投标文件将被作为无效投标文件。</w:t>
      </w:r>
    </w:p>
    <w:p w14:paraId="70377EA1">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25.3 招标人和评委会不向未中标的投标人解释未中标原因，也不公布评标过程中的相关细节。</w:t>
      </w:r>
    </w:p>
    <w:p w14:paraId="0AA3EA91">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25.4 采用综合评分法的项目，未中标的投标人可于中标结果公告期限届满之日起通过苏采云系统查看本单位的评审得分及排名情况。</w:t>
      </w:r>
    </w:p>
    <w:p w14:paraId="048A4172">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五、签订合同</w:t>
      </w:r>
    </w:p>
    <w:p w14:paraId="31B85C66">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26、签订合同</w:t>
      </w:r>
    </w:p>
    <w:p w14:paraId="3200CEAC">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26.1 中标供应商应当自中标通知书发出之日起三十日内，按照招标文件和中标供应商投标文件的约定与采购人签订政府采购合同，所签订的合同不得对招标文件和中标供应商投标文件作实质性修改。</w:t>
      </w:r>
    </w:p>
    <w:p w14:paraId="1355D445">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26.2 采购人不得向中标供应商提出任何不合理的要求作为签订合同的条件，不得与中标供应商私下订立背离合同实质性内容的协议。</w:t>
      </w:r>
    </w:p>
    <w:p w14:paraId="067E8ED0">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26.3 中标供应商因不可抗力或者自身原因不能履行政府采购合同的，采购人可以视情与排位在中标供应商之后第一位的中标候选供应商签订政府采购合同，以此类推。</w:t>
      </w:r>
    </w:p>
    <w:p w14:paraId="78B6F74B">
      <w:pPr>
        <w:pStyle w:val="92"/>
        <w:spacing w:line="360" w:lineRule="auto"/>
        <w:ind w:firstLine="480"/>
        <w:rPr>
          <w:rFonts w:ascii="宋体" w:hAnsi="宋体" w:cs="宋体"/>
          <w:sz w:val="22"/>
          <w:szCs w:val="22"/>
          <w:lang w:val="zh-TW" w:eastAsia="zh-TW"/>
        </w:rPr>
      </w:pPr>
      <w:r>
        <w:rPr>
          <w:rFonts w:hint="eastAsia" w:ascii="宋体" w:hAnsi="宋体" w:cs="宋体"/>
          <w:sz w:val="22"/>
          <w:szCs w:val="22"/>
          <w:lang w:val="zh-TW" w:eastAsia="zh-TW"/>
        </w:rPr>
        <w:t>26.4 政府采购合同履行中，采购人需追加与合同标的相同的货物的，在不改变合同其他条款的前提下，可以与供应商协商签订补充合同，但所有补充合同的采购金额不得超过原合同采购金额的百分之十</w:t>
      </w:r>
    </w:p>
    <w:p w14:paraId="1786C0B8">
      <w:pPr>
        <w:pStyle w:val="92"/>
        <w:spacing w:line="360" w:lineRule="auto"/>
        <w:ind w:firstLine="482"/>
        <w:rPr>
          <w:rFonts w:ascii="宋体" w:hAnsi="宋体" w:cs="宋体"/>
          <w:b/>
          <w:bCs/>
          <w:sz w:val="22"/>
          <w:szCs w:val="22"/>
          <w:lang w:val="zh-TW" w:eastAsia="zh-TW"/>
        </w:rPr>
      </w:pPr>
      <w:r>
        <w:rPr>
          <w:rFonts w:hint="eastAsia" w:ascii="宋体" w:hAnsi="宋体" w:cs="宋体"/>
          <w:b/>
          <w:bCs/>
          <w:sz w:val="22"/>
          <w:szCs w:val="22"/>
          <w:lang w:val="zh-TW" w:eastAsia="zh-TW"/>
        </w:rPr>
        <w:t>七、质疑和投诉</w:t>
      </w:r>
    </w:p>
    <w:p w14:paraId="1C5C7A80">
      <w:pPr>
        <w:widowControl/>
        <w:spacing w:line="360" w:lineRule="auto"/>
        <w:ind w:firstLine="420"/>
        <w:rPr>
          <w:b/>
          <w:bCs/>
          <w:kern w:val="0"/>
          <w:szCs w:val="21"/>
        </w:rPr>
      </w:pPr>
      <w:r>
        <w:rPr>
          <w:rFonts w:hint="eastAsia"/>
          <w:b/>
          <w:bCs/>
          <w:kern w:val="0"/>
          <w:szCs w:val="21"/>
        </w:rPr>
        <w:t>27、质疑</w:t>
      </w:r>
    </w:p>
    <w:p w14:paraId="2BAD1A91">
      <w:pPr>
        <w:widowControl/>
        <w:spacing w:line="360" w:lineRule="auto"/>
        <w:ind w:firstLine="420"/>
        <w:rPr>
          <w:kern w:val="0"/>
          <w:szCs w:val="21"/>
        </w:rPr>
      </w:pPr>
      <w:r>
        <w:rPr>
          <w:rFonts w:hint="eastAsia"/>
          <w:kern w:val="0"/>
          <w:szCs w:val="21"/>
        </w:rPr>
        <w:t>27.1 供应商认为采购文件、采购过程和中标（成交）结果使自己的合法权益受到损害的，可以在知道或者应当知道其权益受到损害之日起七个工作日内一次性提出针对同一采购程序环节的质疑，质疑文件原件以书面形式送达招标代理。</w:t>
      </w:r>
    </w:p>
    <w:p w14:paraId="17E07C90">
      <w:pPr>
        <w:widowControl/>
        <w:spacing w:line="360" w:lineRule="auto"/>
        <w:ind w:firstLine="420"/>
        <w:rPr>
          <w:kern w:val="0"/>
          <w:szCs w:val="21"/>
        </w:rPr>
      </w:pPr>
      <w:r>
        <w:rPr>
          <w:rFonts w:hint="eastAsia"/>
          <w:kern w:val="0"/>
          <w:szCs w:val="21"/>
        </w:rPr>
        <w:t>27.2 供应商认为招标文件、采购过程和成交结果使自己的合法权益受到损害的，可以在知道或者应知其权益受到损害之日起七个工作日内，一次性将质疑文件原件送达采购人或采购代理机构。</w:t>
      </w:r>
    </w:p>
    <w:p w14:paraId="05300715">
      <w:pPr>
        <w:widowControl/>
        <w:spacing w:line="360" w:lineRule="auto"/>
        <w:ind w:firstLine="420"/>
        <w:rPr>
          <w:kern w:val="0"/>
          <w:szCs w:val="21"/>
        </w:rPr>
      </w:pPr>
      <w:r>
        <w:rPr>
          <w:rFonts w:hint="eastAsia"/>
          <w:kern w:val="0"/>
          <w:szCs w:val="21"/>
        </w:rPr>
        <w:t>供应商应知其权益受到损害之日，是指：</w:t>
      </w:r>
    </w:p>
    <w:p w14:paraId="1B2BB73D">
      <w:pPr>
        <w:widowControl/>
        <w:spacing w:line="360" w:lineRule="auto"/>
        <w:ind w:firstLine="420"/>
        <w:rPr>
          <w:kern w:val="0"/>
          <w:szCs w:val="21"/>
        </w:rPr>
      </w:pPr>
      <w:r>
        <w:rPr>
          <w:rFonts w:hint="eastAsia"/>
          <w:kern w:val="0"/>
          <w:szCs w:val="21"/>
        </w:rPr>
        <w:t>（一）对可以质疑的招标文件提出质疑的，为收到招标文件之日或者招标文件公告期限届满之日；</w:t>
      </w:r>
    </w:p>
    <w:p w14:paraId="62CC9880">
      <w:pPr>
        <w:widowControl/>
        <w:spacing w:line="360" w:lineRule="auto"/>
        <w:ind w:firstLine="420"/>
        <w:rPr>
          <w:kern w:val="0"/>
          <w:szCs w:val="21"/>
        </w:rPr>
      </w:pPr>
      <w:r>
        <w:rPr>
          <w:rFonts w:hint="eastAsia"/>
          <w:kern w:val="0"/>
          <w:szCs w:val="21"/>
        </w:rPr>
        <w:t>（二）对采购过程提出质疑的，为各采购程序环节结束之日；</w:t>
      </w:r>
    </w:p>
    <w:p w14:paraId="33D6680E">
      <w:pPr>
        <w:widowControl/>
        <w:spacing w:line="360" w:lineRule="auto"/>
        <w:ind w:firstLine="420"/>
        <w:rPr>
          <w:kern w:val="0"/>
          <w:szCs w:val="21"/>
        </w:rPr>
      </w:pPr>
      <w:r>
        <w:rPr>
          <w:rFonts w:hint="eastAsia"/>
          <w:kern w:val="0"/>
          <w:szCs w:val="21"/>
        </w:rPr>
        <w:t>（三）对中标或者中标结果提出质疑的，为中标或者中标结果公告期限届满之日。</w:t>
      </w:r>
    </w:p>
    <w:p w14:paraId="6074F69F">
      <w:pPr>
        <w:widowControl/>
        <w:spacing w:line="360" w:lineRule="auto"/>
        <w:ind w:firstLine="420"/>
        <w:rPr>
          <w:kern w:val="0"/>
          <w:szCs w:val="21"/>
        </w:rPr>
      </w:pPr>
      <w:r>
        <w:rPr>
          <w:rFonts w:hint="eastAsia"/>
          <w:kern w:val="0"/>
          <w:szCs w:val="21"/>
        </w:rPr>
        <w:t>27.3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p>
    <w:p w14:paraId="32044E5E">
      <w:pPr>
        <w:widowControl/>
        <w:spacing w:line="360" w:lineRule="auto"/>
        <w:ind w:firstLine="420"/>
        <w:rPr>
          <w:kern w:val="0"/>
          <w:szCs w:val="21"/>
        </w:rPr>
      </w:pPr>
      <w:r>
        <w:rPr>
          <w:rFonts w:hint="eastAsia"/>
          <w:kern w:val="0"/>
          <w:szCs w:val="21"/>
        </w:rPr>
        <w:t>27.4 质疑文件应包括以下主要内容，并按照“谁主张、谁举证”的原则，附上相关证明材料：</w:t>
      </w:r>
    </w:p>
    <w:p w14:paraId="5D3E789E">
      <w:pPr>
        <w:widowControl/>
        <w:spacing w:line="360" w:lineRule="auto"/>
        <w:ind w:firstLine="420"/>
        <w:rPr>
          <w:kern w:val="0"/>
          <w:szCs w:val="21"/>
        </w:rPr>
      </w:pPr>
      <w:r>
        <w:rPr>
          <w:rFonts w:hint="eastAsia"/>
          <w:kern w:val="0"/>
          <w:szCs w:val="21"/>
        </w:rPr>
        <w:t>（1）质疑项目名称、项目编号、包号、招标公告发布时间、开标时间；</w:t>
      </w:r>
    </w:p>
    <w:p w14:paraId="2B3A6D68">
      <w:pPr>
        <w:widowControl/>
        <w:spacing w:line="360" w:lineRule="auto"/>
        <w:ind w:firstLine="420"/>
        <w:rPr>
          <w:kern w:val="0"/>
          <w:szCs w:val="21"/>
        </w:rPr>
      </w:pPr>
      <w:r>
        <w:rPr>
          <w:rFonts w:hint="eastAsia"/>
          <w:kern w:val="0"/>
          <w:szCs w:val="21"/>
        </w:rPr>
        <w:t>（2）具体的质疑事项及法律依据（具体条款）；</w:t>
      </w:r>
    </w:p>
    <w:p w14:paraId="235D9752">
      <w:pPr>
        <w:widowControl/>
        <w:spacing w:line="360" w:lineRule="auto"/>
        <w:ind w:firstLine="420"/>
        <w:rPr>
          <w:kern w:val="0"/>
          <w:szCs w:val="21"/>
        </w:rPr>
      </w:pPr>
      <w:r>
        <w:rPr>
          <w:rFonts w:hint="eastAsia"/>
          <w:kern w:val="0"/>
          <w:szCs w:val="21"/>
        </w:rPr>
        <w:t>（3）质疑相关证明文件或证明材料，如果涉及到产品功能或技术指标的，应出具相关制造商的证明文件（友情提示：供应商全部产品线中没有满足技术需求要求的产品才可以对投标产品提出质疑，并提出修改理由和修改建议）；</w:t>
      </w:r>
    </w:p>
    <w:p w14:paraId="39CFC7AC">
      <w:pPr>
        <w:widowControl/>
        <w:spacing w:line="360" w:lineRule="auto"/>
        <w:ind w:firstLine="420"/>
        <w:rPr>
          <w:kern w:val="0"/>
          <w:szCs w:val="21"/>
        </w:rPr>
      </w:pPr>
      <w:r>
        <w:rPr>
          <w:rFonts w:hint="eastAsia"/>
          <w:kern w:val="0"/>
          <w:szCs w:val="21"/>
        </w:rPr>
        <w:t>（4）质疑供应商名称、地址、联系方式（包括手机、传真号码）；</w:t>
      </w:r>
    </w:p>
    <w:p w14:paraId="141530A2">
      <w:pPr>
        <w:widowControl/>
        <w:spacing w:line="360" w:lineRule="auto"/>
        <w:ind w:firstLine="420"/>
        <w:rPr>
          <w:kern w:val="0"/>
          <w:szCs w:val="21"/>
        </w:rPr>
      </w:pPr>
      <w:r>
        <w:rPr>
          <w:rFonts w:hint="eastAsia"/>
          <w:kern w:val="0"/>
          <w:szCs w:val="21"/>
        </w:rPr>
        <w:t>（5）法定代表人签署本人姓名或印盖本人姓名章并加盖单位公章，或法定代表人授权委托代理人加盖单位公章，并由参加采购项目的授权委托代理人签署本人姓名或印盖本人姓名章等。</w:t>
      </w:r>
    </w:p>
    <w:p w14:paraId="4054954E">
      <w:pPr>
        <w:widowControl/>
        <w:spacing w:line="360" w:lineRule="auto"/>
        <w:ind w:firstLine="420"/>
        <w:rPr>
          <w:kern w:val="0"/>
          <w:szCs w:val="21"/>
        </w:rPr>
      </w:pPr>
      <w:r>
        <w:rPr>
          <w:rFonts w:hint="eastAsia"/>
          <w:kern w:val="0"/>
          <w:szCs w:val="21"/>
        </w:rPr>
        <w:t>27.5 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p>
    <w:p w14:paraId="40FEC1F7">
      <w:pPr>
        <w:widowControl/>
        <w:spacing w:line="360" w:lineRule="auto"/>
        <w:ind w:firstLine="420"/>
        <w:rPr>
          <w:b/>
          <w:bCs/>
          <w:kern w:val="0"/>
          <w:szCs w:val="21"/>
        </w:rPr>
      </w:pPr>
      <w:r>
        <w:rPr>
          <w:rFonts w:hint="eastAsia"/>
          <w:b/>
          <w:bCs/>
          <w:kern w:val="0"/>
          <w:szCs w:val="21"/>
        </w:rPr>
        <w:t>28、投诉</w:t>
      </w:r>
    </w:p>
    <w:p w14:paraId="5CFE2589">
      <w:pPr>
        <w:widowControl/>
        <w:spacing w:line="360" w:lineRule="auto"/>
        <w:ind w:firstLine="420"/>
        <w:rPr>
          <w:b/>
          <w:bCs/>
          <w:kern w:val="0"/>
          <w:szCs w:val="21"/>
        </w:rPr>
      </w:pPr>
      <w:r>
        <w:rPr>
          <w:rFonts w:hint="eastAsia"/>
          <w:kern w:val="0"/>
          <w:szCs w:val="21"/>
        </w:rPr>
        <w:t>质疑供应商对代理机构的答复不满意，或代理机构未在规定的时间内作出答复的，可以在答复期满后十五个工作日内向采购人同级财政部门投诉。</w:t>
      </w:r>
    </w:p>
    <w:p w14:paraId="24B35AB5">
      <w:pPr>
        <w:widowControl/>
        <w:jc w:val="left"/>
        <w:rPr>
          <w:rFonts w:ascii="宋体" w:hAnsi="宋体" w:cs="Arial"/>
          <w:szCs w:val="21"/>
          <w:lang w:val="zh-CN"/>
        </w:rPr>
      </w:pPr>
      <w:r>
        <w:rPr>
          <w:rFonts w:ascii="宋体" w:hAnsi="宋体" w:cs="Arial"/>
          <w:szCs w:val="21"/>
          <w:lang w:val="zh-CN"/>
        </w:rPr>
        <w:br w:type="page"/>
      </w:r>
    </w:p>
    <w:p w14:paraId="4B2705D0">
      <w:pPr>
        <w:spacing w:line="440" w:lineRule="exact"/>
        <w:ind w:left="1440" w:hanging="1440"/>
        <w:jc w:val="center"/>
        <w:outlineLvl w:val="0"/>
        <w:rPr>
          <w:rFonts w:ascii="宋体" w:hAnsi="宋体" w:cs="Arial"/>
          <w:b/>
          <w:sz w:val="28"/>
          <w:szCs w:val="28"/>
        </w:rPr>
      </w:pPr>
      <w:bookmarkStart w:id="32" w:name="_Toc5473"/>
      <w:r>
        <w:rPr>
          <w:rFonts w:hint="eastAsia" w:ascii="宋体" w:hAnsi="宋体" w:cs="Arial"/>
          <w:b/>
          <w:sz w:val="28"/>
          <w:szCs w:val="28"/>
        </w:rPr>
        <w:t>第三部分：采购需求</w:t>
      </w:r>
      <w:bookmarkEnd w:id="32"/>
    </w:p>
    <w:p w14:paraId="47703B57">
      <w:pPr>
        <w:tabs>
          <w:tab w:val="left" w:pos="6660"/>
        </w:tabs>
        <w:rPr>
          <w:rFonts w:ascii="宋体" w:hAnsi="宋体"/>
          <w:szCs w:val="21"/>
        </w:rPr>
      </w:pPr>
    </w:p>
    <w:p w14:paraId="51928329">
      <w:pPr>
        <w:pStyle w:val="3"/>
        <w:ind w:left="420"/>
        <w:rPr>
          <w:rFonts w:ascii="宋体" w:hAnsi="宋体" w:eastAsia="宋体" w:cs="宋体"/>
          <w:b/>
          <w:sz w:val="22"/>
          <w:szCs w:val="22"/>
        </w:rPr>
      </w:pPr>
      <w:bookmarkStart w:id="33" w:name="_Toc16993"/>
      <w:r>
        <w:rPr>
          <w:rFonts w:hint="eastAsia" w:ascii="宋体" w:hAnsi="宋体" w:eastAsia="宋体" w:cs="宋体"/>
          <w:b/>
          <w:sz w:val="22"/>
          <w:szCs w:val="22"/>
        </w:rPr>
        <w:t>一、材质和数量要求</w:t>
      </w:r>
      <w:bookmarkEnd w:id="33"/>
    </w:p>
    <w:p w14:paraId="579E29FB">
      <w:pPr>
        <w:widowControl/>
        <w:spacing w:line="360" w:lineRule="auto"/>
        <w:ind w:firstLine="435"/>
        <w:jc w:val="left"/>
        <w:rPr>
          <w:rFonts w:cs="宋体"/>
          <w:kern w:val="0"/>
          <w:sz w:val="22"/>
          <w:szCs w:val="22"/>
        </w:rPr>
      </w:pPr>
      <w:bookmarkStart w:id="34" w:name="_Toc219219075"/>
      <w:bookmarkStart w:id="35" w:name="_Toc211891881"/>
      <w:r>
        <w:rPr>
          <w:rFonts w:hint="eastAsia" w:cs="宋体"/>
          <w:kern w:val="0"/>
          <w:sz w:val="22"/>
          <w:szCs w:val="22"/>
        </w:rPr>
        <w:t>1、材质：满足技术指标要求的金属磁性材料粉体。</w:t>
      </w:r>
    </w:p>
    <w:p w14:paraId="695DDD8F">
      <w:pPr>
        <w:widowControl/>
        <w:spacing w:line="360" w:lineRule="auto"/>
        <w:ind w:firstLine="435"/>
        <w:jc w:val="left"/>
        <w:rPr>
          <w:rFonts w:cs="宋体"/>
          <w:kern w:val="0"/>
          <w:sz w:val="22"/>
          <w:szCs w:val="22"/>
        </w:rPr>
      </w:pPr>
      <w:r>
        <w:rPr>
          <w:rFonts w:hint="eastAsia" w:cs="宋体"/>
          <w:kern w:val="0"/>
          <w:sz w:val="22"/>
          <w:szCs w:val="22"/>
        </w:rPr>
        <w:t>2、数量：1460kg （预估量，以实际发生为准）。</w:t>
      </w:r>
    </w:p>
    <w:p w14:paraId="563C973E">
      <w:pPr>
        <w:pStyle w:val="3"/>
        <w:ind w:left="420"/>
        <w:rPr>
          <w:rFonts w:ascii="宋体" w:hAnsi="宋体" w:eastAsia="宋体" w:cs="宋体"/>
          <w:b/>
          <w:sz w:val="22"/>
          <w:szCs w:val="22"/>
        </w:rPr>
      </w:pPr>
      <w:bookmarkStart w:id="36" w:name="_Toc7151"/>
      <w:r>
        <w:rPr>
          <w:rFonts w:hint="eastAsia" w:ascii="宋体" w:hAnsi="宋体" w:eastAsia="宋体" w:cs="宋体"/>
          <w:b/>
          <w:sz w:val="22"/>
          <w:szCs w:val="22"/>
        </w:rPr>
        <w:t>二、功能要求</w:t>
      </w:r>
      <w:bookmarkEnd w:id="36"/>
    </w:p>
    <w:p w14:paraId="664E527D">
      <w:pPr>
        <w:ind w:firstLine="420" w:firstLineChars="200"/>
      </w:pPr>
      <w:r>
        <w:rPr>
          <w:rFonts w:hint="eastAsia"/>
        </w:rPr>
        <w:t>该项目为HT2026</w:t>
      </w:r>
      <w:r>
        <w:t xml:space="preserve"> 063026005</w:t>
      </w:r>
      <w:r>
        <w:rPr>
          <w:rFonts w:hint="eastAsia"/>
        </w:rPr>
        <w:t>合同（询价单编号：QPQC-71-</w:t>
      </w:r>
      <w:r>
        <w:t>1203</w:t>
      </w:r>
      <w:r>
        <w:rPr>
          <w:rFonts w:hint="eastAsia"/>
        </w:rPr>
        <w:t>-2026）采购生产原材料，需满足如下功能:</w:t>
      </w:r>
    </w:p>
    <w:p w14:paraId="3975CC5D">
      <w:pPr>
        <w:spacing w:line="360" w:lineRule="auto"/>
        <w:ind w:firstLine="440" w:firstLineChars="200"/>
        <w:rPr>
          <w:rFonts w:ascii="宋体" w:hAnsi="宋体" w:cs="宋体"/>
          <w:bCs/>
          <w:sz w:val="22"/>
          <w:szCs w:val="22"/>
        </w:rPr>
      </w:pPr>
      <w:r>
        <w:rPr>
          <w:rFonts w:hint="eastAsia" w:ascii="宋体" w:hAnsi="宋体" w:cs="宋体"/>
          <w:bCs/>
          <w:sz w:val="22"/>
          <w:szCs w:val="22"/>
        </w:rPr>
        <w:t>1、</w:t>
      </w:r>
      <w:r>
        <w:rPr>
          <w:rFonts w:hint="eastAsia"/>
          <w:color w:val="000000"/>
          <w:kern w:val="0"/>
          <w:sz w:val="22"/>
          <w:szCs w:val="22"/>
        </w:rPr>
        <w:t>能够与甲基乙烯基硅橡胶通过开炼机混炼，在最大质量填充量时，混炼胶不散、能够通过热硫化模压成型。</w:t>
      </w:r>
    </w:p>
    <w:p w14:paraId="16583EC9">
      <w:pPr>
        <w:spacing w:line="360" w:lineRule="auto"/>
        <w:ind w:firstLine="440" w:firstLineChars="200"/>
        <w:rPr>
          <w:rFonts w:ascii="宋体" w:hAnsi="宋体" w:cs="宋体"/>
          <w:bCs/>
          <w:sz w:val="22"/>
          <w:szCs w:val="22"/>
        </w:rPr>
      </w:pPr>
      <w:r>
        <w:rPr>
          <w:rFonts w:hint="eastAsia" w:ascii="宋体" w:hAnsi="宋体" w:cs="宋体"/>
          <w:bCs/>
          <w:sz w:val="22"/>
          <w:szCs w:val="22"/>
        </w:rPr>
        <w:t>2、能够通过球磨机进行加工，改变其形貌，使其扁平比增加，从而具有高的磁导率实部和虚部。</w:t>
      </w:r>
    </w:p>
    <w:p w14:paraId="49CCA2CB">
      <w:pPr>
        <w:spacing w:line="360" w:lineRule="auto"/>
        <w:ind w:firstLine="420" w:firstLineChars="200"/>
        <w:rPr>
          <w:rFonts w:ascii="宋体" w:hAnsi="宋体" w:cs="宋体"/>
          <w:bCs/>
          <w:szCs w:val="21"/>
        </w:rPr>
      </w:pPr>
      <w:bookmarkStart w:id="37" w:name="_Toc27017"/>
      <w:r>
        <w:rPr>
          <w:rFonts w:hint="eastAsia" w:ascii="宋体" w:hAnsi="宋体" w:cs="宋体"/>
          <w:bCs/>
          <w:szCs w:val="21"/>
        </w:rPr>
        <w:t>3、具有疏水性特征。</w:t>
      </w:r>
    </w:p>
    <w:p w14:paraId="37A776EE">
      <w:pPr>
        <w:pStyle w:val="3"/>
        <w:ind w:left="420"/>
        <w:rPr>
          <w:rFonts w:ascii="宋体" w:hAnsi="宋体" w:eastAsia="宋体" w:cs="宋体"/>
          <w:b/>
          <w:sz w:val="22"/>
          <w:szCs w:val="22"/>
        </w:rPr>
      </w:pPr>
      <w:r>
        <w:rPr>
          <w:rFonts w:hint="eastAsia" w:ascii="宋体" w:hAnsi="宋体" w:eastAsia="宋体" w:cs="宋体"/>
          <w:b/>
          <w:sz w:val="22"/>
          <w:szCs w:val="22"/>
        </w:rPr>
        <w:t>三、技术指标</w:t>
      </w:r>
      <w:bookmarkEnd w:id="37"/>
    </w:p>
    <w:p w14:paraId="4BDCE1AD">
      <w:pPr>
        <w:spacing w:line="360" w:lineRule="auto"/>
        <w:ind w:firstLine="440" w:firstLineChars="200"/>
        <w:rPr>
          <w:color w:val="000000"/>
          <w:kern w:val="0"/>
          <w:sz w:val="22"/>
          <w:szCs w:val="22"/>
        </w:rPr>
      </w:pPr>
      <w:r>
        <w:rPr>
          <w:rFonts w:ascii="Segoe UI Symbol" w:hAnsi="Segoe UI Symbol" w:cs="Segoe UI Symbol"/>
          <w:color w:val="000000"/>
          <w:kern w:val="0"/>
          <w:sz w:val="22"/>
          <w:szCs w:val="22"/>
        </w:rPr>
        <w:t>★</w:t>
      </w:r>
      <w:r>
        <w:rPr>
          <w:rFonts w:hint="eastAsia"/>
          <w:color w:val="000000"/>
          <w:kern w:val="0"/>
          <w:sz w:val="22"/>
          <w:szCs w:val="22"/>
        </w:rPr>
        <w:t>1</w:t>
      </w:r>
      <w:r>
        <w:rPr>
          <w:color w:val="000000"/>
          <w:kern w:val="0"/>
          <w:sz w:val="22"/>
          <w:szCs w:val="22"/>
        </w:rPr>
        <w:t>、</w:t>
      </w:r>
      <w:r>
        <w:rPr>
          <w:rFonts w:hint="eastAsia"/>
          <w:color w:val="000000"/>
          <w:kern w:val="0"/>
          <w:sz w:val="22"/>
          <w:szCs w:val="22"/>
        </w:rPr>
        <w:t>参照GJB 5239-2004射频吸波材料吸波性能测试方法，</w:t>
      </w:r>
      <w:r>
        <w:rPr>
          <w:color w:val="000000"/>
          <w:kern w:val="0"/>
          <w:sz w:val="22"/>
          <w:szCs w:val="22"/>
        </w:rPr>
        <w:t>原材料在硅橡胶中质量分数为85%时，1GHz频率处的相对磁导率实部</w:t>
      </w:r>
      <w:r>
        <w:rPr>
          <w:rFonts w:hint="eastAsia"/>
          <w:color w:val="000000"/>
          <w:kern w:val="0"/>
          <w:sz w:val="22"/>
          <w:szCs w:val="22"/>
        </w:rPr>
        <w:t>≥8</w:t>
      </w:r>
      <w:r>
        <w:rPr>
          <w:color w:val="000000"/>
          <w:kern w:val="0"/>
          <w:sz w:val="22"/>
          <w:szCs w:val="22"/>
        </w:rPr>
        <w:t>.</w:t>
      </w:r>
      <w:r>
        <w:rPr>
          <w:rFonts w:hint="eastAsia"/>
          <w:color w:val="000000"/>
          <w:kern w:val="0"/>
          <w:sz w:val="22"/>
          <w:szCs w:val="22"/>
        </w:rPr>
        <w:t>50</w:t>
      </w:r>
      <w:r>
        <w:rPr>
          <w:color w:val="000000"/>
          <w:kern w:val="0"/>
          <w:sz w:val="22"/>
          <w:szCs w:val="22"/>
        </w:rPr>
        <w:t>、相对磁导率虚部</w:t>
      </w:r>
      <w:r>
        <w:rPr>
          <w:rFonts w:hint="eastAsia"/>
          <w:color w:val="000000"/>
          <w:kern w:val="0"/>
          <w:sz w:val="22"/>
          <w:szCs w:val="22"/>
        </w:rPr>
        <w:t>≥</w:t>
      </w:r>
      <w:r>
        <w:rPr>
          <w:color w:val="000000"/>
          <w:kern w:val="0"/>
          <w:sz w:val="22"/>
          <w:szCs w:val="22"/>
        </w:rPr>
        <w:t>3.80</w:t>
      </w:r>
      <w:r>
        <w:rPr>
          <w:rFonts w:hint="eastAsia"/>
          <w:color w:val="000000"/>
          <w:kern w:val="0"/>
          <w:sz w:val="22"/>
          <w:szCs w:val="22"/>
        </w:rPr>
        <w:t>。</w:t>
      </w:r>
    </w:p>
    <w:p w14:paraId="362E4B16">
      <w:pPr>
        <w:spacing w:line="360" w:lineRule="auto"/>
        <w:ind w:firstLine="440" w:firstLineChars="200"/>
        <w:rPr>
          <w:color w:val="000000"/>
          <w:kern w:val="0"/>
          <w:sz w:val="22"/>
          <w:szCs w:val="22"/>
        </w:rPr>
      </w:pPr>
      <w:r>
        <w:rPr>
          <w:rFonts w:ascii="Segoe UI Symbol" w:hAnsi="Segoe UI Symbol" w:cs="Segoe UI Symbol"/>
          <w:color w:val="000000"/>
          <w:kern w:val="0"/>
          <w:sz w:val="22"/>
          <w:szCs w:val="22"/>
        </w:rPr>
        <w:t>★</w:t>
      </w:r>
      <w:r>
        <w:rPr>
          <w:rFonts w:hint="eastAsia"/>
          <w:color w:val="000000"/>
          <w:kern w:val="0"/>
          <w:sz w:val="22"/>
          <w:szCs w:val="22"/>
        </w:rPr>
        <w:t>2</w:t>
      </w:r>
      <w:r>
        <w:rPr>
          <w:color w:val="000000"/>
          <w:kern w:val="0"/>
          <w:sz w:val="22"/>
          <w:szCs w:val="22"/>
        </w:rPr>
        <w:t>、</w:t>
      </w:r>
      <w:r>
        <w:rPr>
          <w:rFonts w:hint="eastAsia"/>
          <w:color w:val="000000"/>
          <w:kern w:val="0"/>
          <w:sz w:val="22"/>
          <w:szCs w:val="22"/>
        </w:rPr>
        <w:t>参照GJB 5239-2004射频吸波材料吸波性能测试方法，</w:t>
      </w:r>
      <w:r>
        <w:rPr>
          <w:color w:val="000000"/>
          <w:kern w:val="0"/>
          <w:sz w:val="22"/>
          <w:szCs w:val="22"/>
        </w:rPr>
        <w:t>1~18GHz</w:t>
      </w:r>
      <w:r>
        <w:rPr>
          <w:rFonts w:hint="eastAsia"/>
          <w:color w:val="000000"/>
          <w:kern w:val="0"/>
          <w:sz w:val="22"/>
          <w:szCs w:val="22"/>
        </w:rPr>
        <w:t>全</w:t>
      </w:r>
      <w:r>
        <w:rPr>
          <w:color w:val="000000"/>
          <w:kern w:val="0"/>
          <w:sz w:val="22"/>
          <w:szCs w:val="22"/>
        </w:rPr>
        <w:t>频率范围内相对磁导率虚部最大值</w:t>
      </w:r>
      <w:r>
        <w:rPr>
          <w:rFonts w:hint="eastAsia"/>
          <w:color w:val="000000"/>
          <w:kern w:val="0"/>
          <w:sz w:val="22"/>
          <w:szCs w:val="22"/>
        </w:rPr>
        <w:t>≥</w:t>
      </w:r>
      <w:r>
        <w:rPr>
          <w:color w:val="000000"/>
          <w:kern w:val="0"/>
          <w:sz w:val="22"/>
          <w:szCs w:val="22"/>
        </w:rPr>
        <w:t>4.50。</w:t>
      </w:r>
    </w:p>
    <w:p w14:paraId="5B369B97">
      <w:pPr>
        <w:spacing w:line="360" w:lineRule="auto"/>
        <w:ind w:firstLine="440" w:firstLineChars="200"/>
        <w:rPr>
          <w:color w:val="000000"/>
          <w:kern w:val="0"/>
          <w:sz w:val="22"/>
          <w:szCs w:val="22"/>
        </w:rPr>
      </w:pPr>
      <w:r>
        <w:rPr>
          <w:rFonts w:ascii="Segoe UI Symbol" w:hAnsi="Segoe UI Symbol" w:cs="Segoe UI Symbol"/>
          <w:color w:val="000000"/>
          <w:kern w:val="0"/>
          <w:sz w:val="22"/>
          <w:szCs w:val="22"/>
        </w:rPr>
        <w:t>★</w:t>
      </w:r>
      <w:r>
        <w:rPr>
          <w:rFonts w:hint="eastAsia"/>
          <w:color w:val="000000"/>
          <w:kern w:val="0"/>
          <w:sz w:val="22"/>
          <w:szCs w:val="22"/>
        </w:rPr>
        <w:t>3</w:t>
      </w:r>
      <w:r>
        <w:rPr>
          <w:color w:val="000000"/>
          <w:kern w:val="0"/>
          <w:sz w:val="22"/>
          <w:szCs w:val="22"/>
        </w:rPr>
        <w:t>、原材料粉体与水的接触角</w:t>
      </w:r>
      <w:r>
        <w:rPr>
          <w:rFonts w:hint="eastAsia"/>
          <w:color w:val="000000"/>
          <w:kern w:val="0"/>
          <w:sz w:val="22"/>
          <w:szCs w:val="22"/>
        </w:rPr>
        <w:t>≥90</w:t>
      </w:r>
      <w:r>
        <w:rPr>
          <w:color w:val="000000"/>
          <w:kern w:val="0"/>
          <w:sz w:val="22"/>
          <w:szCs w:val="22"/>
        </w:rPr>
        <w:t>°。</w:t>
      </w:r>
    </w:p>
    <w:p w14:paraId="6AC93486">
      <w:pPr>
        <w:spacing w:line="360" w:lineRule="auto"/>
        <w:ind w:firstLine="440" w:firstLineChars="200"/>
        <w:rPr>
          <w:color w:val="000000"/>
          <w:kern w:val="0"/>
          <w:sz w:val="22"/>
          <w:szCs w:val="22"/>
        </w:rPr>
      </w:pPr>
      <w:r>
        <w:rPr>
          <w:rFonts w:hint="eastAsia"/>
          <w:color w:val="000000"/>
          <w:kern w:val="0"/>
          <w:sz w:val="22"/>
          <w:szCs w:val="22"/>
        </w:rPr>
        <w:t>4</w:t>
      </w:r>
      <w:r>
        <w:rPr>
          <w:color w:val="000000"/>
          <w:kern w:val="0"/>
          <w:sz w:val="22"/>
          <w:szCs w:val="22"/>
        </w:rPr>
        <w:t>、</w:t>
      </w:r>
      <w:r>
        <w:rPr>
          <w:rFonts w:hint="eastAsia"/>
          <w:color w:val="000000"/>
          <w:kern w:val="0"/>
          <w:sz w:val="22"/>
          <w:szCs w:val="22"/>
        </w:rPr>
        <w:t>参照GJB 5239-2004射频吸波材料吸波性能测试方法，</w:t>
      </w:r>
      <w:r>
        <w:rPr>
          <w:color w:val="000000"/>
          <w:kern w:val="0"/>
          <w:sz w:val="22"/>
          <w:szCs w:val="22"/>
        </w:rPr>
        <w:t>原材料在硅橡胶中质量分数为85%时， 1GHz频率处的相对介电常数实部</w:t>
      </w:r>
      <w:r>
        <w:rPr>
          <w:rFonts w:hint="eastAsia"/>
          <w:color w:val="000000"/>
          <w:kern w:val="0"/>
          <w:sz w:val="22"/>
          <w:szCs w:val="22"/>
        </w:rPr>
        <w:t>≤56</w:t>
      </w:r>
      <w:r>
        <w:rPr>
          <w:color w:val="000000"/>
          <w:kern w:val="0"/>
          <w:sz w:val="22"/>
          <w:szCs w:val="22"/>
        </w:rPr>
        <w:t>.00、相对介电常数虚部</w:t>
      </w:r>
      <w:r>
        <w:rPr>
          <w:rFonts w:hint="eastAsia"/>
          <w:color w:val="000000"/>
          <w:kern w:val="0"/>
          <w:sz w:val="22"/>
          <w:szCs w:val="22"/>
        </w:rPr>
        <w:t>≤8</w:t>
      </w:r>
      <w:r>
        <w:rPr>
          <w:color w:val="000000"/>
          <w:kern w:val="0"/>
          <w:sz w:val="22"/>
          <w:szCs w:val="22"/>
        </w:rPr>
        <w:t>.50。</w:t>
      </w:r>
    </w:p>
    <w:p w14:paraId="3DAE80DB">
      <w:pPr>
        <w:spacing w:line="360" w:lineRule="auto"/>
        <w:ind w:firstLine="440" w:firstLineChars="200"/>
        <w:rPr>
          <w:color w:val="000000"/>
          <w:kern w:val="0"/>
          <w:sz w:val="22"/>
          <w:szCs w:val="22"/>
        </w:rPr>
      </w:pPr>
      <w:r>
        <w:rPr>
          <w:color w:val="000000"/>
          <w:kern w:val="0"/>
          <w:sz w:val="22"/>
          <w:szCs w:val="22"/>
        </w:rPr>
        <w:t>5、原材料粒度D50</w:t>
      </w:r>
      <w:r>
        <w:rPr>
          <w:rFonts w:hint="eastAsia"/>
          <w:color w:val="000000"/>
          <w:kern w:val="0"/>
          <w:sz w:val="22"/>
          <w:szCs w:val="22"/>
        </w:rPr>
        <w:t>≤</w:t>
      </w:r>
      <w:r>
        <w:rPr>
          <w:color w:val="000000"/>
          <w:kern w:val="0"/>
          <w:sz w:val="22"/>
          <w:szCs w:val="22"/>
        </w:rPr>
        <w:t>8微米、D90</w:t>
      </w:r>
      <w:r>
        <w:rPr>
          <w:rFonts w:hint="eastAsia"/>
          <w:color w:val="000000"/>
          <w:kern w:val="0"/>
          <w:sz w:val="22"/>
          <w:szCs w:val="22"/>
        </w:rPr>
        <w:t>≤</w:t>
      </w:r>
      <w:r>
        <w:rPr>
          <w:color w:val="000000"/>
          <w:kern w:val="0"/>
          <w:sz w:val="22"/>
          <w:szCs w:val="22"/>
        </w:rPr>
        <w:t>15微米</w:t>
      </w:r>
      <w:r>
        <w:rPr>
          <w:rFonts w:hint="eastAsia"/>
          <w:color w:val="000000"/>
          <w:kern w:val="0"/>
          <w:sz w:val="22"/>
          <w:szCs w:val="22"/>
        </w:rPr>
        <w:t>（激光粒度分析仪测试）</w:t>
      </w:r>
      <w:r>
        <w:rPr>
          <w:color w:val="000000"/>
          <w:kern w:val="0"/>
          <w:sz w:val="22"/>
          <w:szCs w:val="22"/>
        </w:rPr>
        <w:t>。</w:t>
      </w:r>
    </w:p>
    <w:p w14:paraId="372FDCDA">
      <w:pPr>
        <w:spacing w:line="360" w:lineRule="auto"/>
        <w:ind w:firstLine="440" w:firstLineChars="200"/>
        <w:rPr>
          <w:color w:val="000000"/>
          <w:kern w:val="0"/>
          <w:sz w:val="22"/>
          <w:szCs w:val="22"/>
        </w:rPr>
      </w:pPr>
      <w:r>
        <w:rPr>
          <w:color w:val="000000"/>
          <w:kern w:val="0"/>
          <w:sz w:val="22"/>
          <w:szCs w:val="22"/>
        </w:rPr>
        <w:t>6、</w:t>
      </w:r>
      <w:r>
        <w:rPr>
          <w:rFonts w:hint="eastAsia"/>
          <w:color w:val="000000"/>
          <w:kern w:val="0"/>
          <w:sz w:val="22"/>
          <w:szCs w:val="22"/>
        </w:rPr>
        <w:t>参照GJB 5239-2004射频吸波材料吸波性能测试方法，</w:t>
      </w:r>
      <w:r>
        <w:rPr>
          <w:color w:val="000000"/>
          <w:kern w:val="0"/>
          <w:sz w:val="22"/>
          <w:szCs w:val="22"/>
        </w:rPr>
        <w:t>原材料在硅橡胶中质量分数为85%时，18GHz频率处的相对介电常数实部</w:t>
      </w:r>
      <w:r>
        <w:rPr>
          <w:rFonts w:hint="eastAsia"/>
          <w:color w:val="000000"/>
          <w:kern w:val="0"/>
          <w:sz w:val="22"/>
          <w:szCs w:val="22"/>
        </w:rPr>
        <w:t>≤55.</w:t>
      </w:r>
      <w:r>
        <w:rPr>
          <w:color w:val="000000"/>
          <w:kern w:val="0"/>
          <w:sz w:val="22"/>
          <w:szCs w:val="22"/>
        </w:rPr>
        <w:t>00、相对介电常数虚部</w:t>
      </w:r>
      <w:r>
        <w:rPr>
          <w:rFonts w:hint="eastAsia"/>
          <w:color w:val="000000"/>
          <w:kern w:val="0"/>
          <w:sz w:val="22"/>
          <w:szCs w:val="22"/>
        </w:rPr>
        <w:t>≤8.00</w:t>
      </w:r>
      <w:r>
        <w:rPr>
          <w:color w:val="000000"/>
          <w:kern w:val="0"/>
          <w:sz w:val="22"/>
          <w:szCs w:val="22"/>
        </w:rPr>
        <w:t>。</w:t>
      </w:r>
    </w:p>
    <w:p w14:paraId="54EF9508">
      <w:pPr>
        <w:spacing w:line="360" w:lineRule="auto"/>
        <w:ind w:firstLine="440" w:firstLineChars="200"/>
        <w:rPr>
          <w:color w:val="000000"/>
          <w:kern w:val="0"/>
          <w:sz w:val="22"/>
          <w:szCs w:val="22"/>
        </w:rPr>
      </w:pPr>
      <w:r>
        <w:rPr>
          <w:color w:val="000000"/>
          <w:kern w:val="0"/>
          <w:sz w:val="22"/>
          <w:szCs w:val="22"/>
        </w:rPr>
        <w:t>7、</w:t>
      </w:r>
      <w:r>
        <w:rPr>
          <w:rFonts w:hint="eastAsia"/>
          <w:color w:val="000000"/>
          <w:kern w:val="0"/>
          <w:sz w:val="22"/>
          <w:szCs w:val="22"/>
        </w:rPr>
        <w:t>参照GJB 5239-2004射频吸波材料吸波性能测试方法，</w:t>
      </w:r>
      <w:r>
        <w:rPr>
          <w:color w:val="000000"/>
          <w:kern w:val="0"/>
          <w:sz w:val="22"/>
          <w:szCs w:val="22"/>
        </w:rPr>
        <w:t>原材料在硅橡胶中质量分数为85%时，18GHz频率处的相对磁导率实部</w:t>
      </w:r>
      <w:r>
        <w:rPr>
          <w:rFonts w:hint="eastAsia"/>
          <w:color w:val="000000"/>
          <w:kern w:val="0"/>
          <w:sz w:val="22"/>
          <w:szCs w:val="22"/>
        </w:rPr>
        <w:t>≥</w:t>
      </w:r>
      <w:r>
        <w:rPr>
          <w:color w:val="000000"/>
          <w:kern w:val="0"/>
          <w:sz w:val="22"/>
          <w:szCs w:val="22"/>
        </w:rPr>
        <w:t>0.</w:t>
      </w:r>
      <w:r>
        <w:rPr>
          <w:rFonts w:hint="eastAsia"/>
          <w:color w:val="000000"/>
          <w:kern w:val="0"/>
          <w:sz w:val="22"/>
          <w:szCs w:val="22"/>
        </w:rPr>
        <w:t>25</w:t>
      </w:r>
      <w:r>
        <w:rPr>
          <w:color w:val="000000"/>
          <w:kern w:val="0"/>
          <w:sz w:val="22"/>
          <w:szCs w:val="22"/>
        </w:rPr>
        <w:t>、相对磁导率虚部</w:t>
      </w:r>
      <w:r>
        <w:rPr>
          <w:rFonts w:hint="eastAsia"/>
          <w:color w:val="000000"/>
          <w:kern w:val="0"/>
          <w:sz w:val="22"/>
          <w:szCs w:val="22"/>
        </w:rPr>
        <w:t>≥</w:t>
      </w:r>
      <w:r>
        <w:rPr>
          <w:color w:val="000000"/>
          <w:kern w:val="0"/>
          <w:sz w:val="22"/>
          <w:szCs w:val="22"/>
        </w:rPr>
        <w:t>1.</w:t>
      </w:r>
      <w:r>
        <w:rPr>
          <w:rFonts w:hint="eastAsia"/>
          <w:color w:val="000000"/>
          <w:kern w:val="0"/>
          <w:sz w:val="22"/>
          <w:szCs w:val="22"/>
        </w:rPr>
        <w:t>34</w:t>
      </w:r>
      <w:r>
        <w:rPr>
          <w:color w:val="000000"/>
          <w:kern w:val="0"/>
          <w:sz w:val="22"/>
          <w:szCs w:val="22"/>
        </w:rPr>
        <w:t>。</w:t>
      </w:r>
    </w:p>
    <w:p w14:paraId="7C434B5B">
      <w:pPr>
        <w:spacing w:line="360" w:lineRule="auto"/>
        <w:ind w:firstLine="440" w:firstLineChars="200"/>
        <w:rPr>
          <w:bCs/>
          <w:sz w:val="22"/>
          <w:szCs w:val="22"/>
        </w:rPr>
      </w:pPr>
      <w:r>
        <w:rPr>
          <w:color w:val="000000"/>
          <w:kern w:val="0"/>
          <w:sz w:val="22"/>
          <w:szCs w:val="22"/>
        </w:rPr>
        <w:t>8、</w:t>
      </w:r>
      <w:r>
        <w:rPr>
          <w:bCs/>
          <w:sz w:val="22"/>
          <w:szCs w:val="22"/>
        </w:rPr>
        <w:t>原料在甲基乙烯基硅橡胶中最大填充质量分数不低于85.5%。</w:t>
      </w:r>
    </w:p>
    <w:p w14:paraId="19BEDA22">
      <w:pPr>
        <w:spacing w:line="360" w:lineRule="auto"/>
        <w:ind w:firstLine="440" w:firstLineChars="200"/>
        <w:rPr>
          <w:bCs/>
          <w:sz w:val="22"/>
          <w:szCs w:val="22"/>
        </w:rPr>
      </w:pPr>
      <w:r>
        <w:rPr>
          <w:rFonts w:hint="eastAsia"/>
          <w:bCs/>
          <w:sz w:val="22"/>
          <w:szCs w:val="22"/>
        </w:rPr>
        <w:t>9、产品内包装采用塑料袋密封，外包装采用密封铁桶或塑料桶。</w:t>
      </w:r>
    </w:p>
    <w:p w14:paraId="60DAAC4C">
      <w:pPr>
        <w:pStyle w:val="3"/>
        <w:ind w:left="420"/>
        <w:rPr>
          <w:rFonts w:ascii="宋体" w:hAnsi="宋体" w:eastAsia="宋体" w:cs="宋体"/>
          <w:b/>
          <w:sz w:val="22"/>
          <w:szCs w:val="22"/>
        </w:rPr>
      </w:pPr>
      <w:bookmarkStart w:id="38" w:name="_Toc15898"/>
      <w:r>
        <w:rPr>
          <w:rFonts w:hint="eastAsia" w:ascii="宋体" w:hAnsi="宋体" w:eastAsia="宋体" w:cs="宋体"/>
          <w:b/>
          <w:sz w:val="22"/>
          <w:szCs w:val="22"/>
        </w:rPr>
        <w:t>四、商务要求</w:t>
      </w:r>
      <w:bookmarkEnd w:id="38"/>
    </w:p>
    <w:bookmarkEnd w:id="34"/>
    <w:bookmarkEnd w:id="35"/>
    <w:p w14:paraId="20C30721">
      <w:pPr>
        <w:spacing w:line="360" w:lineRule="auto"/>
        <w:ind w:firstLine="440" w:firstLineChars="200"/>
        <w:rPr>
          <w:color w:val="000000"/>
          <w:kern w:val="0"/>
          <w:sz w:val="22"/>
          <w:szCs w:val="22"/>
        </w:rPr>
      </w:pPr>
      <w:r>
        <w:rPr>
          <w:rFonts w:hint="eastAsia"/>
          <w:color w:val="000000"/>
          <w:kern w:val="0"/>
          <w:sz w:val="22"/>
          <w:szCs w:val="22"/>
        </w:rPr>
        <w:t>1、质保期和售后服务：产品质保期为6个月，质保期从验收合格当日起计算。质保期内，产品质量非人为原因下降不满足技术指标要求，供应商应提供免费更换服务。</w:t>
      </w:r>
    </w:p>
    <w:p w14:paraId="03200854">
      <w:pPr>
        <w:spacing w:line="360" w:lineRule="auto"/>
        <w:ind w:firstLine="440" w:firstLineChars="200"/>
        <w:rPr>
          <w:color w:val="000000"/>
          <w:kern w:val="0"/>
          <w:sz w:val="22"/>
          <w:szCs w:val="22"/>
        </w:rPr>
      </w:pPr>
      <w:r>
        <w:rPr>
          <w:rFonts w:hint="eastAsia" w:ascii="Segoe UI Symbol" w:hAnsi="Segoe UI Symbol" w:cs="Segoe UI Symbol"/>
          <w:color w:val="000000"/>
          <w:kern w:val="0"/>
          <w:sz w:val="22"/>
          <w:szCs w:val="22"/>
        </w:rPr>
        <w:t>★</w:t>
      </w:r>
      <w:r>
        <w:rPr>
          <w:rFonts w:hint="eastAsia"/>
          <w:color w:val="000000"/>
          <w:kern w:val="0"/>
          <w:sz w:val="22"/>
          <w:szCs w:val="22"/>
        </w:rPr>
        <w:t>2、供货期：采购人可以根据实际需要量，要求供应商分批次提供产品。供应商应在接到采购人需求订单后30天内，将原材料按时、安全运至采购人指定地点。</w:t>
      </w:r>
    </w:p>
    <w:p w14:paraId="6B52204A">
      <w:pPr>
        <w:spacing w:line="360" w:lineRule="auto"/>
        <w:ind w:firstLine="440" w:firstLineChars="200"/>
        <w:rPr>
          <w:color w:val="000000"/>
          <w:kern w:val="0"/>
          <w:sz w:val="22"/>
          <w:szCs w:val="22"/>
        </w:rPr>
      </w:pPr>
      <w:r>
        <w:rPr>
          <w:rFonts w:hint="eastAsia"/>
          <w:color w:val="000000"/>
          <w:kern w:val="0"/>
          <w:sz w:val="22"/>
          <w:szCs w:val="22"/>
        </w:rPr>
        <w:t>★3、付款方式：</w:t>
      </w:r>
    </w:p>
    <w:p w14:paraId="427A66B1">
      <w:pPr>
        <w:spacing w:line="360" w:lineRule="auto"/>
        <w:ind w:firstLine="440" w:firstLineChars="200"/>
        <w:rPr>
          <w:kern w:val="0"/>
          <w:sz w:val="22"/>
          <w:szCs w:val="22"/>
        </w:rPr>
      </w:pPr>
      <w:r>
        <w:rPr>
          <w:rFonts w:hint="eastAsia"/>
          <w:color w:val="000000"/>
          <w:kern w:val="0"/>
          <w:sz w:val="22"/>
          <w:szCs w:val="22"/>
        </w:rPr>
        <w:t>按批次交货，每批货到且验收合格后，支付该批</w:t>
      </w:r>
      <w:r>
        <w:rPr>
          <w:rFonts w:hint="eastAsia"/>
          <w:kern w:val="0"/>
          <w:sz w:val="22"/>
          <w:szCs w:val="22"/>
        </w:rPr>
        <w:t>次货款。支付金额为中标供应商产品单价乘以实际发生数量。</w:t>
      </w:r>
    </w:p>
    <w:p w14:paraId="297F326A">
      <w:pPr>
        <w:spacing w:line="360" w:lineRule="auto"/>
        <w:ind w:firstLine="440" w:firstLineChars="200"/>
        <w:rPr>
          <w:kern w:val="0"/>
          <w:sz w:val="22"/>
          <w:szCs w:val="22"/>
        </w:rPr>
      </w:pPr>
      <w:r>
        <w:rPr>
          <w:rFonts w:hint="eastAsia"/>
          <w:kern w:val="0"/>
          <w:sz w:val="22"/>
          <w:szCs w:val="22"/>
        </w:rPr>
        <w:t>4、验收条款：</w:t>
      </w:r>
    </w:p>
    <w:p w14:paraId="73D8159A">
      <w:pPr>
        <w:spacing w:line="360" w:lineRule="auto"/>
        <w:ind w:firstLine="440" w:firstLineChars="200"/>
        <w:rPr>
          <w:rFonts w:ascii="宋体" w:hAnsi="宋体" w:cs="宋体"/>
          <w:sz w:val="22"/>
          <w:szCs w:val="22"/>
        </w:rPr>
      </w:pPr>
      <w:r>
        <w:rPr>
          <w:rFonts w:ascii="宋体" w:hAnsi="宋体" w:cs="宋体"/>
          <w:sz w:val="22"/>
          <w:szCs w:val="22"/>
        </w:rPr>
        <w:t>（</w:t>
      </w:r>
      <w:r>
        <w:rPr>
          <w:rFonts w:hint="eastAsia" w:ascii="宋体" w:hAnsi="宋体" w:cs="宋体"/>
          <w:sz w:val="22"/>
          <w:szCs w:val="22"/>
        </w:rPr>
        <w:t>1</w:t>
      </w:r>
      <w:r>
        <w:rPr>
          <w:rFonts w:ascii="宋体" w:hAnsi="宋体" w:cs="宋体"/>
          <w:sz w:val="22"/>
          <w:szCs w:val="22"/>
        </w:rPr>
        <w:t>）到货复验与付款：每批次货物送达后，采购人依据招标文件、合同技术指标开展到货复验；复验合格，双方签署验收确认单。采购人在</w:t>
      </w:r>
      <w:r>
        <w:rPr>
          <w:rStyle w:val="39"/>
          <w:rFonts w:ascii="宋体" w:hAnsi="宋体" w:cs="宋体"/>
          <w:sz w:val="22"/>
          <w:szCs w:val="22"/>
        </w:rPr>
        <w:t>验收合格且收到供应商开具的合规发票后 20 个工作日内</w:t>
      </w:r>
      <w:r>
        <w:rPr>
          <w:rFonts w:ascii="宋体" w:hAnsi="宋体" w:cs="宋体"/>
          <w:sz w:val="22"/>
          <w:szCs w:val="22"/>
        </w:rPr>
        <w:t>，支付该批次对应货款。采购人无正当理由逾期不组织复验的，视为该批次货物验收合格。</w:t>
      </w:r>
    </w:p>
    <w:p w14:paraId="664A5027">
      <w:pPr>
        <w:spacing w:line="360" w:lineRule="auto"/>
        <w:ind w:firstLine="440" w:firstLineChars="200"/>
        <w:rPr>
          <w:rFonts w:ascii="宋体" w:hAnsi="宋体" w:cs="宋体"/>
          <w:sz w:val="22"/>
          <w:szCs w:val="22"/>
        </w:rPr>
      </w:pPr>
      <w:r>
        <w:rPr>
          <w:rFonts w:ascii="宋体" w:hAnsi="宋体" w:cs="宋体"/>
          <w:sz w:val="22"/>
          <w:szCs w:val="22"/>
        </w:rPr>
        <w:t xml:space="preserve"> （</w:t>
      </w:r>
      <w:r>
        <w:rPr>
          <w:rFonts w:hint="eastAsia" w:ascii="宋体" w:hAnsi="宋体" w:cs="宋体"/>
          <w:sz w:val="22"/>
          <w:szCs w:val="22"/>
        </w:rPr>
        <w:t>2</w:t>
      </w:r>
      <w:r>
        <w:rPr>
          <w:rFonts w:ascii="宋体" w:hAnsi="宋体" w:cs="宋体"/>
          <w:sz w:val="22"/>
          <w:szCs w:val="22"/>
        </w:rPr>
        <w:t xml:space="preserve">）验收期限：履约样品自送达之日起 30 日历天内完成核验；每批次供货产品，自货物送达采购人指定地点之日起 30 日历天内完成复验。 </w:t>
      </w:r>
    </w:p>
    <w:p w14:paraId="6CAAC25C">
      <w:pPr>
        <w:spacing w:line="360" w:lineRule="auto"/>
        <w:ind w:firstLine="440" w:firstLineChars="200"/>
        <w:rPr>
          <w:rFonts w:ascii="宋体" w:hAnsi="宋体"/>
        </w:rPr>
      </w:pPr>
      <w:r>
        <w:rPr>
          <w:rFonts w:ascii="宋体" w:hAnsi="宋体" w:cs="宋体"/>
          <w:sz w:val="22"/>
          <w:szCs w:val="22"/>
        </w:rPr>
        <w:t>（</w:t>
      </w:r>
      <w:r>
        <w:rPr>
          <w:rFonts w:hint="eastAsia" w:ascii="宋体" w:hAnsi="宋体" w:cs="宋体"/>
          <w:sz w:val="22"/>
          <w:szCs w:val="22"/>
        </w:rPr>
        <w:t>3</w:t>
      </w:r>
      <w:r>
        <w:rPr>
          <w:rFonts w:ascii="宋体" w:hAnsi="宋体" w:cs="宋体"/>
          <w:sz w:val="22"/>
          <w:szCs w:val="22"/>
        </w:rPr>
        <w:t>）不合格品处理：合同签订后，若到货产品复验达不到合同技术指标，供应商应于 7 日历天内免费更换合格产品，并承担换货产生运输、检测全部费用；逾期完成更换的，每逾期一日按该批次货值的万分之五向采购人支付违约金；逾期超过 14 日历天或经两次更换仍不合格的，采购人有权拒收该批次货物、解除部分或全部合同，供应商应退还对应货款并承担采购人实际损失，违约金累计最高不超过合同总金额 5%。</w:t>
      </w:r>
    </w:p>
    <w:p w14:paraId="4936AF34">
      <w:pPr>
        <w:widowControl/>
        <w:jc w:val="left"/>
        <w:rPr>
          <w:rFonts w:ascii="宋体" w:hAnsi="宋体"/>
        </w:rPr>
      </w:pPr>
      <w:r>
        <w:rPr>
          <w:rFonts w:ascii="宋体" w:hAnsi="宋体"/>
        </w:rPr>
        <w:br w:type="page"/>
      </w:r>
    </w:p>
    <w:p w14:paraId="7BCE608D">
      <w:pPr>
        <w:spacing w:line="440" w:lineRule="exact"/>
        <w:ind w:left="1440" w:hanging="1440"/>
        <w:jc w:val="center"/>
        <w:outlineLvl w:val="0"/>
        <w:rPr>
          <w:rFonts w:ascii="宋体" w:hAnsi="宋体" w:cs="Arial"/>
          <w:b/>
          <w:sz w:val="28"/>
          <w:szCs w:val="28"/>
        </w:rPr>
      </w:pPr>
      <w:bookmarkStart w:id="39" w:name="_Toc25526"/>
      <w:r>
        <w:rPr>
          <w:rFonts w:hint="eastAsia" w:ascii="宋体" w:hAnsi="宋体" w:cs="Arial"/>
          <w:b/>
          <w:sz w:val="28"/>
          <w:szCs w:val="28"/>
        </w:rPr>
        <w:t>第四部分：合同条款</w:t>
      </w:r>
      <w:bookmarkEnd w:id="39"/>
    </w:p>
    <w:p w14:paraId="621C9F29">
      <w:pPr>
        <w:spacing w:line="360" w:lineRule="auto"/>
        <w:jc w:val="center"/>
        <w:rPr>
          <w:rFonts w:ascii="宋体" w:hAnsi="宋体" w:cs="Arial"/>
          <w:szCs w:val="21"/>
        </w:rPr>
      </w:pPr>
      <w:r>
        <w:rPr>
          <w:rFonts w:ascii="宋体" w:hAnsi="宋体" w:cs="Arial"/>
          <w:szCs w:val="21"/>
        </w:rPr>
        <w:t>（参考格式，本合同条款在正式签署前可具体补充细化，仅作参考，最终合同以采购人法务审查通过的版本为准）</w:t>
      </w:r>
    </w:p>
    <w:p w14:paraId="6E5B1030">
      <w:pPr>
        <w:jc w:val="center"/>
        <w:rPr>
          <w:rFonts w:ascii="宋体" w:hAnsi="宋体" w:cs="Arial"/>
          <w:szCs w:val="21"/>
        </w:rPr>
      </w:pPr>
    </w:p>
    <w:p w14:paraId="67051C40">
      <w:pPr>
        <w:spacing w:before="120" w:after="120"/>
        <w:jc w:val="center"/>
        <w:rPr>
          <w:b/>
          <w:bCs/>
          <w:sz w:val="30"/>
        </w:rPr>
      </w:pPr>
      <w:r>
        <w:rPr>
          <w:b/>
          <w:sz w:val="30"/>
        </w:rPr>
        <w:t>南京工业大学采购合同（货物类）</w:t>
      </w:r>
    </w:p>
    <w:p w14:paraId="75BC96BC">
      <w:pPr>
        <w:pStyle w:val="17"/>
        <w:rPr>
          <w:rFonts w:hAnsi="宋体"/>
          <w:szCs w:val="24"/>
        </w:rPr>
      </w:pPr>
      <w:r>
        <w:rPr>
          <w:rFonts w:hAnsi="宋体"/>
          <w:szCs w:val="24"/>
        </w:rPr>
        <w:t>项目名称及编号：                       合同编号：</w:t>
      </w:r>
    </w:p>
    <w:p w14:paraId="26BFCBBE">
      <w:pPr>
        <w:pStyle w:val="17"/>
        <w:spacing w:line="360" w:lineRule="auto"/>
        <w:rPr>
          <w:rFonts w:hAnsi="宋体"/>
          <w:szCs w:val="24"/>
        </w:rPr>
      </w:pPr>
      <w:r>
        <w:rPr>
          <w:rFonts w:hAnsi="宋体"/>
          <w:szCs w:val="24"/>
        </w:rPr>
        <w:t xml:space="preserve">甲方（买方）：南京工业大学                 </w:t>
      </w:r>
    </w:p>
    <w:p w14:paraId="0E082E2B">
      <w:pPr>
        <w:pStyle w:val="17"/>
        <w:spacing w:line="360" w:lineRule="auto"/>
        <w:rPr>
          <w:rFonts w:hAnsi="宋体"/>
          <w:szCs w:val="24"/>
        </w:rPr>
      </w:pPr>
      <w:r>
        <w:rPr>
          <w:rFonts w:hAnsi="宋体"/>
          <w:szCs w:val="24"/>
        </w:rPr>
        <w:t>乙方（卖方）：</w:t>
      </w:r>
      <w:r>
        <w:rPr>
          <w:rFonts w:hAnsi="宋体"/>
          <w:szCs w:val="24"/>
          <w:u w:val="single"/>
        </w:rPr>
        <w:t xml:space="preserve">                          </w:t>
      </w:r>
      <w:r>
        <w:rPr>
          <w:rFonts w:hAnsi="宋体"/>
          <w:szCs w:val="24"/>
        </w:rPr>
        <w:t xml:space="preserve"> </w:t>
      </w:r>
    </w:p>
    <w:p w14:paraId="07A9BC6E">
      <w:pPr>
        <w:pStyle w:val="17"/>
        <w:spacing w:line="360" w:lineRule="auto"/>
        <w:rPr>
          <w:rFonts w:hAnsi="宋体"/>
          <w:szCs w:val="24"/>
          <w:u w:val="single"/>
        </w:rPr>
      </w:pPr>
      <w:r>
        <w:rPr>
          <w:rFonts w:hAnsi="宋体"/>
          <w:szCs w:val="24"/>
        </w:rPr>
        <w:t>采购组织单位：</w:t>
      </w:r>
      <w:r>
        <w:rPr>
          <w:rFonts w:hint="eastAsia" w:hAnsi="宋体"/>
          <w:szCs w:val="24"/>
          <w:u w:val="single"/>
        </w:rPr>
        <w:t>江苏汉唐国际贸易集团有限公司</w:t>
      </w:r>
    </w:p>
    <w:p w14:paraId="1402B539">
      <w:pPr>
        <w:pStyle w:val="17"/>
        <w:rPr>
          <w:rFonts w:hAnsi="宋体"/>
          <w:szCs w:val="24"/>
        </w:rPr>
      </w:pPr>
    </w:p>
    <w:p w14:paraId="5525D333">
      <w:pPr>
        <w:pStyle w:val="17"/>
        <w:rPr>
          <w:rFonts w:hAnsi="宋体"/>
          <w:szCs w:val="24"/>
        </w:rPr>
      </w:pPr>
      <w:r>
        <w:rPr>
          <w:rFonts w:hAnsi="宋体"/>
          <w:szCs w:val="24"/>
        </w:rPr>
        <w:t>根据《中华人民共和国民法典》等法律、法规规定，按照南京工业大学</w:t>
      </w:r>
      <w:r>
        <w:rPr>
          <w:rFonts w:hAnsi="宋体"/>
          <w:szCs w:val="24"/>
          <w:u w:val="single"/>
        </w:rPr>
        <w:t xml:space="preserve">      （项目名称、编号）     </w:t>
      </w:r>
      <w:r>
        <w:rPr>
          <w:rFonts w:hAnsi="宋体"/>
          <w:szCs w:val="24"/>
        </w:rPr>
        <w:t>采购文件、乙方响应文件条款和成交人承诺，甲方向乙方购置相关货物，双方同意按下述条款和条件签订本合同，并共同遵守。</w:t>
      </w:r>
    </w:p>
    <w:p w14:paraId="7C2FE311">
      <w:pPr>
        <w:pStyle w:val="17"/>
        <w:rPr>
          <w:rFonts w:hAnsi="宋体"/>
          <w:szCs w:val="24"/>
        </w:rPr>
      </w:pPr>
    </w:p>
    <w:p w14:paraId="536699D1">
      <w:pPr>
        <w:pStyle w:val="17"/>
        <w:rPr>
          <w:rFonts w:hAnsi="宋体"/>
          <w:b/>
          <w:szCs w:val="24"/>
        </w:rPr>
      </w:pPr>
      <w:r>
        <w:rPr>
          <w:rFonts w:hAnsi="宋体"/>
          <w:b/>
          <w:szCs w:val="24"/>
        </w:rPr>
        <w:t>一、合同内容</w:t>
      </w:r>
    </w:p>
    <w:p w14:paraId="4F1E9374">
      <w:pPr>
        <w:pStyle w:val="17"/>
        <w:rPr>
          <w:rFonts w:hAnsi="宋体"/>
          <w:szCs w:val="24"/>
        </w:rPr>
      </w:pPr>
      <w:r>
        <w:rPr>
          <w:rFonts w:hAnsi="宋体"/>
          <w:szCs w:val="24"/>
        </w:rPr>
        <w:t>1.1 乙方负责向甲方提供以下货物：</w:t>
      </w:r>
    </w:p>
    <w:tbl>
      <w:tblPr>
        <w:tblStyle w:val="36"/>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1733"/>
        <w:gridCol w:w="2424"/>
        <w:gridCol w:w="1801"/>
        <w:gridCol w:w="1161"/>
        <w:gridCol w:w="1082"/>
      </w:tblGrid>
      <w:tr w14:paraId="4F3B1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jc w:val="center"/>
        </w:trPr>
        <w:tc>
          <w:tcPr>
            <w:tcW w:w="1006" w:type="dxa"/>
          </w:tcPr>
          <w:p w14:paraId="04F300D6">
            <w:pPr>
              <w:pStyle w:val="17"/>
              <w:spacing w:before="120" w:after="120"/>
              <w:ind w:left="15"/>
              <w:jc w:val="center"/>
              <w:rPr>
                <w:rFonts w:hAnsi="宋体"/>
                <w:szCs w:val="24"/>
              </w:rPr>
            </w:pPr>
            <w:r>
              <w:rPr>
                <w:rFonts w:hAnsi="宋体"/>
                <w:szCs w:val="24"/>
              </w:rPr>
              <w:t>序号</w:t>
            </w:r>
          </w:p>
        </w:tc>
        <w:tc>
          <w:tcPr>
            <w:tcW w:w="1733" w:type="dxa"/>
          </w:tcPr>
          <w:p w14:paraId="7914CB24">
            <w:pPr>
              <w:pStyle w:val="17"/>
              <w:spacing w:before="120" w:after="120"/>
              <w:ind w:left="15"/>
              <w:jc w:val="center"/>
              <w:rPr>
                <w:rFonts w:hAnsi="宋体"/>
                <w:szCs w:val="24"/>
              </w:rPr>
            </w:pPr>
            <w:r>
              <w:rPr>
                <w:rFonts w:hAnsi="宋体"/>
                <w:szCs w:val="24"/>
              </w:rPr>
              <w:t>品名</w:t>
            </w:r>
          </w:p>
        </w:tc>
        <w:tc>
          <w:tcPr>
            <w:tcW w:w="2424" w:type="dxa"/>
          </w:tcPr>
          <w:p w14:paraId="60B2318D">
            <w:pPr>
              <w:pStyle w:val="17"/>
              <w:spacing w:before="120" w:after="120"/>
              <w:ind w:left="15"/>
              <w:jc w:val="center"/>
              <w:rPr>
                <w:rFonts w:hAnsi="宋体"/>
                <w:szCs w:val="24"/>
              </w:rPr>
            </w:pPr>
            <w:r>
              <w:rPr>
                <w:rFonts w:hAnsi="宋体"/>
                <w:szCs w:val="24"/>
              </w:rPr>
              <w:t>型号规格</w:t>
            </w:r>
          </w:p>
        </w:tc>
        <w:tc>
          <w:tcPr>
            <w:tcW w:w="1801" w:type="dxa"/>
          </w:tcPr>
          <w:p w14:paraId="73BF0F9C">
            <w:pPr>
              <w:pStyle w:val="17"/>
              <w:spacing w:before="120" w:after="120"/>
              <w:ind w:left="15"/>
              <w:jc w:val="center"/>
              <w:rPr>
                <w:rFonts w:hAnsi="宋体"/>
                <w:szCs w:val="24"/>
              </w:rPr>
            </w:pPr>
            <w:r>
              <w:rPr>
                <w:rFonts w:hAnsi="宋体"/>
                <w:szCs w:val="24"/>
              </w:rPr>
              <w:t>数量（单位）</w:t>
            </w:r>
          </w:p>
        </w:tc>
        <w:tc>
          <w:tcPr>
            <w:tcW w:w="1161" w:type="dxa"/>
          </w:tcPr>
          <w:p w14:paraId="27912DE1">
            <w:pPr>
              <w:pStyle w:val="17"/>
              <w:spacing w:before="120" w:after="120"/>
              <w:ind w:left="15"/>
              <w:jc w:val="center"/>
              <w:rPr>
                <w:rFonts w:hAnsi="宋体"/>
                <w:szCs w:val="24"/>
              </w:rPr>
            </w:pPr>
            <w:r>
              <w:rPr>
                <w:rFonts w:hAnsi="宋体"/>
                <w:szCs w:val="24"/>
              </w:rPr>
              <w:t>单 价</w:t>
            </w:r>
          </w:p>
        </w:tc>
        <w:tc>
          <w:tcPr>
            <w:tcW w:w="1082" w:type="dxa"/>
          </w:tcPr>
          <w:p w14:paraId="35584D99">
            <w:pPr>
              <w:pStyle w:val="17"/>
              <w:spacing w:before="120" w:after="120"/>
              <w:ind w:left="15"/>
              <w:jc w:val="center"/>
              <w:rPr>
                <w:rFonts w:hAnsi="宋体"/>
                <w:szCs w:val="24"/>
              </w:rPr>
            </w:pPr>
            <w:r>
              <w:rPr>
                <w:rFonts w:hAnsi="宋体"/>
                <w:szCs w:val="24"/>
              </w:rPr>
              <w:t>总 价</w:t>
            </w:r>
          </w:p>
        </w:tc>
      </w:tr>
      <w:tr w14:paraId="37DE8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006" w:type="dxa"/>
          </w:tcPr>
          <w:p w14:paraId="5F2B2E50">
            <w:pPr>
              <w:pStyle w:val="17"/>
              <w:spacing w:before="120" w:after="120"/>
              <w:ind w:left="15"/>
              <w:jc w:val="center"/>
              <w:rPr>
                <w:rFonts w:hAnsi="宋体"/>
                <w:szCs w:val="24"/>
              </w:rPr>
            </w:pPr>
            <w:r>
              <w:rPr>
                <w:rFonts w:hAnsi="宋体"/>
                <w:szCs w:val="24"/>
              </w:rPr>
              <w:t>1</w:t>
            </w:r>
          </w:p>
        </w:tc>
        <w:tc>
          <w:tcPr>
            <w:tcW w:w="1733" w:type="dxa"/>
          </w:tcPr>
          <w:p w14:paraId="56A37577">
            <w:pPr>
              <w:pStyle w:val="17"/>
              <w:spacing w:before="120" w:after="120"/>
              <w:ind w:left="15"/>
              <w:jc w:val="center"/>
              <w:rPr>
                <w:rFonts w:hAnsi="宋体"/>
                <w:szCs w:val="24"/>
              </w:rPr>
            </w:pPr>
          </w:p>
        </w:tc>
        <w:tc>
          <w:tcPr>
            <w:tcW w:w="2424" w:type="dxa"/>
          </w:tcPr>
          <w:p w14:paraId="40099C60">
            <w:pPr>
              <w:pStyle w:val="17"/>
              <w:spacing w:before="120" w:after="120"/>
              <w:ind w:left="15"/>
              <w:jc w:val="center"/>
              <w:rPr>
                <w:rFonts w:hAnsi="宋体"/>
                <w:szCs w:val="24"/>
              </w:rPr>
            </w:pPr>
          </w:p>
        </w:tc>
        <w:tc>
          <w:tcPr>
            <w:tcW w:w="1801" w:type="dxa"/>
          </w:tcPr>
          <w:p w14:paraId="4C827317">
            <w:pPr>
              <w:pStyle w:val="17"/>
              <w:spacing w:before="120" w:after="120"/>
              <w:ind w:left="15"/>
              <w:jc w:val="center"/>
              <w:rPr>
                <w:rFonts w:hAnsi="宋体"/>
                <w:szCs w:val="24"/>
              </w:rPr>
            </w:pPr>
          </w:p>
        </w:tc>
        <w:tc>
          <w:tcPr>
            <w:tcW w:w="1161" w:type="dxa"/>
          </w:tcPr>
          <w:p w14:paraId="245A8BF5">
            <w:pPr>
              <w:pStyle w:val="17"/>
              <w:spacing w:before="120" w:after="120"/>
              <w:ind w:left="15"/>
              <w:jc w:val="center"/>
              <w:rPr>
                <w:rFonts w:hAnsi="宋体"/>
                <w:szCs w:val="24"/>
              </w:rPr>
            </w:pPr>
          </w:p>
        </w:tc>
        <w:tc>
          <w:tcPr>
            <w:tcW w:w="1082" w:type="dxa"/>
          </w:tcPr>
          <w:p w14:paraId="0000F00A">
            <w:pPr>
              <w:pStyle w:val="17"/>
              <w:spacing w:before="120" w:after="120"/>
              <w:ind w:left="15"/>
              <w:jc w:val="center"/>
              <w:rPr>
                <w:rFonts w:hAnsi="宋体"/>
                <w:szCs w:val="24"/>
              </w:rPr>
            </w:pPr>
          </w:p>
        </w:tc>
      </w:tr>
      <w:tr w14:paraId="7EF5B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06" w:type="dxa"/>
          </w:tcPr>
          <w:p w14:paraId="139EA808">
            <w:pPr>
              <w:pStyle w:val="17"/>
              <w:spacing w:before="120" w:after="120"/>
              <w:ind w:left="15"/>
              <w:jc w:val="center"/>
              <w:rPr>
                <w:rFonts w:hAnsi="宋体"/>
                <w:szCs w:val="24"/>
              </w:rPr>
            </w:pPr>
            <w:r>
              <w:rPr>
                <w:rFonts w:hAnsi="宋体"/>
                <w:szCs w:val="24"/>
              </w:rPr>
              <w:t>2</w:t>
            </w:r>
          </w:p>
        </w:tc>
        <w:tc>
          <w:tcPr>
            <w:tcW w:w="1733" w:type="dxa"/>
          </w:tcPr>
          <w:p w14:paraId="1AD2D216">
            <w:pPr>
              <w:pStyle w:val="17"/>
              <w:spacing w:before="120" w:after="120"/>
              <w:ind w:left="15"/>
              <w:jc w:val="center"/>
              <w:rPr>
                <w:rFonts w:hAnsi="宋体"/>
                <w:szCs w:val="24"/>
              </w:rPr>
            </w:pPr>
          </w:p>
        </w:tc>
        <w:tc>
          <w:tcPr>
            <w:tcW w:w="2424" w:type="dxa"/>
          </w:tcPr>
          <w:p w14:paraId="544B4B1C">
            <w:pPr>
              <w:pStyle w:val="17"/>
              <w:spacing w:before="120" w:after="120"/>
              <w:ind w:left="15"/>
              <w:jc w:val="center"/>
              <w:rPr>
                <w:rFonts w:hAnsi="宋体"/>
                <w:szCs w:val="24"/>
              </w:rPr>
            </w:pPr>
          </w:p>
        </w:tc>
        <w:tc>
          <w:tcPr>
            <w:tcW w:w="1801" w:type="dxa"/>
          </w:tcPr>
          <w:p w14:paraId="67153198">
            <w:pPr>
              <w:pStyle w:val="17"/>
              <w:spacing w:before="120" w:after="120"/>
              <w:ind w:left="15"/>
              <w:jc w:val="center"/>
              <w:rPr>
                <w:rFonts w:hAnsi="宋体"/>
                <w:szCs w:val="24"/>
              </w:rPr>
            </w:pPr>
          </w:p>
        </w:tc>
        <w:tc>
          <w:tcPr>
            <w:tcW w:w="1161" w:type="dxa"/>
          </w:tcPr>
          <w:p w14:paraId="704572AD">
            <w:pPr>
              <w:pStyle w:val="17"/>
              <w:spacing w:before="120" w:after="120"/>
              <w:ind w:left="15"/>
              <w:jc w:val="center"/>
              <w:rPr>
                <w:rFonts w:hAnsi="宋体"/>
                <w:szCs w:val="24"/>
              </w:rPr>
            </w:pPr>
          </w:p>
        </w:tc>
        <w:tc>
          <w:tcPr>
            <w:tcW w:w="1082" w:type="dxa"/>
          </w:tcPr>
          <w:p w14:paraId="1AF30331">
            <w:pPr>
              <w:pStyle w:val="17"/>
              <w:spacing w:before="120" w:after="120"/>
              <w:ind w:left="15"/>
              <w:jc w:val="center"/>
              <w:rPr>
                <w:rFonts w:hAnsi="宋体"/>
                <w:szCs w:val="24"/>
              </w:rPr>
            </w:pPr>
          </w:p>
        </w:tc>
      </w:tr>
      <w:tr w14:paraId="59C0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006" w:type="dxa"/>
          </w:tcPr>
          <w:p w14:paraId="51865B4E">
            <w:pPr>
              <w:pStyle w:val="17"/>
              <w:spacing w:before="120" w:after="120"/>
              <w:ind w:left="15"/>
              <w:jc w:val="center"/>
              <w:rPr>
                <w:rFonts w:hAnsi="宋体"/>
                <w:szCs w:val="24"/>
              </w:rPr>
            </w:pPr>
            <w:r>
              <w:rPr>
                <w:rFonts w:hAnsi="宋体"/>
                <w:szCs w:val="24"/>
              </w:rPr>
              <w:t>合计</w:t>
            </w:r>
          </w:p>
        </w:tc>
        <w:tc>
          <w:tcPr>
            <w:tcW w:w="1733" w:type="dxa"/>
          </w:tcPr>
          <w:p w14:paraId="014B05AE">
            <w:pPr>
              <w:pStyle w:val="17"/>
              <w:spacing w:before="120" w:after="120"/>
              <w:ind w:left="15"/>
              <w:jc w:val="center"/>
              <w:rPr>
                <w:rFonts w:hAnsi="宋体"/>
                <w:szCs w:val="24"/>
              </w:rPr>
            </w:pPr>
          </w:p>
        </w:tc>
        <w:tc>
          <w:tcPr>
            <w:tcW w:w="2424" w:type="dxa"/>
          </w:tcPr>
          <w:p w14:paraId="48A8F5A8">
            <w:pPr>
              <w:pStyle w:val="17"/>
              <w:spacing w:before="120" w:after="120"/>
              <w:ind w:left="15"/>
              <w:jc w:val="center"/>
              <w:rPr>
                <w:rFonts w:hAnsi="宋体"/>
                <w:szCs w:val="24"/>
              </w:rPr>
            </w:pPr>
          </w:p>
        </w:tc>
        <w:tc>
          <w:tcPr>
            <w:tcW w:w="1801" w:type="dxa"/>
          </w:tcPr>
          <w:p w14:paraId="24245E27">
            <w:pPr>
              <w:pStyle w:val="17"/>
              <w:spacing w:before="120" w:after="120"/>
              <w:ind w:left="15"/>
              <w:jc w:val="center"/>
              <w:rPr>
                <w:rFonts w:hAnsi="宋体"/>
                <w:szCs w:val="24"/>
              </w:rPr>
            </w:pPr>
          </w:p>
        </w:tc>
        <w:tc>
          <w:tcPr>
            <w:tcW w:w="1161" w:type="dxa"/>
          </w:tcPr>
          <w:p w14:paraId="55E71EF1">
            <w:pPr>
              <w:pStyle w:val="17"/>
              <w:spacing w:before="120" w:after="120"/>
              <w:ind w:left="15"/>
              <w:jc w:val="center"/>
              <w:rPr>
                <w:rFonts w:hAnsi="宋体"/>
                <w:szCs w:val="24"/>
              </w:rPr>
            </w:pPr>
          </w:p>
        </w:tc>
        <w:tc>
          <w:tcPr>
            <w:tcW w:w="1082" w:type="dxa"/>
          </w:tcPr>
          <w:p w14:paraId="12560AB3">
            <w:pPr>
              <w:pStyle w:val="17"/>
              <w:spacing w:before="120" w:after="120"/>
              <w:ind w:left="15"/>
              <w:jc w:val="center"/>
              <w:rPr>
                <w:rFonts w:hAnsi="宋体"/>
                <w:szCs w:val="24"/>
              </w:rPr>
            </w:pPr>
          </w:p>
        </w:tc>
      </w:tr>
    </w:tbl>
    <w:p w14:paraId="5B9E27FF">
      <w:pPr>
        <w:pStyle w:val="17"/>
        <w:rPr>
          <w:rFonts w:hAnsi="宋体"/>
          <w:szCs w:val="24"/>
        </w:rPr>
      </w:pPr>
      <w:r>
        <w:rPr>
          <w:rFonts w:hAnsi="宋体"/>
          <w:szCs w:val="24"/>
        </w:rPr>
        <w:t>1.2 下列文件为本合同不可分割部分，与本合同具有同等法律效力：</w:t>
      </w:r>
    </w:p>
    <w:p w14:paraId="47BCD9C4">
      <w:pPr>
        <w:pStyle w:val="17"/>
        <w:rPr>
          <w:rFonts w:hAnsi="宋体"/>
          <w:szCs w:val="24"/>
        </w:rPr>
      </w:pPr>
      <w:r>
        <w:rPr>
          <w:rFonts w:hAnsi="宋体"/>
          <w:szCs w:val="24"/>
        </w:rPr>
        <w:t>1.2.1 成交通知书；</w:t>
      </w:r>
    </w:p>
    <w:p w14:paraId="7FAA48BF">
      <w:pPr>
        <w:pStyle w:val="17"/>
        <w:rPr>
          <w:rFonts w:hAnsi="宋体"/>
          <w:szCs w:val="24"/>
        </w:rPr>
      </w:pPr>
      <w:r>
        <w:rPr>
          <w:rFonts w:hAnsi="宋体"/>
          <w:szCs w:val="24"/>
        </w:rPr>
        <w:t>1.2.2 甲方的采购文件及其它补充文件；</w:t>
      </w:r>
    </w:p>
    <w:p w14:paraId="7A304907">
      <w:pPr>
        <w:pStyle w:val="17"/>
        <w:rPr>
          <w:rFonts w:hAnsi="宋体"/>
          <w:szCs w:val="24"/>
        </w:rPr>
      </w:pPr>
      <w:r>
        <w:rPr>
          <w:rFonts w:hAnsi="宋体"/>
          <w:szCs w:val="24"/>
        </w:rPr>
        <w:t>1.2.3 乙方的响应文件及其它补充文件；</w:t>
      </w:r>
    </w:p>
    <w:p w14:paraId="23B36B46">
      <w:pPr>
        <w:pStyle w:val="17"/>
        <w:rPr>
          <w:rFonts w:hAnsi="宋体"/>
          <w:szCs w:val="24"/>
        </w:rPr>
      </w:pPr>
      <w:r>
        <w:rPr>
          <w:rFonts w:hAnsi="宋体"/>
          <w:szCs w:val="24"/>
        </w:rPr>
        <w:t>1.2.4 乙方在采购过程中所作的其它书面承诺、声明、澄清等。</w:t>
      </w:r>
    </w:p>
    <w:p w14:paraId="340418D3">
      <w:pPr>
        <w:pStyle w:val="17"/>
        <w:rPr>
          <w:rFonts w:hAnsi="宋体"/>
          <w:szCs w:val="24"/>
        </w:rPr>
      </w:pPr>
    </w:p>
    <w:p w14:paraId="3A8F0ED2">
      <w:pPr>
        <w:pStyle w:val="17"/>
        <w:rPr>
          <w:rFonts w:hAnsi="宋体"/>
          <w:b/>
          <w:szCs w:val="24"/>
        </w:rPr>
      </w:pPr>
      <w:r>
        <w:rPr>
          <w:rFonts w:hAnsi="宋体"/>
          <w:b/>
          <w:szCs w:val="24"/>
        </w:rPr>
        <w:t>二、合同金额与支付</w:t>
      </w:r>
    </w:p>
    <w:p w14:paraId="7314FF34">
      <w:pPr>
        <w:pStyle w:val="17"/>
        <w:ind w:left="1046" w:hanging="1046"/>
        <w:rPr>
          <w:rFonts w:hAnsi="宋体"/>
          <w:szCs w:val="24"/>
          <w:u w:val="single"/>
        </w:rPr>
      </w:pPr>
      <w:r>
        <w:rPr>
          <w:rFonts w:hAnsi="宋体"/>
          <w:szCs w:val="24"/>
        </w:rPr>
        <w:t>2.1 本合同总金额为（大写）：</w:t>
      </w:r>
      <w:r>
        <w:rPr>
          <w:rFonts w:hAnsi="宋体"/>
          <w:szCs w:val="24"/>
          <w:u w:val="single"/>
        </w:rPr>
        <w:t xml:space="preserve">                                          </w:t>
      </w:r>
    </w:p>
    <w:p w14:paraId="4BC4A1C3">
      <w:pPr>
        <w:pStyle w:val="17"/>
        <w:ind w:left="761" w:hanging="761"/>
        <w:rPr>
          <w:rFonts w:hAnsi="宋体"/>
          <w:szCs w:val="24"/>
        </w:rPr>
      </w:pPr>
      <w:r>
        <w:rPr>
          <w:rFonts w:hAnsi="宋体"/>
          <w:szCs w:val="24"/>
        </w:rPr>
        <w:t>（小写</w:t>
      </w:r>
      <w:r>
        <w:rPr>
          <w:rFonts w:hAnsi="宋体"/>
          <w:szCs w:val="24"/>
          <w:u w:val="single"/>
        </w:rPr>
        <w:t xml:space="preserve">                </w:t>
      </w:r>
      <w:r>
        <w:rPr>
          <w:rFonts w:hAnsi="宋体"/>
          <w:szCs w:val="24"/>
        </w:rPr>
        <w:t>元）（注明币种）。</w:t>
      </w:r>
    </w:p>
    <w:p w14:paraId="012697D1">
      <w:pPr>
        <w:pStyle w:val="17"/>
        <w:rPr>
          <w:rFonts w:hAnsi="宋体"/>
          <w:szCs w:val="24"/>
        </w:rPr>
      </w:pPr>
      <w:r>
        <w:rPr>
          <w:rFonts w:hAnsi="宋体"/>
          <w:szCs w:val="24"/>
        </w:rPr>
        <w:t>2.2 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p>
    <w:p w14:paraId="3CCE7F7C">
      <w:pPr>
        <w:pStyle w:val="17"/>
        <w:ind w:left="564" w:hanging="564"/>
        <w:rPr>
          <w:rFonts w:hAnsi="宋体"/>
          <w:bCs/>
          <w:szCs w:val="24"/>
        </w:rPr>
      </w:pPr>
      <w:r>
        <w:rPr>
          <w:rFonts w:hAnsi="宋体"/>
          <w:bCs/>
          <w:szCs w:val="24"/>
        </w:rPr>
        <w:t>2.3 支付方式：</w:t>
      </w:r>
    </w:p>
    <w:p w14:paraId="66B412AB">
      <w:pPr>
        <w:pStyle w:val="17"/>
        <w:ind w:left="480" w:hanging="480"/>
        <w:rPr>
          <w:rFonts w:hAnsi="宋体"/>
          <w:bCs/>
          <w:szCs w:val="24"/>
          <w:u w:val="single"/>
        </w:rPr>
      </w:pPr>
      <w:r>
        <w:rPr>
          <w:rFonts w:hAnsi="宋体"/>
          <w:bCs/>
          <w:szCs w:val="24"/>
        </w:rPr>
        <w:t>2.3.1付款方式：</w:t>
      </w:r>
      <w:r>
        <w:rPr>
          <w:rFonts w:hAnsi="宋体"/>
          <w:bCs/>
          <w:szCs w:val="24"/>
          <w:u w:val="single"/>
        </w:rPr>
        <w:t xml:space="preserve">                                    </w:t>
      </w:r>
    </w:p>
    <w:p w14:paraId="1F8FC329">
      <w:pPr>
        <w:pStyle w:val="17"/>
        <w:ind w:left="410" w:hanging="410"/>
        <w:rPr>
          <w:rFonts w:hAnsi="宋体"/>
          <w:b/>
          <w:szCs w:val="24"/>
        </w:rPr>
      </w:pPr>
      <w:r>
        <w:rPr>
          <w:rFonts w:hAnsi="宋体"/>
          <w:b/>
          <w:szCs w:val="24"/>
        </w:rPr>
        <w:t>三、履约保证金</w:t>
      </w:r>
    </w:p>
    <w:p w14:paraId="58DD7C6E">
      <w:pPr>
        <w:pStyle w:val="17"/>
        <w:ind w:left="408" w:hanging="408"/>
        <w:rPr>
          <w:rFonts w:hAnsi="宋体"/>
          <w:szCs w:val="24"/>
        </w:rPr>
      </w:pPr>
      <w:r>
        <w:rPr>
          <w:rFonts w:hAnsi="宋体"/>
          <w:szCs w:val="24"/>
        </w:rPr>
        <w:t>3.1 乙方交纳人民币_________元作为本合同的履约保证金。</w:t>
      </w:r>
    </w:p>
    <w:p w14:paraId="6008A79B">
      <w:pPr>
        <w:pStyle w:val="17"/>
        <w:ind w:left="408" w:hanging="408"/>
        <w:rPr>
          <w:rFonts w:hAnsi="宋体"/>
          <w:szCs w:val="24"/>
        </w:rPr>
      </w:pPr>
      <w:r>
        <w:rPr>
          <w:rFonts w:hAnsi="宋体"/>
          <w:szCs w:val="24"/>
        </w:rPr>
        <w:t>3.2合同履行结束后，甲方应及时退还交纳的履约保证金。</w:t>
      </w:r>
    </w:p>
    <w:p w14:paraId="3D8B9DDA">
      <w:pPr>
        <w:pStyle w:val="9"/>
        <w:tabs>
          <w:tab w:val="left" w:pos="360"/>
          <w:tab w:val="left" w:pos="720"/>
        </w:tabs>
        <w:jc w:val="both"/>
      </w:pPr>
      <w:r>
        <w:t>3.3 若乙方有以下未能履行合同约定义务的情形，甲方有权不予退还全部或部分履约保证金作为补偿：</w:t>
      </w:r>
    </w:p>
    <w:p w14:paraId="60B95E0A">
      <w:pPr>
        <w:rPr>
          <w:b/>
        </w:rPr>
      </w:pPr>
      <w:r>
        <w:rPr>
          <w:b/>
        </w:rPr>
        <w:t>四、转包或分包</w:t>
      </w:r>
    </w:p>
    <w:p w14:paraId="15DB3F02">
      <w:r>
        <w:t>4.1本合同范围的货物应由乙方直接供应，不得转让他人供应。</w:t>
      </w:r>
    </w:p>
    <w:p w14:paraId="2EEDCBCD">
      <w:r>
        <w:t>4.2 除非得到甲方的书面同意，乙方不得部分分包给他人供应。</w:t>
      </w:r>
    </w:p>
    <w:p w14:paraId="0A334D96">
      <w:r>
        <w:t>4.3如有转让和未经甲方同意的分包行为，甲方有权给予终止合同。</w:t>
      </w:r>
    </w:p>
    <w:p w14:paraId="06F74A80">
      <w:pPr>
        <w:pStyle w:val="17"/>
        <w:rPr>
          <w:rFonts w:hAnsi="宋体"/>
          <w:b/>
          <w:szCs w:val="24"/>
        </w:rPr>
      </w:pPr>
      <w:r>
        <w:rPr>
          <w:rFonts w:hAnsi="宋体"/>
          <w:b/>
          <w:szCs w:val="24"/>
        </w:rPr>
        <w:t>五、技术资料</w:t>
      </w:r>
    </w:p>
    <w:p w14:paraId="3424B9F0">
      <w:pPr>
        <w:pStyle w:val="17"/>
        <w:rPr>
          <w:rFonts w:hAnsi="宋体"/>
          <w:szCs w:val="24"/>
        </w:rPr>
      </w:pPr>
      <w:r>
        <w:rPr>
          <w:rFonts w:hAnsi="宋体"/>
          <w:szCs w:val="24"/>
        </w:rPr>
        <w:t>5.1乙方应按采购文件规定的时间向甲方提供有关使用货物的技术资料。</w:t>
      </w:r>
    </w:p>
    <w:p w14:paraId="04F68BCA">
      <w:pPr>
        <w:pStyle w:val="17"/>
        <w:rPr>
          <w:rFonts w:hAnsi="宋体"/>
          <w:szCs w:val="24"/>
        </w:rPr>
      </w:pPr>
      <w:r>
        <w:rPr>
          <w:rFonts w:hAnsi="宋体"/>
          <w:szCs w:val="24"/>
        </w:rPr>
        <w:t>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8F5B900">
      <w:pPr>
        <w:pStyle w:val="17"/>
        <w:rPr>
          <w:rFonts w:hAnsi="宋体"/>
          <w:b/>
          <w:szCs w:val="24"/>
        </w:rPr>
      </w:pPr>
      <w:r>
        <w:rPr>
          <w:rFonts w:hAnsi="宋体"/>
          <w:b/>
          <w:szCs w:val="24"/>
        </w:rPr>
        <w:t>六、知识产权</w:t>
      </w:r>
    </w:p>
    <w:p w14:paraId="6E9E855C">
      <w:r>
        <w:t>6.1乙方应保证甲方在使用、接受本合同货物或其任何一部分时不受第三方提出侵犯其专利权、版权、商标权和工业设计权等知识产权的起诉。如发生侵权等争议，乙方负责处理并承担 由此引发的全部责任。</w:t>
      </w:r>
    </w:p>
    <w:p w14:paraId="479272DC">
      <w:pPr>
        <w:pStyle w:val="17"/>
        <w:rPr>
          <w:rFonts w:hAnsi="宋体"/>
          <w:szCs w:val="24"/>
          <w:u w:val="single"/>
        </w:rPr>
      </w:pPr>
      <w:r>
        <w:rPr>
          <w:rFonts w:hAnsi="宋体"/>
          <w:b/>
          <w:szCs w:val="24"/>
        </w:rPr>
        <w:t>七、产权担保</w:t>
      </w:r>
    </w:p>
    <w:p w14:paraId="78EA3CB8">
      <w:pPr>
        <w:pStyle w:val="17"/>
        <w:rPr>
          <w:rFonts w:hAnsi="宋体"/>
          <w:szCs w:val="24"/>
        </w:rPr>
      </w:pPr>
      <w:r>
        <w:rPr>
          <w:rFonts w:hAnsi="宋体"/>
          <w:szCs w:val="24"/>
        </w:rPr>
        <w:t>7.1 乙方保证所交付的货物的所有权完全属于乙方且无任何抵押、查封等产权瑕疵。</w:t>
      </w:r>
    </w:p>
    <w:p w14:paraId="5ABC1379">
      <w:pPr>
        <w:pStyle w:val="17"/>
        <w:rPr>
          <w:rFonts w:hAnsi="宋体"/>
          <w:b/>
          <w:szCs w:val="24"/>
        </w:rPr>
      </w:pPr>
      <w:r>
        <w:rPr>
          <w:rFonts w:hAnsi="宋体"/>
          <w:b/>
          <w:szCs w:val="24"/>
        </w:rPr>
        <w:t>八、交货期、交货方式及交货地点</w:t>
      </w:r>
    </w:p>
    <w:p w14:paraId="360622DB">
      <w:pPr>
        <w:pStyle w:val="17"/>
        <w:rPr>
          <w:rFonts w:hAnsi="宋体"/>
          <w:szCs w:val="24"/>
        </w:rPr>
      </w:pPr>
      <w:r>
        <w:rPr>
          <w:rFonts w:hAnsi="宋体"/>
          <w:szCs w:val="24"/>
        </w:rPr>
        <w:t>8.1乙方交付的货物应当完全符合本合同或采购文件所规定的货物、数量和规格要求。乙方不得少交或者多交货物。乙方提供的货物不符合采购文件、响应文件和合同规定的，甲方有权拒收货物，由此产生的一切损失，由乙方承担。</w:t>
      </w:r>
    </w:p>
    <w:p w14:paraId="204454DA">
      <w:pPr>
        <w:pStyle w:val="17"/>
        <w:rPr>
          <w:rFonts w:hAnsi="宋体"/>
          <w:bCs/>
          <w:szCs w:val="24"/>
        </w:rPr>
      </w:pPr>
      <w:r>
        <w:rPr>
          <w:rFonts w:hAnsi="宋体"/>
          <w:bCs/>
          <w:szCs w:val="24"/>
        </w:rPr>
        <w:t>8.2 交货期：</w:t>
      </w:r>
      <w:r>
        <w:rPr>
          <w:rFonts w:hAnsi="宋体"/>
          <w:szCs w:val="24"/>
          <w:u w:val="single"/>
        </w:rPr>
        <w:t xml:space="preserve">                                                         </w:t>
      </w:r>
    </w:p>
    <w:p w14:paraId="7A1B1826">
      <w:pPr>
        <w:pStyle w:val="17"/>
        <w:rPr>
          <w:rFonts w:hAnsi="宋体"/>
          <w:szCs w:val="24"/>
          <w:u w:val="single"/>
        </w:rPr>
      </w:pPr>
      <w:r>
        <w:rPr>
          <w:rFonts w:hAnsi="宋体"/>
          <w:bCs/>
          <w:szCs w:val="24"/>
        </w:rPr>
        <w:t>8.3 交货方式：</w:t>
      </w:r>
      <w:r>
        <w:rPr>
          <w:rFonts w:hAnsi="宋体"/>
          <w:szCs w:val="24"/>
          <w:u w:val="single"/>
        </w:rPr>
        <w:t xml:space="preserve">                                                        </w:t>
      </w:r>
    </w:p>
    <w:p w14:paraId="6C789A6D">
      <w:pPr>
        <w:pStyle w:val="17"/>
        <w:rPr>
          <w:rFonts w:hAnsi="宋体"/>
          <w:szCs w:val="24"/>
          <w:u w:val="single"/>
        </w:rPr>
      </w:pPr>
      <w:r>
        <w:rPr>
          <w:rFonts w:hAnsi="宋体"/>
          <w:bCs/>
          <w:szCs w:val="24"/>
        </w:rPr>
        <w:t>8.4 交货地点：</w:t>
      </w:r>
      <w:r>
        <w:rPr>
          <w:rFonts w:hAnsi="宋体"/>
          <w:szCs w:val="24"/>
          <w:u w:val="single"/>
        </w:rPr>
        <w:t xml:space="preserve">                                                         </w:t>
      </w:r>
    </w:p>
    <w:p w14:paraId="7C295D28">
      <w:pPr>
        <w:pStyle w:val="17"/>
        <w:rPr>
          <w:rFonts w:hAnsi="宋体"/>
          <w:szCs w:val="24"/>
          <w:u w:val="single"/>
        </w:rPr>
      </w:pPr>
      <w:r>
        <w:rPr>
          <w:rFonts w:hAnsi="宋体"/>
          <w:szCs w:val="24"/>
        </w:rPr>
        <w:t>8.5 甲方联系人：</w:t>
      </w:r>
      <w:r>
        <w:rPr>
          <w:rFonts w:hAnsi="宋体"/>
          <w:szCs w:val="24"/>
          <w:u w:val="single"/>
        </w:rPr>
        <w:t xml:space="preserve">            </w:t>
      </w:r>
      <w:r>
        <w:rPr>
          <w:rFonts w:hAnsi="宋体"/>
          <w:szCs w:val="24"/>
        </w:rPr>
        <w:t xml:space="preserve"> 所在单位：</w:t>
      </w:r>
      <w:r>
        <w:rPr>
          <w:rFonts w:hAnsi="宋体"/>
          <w:szCs w:val="24"/>
          <w:u w:val="single"/>
        </w:rPr>
        <w:t xml:space="preserve">           </w:t>
      </w:r>
      <w:r>
        <w:rPr>
          <w:rFonts w:hAnsi="宋体"/>
          <w:szCs w:val="24"/>
        </w:rPr>
        <w:t xml:space="preserve"> 电话：</w:t>
      </w:r>
      <w:r>
        <w:rPr>
          <w:rFonts w:hAnsi="宋体"/>
          <w:szCs w:val="24"/>
          <w:u w:val="single"/>
        </w:rPr>
        <w:t xml:space="preserve">            </w:t>
      </w:r>
    </w:p>
    <w:p w14:paraId="19AC85D4">
      <w:pPr>
        <w:pStyle w:val="17"/>
        <w:rPr>
          <w:rFonts w:hAnsi="宋体"/>
          <w:szCs w:val="24"/>
          <w:u w:val="single"/>
        </w:rPr>
      </w:pPr>
      <w:r>
        <w:rPr>
          <w:rFonts w:hAnsi="宋体"/>
          <w:szCs w:val="24"/>
        </w:rPr>
        <w:t>乙方联系人：</w:t>
      </w:r>
      <w:r>
        <w:rPr>
          <w:rFonts w:hAnsi="宋体"/>
          <w:szCs w:val="24"/>
          <w:u w:val="single"/>
        </w:rPr>
        <w:t xml:space="preserve">            </w:t>
      </w:r>
      <w:r>
        <w:rPr>
          <w:rFonts w:hAnsi="宋体"/>
          <w:szCs w:val="24"/>
        </w:rPr>
        <w:t xml:space="preserve"> 电话：</w:t>
      </w:r>
      <w:r>
        <w:rPr>
          <w:rFonts w:hAnsi="宋体"/>
          <w:szCs w:val="24"/>
          <w:u w:val="single"/>
        </w:rPr>
        <w:t xml:space="preserve">           </w:t>
      </w:r>
    </w:p>
    <w:p w14:paraId="296550DD">
      <w:pPr>
        <w:pStyle w:val="17"/>
        <w:rPr>
          <w:rFonts w:hAnsi="宋体"/>
          <w:b/>
          <w:szCs w:val="24"/>
        </w:rPr>
      </w:pPr>
      <w:r>
        <w:rPr>
          <w:rFonts w:hAnsi="宋体"/>
          <w:b/>
          <w:szCs w:val="24"/>
        </w:rPr>
        <w:t>九、货物包装、发运及运输</w:t>
      </w:r>
    </w:p>
    <w:p w14:paraId="3A8F1EE8">
      <w:pPr>
        <w:pStyle w:val="17"/>
        <w:rPr>
          <w:rFonts w:hAnsi="宋体"/>
          <w:szCs w:val="24"/>
        </w:rPr>
      </w:pPr>
      <w:r>
        <w:rPr>
          <w:rFonts w:hAnsi="宋体"/>
          <w:szCs w:val="24"/>
        </w:rPr>
        <w:t>9.1 乙方应在货物发运前对其进行满足运输距离、防潮、防震、防锈和防破损装卸等要求的包装，以保证货物安全运达甲方指定地点。由于包装不善引起的货物损失均由乙方承担。</w:t>
      </w:r>
    </w:p>
    <w:p w14:paraId="4C95EB89">
      <w:pPr>
        <w:pStyle w:val="17"/>
        <w:rPr>
          <w:rFonts w:hAnsi="宋体"/>
          <w:szCs w:val="24"/>
        </w:rPr>
      </w:pPr>
      <w:r>
        <w:rPr>
          <w:rFonts w:hAnsi="宋体"/>
          <w:szCs w:val="24"/>
        </w:rPr>
        <w:t>9.2 使用说明书、质量检验证明书、随配附件和工具及清单一并附于货物内，且每一包装单元内应附详细的装箱单和质量合格凭证；乙方不能完整交付货物及本款规定的单证和工具的，视为未按合同约定交货，乙方负责补齐，因此导致逾期交货的，由乙方承担相应责任。</w:t>
      </w:r>
    </w:p>
    <w:p w14:paraId="2A25280F">
      <w:pPr>
        <w:pStyle w:val="17"/>
        <w:rPr>
          <w:rFonts w:hAnsi="宋体"/>
          <w:szCs w:val="24"/>
        </w:rPr>
      </w:pPr>
      <w:r>
        <w:rPr>
          <w:rFonts w:hAnsi="宋体"/>
          <w:szCs w:val="24"/>
        </w:rPr>
        <w:t>9.3 乙方在货物发运手续办理完毕后24小时内或货到甲方48小时前通知甲方，以准备接货。</w:t>
      </w:r>
    </w:p>
    <w:p w14:paraId="555C000C">
      <w:pPr>
        <w:pStyle w:val="17"/>
        <w:rPr>
          <w:rFonts w:hAnsi="宋体"/>
          <w:szCs w:val="24"/>
        </w:rPr>
      </w:pPr>
      <w:r>
        <w:rPr>
          <w:rFonts w:hAnsi="宋体"/>
          <w:szCs w:val="24"/>
        </w:rPr>
        <w:t>9.4 货物须在规定的交货期限内由乙方送达甲方指定的地点，乙方须同时通知甲方货物已送达。</w:t>
      </w:r>
    </w:p>
    <w:p w14:paraId="5CDD928C">
      <w:pPr>
        <w:pStyle w:val="17"/>
        <w:rPr>
          <w:rFonts w:hAnsi="宋体"/>
          <w:szCs w:val="24"/>
        </w:rPr>
      </w:pPr>
      <w:r>
        <w:rPr>
          <w:rFonts w:hAnsi="宋体"/>
          <w:szCs w:val="24"/>
        </w:rPr>
        <w:t xml:space="preserve">9.5 </w:t>
      </w:r>
      <w:r>
        <w:rPr>
          <w:rFonts w:hAnsi="宋体"/>
          <w:bCs/>
          <w:szCs w:val="24"/>
        </w:rPr>
        <w:t>乙方将货物运送至甲方指定地点并经甲方验收合格之前，货物的所有权、一切风险责任及由此产生的一切相关费用均由乙方承担。</w:t>
      </w:r>
    </w:p>
    <w:p w14:paraId="6FCC8DF1">
      <w:pPr>
        <w:pStyle w:val="17"/>
        <w:rPr>
          <w:rFonts w:hAnsi="宋体"/>
          <w:b/>
          <w:szCs w:val="24"/>
        </w:rPr>
      </w:pPr>
      <w:r>
        <w:rPr>
          <w:rFonts w:hAnsi="宋体"/>
          <w:b/>
          <w:szCs w:val="24"/>
        </w:rPr>
        <w:t>十、调试和验收</w:t>
      </w:r>
    </w:p>
    <w:p w14:paraId="024718FC">
      <w:pPr>
        <w:pStyle w:val="17"/>
        <w:rPr>
          <w:rFonts w:hAnsi="宋体"/>
          <w:szCs w:val="24"/>
        </w:rPr>
      </w:pPr>
      <w:r>
        <w:rPr>
          <w:rFonts w:hAnsi="宋体"/>
          <w:szCs w:val="24"/>
        </w:rPr>
        <w:t>10.1 乙方交货前应对产品做出全面检查和对验收文件进行整理，并列出清单，作为甲方收货验收和使用的技术条件依据，检验的结果应随货物交甲方。</w:t>
      </w:r>
    </w:p>
    <w:p w14:paraId="7926CBFB">
      <w:pPr>
        <w:pStyle w:val="17"/>
        <w:rPr>
          <w:rFonts w:hAnsi="宋体"/>
          <w:szCs w:val="24"/>
        </w:rPr>
      </w:pPr>
      <w:r>
        <w:rPr>
          <w:rFonts w:hAnsi="宋体"/>
          <w:szCs w:val="24"/>
        </w:rPr>
        <w:t>10.2 甲方依据采购文件上的技术规格要求和国家有关质量标准对乙方提交的货物进行现场初步验收，外观、说明书符合采购文件技术要求的，给予签收，初步验收不合格的不予签收。甲方在货到后五个工作日内验收。</w:t>
      </w:r>
    </w:p>
    <w:p w14:paraId="5D42AD2F">
      <w:pPr>
        <w:pStyle w:val="17"/>
        <w:rPr>
          <w:rFonts w:hAnsi="宋体"/>
          <w:szCs w:val="24"/>
          <w:u w:val="single"/>
        </w:rPr>
      </w:pPr>
      <w:r>
        <w:rPr>
          <w:rFonts w:hAnsi="宋体"/>
          <w:szCs w:val="24"/>
        </w:rPr>
        <w:t>10.3 甲方在使用前对乙方提供的货物进行调试时，乙方须负责安装并培训甲方使用操作人员，并协助甲方调试，直到符合技术要求，甲方予以最终验收。</w:t>
      </w:r>
    </w:p>
    <w:p w14:paraId="21FC42E6">
      <w:pPr>
        <w:pStyle w:val="17"/>
        <w:rPr>
          <w:rFonts w:hAnsi="宋体"/>
          <w:szCs w:val="24"/>
        </w:rPr>
      </w:pPr>
      <w:r>
        <w:rPr>
          <w:rFonts w:hAnsi="宋体"/>
          <w:szCs w:val="24"/>
        </w:rPr>
        <w:t>10.4 对技术复杂的货物，甲方可请国家认可的专业检测机构参与初步验收及最终验收，并由其出具质量检测报告。</w:t>
      </w:r>
    </w:p>
    <w:p w14:paraId="2093C246">
      <w:pPr>
        <w:pStyle w:val="17"/>
        <w:rPr>
          <w:rFonts w:hAnsi="宋体"/>
          <w:bCs/>
          <w:szCs w:val="24"/>
        </w:rPr>
      </w:pPr>
      <w:r>
        <w:rPr>
          <w:rFonts w:hAnsi="宋体"/>
          <w:szCs w:val="24"/>
        </w:rPr>
        <w:t>10.5 验收时乙方须在现场，验收完毕后形成验收结果报告。验收费用由甲乙双方协商解决。</w:t>
      </w:r>
      <w:r>
        <w:rPr>
          <w:rFonts w:hAnsi="宋体"/>
          <w:bCs/>
          <w:szCs w:val="24"/>
        </w:rPr>
        <w:t>若货物经验收不符合技术标准或质量要求，由乙方承担验收费用。</w:t>
      </w:r>
    </w:p>
    <w:p w14:paraId="3A69D4E3">
      <w:pPr>
        <w:pStyle w:val="17"/>
        <w:rPr>
          <w:rFonts w:hAnsi="宋体"/>
          <w:szCs w:val="24"/>
        </w:rPr>
      </w:pPr>
      <w:r>
        <w:rPr>
          <w:rFonts w:hAnsi="宋体"/>
          <w:b/>
          <w:szCs w:val="24"/>
        </w:rPr>
        <w:t>十一、质保期</w:t>
      </w:r>
    </w:p>
    <w:p w14:paraId="63716C82">
      <w:pPr>
        <w:pStyle w:val="17"/>
        <w:rPr>
          <w:rFonts w:hAnsi="宋体"/>
          <w:szCs w:val="24"/>
        </w:rPr>
      </w:pPr>
      <w:r>
        <w:rPr>
          <w:rFonts w:hAnsi="宋体"/>
          <w:szCs w:val="24"/>
        </w:rPr>
        <w:t>11.1 质保期</w:t>
      </w:r>
      <w:r>
        <w:rPr>
          <w:rFonts w:hAnsi="宋体"/>
          <w:szCs w:val="24"/>
          <w:u w:val="single"/>
        </w:rPr>
        <w:t xml:space="preserve">   </w:t>
      </w:r>
      <w:r>
        <w:rPr>
          <w:rFonts w:hAnsi="宋体"/>
          <w:szCs w:val="24"/>
        </w:rPr>
        <w:t>年。（自交货验收合格之日起计）</w:t>
      </w:r>
    </w:p>
    <w:p w14:paraId="60E3A6DD">
      <w:pPr>
        <w:pStyle w:val="17"/>
        <w:rPr>
          <w:rFonts w:hAnsi="宋体"/>
          <w:szCs w:val="24"/>
        </w:rPr>
      </w:pPr>
      <w:r>
        <w:rPr>
          <w:rFonts w:hAnsi="宋体"/>
          <w:b/>
          <w:szCs w:val="24"/>
        </w:rPr>
        <w:t>十二、质量保证及售后服务</w:t>
      </w:r>
    </w:p>
    <w:p w14:paraId="56970EB3">
      <w:pPr>
        <w:pStyle w:val="17"/>
        <w:rPr>
          <w:rFonts w:hAnsi="宋体"/>
          <w:szCs w:val="24"/>
        </w:rPr>
      </w:pPr>
      <w:r>
        <w:rPr>
          <w:rFonts w:hAnsi="宋体"/>
          <w:szCs w:val="24"/>
        </w:rPr>
        <w:t>12.1 乙方应按采购文件规定的货物性能、技术要求、质量标准向甲方提供未经使用的全新产品。</w:t>
      </w:r>
    </w:p>
    <w:p w14:paraId="5B1962EA">
      <w:pPr>
        <w:pStyle w:val="17"/>
        <w:rPr>
          <w:rFonts w:hAnsi="宋体"/>
          <w:szCs w:val="24"/>
        </w:rPr>
      </w:pPr>
      <w:r>
        <w:rPr>
          <w:rFonts w:hAnsi="宋体"/>
          <w:szCs w:val="24"/>
        </w:rPr>
        <w:t>12.2 乙方提供的货物在质保期内因货物本身质量问题发生故障的，乙方应负责免费更换。对达不到技术要求的，根据实际情况，经双方协商，可按以下办法处理：</w:t>
      </w:r>
    </w:p>
    <w:p w14:paraId="5CD59413">
      <w:pPr>
        <w:pStyle w:val="17"/>
        <w:rPr>
          <w:rFonts w:hAnsi="宋体"/>
          <w:szCs w:val="24"/>
        </w:rPr>
      </w:pPr>
      <w:r>
        <w:rPr>
          <w:rFonts w:hAnsi="宋体"/>
          <w:szCs w:val="24"/>
        </w:rPr>
        <w:t>12.2.1 更换：由乙方承担所发生的全部费用。</w:t>
      </w:r>
    </w:p>
    <w:p w14:paraId="4860FDA1">
      <w:pPr>
        <w:pStyle w:val="17"/>
        <w:rPr>
          <w:rFonts w:hAnsi="宋体"/>
          <w:szCs w:val="24"/>
        </w:rPr>
      </w:pPr>
      <w:r>
        <w:rPr>
          <w:rFonts w:hAnsi="宋体"/>
          <w:szCs w:val="24"/>
        </w:rPr>
        <w:t>12.2.2 退货处理：乙方退还甲方支付的合同款，同时承担该货物的直接费用（运输、保险、检验、货款利息及银行手续费等）。</w:t>
      </w:r>
    </w:p>
    <w:p w14:paraId="1D6F2EDF">
      <w:pPr>
        <w:pStyle w:val="17"/>
        <w:rPr>
          <w:rFonts w:hAnsi="宋体"/>
          <w:szCs w:val="24"/>
        </w:rPr>
      </w:pPr>
      <w:r>
        <w:rPr>
          <w:rFonts w:hAnsi="宋体"/>
          <w:szCs w:val="24"/>
        </w:rPr>
        <w:t>12.3 在质保期内，乙方应对货物出现的质量及安全问题负责处理解决并承担全部费用。</w:t>
      </w:r>
    </w:p>
    <w:p w14:paraId="713E6C71">
      <w:pPr>
        <w:pStyle w:val="17"/>
        <w:rPr>
          <w:rFonts w:hAnsi="宋体"/>
          <w:szCs w:val="24"/>
        </w:rPr>
      </w:pPr>
      <w:r>
        <w:rPr>
          <w:rFonts w:hAnsi="宋体"/>
          <w:szCs w:val="24"/>
        </w:rPr>
        <w:t>12.4 上述的货物免费保修期为</w:t>
      </w:r>
      <w:r>
        <w:rPr>
          <w:rFonts w:hAnsi="宋体"/>
          <w:szCs w:val="24"/>
          <w:u w:val="single"/>
        </w:rPr>
        <w:t xml:space="preserve">     </w:t>
      </w:r>
      <w:r>
        <w:rPr>
          <w:rFonts w:hAnsi="宋体"/>
          <w:szCs w:val="24"/>
        </w:rPr>
        <w:t>年，所有货物保修服务方式为乙方上门保修，即由乙方派员到货物使用现场维修。因人为因素出现的故障不在免费保修范围内。超过保修期的机器设备，终生维修，维修时按</w:t>
      </w:r>
      <w:r>
        <w:rPr>
          <w:rFonts w:hAnsi="宋体"/>
          <w:szCs w:val="24"/>
          <w:u w:val="single"/>
        </w:rPr>
        <w:t xml:space="preserve">     </w:t>
      </w:r>
      <w:r>
        <w:rPr>
          <w:rFonts w:hAnsi="宋体"/>
          <w:szCs w:val="24"/>
        </w:rPr>
        <w:t>价格收取部件</w:t>
      </w:r>
      <w:r>
        <w:rPr>
          <w:rFonts w:hAnsi="宋体"/>
          <w:szCs w:val="24"/>
          <w:u w:val="single"/>
        </w:rPr>
        <w:t xml:space="preserve">       </w:t>
      </w:r>
      <w:r>
        <w:rPr>
          <w:rFonts w:hAnsi="宋体"/>
          <w:szCs w:val="24"/>
        </w:rPr>
        <w:t>成本费。</w:t>
      </w:r>
    </w:p>
    <w:p w14:paraId="64BCC507">
      <w:pPr>
        <w:pStyle w:val="17"/>
        <w:rPr>
          <w:rFonts w:hAnsi="宋体"/>
          <w:b/>
          <w:szCs w:val="24"/>
        </w:rPr>
      </w:pPr>
      <w:r>
        <w:rPr>
          <w:rFonts w:hAnsi="宋体"/>
          <w:b/>
          <w:szCs w:val="24"/>
        </w:rPr>
        <w:t>十三、违约责任</w:t>
      </w:r>
    </w:p>
    <w:p w14:paraId="11FA72E7">
      <w:pPr>
        <w:pStyle w:val="17"/>
        <w:rPr>
          <w:rFonts w:hAnsi="宋体"/>
          <w:szCs w:val="24"/>
        </w:rPr>
      </w:pPr>
      <w:r>
        <w:rPr>
          <w:rFonts w:hAnsi="宋体"/>
          <w:szCs w:val="24"/>
        </w:rPr>
        <w:t>13.1 甲方不得无正当理由拒收货物，否则由此所造成的损失须由甲方承担赔偿责任。</w:t>
      </w:r>
    </w:p>
    <w:p w14:paraId="62CC99A7">
      <w:pPr>
        <w:pStyle w:val="17"/>
        <w:rPr>
          <w:rFonts w:hAnsi="宋体"/>
          <w:szCs w:val="24"/>
        </w:rPr>
      </w:pPr>
      <w:r>
        <w:rPr>
          <w:rFonts w:hAnsi="宋体"/>
          <w:szCs w:val="24"/>
        </w:rPr>
        <w:t>13.2 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484CBD4D">
      <w:pPr>
        <w:pStyle w:val="17"/>
        <w:rPr>
          <w:rFonts w:hAnsi="宋体"/>
          <w:szCs w:val="24"/>
        </w:rPr>
      </w:pPr>
      <w:r>
        <w:rPr>
          <w:rFonts w:hAnsi="宋体"/>
          <w:szCs w:val="24"/>
        </w:rPr>
        <w:t>13.3 乙方不得逾期交付货物，否则，乙方须对由此造成的甲方损失承担赔偿责任。</w:t>
      </w:r>
    </w:p>
    <w:p w14:paraId="3D340168">
      <w:pPr>
        <w:pStyle w:val="17"/>
        <w:rPr>
          <w:rFonts w:hAnsi="宋体"/>
          <w:szCs w:val="24"/>
        </w:rPr>
      </w:pPr>
      <w:r>
        <w:rPr>
          <w:rFonts w:hAnsi="宋体"/>
          <w:szCs w:val="24"/>
        </w:rPr>
        <w:t>13.4 乙方未按本合同第三条约定的向甲方交付履约保证金的，按应交履约保证金的</w:t>
      </w:r>
      <w:r>
        <w:rPr>
          <w:rFonts w:hAnsi="宋体"/>
          <w:szCs w:val="24"/>
          <w:u w:val="single"/>
        </w:rPr>
        <w:t xml:space="preserve">      </w:t>
      </w:r>
      <w:r>
        <w:rPr>
          <w:rFonts w:hAnsi="宋体"/>
          <w:szCs w:val="24"/>
        </w:rPr>
        <w:t>%向甲方支付违约金，该违约金的支付不影响乙方应承担的其它违约责任。</w:t>
      </w:r>
    </w:p>
    <w:p w14:paraId="7523EC76">
      <w:pPr>
        <w:pStyle w:val="17"/>
        <w:rPr>
          <w:rFonts w:hAnsi="宋体"/>
          <w:szCs w:val="24"/>
        </w:rPr>
      </w:pPr>
      <w:r>
        <w:rPr>
          <w:rFonts w:hAnsi="宋体"/>
          <w:szCs w:val="24"/>
        </w:rPr>
        <w:t>13.5 乙方逾期交付货物的，乙方应按逾期交货总额</w:t>
      </w:r>
      <w:r>
        <w:rPr>
          <w:rFonts w:hAnsi="宋体"/>
          <w:szCs w:val="24"/>
          <w:u w:val="single"/>
        </w:rPr>
        <w:t xml:space="preserve">     </w:t>
      </w:r>
      <w:r>
        <w:rPr>
          <w:rFonts w:hAnsi="宋体"/>
          <w:szCs w:val="24"/>
        </w:rPr>
        <w:t>%向甲方支付违约金，由甲方从待付货款中扣除。逾期超过约定日期10个工作日不能交货的，甲方可解除本合同。乙方因逾期交货或因其它违约行为导致甲方解除合同的，乙方应向甲方支付合同总额5%的违约金，如造成甲方损失超过违约金的，超出部分由乙方继续承担赔偿责任。</w:t>
      </w:r>
    </w:p>
    <w:p w14:paraId="3EE1E9EF">
      <w:pPr>
        <w:pStyle w:val="17"/>
        <w:rPr>
          <w:rFonts w:hAnsi="宋体"/>
          <w:szCs w:val="24"/>
        </w:rPr>
      </w:pPr>
      <w:r>
        <w:rPr>
          <w:rFonts w:hAnsi="宋体"/>
          <w:szCs w:val="24"/>
        </w:rPr>
        <w:t>13.6 乙方未按本合同规定提供售后服务的，应承担违约责任，按合同总价款的</w:t>
      </w:r>
      <w:r>
        <w:rPr>
          <w:rFonts w:hAnsi="宋体"/>
          <w:szCs w:val="24"/>
          <w:u w:val="single"/>
        </w:rPr>
        <w:t xml:space="preserve">      </w:t>
      </w:r>
      <w:r>
        <w:rPr>
          <w:rFonts w:hAnsi="宋体"/>
          <w:szCs w:val="24"/>
        </w:rPr>
        <w:t>%向甲方支付违约金。</w:t>
      </w:r>
    </w:p>
    <w:p w14:paraId="272F0598">
      <w:pPr>
        <w:pStyle w:val="17"/>
        <w:rPr>
          <w:rFonts w:hAnsi="宋体"/>
          <w:b/>
          <w:szCs w:val="24"/>
        </w:rPr>
      </w:pPr>
      <w:r>
        <w:rPr>
          <w:rFonts w:hAnsi="宋体"/>
          <w:b/>
          <w:szCs w:val="24"/>
        </w:rPr>
        <w:t>十四、不可抗力事件处理</w:t>
      </w:r>
    </w:p>
    <w:p w14:paraId="233C2409">
      <w:pPr>
        <w:pStyle w:val="17"/>
        <w:rPr>
          <w:rFonts w:hAnsi="宋体"/>
          <w:szCs w:val="24"/>
        </w:rPr>
      </w:pPr>
      <w:r>
        <w:rPr>
          <w:rFonts w:hAnsi="宋体"/>
          <w:szCs w:val="24"/>
        </w:rPr>
        <w:t>14.1 “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0591BD83">
      <w:r>
        <w:t>14.2 因不可抗力不能履行合同的，根据不可抗力的影响，双方协商是否继续履行与责任承担。但合同一方延迟履行后发生严重后果的，不能免除责任。</w:t>
      </w:r>
    </w:p>
    <w:p w14:paraId="592AE8C7">
      <w:r>
        <w:t>14.3 合同一方因不可抗力不能履行合同的，应及时通知对方，以减轻可能给对方造成的损失，并应在合理期限内提供证明。</w:t>
      </w:r>
    </w:p>
    <w:p w14:paraId="2AEB323D">
      <w:pPr>
        <w:pStyle w:val="17"/>
        <w:rPr>
          <w:rFonts w:hAnsi="宋体"/>
          <w:b/>
          <w:szCs w:val="24"/>
        </w:rPr>
      </w:pPr>
      <w:r>
        <w:rPr>
          <w:rFonts w:hAnsi="宋体"/>
          <w:b/>
          <w:szCs w:val="24"/>
        </w:rPr>
        <w:t>十五、诉讼</w:t>
      </w:r>
    </w:p>
    <w:p w14:paraId="2D4B8902">
      <w:pPr>
        <w:pStyle w:val="17"/>
        <w:rPr>
          <w:rFonts w:hAnsi="宋体"/>
          <w:szCs w:val="24"/>
        </w:rPr>
      </w:pPr>
      <w:r>
        <w:rPr>
          <w:rFonts w:hAnsi="宋体"/>
          <w:szCs w:val="24"/>
        </w:rPr>
        <w:t>15.1 双方在执行合同中发生的一切争议，应通过协商解决。如协商不成，可向合同签订地法院起诉，合同签订地在此约定为南京市。</w:t>
      </w:r>
    </w:p>
    <w:p w14:paraId="0B99393A">
      <w:pPr>
        <w:pStyle w:val="17"/>
        <w:rPr>
          <w:rFonts w:hAnsi="宋体"/>
          <w:b/>
          <w:szCs w:val="24"/>
        </w:rPr>
      </w:pPr>
      <w:r>
        <w:rPr>
          <w:rFonts w:hAnsi="宋体"/>
          <w:b/>
          <w:szCs w:val="24"/>
        </w:rPr>
        <w:t>十六、合同生效及其它</w:t>
      </w:r>
    </w:p>
    <w:p w14:paraId="2A83AFFA">
      <w:pPr>
        <w:pStyle w:val="17"/>
        <w:rPr>
          <w:rFonts w:hAnsi="宋体"/>
          <w:szCs w:val="24"/>
        </w:rPr>
      </w:pPr>
      <w:r>
        <w:rPr>
          <w:rFonts w:hAnsi="宋体"/>
          <w:szCs w:val="24"/>
        </w:rPr>
        <w:t>16.1 合同经双方法定代表人或授权代表人签字并加盖单位公章或合同专用章后生效。</w:t>
      </w:r>
    </w:p>
    <w:p w14:paraId="52CBF93F">
      <w:r>
        <w:t>16.2 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p>
    <w:p w14:paraId="7FFAF56F">
      <w:pPr>
        <w:pStyle w:val="17"/>
        <w:rPr>
          <w:rFonts w:hAnsi="宋体"/>
          <w:szCs w:val="24"/>
        </w:rPr>
      </w:pPr>
      <w:r>
        <w:rPr>
          <w:rFonts w:hAnsi="宋体"/>
          <w:szCs w:val="24"/>
        </w:rPr>
        <w:t>16.3 本合同正本一式</w:t>
      </w:r>
      <w:r>
        <w:rPr>
          <w:rFonts w:hAnsi="宋体"/>
          <w:szCs w:val="24"/>
          <w:u w:val="single"/>
        </w:rPr>
        <w:t xml:space="preserve">   </w:t>
      </w:r>
      <w:r>
        <w:rPr>
          <w:rFonts w:hAnsi="宋体"/>
          <w:szCs w:val="24"/>
        </w:rPr>
        <w:t>份，具有同等法律效力。甲方执</w:t>
      </w:r>
      <w:r>
        <w:rPr>
          <w:rFonts w:hAnsi="宋体"/>
          <w:szCs w:val="24"/>
          <w:u w:val="single"/>
        </w:rPr>
        <w:t xml:space="preserve">    </w:t>
      </w:r>
      <w:r>
        <w:rPr>
          <w:rFonts w:hAnsi="宋体"/>
          <w:szCs w:val="24"/>
        </w:rPr>
        <w:t>份，乙方执</w:t>
      </w:r>
      <w:r>
        <w:rPr>
          <w:rFonts w:hAnsi="宋体"/>
          <w:szCs w:val="24"/>
          <w:u w:val="single"/>
        </w:rPr>
        <w:t xml:space="preserve">     </w:t>
      </w:r>
      <w:r>
        <w:rPr>
          <w:rFonts w:hAnsi="宋体"/>
          <w:szCs w:val="24"/>
        </w:rPr>
        <w:t>份。</w:t>
      </w:r>
    </w:p>
    <w:p w14:paraId="3061ACA3">
      <w:pPr>
        <w:pStyle w:val="17"/>
        <w:rPr>
          <w:rFonts w:hAnsi="宋体"/>
          <w:szCs w:val="24"/>
        </w:rPr>
      </w:pPr>
      <w:r>
        <w:rPr>
          <w:rFonts w:hAnsi="宋体"/>
          <w:szCs w:val="24"/>
        </w:rPr>
        <w:t>16.4 其它约定：</w:t>
      </w:r>
    </w:p>
    <w:p w14:paraId="1F907E81">
      <w:pPr>
        <w:pStyle w:val="17"/>
        <w:spacing w:before="120" w:after="120"/>
        <w:rPr>
          <w:rFonts w:hAnsi="宋体"/>
          <w:szCs w:val="24"/>
        </w:rPr>
      </w:pPr>
    </w:p>
    <w:p w14:paraId="2EA7ADAB">
      <w:pPr>
        <w:pStyle w:val="17"/>
        <w:spacing w:before="120" w:after="120"/>
        <w:ind w:left="-41" w:hanging="283"/>
        <w:rPr>
          <w:rFonts w:hAnsi="宋体"/>
          <w:szCs w:val="24"/>
        </w:rPr>
      </w:pPr>
      <w:r>
        <w:rPr>
          <w:rFonts w:hAnsi="宋体"/>
          <w:szCs w:val="24"/>
        </w:rPr>
        <w:t xml:space="preserve">  甲方：                                乙方： </w:t>
      </w:r>
    </w:p>
    <w:p w14:paraId="105220A6">
      <w:pPr>
        <w:pStyle w:val="17"/>
        <w:spacing w:before="120" w:after="120"/>
        <w:ind w:left="-41" w:hanging="283"/>
        <w:rPr>
          <w:rFonts w:hAnsi="宋体"/>
          <w:szCs w:val="24"/>
        </w:rPr>
      </w:pPr>
      <w:r>
        <w:rPr>
          <w:rFonts w:hAnsi="宋体"/>
          <w:szCs w:val="24"/>
        </w:rPr>
        <w:t xml:space="preserve">  地址：                                地址： </w:t>
      </w:r>
    </w:p>
    <w:p w14:paraId="6EB267DD">
      <w:pPr>
        <w:pStyle w:val="17"/>
        <w:spacing w:before="120" w:after="120"/>
        <w:ind w:left="-41" w:hanging="283"/>
        <w:rPr>
          <w:rFonts w:hAnsi="宋体"/>
          <w:szCs w:val="24"/>
        </w:rPr>
      </w:pPr>
      <w:r>
        <w:rPr>
          <w:rFonts w:hAnsi="宋体"/>
          <w:szCs w:val="24"/>
        </w:rPr>
        <w:t xml:space="preserve">  法定代表人或授权代表                  法定代表人或授权代表：</w:t>
      </w:r>
    </w:p>
    <w:p w14:paraId="00F35FA4">
      <w:pPr>
        <w:pStyle w:val="17"/>
        <w:spacing w:before="120" w:after="120"/>
        <w:ind w:left="-41" w:hanging="283"/>
        <w:rPr>
          <w:rFonts w:hAnsi="宋体"/>
          <w:szCs w:val="24"/>
        </w:rPr>
      </w:pPr>
      <w:r>
        <w:rPr>
          <w:rFonts w:hAnsi="宋体"/>
          <w:szCs w:val="24"/>
        </w:rPr>
        <w:t xml:space="preserve"> （签字、盖章）：                       （签字、盖章）：</w:t>
      </w:r>
    </w:p>
    <w:p w14:paraId="500ADD63">
      <w:pPr>
        <w:pStyle w:val="17"/>
        <w:spacing w:before="120" w:after="120"/>
        <w:ind w:left="-84"/>
        <w:rPr>
          <w:rFonts w:hAnsi="宋体"/>
          <w:szCs w:val="24"/>
        </w:rPr>
      </w:pPr>
      <w:r>
        <w:rPr>
          <w:rFonts w:hAnsi="宋体"/>
          <w:szCs w:val="24"/>
        </w:rPr>
        <w:t>纳税人识别号：                        纳税人识别号：</w:t>
      </w:r>
    </w:p>
    <w:p w14:paraId="000AE9F7">
      <w:pPr>
        <w:pStyle w:val="17"/>
        <w:spacing w:before="120" w:after="120"/>
        <w:ind w:left="-41" w:hanging="43"/>
        <w:rPr>
          <w:rFonts w:hAnsi="宋体"/>
          <w:szCs w:val="24"/>
        </w:rPr>
      </w:pPr>
      <w:r>
        <w:rPr>
          <w:rFonts w:hAnsi="宋体"/>
          <w:szCs w:val="24"/>
        </w:rPr>
        <w:t>开户行及账号：                        开户行及账号：</w:t>
      </w:r>
    </w:p>
    <w:p w14:paraId="4BBC4E8B">
      <w:pPr>
        <w:pStyle w:val="17"/>
        <w:spacing w:before="120" w:after="120"/>
        <w:ind w:left="-41" w:hanging="43"/>
        <w:rPr>
          <w:rFonts w:hAnsi="宋体"/>
          <w:szCs w:val="24"/>
        </w:rPr>
      </w:pPr>
      <w:r>
        <w:rPr>
          <w:rFonts w:hAnsi="宋体"/>
          <w:szCs w:val="24"/>
        </w:rPr>
        <w:t>联系电话：                            联系电话：</w:t>
      </w:r>
    </w:p>
    <w:p w14:paraId="0F0FA20D">
      <w:pPr>
        <w:pStyle w:val="17"/>
        <w:spacing w:before="120" w:after="120"/>
        <w:ind w:left="-84"/>
        <w:rPr>
          <w:rFonts w:hAnsi="宋体"/>
          <w:szCs w:val="24"/>
        </w:rPr>
      </w:pPr>
    </w:p>
    <w:p w14:paraId="69111201">
      <w:pPr>
        <w:ind w:left="1200" w:hanging="1200"/>
        <w:jc w:val="right"/>
        <w:rPr>
          <w:rFonts w:ascii="Arial" w:hAnsi="Arial" w:cs="Arial"/>
          <w:b/>
          <w:bCs/>
          <w:sz w:val="32"/>
          <w:szCs w:val="44"/>
          <w:lang w:val="zh-CN"/>
        </w:rPr>
      </w:pPr>
      <w:r>
        <w:t xml:space="preserve">         签订日期：      年    月   日</w:t>
      </w:r>
    </w:p>
    <w:p w14:paraId="27F281D2">
      <w:r>
        <w:rPr>
          <w:rFonts w:hint="eastAsia"/>
        </w:rPr>
        <w:t xml:space="preserve">     </w:t>
      </w:r>
    </w:p>
    <w:p w14:paraId="3CF001F0">
      <w:pPr>
        <w:rPr>
          <w:rFonts w:ascii="宋体" w:hAnsi="宋体" w:cs="Arial"/>
          <w:b/>
          <w:sz w:val="28"/>
          <w:szCs w:val="28"/>
        </w:rPr>
      </w:pPr>
      <w:r>
        <w:rPr>
          <w:rFonts w:hint="eastAsia" w:ascii="宋体" w:hAnsi="宋体" w:cs="Arial"/>
          <w:b/>
          <w:sz w:val="28"/>
          <w:szCs w:val="28"/>
        </w:rPr>
        <w:br w:type="page"/>
      </w:r>
    </w:p>
    <w:p w14:paraId="17D9B066">
      <w:pPr>
        <w:spacing w:line="440" w:lineRule="exact"/>
        <w:ind w:left="1440" w:hanging="1440"/>
        <w:jc w:val="center"/>
        <w:outlineLvl w:val="0"/>
        <w:rPr>
          <w:rFonts w:ascii="宋体" w:hAnsi="宋体" w:cs="Arial"/>
          <w:b/>
          <w:sz w:val="28"/>
          <w:szCs w:val="28"/>
        </w:rPr>
      </w:pPr>
      <w:bookmarkStart w:id="40" w:name="_Toc13988"/>
      <w:bookmarkStart w:id="87" w:name="_GoBack"/>
      <w:bookmarkEnd w:id="87"/>
      <w:r>
        <w:rPr>
          <w:rFonts w:hint="eastAsia" w:ascii="宋体" w:hAnsi="宋体" w:cs="Arial"/>
          <w:b/>
          <w:sz w:val="28"/>
          <w:szCs w:val="28"/>
        </w:rPr>
        <w:t>第五部分：评标办法</w:t>
      </w:r>
      <w:bookmarkEnd w:id="40"/>
    </w:p>
    <w:p w14:paraId="7F3FF06E">
      <w:pPr>
        <w:rPr>
          <w:rFonts w:ascii="宋体" w:hAnsi="宋体"/>
          <w:szCs w:val="21"/>
        </w:rPr>
      </w:pPr>
    </w:p>
    <w:p w14:paraId="3DC6BB1F">
      <w:pPr>
        <w:widowControl/>
        <w:shd w:val="clear" w:color="auto" w:fill="FFFFFF"/>
        <w:spacing w:line="360" w:lineRule="auto"/>
        <w:ind w:firstLine="420"/>
        <w:jc w:val="left"/>
        <w:outlineLvl w:val="1"/>
        <w:rPr>
          <w:rFonts w:ascii="宋体" w:hAnsi="宋体" w:cs="Arial"/>
          <w:b/>
          <w:bCs/>
          <w:kern w:val="0"/>
          <w:sz w:val="22"/>
          <w:szCs w:val="18"/>
        </w:rPr>
      </w:pPr>
      <w:bookmarkStart w:id="41" w:name="_Toc10631"/>
      <w:r>
        <w:rPr>
          <w:rFonts w:hint="eastAsia" w:ascii="宋体" w:hAnsi="宋体" w:cs="Arial"/>
          <w:b/>
          <w:bCs/>
          <w:kern w:val="0"/>
          <w:sz w:val="22"/>
          <w:szCs w:val="18"/>
        </w:rPr>
        <w:t>一、投标人资格审查标准</w:t>
      </w:r>
      <w:bookmarkEnd w:id="41"/>
    </w:p>
    <w:p w14:paraId="064717A2">
      <w:pPr>
        <w:spacing w:line="360" w:lineRule="auto"/>
        <w:ind w:firstLine="420" w:firstLineChars="200"/>
        <w:rPr>
          <w:rFonts w:ascii="宋体" w:hAnsi="宋体"/>
          <w:b/>
          <w:szCs w:val="21"/>
        </w:rPr>
      </w:pPr>
      <w:r>
        <w:rPr>
          <w:rFonts w:hint="eastAsia" w:ascii="宋体" w:hAnsi="宋体"/>
          <w:szCs w:val="21"/>
        </w:rPr>
        <w:t>采购方或采购</w:t>
      </w:r>
      <w:r>
        <w:rPr>
          <w:rFonts w:ascii="宋体" w:hAnsi="宋体"/>
          <w:szCs w:val="21"/>
        </w:rPr>
        <w:t>代理机构</w:t>
      </w:r>
      <w:r>
        <w:rPr>
          <w:rFonts w:hint="eastAsia" w:ascii="宋体" w:hAnsi="宋体"/>
          <w:szCs w:val="21"/>
        </w:rPr>
        <w:t>依据下列标准，对供应商的资格进行评审。有一项不符合评审标准的，采购方或采购</w:t>
      </w:r>
      <w:r>
        <w:rPr>
          <w:rFonts w:ascii="宋体" w:hAnsi="宋体"/>
          <w:szCs w:val="21"/>
        </w:rPr>
        <w:t>代理机构</w:t>
      </w:r>
      <w:r>
        <w:rPr>
          <w:rFonts w:hint="eastAsia" w:ascii="宋体" w:hAnsi="宋体"/>
          <w:szCs w:val="21"/>
        </w:rPr>
        <w:t>应当否决其响应文件。</w:t>
      </w:r>
    </w:p>
    <w:tbl>
      <w:tblPr>
        <w:tblStyle w:val="3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92"/>
        <w:gridCol w:w="5888"/>
      </w:tblGrid>
      <w:tr w14:paraId="232F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7AE0BA32">
            <w:pPr>
              <w:jc w:val="center"/>
              <w:rPr>
                <w:rFonts w:ascii="宋体" w:hAnsi="宋体" w:cs="宋体"/>
                <w:b/>
                <w:bCs/>
                <w:szCs w:val="21"/>
              </w:rPr>
            </w:pPr>
            <w:r>
              <w:rPr>
                <w:rFonts w:hint="eastAsia" w:ascii="宋体" w:hAnsi="宋体" w:cs="宋体"/>
                <w:b/>
                <w:bCs/>
                <w:szCs w:val="21"/>
              </w:rPr>
              <w:t>序号</w:t>
            </w:r>
          </w:p>
        </w:tc>
        <w:tc>
          <w:tcPr>
            <w:tcW w:w="2192" w:type="dxa"/>
            <w:vAlign w:val="center"/>
          </w:tcPr>
          <w:p w14:paraId="3FDA8A1B">
            <w:pPr>
              <w:jc w:val="center"/>
              <w:rPr>
                <w:rFonts w:ascii="宋体" w:hAnsi="宋体" w:cs="宋体"/>
                <w:b/>
                <w:bCs/>
                <w:szCs w:val="21"/>
              </w:rPr>
            </w:pPr>
            <w:r>
              <w:rPr>
                <w:rFonts w:hint="eastAsia" w:ascii="宋体" w:hAnsi="宋体" w:cs="宋体"/>
                <w:b/>
                <w:bCs/>
                <w:szCs w:val="21"/>
              </w:rPr>
              <w:t>评审</w:t>
            </w:r>
            <w:r>
              <w:rPr>
                <w:rFonts w:ascii="宋体" w:hAnsi="宋体" w:cs="宋体"/>
                <w:b/>
                <w:bCs/>
                <w:szCs w:val="21"/>
              </w:rPr>
              <w:t>因素</w:t>
            </w:r>
          </w:p>
        </w:tc>
        <w:tc>
          <w:tcPr>
            <w:tcW w:w="5888" w:type="dxa"/>
            <w:vAlign w:val="center"/>
          </w:tcPr>
          <w:p w14:paraId="5795EC5A">
            <w:pPr>
              <w:jc w:val="center"/>
              <w:rPr>
                <w:rFonts w:ascii="宋体" w:hAnsi="宋体" w:cs="宋体"/>
                <w:b/>
                <w:bCs/>
                <w:szCs w:val="21"/>
              </w:rPr>
            </w:pPr>
            <w:r>
              <w:rPr>
                <w:rFonts w:hint="eastAsia" w:ascii="宋体" w:hAnsi="宋体" w:cs="宋体"/>
                <w:b/>
                <w:bCs/>
                <w:szCs w:val="21"/>
              </w:rPr>
              <w:t>评审标准</w:t>
            </w:r>
          </w:p>
        </w:tc>
      </w:tr>
      <w:tr w14:paraId="26829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1E3E75B2">
            <w:pPr>
              <w:jc w:val="center"/>
              <w:rPr>
                <w:rFonts w:ascii="宋体" w:hAnsi="宋体" w:cs="宋体"/>
                <w:szCs w:val="21"/>
              </w:rPr>
            </w:pPr>
            <w:r>
              <w:rPr>
                <w:rFonts w:hint="eastAsia" w:ascii="宋体" w:hAnsi="宋体" w:cs="宋体"/>
                <w:szCs w:val="21"/>
              </w:rPr>
              <w:t>1</w:t>
            </w:r>
          </w:p>
        </w:tc>
        <w:tc>
          <w:tcPr>
            <w:tcW w:w="2192" w:type="dxa"/>
            <w:vAlign w:val="center"/>
          </w:tcPr>
          <w:p w14:paraId="76503EA3">
            <w:pPr>
              <w:spacing w:line="360" w:lineRule="auto"/>
              <w:jc w:val="center"/>
              <w:rPr>
                <w:rFonts w:ascii="宋体" w:hAnsi="宋体" w:cs="宋体"/>
                <w:szCs w:val="21"/>
              </w:rPr>
            </w:pPr>
            <w:r>
              <w:rPr>
                <w:rFonts w:hint="eastAsia" w:ascii="宋体" w:hAnsi="宋体" w:cs="宋体"/>
                <w:szCs w:val="21"/>
              </w:rPr>
              <w:t>具有独立承担民事责任的能力</w:t>
            </w:r>
          </w:p>
        </w:tc>
        <w:tc>
          <w:tcPr>
            <w:tcW w:w="5888" w:type="dxa"/>
            <w:vAlign w:val="center"/>
          </w:tcPr>
          <w:p w14:paraId="7CDC9923">
            <w:pPr>
              <w:spacing w:line="360" w:lineRule="auto"/>
              <w:rPr>
                <w:rFonts w:ascii="宋体" w:hAnsi="宋体" w:cs="宋体"/>
                <w:szCs w:val="21"/>
              </w:rPr>
            </w:pPr>
            <w:r>
              <w:rPr>
                <w:rFonts w:hint="eastAsia" w:ascii="宋体" w:hAnsi="宋体"/>
                <w:szCs w:val="21"/>
                <w:lang w:val="zh-CN"/>
              </w:rPr>
              <w:t>提供法人或其他组织的营业执照等证明文件，复印件加盖公章</w:t>
            </w:r>
          </w:p>
        </w:tc>
      </w:tr>
      <w:tr w14:paraId="49EE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3F1FD6B6">
            <w:pPr>
              <w:jc w:val="center"/>
              <w:rPr>
                <w:rFonts w:ascii="宋体" w:hAnsi="宋体" w:cs="宋体"/>
                <w:szCs w:val="21"/>
              </w:rPr>
            </w:pPr>
            <w:r>
              <w:rPr>
                <w:rFonts w:hint="eastAsia" w:ascii="宋体" w:hAnsi="宋体" w:cs="宋体"/>
                <w:szCs w:val="21"/>
              </w:rPr>
              <w:t>2</w:t>
            </w:r>
          </w:p>
        </w:tc>
        <w:tc>
          <w:tcPr>
            <w:tcW w:w="2192" w:type="dxa"/>
            <w:vAlign w:val="center"/>
          </w:tcPr>
          <w:p w14:paraId="437CDF28">
            <w:pPr>
              <w:spacing w:line="360" w:lineRule="auto"/>
              <w:jc w:val="center"/>
              <w:rPr>
                <w:rFonts w:ascii="宋体" w:hAnsi="宋体" w:cs="宋体"/>
                <w:szCs w:val="21"/>
              </w:rPr>
            </w:pPr>
            <w:r>
              <w:rPr>
                <w:rFonts w:hint="eastAsia" w:ascii="宋体" w:hAnsi="宋体"/>
                <w:szCs w:val="21"/>
                <w:lang w:val="zh-CN"/>
              </w:rPr>
              <w:t>授权书</w:t>
            </w:r>
          </w:p>
        </w:tc>
        <w:tc>
          <w:tcPr>
            <w:tcW w:w="5888" w:type="dxa"/>
            <w:vAlign w:val="center"/>
          </w:tcPr>
          <w:p w14:paraId="2889CF9C">
            <w:pPr>
              <w:spacing w:line="360" w:lineRule="auto"/>
              <w:rPr>
                <w:rFonts w:ascii="宋体" w:hAnsi="宋体"/>
                <w:szCs w:val="21"/>
                <w:lang w:val="zh-CN"/>
              </w:rPr>
            </w:pPr>
            <w:r>
              <w:rPr>
                <w:rFonts w:hint="eastAsia" w:ascii="宋体" w:hAnsi="宋体"/>
                <w:szCs w:val="21"/>
                <w:lang w:val="zh-CN"/>
              </w:rPr>
              <w:t>法人代表授权书（原件）及法定代表人、授权代表身份证复印件（如果是法定代表人直接参与</w:t>
            </w:r>
            <w:r>
              <w:rPr>
                <w:rFonts w:hint="eastAsia" w:ascii="宋体" w:hAnsi="宋体"/>
                <w:szCs w:val="21"/>
              </w:rPr>
              <w:t>投标</w:t>
            </w:r>
            <w:r>
              <w:rPr>
                <w:rFonts w:hint="eastAsia" w:ascii="宋体" w:hAnsi="宋体"/>
                <w:szCs w:val="21"/>
                <w:lang w:val="zh-CN"/>
              </w:rPr>
              <w:t>的可以不提供授权书）</w:t>
            </w:r>
          </w:p>
        </w:tc>
      </w:tr>
      <w:tr w14:paraId="6266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05328357">
            <w:pPr>
              <w:jc w:val="center"/>
              <w:rPr>
                <w:rFonts w:ascii="宋体" w:hAnsi="宋体" w:cs="宋体"/>
                <w:szCs w:val="21"/>
              </w:rPr>
            </w:pPr>
            <w:r>
              <w:rPr>
                <w:rFonts w:hint="eastAsia" w:ascii="宋体" w:hAnsi="宋体" w:cs="宋体"/>
                <w:szCs w:val="21"/>
              </w:rPr>
              <w:t>3</w:t>
            </w:r>
          </w:p>
        </w:tc>
        <w:tc>
          <w:tcPr>
            <w:tcW w:w="2192" w:type="dxa"/>
            <w:vAlign w:val="center"/>
          </w:tcPr>
          <w:p w14:paraId="62A4CD98">
            <w:pPr>
              <w:spacing w:line="360" w:lineRule="auto"/>
              <w:jc w:val="center"/>
              <w:rPr>
                <w:rFonts w:ascii="宋体" w:hAnsi="宋体" w:cs="宋体"/>
                <w:szCs w:val="21"/>
              </w:rPr>
            </w:pPr>
            <w:r>
              <w:rPr>
                <w:rFonts w:hint="eastAsia" w:ascii="宋体" w:hAnsi="宋体" w:cs="宋体"/>
                <w:szCs w:val="21"/>
              </w:rPr>
              <w:t>具有良好的商业信誉和健全的财务会计制度</w:t>
            </w:r>
          </w:p>
        </w:tc>
        <w:tc>
          <w:tcPr>
            <w:tcW w:w="5888" w:type="dxa"/>
            <w:vAlign w:val="center"/>
          </w:tcPr>
          <w:p w14:paraId="0FE5DD50">
            <w:pPr>
              <w:spacing w:line="360" w:lineRule="auto"/>
              <w:rPr>
                <w:rFonts w:ascii="宋体" w:hAnsi="宋体"/>
                <w:szCs w:val="21"/>
                <w:lang w:val="zh-CN"/>
              </w:rPr>
            </w:pPr>
            <w:r>
              <w:rPr>
                <w:rFonts w:hint="eastAsia" w:ascii="宋体" w:hAnsi="宋体"/>
                <w:szCs w:val="21"/>
                <w:lang w:val="zh-CN"/>
              </w:rPr>
              <w:t>提供至投标截止时间前六个月内任一</w:t>
            </w:r>
            <w:r>
              <w:rPr>
                <w:rFonts w:hint="eastAsia" w:ascii="宋体" w:hAnsi="宋体"/>
                <w:szCs w:val="21"/>
              </w:rPr>
              <w:t>个月</w:t>
            </w:r>
            <w:r>
              <w:rPr>
                <w:rFonts w:hint="eastAsia" w:ascii="宋体" w:hAnsi="宋体"/>
                <w:szCs w:val="21"/>
                <w:lang w:val="zh-CN"/>
              </w:rPr>
              <w:t>的资产负债表和利润表，或2025年度审计报告（包括报告及报告中所附的完整内容，并由注册会计师签名、盖章以及会计师事务所盖章），或银行出具的资信证明，或财政部门认可的专业担保机构出具的投标担保函）；（法人或者其他组织成立未满一年的可以不提供）</w:t>
            </w:r>
          </w:p>
        </w:tc>
      </w:tr>
      <w:tr w14:paraId="1E4E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4C9789AC">
            <w:pPr>
              <w:jc w:val="center"/>
              <w:rPr>
                <w:rFonts w:ascii="宋体" w:hAnsi="宋体" w:cs="宋体"/>
                <w:strike/>
                <w:szCs w:val="21"/>
              </w:rPr>
            </w:pPr>
            <w:r>
              <w:rPr>
                <w:rFonts w:hint="eastAsia" w:ascii="宋体" w:hAnsi="宋体" w:cs="宋体"/>
                <w:strike/>
                <w:szCs w:val="21"/>
              </w:rPr>
              <w:t>4</w:t>
            </w:r>
          </w:p>
        </w:tc>
        <w:tc>
          <w:tcPr>
            <w:tcW w:w="2192" w:type="dxa"/>
            <w:vAlign w:val="center"/>
          </w:tcPr>
          <w:p w14:paraId="799A3FEB">
            <w:pPr>
              <w:spacing w:line="360" w:lineRule="auto"/>
              <w:jc w:val="center"/>
              <w:rPr>
                <w:rFonts w:ascii="宋体" w:hAnsi="宋体" w:cs="宋体"/>
                <w:szCs w:val="21"/>
              </w:rPr>
            </w:pPr>
            <w:r>
              <w:rPr>
                <w:rFonts w:hint="eastAsia" w:ascii="宋体" w:hAnsi="宋体"/>
                <w:szCs w:val="21"/>
                <w:lang w:val="zh-CN"/>
              </w:rPr>
              <w:t>具备履行合同所必需的设备和专业技术能力的证明材料</w:t>
            </w:r>
          </w:p>
        </w:tc>
        <w:tc>
          <w:tcPr>
            <w:tcW w:w="5888" w:type="dxa"/>
            <w:vAlign w:val="center"/>
          </w:tcPr>
          <w:p w14:paraId="6C95663F">
            <w:pPr>
              <w:spacing w:line="360" w:lineRule="auto"/>
              <w:rPr>
                <w:rFonts w:ascii="宋体" w:hAnsi="宋体" w:cs="宋体"/>
                <w:szCs w:val="21"/>
              </w:rPr>
            </w:pPr>
            <w:r>
              <w:rPr>
                <w:rFonts w:hint="eastAsia" w:ascii="宋体" w:hAnsi="宋体"/>
                <w:szCs w:val="21"/>
                <w:lang w:val="zh-CN"/>
              </w:rPr>
              <w:t>响应文件中提供《具备履行合同所必需的设备和专业技术能力的书面声明（附证明材料复印件）》（加盖公章，格式见《</w:t>
            </w:r>
            <w:r>
              <w:rPr>
                <w:rFonts w:hint="eastAsia"/>
                <w:szCs w:val="21"/>
              </w:rPr>
              <w:t>采购</w:t>
            </w:r>
            <w:r>
              <w:rPr>
                <w:rFonts w:hint="eastAsia" w:ascii="宋体" w:hAnsi="宋体"/>
                <w:szCs w:val="21"/>
                <w:lang w:val="zh-CN"/>
              </w:rPr>
              <w:t>文件》）</w:t>
            </w:r>
          </w:p>
        </w:tc>
      </w:tr>
      <w:tr w14:paraId="5F9B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67F46DBC">
            <w:pPr>
              <w:jc w:val="center"/>
              <w:rPr>
                <w:rFonts w:ascii="宋体" w:hAnsi="宋体" w:cs="宋体"/>
                <w:szCs w:val="21"/>
              </w:rPr>
            </w:pPr>
            <w:r>
              <w:rPr>
                <w:rFonts w:hint="eastAsia" w:ascii="宋体" w:hAnsi="宋体" w:cs="宋体"/>
                <w:szCs w:val="21"/>
              </w:rPr>
              <w:t>5</w:t>
            </w:r>
          </w:p>
        </w:tc>
        <w:tc>
          <w:tcPr>
            <w:tcW w:w="2192" w:type="dxa"/>
            <w:vAlign w:val="center"/>
          </w:tcPr>
          <w:p w14:paraId="2722B94A">
            <w:pPr>
              <w:spacing w:line="360" w:lineRule="auto"/>
              <w:jc w:val="center"/>
              <w:rPr>
                <w:rFonts w:ascii="宋体" w:hAnsi="宋体"/>
                <w:szCs w:val="21"/>
                <w:lang w:val="zh-CN"/>
              </w:rPr>
            </w:pPr>
            <w:r>
              <w:rPr>
                <w:rFonts w:hint="eastAsia" w:ascii="宋体" w:hAnsi="宋体"/>
                <w:szCs w:val="21"/>
                <w:lang w:val="zh-CN"/>
              </w:rPr>
              <w:t>无重大违法和失信记录声明</w:t>
            </w:r>
          </w:p>
        </w:tc>
        <w:tc>
          <w:tcPr>
            <w:tcW w:w="5888" w:type="dxa"/>
            <w:vAlign w:val="center"/>
          </w:tcPr>
          <w:p w14:paraId="7A2B0640">
            <w:pPr>
              <w:spacing w:line="360" w:lineRule="auto"/>
              <w:rPr>
                <w:rFonts w:ascii="宋体" w:hAnsi="宋体"/>
                <w:szCs w:val="21"/>
                <w:lang w:val="zh-CN"/>
              </w:rPr>
            </w:pPr>
            <w:r>
              <w:rPr>
                <w:rFonts w:hint="eastAsia" w:ascii="宋体" w:hAnsi="宋体"/>
                <w:szCs w:val="21"/>
                <w:lang w:val="zh-CN"/>
              </w:rPr>
              <w:t>供应商参加政府采购活动前3年内（成立时间不足三年的、自成立时间起）在经营活动中没有重大违法和失信记录的书面声明）</w:t>
            </w:r>
          </w:p>
        </w:tc>
      </w:tr>
      <w:tr w14:paraId="192B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60CBFBF0">
            <w:pPr>
              <w:jc w:val="center"/>
              <w:rPr>
                <w:rFonts w:ascii="宋体" w:hAnsi="宋体" w:cs="宋体"/>
                <w:szCs w:val="21"/>
              </w:rPr>
            </w:pPr>
            <w:r>
              <w:rPr>
                <w:rFonts w:hint="eastAsia" w:ascii="宋体" w:hAnsi="宋体" w:cs="宋体"/>
                <w:szCs w:val="21"/>
              </w:rPr>
              <w:t>6</w:t>
            </w:r>
          </w:p>
        </w:tc>
        <w:tc>
          <w:tcPr>
            <w:tcW w:w="2192" w:type="dxa"/>
            <w:vAlign w:val="center"/>
          </w:tcPr>
          <w:p w14:paraId="498EE872">
            <w:pPr>
              <w:spacing w:line="360" w:lineRule="auto"/>
              <w:jc w:val="center"/>
              <w:rPr>
                <w:rFonts w:ascii="宋体" w:hAnsi="宋体" w:cs="宋体"/>
                <w:szCs w:val="21"/>
              </w:rPr>
            </w:pPr>
            <w:r>
              <w:rPr>
                <w:rFonts w:hint="eastAsia" w:ascii="宋体" w:hAnsi="宋体" w:cs="宋体"/>
                <w:szCs w:val="21"/>
              </w:rPr>
              <w:t>有依法缴纳税收的良好记录</w:t>
            </w:r>
          </w:p>
        </w:tc>
        <w:tc>
          <w:tcPr>
            <w:tcW w:w="5888" w:type="dxa"/>
            <w:vAlign w:val="center"/>
          </w:tcPr>
          <w:p w14:paraId="5A9F7DF3">
            <w:pPr>
              <w:spacing w:line="360" w:lineRule="auto"/>
              <w:rPr>
                <w:rFonts w:ascii="宋体" w:hAnsi="宋体"/>
                <w:szCs w:val="21"/>
                <w:lang w:val="zh-CN"/>
              </w:rPr>
            </w:pPr>
            <w:r>
              <w:rPr>
                <w:rFonts w:hint="eastAsia" w:ascii="宋体" w:hAnsi="宋体"/>
                <w:szCs w:val="21"/>
                <w:lang w:val="zh-CN"/>
              </w:rPr>
              <w:t>提供至投标截止时间前六个月内任一个月份依法缴纳税收的凭据（企业代缴的个人所得税除外）（依法免税的应提供相应文件说明）</w:t>
            </w:r>
          </w:p>
        </w:tc>
      </w:tr>
      <w:tr w14:paraId="0DE8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67E72F16">
            <w:pPr>
              <w:jc w:val="center"/>
              <w:rPr>
                <w:rFonts w:ascii="宋体" w:hAnsi="宋体" w:cs="宋体"/>
                <w:szCs w:val="21"/>
              </w:rPr>
            </w:pPr>
            <w:r>
              <w:rPr>
                <w:rFonts w:hint="eastAsia" w:ascii="宋体" w:hAnsi="宋体" w:cs="宋体"/>
                <w:szCs w:val="21"/>
              </w:rPr>
              <w:t>7</w:t>
            </w:r>
          </w:p>
        </w:tc>
        <w:tc>
          <w:tcPr>
            <w:tcW w:w="2192" w:type="dxa"/>
            <w:vAlign w:val="center"/>
          </w:tcPr>
          <w:p w14:paraId="2B064EB6">
            <w:pPr>
              <w:spacing w:line="360" w:lineRule="auto"/>
              <w:jc w:val="center"/>
              <w:rPr>
                <w:rFonts w:ascii="宋体" w:hAnsi="宋体" w:cs="宋体"/>
                <w:szCs w:val="21"/>
              </w:rPr>
            </w:pPr>
            <w:r>
              <w:rPr>
                <w:rFonts w:hint="eastAsia" w:ascii="宋体" w:hAnsi="宋体" w:cs="宋体"/>
                <w:szCs w:val="21"/>
              </w:rPr>
              <w:t>有依法缴纳社会保障资金的良好记录</w:t>
            </w:r>
          </w:p>
        </w:tc>
        <w:tc>
          <w:tcPr>
            <w:tcW w:w="5888" w:type="dxa"/>
            <w:vAlign w:val="center"/>
          </w:tcPr>
          <w:p w14:paraId="70804B3E">
            <w:pPr>
              <w:spacing w:line="360" w:lineRule="auto"/>
              <w:rPr>
                <w:rFonts w:ascii="宋体" w:hAnsi="宋体"/>
                <w:szCs w:val="21"/>
                <w:lang w:val="zh-CN"/>
              </w:rPr>
            </w:pPr>
            <w:r>
              <w:rPr>
                <w:rFonts w:hint="eastAsia" w:ascii="宋体" w:hAnsi="宋体"/>
                <w:szCs w:val="21"/>
                <w:lang w:val="zh-CN"/>
              </w:rPr>
              <w:t>提供至投标截止时间前六个月内任一个月份</w:t>
            </w:r>
            <w:r>
              <w:rPr>
                <w:rFonts w:hint="eastAsia" w:ascii="宋体" w:hAnsi="宋体"/>
                <w:szCs w:val="21"/>
              </w:rPr>
              <w:t>依法</w:t>
            </w:r>
            <w:r>
              <w:rPr>
                <w:rFonts w:hint="eastAsia" w:ascii="宋体" w:hAnsi="宋体"/>
                <w:szCs w:val="21"/>
                <w:lang w:val="zh-CN"/>
              </w:rPr>
              <w:t>缴纳社会保险的凭据（专用收据或社会保险的凭据）。依法免税或不需要缴纳社会保障资金的投标供应商，应提供相应文件证明）；</w:t>
            </w:r>
          </w:p>
        </w:tc>
      </w:tr>
      <w:tr w14:paraId="2D19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Merge w:val="restart"/>
            <w:vAlign w:val="center"/>
          </w:tcPr>
          <w:p w14:paraId="60C6618B">
            <w:pPr>
              <w:jc w:val="center"/>
              <w:rPr>
                <w:rFonts w:ascii="宋体" w:hAnsi="宋体" w:cs="宋体"/>
                <w:szCs w:val="21"/>
              </w:rPr>
            </w:pPr>
            <w:r>
              <w:rPr>
                <w:rFonts w:hint="eastAsia" w:ascii="宋体" w:hAnsi="宋体" w:cs="宋体"/>
                <w:szCs w:val="21"/>
              </w:rPr>
              <w:t>8</w:t>
            </w:r>
          </w:p>
        </w:tc>
        <w:tc>
          <w:tcPr>
            <w:tcW w:w="2192" w:type="dxa"/>
            <w:vMerge w:val="restart"/>
            <w:vAlign w:val="center"/>
          </w:tcPr>
          <w:p w14:paraId="745EBA22">
            <w:pPr>
              <w:spacing w:line="360" w:lineRule="auto"/>
              <w:jc w:val="center"/>
              <w:rPr>
                <w:rFonts w:ascii="宋体" w:hAnsi="宋体" w:cs="宋体"/>
                <w:szCs w:val="21"/>
              </w:rPr>
            </w:pPr>
            <w:r>
              <w:rPr>
                <w:rFonts w:hint="eastAsia" w:ascii="宋体" w:hAnsi="宋体" w:cs="宋体"/>
                <w:szCs w:val="21"/>
              </w:rPr>
              <w:t>拒绝供应商参加本次采购活动的情形</w:t>
            </w:r>
          </w:p>
        </w:tc>
        <w:tc>
          <w:tcPr>
            <w:tcW w:w="5888" w:type="dxa"/>
            <w:vAlign w:val="center"/>
          </w:tcPr>
          <w:p w14:paraId="5A994832">
            <w:pPr>
              <w:spacing w:line="360" w:lineRule="auto"/>
              <w:rPr>
                <w:rFonts w:ascii="宋体" w:hAnsi="宋体" w:cs="宋体"/>
                <w:szCs w:val="21"/>
              </w:rPr>
            </w:pPr>
            <w:r>
              <w:rPr>
                <w:rFonts w:hint="eastAsia" w:ascii="宋体" w:hAnsi="宋体" w:cs="宋体"/>
                <w:szCs w:val="21"/>
              </w:rPr>
              <w:t>单位负责人为同一人或者存在直接控股、管理关系的不同供应商，不得参加同一合同项下的政府采购活动</w:t>
            </w:r>
          </w:p>
        </w:tc>
      </w:tr>
      <w:tr w14:paraId="5E5C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Merge w:val="continue"/>
            <w:vAlign w:val="center"/>
          </w:tcPr>
          <w:p w14:paraId="5DE26576">
            <w:pPr>
              <w:jc w:val="center"/>
              <w:rPr>
                <w:rFonts w:ascii="宋体" w:hAnsi="宋体" w:cs="宋体"/>
                <w:szCs w:val="21"/>
              </w:rPr>
            </w:pPr>
          </w:p>
        </w:tc>
        <w:tc>
          <w:tcPr>
            <w:tcW w:w="2192" w:type="dxa"/>
            <w:vMerge w:val="continue"/>
            <w:vAlign w:val="center"/>
          </w:tcPr>
          <w:p w14:paraId="75999B3D">
            <w:pPr>
              <w:spacing w:line="360" w:lineRule="auto"/>
              <w:rPr>
                <w:rFonts w:ascii="宋体" w:hAnsi="宋体" w:cs="宋体"/>
                <w:szCs w:val="21"/>
              </w:rPr>
            </w:pPr>
          </w:p>
        </w:tc>
        <w:tc>
          <w:tcPr>
            <w:tcW w:w="5888" w:type="dxa"/>
            <w:vAlign w:val="center"/>
          </w:tcPr>
          <w:p w14:paraId="4EC0BBF8">
            <w:pPr>
              <w:spacing w:line="360" w:lineRule="auto"/>
              <w:rPr>
                <w:rFonts w:ascii="宋体" w:hAnsi="宋体" w:cs="宋体"/>
                <w:szCs w:val="21"/>
              </w:rPr>
            </w:pPr>
            <w:r>
              <w:rPr>
                <w:rFonts w:hint="eastAsia" w:ascii="宋体" w:hAnsi="宋体" w:cs="宋体"/>
                <w:szCs w:val="21"/>
              </w:rPr>
              <w:t>凡为采购项目提供整体设计、规范编制或者项目管理、监理、检测等服务的供应商，不得再参加该项目的其他采购活动</w:t>
            </w:r>
          </w:p>
        </w:tc>
      </w:tr>
      <w:tr w14:paraId="3B88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51" w:type="dxa"/>
            <w:vMerge w:val="continue"/>
            <w:vAlign w:val="center"/>
          </w:tcPr>
          <w:p w14:paraId="0A99FB41">
            <w:pPr>
              <w:jc w:val="center"/>
              <w:rPr>
                <w:rFonts w:ascii="宋体" w:hAnsi="宋体" w:cs="宋体"/>
                <w:szCs w:val="21"/>
              </w:rPr>
            </w:pPr>
          </w:p>
        </w:tc>
        <w:tc>
          <w:tcPr>
            <w:tcW w:w="2192" w:type="dxa"/>
            <w:vMerge w:val="continue"/>
            <w:vAlign w:val="center"/>
          </w:tcPr>
          <w:p w14:paraId="3ABAD0CE">
            <w:pPr>
              <w:spacing w:line="360" w:lineRule="auto"/>
              <w:rPr>
                <w:rFonts w:ascii="宋体" w:hAnsi="宋体" w:cs="宋体"/>
                <w:szCs w:val="21"/>
              </w:rPr>
            </w:pPr>
          </w:p>
        </w:tc>
        <w:tc>
          <w:tcPr>
            <w:tcW w:w="5888" w:type="dxa"/>
            <w:vAlign w:val="center"/>
          </w:tcPr>
          <w:p w14:paraId="3A66FA47">
            <w:pPr>
              <w:spacing w:line="360" w:lineRule="auto"/>
              <w:rPr>
                <w:rFonts w:ascii="宋体" w:hAnsi="宋体" w:cs="宋体"/>
                <w:szCs w:val="21"/>
              </w:rPr>
            </w:pPr>
            <w:r>
              <w:rPr>
                <w:rFonts w:hint="eastAsia" w:ascii="宋体" w:hAnsi="宋体" w:cs="宋体"/>
                <w:szCs w:val="21"/>
              </w:rPr>
              <w:t>拒绝列入失信被执行人、重大税收违法案件当事人名单、严重违法失信行为记录名单中的供应商参加本项目的投标活动。采购代理机构将在供应商提交响应文件截止时间后，通过中国政府采购网（www.ccgp.gov.cn）、“信用中国”网站（www.creditchina.gov.cn）查询其信用记录。</w:t>
            </w:r>
          </w:p>
        </w:tc>
      </w:tr>
    </w:tbl>
    <w:p w14:paraId="06A9E1E2">
      <w:pPr>
        <w:rPr>
          <w:rFonts w:ascii="宋体" w:hAnsi="宋体"/>
          <w:szCs w:val="21"/>
        </w:rPr>
      </w:pPr>
    </w:p>
    <w:p w14:paraId="38603DF6">
      <w:pPr>
        <w:widowControl/>
        <w:shd w:val="clear" w:color="auto" w:fill="FFFFFF"/>
        <w:spacing w:line="360" w:lineRule="auto"/>
        <w:ind w:firstLine="420"/>
        <w:jc w:val="left"/>
        <w:outlineLvl w:val="1"/>
        <w:rPr>
          <w:rFonts w:ascii="宋体" w:hAnsi="宋体" w:cs="Arial"/>
          <w:b/>
          <w:bCs/>
          <w:kern w:val="0"/>
          <w:sz w:val="22"/>
          <w:szCs w:val="18"/>
        </w:rPr>
      </w:pPr>
      <w:bookmarkStart w:id="42" w:name="_Toc10503"/>
      <w:r>
        <w:rPr>
          <w:rFonts w:hint="eastAsia" w:ascii="宋体" w:hAnsi="宋体" w:cs="Arial"/>
          <w:b/>
          <w:bCs/>
          <w:kern w:val="0"/>
          <w:sz w:val="22"/>
          <w:szCs w:val="18"/>
        </w:rPr>
        <w:t>二、投标文件符合性审查标准</w:t>
      </w:r>
      <w:bookmarkEnd w:id="42"/>
    </w:p>
    <w:p w14:paraId="1BCC75B1">
      <w:pPr>
        <w:spacing w:line="360" w:lineRule="auto"/>
        <w:ind w:firstLine="420" w:firstLineChars="200"/>
        <w:rPr>
          <w:rFonts w:ascii="宋体" w:hAnsi="宋体"/>
          <w:szCs w:val="21"/>
        </w:rPr>
      </w:pPr>
      <w:r>
        <w:rPr>
          <w:rFonts w:hint="eastAsia" w:ascii="宋体" w:hAnsi="宋体"/>
          <w:szCs w:val="21"/>
        </w:rPr>
        <w:t>评标委员会依据下列标准，对投标文件进行符合性审查。有一项不符合评审标准的，评标委员会应当否决其投标文件。通过投标文件符合性审查的</w:t>
      </w:r>
      <w:r>
        <w:rPr>
          <w:rFonts w:ascii="宋体" w:hAnsi="宋体"/>
          <w:szCs w:val="21"/>
        </w:rPr>
        <w:t>合格供应商不足3家的，不</w:t>
      </w:r>
      <w:r>
        <w:rPr>
          <w:rFonts w:hint="eastAsia" w:ascii="宋体" w:hAnsi="宋体"/>
          <w:szCs w:val="21"/>
        </w:rPr>
        <w:t>进入</w:t>
      </w:r>
      <w:r>
        <w:rPr>
          <w:rFonts w:ascii="宋体" w:hAnsi="宋体"/>
          <w:szCs w:val="21"/>
        </w:rPr>
        <w:t>综合</w:t>
      </w:r>
      <w:r>
        <w:rPr>
          <w:rFonts w:hint="eastAsia" w:ascii="宋体" w:hAnsi="宋体"/>
          <w:szCs w:val="21"/>
        </w:rPr>
        <w:t>评审</w:t>
      </w:r>
      <w:r>
        <w:rPr>
          <w:rFonts w:ascii="宋体" w:hAnsi="宋体"/>
          <w:szCs w:val="21"/>
        </w:rPr>
        <w:t>。</w:t>
      </w:r>
    </w:p>
    <w:tbl>
      <w:tblPr>
        <w:tblStyle w:val="36"/>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26"/>
        <w:gridCol w:w="5954"/>
      </w:tblGrid>
      <w:tr w14:paraId="5D2E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blHeader/>
        </w:trPr>
        <w:tc>
          <w:tcPr>
            <w:tcW w:w="851" w:type="dxa"/>
            <w:vAlign w:val="center"/>
          </w:tcPr>
          <w:p w14:paraId="5AC3B27C">
            <w:pPr>
              <w:spacing w:line="360" w:lineRule="auto"/>
              <w:ind w:firstLine="6"/>
              <w:jc w:val="center"/>
              <w:rPr>
                <w:rFonts w:ascii="宋体" w:hAnsi="宋体" w:cs="宋体"/>
                <w:b/>
                <w:bCs/>
                <w:szCs w:val="21"/>
              </w:rPr>
            </w:pPr>
            <w:r>
              <w:rPr>
                <w:rFonts w:hint="eastAsia" w:ascii="宋体" w:hAnsi="宋体" w:cs="宋体"/>
                <w:b/>
                <w:bCs/>
                <w:szCs w:val="21"/>
              </w:rPr>
              <w:t>序号</w:t>
            </w:r>
          </w:p>
        </w:tc>
        <w:tc>
          <w:tcPr>
            <w:tcW w:w="2126" w:type="dxa"/>
            <w:vAlign w:val="center"/>
          </w:tcPr>
          <w:p w14:paraId="1DF74A6A">
            <w:pPr>
              <w:spacing w:line="360" w:lineRule="auto"/>
              <w:ind w:firstLine="6"/>
              <w:jc w:val="center"/>
              <w:rPr>
                <w:rFonts w:ascii="宋体" w:hAnsi="宋体" w:cs="宋体"/>
                <w:b/>
                <w:bCs/>
                <w:szCs w:val="21"/>
              </w:rPr>
            </w:pPr>
            <w:r>
              <w:rPr>
                <w:rFonts w:hint="eastAsia" w:ascii="宋体" w:hAnsi="宋体" w:cs="宋体"/>
                <w:b/>
                <w:bCs/>
                <w:szCs w:val="21"/>
              </w:rPr>
              <w:t>评审</w:t>
            </w:r>
            <w:r>
              <w:rPr>
                <w:rFonts w:ascii="宋体" w:hAnsi="宋体" w:cs="宋体"/>
                <w:b/>
                <w:bCs/>
                <w:szCs w:val="21"/>
              </w:rPr>
              <w:t>因素</w:t>
            </w:r>
          </w:p>
        </w:tc>
        <w:tc>
          <w:tcPr>
            <w:tcW w:w="5954" w:type="dxa"/>
            <w:vAlign w:val="center"/>
          </w:tcPr>
          <w:p w14:paraId="4E737BCA">
            <w:pPr>
              <w:spacing w:line="360" w:lineRule="auto"/>
              <w:ind w:firstLine="6"/>
              <w:jc w:val="center"/>
              <w:rPr>
                <w:rFonts w:ascii="宋体" w:hAnsi="宋体" w:cs="宋体"/>
                <w:b/>
                <w:bCs/>
                <w:szCs w:val="21"/>
              </w:rPr>
            </w:pPr>
            <w:r>
              <w:rPr>
                <w:rFonts w:hint="eastAsia" w:ascii="宋体" w:hAnsi="宋体" w:cs="宋体"/>
                <w:b/>
                <w:bCs/>
                <w:szCs w:val="21"/>
              </w:rPr>
              <w:t>评审标准</w:t>
            </w:r>
          </w:p>
        </w:tc>
      </w:tr>
      <w:tr w14:paraId="00C70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blHeader/>
        </w:trPr>
        <w:tc>
          <w:tcPr>
            <w:tcW w:w="851" w:type="dxa"/>
            <w:vAlign w:val="center"/>
          </w:tcPr>
          <w:p w14:paraId="2ECB53F1">
            <w:pPr>
              <w:spacing w:line="360" w:lineRule="auto"/>
              <w:ind w:firstLine="6"/>
              <w:jc w:val="center"/>
              <w:rPr>
                <w:rFonts w:ascii="宋体" w:hAnsi="宋体" w:cs="宋体"/>
                <w:szCs w:val="21"/>
              </w:rPr>
            </w:pPr>
            <w:r>
              <w:rPr>
                <w:rFonts w:hint="eastAsia" w:ascii="宋体" w:hAnsi="宋体" w:cs="宋体"/>
                <w:szCs w:val="21"/>
              </w:rPr>
              <w:t>1</w:t>
            </w:r>
          </w:p>
        </w:tc>
        <w:tc>
          <w:tcPr>
            <w:tcW w:w="2126" w:type="dxa"/>
            <w:vAlign w:val="center"/>
          </w:tcPr>
          <w:p w14:paraId="18CC8614">
            <w:pPr>
              <w:spacing w:line="360" w:lineRule="auto"/>
              <w:ind w:firstLine="6"/>
              <w:jc w:val="center"/>
              <w:rPr>
                <w:rFonts w:ascii="宋体" w:hAnsi="宋体" w:cs="宋体"/>
                <w:szCs w:val="21"/>
              </w:rPr>
            </w:pPr>
            <w:r>
              <w:rPr>
                <w:rFonts w:hint="eastAsia" w:ascii="宋体" w:hAnsi="宋体" w:cs="宋体"/>
                <w:szCs w:val="21"/>
              </w:rPr>
              <w:t>投标文件签字、盖章</w:t>
            </w:r>
          </w:p>
        </w:tc>
        <w:tc>
          <w:tcPr>
            <w:tcW w:w="5954" w:type="dxa"/>
            <w:vAlign w:val="center"/>
          </w:tcPr>
          <w:p w14:paraId="1E52AFCE">
            <w:pPr>
              <w:spacing w:line="360" w:lineRule="auto"/>
              <w:ind w:firstLine="6"/>
              <w:rPr>
                <w:rFonts w:ascii="宋体" w:hAnsi="宋体" w:cs="宋体"/>
                <w:szCs w:val="21"/>
              </w:rPr>
            </w:pPr>
            <w:r>
              <w:rPr>
                <w:rFonts w:hint="eastAsia" w:ascii="宋体" w:hAnsi="宋体" w:cs="宋体"/>
                <w:szCs w:val="21"/>
              </w:rPr>
              <w:t>投标</w:t>
            </w:r>
            <w:r>
              <w:rPr>
                <w:rFonts w:ascii="宋体" w:hAnsi="宋体" w:cs="宋体"/>
                <w:szCs w:val="21"/>
              </w:rPr>
              <w:t>文件</w:t>
            </w:r>
            <w:r>
              <w:rPr>
                <w:rFonts w:hint="eastAsia" w:ascii="宋体" w:hAnsi="宋体" w:cs="宋体"/>
                <w:szCs w:val="21"/>
              </w:rPr>
              <w:t>按照采购</w:t>
            </w:r>
            <w:r>
              <w:rPr>
                <w:rFonts w:ascii="宋体" w:hAnsi="宋体" w:cs="宋体"/>
                <w:szCs w:val="21"/>
              </w:rPr>
              <w:t>文件要求签署、盖章</w:t>
            </w:r>
            <w:r>
              <w:rPr>
                <w:rFonts w:hint="eastAsia" w:ascii="宋体" w:hAnsi="宋体" w:cs="宋体"/>
                <w:szCs w:val="21"/>
              </w:rPr>
              <w:t>。</w:t>
            </w:r>
            <w:r>
              <w:rPr>
                <w:rFonts w:hint="eastAsia" w:ascii="宋体" w:hAnsi="宋体"/>
                <w:szCs w:val="21"/>
              </w:rPr>
              <w:t>由法定代表人签字的，应附法定代表人身份证明；由授权签字的，应附授权委托书及身份证明。</w:t>
            </w:r>
          </w:p>
        </w:tc>
      </w:tr>
      <w:tr w14:paraId="0F23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Merge w:val="restart"/>
            <w:vAlign w:val="center"/>
          </w:tcPr>
          <w:p w14:paraId="3C9E1948">
            <w:pPr>
              <w:spacing w:line="360" w:lineRule="auto"/>
              <w:ind w:firstLine="6"/>
              <w:jc w:val="center"/>
              <w:rPr>
                <w:rFonts w:ascii="宋体" w:hAnsi="宋体" w:cs="宋体"/>
                <w:szCs w:val="21"/>
              </w:rPr>
            </w:pPr>
            <w:r>
              <w:rPr>
                <w:rFonts w:hint="eastAsia" w:ascii="宋体" w:hAnsi="宋体" w:cs="宋体"/>
                <w:szCs w:val="21"/>
              </w:rPr>
              <w:t>2</w:t>
            </w:r>
          </w:p>
        </w:tc>
        <w:tc>
          <w:tcPr>
            <w:tcW w:w="2126" w:type="dxa"/>
            <w:vMerge w:val="restart"/>
            <w:vAlign w:val="center"/>
          </w:tcPr>
          <w:p w14:paraId="3F929F66">
            <w:pPr>
              <w:spacing w:line="360" w:lineRule="auto"/>
              <w:ind w:firstLine="6"/>
              <w:jc w:val="center"/>
              <w:rPr>
                <w:rFonts w:ascii="宋体" w:hAnsi="宋体" w:cs="宋体"/>
                <w:szCs w:val="21"/>
              </w:rPr>
            </w:pPr>
            <w:r>
              <w:rPr>
                <w:rFonts w:hint="eastAsia" w:ascii="宋体" w:hAnsi="宋体" w:cs="宋体"/>
                <w:szCs w:val="21"/>
              </w:rPr>
              <w:t>报价</w:t>
            </w:r>
          </w:p>
        </w:tc>
        <w:tc>
          <w:tcPr>
            <w:tcW w:w="5954" w:type="dxa"/>
            <w:vAlign w:val="center"/>
          </w:tcPr>
          <w:p w14:paraId="0075BDE7">
            <w:pPr>
              <w:spacing w:line="360" w:lineRule="auto"/>
              <w:ind w:firstLine="6"/>
              <w:rPr>
                <w:rFonts w:ascii="宋体" w:hAnsi="宋体"/>
                <w:szCs w:val="21"/>
              </w:rPr>
            </w:pPr>
            <w:r>
              <w:rPr>
                <w:rFonts w:ascii="宋体" w:hAnsi="宋体"/>
                <w:szCs w:val="21"/>
              </w:rPr>
              <w:t>报价</w:t>
            </w:r>
            <w:r>
              <w:rPr>
                <w:rFonts w:hint="eastAsia" w:ascii="宋体" w:hAnsi="宋体"/>
                <w:szCs w:val="21"/>
              </w:rPr>
              <w:t>没有</w:t>
            </w:r>
            <w:r>
              <w:rPr>
                <w:rFonts w:ascii="宋体" w:hAnsi="宋体"/>
                <w:szCs w:val="21"/>
              </w:rPr>
              <w:t>超过</w:t>
            </w:r>
            <w:r>
              <w:rPr>
                <w:rFonts w:hint="eastAsia" w:ascii="宋体" w:hAnsi="宋体" w:cs="宋体"/>
                <w:szCs w:val="21"/>
              </w:rPr>
              <w:t>采购</w:t>
            </w:r>
            <w:r>
              <w:rPr>
                <w:rFonts w:ascii="宋体" w:hAnsi="宋体"/>
                <w:szCs w:val="21"/>
              </w:rPr>
              <w:t>文件中规定的预算金额或者最高限价</w:t>
            </w:r>
          </w:p>
        </w:tc>
      </w:tr>
      <w:tr w14:paraId="66565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Merge w:val="continue"/>
            <w:vAlign w:val="center"/>
          </w:tcPr>
          <w:p w14:paraId="6FDF13F1">
            <w:pPr>
              <w:spacing w:line="360" w:lineRule="auto"/>
              <w:ind w:firstLine="6"/>
              <w:jc w:val="center"/>
              <w:rPr>
                <w:rFonts w:ascii="宋体" w:hAnsi="宋体" w:cs="宋体"/>
                <w:szCs w:val="21"/>
              </w:rPr>
            </w:pPr>
          </w:p>
        </w:tc>
        <w:tc>
          <w:tcPr>
            <w:tcW w:w="2126" w:type="dxa"/>
            <w:vMerge w:val="continue"/>
            <w:vAlign w:val="center"/>
          </w:tcPr>
          <w:p w14:paraId="7E037AE1">
            <w:pPr>
              <w:spacing w:line="360" w:lineRule="auto"/>
              <w:ind w:firstLine="6"/>
              <w:jc w:val="center"/>
              <w:rPr>
                <w:rFonts w:ascii="宋体" w:hAnsi="宋体" w:cs="宋体"/>
                <w:szCs w:val="21"/>
              </w:rPr>
            </w:pPr>
          </w:p>
        </w:tc>
        <w:tc>
          <w:tcPr>
            <w:tcW w:w="5954" w:type="dxa"/>
            <w:vAlign w:val="center"/>
          </w:tcPr>
          <w:p w14:paraId="34DEA129">
            <w:pPr>
              <w:spacing w:line="360" w:lineRule="auto"/>
              <w:ind w:firstLine="6"/>
              <w:rPr>
                <w:rFonts w:ascii="宋体" w:hAnsi="宋体"/>
                <w:szCs w:val="21"/>
              </w:rPr>
            </w:pPr>
            <w:r>
              <w:rPr>
                <w:rFonts w:hint="eastAsia" w:ascii="宋体" w:hAnsi="宋体"/>
                <w:szCs w:val="21"/>
              </w:rPr>
              <w:t>每一项产品没有</w:t>
            </w:r>
            <w:r>
              <w:rPr>
                <w:rFonts w:ascii="宋体" w:hAnsi="宋体"/>
                <w:szCs w:val="21"/>
              </w:rPr>
              <w:t>两个或多个报价</w:t>
            </w:r>
          </w:p>
        </w:tc>
      </w:tr>
      <w:tr w14:paraId="7E8F0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Merge w:val="continue"/>
            <w:vAlign w:val="center"/>
          </w:tcPr>
          <w:p w14:paraId="1EC09E35">
            <w:pPr>
              <w:spacing w:line="360" w:lineRule="auto"/>
              <w:ind w:firstLine="6"/>
              <w:jc w:val="center"/>
              <w:rPr>
                <w:rFonts w:ascii="宋体" w:hAnsi="宋体" w:cs="宋体"/>
                <w:szCs w:val="21"/>
              </w:rPr>
            </w:pPr>
          </w:p>
        </w:tc>
        <w:tc>
          <w:tcPr>
            <w:tcW w:w="2126" w:type="dxa"/>
            <w:vMerge w:val="continue"/>
            <w:vAlign w:val="center"/>
          </w:tcPr>
          <w:p w14:paraId="6ADFA764">
            <w:pPr>
              <w:spacing w:line="360" w:lineRule="auto"/>
              <w:ind w:firstLine="6"/>
              <w:jc w:val="center"/>
              <w:rPr>
                <w:rFonts w:ascii="宋体" w:hAnsi="宋体" w:cs="宋体"/>
                <w:szCs w:val="21"/>
              </w:rPr>
            </w:pPr>
          </w:p>
        </w:tc>
        <w:tc>
          <w:tcPr>
            <w:tcW w:w="5954" w:type="dxa"/>
            <w:vAlign w:val="center"/>
          </w:tcPr>
          <w:p w14:paraId="39EFFBA7">
            <w:pPr>
              <w:spacing w:line="360" w:lineRule="auto"/>
              <w:ind w:firstLine="6"/>
              <w:rPr>
                <w:rFonts w:ascii="宋体" w:hAnsi="宋体"/>
                <w:szCs w:val="21"/>
              </w:rPr>
            </w:pPr>
            <w:r>
              <w:rPr>
                <w:rFonts w:ascii="宋体" w:hAnsi="宋体"/>
              </w:rPr>
              <w:t>接受</w:t>
            </w:r>
            <w:r>
              <w:rPr>
                <w:rFonts w:hint="eastAsia" w:ascii="宋体" w:hAnsi="宋体"/>
              </w:rPr>
              <w:t>评标委员会</w:t>
            </w:r>
            <w:r>
              <w:rPr>
                <w:rFonts w:ascii="宋体" w:hAnsi="宋体"/>
              </w:rPr>
              <w:t>对</w:t>
            </w:r>
            <w:r>
              <w:rPr>
                <w:rFonts w:hint="eastAsia" w:ascii="宋体" w:hAnsi="宋体"/>
              </w:rPr>
              <w:t>响应</w:t>
            </w:r>
            <w:r>
              <w:rPr>
                <w:rFonts w:ascii="宋体" w:hAnsi="宋体"/>
              </w:rPr>
              <w:t>文件报价出现前后不一致的修正</w:t>
            </w:r>
          </w:p>
        </w:tc>
      </w:tr>
      <w:tr w14:paraId="24E3E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689DC604">
            <w:pPr>
              <w:spacing w:line="360" w:lineRule="auto"/>
              <w:ind w:firstLine="6"/>
              <w:jc w:val="center"/>
              <w:rPr>
                <w:rFonts w:ascii="宋体" w:hAnsi="宋体" w:cs="宋体"/>
                <w:szCs w:val="21"/>
              </w:rPr>
            </w:pPr>
            <w:bookmarkStart w:id="43" w:name="_Hlk182925732"/>
            <w:r>
              <w:rPr>
                <w:rFonts w:hint="eastAsia" w:ascii="宋体" w:hAnsi="宋体" w:cs="宋体"/>
                <w:szCs w:val="21"/>
              </w:rPr>
              <w:t>3</w:t>
            </w:r>
          </w:p>
        </w:tc>
        <w:tc>
          <w:tcPr>
            <w:tcW w:w="2126" w:type="dxa"/>
            <w:vAlign w:val="center"/>
          </w:tcPr>
          <w:p w14:paraId="26791678">
            <w:pPr>
              <w:spacing w:line="360" w:lineRule="auto"/>
              <w:ind w:firstLine="6"/>
              <w:jc w:val="center"/>
              <w:rPr>
                <w:rFonts w:ascii="宋体" w:hAnsi="宋体" w:cs="宋体"/>
                <w:szCs w:val="21"/>
              </w:rPr>
            </w:pPr>
            <w:r>
              <w:rPr>
                <w:rFonts w:hint="eastAsia" w:ascii="宋体" w:hAnsi="宋体" w:cs="宋体"/>
                <w:szCs w:val="21"/>
              </w:rPr>
              <w:t>关键技术指标</w:t>
            </w:r>
          </w:p>
        </w:tc>
        <w:tc>
          <w:tcPr>
            <w:tcW w:w="5954" w:type="dxa"/>
            <w:vAlign w:val="center"/>
          </w:tcPr>
          <w:p w14:paraId="2DBDDEF9">
            <w:pPr>
              <w:spacing w:line="360" w:lineRule="auto"/>
              <w:ind w:firstLine="6"/>
              <w:rPr>
                <w:rFonts w:ascii="宋体" w:hAnsi="宋体" w:cs="宋体"/>
                <w:szCs w:val="21"/>
              </w:rPr>
            </w:pPr>
            <w:r>
              <w:rPr>
                <w:rFonts w:hint="eastAsia" w:ascii="宋体" w:hAnsi="宋体" w:cs="宋体"/>
                <w:szCs w:val="21"/>
              </w:rPr>
              <w:t>采购</w:t>
            </w:r>
            <w:r>
              <w:rPr>
                <w:rFonts w:ascii="宋体" w:hAnsi="宋体" w:cs="宋体"/>
                <w:szCs w:val="21"/>
              </w:rPr>
              <w:t>文件</w:t>
            </w:r>
            <w:r>
              <w:rPr>
                <w:rFonts w:hint="eastAsia" w:ascii="宋体" w:hAnsi="宋体" w:cs="宋体"/>
                <w:szCs w:val="21"/>
              </w:rPr>
              <w:t>《第三部分：采购需求》中的关键技术指标（加</w:t>
            </w:r>
            <w:r>
              <w:rPr>
                <w:rFonts w:hint="eastAsia" w:ascii="宋体" w:hAnsi="宋体"/>
                <w:szCs w:val="20"/>
              </w:rPr>
              <w:t>★项</w:t>
            </w:r>
            <w:r>
              <w:rPr>
                <w:rFonts w:hint="eastAsia" w:ascii="宋体" w:hAnsi="宋体" w:cs="宋体"/>
                <w:szCs w:val="21"/>
              </w:rPr>
              <w:t>）没有负偏离并且按要求提供了证明材料</w:t>
            </w:r>
          </w:p>
        </w:tc>
      </w:tr>
      <w:bookmarkEnd w:id="43"/>
      <w:tr w14:paraId="148D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08F46C39">
            <w:pPr>
              <w:spacing w:line="360" w:lineRule="auto"/>
              <w:ind w:firstLine="6"/>
              <w:jc w:val="center"/>
              <w:rPr>
                <w:rFonts w:ascii="宋体" w:hAnsi="宋体" w:cs="宋体"/>
                <w:szCs w:val="21"/>
              </w:rPr>
            </w:pPr>
            <w:r>
              <w:rPr>
                <w:rFonts w:hint="eastAsia" w:ascii="宋体" w:hAnsi="宋体" w:cs="宋体"/>
                <w:szCs w:val="21"/>
              </w:rPr>
              <w:t>4</w:t>
            </w:r>
          </w:p>
        </w:tc>
        <w:tc>
          <w:tcPr>
            <w:tcW w:w="2126" w:type="dxa"/>
            <w:vAlign w:val="center"/>
          </w:tcPr>
          <w:p w14:paraId="414CBC29">
            <w:pPr>
              <w:spacing w:line="360" w:lineRule="auto"/>
              <w:ind w:firstLine="6"/>
              <w:jc w:val="center"/>
              <w:rPr>
                <w:rFonts w:ascii="宋体" w:hAnsi="宋体" w:cs="宋体"/>
                <w:szCs w:val="21"/>
              </w:rPr>
            </w:pPr>
            <w:r>
              <w:rPr>
                <w:rFonts w:hint="eastAsia" w:ascii="宋体" w:hAnsi="宋体" w:cs="宋体"/>
                <w:szCs w:val="21"/>
              </w:rPr>
              <w:t>关键商务要求</w:t>
            </w:r>
          </w:p>
        </w:tc>
        <w:tc>
          <w:tcPr>
            <w:tcW w:w="5954" w:type="dxa"/>
            <w:vAlign w:val="center"/>
          </w:tcPr>
          <w:p w14:paraId="4EF6C06A">
            <w:pPr>
              <w:spacing w:line="360" w:lineRule="auto"/>
              <w:ind w:firstLine="6"/>
              <w:rPr>
                <w:rFonts w:ascii="宋体" w:hAnsi="宋体" w:cs="宋体"/>
                <w:szCs w:val="21"/>
              </w:rPr>
            </w:pPr>
            <w:r>
              <w:rPr>
                <w:rFonts w:hint="eastAsia" w:ascii="宋体" w:hAnsi="宋体" w:cs="宋体"/>
                <w:szCs w:val="21"/>
              </w:rPr>
              <w:t>采购</w:t>
            </w:r>
            <w:r>
              <w:rPr>
                <w:rFonts w:ascii="宋体" w:hAnsi="宋体" w:cs="宋体"/>
                <w:szCs w:val="21"/>
              </w:rPr>
              <w:t>文件</w:t>
            </w:r>
            <w:r>
              <w:rPr>
                <w:rFonts w:hint="eastAsia" w:ascii="宋体" w:hAnsi="宋体" w:cs="宋体"/>
                <w:szCs w:val="21"/>
              </w:rPr>
              <w:t>《第三部分：采购需求》中的关键商务要求（加</w:t>
            </w:r>
            <w:r>
              <w:rPr>
                <w:rFonts w:hint="eastAsia" w:ascii="宋体" w:hAnsi="宋体"/>
                <w:szCs w:val="20"/>
              </w:rPr>
              <w:t>★项</w:t>
            </w:r>
            <w:r>
              <w:rPr>
                <w:rFonts w:hint="eastAsia" w:ascii="宋体" w:hAnsi="宋体" w:cs="宋体"/>
                <w:szCs w:val="21"/>
              </w:rPr>
              <w:t>）没有负偏离</w:t>
            </w:r>
          </w:p>
        </w:tc>
      </w:tr>
      <w:tr w14:paraId="4EDEA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6CDE4A14">
            <w:pPr>
              <w:spacing w:line="360" w:lineRule="auto"/>
              <w:ind w:firstLine="6"/>
              <w:jc w:val="center"/>
              <w:rPr>
                <w:rFonts w:ascii="宋体" w:hAnsi="宋体" w:cs="宋体"/>
                <w:szCs w:val="21"/>
              </w:rPr>
            </w:pPr>
            <w:r>
              <w:rPr>
                <w:rFonts w:hint="eastAsia" w:ascii="宋体" w:hAnsi="宋体" w:cs="宋体"/>
                <w:szCs w:val="21"/>
              </w:rPr>
              <w:t>5</w:t>
            </w:r>
          </w:p>
        </w:tc>
        <w:tc>
          <w:tcPr>
            <w:tcW w:w="2126" w:type="dxa"/>
            <w:vAlign w:val="center"/>
          </w:tcPr>
          <w:p w14:paraId="02783452">
            <w:pPr>
              <w:spacing w:line="360" w:lineRule="auto"/>
              <w:ind w:firstLine="6"/>
              <w:jc w:val="center"/>
              <w:rPr>
                <w:rFonts w:ascii="宋体" w:hAnsi="宋体" w:cs="宋体"/>
                <w:szCs w:val="21"/>
              </w:rPr>
            </w:pPr>
            <w:r>
              <w:rPr>
                <w:rFonts w:hint="eastAsia" w:ascii="宋体" w:hAnsi="宋体" w:cs="宋体"/>
                <w:szCs w:val="21"/>
              </w:rPr>
              <w:t>投标有效期</w:t>
            </w:r>
          </w:p>
        </w:tc>
        <w:tc>
          <w:tcPr>
            <w:tcW w:w="5954" w:type="dxa"/>
            <w:vAlign w:val="center"/>
          </w:tcPr>
          <w:p w14:paraId="62306E02">
            <w:pPr>
              <w:spacing w:line="360" w:lineRule="auto"/>
              <w:ind w:firstLine="6"/>
              <w:rPr>
                <w:rFonts w:ascii="宋体" w:hAnsi="宋体" w:cs="宋体"/>
                <w:szCs w:val="21"/>
              </w:rPr>
            </w:pPr>
            <w:r>
              <w:rPr>
                <w:rFonts w:hint="eastAsia" w:ascii="宋体" w:hAnsi="宋体"/>
              </w:rPr>
              <w:t>满足</w:t>
            </w:r>
            <w:r>
              <w:rPr>
                <w:rFonts w:hint="eastAsia" w:ascii="宋体" w:hAnsi="宋体" w:cs="宋体"/>
                <w:szCs w:val="21"/>
              </w:rPr>
              <w:t>采购</w:t>
            </w:r>
            <w:r>
              <w:rPr>
                <w:rFonts w:hint="eastAsia" w:ascii="宋体" w:hAnsi="宋体"/>
              </w:rPr>
              <w:t>文件要求</w:t>
            </w:r>
          </w:p>
        </w:tc>
      </w:tr>
      <w:tr w14:paraId="5D1A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64B79C6F">
            <w:pPr>
              <w:spacing w:line="360" w:lineRule="auto"/>
              <w:ind w:firstLine="6"/>
              <w:jc w:val="center"/>
              <w:rPr>
                <w:rFonts w:ascii="宋体" w:hAnsi="宋体" w:cs="宋体"/>
                <w:szCs w:val="21"/>
              </w:rPr>
            </w:pPr>
            <w:r>
              <w:rPr>
                <w:rFonts w:hint="eastAsia" w:ascii="宋体" w:hAnsi="宋体" w:cs="宋体"/>
                <w:szCs w:val="21"/>
              </w:rPr>
              <w:t>6</w:t>
            </w:r>
          </w:p>
        </w:tc>
        <w:tc>
          <w:tcPr>
            <w:tcW w:w="2126" w:type="dxa"/>
            <w:vAlign w:val="center"/>
          </w:tcPr>
          <w:p w14:paraId="2B82539F">
            <w:pPr>
              <w:spacing w:line="360" w:lineRule="auto"/>
              <w:ind w:firstLine="6"/>
              <w:jc w:val="center"/>
              <w:rPr>
                <w:rFonts w:ascii="宋体" w:hAnsi="宋体" w:cs="宋体"/>
                <w:szCs w:val="21"/>
              </w:rPr>
            </w:pPr>
            <w:r>
              <w:rPr>
                <w:rFonts w:ascii="宋体" w:hAnsi="宋体" w:cs="宋体"/>
                <w:szCs w:val="21"/>
              </w:rPr>
              <w:t>串通</w:t>
            </w:r>
          </w:p>
        </w:tc>
        <w:tc>
          <w:tcPr>
            <w:tcW w:w="5954" w:type="dxa"/>
            <w:vAlign w:val="center"/>
          </w:tcPr>
          <w:p w14:paraId="57252FE0">
            <w:pPr>
              <w:spacing w:line="360" w:lineRule="auto"/>
              <w:ind w:firstLine="6"/>
              <w:rPr>
                <w:rFonts w:ascii="宋体" w:hAnsi="宋体" w:cs="宋体"/>
                <w:szCs w:val="21"/>
              </w:rPr>
            </w:pPr>
            <w:r>
              <w:rPr>
                <w:rFonts w:hint="eastAsia" w:ascii="宋体" w:hAnsi="宋体" w:cs="宋体"/>
                <w:szCs w:val="21"/>
              </w:rPr>
              <w:t>没有采购文件第二部分投标人须知的</w:t>
            </w:r>
            <w:r>
              <w:rPr>
                <w:rFonts w:ascii="宋体" w:hAnsi="宋体" w:cs="宋体"/>
                <w:szCs w:val="21"/>
              </w:rPr>
              <w:t>串通</w:t>
            </w:r>
            <w:r>
              <w:rPr>
                <w:rFonts w:hint="eastAsia" w:ascii="宋体" w:hAnsi="宋体" w:cs="宋体"/>
                <w:szCs w:val="21"/>
              </w:rPr>
              <w:t>的情形</w:t>
            </w:r>
          </w:p>
        </w:tc>
      </w:tr>
      <w:tr w14:paraId="24386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3E6DA325">
            <w:pPr>
              <w:spacing w:line="360" w:lineRule="auto"/>
              <w:ind w:firstLine="6"/>
              <w:jc w:val="center"/>
              <w:rPr>
                <w:rFonts w:ascii="宋体" w:hAnsi="宋体" w:cs="宋体"/>
                <w:szCs w:val="21"/>
              </w:rPr>
            </w:pPr>
            <w:r>
              <w:rPr>
                <w:rFonts w:hint="eastAsia" w:ascii="宋体" w:hAnsi="宋体" w:cs="宋体"/>
                <w:szCs w:val="21"/>
              </w:rPr>
              <w:t>7</w:t>
            </w:r>
          </w:p>
        </w:tc>
        <w:tc>
          <w:tcPr>
            <w:tcW w:w="2126" w:type="dxa"/>
            <w:vAlign w:val="center"/>
          </w:tcPr>
          <w:p w14:paraId="6E92CD37">
            <w:pPr>
              <w:spacing w:line="360" w:lineRule="auto"/>
              <w:ind w:firstLine="6"/>
              <w:jc w:val="center"/>
              <w:rPr>
                <w:rFonts w:ascii="宋体" w:hAnsi="宋体" w:cs="宋体"/>
                <w:szCs w:val="21"/>
              </w:rPr>
            </w:pPr>
            <w:r>
              <w:rPr>
                <w:rFonts w:hint="eastAsia" w:ascii="宋体" w:hAnsi="宋体" w:cs="宋体"/>
                <w:szCs w:val="21"/>
              </w:rPr>
              <w:t>联合体</w:t>
            </w:r>
          </w:p>
        </w:tc>
        <w:tc>
          <w:tcPr>
            <w:tcW w:w="5954" w:type="dxa"/>
            <w:vAlign w:val="center"/>
          </w:tcPr>
          <w:p w14:paraId="5FCB57CA">
            <w:pPr>
              <w:spacing w:line="360" w:lineRule="auto"/>
              <w:ind w:firstLine="6"/>
              <w:rPr>
                <w:rFonts w:ascii="宋体" w:hAnsi="宋体" w:cs="宋体"/>
                <w:szCs w:val="21"/>
              </w:rPr>
            </w:pPr>
            <w:r>
              <w:rPr>
                <w:rFonts w:hint="eastAsia" w:ascii="宋体" w:hAnsi="宋体" w:cs="宋体"/>
                <w:szCs w:val="21"/>
              </w:rPr>
              <w:t>不接受</w:t>
            </w:r>
          </w:p>
        </w:tc>
      </w:tr>
      <w:tr w14:paraId="43FB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1243362A">
            <w:pPr>
              <w:spacing w:line="360" w:lineRule="auto"/>
              <w:ind w:firstLine="6"/>
              <w:jc w:val="center"/>
              <w:rPr>
                <w:rFonts w:ascii="宋体" w:hAnsi="宋体" w:cs="宋体"/>
                <w:szCs w:val="21"/>
              </w:rPr>
            </w:pPr>
            <w:r>
              <w:rPr>
                <w:rFonts w:hint="eastAsia" w:ascii="宋体" w:hAnsi="宋体" w:cs="宋体"/>
                <w:szCs w:val="21"/>
              </w:rPr>
              <w:t>8</w:t>
            </w:r>
          </w:p>
        </w:tc>
        <w:tc>
          <w:tcPr>
            <w:tcW w:w="2126" w:type="dxa"/>
            <w:vAlign w:val="center"/>
          </w:tcPr>
          <w:p w14:paraId="6422E8BC">
            <w:pPr>
              <w:spacing w:line="360" w:lineRule="auto"/>
              <w:ind w:firstLine="6"/>
              <w:jc w:val="center"/>
              <w:rPr>
                <w:rFonts w:ascii="宋体" w:hAnsi="宋体" w:cs="宋体"/>
                <w:szCs w:val="21"/>
              </w:rPr>
            </w:pPr>
            <w:r>
              <w:rPr>
                <w:rFonts w:ascii="宋体" w:hAnsi="宋体" w:cs="宋体"/>
                <w:szCs w:val="21"/>
              </w:rPr>
              <w:t>附加条件</w:t>
            </w:r>
          </w:p>
        </w:tc>
        <w:tc>
          <w:tcPr>
            <w:tcW w:w="5954" w:type="dxa"/>
            <w:vAlign w:val="center"/>
          </w:tcPr>
          <w:p w14:paraId="41A0589F">
            <w:pPr>
              <w:spacing w:line="360" w:lineRule="auto"/>
              <w:ind w:firstLine="6"/>
              <w:rPr>
                <w:rFonts w:ascii="宋体" w:hAnsi="宋体" w:cs="宋体"/>
                <w:szCs w:val="21"/>
              </w:rPr>
            </w:pPr>
            <w:r>
              <w:rPr>
                <w:rFonts w:hint="eastAsia" w:ascii="宋体" w:hAnsi="宋体" w:cs="宋体"/>
                <w:szCs w:val="21"/>
              </w:rPr>
              <w:t>投标</w:t>
            </w:r>
            <w:r>
              <w:rPr>
                <w:rFonts w:ascii="宋体" w:hAnsi="宋体" w:cs="宋体"/>
                <w:szCs w:val="21"/>
              </w:rPr>
              <w:t>文件</w:t>
            </w:r>
            <w:r>
              <w:rPr>
                <w:rFonts w:hint="eastAsia" w:ascii="宋体" w:hAnsi="宋体" w:cs="宋体"/>
                <w:szCs w:val="21"/>
              </w:rPr>
              <w:t>没</w:t>
            </w:r>
            <w:r>
              <w:rPr>
                <w:rFonts w:ascii="宋体" w:hAnsi="宋体" w:cs="宋体"/>
                <w:szCs w:val="21"/>
              </w:rPr>
              <w:t>有采购方不能接受的附加条件</w:t>
            </w:r>
          </w:p>
        </w:tc>
      </w:tr>
      <w:tr w14:paraId="4A59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851" w:type="dxa"/>
            <w:vAlign w:val="center"/>
          </w:tcPr>
          <w:p w14:paraId="6235CA8E">
            <w:pPr>
              <w:spacing w:line="360" w:lineRule="auto"/>
              <w:ind w:firstLine="6"/>
              <w:jc w:val="center"/>
              <w:rPr>
                <w:rFonts w:ascii="宋体" w:hAnsi="宋体" w:cs="宋体"/>
                <w:szCs w:val="21"/>
              </w:rPr>
            </w:pPr>
            <w:r>
              <w:rPr>
                <w:rFonts w:hint="eastAsia" w:ascii="宋体" w:hAnsi="宋体" w:cs="宋体"/>
                <w:szCs w:val="21"/>
              </w:rPr>
              <w:t>9</w:t>
            </w:r>
          </w:p>
        </w:tc>
        <w:tc>
          <w:tcPr>
            <w:tcW w:w="2126" w:type="dxa"/>
            <w:vAlign w:val="center"/>
          </w:tcPr>
          <w:p w14:paraId="70AC64D1">
            <w:pPr>
              <w:spacing w:line="360" w:lineRule="auto"/>
              <w:ind w:firstLine="6"/>
              <w:jc w:val="center"/>
              <w:rPr>
                <w:rFonts w:ascii="宋体" w:hAnsi="宋体" w:cs="宋体"/>
                <w:szCs w:val="21"/>
              </w:rPr>
            </w:pPr>
            <w:r>
              <w:rPr>
                <w:rFonts w:ascii="宋体" w:hAnsi="宋体" w:cs="宋体"/>
                <w:szCs w:val="21"/>
              </w:rPr>
              <w:t>其他无效情形</w:t>
            </w:r>
          </w:p>
        </w:tc>
        <w:tc>
          <w:tcPr>
            <w:tcW w:w="5954" w:type="dxa"/>
            <w:vAlign w:val="center"/>
          </w:tcPr>
          <w:p w14:paraId="212183C7">
            <w:pPr>
              <w:spacing w:line="360" w:lineRule="auto"/>
              <w:ind w:firstLine="6"/>
              <w:rPr>
                <w:rFonts w:ascii="宋体" w:hAnsi="宋体" w:cs="宋体"/>
                <w:szCs w:val="21"/>
              </w:rPr>
            </w:pPr>
            <w:r>
              <w:rPr>
                <w:rFonts w:hint="eastAsia" w:ascii="宋体" w:hAnsi="宋体" w:cs="宋体"/>
                <w:szCs w:val="21"/>
              </w:rPr>
              <w:t>投标</w:t>
            </w:r>
            <w:r>
              <w:rPr>
                <w:rFonts w:ascii="宋体" w:hAnsi="宋体" w:cs="宋体"/>
                <w:szCs w:val="21"/>
              </w:rPr>
              <w:t>文件</w:t>
            </w:r>
            <w:r>
              <w:rPr>
                <w:rFonts w:hint="eastAsia" w:ascii="宋体" w:hAnsi="宋体" w:cs="宋体"/>
                <w:szCs w:val="21"/>
              </w:rPr>
              <w:t>没</w:t>
            </w:r>
            <w:r>
              <w:rPr>
                <w:rFonts w:ascii="宋体" w:hAnsi="宋体" w:cs="宋体"/>
                <w:szCs w:val="21"/>
              </w:rPr>
              <w:t>有法律、法规和</w:t>
            </w:r>
            <w:r>
              <w:rPr>
                <w:rFonts w:hint="eastAsia" w:ascii="宋体" w:hAnsi="宋体" w:cs="宋体"/>
                <w:szCs w:val="21"/>
              </w:rPr>
              <w:t>采购</w:t>
            </w:r>
            <w:r>
              <w:rPr>
                <w:rFonts w:ascii="宋体" w:hAnsi="宋体" w:cs="宋体"/>
                <w:szCs w:val="21"/>
              </w:rPr>
              <w:t>文件规定的其他无效情形</w:t>
            </w:r>
          </w:p>
        </w:tc>
      </w:tr>
    </w:tbl>
    <w:p w14:paraId="051477DA">
      <w:pPr>
        <w:rPr>
          <w:rFonts w:ascii="宋体" w:hAnsi="宋体"/>
          <w:szCs w:val="21"/>
        </w:rPr>
      </w:pPr>
    </w:p>
    <w:p w14:paraId="291DA2B0">
      <w:pPr>
        <w:rPr>
          <w:rFonts w:ascii="宋体" w:hAnsi="宋体" w:cs="Arial"/>
          <w:b/>
          <w:bCs/>
          <w:kern w:val="0"/>
          <w:sz w:val="22"/>
          <w:szCs w:val="18"/>
        </w:rPr>
      </w:pPr>
      <w:r>
        <w:rPr>
          <w:rFonts w:hint="eastAsia" w:ascii="宋体" w:hAnsi="宋体" w:cs="Arial"/>
          <w:b/>
          <w:bCs/>
          <w:kern w:val="0"/>
          <w:sz w:val="22"/>
          <w:szCs w:val="18"/>
        </w:rPr>
        <w:br w:type="page"/>
      </w:r>
    </w:p>
    <w:p w14:paraId="3DE6C1BC">
      <w:pPr>
        <w:widowControl/>
        <w:shd w:val="clear" w:color="auto" w:fill="FFFFFF"/>
        <w:spacing w:line="360" w:lineRule="auto"/>
        <w:ind w:firstLine="420"/>
        <w:jc w:val="left"/>
        <w:outlineLvl w:val="1"/>
        <w:rPr>
          <w:rFonts w:ascii="宋体" w:hAnsi="宋体" w:cs="Arial"/>
          <w:b/>
          <w:bCs/>
          <w:kern w:val="0"/>
          <w:sz w:val="22"/>
          <w:szCs w:val="18"/>
        </w:rPr>
      </w:pPr>
      <w:bookmarkStart w:id="44" w:name="_Toc4220"/>
      <w:r>
        <w:rPr>
          <w:rFonts w:hint="eastAsia" w:ascii="宋体" w:hAnsi="宋体" w:cs="Arial"/>
          <w:b/>
          <w:bCs/>
          <w:kern w:val="0"/>
          <w:sz w:val="22"/>
          <w:szCs w:val="18"/>
        </w:rPr>
        <w:t>三、</w:t>
      </w:r>
      <w:bookmarkStart w:id="45" w:name="_Hlk116635605"/>
      <w:r>
        <w:rPr>
          <w:rFonts w:hint="eastAsia" w:ascii="宋体" w:hAnsi="宋体" w:cs="Arial"/>
          <w:b/>
          <w:bCs/>
          <w:kern w:val="0"/>
          <w:sz w:val="22"/>
          <w:szCs w:val="18"/>
        </w:rPr>
        <w:t>评分标准</w:t>
      </w:r>
      <w:bookmarkEnd w:id="44"/>
      <w:bookmarkEnd w:id="45"/>
    </w:p>
    <w:p w14:paraId="4D78BEBE">
      <w:pPr>
        <w:pStyle w:val="64"/>
        <w:numPr>
          <w:ilvl w:val="0"/>
          <w:numId w:val="7"/>
        </w:numPr>
        <w:autoSpaceDE w:val="0"/>
        <w:autoSpaceDN w:val="0"/>
        <w:adjustRightInd w:val="0"/>
        <w:spacing w:line="360" w:lineRule="auto"/>
        <w:ind w:firstLineChars="0"/>
        <w:outlineLvl w:val="2"/>
        <w:rPr>
          <w:rFonts w:ascii="宋体" w:hAnsi="宋体" w:cs="Arial"/>
          <w:b/>
          <w:bCs/>
          <w:szCs w:val="21"/>
          <w:lang w:val="zh-CN"/>
        </w:rPr>
      </w:pPr>
      <w:bookmarkStart w:id="46" w:name="_Toc7406"/>
      <w:r>
        <w:rPr>
          <w:rFonts w:ascii="宋体" w:hAnsi="宋体" w:cs="Arial"/>
          <w:b/>
          <w:bCs/>
          <w:szCs w:val="21"/>
          <w:lang w:val="zh-CN"/>
        </w:rPr>
        <w:t>评审方法</w:t>
      </w:r>
      <w:bookmarkEnd w:id="46"/>
    </w:p>
    <w:p w14:paraId="188F830B">
      <w:pPr>
        <w:spacing w:line="360" w:lineRule="auto"/>
        <w:ind w:firstLine="420" w:firstLineChars="200"/>
        <w:rPr>
          <w:rFonts w:ascii="宋体" w:hAnsi="宋体"/>
          <w:bCs/>
          <w:szCs w:val="21"/>
        </w:rPr>
      </w:pPr>
      <w:r>
        <w:rPr>
          <w:rFonts w:ascii="宋体" w:hAnsi="宋体"/>
        </w:rPr>
        <w:t>本项目采用综合评分法。</w:t>
      </w:r>
    </w:p>
    <w:p w14:paraId="6A525F23">
      <w:pPr>
        <w:pStyle w:val="64"/>
        <w:numPr>
          <w:ilvl w:val="0"/>
          <w:numId w:val="7"/>
        </w:numPr>
        <w:autoSpaceDE w:val="0"/>
        <w:autoSpaceDN w:val="0"/>
        <w:adjustRightInd w:val="0"/>
        <w:spacing w:line="360" w:lineRule="auto"/>
        <w:ind w:firstLineChars="0"/>
        <w:outlineLvl w:val="2"/>
        <w:rPr>
          <w:rFonts w:ascii="宋体" w:hAnsi="宋体" w:cs="Arial"/>
          <w:b/>
          <w:bCs/>
          <w:szCs w:val="21"/>
          <w:lang w:val="zh-CN"/>
        </w:rPr>
      </w:pPr>
      <w:bookmarkStart w:id="47" w:name="_Toc4377"/>
      <w:r>
        <w:rPr>
          <w:rFonts w:hint="eastAsia" w:ascii="宋体" w:hAnsi="宋体" w:cs="Arial"/>
          <w:b/>
          <w:bCs/>
          <w:szCs w:val="21"/>
          <w:lang w:val="zh-CN"/>
        </w:rPr>
        <w:t>综合评审因素及评审标准</w:t>
      </w:r>
      <w:bookmarkEnd w:id="47"/>
    </w:p>
    <w:p w14:paraId="2BA2EE3C">
      <w:pPr>
        <w:pStyle w:val="135"/>
        <w:widowControl w:val="0"/>
        <w:spacing w:before="0" w:beforeAutospacing="0" w:after="0" w:afterAutospacing="0" w:line="324" w:lineRule="auto"/>
        <w:ind w:firstLine="480"/>
        <w:jc w:val="both"/>
        <w:rPr>
          <w:color w:val="000000"/>
          <w:lang w:val="zh-CN"/>
        </w:rPr>
      </w:pPr>
      <w:r>
        <w:rPr>
          <w:rFonts w:hint="eastAsia"/>
          <w:color w:val="000000"/>
          <w:sz w:val="21"/>
          <w:szCs w:val="21"/>
          <w:lang w:val="zh-CN"/>
        </w:rPr>
        <w:t>采用综合评分法，</w:t>
      </w:r>
      <w:r>
        <w:rPr>
          <w:rFonts w:hint="eastAsia"/>
          <w:color w:val="000000"/>
          <w:sz w:val="21"/>
          <w:szCs w:val="21"/>
        </w:rPr>
        <w:t>满分100分。</w:t>
      </w:r>
      <w:r>
        <w:rPr>
          <w:rFonts w:hint="eastAsia"/>
          <w:color w:val="000000"/>
          <w:sz w:val="21"/>
          <w:szCs w:val="21"/>
          <w:lang w:val="zh-CN"/>
        </w:rPr>
        <w:t>评委会将对确定为实质性响应招标文件要求的投标文件进行评价和比较，评标结果按评审后得分由高到低顺序排列。得分相同的，按投标报价由低到高顺序排列。得分且投标报价相同的，按照技术部分方案优劣顺序排列，如按技术部分方案优劣顺序无法排列的，现场采用随机抽签的方式确认。投标文件满足招标文件全部实质性要求，且按照评审因素的量化指标评审得分</w:t>
      </w:r>
      <w:r>
        <w:rPr>
          <w:rFonts w:hint="eastAsia"/>
          <w:b/>
          <w:bCs/>
          <w:sz w:val="21"/>
          <w:szCs w:val="21"/>
          <w:lang w:val="zh-CN"/>
        </w:rPr>
        <w:t>第一</w:t>
      </w:r>
      <w:r>
        <w:rPr>
          <w:rFonts w:hint="eastAsia"/>
          <w:sz w:val="21"/>
          <w:szCs w:val="21"/>
          <w:lang w:val="zh-CN"/>
        </w:rPr>
        <w:t>的</w:t>
      </w:r>
      <w:r>
        <w:rPr>
          <w:rFonts w:hint="eastAsia"/>
          <w:color w:val="000000"/>
          <w:sz w:val="21"/>
          <w:szCs w:val="21"/>
          <w:lang w:val="zh-CN"/>
        </w:rPr>
        <w:t>投标人为中标候选人。</w:t>
      </w:r>
    </w:p>
    <w:tbl>
      <w:tblPr>
        <w:tblStyle w:val="36"/>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5"/>
        <w:gridCol w:w="1156"/>
        <w:gridCol w:w="6562"/>
        <w:gridCol w:w="729"/>
      </w:tblGrid>
      <w:tr w14:paraId="6F8C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0" w:hRule="atLeast"/>
        </w:trPr>
        <w:tc>
          <w:tcPr>
            <w:tcW w:w="390" w:type="pct"/>
            <w:tcMar>
              <w:top w:w="80" w:type="dxa"/>
              <w:left w:w="80" w:type="dxa"/>
              <w:bottom w:w="80" w:type="dxa"/>
              <w:right w:w="80" w:type="dxa"/>
            </w:tcMar>
            <w:vAlign w:val="center"/>
          </w:tcPr>
          <w:p w14:paraId="17FCAB03">
            <w:pPr>
              <w:widowControl/>
              <w:spacing w:line="360" w:lineRule="auto"/>
              <w:jc w:val="center"/>
              <w:rPr>
                <w:rFonts w:ascii="宋体" w:hAnsi="宋体" w:cs="宋体"/>
                <w:b/>
                <w:bCs/>
                <w:kern w:val="0"/>
                <w:szCs w:val="21"/>
              </w:rPr>
            </w:pPr>
            <w:r>
              <w:rPr>
                <w:rFonts w:hint="eastAsia" w:ascii="宋体" w:hAnsi="宋体" w:cs="宋体"/>
                <w:b/>
                <w:bCs/>
                <w:kern w:val="0"/>
                <w:szCs w:val="21"/>
              </w:rPr>
              <w:t>序号</w:t>
            </w:r>
          </w:p>
        </w:tc>
        <w:tc>
          <w:tcPr>
            <w:tcW w:w="631" w:type="pct"/>
            <w:tcMar>
              <w:top w:w="80" w:type="dxa"/>
              <w:left w:w="80" w:type="dxa"/>
              <w:bottom w:w="80" w:type="dxa"/>
              <w:right w:w="80" w:type="dxa"/>
            </w:tcMar>
            <w:vAlign w:val="center"/>
          </w:tcPr>
          <w:p w14:paraId="495FDB4D">
            <w:pPr>
              <w:widowControl/>
              <w:spacing w:line="360" w:lineRule="auto"/>
              <w:jc w:val="center"/>
              <w:rPr>
                <w:rFonts w:ascii="宋体" w:hAnsi="宋体" w:cs="宋体"/>
                <w:b/>
                <w:bCs/>
                <w:szCs w:val="21"/>
              </w:rPr>
            </w:pPr>
            <w:r>
              <w:rPr>
                <w:rFonts w:hint="eastAsia" w:ascii="宋体" w:hAnsi="宋体" w:cs="宋体"/>
                <w:b/>
                <w:bCs/>
                <w:kern w:val="0"/>
                <w:szCs w:val="21"/>
              </w:rPr>
              <w:t>评审因素</w:t>
            </w:r>
          </w:p>
        </w:tc>
        <w:tc>
          <w:tcPr>
            <w:tcW w:w="3581" w:type="pct"/>
            <w:tcMar>
              <w:top w:w="80" w:type="dxa"/>
              <w:left w:w="80" w:type="dxa"/>
              <w:bottom w:w="80" w:type="dxa"/>
              <w:right w:w="80" w:type="dxa"/>
            </w:tcMar>
            <w:vAlign w:val="center"/>
          </w:tcPr>
          <w:p w14:paraId="404A81D3">
            <w:pPr>
              <w:widowControl/>
              <w:spacing w:line="360" w:lineRule="auto"/>
              <w:jc w:val="center"/>
              <w:rPr>
                <w:rFonts w:ascii="宋体" w:hAnsi="宋体" w:cs="宋体"/>
                <w:b/>
                <w:bCs/>
                <w:szCs w:val="21"/>
              </w:rPr>
            </w:pPr>
            <w:r>
              <w:rPr>
                <w:rFonts w:hint="eastAsia" w:ascii="宋体" w:hAnsi="宋体" w:cs="宋体"/>
                <w:b/>
                <w:bCs/>
                <w:kern w:val="0"/>
                <w:szCs w:val="21"/>
              </w:rPr>
              <w:t>评审标准</w:t>
            </w:r>
          </w:p>
        </w:tc>
        <w:tc>
          <w:tcPr>
            <w:tcW w:w="398" w:type="pct"/>
            <w:tcMar>
              <w:top w:w="80" w:type="dxa"/>
              <w:left w:w="80" w:type="dxa"/>
              <w:bottom w:w="80" w:type="dxa"/>
              <w:right w:w="80" w:type="dxa"/>
            </w:tcMar>
            <w:vAlign w:val="center"/>
          </w:tcPr>
          <w:p w14:paraId="35D58C44">
            <w:pPr>
              <w:widowControl/>
              <w:spacing w:line="360" w:lineRule="auto"/>
              <w:jc w:val="center"/>
              <w:rPr>
                <w:rFonts w:ascii="宋体" w:hAnsi="宋体" w:cs="宋体"/>
                <w:b/>
                <w:bCs/>
                <w:szCs w:val="21"/>
              </w:rPr>
            </w:pPr>
            <w:r>
              <w:rPr>
                <w:rFonts w:hint="eastAsia" w:ascii="宋体" w:hAnsi="宋体" w:cs="宋体"/>
                <w:b/>
                <w:bCs/>
                <w:kern w:val="0"/>
                <w:szCs w:val="21"/>
              </w:rPr>
              <w:t>分值</w:t>
            </w:r>
          </w:p>
        </w:tc>
      </w:tr>
      <w:tr w14:paraId="6BA6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390" w:type="pct"/>
            <w:tcMar>
              <w:top w:w="80" w:type="dxa"/>
              <w:left w:w="80" w:type="dxa"/>
              <w:bottom w:w="80" w:type="dxa"/>
              <w:right w:w="80" w:type="dxa"/>
            </w:tcMar>
            <w:vAlign w:val="center"/>
          </w:tcPr>
          <w:p w14:paraId="46AE5D95">
            <w:pPr>
              <w:widowControl/>
              <w:spacing w:line="360" w:lineRule="auto"/>
              <w:jc w:val="center"/>
              <w:rPr>
                <w:rFonts w:ascii="宋体" w:hAnsi="宋体" w:cs="宋体"/>
                <w:b/>
                <w:bCs/>
                <w:szCs w:val="21"/>
              </w:rPr>
            </w:pPr>
            <w:r>
              <w:rPr>
                <w:rFonts w:hint="eastAsia" w:ascii="宋体" w:hAnsi="宋体" w:cs="宋体"/>
                <w:b/>
                <w:bCs/>
                <w:szCs w:val="21"/>
              </w:rPr>
              <w:t>1</w:t>
            </w:r>
          </w:p>
        </w:tc>
        <w:tc>
          <w:tcPr>
            <w:tcW w:w="631" w:type="pct"/>
            <w:tcMar>
              <w:top w:w="80" w:type="dxa"/>
              <w:left w:w="80" w:type="dxa"/>
              <w:bottom w:w="80" w:type="dxa"/>
              <w:right w:w="80" w:type="dxa"/>
            </w:tcMar>
            <w:vAlign w:val="center"/>
          </w:tcPr>
          <w:p w14:paraId="73B3CF94">
            <w:pPr>
              <w:widowControl/>
              <w:spacing w:line="360" w:lineRule="auto"/>
              <w:jc w:val="center"/>
              <w:rPr>
                <w:rFonts w:ascii="宋体" w:hAnsi="宋体" w:cs="宋体"/>
                <w:b/>
                <w:bCs/>
                <w:szCs w:val="21"/>
              </w:rPr>
            </w:pPr>
            <w:r>
              <w:rPr>
                <w:rFonts w:hint="eastAsia" w:ascii="宋体" w:hAnsi="宋体" w:cs="宋体"/>
                <w:b/>
                <w:bCs/>
                <w:szCs w:val="21"/>
              </w:rPr>
              <w:t>报价</w:t>
            </w:r>
          </w:p>
        </w:tc>
        <w:tc>
          <w:tcPr>
            <w:tcW w:w="3581" w:type="pct"/>
            <w:tcMar>
              <w:top w:w="80" w:type="dxa"/>
              <w:left w:w="80" w:type="dxa"/>
              <w:bottom w:w="80" w:type="dxa"/>
              <w:right w:w="80" w:type="dxa"/>
            </w:tcMar>
            <w:vAlign w:val="center"/>
          </w:tcPr>
          <w:p w14:paraId="636F2F7D">
            <w:pPr>
              <w:spacing w:line="360" w:lineRule="auto"/>
              <w:rPr>
                <w:szCs w:val="21"/>
              </w:rPr>
            </w:pPr>
            <w:r>
              <w:rPr>
                <w:szCs w:val="21"/>
              </w:rPr>
              <w:t>采用低价优先法计算，即满足采购文件要求且</w:t>
            </w:r>
            <w:r>
              <w:rPr>
                <w:rFonts w:hint="eastAsia"/>
                <w:szCs w:val="21"/>
              </w:rPr>
              <w:t>投标价格</w:t>
            </w:r>
            <w:r>
              <w:rPr>
                <w:rFonts w:hint="eastAsia"/>
                <w:b/>
                <w:bCs/>
                <w:szCs w:val="21"/>
              </w:rPr>
              <w:t>（每公斤单价）</w:t>
            </w:r>
            <w:r>
              <w:rPr>
                <w:szCs w:val="21"/>
              </w:rPr>
              <w:t>最低的供应商</w:t>
            </w:r>
            <w:r>
              <w:rPr>
                <w:rFonts w:hint="eastAsia"/>
                <w:szCs w:val="21"/>
              </w:rPr>
              <w:t>投标</w:t>
            </w:r>
            <w:r>
              <w:rPr>
                <w:szCs w:val="21"/>
              </w:rPr>
              <w:t>报价为评标基准价，其价格分为满分</w:t>
            </w:r>
            <w:r>
              <w:rPr>
                <w:rFonts w:hint="eastAsia"/>
                <w:szCs w:val="21"/>
              </w:rPr>
              <w:t>38</w:t>
            </w:r>
            <w:r>
              <w:rPr>
                <w:szCs w:val="21"/>
              </w:rPr>
              <w:t>分，其它投标人的价格分统一按照以下公式计算：</w:t>
            </w:r>
          </w:p>
          <w:p w14:paraId="0A269952">
            <w:pPr>
              <w:spacing w:line="360" w:lineRule="auto"/>
              <w:rPr>
                <w:rFonts w:ascii="宋体" w:hAnsi="宋体" w:cs="宋体"/>
                <w:szCs w:val="21"/>
              </w:rPr>
            </w:pPr>
            <w:r>
              <w:rPr>
                <w:szCs w:val="21"/>
              </w:rPr>
              <w:t>投标报价得分=（评标基准价/该投标人的投标报价）×</w:t>
            </w:r>
            <w:r>
              <w:rPr>
                <w:rFonts w:hint="eastAsia"/>
                <w:szCs w:val="21"/>
              </w:rPr>
              <w:t>38</w:t>
            </w:r>
            <w:r>
              <w:rPr>
                <w:szCs w:val="21"/>
              </w:rPr>
              <w:t>分。分值保留小数点后2位。</w:t>
            </w:r>
          </w:p>
        </w:tc>
        <w:tc>
          <w:tcPr>
            <w:tcW w:w="398" w:type="pct"/>
            <w:tcMar>
              <w:top w:w="80" w:type="dxa"/>
              <w:left w:w="80" w:type="dxa"/>
              <w:bottom w:w="80" w:type="dxa"/>
              <w:right w:w="80" w:type="dxa"/>
            </w:tcMar>
            <w:vAlign w:val="center"/>
          </w:tcPr>
          <w:p w14:paraId="61FF6720">
            <w:pPr>
              <w:spacing w:line="360" w:lineRule="auto"/>
              <w:jc w:val="center"/>
              <w:rPr>
                <w:rFonts w:ascii="宋体" w:hAnsi="宋体" w:cs="宋体"/>
                <w:szCs w:val="21"/>
              </w:rPr>
            </w:pPr>
            <w:r>
              <w:rPr>
                <w:rFonts w:hint="eastAsia" w:ascii="宋体" w:hAnsi="宋体" w:cs="宋体"/>
                <w:szCs w:val="21"/>
              </w:rPr>
              <w:t>38</w:t>
            </w:r>
          </w:p>
        </w:tc>
      </w:tr>
      <w:tr w14:paraId="4D0D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390" w:type="pct"/>
            <w:tcMar>
              <w:top w:w="80" w:type="dxa"/>
              <w:left w:w="80" w:type="dxa"/>
              <w:bottom w:w="80" w:type="dxa"/>
              <w:right w:w="80" w:type="dxa"/>
            </w:tcMar>
            <w:vAlign w:val="center"/>
          </w:tcPr>
          <w:p w14:paraId="77B5438B">
            <w:pPr>
              <w:widowControl/>
              <w:spacing w:line="360" w:lineRule="auto"/>
              <w:jc w:val="center"/>
              <w:rPr>
                <w:rFonts w:ascii="宋体" w:hAnsi="宋体" w:cs="宋体"/>
                <w:b/>
                <w:bCs/>
                <w:szCs w:val="21"/>
              </w:rPr>
            </w:pPr>
            <w:r>
              <w:rPr>
                <w:rFonts w:hint="eastAsia" w:ascii="宋体" w:hAnsi="宋体" w:cs="宋体"/>
                <w:b/>
                <w:bCs/>
                <w:szCs w:val="21"/>
              </w:rPr>
              <w:t>2</w:t>
            </w:r>
          </w:p>
        </w:tc>
        <w:tc>
          <w:tcPr>
            <w:tcW w:w="631" w:type="pct"/>
            <w:tcMar>
              <w:top w:w="80" w:type="dxa"/>
              <w:left w:w="80" w:type="dxa"/>
              <w:bottom w:w="80" w:type="dxa"/>
              <w:right w:w="80" w:type="dxa"/>
            </w:tcMar>
            <w:vAlign w:val="center"/>
          </w:tcPr>
          <w:p w14:paraId="1F5DE599">
            <w:pPr>
              <w:spacing w:line="360" w:lineRule="auto"/>
              <w:jc w:val="center"/>
              <w:rPr>
                <w:rFonts w:ascii="宋体" w:hAnsi="宋体" w:cs="宋体"/>
                <w:b/>
                <w:bCs/>
                <w:szCs w:val="21"/>
              </w:rPr>
            </w:pPr>
            <w:r>
              <w:rPr>
                <w:rFonts w:hint="eastAsia" w:ascii="宋体" w:hAnsi="宋体" w:cs="宋体"/>
                <w:b/>
                <w:bCs/>
                <w:szCs w:val="21"/>
              </w:rPr>
              <w:t>技术指标响应</w:t>
            </w:r>
          </w:p>
        </w:tc>
        <w:tc>
          <w:tcPr>
            <w:tcW w:w="3581" w:type="pct"/>
            <w:tcMar>
              <w:top w:w="80" w:type="dxa"/>
              <w:left w:w="80" w:type="dxa"/>
              <w:bottom w:w="80" w:type="dxa"/>
              <w:right w:w="80" w:type="dxa"/>
            </w:tcMar>
            <w:vAlign w:val="center"/>
          </w:tcPr>
          <w:p w14:paraId="1F0DA78C">
            <w:pPr>
              <w:spacing w:line="360" w:lineRule="auto"/>
              <w:rPr>
                <w:rFonts w:ascii="宋体" w:hAnsi="宋体" w:cs="宋体"/>
                <w:szCs w:val="21"/>
              </w:rPr>
            </w:pPr>
            <w:r>
              <w:rPr>
                <w:rFonts w:hint="eastAsia" w:ascii="宋体" w:hAnsi="宋体" w:cs="宋体"/>
                <w:szCs w:val="21"/>
              </w:rPr>
              <w:t>所响应产品技术参数符合采购文件中技术要求的得满分36分。采购文件中标注“★”的内容为实质性要求，有一项不符合的，作无效投标处理；其他非重要参数共计9条，每有一项负偏离扣4分，扣完为止。</w:t>
            </w:r>
          </w:p>
          <w:p w14:paraId="41039C8C">
            <w:pPr>
              <w:spacing w:line="360" w:lineRule="auto"/>
              <w:rPr>
                <w:rFonts w:ascii="宋体" w:hAnsi="宋体" w:cs="宋体"/>
                <w:szCs w:val="21"/>
              </w:rPr>
            </w:pPr>
            <w:r>
              <w:rPr>
                <w:rFonts w:hint="eastAsia" w:ascii="宋体" w:hAnsi="宋体" w:cs="宋体"/>
                <w:szCs w:val="21"/>
              </w:rPr>
              <w:t>注：（1）对标注“★”项的技术要求在技术条款偏离表中响应的同时，必须在投标文件中提供第三方机构出具的检验报告或原厂的产品说明书或产品彩页或技术白皮书或可查询的产品制造商官网截图（附官网链接）等佐证材料（如为复印件需加盖投标人公章），未提供佐证资料的，评标时不予认可。</w:t>
            </w:r>
            <w:r>
              <w:rPr>
                <w:rFonts w:hint="eastAsia" w:ascii="宋体" w:hAnsi="宋体" w:cs="宋体"/>
                <w:b/>
                <w:bCs/>
                <w:szCs w:val="21"/>
              </w:rPr>
              <w:t>技术支持资料应在评审索引表中详细标明所在响应文件中的页码位置。如产品资料为英文版，请同时提供中文版</w:t>
            </w:r>
            <w:r>
              <w:rPr>
                <w:rFonts w:hint="eastAsia" w:ascii="宋体" w:hAnsi="宋体" w:cs="宋体"/>
                <w:szCs w:val="21"/>
              </w:rPr>
              <w:t>（2）其他非重要参数则以技术条款偏离表中应答为准。（3）凡标有最低一级序号的指标项即为一项技术条款，无论是否隶属于上一级编号。</w:t>
            </w:r>
          </w:p>
        </w:tc>
        <w:tc>
          <w:tcPr>
            <w:tcW w:w="398" w:type="pct"/>
            <w:tcMar>
              <w:top w:w="80" w:type="dxa"/>
              <w:left w:w="80" w:type="dxa"/>
              <w:bottom w:w="80" w:type="dxa"/>
              <w:right w:w="80" w:type="dxa"/>
            </w:tcMar>
            <w:vAlign w:val="center"/>
          </w:tcPr>
          <w:p w14:paraId="1B083827">
            <w:pPr>
              <w:adjustRightInd w:val="0"/>
              <w:spacing w:line="360" w:lineRule="auto"/>
              <w:jc w:val="center"/>
              <w:rPr>
                <w:rFonts w:ascii="宋体" w:hAnsi="宋体" w:cs="宋体"/>
                <w:szCs w:val="21"/>
              </w:rPr>
            </w:pPr>
            <w:r>
              <w:rPr>
                <w:rFonts w:hint="eastAsia" w:ascii="宋体" w:hAnsi="宋体" w:cs="宋体"/>
                <w:szCs w:val="21"/>
              </w:rPr>
              <w:t>36</w:t>
            </w:r>
          </w:p>
        </w:tc>
      </w:tr>
      <w:tr w14:paraId="1944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5" w:hRule="atLeast"/>
        </w:trPr>
        <w:tc>
          <w:tcPr>
            <w:tcW w:w="390" w:type="pct"/>
            <w:vAlign w:val="center"/>
          </w:tcPr>
          <w:p w14:paraId="1A4EAA68">
            <w:pPr>
              <w:spacing w:line="360" w:lineRule="auto"/>
              <w:jc w:val="center"/>
              <w:rPr>
                <w:rFonts w:ascii="宋体" w:hAnsi="宋体" w:cs="宋体"/>
                <w:szCs w:val="21"/>
              </w:rPr>
            </w:pPr>
            <w:r>
              <w:rPr>
                <w:rFonts w:hint="eastAsia" w:ascii="宋体" w:hAnsi="宋体" w:cs="宋体"/>
                <w:szCs w:val="21"/>
              </w:rPr>
              <w:t>3</w:t>
            </w:r>
          </w:p>
        </w:tc>
        <w:tc>
          <w:tcPr>
            <w:tcW w:w="631" w:type="pct"/>
            <w:vAlign w:val="center"/>
          </w:tcPr>
          <w:p w14:paraId="7CD75A19">
            <w:pPr>
              <w:spacing w:line="360" w:lineRule="auto"/>
              <w:jc w:val="center"/>
              <w:rPr>
                <w:rFonts w:ascii="宋体" w:hAnsi="宋体" w:cs="宋体"/>
                <w:szCs w:val="21"/>
              </w:rPr>
            </w:pPr>
            <w:r>
              <w:rPr>
                <w:rFonts w:hint="eastAsia" w:ascii="宋体" w:hAnsi="宋体" w:cs="宋体"/>
                <w:kern w:val="0"/>
                <w:szCs w:val="21"/>
              </w:rPr>
              <w:t>企业实力</w:t>
            </w:r>
          </w:p>
        </w:tc>
        <w:tc>
          <w:tcPr>
            <w:tcW w:w="3581" w:type="pct"/>
            <w:tcMar>
              <w:top w:w="80" w:type="dxa"/>
              <w:left w:w="80" w:type="dxa"/>
              <w:bottom w:w="80" w:type="dxa"/>
              <w:right w:w="80" w:type="dxa"/>
            </w:tcMar>
            <w:vAlign w:val="center"/>
          </w:tcPr>
          <w:p w14:paraId="6C0E626D">
            <w:pPr>
              <w:spacing w:line="360" w:lineRule="auto"/>
              <w:rPr>
                <w:rFonts w:ascii="宋体" w:hAnsi="宋体" w:cs="宋体"/>
                <w:szCs w:val="21"/>
              </w:rPr>
            </w:pPr>
            <w:r>
              <w:rPr>
                <w:rFonts w:ascii="宋体" w:hAnsi="宋体" w:cs="宋体"/>
                <w:szCs w:val="21"/>
              </w:rPr>
              <w:t>投标人具备有效期内的质量管理体系认证、环境管理体系认证、职业健康安全管理体系认证证书，每提供 1 项得 1 分，本项最高得 3 分。</w:t>
            </w:r>
          </w:p>
          <w:p w14:paraId="2191C9AE">
            <w:pPr>
              <w:spacing w:line="360" w:lineRule="auto"/>
              <w:rPr>
                <w:rFonts w:ascii="宋体" w:hAnsi="宋体" w:cs="宋体"/>
                <w:szCs w:val="21"/>
              </w:rPr>
            </w:pPr>
            <w:r>
              <w:rPr>
                <w:rFonts w:ascii="宋体" w:hAnsi="宋体" w:cs="宋体"/>
                <w:szCs w:val="21"/>
              </w:rPr>
              <w:t>注：须提供投标人自身有效期内的证书复印件，同时提供全国认证认可信息公共服务平台查询的证书有效期状态截图作为证明材料；证书不在有效期、非投标人自有、未同时提供上述两项证明材料的，本项不予得分。</w:t>
            </w:r>
          </w:p>
        </w:tc>
        <w:tc>
          <w:tcPr>
            <w:tcW w:w="398" w:type="pct"/>
            <w:tcMar>
              <w:top w:w="80" w:type="dxa"/>
              <w:left w:w="80" w:type="dxa"/>
              <w:bottom w:w="80" w:type="dxa"/>
              <w:right w:w="80" w:type="dxa"/>
            </w:tcMar>
            <w:vAlign w:val="center"/>
          </w:tcPr>
          <w:p w14:paraId="7EECA3CC">
            <w:pPr>
              <w:spacing w:line="360" w:lineRule="auto"/>
              <w:jc w:val="center"/>
              <w:rPr>
                <w:rFonts w:ascii="宋体" w:hAnsi="宋体" w:cs="宋体"/>
                <w:szCs w:val="21"/>
              </w:rPr>
            </w:pPr>
            <w:r>
              <w:rPr>
                <w:rFonts w:hint="eastAsia" w:ascii="宋体" w:hAnsi="宋体" w:cs="宋体"/>
                <w:szCs w:val="21"/>
              </w:rPr>
              <w:t>3</w:t>
            </w:r>
          </w:p>
        </w:tc>
      </w:tr>
      <w:tr w14:paraId="7F6F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trPr>
        <w:tc>
          <w:tcPr>
            <w:tcW w:w="390" w:type="pct"/>
            <w:vAlign w:val="center"/>
          </w:tcPr>
          <w:p w14:paraId="449794E7">
            <w:pPr>
              <w:spacing w:line="360" w:lineRule="auto"/>
              <w:jc w:val="center"/>
              <w:rPr>
                <w:rFonts w:ascii="宋体" w:hAnsi="宋体" w:cs="宋体"/>
                <w:szCs w:val="21"/>
              </w:rPr>
            </w:pPr>
            <w:r>
              <w:rPr>
                <w:rFonts w:hint="eastAsia" w:ascii="宋体" w:hAnsi="宋体" w:cs="宋体"/>
                <w:szCs w:val="21"/>
              </w:rPr>
              <w:t>4</w:t>
            </w:r>
          </w:p>
        </w:tc>
        <w:tc>
          <w:tcPr>
            <w:tcW w:w="631" w:type="pct"/>
            <w:vAlign w:val="center"/>
          </w:tcPr>
          <w:p w14:paraId="52BFEC84">
            <w:pPr>
              <w:spacing w:line="360" w:lineRule="auto"/>
              <w:jc w:val="center"/>
              <w:rPr>
                <w:rFonts w:ascii="宋体" w:hAnsi="宋体" w:cs="宋体"/>
                <w:szCs w:val="21"/>
              </w:rPr>
            </w:pPr>
            <w:r>
              <w:rPr>
                <w:rFonts w:hint="eastAsia" w:ascii="宋体" w:hAnsi="宋体" w:cs="宋体"/>
                <w:szCs w:val="21"/>
              </w:rPr>
              <w:t>业绩</w:t>
            </w:r>
          </w:p>
        </w:tc>
        <w:tc>
          <w:tcPr>
            <w:tcW w:w="3581" w:type="pct"/>
            <w:tcMar>
              <w:top w:w="80" w:type="dxa"/>
              <w:left w:w="80" w:type="dxa"/>
              <w:bottom w:w="80" w:type="dxa"/>
              <w:right w:w="80" w:type="dxa"/>
            </w:tcMar>
            <w:vAlign w:val="center"/>
          </w:tcPr>
          <w:p w14:paraId="036AE92C">
            <w:pPr>
              <w:pStyle w:val="9"/>
              <w:spacing w:line="360" w:lineRule="auto"/>
              <w:rPr>
                <w:rFonts w:ascii="宋体" w:hAnsi="宋体" w:cs="宋体"/>
                <w:szCs w:val="21"/>
              </w:rPr>
            </w:pPr>
            <w:r>
              <w:rPr>
                <w:rFonts w:hint="eastAsia" w:ascii="宋体" w:hAnsi="宋体" w:cs="宋体"/>
                <w:szCs w:val="21"/>
              </w:rPr>
              <w:t>投标人提供自2023年1月1日以来，同类项目业绩经验，每提供1个有效合同得2分，最高得10分。</w:t>
            </w:r>
          </w:p>
          <w:p w14:paraId="3DB75925">
            <w:pPr>
              <w:pStyle w:val="9"/>
              <w:spacing w:line="360" w:lineRule="auto"/>
              <w:rPr>
                <w:rFonts w:ascii="宋体" w:hAnsi="宋体" w:cs="宋体"/>
                <w:szCs w:val="21"/>
              </w:rPr>
            </w:pPr>
            <w:r>
              <w:rPr>
                <w:rFonts w:hint="eastAsia" w:ascii="宋体" w:hAnsi="宋体" w:cs="宋体"/>
                <w:szCs w:val="21"/>
              </w:rPr>
              <w:t>注：需提供合同复印件加盖投标人公章，中标后原件备查。</w:t>
            </w:r>
          </w:p>
        </w:tc>
        <w:tc>
          <w:tcPr>
            <w:tcW w:w="398" w:type="pct"/>
            <w:tcMar>
              <w:top w:w="80" w:type="dxa"/>
              <w:left w:w="80" w:type="dxa"/>
              <w:bottom w:w="80" w:type="dxa"/>
              <w:right w:w="80" w:type="dxa"/>
            </w:tcMar>
            <w:vAlign w:val="center"/>
          </w:tcPr>
          <w:p w14:paraId="2D034569">
            <w:pPr>
              <w:spacing w:line="360" w:lineRule="auto"/>
              <w:jc w:val="center"/>
              <w:rPr>
                <w:rFonts w:ascii="宋体" w:hAnsi="宋体" w:cs="宋体"/>
                <w:szCs w:val="21"/>
              </w:rPr>
            </w:pPr>
            <w:r>
              <w:rPr>
                <w:rFonts w:hint="eastAsia" w:ascii="宋体" w:hAnsi="宋体" w:cs="宋体"/>
                <w:szCs w:val="21"/>
              </w:rPr>
              <w:t>10</w:t>
            </w:r>
          </w:p>
        </w:tc>
      </w:tr>
      <w:tr w14:paraId="719E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30" w:hRule="atLeast"/>
        </w:trPr>
        <w:tc>
          <w:tcPr>
            <w:tcW w:w="390" w:type="pct"/>
            <w:vAlign w:val="center"/>
          </w:tcPr>
          <w:p w14:paraId="5583CD8B">
            <w:pPr>
              <w:spacing w:line="360" w:lineRule="auto"/>
              <w:jc w:val="center"/>
              <w:rPr>
                <w:rFonts w:ascii="宋体" w:hAnsi="宋体" w:cs="宋体"/>
                <w:szCs w:val="21"/>
              </w:rPr>
            </w:pPr>
            <w:r>
              <w:rPr>
                <w:rFonts w:hint="eastAsia" w:ascii="宋体" w:hAnsi="宋体" w:cs="宋体"/>
                <w:szCs w:val="21"/>
              </w:rPr>
              <w:t>5</w:t>
            </w:r>
          </w:p>
        </w:tc>
        <w:tc>
          <w:tcPr>
            <w:tcW w:w="631" w:type="pct"/>
            <w:vAlign w:val="center"/>
          </w:tcPr>
          <w:p w14:paraId="79EFEC2D">
            <w:pPr>
              <w:spacing w:line="360" w:lineRule="auto"/>
              <w:jc w:val="center"/>
              <w:rPr>
                <w:rFonts w:ascii="宋体" w:hAnsi="宋体" w:cs="宋体"/>
                <w:szCs w:val="21"/>
              </w:rPr>
            </w:pPr>
            <w:r>
              <w:rPr>
                <w:rFonts w:hint="eastAsia" w:ascii="宋体" w:hAnsi="宋体" w:cs="宋体"/>
                <w:szCs w:val="21"/>
              </w:rPr>
              <w:t>质量保证措施</w:t>
            </w:r>
          </w:p>
        </w:tc>
        <w:tc>
          <w:tcPr>
            <w:tcW w:w="3581" w:type="pct"/>
            <w:tcMar>
              <w:top w:w="80" w:type="dxa"/>
              <w:left w:w="80" w:type="dxa"/>
              <w:bottom w:w="80" w:type="dxa"/>
              <w:right w:w="80" w:type="dxa"/>
            </w:tcMar>
            <w:vAlign w:val="center"/>
          </w:tcPr>
          <w:p w14:paraId="164D9612">
            <w:pPr>
              <w:spacing w:line="360" w:lineRule="auto"/>
              <w:rPr>
                <w:rFonts w:ascii="宋体" w:hAnsi="宋体" w:cs="宋体"/>
                <w:kern w:val="0"/>
                <w:szCs w:val="21"/>
              </w:rPr>
            </w:pPr>
            <w:r>
              <w:rPr>
                <w:rFonts w:hint="eastAsia" w:ascii="宋体" w:hAnsi="宋体" w:cs="宋体"/>
                <w:kern w:val="0"/>
                <w:szCs w:val="21"/>
              </w:rPr>
              <w:t>对投标人提供的质量保证措施（包含生产、仓储、包装等各关键节点且包含检验检测制度、人员配置管理等）进行评分：</w:t>
            </w:r>
          </w:p>
          <w:p w14:paraId="12384DC1">
            <w:pPr>
              <w:widowControl/>
              <w:spacing w:line="360" w:lineRule="auto"/>
              <w:jc w:val="left"/>
              <w:rPr>
                <w:rFonts w:ascii="宋体" w:hAnsi="宋体" w:cs="宋体"/>
                <w:kern w:val="0"/>
                <w:szCs w:val="21"/>
              </w:rPr>
            </w:pPr>
            <w:r>
              <w:rPr>
                <w:rFonts w:hint="eastAsia" w:ascii="宋体" w:hAnsi="宋体" w:cs="宋体"/>
                <w:szCs w:val="21"/>
              </w:rPr>
              <w:t>质量保证</w:t>
            </w:r>
            <w:r>
              <w:rPr>
                <w:rFonts w:hint="eastAsia" w:ascii="宋体" w:hAnsi="宋体" w:cs="宋体"/>
                <w:kern w:val="0"/>
                <w:szCs w:val="21"/>
              </w:rPr>
              <w:t>措施内容全面、切实可行强、完全符合招标文件要求的，得5分；</w:t>
            </w:r>
          </w:p>
          <w:p w14:paraId="10B608A2">
            <w:pPr>
              <w:widowControl/>
              <w:spacing w:line="360" w:lineRule="auto"/>
              <w:jc w:val="left"/>
              <w:rPr>
                <w:rFonts w:ascii="宋体" w:hAnsi="宋体" w:cs="宋体"/>
                <w:kern w:val="0"/>
                <w:szCs w:val="21"/>
              </w:rPr>
            </w:pPr>
            <w:r>
              <w:rPr>
                <w:rFonts w:hint="eastAsia" w:ascii="宋体" w:hAnsi="宋体" w:cs="宋体"/>
                <w:kern w:val="0"/>
                <w:szCs w:val="21"/>
              </w:rPr>
              <w:t>质量保证措施内容略有缺失、可行性较强、符合招标文件要求的得3分；</w:t>
            </w:r>
          </w:p>
          <w:p w14:paraId="4B3C7BA8">
            <w:pPr>
              <w:widowControl/>
              <w:spacing w:line="360" w:lineRule="auto"/>
              <w:jc w:val="left"/>
              <w:rPr>
                <w:rFonts w:ascii="宋体" w:hAnsi="宋体" w:cs="宋体"/>
                <w:kern w:val="0"/>
                <w:szCs w:val="21"/>
              </w:rPr>
            </w:pPr>
            <w:r>
              <w:rPr>
                <w:rFonts w:hint="eastAsia" w:ascii="宋体" w:hAnsi="宋体" w:cs="宋体"/>
                <w:kern w:val="0"/>
                <w:szCs w:val="21"/>
              </w:rPr>
              <w:t>质量保证措施内容缺失较多、可行性一般、不能完全符合招标文件要求的得1分；</w:t>
            </w:r>
          </w:p>
          <w:p w14:paraId="5E991006">
            <w:pPr>
              <w:widowControl/>
              <w:spacing w:line="360" w:lineRule="auto"/>
              <w:jc w:val="left"/>
              <w:rPr>
                <w:rFonts w:ascii="宋体" w:hAnsi="宋体" w:cs="宋体"/>
                <w:kern w:val="0"/>
                <w:szCs w:val="21"/>
              </w:rPr>
            </w:pPr>
            <w:r>
              <w:rPr>
                <w:rFonts w:hint="eastAsia" w:ascii="宋体" w:hAnsi="宋体" w:cs="宋体"/>
                <w:kern w:val="0"/>
                <w:szCs w:val="21"/>
              </w:rPr>
              <w:t>未提供不得分。</w:t>
            </w:r>
          </w:p>
        </w:tc>
        <w:tc>
          <w:tcPr>
            <w:tcW w:w="398" w:type="pct"/>
            <w:tcMar>
              <w:top w:w="80" w:type="dxa"/>
              <w:left w:w="80" w:type="dxa"/>
              <w:bottom w:w="80" w:type="dxa"/>
              <w:right w:w="80" w:type="dxa"/>
            </w:tcMar>
            <w:vAlign w:val="center"/>
          </w:tcPr>
          <w:p w14:paraId="770C00D9">
            <w:pPr>
              <w:spacing w:line="360" w:lineRule="auto"/>
              <w:jc w:val="center"/>
              <w:rPr>
                <w:rFonts w:ascii="宋体" w:hAnsi="宋体" w:cs="宋体"/>
                <w:szCs w:val="21"/>
              </w:rPr>
            </w:pPr>
            <w:r>
              <w:rPr>
                <w:rFonts w:hint="eastAsia" w:ascii="宋体" w:hAnsi="宋体" w:cs="宋体"/>
                <w:kern w:val="0"/>
                <w:szCs w:val="21"/>
              </w:rPr>
              <w:t>5</w:t>
            </w:r>
          </w:p>
        </w:tc>
      </w:tr>
      <w:tr w14:paraId="28FB4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30" w:hRule="atLeast"/>
        </w:trPr>
        <w:tc>
          <w:tcPr>
            <w:tcW w:w="390" w:type="pct"/>
            <w:vAlign w:val="center"/>
          </w:tcPr>
          <w:p w14:paraId="1523309C">
            <w:pPr>
              <w:spacing w:line="360" w:lineRule="auto"/>
              <w:jc w:val="center"/>
              <w:rPr>
                <w:rFonts w:ascii="宋体" w:hAnsi="宋体" w:cs="宋体"/>
                <w:szCs w:val="21"/>
              </w:rPr>
            </w:pPr>
            <w:r>
              <w:rPr>
                <w:rFonts w:hint="eastAsia" w:ascii="宋体" w:hAnsi="宋体" w:cs="宋体"/>
                <w:szCs w:val="21"/>
              </w:rPr>
              <w:t>6</w:t>
            </w:r>
          </w:p>
        </w:tc>
        <w:tc>
          <w:tcPr>
            <w:tcW w:w="631" w:type="pct"/>
            <w:vAlign w:val="center"/>
          </w:tcPr>
          <w:p w14:paraId="1A525ECA">
            <w:pPr>
              <w:spacing w:line="360" w:lineRule="auto"/>
              <w:jc w:val="center"/>
              <w:rPr>
                <w:rFonts w:ascii="宋体" w:hAnsi="宋体" w:cs="宋体"/>
                <w:szCs w:val="21"/>
              </w:rPr>
            </w:pPr>
            <w:r>
              <w:rPr>
                <w:rFonts w:hint="eastAsia" w:ascii="宋体" w:hAnsi="宋体" w:cs="宋体"/>
                <w:szCs w:val="21"/>
              </w:rPr>
              <w:t>安全保证</w:t>
            </w:r>
          </w:p>
          <w:p w14:paraId="4553B4B1">
            <w:pPr>
              <w:spacing w:line="360" w:lineRule="auto"/>
              <w:jc w:val="center"/>
              <w:rPr>
                <w:rFonts w:ascii="宋体" w:hAnsi="宋体" w:cs="宋体"/>
                <w:szCs w:val="21"/>
              </w:rPr>
            </w:pPr>
            <w:r>
              <w:rPr>
                <w:rFonts w:hint="eastAsia" w:ascii="宋体" w:hAnsi="宋体" w:cs="宋体"/>
                <w:szCs w:val="21"/>
              </w:rPr>
              <w:t>措施</w:t>
            </w:r>
          </w:p>
        </w:tc>
        <w:tc>
          <w:tcPr>
            <w:tcW w:w="3581" w:type="pct"/>
            <w:tcMar>
              <w:top w:w="80" w:type="dxa"/>
              <w:left w:w="80" w:type="dxa"/>
              <w:bottom w:w="80" w:type="dxa"/>
              <w:right w:w="80" w:type="dxa"/>
            </w:tcMar>
            <w:vAlign w:val="center"/>
          </w:tcPr>
          <w:p w14:paraId="5E4D0C8B">
            <w:pPr>
              <w:spacing w:line="360" w:lineRule="auto"/>
              <w:rPr>
                <w:rFonts w:ascii="宋体" w:hAnsi="宋体" w:cs="宋体"/>
                <w:kern w:val="0"/>
                <w:szCs w:val="21"/>
              </w:rPr>
            </w:pPr>
            <w:r>
              <w:rPr>
                <w:rFonts w:hint="eastAsia" w:ascii="宋体" w:hAnsi="宋体" w:cs="宋体"/>
                <w:kern w:val="0"/>
                <w:szCs w:val="21"/>
              </w:rPr>
              <w:t>对投标人提供的安全保证措施（包含运输、交付等各关键节点且包含应急处理、人员培训、现场警示防护等）进行评分：</w:t>
            </w:r>
          </w:p>
          <w:p w14:paraId="0F97A175">
            <w:pPr>
              <w:spacing w:line="360" w:lineRule="auto"/>
              <w:rPr>
                <w:rFonts w:ascii="宋体" w:hAnsi="宋体" w:cs="宋体"/>
                <w:kern w:val="0"/>
                <w:szCs w:val="21"/>
              </w:rPr>
            </w:pPr>
            <w:r>
              <w:rPr>
                <w:rFonts w:hint="eastAsia" w:ascii="宋体" w:hAnsi="宋体" w:cs="宋体"/>
                <w:szCs w:val="21"/>
              </w:rPr>
              <w:t>安全保证</w:t>
            </w:r>
            <w:r>
              <w:rPr>
                <w:rFonts w:hint="eastAsia" w:ascii="宋体" w:hAnsi="宋体" w:cs="宋体"/>
                <w:kern w:val="0"/>
                <w:szCs w:val="21"/>
              </w:rPr>
              <w:t>措施内容全面、切实可行得5分；</w:t>
            </w:r>
          </w:p>
          <w:p w14:paraId="34DC73E8">
            <w:pPr>
              <w:spacing w:line="360" w:lineRule="auto"/>
              <w:rPr>
                <w:rFonts w:ascii="宋体" w:hAnsi="宋体" w:cs="宋体"/>
                <w:kern w:val="0"/>
                <w:szCs w:val="21"/>
              </w:rPr>
            </w:pPr>
            <w:r>
              <w:rPr>
                <w:rFonts w:hint="eastAsia" w:ascii="宋体" w:hAnsi="宋体" w:cs="宋体"/>
                <w:kern w:val="0"/>
                <w:szCs w:val="21"/>
              </w:rPr>
              <w:t>安全保证措施内容略有缺失、可行性一般得3分；</w:t>
            </w:r>
          </w:p>
          <w:p w14:paraId="52841AD7">
            <w:pPr>
              <w:spacing w:line="360" w:lineRule="auto"/>
              <w:rPr>
                <w:rFonts w:ascii="宋体" w:hAnsi="宋体" w:cs="宋体"/>
                <w:kern w:val="0"/>
                <w:szCs w:val="21"/>
              </w:rPr>
            </w:pPr>
            <w:r>
              <w:rPr>
                <w:rFonts w:hint="eastAsia" w:ascii="宋体" w:hAnsi="宋体" w:cs="宋体"/>
                <w:kern w:val="0"/>
                <w:szCs w:val="21"/>
              </w:rPr>
              <w:t>安全保证措施内容过于简单、可行性较差得1分；未提供不得分。</w:t>
            </w:r>
          </w:p>
        </w:tc>
        <w:tc>
          <w:tcPr>
            <w:tcW w:w="398" w:type="pct"/>
            <w:tcMar>
              <w:top w:w="80" w:type="dxa"/>
              <w:left w:w="80" w:type="dxa"/>
              <w:bottom w:w="80" w:type="dxa"/>
              <w:right w:w="80" w:type="dxa"/>
            </w:tcMar>
            <w:vAlign w:val="center"/>
          </w:tcPr>
          <w:p w14:paraId="405BBE1E">
            <w:pPr>
              <w:spacing w:line="360" w:lineRule="auto"/>
              <w:jc w:val="center"/>
              <w:rPr>
                <w:rFonts w:ascii="宋体" w:hAnsi="宋体" w:cs="宋体"/>
                <w:kern w:val="0"/>
                <w:szCs w:val="21"/>
              </w:rPr>
            </w:pPr>
            <w:r>
              <w:rPr>
                <w:rFonts w:hint="eastAsia" w:ascii="宋体" w:hAnsi="宋体" w:cs="宋体"/>
                <w:kern w:val="0"/>
                <w:szCs w:val="21"/>
              </w:rPr>
              <w:t>5</w:t>
            </w:r>
          </w:p>
        </w:tc>
      </w:tr>
      <w:tr w14:paraId="2316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30" w:hRule="atLeast"/>
        </w:trPr>
        <w:tc>
          <w:tcPr>
            <w:tcW w:w="390" w:type="pct"/>
            <w:vAlign w:val="center"/>
          </w:tcPr>
          <w:p w14:paraId="4F7E815F">
            <w:pPr>
              <w:spacing w:line="360" w:lineRule="auto"/>
              <w:jc w:val="center"/>
              <w:rPr>
                <w:rFonts w:ascii="宋体" w:hAnsi="宋体" w:cs="宋体"/>
                <w:szCs w:val="21"/>
              </w:rPr>
            </w:pPr>
            <w:r>
              <w:rPr>
                <w:rFonts w:hint="eastAsia" w:ascii="宋体" w:hAnsi="宋体" w:cs="宋体"/>
                <w:szCs w:val="21"/>
              </w:rPr>
              <w:t>7</w:t>
            </w:r>
          </w:p>
        </w:tc>
        <w:tc>
          <w:tcPr>
            <w:tcW w:w="631" w:type="pct"/>
            <w:vAlign w:val="center"/>
          </w:tcPr>
          <w:p w14:paraId="15804045">
            <w:pPr>
              <w:spacing w:line="360" w:lineRule="auto"/>
              <w:jc w:val="center"/>
              <w:rPr>
                <w:rFonts w:ascii="宋体" w:hAnsi="宋体" w:cs="宋体"/>
                <w:szCs w:val="21"/>
              </w:rPr>
            </w:pPr>
            <w:r>
              <w:rPr>
                <w:rFonts w:hint="eastAsia" w:ascii="宋体" w:hAnsi="宋体" w:cs="宋体"/>
                <w:szCs w:val="21"/>
              </w:rPr>
              <w:t>质保期限</w:t>
            </w:r>
          </w:p>
        </w:tc>
        <w:tc>
          <w:tcPr>
            <w:tcW w:w="3581" w:type="pct"/>
            <w:tcMar>
              <w:top w:w="80" w:type="dxa"/>
              <w:left w:w="80" w:type="dxa"/>
              <w:bottom w:w="80" w:type="dxa"/>
              <w:right w:w="80" w:type="dxa"/>
            </w:tcMar>
            <w:vAlign w:val="center"/>
          </w:tcPr>
          <w:p w14:paraId="75DB0533">
            <w:pPr>
              <w:spacing w:line="360" w:lineRule="auto"/>
              <w:jc w:val="left"/>
              <w:rPr>
                <w:rFonts w:ascii="宋体" w:hAnsi="宋体" w:cs="宋体"/>
                <w:kern w:val="0"/>
                <w:szCs w:val="21"/>
              </w:rPr>
            </w:pPr>
            <w:r>
              <w:rPr>
                <w:rFonts w:ascii="宋体" w:hAnsi="宋体" w:cs="宋体"/>
                <w:kern w:val="0"/>
                <w:szCs w:val="21"/>
              </w:rPr>
              <w:t>本项目产品基础免费质保期为6个月</w:t>
            </w:r>
            <w:r>
              <w:rPr>
                <w:rFonts w:hint="eastAsia" w:ascii="宋体" w:hAnsi="宋体" w:cs="宋体"/>
                <w:kern w:val="0"/>
                <w:szCs w:val="21"/>
              </w:rPr>
              <w:t>。</w:t>
            </w:r>
          </w:p>
          <w:p w14:paraId="633B5462">
            <w:pPr>
              <w:spacing w:line="360" w:lineRule="auto"/>
              <w:jc w:val="left"/>
              <w:rPr>
                <w:rFonts w:ascii="宋体" w:hAnsi="宋体" w:cs="宋体"/>
                <w:kern w:val="0"/>
                <w:szCs w:val="21"/>
              </w:rPr>
            </w:pPr>
            <w:r>
              <w:rPr>
                <w:rFonts w:ascii="宋体" w:hAnsi="宋体" w:cs="宋体"/>
                <w:kern w:val="0"/>
                <w:szCs w:val="21"/>
              </w:rPr>
              <w:t>投标人仅满足基础质保期限要求的不得分；在</w:t>
            </w:r>
            <w:r>
              <w:rPr>
                <w:rFonts w:hint="eastAsia" w:ascii="宋体" w:hAnsi="宋体" w:cs="宋体"/>
                <w:kern w:val="0"/>
                <w:szCs w:val="21"/>
              </w:rPr>
              <w:t>此</w:t>
            </w:r>
            <w:r>
              <w:rPr>
                <w:rFonts w:ascii="宋体" w:hAnsi="宋体" w:cs="宋体"/>
                <w:kern w:val="0"/>
                <w:szCs w:val="21"/>
              </w:rPr>
              <w:t>基础上每增加6个月免费质保期得1分，本项最高得3分。投标人承诺增加的质保时长须为6个月的整数倍，非标准递增时长不予计分。</w:t>
            </w:r>
          </w:p>
          <w:p w14:paraId="09804BE8">
            <w:pPr>
              <w:spacing w:line="360" w:lineRule="auto"/>
              <w:jc w:val="left"/>
              <w:rPr>
                <w:rFonts w:ascii="宋体" w:hAnsi="宋体" w:cs="宋体"/>
                <w:kern w:val="0"/>
                <w:szCs w:val="21"/>
              </w:rPr>
            </w:pPr>
            <w:r>
              <w:rPr>
                <w:rFonts w:ascii="宋体" w:hAnsi="宋体" w:cs="宋体"/>
                <w:kern w:val="0"/>
                <w:szCs w:val="21"/>
              </w:rPr>
              <w:t>备注：（1）投标人须提供加盖单位公章的售后服务承诺书作为计分依据，承诺书格式自拟</w:t>
            </w:r>
            <w:r>
              <w:rPr>
                <w:rFonts w:hint="eastAsia" w:ascii="宋体" w:hAnsi="宋体" w:cs="宋体"/>
                <w:kern w:val="0"/>
                <w:szCs w:val="21"/>
              </w:rPr>
              <w:t>。</w:t>
            </w:r>
            <w:r>
              <w:rPr>
                <w:rFonts w:ascii="宋体" w:hAnsi="宋体" w:cs="宋体"/>
                <w:kern w:val="0"/>
                <w:szCs w:val="21"/>
              </w:rPr>
              <w:t>投标文件中质保期限响应内容前后不一致的，以文件载明的最低免费质保期作为最终评分依据。（2）未按要求提供有效承诺材料、承诺质保期不符合采购要求的，本项不得分。</w:t>
            </w:r>
          </w:p>
        </w:tc>
        <w:tc>
          <w:tcPr>
            <w:tcW w:w="398" w:type="pct"/>
            <w:tcMar>
              <w:top w:w="80" w:type="dxa"/>
              <w:left w:w="80" w:type="dxa"/>
              <w:bottom w:w="80" w:type="dxa"/>
              <w:right w:w="80" w:type="dxa"/>
            </w:tcMar>
            <w:vAlign w:val="center"/>
          </w:tcPr>
          <w:p w14:paraId="630A905B">
            <w:pPr>
              <w:spacing w:line="360" w:lineRule="auto"/>
              <w:jc w:val="center"/>
              <w:rPr>
                <w:rFonts w:ascii="宋体" w:hAnsi="宋体" w:cs="宋体"/>
                <w:szCs w:val="21"/>
              </w:rPr>
            </w:pPr>
            <w:r>
              <w:rPr>
                <w:rFonts w:hint="eastAsia" w:ascii="宋体" w:hAnsi="宋体" w:cs="宋体"/>
                <w:szCs w:val="21"/>
              </w:rPr>
              <w:t>3</w:t>
            </w:r>
          </w:p>
        </w:tc>
      </w:tr>
    </w:tbl>
    <w:p w14:paraId="44092E48">
      <w:pPr>
        <w:spacing w:line="360" w:lineRule="auto"/>
        <w:rPr>
          <w:rFonts w:ascii="宋体" w:hAnsi="宋体"/>
          <w:b/>
          <w:bCs/>
          <w:szCs w:val="21"/>
        </w:rPr>
      </w:pPr>
      <w:r>
        <w:rPr>
          <w:rFonts w:hint="eastAsia" w:ascii="宋体" w:hAnsi="宋体"/>
          <w:b/>
          <w:bCs/>
          <w:szCs w:val="21"/>
        </w:rPr>
        <w:t>以上证明、证书、认证、检测报告等资料的复印件或扫描件，采购方有权在中标后签订合同前要求供应商提供原件核查，如有弄虚作假，按虚假响应处理。标准、规范的有关规定存在新旧、不一致的差异时以最新的为准。</w:t>
      </w:r>
    </w:p>
    <w:p w14:paraId="4AC8F5DA">
      <w:pPr>
        <w:widowControl/>
        <w:jc w:val="left"/>
        <w:rPr>
          <w:rFonts w:ascii="宋体" w:hAnsi="宋体"/>
          <w:szCs w:val="21"/>
        </w:rPr>
      </w:pPr>
    </w:p>
    <w:p w14:paraId="7C6BCBE8">
      <w:pPr>
        <w:pStyle w:val="14"/>
        <w:ind w:left="0" w:leftChars="0"/>
        <w:rPr>
          <w:rFonts w:ascii="宋体" w:hAnsi="宋体" w:eastAsia="宋体"/>
        </w:rPr>
      </w:pPr>
    </w:p>
    <w:p w14:paraId="696AC407">
      <w:pPr>
        <w:widowControl/>
        <w:jc w:val="left"/>
        <w:rPr>
          <w:rFonts w:ascii="宋体" w:hAnsi="宋体"/>
        </w:rPr>
      </w:pPr>
      <w:r>
        <w:rPr>
          <w:rFonts w:ascii="宋体" w:hAnsi="宋体"/>
        </w:rPr>
        <w:br w:type="page"/>
      </w:r>
    </w:p>
    <w:p w14:paraId="6D724E28">
      <w:pPr>
        <w:spacing w:line="440" w:lineRule="exact"/>
        <w:ind w:left="1440" w:hanging="1440"/>
        <w:jc w:val="center"/>
        <w:outlineLvl w:val="0"/>
        <w:rPr>
          <w:rFonts w:ascii="宋体" w:hAnsi="宋体" w:cs="Arial"/>
          <w:b/>
          <w:sz w:val="28"/>
          <w:szCs w:val="28"/>
        </w:rPr>
      </w:pPr>
      <w:bookmarkStart w:id="48" w:name="_Toc582"/>
      <w:r>
        <w:rPr>
          <w:rFonts w:hint="eastAsia" w:ascii="宋体" w:hAnsi="宋体" w:cs="Arial"/>
          <w:b/>
          <w:sz w:val="28"/>
          <w:szCs w:val="28"/>
        </w:rPr>
        <w:t>第六部分：投标</w:t>
      </w:r>
      <w:r>
        <w:rPr>
          <w:rFonts w:ascii="宋体" w:hAnsi="宋体" w:cs="Arial"/>
          <w:b/>
          <w:sz w:val="28"/>
          <w:szCs w:val="28"/>
        </w:rPr>
        <w:t>文件格式</w:t>
      </w:r>
      <w:bookmarkEnd w:id="48"/>
    </w:p>
    <w:p w14:paraId="4A29E291">
      <w:pPr>
        <w:jc w:val="center"/>
        <w:rPr>
          <w:sz w:val="28"/>
          <w:szCs w:val="28"/>
        </w:rPr>
      </w:pPr>
      <w:r>
        <w:rPr>
          <w:rFonts w:hint="eastAsia"/>
          <w:sz w:val="28"/>
          <w:szCs w:val="28"/>
        </w:rPr>
        <w:t>（具体格式以系统中导出为准）</w:t>
      </w:r>
    </w:p>
    <w:p w14:paraId="5B52B35B">
      <w:pPr>
        <w:spacing w:line="440" w:lineRule="exact"/>
        <w:jc w:val="center"/>
        <w:rPr>
          <w:sz w:val="20"/>
        </w:rPr>
      </w:pPr>
    </w:p>
    <w:p w14:paraId="7A399C4D">
      <w:pPr>
        <w:jc w:val="center"/>
        <w:rPr>
          <w:rFonts w:ascii="宋体" w:hAnsi="宋体"/>
          <w:b/>
          <w:color w:val="000000"/>
          <w:sz w:val="56"/>
          <w:szCs w:val="21"/>
        </w:rPr>
      </w:pPr>
    </w:p>
    <w:p w14:paraId="3DFF5FC8">
      <w:pPr>
        <w:jc w:val="center"/>
        <w:rPr>
          <w:rFonts w:ascii="宋体" w:hAnsi="宋体"/>
          <w:b/>
          <w:color w:val="000000"/>
          <w:sz w:val="56"/>
          <w:szCs w:val="21"/>
        </w:rPr>
      </w:pPr>
    </w:p>
    <w:p w14:paraId="4F3DB37E">
      <w:pPr>
        <w:jc w:val="center"/>
        <w:rPr>
          <w:rFonts w:ascii="宋体" w:hAnsi="宋体"/>
          <w:b/>
          <w:color w:val="000000"/>
          <w:sz w:val="56"/>
          <w:szCs w:val="21"/>
        </w:rPr>
      </w:pPr>
    </w:p>
    <w:p w14:paraId="3503BAF1">
      <w:pPr>
        <w:jc w:val="center"/>
        <w:rPr>
          <w:rFonts w:ascii="宋体" w:hAnsi="宋体"/>
          <w:b/>
          <w:color w:val="000000"/>
          <w:sz w:val="56"/>
          <w:szCs w:val="21"/>
        </w:rPr>
      </w:pPr>
      <w:r>
        <w:rPr>
          <w:rFonts w:hint="eastAsia" w:ascii="宋体" w:hAnsi="宋体"/>
          <w:b/>
          <w:color w:val="000000"/>
          <w:sz w:val="56"/>
          <w:szCs w:val="21"/>
        </w:rPr>
        <w:t>投  标  文  件</w:t>
      </w:r>
    </w:p>
    <w:p w14:paraId="0F676290">
      <w:pPr>
        <w:ind w:firstLine="3708"/>
        <w:rPr>
          <w:rFonts w:ascii="宋体" w:hAnsi="宋体"/>
          <w:b/>
          <w:color w:val="000000"/>
          <w:sz w:val="28"/>
          <w:szCs w:val="21"/>
        </w:rPr>
      </w:pPr>
    </w:p>
    <w:p w14:paraId="1E3E3DAB">
      <w:pPr>
        <w:jc w:val="center"/>
        <w:rPr>
          <w:rFonts w:ascii="宋体" w:hAnsi="宋体"/>
          <w:b/>
          <w:color w:val="000000"/>
          <w:sz w:val="28"/>
          <w:szCs w:val="21"/>
        </w:rPr>
      </w:pPr>
    </w:p>
    <w:p w14:paraId="643E86EA">
      <w:pPr>
        <w:rPr>
          <w:rFonts w:ascii="宋体" w:hAnsi="宋体"/>
          <w:b/>
          <w:color w:val="000000"/>
          <w:sz w:val="28"/>
          <w:szCs w:val="21"/>
        </w:rPr>
      </w:pPr>
    </w:p>
    <w:p w14:paraId="03865624">
      <w:pPr>
        <w:rPr>
          <w:rFonts w:ascii="宋体" w:hAnsi="宋体"/>
          <w:b/>
          <w:color w:val="000000"/>
          <w:sz w:val="28"/>
          <w:szCs w:val="21"/>
        </w:rPr>
      </w:pPr>
    </w:p>
    <w:p w14:paraId="1C4FE3F7">
      <w:pPr>
        <w:rPr>
          <w:rFonts w:ascii="宋体" w:hAnsi="宋体"/>
          <w:b/>
          <w:color w:val="000000"/>
          <w:sz w:val="28"/>
          <w:szCs w:val="21"/>
        </w:rPr>
      </w:pPr>
    </w:p>
    <w:p w14:paraId="4AB8C83A">
      <w:pPr>
        <w:rPr>
          <w:rFonts w:ascii="宋体" w:hAnsi="宋体"/>
          <w:b/>
          <w:color w:val="000000"/>
          <w:sz w:val="28"/>
          <w:szCs w:val="21"/>
        </w:rPr>
      </w:pPr>
    </w:p>
    <w:p w14:paraId="40A93B8C">
      <w:pPr>
        <w:rPr>
          <w:rFonts w:ascii="宋体" w:hAnsi="宋体"/>
          <w:b/>
          <w:color w:val="000000"/>
          <w:sz w:val="28"/>
          <w:szCs w:val="21"/>
        </w:rPr>
      </w:pPr>
    </w:p>
    <w:p w14:paraId="22498980">
      <w:pPr>
        <w:rPr>
          <w:rFonts w:ascii="宋体" w:hAnsi="宋体"/>
          <w:b/>
          <w:color w:val="000000"/>
          <w:sz w:val="28"/>
          <w:szCs w:val="21"/>
        </w:rPr>
      </w:pPr>
    </w:p>
    <w:p w14:paraId="63962A49">
      <w:pPr>
        <w:rPr>
          <w:rFonts w:ascii="宋体" w:hAnsi="宋体"/>
          <w:b/>
          <w:color w:val="000000"/>
          <w:sz w:val="28"/>
          <w:szCs w:val="21"/>
        </w:rPr>
      </w:pPr>
      <w:r>
        <w:rPr>
          <w:rFonts w:hint="eastAsia" w:ascii="宋体" w:hAnsi="宋体"/>
          <w:b/>
          <w:color w:val="000000"/>
          <w:sz w:val="28"/>
          <w:szCs w:val="21"/>
        </w:rPr>
        <w:t xml:space="preserve">项 目 编号： </w:t>
      </w:r>
      <w:r>
        <w:rPr>
          <w:rFonts w:hint="eastAsia" w:ascii="宋体" w:hAnsi="宋体"/>
          <w:b/>
          <w:color w:val="000000"/>
          <w:sz w:val="28"/>
          <w:szCs w:val="21"/>
          <w:u w:val="single"/>
        </w:rPr>
        <w:t xml:space="preserve">               </w:t>
      </w:r>
    </w:p>
    <w:p w14:paraId="14202AC4">
      <w:pPr>
        <w:rPr>
          <w:rFonts w:ascii="宋体" w:hAnsi="宋体"/>
          <w:b/>
          <w:color w:val="000000"/>
          <w:sz w:val="28"/>
          <w:szCs w:val="21"/>
          <w:u w:val="single"/>
        </w:rPr>
      </w:pPr>
      <w:r>
        <w:rPr>
          <w:rFonts w:hint="eastAsia" w:ascii="宋体" w:hAnsi="宋体"/>
          <w:b/>
          <w:color w:val="000000"/>
          <w:sz w:val="28"/>
          <w:szCs w:val="21"/>
        </w:rPr>
        <w:t xml:space="preserve">项 目 名称： </w:t>
      </w:r>
      <w:r>
        <w:rPr>
          <w:rFonts w:hint="eastAsia" w:ascii="宋体" w:hAnsi="宋体"/>
          <w:b/>
          <w:color w:val="000000"/>
          <w:sz w:val="28"/>
          <w:szCs w:val="21"/>
          <w:u w:val="single"/>
        </w:rPr>
        <w:t xml:space="preserve">               </w:t>
      </w:r>
    </w:p>
    <w:p w14:paraId="2A3C0249">
      <w:pPr>
        <w:rPr>
          <w:rFonts w:ascii="宋体" w:hAnsi="宋体"/>
          <w:b/>
          <w:color w:val="000000"/>
          <w:sz w:val="28"/>
          <w:szCs w:val="21"/>
          <w:u w:val="single"/>
        </w:rPr>
      </w:pPr>
      <w:r>
        <w:rPr>
          <w:rFonts w:hint="eastAsia" w:ascii="宋体" w:hAnsi="宋体"/>
          <w:b/>
          <w:color w:val="000000"/>
          <w:sz w:val="28"/>
          <w:szCs w:val="21"/>
        </w:rPr>
        <w:t>投标人名称：</w:t>
      </w:r>
      <w:r>
        <w:rPr>
          <w:rFonts w:hint="eastAsia" w:ascii="宋体" w:hAnsi="宋体"/>
          <w:b/>
          <w:color w:val="000000"/>
          <w:sz w:val="28"/>
          <w:szCs w:val="21"/>
          <w:u w:val="single"/>
        </w:rPr>
        <w:t xml:space="preserve">               </w:t>
      </w:r>
      <w:r>
        <w:rPr>
          <w:rFonts w:hint="eastAsia" w:ascii="宋体" w:hAnsi="宋体"/>
          <w:b/>
          <w:color w:val="000000"/>
          <w:sz w:val="28"/>
          <w:szCs w:val="21"/>
        </w:rPr>
        <w:t>（</w:t>
      </w:r>
      <w:r>
        <w:rPr>
          <w:rFonts w:hint="eastAsia" w:ascii="宋体" w:hAnsi="宋体" w:cs="宋体"/>
          <w:sz w:val="28"/>
          <w:szCs w:val="28"/>
        </w:rPr>
        <w:t>加盖CA电子公章</w:t>
      </w:r>
      <w:r>
        <w:rPr>
          <w:rFonts w:hint="eastAsia" w:ascii="宋体" w:hAnsi="宋体"/>
          <w:b/>
          <w:color w:val="000000"/>
          <w:sz w:val="28"/>
          <w:szCs w:val="21"/>
        </w:rPr>
        <w:t xml:space="preserve">） </w:t>
      </w:r>
    </w:p>
    <w:p w14:paraId="6BE36A6B">
      <w:pPr>
        <w:rPr>
          <w:rFonts w:ascii="宋体" w:hAnsi="宋体"/>
          <w:b/>
          <w:color w:val="000000"/>
          <w:sz w:val="28"/>
          <w:szCs w:val="21"/>
        </w:rPr>
      </w:pPr>
      <w:r>
        <w:rPr>
          <w:rFonts w:hint="eastAsia" w:ascii="宋体" w:hAnsi="宋体"/>
          <w:b/>
          <w:color w:val="000000"/>
          <w:sz w:val="28"/>
          <w:szCs w:val="21"/>
        </w:rPr>
        <w:t>日      期 ：</w:t>
      </w:r>
      <w:r>
        <w:rPr>
          <w:rFonts w:hint="eastAsia" w:ascii="宋体" w:hAnsi="宋体"/>
          <w:b/>
          <w:color w:val="000000"/>
          <w:sz w:val="28"/>
          <w:szCs w:val="21"/>
          <w:u w:val="single"/>
        </w:rPr>
        <w:t xml:space="preserve">                      </w:t>
      </w:r>
    </w:p>
    <w:p w14:paraId="42B2DE2F">
      <w:pPr>
        <w:rPr>
          <w:sz w:val="28"/>
          <w:szCs w:val="28"/>
        </w:rPr>
      </w:pPr>
    </w:p>
    <w:p w14:paraId="6C7CE6C1">
      <w:pPr>
        <w:jc w:val="center"/>
        <w:rPr>
          <w:rFonts w:ascii="宋体" w:hAnsi="宋体"/>
          <w:bCs/>
          <w:szCs w:val="21"/>
        </w:rPr>
      </w:pPr>
      <w:r>
        <w:rPr>
          <w:rFonts w:ascii="宋体" w:hAnsi="宋体"/>
          <w:b/>
          <w:sz w:val="44"/>
          <w:szCs w:val="44"/>
        </w:rPr>
        <w:br w:type="page"/>
      </w:r>
    </w:p>
    <w:p w14:paraId="5A22D6E5">
      <w:pPr>
        <w:pStyle w:val="142"/>
        <w:numPr>
          <w:ilvl w:val="0"/>
          <w:numId w:val="0"/>
        </w:numPr>
        <w:ind w:left="-420"/>
        <w:jc w:val="center"/>
        <w:rPr>
          <w:color w:val="000000"/>
        </w:rPr>
      </w:pPr>
      <w:bookmarkStart w:id="49" w:name="_Toc14119"/>
      <w:r>
        <w:rPr>
          <w:rFonts w:hint="eastAsia" w:ascii="宋体" w:hAnsi="宋体"/>
          <w:sz w:val="28"/>
          <w:szCs w:val="28"/>
        </w:rPr>
        <w:t>评审索引表</w:t>
      </w:r>
      <w:r>
        <w:rPr>
          <w:color w:val="000000"/>
        </w:rPr>
        <w:t>（可按需调整）</w:t>
      </w:r>
      <w:bookmarkEnd w:id="49"/>
    </w:p>
    <w:p w14:paraId="494A2188">
      <w:r>
        <w:rPr>
          <w:rFonts w:hint="eastAsia" w:ascii="宋体" w:hAnsi="宋体" w:cs="宋体"/>
          <w:b/>
          <w:bCs/>
          <w:sz w:val="24"/>
        </w:rPr>
        <w:t xml:space="preserve">项目名称：                             项目编号：  </w:t>
      </w:r>
    </w:p>
    <w:tbl>
      <w:tblPr>
        <w:tblStyle w:val="36"/>
        <w:tblpPr w:leftFromText="180" w:rightFromText="180" w:vertAnchor="text" w:horzAnchor="page" w:tblpX="1627" w:tblpY="414"/>
        <w:tblW w:w="4998" w:type="pct"/>
        <w:tblInd w:w="0" w:type="dxa"/>
        <w:tblLayout w:type="autofit"/>
        <w:tblCellMar>
          <w:top w:w="0" w:type="dxa"/>
          <w:left w:w="108" w:type="dxa"/>
          <w:bottom w:w="0" w:type="dxa"/>
          <w:right w:w="108" w:type="dxa"/>
        </w:tblCellMar>
      </w:tblPr>
      <w:tblGrid>
        <w:gridCol w:w="4148"/>
        <w:gridCol w:w="5090"/>
      </w:tblGrid>
      <w:tr w14:paraId="554D7243">
        <w:tblPrEx>
          <w:tblCellMar>
            <w:top w:w="0" w:type="dxa"/>
            <w:left w:w="108" w:type="dxa"/>
            <w:bottom w:w="0" w:type="dxa"/>
            <w:right w:w="108" w:type="dxa"/>
          </w:tblCellMar>
        </w:tblPrEx>
        <w:trPr>
          <w:trHeight w:val="522" w:hRule="exact"/>
        </w:trPr>
        <w:tc>
          <w:tcPr>
            <w:tcW w:w="2245" w:type="pct"/>
            <w:tcBorders>
              <w:top w:val="single" w:color="000000" w:sz="4" w:space="0"/>
              <w:left w:val="single" w:color="000000" w:sz="4" w:space="0"/>
              <w:bottom w:val="single" w:color="000000" w:sz="4" w:space="0"/>
              <w:right w:val="single" w:color="000000" w:sz="4" w:space="0"/>
            </w:tcBorders>
          </w:tcPr>
          <w:p w14:paraId="02273172">
            <w:pPr>
              <w:pStyle w:val="143"/>
              <w:jc w:val="center"/>
              <w:rPr>
                <w:color w:val="000000"/>
              </w:rPr>
            </w:pPr>
            <w:r>
              <w:rPr>
                <w:rFonts w:hint="eastAsia" w:ascii="宋体" w:hAnsi="宋体"/>
                <w:b/>
                <w:color w:val="000000"/>
                <w:sz w:val="21"/>
              </w:rPr>
              <w:t>评分项目</w:t>
            </w:r>
          </w:p>
        </w:tc>
        <w:tc>
          <w:tcPr>
            <w:tcW w:w="2754" w:type="pct"/>
            <w:tcBorders>
              <w:top w:val="single" w:color="000000" w:sz="4" w:space="0"/>
              <w:left w:val="single" w:color="000000" w:sz="4" w:space="0"/>
              <w:bottom w:val="single" w:color="000000" w:sz="4" w:space="0"/>
              <w:right w:val="single" w:color="000000" w:sz="4" w:space="0"/>
            </w:tcBorders>
          </w:tcPr>
          <w:p w14:paraId="1C36816F">
            <w:pPr>
              <w:pStyle w:val="143"/>
              <w:jc w:val="center"/>
              <w:rPr>
                <w:color w:val="000000"/>
                <w:lang w:eastAsia="zh-CN"/>
              </w:rPr>
            </w:pPr>
            <w:r>
              <w:rPr>
                <w:rFonts w:hint="eastAsia" w:ascii="宋体" w:hAnsi="宋体"/>
                <w:b/>
                <w:color w:val="000000"/>
                <w:sz w:val="21"/>
                <w:lang w:eastAsia="zh-CN"/>
              </w:rPr>
              <w:t>在投标文件中的页码位置</w:t>
            </w:r>
          </w:p>
        </w:tc>
      </w:tr>
      <w:tr w14:paraId="4F3700CC">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7112D78C">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0FF44D7F">
            <w:pPr>
              <w:rPr>
                <w:color w:val="000000"/>
              </w:rPr>
            </w:pPr>
          </w:p>
        </w:tc>
      </w:tr>
      <w:tr w14:paraId="2987AB57">
        <w:tblPrEx>
          <w:tblCellMar>
            <w:top w:w="0" w:type="dxa"/>
            <w:left w:w="108" w:type="dxa"/>
            <w:bottom w:w="0" w:type="dxa"/>
            <w:right w:w="108" w:type="dxa"/>
          </w:tblCellMar>
        </w:tblPrEx>
        <w:trPr>
          <w:trHeight w:val="562" w:hRule="exact"/>
        </w:trPr>
        <w:tc>
          <w:tcPr>
            <w:tcW w:w="5000" w:type="pct"/>
            <w:gridSpan w:val="2"/>
            <w:tcBorders>
              <w:top w:val="single" w:color="000000" w:sz="4" w:space="0"/>
              <w:left w:val="single" w:color="000000" w:sz="4" w:space="0"/>
              <w:bottom w:val="single" w:color="000000" w:sz="4" w:space="0"/>
              <w:right w:val="single" w:color="000000" w:sz="4" w:space="0"/>
            </w:tcBorders>
          </w:tcPr>
          <w:p w14:paraId="4A43CD1B">
            <w:pPr>
              <w:rPr>
                <w:color w:val="000000"/>
              </w:rPr>
            </w:pPr>
          </w:p>
        </w:tc>
      </w:tr>
      <w:tr w14:paraId="58D45ADD">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76E7A2B7">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4FE0F0A2">
            <w:pPr>
              <w:rPr>
                <w:color w:val="000000"/>
              </w:rPr>
            </w:pPr>
          </w:p>
        </w:tc>
      </w:tr>
      <w:tr w14:paraId="1020CC3D">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5B15F61B">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038FA2EF">
            <w:pPr>
              <w:rPr>
                <w:color w:val="000000"/>
              </w:rPr>
            </w:pPr>
          </w:p>
        </w:tc>
      </w:tr>
      <w:tr w14:paraId="6AA6C2AD">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40A44F28">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52136448">
            <w:pPr>
              <w:rPr>
                <w:color w:val="000000"/>
              </w:rPr>
            </w:pPr>
          </w:p>
        </w:tc>
      </w:tr>
      <w:tr w14:paraId="48CB6B8E">
        <w:tblPrEx>
          <w:tblCellMar>
            <w:top w:w="0" w:type="dxa"/>
            <w:left w:w="108" w:type="dxa"/>
            <w:bottom w:w="0" w:type="dxa"/>
            <w:right w:w="108" w:type="dxa"/>
          </w:tblCellMar>
        </w:tblPrEx>
        <w:trPr>
          <w:trHeight w:val="562" w:hRule="exact"/>
        </w:trPr>
        <w:tc>
          <w:tcPr>
            <w:tcW w:w="2245" w:type="pct"/>
            <w:tcBorders>
              <w:top w:val="single" w:color="000000" w:sz="4" w:space="0"/>
              <w:left w:val="single" w:color="000000" w:sz="4" w:space="0"/>
              <w:bottom w:val="single" w:color="000000" w:sz="4" w:space="0"/>
              <w:right w:val="single" w:color="000000" w:sz="4" w:space="0"/>
            </w:tcBorders>
          </w:tcPr>
          <w:p w14:paraId="1D4E308B">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2B712B70">
            <w:pPr>
              <w:rPr>
                <w:color w:val="000000"/>
              </w:rPr>
            </w:pPr>
          </w:p>
        </w:tc>
      </w:tr>
      <w:tr w14:paraId="3942512D">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6F5F8D29">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49CB94B5">
            <w:pPr>
              <w:rPr>
                <w:color w:val="000000"/>
              </w:rPr>
            </w:pPr>
          </w:p>
        </w:tc>
      </w:tr>
      <w:tr w14:paraId="1296DBCC">
        <w:tblPrEx>
          <w:tblCellMar>
            <w:top w:w="0" w:type="dxa"/>
            <w:left w:w="108" w:type="dxa"/>
            <w:bottom w:w="0" w:type="dxa"/>
            <w:right w:w="108" w:type="dxa"/>
          </w:tblCellMar>
        </w:tblPrEx>
        <w:trPr>
          <w:trHeight w:val="561" w:hRule="exact"/>
        </w:trPr>
        <w:tc>
          <w:tcPr>
            <w:tcW w:w="5000" w:type="pct"/>
            <w:gridSpan w:val="2"/>
            <w:tcBorders>
              <w:top w:val="single" w:color="000000" w:sz="4" w:space="0"/>
              <w:left w:val="single" w:color="000000" w:sz="4" w:space="0"/>
              <w:bottom w:val="single" w:color="000000" w:sz="4" w:space="0"/>
              <w:right w:val="single" w:color="000000" w:sz="4" w:space="0"/>
            </w:tcBorders>
          </w:tcPr>
          <w:p w14:paraId="2D5D9A63">
            <w:pPr>
              <w:rPr>
                <w:color w:val="000000"/>
              </w:rPr>
            </w:pPr>
          </w:p>
        </w:tc>
      </w:tr>
      <w:tr w14:paraId="6926889D">
        <w:tblPrEx>
          <w:tblCellMar>
            <w:top w:w="0" w:type="dxa"/>
            <w:left w:w="108" w:type="dxa"/>
            <w:bottom w:w="0" w:type="dxa"/>
            <w:right w:w="108" w:type="dxa"/>
          </w:tblCellMar>
        </w:tblPrEx>
        <w:trPr>
          <w:trHeight w:val="610" w:hRule="exact"/>
        </w:trPr>
        <w:tc>
          <w:tcPr>
            <w:tcW w:w="2245" w:type="pct"/>
            <w:tcBorders>
              <w:top w:val="single" w:color="000000" w:sz="4" w:space="0"/>
              <w:left w:val="single" w:color="000000" w:sz="4" w:space="0"/>
              <w:bottom w:val="single" w:color="000000" w:sz="4" w:space="0"/>
              <w:right w:val="single" w:color="000000" w:sz="4" w:space="0"/>
            </w:tcBorders>
          </w:tcPr>
          <w:p w14:paraId="3147EBEB">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006E8E0E">
            <w:pPr>
              <w:rPr>
                <w:color w:val="000000"/>
              </w:rPr>
            </w:pPr>
          </w:p>
        </w:tc>
      </w:tr>
      <w:tr w14:paraId="48756657">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543B9914">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092EE6E4">
            <w:pPr>
              <w:rPr>
                <w:color w:val="000000"/>
              </w:rPr>
            </w:pPr>
          </w:p>
        </w:tc>
      </w:tr>
      <w:tr w14:paraId="6C4EAA44">
        <w:tblPrEx>
          <w:tblCellMar>
            <w:top w:w="0" w:type="dxa"/>
            <w:left w:w="108" w:type="dxa"/>
            <w:bottom w:w="0" w:type="dxa"/>
            <w:right w:w="108" w:type="dxa"/>
          </w:tblCellMar>
        </w:tblPrEx>
        <w:trPr>
          <w:trHeight w:val="562" w:hRule="exact"/>
        </w:trPr>
        <w:tc>
          <w:tcPr>
            <w:tcW w:w="2245" w:type="pct"/>
            <w:tcBorders>
              <w:top w:val="single" w:color="000000" w:sz="4" w:space="0"/>
              <w:left w:val="single" w:color="000000" w:sz="4" w:space="0"/>
              <w:bottom w:val="single" w:color="000000" w:sz="4" w:space="0"/>
              <w:right w:val="single" w:color="000000" w:sz="4" w:space="0"/>
            </w:tcBorders>
          </w:tcPr>
          <w:p w14:paraId="1DA894D4">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63C3C8C5">
            <w:pPr>
              <w:rPr>
                <w:color w:val="000000"/>
              </w:rPr>
            </w:pPr>
          </w:p>
        </w:tc>
      </w:tr>
      <w:tr w14:paraId="24E0684A">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57AD7B1D">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048B4415">
            <w:pPr>
              <w:rPr>
                <w:color w:val="000000"/>
              </w:rPr>
            </w:pPr>
          </w:p>
        </w:tc>
      </w:tr>
      <w:tr w14:paraId="7555FBCF">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69207157">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7E5BA3EF">
            <w:pPr>
              <w:rPr>
                <w:color w:val="000000"/>
              </w:rPr>
            </w:pPr>
          </w:p>
        </w:tc>
      </w:tr>
      <w:tr w14:paraId="18D9AA4E">
        <w:tblPrEx>
          <w:tblCellMar>
            <w:top w:w="0" w:type="dxa"/>
            <w:left w:w="108" w:type="dxa"/>
            <w:bottom w:w="0" w:type="dxa"/>
            <w:right w:w="108" w:type="dxa"/>
          </w:tblCellMar>
        </w:tblPrEx>
        <w:trPr>
          <w:trHeight w:val="561" w:hRule="exact"/>
        </w:trPr>
        <w:tc>
          <w:tcPr>
            <w:tcW w:w="5000" w:type="pct"/>
            <w:gridSpan w:val="2"/>
            <w:tcBorders>
              <w:top w:val="single" w:color="000000" w:sz="4" w:space="0"/>
              <w:left w:val="single" w:color="000000" w:sz="4" w:space="0"/>
              <w:bottom w:val="single" w:color="000000" w:sz="4" w:space="0"/>
              <w:right w:val="single" w:color="000000" w:sz="4" w:space="0"/>
            </w:tcBorders>
          </w:tcPr>
          <w:p w14:paraId="3810015E">
            <w:pPr>
              <w:rPr>
                <w:color w:val="000000"/>
              </w:rPr>
            </w:pPr>
          </w:p>
        </w:tc>
      </w:tr>
      <w:tr w14:paraId="4AD73E1B">
        <w:tblPrEx>
          <w:tblCellMar>
            <w:top w:w="0" w:type="dxa"/>
            <w:left w:w="108" w:type="dxa"/>
            <w:bottom w:w="0" w:type="dxa"/>
            <w:right w:w="108" w:type="dxa"/>
          </w:tblCellMar>
        </w:tblPrEx>
        <w:trPr>
          <w:trHeight w:val="562" w:hRule="exact"/>
        </w:trPr>
        <w:tc>
          <w:tcPr>
            <w:tcW w:w="2245" w:type="pct"/>
            <w:tcBorders>
              <w:top w:val="single" w:color="000000" w:sz="4" w:space="0"/>
              <w:left w:val="single" w:color="000000" w:sz="4" w:space="0"/>
              <w:bottom w:val="single" w:color="000000" w:sz="4" w:space="0"/>
              <w:right w:val="single" w:color="000000" w:sz="4" w:space="0"/>
            </w:tcBorders>
          </w:tcPr>
          <w:p w14:paraId="6FD2B9E2">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6EB31DCD">
            <w:pPr>
              <w:rPr>
                <w:color w:val="000000"/>
              </w:rPr>
            </w:pPr>
          </w:p>
        </w:tc>
      </w:tr>
      <w:tr w14:paraId="552E3471">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7492B909">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413F4640">
            <w:pPr>
              <w:rPr>
                <w:color w:val="000000"/>
              </w:rPr>
            </w:pPr>
          </w:p>
        </w:tc>
      </w:tr>
      <w:tr w14:paraId="4EE095E5">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1231DDA0">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0FBA798B">
            <w:pPr>
              <w:rPr>
                <w:color w:val="000000"/>
              </w:rPr>
            </w:pPr>
          </w:p>
        </w:tc>
      </w:tr>
      <w:tr w14:paraId="2591A8AA">
        <w:tblPrEx>
          <w:tblCellMar>
            <w:top w:w="0" w:type="dxa"/>
            <w:left w:w="108" w:type="dxa"/>
            <w:bottom w:w="0" w:type="dxa"/>
            <w:right w:w="108" w:type="dxa"/>
          </w:tblCellMar>
        </w:tblPrEx>
        <w:trPr>
          <w:trHeight w:val="561" w:hRule="exact"/>
        </w:trPr>
        <w:tc>
          <w:tcPr>
            <w:tcW w:w="2245" w:type="pct"/>
            <w:tcBorders>
              <w:top w:val="single" w:color="000000" w:sz="4" w:space="0"/>
              <w:left w:val="single" w:color="000000" w:sz="4" w:space="0"/>
              <w:bottom w:val="single" w:color="000000" w:sz="4" w:space="0"/>
              <w:right w:val="single" w:color="000000" w:sz="4" w:space="0"/>
            </w:tcBorders>
          </w:tcPr>
          <w:p w14:paraId="56FA6CF0">
            <w:pPr>
              <w:rPr>
                <w:color w:val="000000"/>
              </w:rPr>
            </w:pPr>
          </w:p>
        </w:tc>
        <w:tc>
          <w:tcPr>
            <w:tcW w:w="2754" w:type="pct"/>
            <w:tcBorders>
              <w:top w:val="single" w:color="000000" w:sz="4" w:space="0"/>
              <w:left w:val="single" w:color="000000" w:sz="4" w:space="0"/>
              <w:bottom w:val="single" w:color="000000" w:sz="4" w:space="0"/>
              <w:right w:val="single" w:color="000000" w:sz="4" w:space="0"/>
            </w:tcBorders>
          </w:tcPr>
          <w:p w14:paraId="58510265">
            <w:pPr>
              <w:rPr>
                <w:color w:val="000000"/>
              </w:rPr>
            </w:pPr>
          </w:p>
        </w:tc>
      </w:tr>
    </w:tbl>
    <w:p w14:paraId="5910D737">
      <w:pPr>
        <w:spacing w:line="360" w:lineRule="auto"/>
        <w:rPr>
          <w:b/>
          <w:color w:val="000000"/>
        </w:rPr>
      </w:pPr>
    </w:p>
    <w:p w14:paraId="3A66E74C">
      <w:pPr>
        <w:spacing w:line="360" w:lineRule="auto"/>
        <w:rPr>
          <w:rFonts w:ascii="宋体" w:hAnsi="宋体"/>
          <w:szCs w:val="21"/>
        </w:rPr>
      </w:pPr>
      <w:r>
        <w:rPr>
          <w:rFonts w:hint="eastAsia" w:ascii="宋体" w:hAnsi="宋体" w:cs="宋体"/>
          <w:b/>
          <w:color w:val="000000"/>
        </w:rPr>
        <w:t>注：各供应商可根据企业自身实际情况以及对招标文件的响应程度进行编制投标文件</w:t>
      </w:r>
    </w:p>
    <w:p w14:paraId="49006105">
      <w:pPr>
        <w:jc w:val="center"/>
        <w:rPr>
          <w:rFonts w:ascii="宋体" w:hAnsi="宋体"/>
          <w:b/>
          <w:sz w:val="28"/>
          <w:szCs w:val="28"/>
          <w:lang w:val="zh-CN"/>
        </w:rPr>
      </w:pPr>
      <w:r>
        <w:rPr>
          <w:rFonts w:hint="eastAsia" w:ascii="宋体" w:hAnsi="宋体"/>
          <w:b/>
          <w:sz w:val="28"/>
          <w:szCs w:val="28"/>
          <w:lang w:val="zh-CN"/>
        </w:rPr>
        <w:t>目  录</w:t>
      </w:r>
    </w:p>
    <w:p w14:paraId="222B5BEC">
      <w:pPr>
        <w:jc w:val="left"/>
        <w:rPr>
          <w:rFonts w:ascii="宋体" w:hAnsi="宋体"/>
          <w:szCs w:val="21"/>
          <w:lang w:val="zh-CN"/>
        </w:rPr>
      </w:pPr>
    </w:p>
    <w:p w14:paraId="0313CA67">
      <w:pPr>
        <w:spacing w:line="360" w:lineRule="auto"/>
        <w:rPr>
          <w:rFonts w:ascii="宋体" w:hAnsi="宋体"/>
          <w:szCs w:val="21"/>
        </w:rPr>
      </w:pPr>
    </w:p>
    <w:p w14:paraId="6272C2A7">
      <w:pPr>
        <w:widowControl/>
        <w:jc w:val="left"/>
        <w:rPr>
          <w:rFonts w:ascii="宋体" w:hAnsi="宋体"/>
          <w:szCs w:val="21"/>
        </w:rPr>
      </w:pPr>
      <w:r>
        <w:rPr>
          <w:rFonts w:ascii="宋体" w:hAnsi="宋体"/>
          <w:szCs w:val="21"/>
        </w:rPr>
        <w:br w:type="page"/>
      </w:r>
    </w:p>
    <w:p w14:paraId="462A1EDE">
      <w:pPr>
        <w:pStyle w:val="64"/>
        <w:spacing w:line="440" w:lineRule="exact"/>
        <w:ind w:left="420" w:firstLine="0" w:firstLineChars="0"/>
        <w:outlineLvl w:val="1"/>
        <w:rPr>
          <w:rFonts w:ascii="宋体" w:hAnsi="宋体" w:cs="Arial"/>
          <w:b/>
          <w:szCs w:val="21"/>
        </w:rPr>
      </w:pPr>
      <w:bookmarkStart w:id="50" w:name="_Toc27390"/>
      <w:r>
        <w:rPr>
          <w:rFonts w:hint="eastAsia" w:ascii="宋体" w:hAnsi="宋体" w:cs="Arial"/>
          <w:b/>
          <w:szCs w:val="21"/>
        </w:rPr>
        <w:t>一、投标函</w:t>
      </w:r>
      <w:bookmarkEnd w:id="50"/>
    </w:p>
    <w:p w14:paraId="7C760269">
      <w:pPr>
        <w:jc w:val="left"/>
        <w:rPr>
          <w:rFonts w:ascii="宋体" w:hAnsi="宋体"/>
          <w:b/>
          <w:szCs w:val="21"/>
        </w:rPr>
      </w:pPr>
    </w:p>
    <w:p w14:paraId="0632A72A">
      <w:pPr>
        <w:jc w:val="center"/>
        <w:rPr>
          <w:rFonts w:ascii="宋体" w:hAnsi="宋体"/>
          <w:b/>
          <w:sz w:val="28"/>
          <w:szCs w:val="28"/>
        </w:rPr>
      </w:pPr>
      <w:r>
        <w:rPr>
          <w:rFonts w:hint="eastAsia" w:ascii="宋体" w:hAnsi="宋体"/>
          <w:b/>
          <w:sz w:val="28"/>
          <w:szCs w:val="28"/>
        </w:rPr>
        <w:t>投标函</w:t>
      </w:r>
    </w:p>
    <w:p w14:paraId="3D107ECC">
      <w:pPr>
        <w:spacing w:line="360" w:lineRule="auto"/>
        <w:rPr>
          <w:rFonts w:ascii="宋体" w:hAnsi="宋体"/>
          <w:b/>
          <w:bCs/>
          <w:szCs w:val="21"/>
        </w:rPr>
      </w:pPr>
      <w:r>
        <w:rPr>
          <w:rFonts w:hint="eastAsia" w:ascii="宋体" w:hAnsi="宋体"/>
          <w:b/>
          <w:bCs/>
          <w:szCs w:val="21"/>
        </w:rPr>
        <w:t>致：南京工业大学</w:t>
      </w:r>
    </w:p>
    <w:p w14:paraId="5F0274F4">
      <w:pPr>
        <w:spacing w:line="360" w:lineRule="auto"/>
        <w:ind w:firstLine="420" w:firstLineChars="200"/>
        <w:rPr>
          <w:rFonts w:ascii="宋体" w:hAnsi="宋体"/>
          <w:szCs w:val="21"/>
        </w:rPr>
      </w:pPr>
      <w:r>
        <w:rPr>
          <w:rFonts w:hint="eastAsia" w:ascii="宋体" w:hAnsi="宋体"/>
          <w:szCs w:val="21"/>
        </w:rPr>
        <w:t>根据贵方编号为</w:t>
      </w:r>
      <w:r>
        <w:rPr>
          <w:rFonts w:hint="eastAsia" w:ascii="宋体" w:hAnsi="宋体"/>
          <w:szCs w:val="21"/>
          <w:u w:val="single"/>
          <w:lang w:eastAsia="zh-CN"/>
        </w:rPr>
        <w:t>JSZC-320000-HTMY-G2026-0022</w:t>
      </w:r>
      <w:r>
        <w:rPr>
          <w:rFonts w:hint="eastAsia"/>
        </w:rPr>
        <w:t>招标</w:t>
      </w:r>
      <w:r>
        <w:rPr>
          <w:rFonts w:hint="eastAsia" w:ascii="宋体" w:hAnsi="宋体"/>
          <w:szCs w:val="21"/>
        </w:rPr>
        <w:t>文件的邀请，我公司决定参加</w:t>
      </w:r>
      <w:r>
        <w:rPr>
          <w:rFonts w:hint="eastAsia" w:ascii="宋体" w:hAnsi="宋体"/>
          <w:szCs w:val="21"/>
          <w:u w:val="single"/>
        </w:rPr>
        <w:t xml:space="preserve"> </w:t>
      </w:r>
      <w:r>
        <w:rPr>
          <w:rFonts w:hint="eastAsia" w:ascii="宋体" w:hAnsi="宋体"/>
          <w:i/>
          <w:iCs/>
          <w:szCs w:val="21"/>
          <w:u w:val="single"/>
          <w:lang w:eastAsia="zh-CN"/>
        </w:rPr>
        <w:t>（</w:t>
      </w:r>
      <w:r>
        <w:rPr>
          <w:rFonts w:hint="eastAsia" w:ascii="宋体" w:hAnsi="宋体"/>
          <w:i/>
          <w:iCs/>
          <w:szCs w:val="21"/>
          <w:u w:val="single"/>
          <w:lang w:val="en-US" w:eastAsia="zh-CN"/>
        </w:rPr>
        <w:t>项目名称</w:t>
      </w:r>
      <w:r>
        <w:rPr>
          <w:rFonts w:hint="eastAsia" w:ascii="宋体" w:hAnsi="宋体"/>
          <w:i/>
          <w:iCs/>
          <w:szCs w:val="21"/>
          <w:u w:val="single"/>
          <w:lang w:eastAsia="zh-CN"/>
        </w:rPr>
        <w:t>）</w:t>
      </w:r>
      <w:r>
        <w:rPr>
          <w:rFonts w:hint="eastAsia" w:ascii="宋体" w:hAnsi="宋体"/>
          <w:szCs w:val="21"/>
          <w:u w:val="single"/>
        </w:rPr>
        <w:t xml:space="preserve"> </w:t>
      </w:r>
      <w:r>
        <w:rPr>
          <w:rFonts w:hint="eastAsia" w:ascii="宋体" w:hAnsi="宋体"/>
          <w:szCs w:val="21"/>
        </w:rPr>
        <w:t>的投标。我公司现正式授权</w:t>
      </w:r>
      <w:r>
        <w:rPr>
          <w:rFonts w:hint="eastAsia" w:ascii="宋体" w:hAnsi="宋体"/>
          <w:szCs w:val="21"/>
          <w:u w:val="single"/>
        </w:rPr>
        <w:t xml:space="preserve"> </w:t>
      </w:r>
      <w:r>
        <w:rPr>
          <w:rFonts w:ascii="宋体" w:hAnsi="宋体"/>
          <w:szCs w:val="21"/>
          <w:u w:val="single"/>
        </w:rPr>
        <w:t xml:space="preserve"> </w:t>
      </w:r>
      <w:r>
        <w:rPr>
          <w:rFonts w:ascii="宋体" w:hAnsi="宋体"/>
          <w:i/>
          <w:szCs w:val="21"/>
          <w:u w:val="single"/>
        </w:rPr>
        <w:t xml:space="preserve"> (</w:t>
      </w:r>
      <w:r>
        <w:rPr>
          <w:rFonts w:hint="eastAsia" w:ascii="宋体" w:hAnsi="宋体"/>
          <w:i/>
          <w:szCs w:val="21"/>
          <w:u w:val="single"/>
        </w:rPr>
        <w:t>姓名和职务</w:t>
      </w:r>
      <w:r>
        <w:rPr>
          <w:rFonts w:ascii="宋体" w:hAnsi="宋体"/>
          <w:i/>
          <w:szCs w:val="21"/>
          <w:u w:val="single"/>
        </w:rPr>
        <w:t xml:space="preserve">)   </w:t>
      </w:r>
      <w:r>
        <w:rPr>
          <w:rFonts w:hint="eastAsia" w:ascii="宋体" w:hAnsi="宋体"/>
          <w:szCs w:val="21"/>
        </w:rPr>
        <w:t>作为我公司</w:t>
      </w:r>
      <w:r>
        <w:rPr>
          <w:rFonts w:hint="eastAsia" w:ascii="宋体" w:hAnsi="宋体"/>
          <w:szCs w:val="21"/>
          <w:u w:val="single"/>
        </w:rPr>
        <w:t xml:space="preserve">  </w:t>
      </w:r>
      <w:r>
        <w:rPr>
          <w:rFonts w:hint="eastAsia" w:ascii="宋体" w:hAnsi="宋体"/>
          <w:i/>
          <w:szCs w:val="21"/>
          <w:u w:val="single"/>
        </w:rPr>
        <w:t xml:space="preserve">（供应商名称） </w:t>
      </w:r>
      <w:r>
        <w:rPr>
          <w:rFonts w:ascii="宋体" w:hAnsi="宋体"/>
          <w:i/>
          <w:szCs w:val="21"/>
          <w:u w:val="single"/>
        </w:rPr>
        <w:t xml:space="preserve"> </w:t>
      </w:r>
      <w:r>
        <w:rPr>
          <w:rFonts w:hint="eastAsia" w:ascii="宋体" w:hAnsi="宋体"/>
          <w:szCs w:val="21"/>
        </w:rPr>
        <w:t>的全权代表前来参加此次投标并提交投标文件。</w:t>
      </w:r>
    </w:p>
    <w:p w14:paraId="03C0663A">
      <w:pPr>
        <w:spacing w:line="360" w:lineRule="auto"/>
        <w:ind w:firstLine="420" w:firstLineChars="200"/>
        <w:rPr>
          <w:rFonts w:ascii="宋体" w:hAnsi="宋体"/>
          <w:szCs w:val="21"/>
        </w:rPr>
      </w:pPr>
      <w:r>
        <w:rPr>
          <w:rFonts w:hint="eastAsia" w:ascii="宋体" w:hAnsi="宋体"/>
          <w:szCs w:val="21"/>
        </w:rPr>
        <w:t>据此函，签字人兹宣布同意如下：</w:t>
      </w:r>
    </w:p>
    <w:p w14:paraId="4472404A">
      <w:pPr>
        <w:spacing w:line="360" w:lineRule="auto"/>
        <w:ind w:firstLine="420" w:firstLineChars="200"/>
        <w:rPr>
          <w:rFonts w:ascii="宋体" w:hAnsi="宋体"/>
          <w:szCs w:val="21"/>
        </w:rPr>
      </w:pPr>
      <w:r>
        <w:rPr>
          <w:rFonts w:hint="eastAsia" w:ascii="宋体" w:hAnsi="宋体"/>
          <w:szCs w:val="21"/>
        </w:rPr>
        <w:t>1、我们郑重承诺：我们是符合采购文件中规定的供应商，并严格遵守采购文件中的规定，本投标文件中提供的所有材料均是真实有效的。</w:t>
      </w:r>
    </w:p>
    <w:p w14:paraId="61102FF4">
      <w:pPr>
        <w:spacing w:line="360" w:lineRule="auto"/>
        <w:ind w:firstLine="420" w:firstLineChars="200"/>
        <w:rPr>
          <w:rFonts w:ascii="宋体" w:hAnsi="宋体"/>
          <w:szCs w:val="21"/>
        </w:rPr>
      </w:pPr>
      <w:r>
        <w:rPr>
          <w:rFonts w:hint="eastAsia" w:ascii="宋体" w:hAnsi="宋体"/>
          <w:szCs w:val="21"/>
        </w:rPr>
        <w:t>2、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p>
    <w:p w14:paraId="4FF67A0C">
      <w:pPr>
        <w:spacing w:line="360" w:lineRule="auto"/>
        <w:ind w:firstLine="420" w:firstLineChars="200"/>
        <w:rPr>
          <w:rFonts w:ascii="宋体" w:hAnsi="宋体"/>
          <w:szCs w:val="21"/>
        </w:rPr>
      </w:pPr>
      <w:r>
        <w:rPr>
          <w:rFonts w:hint="eastAsia" w:ascii="宋体" w:hAnsi="宋体"/>
          <w:szCs w:val="21"/>
        </w:rPr>
        <w:t>3、我们同意按照本采购文件第二章“投标人须知”中的规定，本投标文件的有效期为从开标之日起计算的九十天，在此期间，本投标文件将始终对我们具有约束力，并可随时被接受。如果我们中标，本投标文件在此期间之后将继续保持有效。</w:t>
      </w:r>
    </w:p>
    <w:p w14:paraId="585E3AF9">
      <w:pPr>
        <w:spacing w:line="360" w:lineRule="auto"/>
        <w:ind w:firstLine="420" w:firstLineChars="200"/>
        <w:rPr>
          <w:rFonts w:ascii="宋体" w:hAnsi="宋体"/>
          <w:szCs w:val="21"/>
        </w:rPr>
      </w:pPr>
      <w:r>
        <w:rPr>
          <w:rFonts w:hint="eastAsia" w:ascii="宋体" w:hAnsi="宋体"/>
          <w:szCs w:val="21"/>
        </w:rPr>
        <w:t>4、我们同意提供采购代理机构要求的有关本次采购的所有资料。</w:t>
      </w:r>
    </w:p>
    <w:p w14:paraId="57E56227">
      <w:pPr>
        <w:spacing w:line="360" w:lineRule="auto"/>
        <w:ind w:firstLine="420" w:firstLineChars="200"/>
        <w:rPr>
          <w:rFonts w:ascii="宋体" w:hAnsi="宋体"/>
          <w:szCs w:val="21"/>
        </w:rPr>
      </w:pPr>
      <w:r>
        <w:rPr>
          <w:rFonts w:hint="eastAsia" w:ascii="宋体" w:hAnsi="宋体"/>
          <w:szCs w:val="21"/>
        </w:rPr>
        <w:t>5、我们完全理解贵方不一定要以最低报价确定成交。</w:t>
      </w:r>
    </w:p>
    <w:p w14:paraId="006D78E5">
      <w:pPr>
        <w:spacing w:line="360" w:lineRule="auto"/>
        <w:ind w:firstLine="420" w:firstLineChars="200"/>
        <w:rPr>
          <w:rFonts w:ascii="宋体" w:hAnsi="宋体"/>
          <w:szCs w:val="21"/>
        </w:rPr>
      </w:pPr>
      <w:r>
        <w:rPr>
          <w:rFonts w:hint="eastAsia" w:ascii="宋体" w:hAnsi="宋体"/>
          <w:szCs w:val="21"/>
        </w:rPr>
        <w:t>6、如果我们中标，为执行合同，我们将按供应商须知有关要求提供必要的履约保证。</w:t>
      </w:r>
    </w:p>
    <w:p w14:paraId="438B6066">
      <w:pPr>
        <w:spacing w:line="360" w:lineRule="auto"/>
        <w:ind w:firstLine="420" w:firstLineChars="200"/>
        <w:rPr>
          <w:rFonts w:ascii="宋体" w:hAnsi="宋体"/>
          <w:szCs w:val="21"/>
        </w:rPr>
      </w:pPr>
      <w:r>
        <w:rPr>
          <w:rFonts w:hint="eastAsia" w:ascii="宋体" w:hAnsi="宋体"/>
          <w:szCs w:val="21"/>
        </w:rPr>
        <w:t>7、与本投标有关的正式通讯地址为：</w:t>
      </w:r>
    </w:p>
    <w:p w14:paraId="2B996BBF">
      <w:pPr>
        <w:spacing w:line="360" w:lineRule="auto"/>
        <w:ind w:firstLine="420" w:firstLineChars="200"/>
        <w:rPr>
          <w:rFonts w:ascii="宋体" w:hAnsi="宋体"/>
          <w:szCs w:val="21"/>
        </w:rPr>
      </w:pPr>
    </w:p>
    <w:p w14:paraId="41C0B156">
      <w:pPr>
        <w:spacing w:line="360" w:lineRule="auto"/>
        <w:ind w:firstLine="420" w:firstLineChars="200"/>
        <w:rPr>
          <w:rFonts w:ascii="宋体" w:hAnsi="宋体"/>
          <w:szCs w:val="21"/>
        </w:rPr>
      </w:pPr>
      <w:r>
        <w:rPr>
          <w:rFonts w:hint="eastAsia" w:ascii="宋体" w:hAnsi="宋体"/>
          <w:szCs w:val="21"/>
        </w:rPr>
        <w:t>地址：</w:t>
      </w:r>
    </w:p>
    <w:p w14:paraId="346AB274">
      <w:pPr>
        <w:spacing w:line="360" w:lineRule="auto"/>
        <w:ind w:firstLine="420" w:firstLineChars="200"/>
        <w:rPr>
          <w:rFonts w:ascii="宋体" w:hAnsi="宋体"/>
          <w:szCs w:val="21"/>
        </w:rPr>
      </w:pPr>
      <w:r>
        <w:rPr>
          <w:rFonts w:hint="eastAsia" w:ascii="宋体" w:hAnsi="宋体"/>
          <w:szCs w:val="21"/>
        </w:rPr>
        <w:t>邮编：</w:t>
      </w:r>
    </w:p>
    <w:p w14:paraId="446CE726">
      <w:pPr>
        <w:spacing w:line="360" w:lineRule="auto"/>
        <w:ind w:firstLine="420" w:firstLineChars="200"/>
        <w:rPr>
          <w:rFonts w:ascii="宋体" w:hAnsi="宋体"/>
          <w:szCs w:val="21"/>
        </w:rPr>
      </w:pPr>
      <w:r>
        <w:rPr>
          <w:rFonts w:hint="eastAsia" w:ascii="宋体" w:hAnsi="宋体"/>
          <w:szCs w:val="21"/>
        </w:rPr>
        <w:t>电话：</w:t>
      </w:r>
    </w:p>
    <w:p w14:paraId="357F6F9E">
      <w:pPr>
        <w:spacing w:line="360" w:lineRule="auto"/>
        <w:ind w:firstLine="420" w:firstLineChars="200"/>
        <w:rPr>
          <w:rFonts w:ascii="宋体" w:hAnsi="宋体"/>
          <w:szCs w:val="21"/>
        </w:rPr>
      </w:pPr>
      <w:r>
        <w:rPr>
          <w:rFonts w:hint="eastAsia" w:ascii="宋体" w:hAnsi="宋体"/>
          <w:szCs w:val="21"/>
        </w:rPr>
        <w:t>投标人名称：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（加盖CA电子公章）</w:t>
      </w:r>
    </w:p>
    <w:p w14:paraId="44B28B3A">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23D0C942">
      <w:pPr>
        <w:spacing w:line="360" w:lineRule="auto"/>
        <w:ind w:firstLine="420" w:firstLineChars="200"/>
        <w:rPr>
          <w:rFonts w:ascii="宋体" w:hAnsi="宋体"/>
          <w:szCs w:val="21"/>
        </w:rPr>
      </w:pPr>
      <w:r>
        <w:rPr>
          <w:rFonts w:hint="eastAsia" w:ascii="宋体" w:hAnsi="宋体"/>
          <w:szCs w:val="21"/>
        </w:rPr>
        <w:t>日期：  年   月   日</w:t>
      </w:r>
    </w:p>
    <w:p w14:paraId="4EA789B4">
      <w:pPr>
        <w:spacing w:line="360" w:lineRule="auto"/>
        <w:ind w:firstLine="420" w:firstLineChars="200"/>
        <w:rPr>
          <w:rFonts w:ascii="宋体" w:hAnsi="宋体"/>
          <w:szCs w:val="21"/>
        </w:rPr>
      </w:pPr>
    </w:p>
    <w:p w14:paraId="43712A52">
      <w:pPr>
        <w:rPr>
          <w:rFonts w:ascii="宋体" w:hAnsi="宋体"/>
          <w:szCs w:val="21"/>
        </w:rPr>
      </w:pPr>
    </w:p>
    <w:p w14:paraId="04C1C989">
      <w:pPr>
        <w:pStyle w:val="64"/>
        <w:spacing w:line="440" w:lineRule="exact"/>
        <w:ind w:left="420" w:firstLine="0" w:firstLineChars="0"/>
        <w:outlineLvl w:val="1"/>
        <w:rPr>
          <w:rFonts w:ascii="宋体" w:hAnsi="宋体" w:cs="Arial"/>
          <w:b/>
          <w:szCs w:val="21"/>
        </w:rPr>
      </w:pPr>
      <w:bookmarkStart w:id="51" w:name="_Toc21752"/>
      <w:bookmarkStart w:id="52" w:name="_Toc157775468"/>
      <w:r>
        <w:rPr>
          <w:rFonts w:hint="eastAsia" w:ascii="宋体" w:hAnsi="宋体" w:cs="Arial"/>
          <w:b/>
          <w:szCs w:val="21"/>
        </w:rPr>
        <w:t>二、开标一览表</w:t>
      </w:r>
      <w:bookmarkEnd w:id="51"/>
      <w:bookmarkStart w:id="53" w:name="_Toc23798"/>
    </w:p>
    <w:p w14:paraId="28BF9A01"/>
    <w:p w14:paraId="334E8AD9">
      <w:pPr>
        <w:jc w:val="center"/>
        <w:rPr>
          <w:rFonts w:ascii="宋体" w:hAnsi="宋体"/>
          <w:b/>
          <w:sz w:val="28"/>
          <w:szCs w:val="28"/>
        </w:rPr>
      </w:pPr>
    </w:p>
    <w:p w14:paraId="0DAEF698">
      <w:pPr>
        <w:jc w:val="center"/>
        <w:rPr>
          <w:rFonts w:ascii="宋体" w:hAnsi="宋体"/>
          <w:b/>
          <w:sz w:val="28"/>
          <w:szCs w:val="28"/>
        </w:rPr>
      </w:pPr>
      <w:r>
        <w:rPr>
          <w:rFonts w:hint="eastAsia" w:ascii="宋体" w:hAnsi="宋体"/>
          <w:b/>
          <w:sz w:val="28"/>
          <w:szCs w:val="28"/>
        </w:rPr>
        <w:t>开标一览表（具体格式以系统内为准）</w:t>
      </w:r>
      <w:bookmarkEnd w:id="53"/>
    </w:p>
    <w:p w14:paraId="4E80B591"/>
    <w:p w14:paraId="0BD01BB1">
      <w:pPr>
        <w:ind w:firstLine="482"/>
        <w:rPr>
          <w:rFonts w:ascii="宋体" w:hAnsi="宋体" w:cs="宋体"/>
          <w:sz w:val="24"/>
        </w:rPr>
      </w:pPr>
      <w:r>
        <w:rPr>
          <w:rFonts w:hint="eastAsia" w:ascii="宋体" w:hAnsi="宋体" w:cs="宋体"/>
          <w:b/>
          <w:bCs/>
          <w:sz w:val="24"/>
        </w:rPr>
        <w:t xml:space="preserve">项目名称：                             项目编号：  </w:t>
      </w:r>
      <w:r>
        <w:rPr>
          <w:rFonts w:hint="eastAsia" w:ascii="宋体" w:hAnsi="宋体" w:cs="宋体"/>
          <w:sz w:val="24"/>
        </w:rPr>
        <w:t xml:space="preserve">            </w:t>
      </w:r>
    </w:p>
    <w:tbl>
      <w:tblPr>
        <w:tblStyle w:val="36"/>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4967"/>
        <w:gridCol w:w="1639"/>
      </w:tblGrid>
      <w:tr w14:paraId="29C0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034" w:type="dxa"/>
            <w:vAlign w:val="center"/>
          </w:tcPr>
          <w:p w14:paraId="2AB23F04">
            <w:pPr>
              <w:pStyle w:val="8"/>
              <w:spacing w:after="120" w:line="440" w:lineRule="exact"/>
              <w:ind w:firstLine="0"/>
              <w:jc w:val="center"/>
              <w:rPr>
                <w:rFonts w:ascii="宋体" w:hAnsi="宋体" w:cs="宋体"/>
                <w:b/>
                <w:bCs/>
              </w:rPr>
            </w:pPr>
            <w:r>
              <w:rPr>
                <w:rFonts w:hint="eastAsia" w:ascii="宋体" w:hAnsi="宋体" w:cs="宋体"/>
                <w:b/>
                <w:bCs/>
              </w:rPr>
              <w:t>投标保证金</w:t>
            </w:r>
          </w:p>
        </w:tc>
        <w:tc>
          <w:tcPr>
            <w:tcW w:w="4967" w:type="dxa"/>
            <w:vAlign w:val="center"/>
          </w:tcPr>
          <w:p w14:paraId="1B6A3F54">
            <w:pPr>
              <w:pStyle w:val="8"/>
              <w:spacing w:after="120" w:line="440" w:lineRule="exact"/>
              <w:ind w:firstLine="0"/>
              <w:rPr>
                <w:rFonts w:ascii="宋体" w:hAnsi="宋体" w:cs="宋体"/>
              </w:rPr>
            </w:pPr>
            <w:r>
              <w:rPr>
                <w:rFonts w:hint="eastAsia" w:ascii="宋体" w:hAnsi="宋体" w:cs="宋体"/>
              </w:rPr>
              <w:t xml:space="preserve">/ </w:t>
            </w:r>
          </w:p>
        </w:tc>
        <w:tc>
          <w:tcPr>
            <w:tcW w:w="1639" w:type="dxa"/>
            <w:vAlign w:val="center"/>
          </w:tcPr>
          <w:p w14:paraId="56FF80F4">
            <w:pPr>
              <w:pStyle w:val="8"/>
              <w:spacing w:after="120" w:line="440" w:lineRule="exact"/>
              <w:ind w:firstLine="474"/>
              <w:rPr>
                <w:rFonts w:ascii="宋体" w:hAnsi="宋体" w:cs="宋体"/>
              </w:rPr>
            </w:pPr>
            <w:r>
              <w:rPr>
                <w:rFonts w:hint="eastAsia" w:ascii="宋体" w:hAnsi="宋体" w:cs="宋体"/>
                <w:b/>
                <w:bCs/>
              </w:rPr>
              <w:t>备注</w:t>
            </w:r>
          </w:p>
        </w:tc>
      </w:tr>
      <w:tr w14:paraId="6E55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jc w:val="center"/>
        </w:trPr>
        <w:tc>
          <w:tcPr>
            <w:tcW w:w="2034" w:type="dxa"/>
            <w:vAlign w:val="center"/>
          </w:tcPr>
          <w:p w14:paraId="20687844">
            <w:pPr>
              <w:pStyle w:val="8"/>
              <w:spacing w:after="120" w:line="440" w:lineRule="exact"/>
              <w:ind w:firstLine="0"/>
              <w:jc w:val="center"/>
              <w:rPr>
                <w:rFonts w:ascii="宋体" w:hAnsi="宋体" w:cs="宋体"/>
                <w:b/>
                <w:bCs/>
              </w:rPr>
            </w:pPr>
            <w:r>
              <w:rPr>
                <w:rFonts w:hint="eastAsia" w:ascii="宋体" w:hAnsi="宋体" w:cs="宋体"/>
                <w:b/>
                <w:bCs/>
              </w:rPr>
              <w:t>投标报价</w:t>
            </w:r>
          </w:p>
          <w:p w14:paraId="087CB236">
            <w:pPr>
              <w:pStyle w:val="8"/>
              <w:spacing w:after="120" w:line="440" w:lineRule="exact"/>
              <w:ind w:firstLine="0"/>
              <w:jc w:val="center"/>
              <w:rPr>
                <w:rFonts w:ascii="宋体" w:hAnsi="宋体" w:cs="宋体"/>
                <w:b/>
                <w:bCs/>
              </w:rPr>
            </w:pPr>
            <w:r>
              <w:rPr>
                <w:rFonts w:hint="eastAsia" w:ascii="宋体" w:hAnsi="宋体" w:cs="宋体"/>
                <w:b/>
                <w:bCs/>
              </w:rPr>
              <w:t>（每公斤单价）</w:t>
            </w:r>
          </w:p>
        </w:tc>
        <w:tc>
          <w:tcPr>
            <w:tcW w:w="4967" w:type="dxa"/>
            <w:vAlign w:val="center"/>
          </w:tcPr>
          <w:p w14:paraId="57A5D2C7">
            <w:pPr>
              <w:pStyle w:val="8"/>
              <w:spacing w:after="120" w:line="440" w:lineRule="exact"/>
              <w:ind w:firstLine="0"/>
              <w:rPr>
                <w:rFonts w:ascii="宋体" w:hAnsi="宋体" w:cs="宋体"/>
              </w:rPr>
            </w:pPr>
            <w:r>
              <w:rPr>
                <w:rFonts w:hint="eastAsia" w:ascii="宋体" w:hAnsi="宋体" w:cs="宋体"/>
              </w:rPr>
              <w:t>小写：人民币：</w:t>
            </w:r>
            <w:r>
              <w:rPr>
                <w:rFonts w:hint="eastAsia" w:ascii="宋体" w:hAnsi="宋体" w:cs="宋体"/>
                <w:u w:val="single"/>
              </w:rPr>
              <w:t xml:space="preserve">         </w:t>
            </w:r>
            <w:r>
              <w:rPr>
                <w:rFonts w:hint="eastAsia" w:ascii="宋体" w:hAnsi="宋体" w:cs="宋体"/>
              </w:rPr>
              <w:t xml:space="preserve"> 元 /KG   </w:t>
            </w:r>
            <w:r>
              <w:rPr>
                <w:rFonts w:hint="eastAsia" w:ascii="宋体" w:hAnsi="宋体" w:cs="宋体"/>
                <w:bCs/>
              </w:rPr>
              <w:t xml:space="preserve">    </w:t>
            </w:r>
          </w:p>
          <w:p w14:paraId="02EE9337">
            <w:pPr>
              <w:pStyle w:val="8"/>
              <w:spacing w:after="120" w:line="440" w:lineRule="exact"/>
              <w:ind w:firstLine="0"/>
              <w:rPr>
                <w:rFonts w:ascii="宋体" w:hAnsi="宋体" w:cs="宋体"/>
              </w:rPr>
            </w:pPr>
            <w:r>
              <w:rPr>
                <w:rFonts w:hint="eastAsia" w:ascii="宋体" w:hAnsi="宋体" w:cs="宋体"/>
              </w:rPr>
              <w:t xml:space="preserve">大写：人民币：  </w:t>
            </w:r>
            <w:r>
              <w:rPr>
                <w:rFonts w:hint="eastAsia" w:ascii="宋体" w:hAnsi="宋体" w:cs="宋体"/>
                <w:lang w:val="en-US" w:eastAsia="zh-CN"/>
              </w:rPr>
              <w:t>元</w:t>
            </w:r>
            <w:r>
              <w:rPr>
                <w:rFonts w:hint="eastAsia" w:ascii="宋体" w:hAnsi="宋体" w:cs="宋体"/>
              </w:rPr>
              <w:t xml:space="preserve">/kg     </w:t>
            </w:r>
          </w:p>
        </w:tc>
        <w:tc>
          <w:tcPr>
            <w:tcW w:w="1639" w:type="dxa"/>
            <w:vAlign w:val="center"/>
          </w:tcPr>
          <w:p w14:paraId="15FC7F37">
            <w:pPr>
              <w:pStyle w:val="8"/>
              <w:spacing w:after="120" w:line="440" w:lineRule="exact"/>
              <w:ind w:firstLine="0"/>
              <w:rPr>
                <w:rFonts w:ascii="宋体" w:hAnsi="宋体" w:cs="宋体"/>
                <w:bCs/>
              </w:rPr>
            </w:pPr>
          </w:p>
          <w:p w14:paraId="20863492">
            <w:pPr>
              <w:pStyle w:val="8"/>
              <w:spacing w:after="120" w:line="440" w:lineRule="exact"/>
              <w:ind w:firstLine="0"/>
              <w:rPr>
                <w:rFonts w:ascii="宋体" w:hAnsi="宋体" w:cs="宋体"/>
              </w:rPr>
            </w:pPr>
          </w:p>
        </w:tc>
      </w:tr>
      <w:tr w14:paraId="393DF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034" w:type="dxa"/>
            <w:vAlign w:val="center"/>
          </w:tcPr>
          <w:p w14:paraId="4538005A">
            <w:pPr>
              <w:pStyle w:val="8"/>
              <w:spacing w:after="120" w:line="440" w:lineRule="exact"/>
              <w:ind w:firstLine="0"/>
              <w:jc w:val="center"/>
              <w:rPr>
                <w:rFonts w:ascii="宋体" w:hAnsi="宋体" w:cs="宋体"/>
                <w:b/>
                <w:bCs/>
              </w:rPr>
            </w:pPr>
            <w:r>
              <w:rPr>
                <w:rFonts w:hint="eastAsia" w:ascii="宋体" w:hAnsi="宋体" w:cs="宋体"/>
                <w:b/>
                <w:bCs/>
              </w:rPr>
              <w:t>合同履行时间</w:t>
            </w:r>
          </w:p>
        </w:tc>
        <w:tc>
          <w:tcPr>
            <w:tcW w:w="4967" w:type="dxa"/>
            <w:vAlign w:val="center"/>
          </w:tcPr>
          <w:p w14:paraId="5E2AF81C">
            <w:pPr>
              <w:pStyle w:val="8"/>
              <w:tabs>
                <w:tab w:val="left" w:pos="3624"/>
              </w:tabs>
              <w:spacing w:after="120" w:line="440" w:lineRule="exact"/>
              <w:ind w:firstLine="0"/>
              <w:rPr>
                <w:rFonts w:ascii="宋体" w:hAnsi="宋体" w:cs="宋体"/>
                <w:u w:val="single"/>
              </w:rPr>
            </w:pPr>
            <w:r>
              <w:rPr>
                <w:rFonts w:hint="eastAsia" w:ascii="宋体" w:hAnsi="宋体" w:cs="宋体"/>
                <w:u w:val="single"/>
              </w:rPr>
              <w:t>满足采购文件要求。</w:t>
            </w:r>
          </w:p>
        </w:tc>
        <w:tc>
          <w:tcPr>
            <w:tcW w:w="1639" w:type="dxa"/>
            <w:vAlign w:val="center"/>
          </w:tcPr>
          <w:p w14:paraId="54A59DCE">
            <w:pPr>
              <w:pStyle w:val="8"/>
              <w:spacing w:after="120" w:line="440" w:lineRule="exact"/>
              <w:ind w:firstLine="472"/>
              <w:rPr>
                <w:rFonts w:ascii="宋体" w:hAnsi="宋体" w:cs="宋体"/>
              </w:rPr>
            </w:pPr>
          </w:p>
          <w:p w14:paraId="782B82ED">
            <w:pPr>
              <w:pStyle w:val="8"/>
              <w:spacing w:after="120" w:line="440" w:lineRule="exact"/>
              <w:ind w:firstLine="472"/>
              <w:rPr>
                <w:rFonts w:ascii="宋体" w:hAnsi="宋体" w:cs="宋体"/>
              </w:rPr>
            </w:pPr>
          </w:p>
        </w:tc>
      </w:tr>
      <w:tr w14:paraId="28BB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2034" w:type="dxa"/>
            <w:vAlign w:val="center"/>
          </w:tcPr>
          <w:p w14:paraId="4EEED2D1">
            <w:pPr>
              <w:pStyle w:val="8"/>
              <w:spacing w:after="120"/>
              <w:ind w:firstLine="0"/>
              <w:jc w:val="center"/>
              <w:rPr>
                <w:rFonts w:ascii="宋体" w:hAnsi="宋体" w:cs="宋体"/>
                <w:b/>
                <w:bCs/>
              </w:rPr>
            </w:pPr>
            <w:r>
              <w:rPr>
                <w:rFonts w:hint="eastAsia" w:ascii="宋体" w:hAnsi="宋体" w:cs="宋体"/>
                <w:b/>
                <w:bCs/>
              </w:rPr>
              <w:t>投标标的是否全部由小微企业提供</w:t>
            </w:r>
          </w:p>
        </w:tc>
        <w:tc>
          <w:tcPr>
            <w:tcW w:w="4967" w:type="dxa"/>
            <w:vAlign w:val="center"/>
          </w:tcPr>
          <w:p w14:paraId="6A628A1B">
            <w:pPr>
              <w:pStyle w:val="8"/>
              <w:spacing w:after="120"/>
              <w:ind w:firstLine="0"/>
              <w:rPr>
                <w:rFonts w:ascii="宋体" w:hAnsi="宋体" w:cs="宋体"/>
              </w:rPr>
            </w:pPr>
            <w:r>
              <w:rPr>
                <w:rFonts w:hint="eastAsia" w:ascii="宋体" w:hAnsi="宋体" w:cs="宋体"/>
                <w:u w:val="single"/>
              </w:rPr>
              <w:t xml:space="preserve">                    </w:t>
            </w:r>
            <w:r>
              <w:rPr>
                <w:rFonts w:hint="eastAsia" w:ascii="宋体" w:hAnsi="宋体" w:cs="宋体"/>
              </w:rPr>
              <w:t>（</w:t>
            </w:r>
            <w:r>
              <w:rPr>
                <w:rFonts w:hint="eastAsia" w:ascii="宋体" w:hAnsi="宋体" w:cs="宋体"/>
                <w:lang w:val="zh-CN"/>
              </w:rPr>
              <w:t>填写“是”或“否</w:t>
            </w:r>
            <w:r>
              <w:rPr>
                <w:rFonts w:hint="eastAsia" w:ascii="宋体" w:hAnsi="宋体" w:cs="宋体"/>
              </w:rPr>
              <w:t>）</w:t>
            </w:r>
          </w:p>
        </w:tc>
        <w:tc>
          <w:tcPr>
            <w:tcW w:w="1639" w:type="dxa"/>
            <w:vAlign w:val="center"/>
          </w:tcPr>
          <w:p w14:paraId="29DE570B">
            <w:pPr>
              <w:pStyle w:val="8"/>
              <w:spacing w:after="120"/>
              <w:ind w:firstLine="472"/>
              <w:rPr>
                <w:rFonts w:ascii="宋体" w:hAnsi="宋体" w:cs="宋体"/>
              </w:rPr>
            </w:pPr>
          </w:p>
        </w:tc>
      </w:tr>
    </w:tbl>
    <w:p w14:paraId="5189C49F">
      <w:pPr>
        <w:ind w:firstLine="480"/>
        <w:rPr>
          <w:rFonts w:ascii="宋体" w:hAnsi="宋体" w:cs="宋体"/>
          <w:sz w:val="24"/>
        </w:rPr>
      </w:pPr>
      <w:r>
        <w:rPr>
          <w:rFonts w:hint="eastAsia" w:ascii="宋体" w:hAnsi="宋体" w:cs="宋体"/>
          <w:sz w:val="24"/>
        </w:rPr>
        <w:t xml:space="preserve">       </w:t>
      </w:r>
    </w:p>
    <w:p w14:paraId="78D7405E">
      <w:pPr>
        <w:spacing w:line="360" w:lineRule="auto"/>
        <w:ind w:firstLine="420" w:firstLineChars="200"/>
        <w:rPr>
          <w:rFonts w:ascii="宋体" w:hAnsi="宋体"/>
          <w:szCs w:val="21"/>
        </w:rPr>
      </w:pPr>
    </w:p>
    <w:p w14:paraId="6890431F">
      <w:pPr>
        <w:spacing w:line="360" w:lineRule="auto"/>
        <w:ind w:firstLine="420" w:firstLineChars="200"/>
        <w:rPr>
          <w:rFonts w:ascii="宋体" w:hAnsi="宋体"/>
          <w:szCs w:val="21"/>
        </w:rPr>
      </w:pPr>
    </w:p>
    <w:p w14:paraId="651EB5E0">
      <w:pPr>
        <w:spacing w:line="360" w:lineRule="auto"/>
        <w:ind w:firstLine="420" w:firstLineChars="200"/>
        <w:rPr>
          <w:rFonts w:ascii="宋体" w:hAnsi="宋体"/>
          <w:szCs w:val="21"/>
        </w:rPr>
      </w:pPr>
    </w:p>
    <w:p w14:paraId="27686BC9">
      <w:pPr>
        <w:spacing w:line="360" w:lineRule="auto"/>
        <w:ind w:firstLine="420" w:firstLineChars="200"/>
        <w:rPr>
          <w:rFonts w:ascii="宋体" w:hAnsi="宋体"/>
          <w:szCs w:val="21"/>
        </w:rPr>
      </w:pPr>
    </w:p>
    <w:p w14:paraId="38D56371">
      <w:pPr>
        <w:spacing w:line="360" w:lineRule="auto"/>
        <w:ind w:firstLine="420" w:firstLineChars="200"/>
        <w:rPr>
          <w:rFonts w:ascii="宋体" w:hAnsi="宋体"/>
          <w:szCs w:val="21"/>
        </w:rPr>
      </w:pPr>
    </w:p>
    <w:p w14:paraId="2F503F3C">
      <w:pPr>
        <w:spacing w:line="360" w:lineRule="auto"/>
        <w:ind w:firstLine="420" w:firstLineChars="200"/>
        <w:rPr>
          <w:rFonts w:ascii="宋体" w:hAnsi="宋体"/>
          <w:szCs w:val="21"/>
        </w:rPr>
      </w:pPr>
    </w:p>
    <w:p w14:paraId="5569499F">
      <w:pPr>
        <w:spacing w:line="360" w:lineRule="auto"/>
        <w:ind w:firstLine="420" w:firstLineChars="200"/>
        <w:rPr>
          <w:rFonts w:ascii="宋体" w:hAnsi="宋体"/>
          <w:szCs w:val="21"/>
        </w:rPr>
      </w:pPr>
    </w:p>
    <w:p w14:paraId="393FD205">
      <w:pPr>
        <w:spacing w:line="360" w:lineRule="auto"/>
        <w:ind w:firstLine="420" w:firstLineChars="200"/>
        <w:rPr>
          <w:rFonts w:ascii="宋体" w:hAnsi="宋体"/>
          <w:szCs w:val="21"/>
        </w:rPr>
      </w:pPr>
    </w:p>
    <w:p w14:paraId="1BCCF2BA">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16DF6C93">
      <w:pPr>
        <w:spacing w:line="360" w:lineRule="auto"/>
        <w:ind w:firstLine="420" w:firstLineChars="200"/>
        <w:rPr>
          <w:rFonts w:ascii="宋体" w:hAnsi="宋体"/>
          <w:szCs w:val="21"/>
        </w:rPr>
      </w:pPr>
      <w:r>
        <w:rPr>
          <w:rFonts w:hint="eastAsia" w:ascii="宋体" w:hAnsi="宋体"/>
          <w:szCs w:val="21"/>
        </w:rPr>
        <w:t>投标人名称（加盖CA电子公章）：</w:t>
      </w:r>
    </w:p>
    <w:p w14:paraId="6543708D">
      <w:pPr>
        <w:spacing w:line="360" w:lineRule="auto"/>
        <w:ind w:firstLine="420" w:firstLineChars="200"/>
        <w:rPr>
          <w:rFonts w:ascii="宋体" w:hAnsi="宋体"/>
          <w:szCs w:val="21"/>
        </w:rPr>
      </w:pPr>
      <w:r>
        <w:rPr>
          <w:rFonts w:hint="eastAsia" w:ascii="宋体" w:hAnsi="宋体"/>
          <w:szCs w:val="21"/>
        </w:rPr>
        <w:t>日期：  年   月   日</w:t>
      </w:r>
    </w:p>
    <w:p w14:paraId="220185D5">
      <w:pPr>
        <w:pStyle w:val="8"/>
        <w:ind w:left="420" w:firstLine="0"/>
      </w:pPr>
    </w:p>
    <w:p w14:paraId="7D17BE7A">
      <w:pPr>
        <w:rPr>
          <w:rFonts w:ascii="宋体" w:hAnsi="宋体" w:cs="Arial"/>
          <w:b/>
          <w:szCs w:val="21"/>
        </w:rPr>
      </w:pPr>
      <w:r>
        <w:rPr>
          <w:rFonts w:hint="eastAsia" w:ascii="宋体" w:hAnsi="宋体" w:cs="Arial"/>
          <w:b/>
          <w:szCs w:val="21"/>
        </w:rPr>
        <w:br w:type="page"/>
      </w:r>
    </w:p>
    <w:p w14:paraId="3AC2A2F1">
      <w:pPr>
        <w:pStyle w:val="64"/>
        <w:spacing w:line="440" w:lineRule="exact"/>
        <w:ind w:left="420" w:firstLine="0" w:firstLineChars="0"/>
        <w:outlineLvl w:val="1"/>
        <w:rPr>
          <w:rFonts w:ascii="宋体" w:hAnsi="宋体" w:cs="Arial"/>
          <w:b/>
          <w:szCs w:val="21"/>
        </w:rPr>
      </w:pPr>
      <w:bookmarkStart w:id="54" w:name="_Toc20408"/>
      <w:bookmarkStart w:id="55" w:name="_Hlk46137252"/>
      <w:r>
        <w:rPr>
          <w:rFonts w:hint="eastAsia" w:ascii="宋体" w:hAnsi="宋体" w:cs="Arial"/>
          <w:b/>
          <w:szCs w:val="21"/>
        </w:rPr>
        <w:t>三、投标产品配置及分项报价表</w:t>
      </w:r>
      <w:bookmarkEnd w:id="54"/>
    </w:p>
    <w:p w14:paraId="4A0C67E5">
      <w:bookmarkStart w:id="56" w:name="_Toc26687"/>
    </w:p>
    <w:p w14:paraId="3664F033"/>
    <w:p w14:paraId="4128A5FD">
      <w:pPr>
        <w:jc w:val="center"/>
        <w:rPr>
          <w:b/>
          <w:bCs/>
          <w:sz w:val="24"/>
          <w:szCs w:val="32"/>
        </w:rPr>
      </w:pPr>
      <w:r>
        <w:rPr>
          <w:rFonts w:hint="eastAsia"/>
          <w:b/>
          <w:bCs/>
          <w:sz w:val="24"/>
          <w:szCs w:val="32"/>
        </w:rPr>
        <w:t>投标产品配置及分项报价表</w:t>
      </w:r>
      <w:bookmarkEnd w:id="56"/>
    </w:p>
    <w:p w14:paraId="7F74DC8D"/>
    <w:p w14:paraId="2E8A2E03"/>
    <w:p w14:paraId="2D40AA53">
      <w:pPr>
        <w:ind w:firstLine="482"/>
        <w:rPr>
          <w:rFonts w:ascii="宋体" w:hAnsi="宋体" w:cs="宋体"/>
          <w:sz w:val="24"/>
        </w:rPr>
      </w:pPr>
      <w:r>
        <w:rPr>
          <w:rFonts w:hint="eastAsia" w:ascii="宋体" w:hAnsi="宋体" w:cs="宋体"/>
          <w:b/>
          <w:sz w:val="24"/>
        </w:rPr>
        <w:t xml:space="preserve">项目名称：                             项目编号：   </w:t>
      </w:r>
      <w:r>
        <w:rPr>
          <w:rFonts w:hint="eastAsia" w:ascii="宋体" w:hAnsi="宋体" w:cs="宋体"/>
          <w:sz w:val="24"/>
        </w:rPr>
        <w:t xml:space="preserve"> </w:t>
      </w:r>
    </w:p>
    <w:tbl>
      <w:tblPr>
        <w:tblStyle w:val="36"/>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1272"/>
        <w:gridCol w:w="1045"/>
        <w:gridCol w:w="900"/>
        <w:gridCol w:w="771"/>
        <w:gridCol w:w="1059"/>
        <w:gridCol w:w="948"/>
        <w:gridCol w:w="1233"/>
        <w:gridCol w:w="1293"/>
      </w:tblGrid>
      <w:tr w14:paraId="2FDE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14:paraId="676204D7">
            <w:pPr>
              <w:jc w:val="center"/>
              <w:rPr>
                <w:rFonts w:ascii="宋体" w:hAnsi="宋体" w:cs="宋体"/>
                <w:sz w:val="24"/>
              </w:rPr>
            </w:pPr>
            <w:r>
              <w:rPr>
                <w:rFonts w:hint="eastAsia" w:ascii="宋体" w:hAnsi="宋体" w:cs="宋体"/>
                <w:sz w:val="24"/>
              </w:rPr>
              <w:t>序号</w:t>
            </w:r>
          </w:p>
        </w:tc>
        <w:tc>
          <w:tcPr>
            <w:tcW w:w="1272" w:type="dxa"/>
            <w:tcBorders>
              <w:top w:val="single" w:color="auto" w:sz="4" w:space="0"/>
              <w:left w:val="single" w:color="auto" w:sz="4" w:space="0"/>
              <w:bottom w:val="single" w:color="auto" w:sz="4" w:space="0"/>
              <w:right w:val="single" w:color="auto" w:sz="4" w:space="0"/>
            </w:tcBorders>
            <w:vAlign w:val="center"/>
          </w:tcPr>
          <w:p w14:paraId="68EBE2DC">
            <w:pPr>
              <w:jc w:val="center"/>
              <w:rPr>
                <w:rFonts w:ascii="宋体" w:hAnsi="宋体" w:cs="宋体"/>
                <w:sz w:val="24"/>
              </w:rPr>
            </w:pPr>
            <w:r>
              <w:rPr>
                <w:rFonts w:hint="eastAsia" w:ascii="宋体" w:hAnsi="宋体" w:cs="宋体"/>
                <w:sz w:val="24"/>
              </w:rPr>
              <w:t>标的名称</w:t>
            </w:r>
          </w:p>
        </w:tc>
        <w:tc>
          <w:tcPr>
            <w:tcW w:w="1045" w:type="dxa"/>
            <w:tcBorders>
              <w:top w:val="single" w:color="auto" w:sz="4" w:space="0"/>
              <w:left w:val="single" w:color="auto" w:sz="4" w:space="0"/>
              <w:bottom w:val="single" w:color="auto" w:sz="4" w:space="0"/>
              <w:right w:val="single" w:color="auto" w:sz="4" w:space="0"/>
            </w:tcBorders>
            <w:vAlign w:val="center"/>
          </w:tcPr>
          <w:p w14:paraId="23D17B01">
            <w:pPr>
              <w:jc w:val="center"/>
              <w:rPr>
                <w:rFonts w:ascii="宋体" w:hAnsi="宋体" w:cs="宋体"/>
                <w:sz w:val="24"/>
              </w:rPr>
            </w:pPr>
            <w:r>
              <w:rPr>
                <w:rFonts w:hint="eastAsia" w:ascii="宋体" w:hAnsi="宋体" w:cs="宋体"/>
                <w:sz w:val="24"/>
              </w:rPr>
              <w:t>数量</w:t>
            </w:r>
          </w:p>
        </w:tc>
        <w:tc>
          <w:tcPr>
            <w:tcW w:w="900" w:type="dxa"/>
            <w:tcBorders>
              <w:top w:val="single" w:color="auto" w:sz="4" w:space="0"/>
              <w:left w:val="single" w:color="auto" w:sz="4" w:space="0"/>
              <w:bottom w:val="single" w:color="auto" w:sz="4" w:space="0"/>
              <w:right w:val="single" w:color="auto" w:sz="4" w:space="0"/>
            </w:tcBorders>
            <w:vAlign w:val="center"/>
          </w:tcPr>
          <w:p w14:paraId="2E1FD108">
            <w:pPr>
              <w:jc w:val="center"/>
              <w:rPr>
                <w:rFonts w:ascii="宋体" w:hAnsi="宋体" w:cs="宋体"/>
                <w:sz w:val="24"/>
              </w:rPr>
            </w:pPr>
            <w:r>
              <w:rPr>
                <w:rFonts w:hint="eastAsia" w:ascii="宋体" w:hAnsi="宋体" w:cs="宋体"/>
                <w:sz w:val="24"/>
              </w:rPr>
              <w:t>单位</w:t>
            </w:r>
          </w:p>
        </w:tc>
        <w:tc>
          <w:tcPr>
            <w:tcW w:w="771" w:type="dxa"/>
            <w:tcBorders>
              <w:top w:val="single" w:color="auto" w:sz="4" w:space="0"/>
              <w:left w:val="single" w:color="auto" w:sz="4" w:space="0"/>
              <w:bottom w:val="single" w:color="auto" w:sz="4" w:space="0"/>
              <w:right w:val="single" w:color="auto" w:sz="4" w:space="0"/>
            </w:tcBorders>
            <w:vAlign w:val="center"/>
          </w:tcPr>
          <w:p w14:paraId="56FBD220">
            <w:pPr>
              <w:jc w:val="center"/>
              <w:rPr>
                <w:rFonts w:ascii="宋体" w:hAnsi="宋体" w:cs="宋体"/>
                <w:sz w:val="24"/>
              </w:rPr>
            </w:pPr>
            <w:r>
              <w:rPr>
                <w:rFonts w:hint="eastAsia" w:ascii="宋体" w:hAnsi="宋体" w:cs="宋体"/>
                <w:sz w:val="24"/>
              </w:rPr>
              <w:t>品牌</w:t>
            </w:r>
          </w:p>
        </w:tc>
        <w:tc>
          <w:tcPr>
            <w:tcW w:w="1059" w:type="dxa"/>
            <w:tcBorders>
              <w:top w:val="single" w:color="auto" w:sz="4" w:space="0"/>
              <w:left w:val="single" w:color="auto" w:sz="4" w:space="0"/>
              <w:bottom w:val="single" w:color="auto" w:sz="4" w:space="0"/>
              <w:right w:val="single" w:color="auto" w:sz="4" w:space="0"/>
            </w:tcBorders>
            <w:vAlign w:val="center"/>
          </w:tcPr>
          <w:p w14:paraId="70CC32FF">
            <w:pPr>
              <w:jc w:val="center"/>
              <w:rPr>
                <w:rFonts w:ascii="宋体" w:hAnsi="宋体" w:cs="宋体"/>
                <w:sz w:val="24"/>
              </w:rPr>
            </w:pPr>
            <w:r>
              <w:rPr>
                <w:rFonts w:hint="eastAsia" w:ascii="宋体" w:hAnsi="宋体" w:cs="宋体"/>
                <w:sz w:val="24"/>
              </w:rPr>
              <w:t>规格</w:t>
            </w:r>
          </w:p>
          <w:p w14:paraId="3457DC53">
            <w:pPr>
              <w:jc w:val="center"/>
              <w:rPr>
                <w:rFonts w:ascii="宋体" w:hAnsi="宋体" w:cs="宋体"/>
                <w:sz w:val="24"/>
              </w:rPr>
            </w:pPr>
            <w:r>
              <w:rPr>
                <w:rFonts w:hint="eastAsia" w:ascii="宋体" w:hAnsi="宋体" w:cs="宋体"/>
                <w:sz w:val="24"/>
              </w:rPr>
              <w:t>型号</w:t>
            </w:r>
          </w:p>
        </w:tc>
        <w:tc>
          <w:tcPr>
            <w:tcW w:w="948" w:type="dxa"/>
            <w:tcBorders>
              <w:top w:val="single" w:color="auto" w:sz="4" w:space="0"/>
              <w:left w:val="single" w:color="auto" w:sz="4" w:space="0"/>
              <w:bottom w:val="single" w:color="auto" w:sz="4" w:space="0"/>
              <w:right w:val="single" w:color="auto" w:sz="4" w:space="0"/>
            </w:tcBorders>
            <w:vAlign w:val="center"/>
          </w:tcPr>
          <w:p w14:paraId="79C8C23C">
            <w:pPr>
              <w:jc w:val="center"/>
              <w:rPr>
                <w:rFonts w:ascii="宋体" w:hAnsi="宋体" w:cs="宋体"/>
                <w:sz w:val="24"/>
              </w:rPr>
            </w:pPr>
            <w:r>
              <w:rPr>
                <w:rFonts w:hint="eastAsia" w:ascii="宋体" w:hAnsi="宋体" w:cs="宋体"/>
                <w:sz w:val="24"/>
              </w:rPr>
              <w:t>制造商</w:t>
            </w:r>
          </w:p>
        </w:tc>
        <w:tc>
          <w:tcPr>
            <w:tcW w:w="1233" w:type="dxa"/>
            <w:tcBorders>
              <w:top w:val="single" w:color="auto" w:sz="4" w:space="0"/>
              <w:left w:val="single" w:color="auto" w:sz="4" w:space="0"/>
              <w:bottom w:val="single" w:color="auto" w:sz="4" w:space="0"/>
              <w:right w:val="single" w:color="auto" w:sz="4" w:space="0"/>
            </w:tcBorders>
            <w:vAlign w:val="center"/>
          </w:tcPr>
          <w:p w14:paraId="0A3EF6BF">
            <w:pPr>
              <w:jc w:val="center"/>
              <w:rPr>
                <w:rFonts w:ascii="宋体" w:hAnsi="宋体" w:cs="宋体"/>
                <w:sz w:val="24"/>
              </w:rPr>
            </w:pPr>
            <w:r>
              <w:rPr>
                <w:rFonts w:hint="eastAsia" w:ascii="宋体" w:hAnsi="宋体" w:cs="宋体"/>
                <w:sz w:val="24"/>
              </w:rPr>
              <w:t>单价</w:t>
            </w:r>
          </w:p>
          <w:p w14:paraId="4027DE3B">
            <w:pPr>
              <w:jc w:val="center"/>
              <w:rPr>
                <w:rFonts w:ascii="宋体" w:hAnsi="宋体" w:cs="宋体"/>
                <w:sz w:val="24"/>
              </w:rPr>
            </w:pPr>
            <w:r>
              <w:rPr>
                <w:rFonts w:hint="eastAsia" w:ascii="宋体" w:hAnsi="宋体" w:cs="宋体"/>
                <w:sz w:val="24"/>
              </w:rPr>
              <w:t>（万元）</w:t>
            </w:r>
          </w:p>
        </w:tc>
        <w:tc>
          <w:tcPr>
            <w:tcW w:w="1293" w:type="dxa"/>
            <w:tcBorders>
              <w:top w:val="single" w:color="auto" w:sz="4" w:space="0"/>
              <w:left w:val="single" w:color="auto" w:sz="4" w:space="0"/>
              <w:bottom w:val="single" w:color="auto" w:sz="4" w:space="0"/>
              <w:right w:val="single" w:color="auto" w:sz="4" w:space="0"/>
            </w:tcBorders>
            <w:vAlign w:val="center"/>
          </w:tcPr>
          <w:p w14:paraId="789F509D">
            <w:pPr>
              <w:jc w:val="center"/>
              <w:rPr>
                <w:rFonts w:ascii="宋体" w:hAnsi="宋体" w:cs="宋体"/>
                <w:sz w:val="24"/>
              </w:rPr>
            </w:pPr>
            <w:r>
              <w:rPr>
                <w:rFonts w:hint="eastAsia" w:ascii="宋体" w:hAnsi="宋体" w:cs="宋体"/>
                <w:sz w:val="24"/>
              </w:rPr>
              <w:t>总价</w:t>
            </w:r>
          </w:p>
          <w:p w14:paraId="541997F3">
            <w:pPr>
              <w:jc w:val="center"/>
              <w:rPr>
                <w:rFonts w:ascii="宋体" w:hAnsi="宋体" w:cs="宋体"/>
                <w:sz w:val="24"/>
              </w:rPr>
            </w:pPr>
            <w:r>
              <w:rPr>
                <w:rFonts w:hint="eastAsia" w:ascii="宋体" w:hAnsi="宋体" w:cs="宋体"/>
                <w:sz w:val="24"/>
              </w:rPr>
              <w:t>（万元）</w:t>
            </w:r>
          </w:p>
        </w:tc>
      </w:tr>
      <w:tr w14:paraId="1097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14:paraId="3F71FA88">
            <w:pPr>
              <w:jc w:val="center"/>
              <w:rPr>
                <w:rFonts w:ascii="宋体" w:hAnsi="宋体" w:cs="宋体"/>
                <w:sz w:val="24"/>
              </w:rPr>
            </w:pPr>
            <w:r>
              <w:rPr>
                <w:rFonts w:hint="eastAsia" w:ascii="宋体" w:hAnsi="宋体" w:cs="宋体"/>
                <w:sz w:val="24"/>
              </w:rPr>
              <w:t>1</w:t>
            </w:r>
          </w:p>
        </w:tc>
        <w:tc>
          <w:tcPr>
            <w:tcW w:w="1272" w:type="dxa"/>
            <w:tcBorders>
              <w:top w:val="single" w:color="auto" w:sz="4" w:space="0"/>
              <w:left w:val="single" w:color="auto" w:sz="4" w:space="0"/>
              <w:bottom w:val="single" w:color="auto" w:sz="4" w:space="0"/>
              <w:right w:val="single" w:color="auto" w:sz="4" w:space="0"/>
            </w:tcBorders>
            <w:vAlign w:val="center"/>
          </w:tcPr>
          <w:p w14:paraId="2BBB335F">
            <w:pPr>
              <w:jc w:val="center"/>
              <w:rPr>
                <w:rFonts w:ascii="宋体" w:hAnsi="宋体" w:cs="宋体"/>
                <w:sz w:val="24"/>
              </w:rPr>
            </w:pPr>
          </w:p>
        </w:tc>
        <w:tc>
          <w:tcPr>
            <w:tcW w:w="1045" w:type="dxa"/>
            <w:tcBorders>
              <w:top w:val="single" w:color="auto" w:sz="4" w:space="0"/>
              <w:left w:val="single" w:color="auto" w:sz="4" w:space="0"/>
              <w:bottom w:val="single" w:color="auto" w:sz="4" w:space="0"/>
              <w:right w:val="single" w:color="auto" w:sz="4" w:space="0"/>
            </w:tcBorders>
            <w:vAlign w:val="center"/>
          </w:tcPr>
          <w:p w14:paraId="779C9788">
            <w:pPr>
              <w:ind w:firstLine="480"/>
              <w:jc w:val="center"/>
              <w:rPr>
                <w:rFonts w:ascii="宋体" w:hAnsi="宋体" w:cs="宋体"/>
                <w:sz w:val="24"/>
              </w:rPr>
            </w:pPr>
          </w:p>
        </w:tc>
        <w:tc>
          <w:tcPr>
            <w:tcW w:w="900" w:type="dxa"/>
            <w:tcBorders>
              <w:top w:val="single" w:color="auto" w:sz="4" w:space="0"/>
              <w:left w:val="single" w:color="auto" w:sz="4" w:space="0"/>
              <w:bottom w:val="single" w:color="auto" w:sz="4" w:space="0"/>
              <w:right w:val="single" w:color="auto" w:sz="4" w:space="0"/>
            </w:tcBorders>
            <w:vAlign w:val="center"/>
          </w:tcPr>
          <w:p w14:paraId="2373274F">
            <w:pPr>
              <w:ind w:firstLine="480"/>
              <w:jc w:val="center"/>
              <w:rPr>
                <w:rFonts w:ascii="宋体" w:hAnsi="宋体" w:cs="宋体"/>
                <w:sz w:val="24"/>
              </w:rPr>
            </w:pPr>
          </w:p>
        </w:tc>
        <w:tc>
          <w:tcPr>
            <w:tcW w:w="771" w:type="dxa"/>
            <w:tcBorders>
              <w:top w:val="single" w:color="auto" w:sz="4" w:space="0"/>
              <w:left w:val="single" w:color="auto" w:sz="4" w:space="0"/>
              <w:bottom w:val="single" w:color="auto" w:sz="4" w:space="0"/>
              <w:right w:val="single" w:color="auto" w:sz="4" w:space="0"/>
            </w:tcBorders>
            <w:vAlign w:val="center"/>
          </w:tcPr>
          <w:p w14:paraId="0227CBB3">
            <w:pPr>
              <w:ind w:firstLine="480"/>
              <w:jc w:val="center"/>
              <w:rPr>
                <w:rFonts w:ascii="宋体" w:hAnsi="宋体" w:cs="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7E51AAF7">
            <w:pPr>
              <w:ind w:firstLine="480"/>
              <w:jc w:val="center"/>
              <w:rPr>
                <w:rFonts w:ascii="宋体" w:hAnsi="宋体" w:cs="宋体"/>
                <w:sz w:val="24"/>
              </w:rPr>
            </w:pPr>
          </w:p>
        </w:tc>
        <w:tc>
          <w:tcPr>
            <w:tcW w:w="948" w:type="dxa"/>
            <w:tcBorders>
              <w:top w:val="single" w:color="auto" w:sz="4" w:space="0"/>
              <w:left w:val="single" w:color="auto" w:sz="4" w:space="0"/>
              <w:bottom w:val="single" w:color="auto" w:sz="4" w:space="0"/>
              <w:right w:val="single" w:color="auto" w:sz="4" w:space="0"/>
            </w:tcBorders>
            <w:vAlign w:val="center"/>
          </w:tcPr>
          <w:p w14:paraId="6AEC4EFC">
            <w:pPr>
              <w:ind w:firstLine="480"/>
              <w:jc w:val="center"/>
              <w:rPr>
                <w:rFonts w:ascii="宋体" w:hAnsi="宋体" w:cs="宋体"/>
                <w:sz w:val="24"/>
              </w:rPr>
            </w:pPr>
          </w:p>
        </w:tc>
        <w:tc>
          <w:tcPr>
            <w:tcW w:w="1233" w:type="dxa"/>
            <w:tcBorders>
              <w:top w:val="single" w:color="auto" w:sz="4" w:space="0"/>
              <w:left w:val="single" w:color="auto" w:sz="4" w:space="0"/>
              <w:bottom w:val="single" w:color="auto" w:sz="4" w:space="0"/>
              <w:right w:val="single" w:color="auto" w:sz="4" w:space="0"/>
            </w:tcBorders>
            <w:vAlign w:val="center"/>
          </w:tcPr>
          <w:p w14:paraId="7E0CB470">
            <w:pPr>
              <w:ind w:firstLine="48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5203AD7D">
            <w:pPr>
              <w:ind w:firstLine="480"/>
              <w:jc w:val="center"/>
              <w:rPr>
                <w:rFonts w:ascii="宋体" w:hAnsi="宋体" w:cs="宋体"/>
                <w:sz w:val="24"/>
              </w:rPr>
            </w:pPr>
          </w:p>
        </w:tc>
      </w:tr>
      <w:tr w14:paraId="07A0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14:paraId="50FD4134">
            <w:pPr>
              <w:jc w:val="center"/>
              <w:rPr>
                <w:rFonts w:ascii="宋体" w:hAnsi="宋体" w:cs="宋体"/>
                <w:sz w:val="24"/>
              </w:rPr>
            </w:pPr>
            <w:r>
              <w:rPr>
                <w:rFonts w:hint="eastAsia" w:ascii="宋体" w:hAnsi="宋体" w:cs="宋体"/>
                <w:sz w:val="24"/>
              </w:rPr>
              <w:t>...</w:t>
            </w:r>
          </w:p>
        </w:tc>
        <w:tc>
          <w:tcPr>
            <w:tcW w:w="1272" w:type="dxa"/>
            <w:tcBorders>
              <w:top w:val="single" w:color="auto" w:sz="4" w:space="0"/>
              <w:left w:val="single" w:color="auto" w:sz="4" w:space="0"/>
              <w:bottom w:val="single" w:color="auto" w:sz="4" w:space="0"/>
              <w:right w:val="single" w:color="auto" w:sz="4" w:space="0"/>
            </w:tcBorders>
            <w:vAlign w:val="center"/>
          </w:tcPr>
          <w:p w14:paraId="35F08FBE">
            <w:pPr>
              <w:jc w:val="center"/>
              <w:rPr>
                <w:rFonts w:ascii="宋体" w:hAnsi="宋体" w:cs="宋体"/>
                <w:sz w:val="24"/>
              </w:rPr>
            </w:pPr>
          </w:p>
        </w:tc>
        <w:tc>
          <w:tcPr>
            <w:tcW w:w="1045" w:type="dxa"/>
            <w:tcBorders>
              <w:top w:val="single" w:color="auto" w:sz="4" w:space="0"/>
              <w:left w:val="single" w:color="auto" w:sz="4" w:space="0"/>
              <w:bottom w:val="single" w:color="auto" w:sz="4" w:space="0"/>
              <w:right w:val="single" w:color="auto" w:sz="4" w:space="0"/>
            </w:tcBorders>
            <w:vAlign w:val="center"/>
          </w:tcPr>
          <w:p w14:paraId="396D2072">
            <w:pPr>
              <w:ind w:firstLine="480"/>
              <w:jc w:val="center"/>
              <w:rPr>
                <w:rFonts w:ascii="宋体" w:hAnsi="宋体" w:cs="宋体"/>
                <w:sz w:val="24"/>
              </w:rPr>
            </w:pPr>
          </w:p>
        </w:tc>
        <w:tc>
          <w:tcPr>
            <w:tcW w:w="900" w:type="dxa"/>
            <w:tcBorders>
              <w:top w:val="single" w:color="auto" w:sz="4" w:space="0"/>
              <w:left w:val="single" w:color="auto" w:sz="4" w:space="0"/>
              <w:bottom w:val="single" w:color="auto" w:sz="4" w:space="0"/>
              <w:right w:val="single" w:color="auto" w:sz="4" w:space="0"/>
            </w:tcBorders>
            <w:vAlign w:val="center"/>
          </w:tcPr>
          <w:p w14:paraId="57009A67">
            <w:pPr>
              <w:ind w:firstLine="480"/>
              <w:jc w:val="center"/>
              <w:rPr>
                <w:rFonts w:ascii="宋体" w:hAnsi="宋体" w:cs="宋体"/>
                <w:sz w:val="24"/>
              </w:rPr>
            </w:pPr>
          </w:p>
        </w:tc>
        <w:tc>
          <w:tcPr>
            <w:tcW w:w="771" w:type="dxa"/>
            <w:tcBorders>
              <w:top w:val="single" w:color="auto" w:sz="4" w:space="0"/>
              <w:left w:val="single" w:color="auto" w:sz="4" w:space="0"/>
              <w:bottom w:val="single" w:color="auto" w:sz="4" w:space="0"/>
              <w:right w:val="single" w:color="auto" w:sz="4" w:space="0"/>
            </w:tcBorders>
            <w:vAlign w:val="center"/>
          </w:tcPr>
          <w:p w14:paraId="6B88539A">
            <w:pPr>
              <w:ind w:firstLine="480"/>
              <w:jc w:val="center"/>
              <w:rPr>
                <w:rFonts w:ascii="宋体" w:hAnsi="宋体" w:cs="宋体"/>
                <w:sz w:val="24"/>
              </w:rPr>
            </w:pPr>
          </w:p>
        </w:tc>
        <w:tc>
          <w:tcPr>
            <w:tcW w:w="1059" w:type="dxa"/>
            <w:tcBorders>
              <w:top w:val="single" w:color="auto" w:sz="4" w:space="0"/>
              <w:left w:val="single" w:color="auto" w:sz="4" w:space="0"/>
              <w:bottom w:val="single" w:color="auto" w:sz="4" w:space="0"/>
              <w:right w:val="single" w:color="auto" w:sz="4" w:space="0"/>
            </w:tcBorders>
            <w:vAlign w:val="center"/>
          </w:tcPr>
          <w:p w14:paraId="0C5E2D96">
            <w:pPr>
              <w:ind w:firstLine="480"/>
              <w:jc w:val="center"/>
              <w:rPr>
                <w:rFonts w:ascii="宋体" w:hAnsi="宋体" w:cs="宋体"/>
                <w:sz w:val="24"/>
              </w:rPr>
            </w:pPr>
          </w:p>
        </w:tc>
        <w:tc>
          <w:tcPr>
            <w:tcW w:w="948" w:type="dxa"/>
            <w:tcBorders>
              <w:top w:val="single" w:color="auto" w:sz="4" w:space="0"/>
              <w:left w:val="single" w:color="auto" w:sz="4" w:space="0"/>
              <w:bottom w:val="single" w:color="auto" w:sz="4" w:space="0"/>
              <w:right w:val="single" w:color="auto" w:sz="4" w:space="0"/>
            </w:tcBorders>
            <w:vAlign w:val="center"/>
          </w:tcPr>
          <w:p w14:paraId="1FAAB327">
            <w:pPr>
              <w:ind w:firstLine="480"/>
              <w:jc w:val="center"/>
              <w:rPr>
                <w:rFonts w:ascii="宋体" w:hAnsi="宋体" w:cs="宋体"/>
                <w:sz w:val="24"/>
              </w:rPr>
            </w:pPr>
          </w:p>
        </w:tc>
        <w:tc>
          <w:tcPr>
            <w:tcW w:w="1233" w:type="dxa"/>
            <w:tcBorders>
              <w:top w:val="single" w:color="auto" w:sz="4" w:space="0"/>
              <w:left w:val="single" w:color="auto" w:sz="4" w:space="0"/>
              <w:bottom w:val="single" w:color="auto" w:sz="4" w:space="0"/>
              <w:right w:val="single" w:color="auto" w:sz="4" w:space="0"/>
            </w:tcBorders>
            <w:vAlign w:val="center"/>
          </w:tcPr>
          <w:p w14:paraId="5DD166AE">
            <w:pPr>
              <w:ind w:firstLine="48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29AC710D">
            <w:pPr>
              <w:ind w:firstLine="480"/>
              <w:jc w:val="center"/>
              <w:rPr>
                <w:rFonts w:ascii="宋体" w:hAnsi="宋体" w:cs="宋体"/>
                <w:sz w:val="24"/>
              </w:rPr>
            </w:pPr>
          </w:p>
        </w:tc>
      </w:tr>
      <w:tr w14:paraId="63BC3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917" w:type="dxa"/>
            <w:gridSpan w:val="8"/>
            <w:tcBorders>
              <w:top w:val="single" w:color="auto" w:sz="4" w:space="0"/>
              <w:left w:val="single" w:color="auto" w:sz="4" w:space="0"/>
              <w:bottom w:val="single" w:color="auto" w:sz="4" w:space="0"/>
              <w:right w:val="single" w:color="auto" w:sz="4" w:space="0"/>
            </w:tcBorders>
            <w:vAlign w:val="center"/>
          </w:tcPr>
          <w:p w14:paraId="79762C93">
            <w:pPr>
              <w:jc w:val="left"/>
              <w:rPr>
                <w:rFonts w:ascii="宋体" w:hAnsi="宋体" w:cs="宋体"/>
                <w:sz w:val="24"/>
              </w:rPr>
            </w:pPr>
            <w:r>
              <w:rPr>
                <w:rFonts w:hint="eastAsia" w:ascii="宋体" w:hAnsi="宋体" w:cs="宋体"/>
                <w:sz w:val="24"/>
              </w:rPr>
              <w:t>合计</w:t>
            </w:r>
          </w:p>
        </w:tc>
        <w:tc>
          <w:tcPr>
            <w:tcW w:w="1293" w:type="dxa"/>
            <w:tcBorders>
              <w:top w:val="single" w:color="auto" w:sz="4" w:space="0"/>
              <w:left w:val="single" w:color="auto" w:sz="4" w:space="0"/>
              <w:bottom w:val="single" w:color="auto" w:sz="4" w:space="0"/>
              <w:right w:val="single" w:color="auto" w:sz="4" w:space="0"/>
            </w:tcBorders>
            <w:vAlign w:val="center"/>
          </w:tcPr>
          <w:p w14:paraId="3D01455D">
            <w:pPr>
              <w:ind w:firstLine="480"/>
              <w:jc w:val="center"/>
              <w:rPr>
                <w:rFonts w:ascii="宋体" w:hAnsi="宋体" w:cs="宋体"/>
                <w:sz w:val="24"/>
              </w:rPr>
            </w:pPr>
          </w:p>
        </w:tc>
      </w:tr>
      <w:tr w14:paraId="6BC9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210" w:type="dxa"/>
            <w:gridSpan w:val="9"/>
            <w:tcBorders>
              <w:top w:val="single" w:color="auto" w:sz="4" w:space="0"/>
              <w:left w:val="single" w:color="auto" w:sz="4" w:space="0"/>
              <w:bottom w:val="single" w:color="auto" w:sz="4" w:space="0"/>
              <w:right w:val="single" w:color="auto" w:sz="4" w:space="0"/>
            </w:tcBorders>
            <w:vAlign w:val="center"/>
          </w:tcPr>
          <w:p w14:paraId="4D265E44">
            <w:pPr>
              <w:ind w:firstLine="480"/>
              <w:jc w:val="left"/>
              <w:rPr>
                <w:rFonts w:ascii="宋体" w:hAnsi="宋体" w:cs="宋体"/>
                <w:sz w:val="24"/>
              </w:rPr>
            </w:pPr>
            <w:r>
              <w:rPr>
                <w:rFonts w:hint="eastAsia" w:ascii="宋体" w:hAnsi="宋体"/>
                <w:b/>
                <w:bCs/>
                <w:szCs w:val="21"/>
              </w:rPr>
              <w:t>本采购包中提供的符合本国产品标准的产品成本之和占该采购</w:t>
            </w:r>
            <w:bookmarkStart w:id="57" w:name="OLE_LINK16"/>
            <w:r>
              <w:rPr>
                <w:rFonts w:hint="eastAsia" w:ascii="宋体" w:hAnsi="宋体"/>
                <w:b/>
                <w:bCs/>
                <w:szCs w:val="21"/>
              </w:rPr>
              <w:t>包</w:t>
            </w:r>
            <w:bookmarkEnd w:id="57"/>
            <w:r>
              <w:rPr>
                <w:rFonts w:hint="eastAsia" w:ascii="宋体" w:hAnsi="宋体"/>
                <w:b/>
                <w:bCs/>
                <w:szCs w:val="21"/>
              </w:rPr>
              <w:t>提供的全部产品成本之和的比例为______%</w:t>
            </w:r>
          </w:p>
        </w:tc>
      </w:tr>
    </w:tbl>
    <w:p w14:paraId="0443DB87">
      <w:pPr>
        <w:ind w:firstLine="480"/>
        <w:rPr>
          <w:rFonts w:ascii="宋体" w:hAnsi="宋体" w:cs="宋体"/>
          <w:sz w:val="24"/>
        </w:rPr>
      </w:pPr>
    </w:p>
    <w:p w14:paraId="1990D374">
      <w:pPr>
        <w:ind w:firstLine="480"/>
        <w:rPr>
          <w:rFonts w:ascii="宋体" w:hAnsi="宋体" w:cs="宋体"/>
          <w:sz w:val="24"/>
        </w:rPr>
      </w:pPr>
    </w:p>
    <w:p w14:paraId="383CD96B">
      <w:pPr>
        <w:ind w:firstLine="440"/>
        <w:rPr>
          <w:rFonts w:ascii="宋体" w:hAnsi="宋体"/>
          <w:szCs w:val="21"/>
        </w:rPr>
      </w:pPr>
      <w:r>
        <w:rPr>
          <w:rFonts w:hint="eastAsia" w:ascii="宋体" w:hAnsi="宋体"/>
          <w:szCs w:val="21"/>
        </w:rPr>
        <w:t>注：1.上述单价为综合单价，包括货物的供货、运输、保险费、安装调试、验收、培训、售后服务及税金等一切费用。</w:t>
      </w:r>
    </w:p>
    <w:p w14:paraId="6EE6B0F9">
      <w:pPr>
        <w:ind w:firstLine="440"/>
        <w:rPr>
          <w:rFonts w:ascii="宋体" w:hAnsi="宋体"/>
          <w:szCs w:val="21"/>
        </w:rPr>
      </w:pPr>
      <w:r>
        <w:rPr>
          <w:rFonts w:hint="eastAsia" w:ascii="宋体" w:hAnsi="宋体"/>
          <w:szCs w:val="21"/>
        </w:rPr>
        <w:t>2.投标人应根据其项目情况提供详细分项报价。</w:t>
      </w:r>
    </w:p>
    <w:p w14:paraId="70E517C3">
      <w:pPr>
        <w:ind w:firstLine="440"/>
        <w:rPr>
          <w:rFonts w:ascii="宋体" w:hAnsi="宋体"/>
          <w:b/>
          <w:bCs/>
          <w:szCs w:val="21"/>
        </w:rPr>
      </w:pPr>
      <w:r>
        <w:rPr>
          <w:rFonts w:hint="eastAsia" w:ascii="宋体" w:hAnsi="宋体"/>
          <w:szCs w:val="21"/>
        </w:rPr>
        <w:t>3.</w:t>
      </w:r>
      <w:r>
        <w:rPr>
          <w:rFonts w:hint="eastAsia" w:ascii="宋体" w:hAnsi="宋体"/>
          <w:b/>
          <w:bCs/>
          <w:szCs w:val="21"/>
        </w:rPr>
        <w:t>如果不提供详细分项报价将视为没有实质性响应招标文件。</w:t>
      </w:r>
    </w:p>
    <w:p w14:paraId="364FDED5">
      <w:pPr>
        <w:ind w:firstLine="440"/>
        <w:rPr>
          <w:rFonts w:ascii="宋体" w:hAnsi="宋体"/>
          <w:szCs w:val="21"/>
        </w:rPr>
      </w:pPr>
      <w:r>
        <w:rPr>
          <w:rFonts w:hint="eastAsia" w:ascii="宋体" w:hAnsi="宋体"/>
          <w:szCs w:val="21"/>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0864548">
      <w:pPr>
        <w:ind w:firstLine="480"/>
        <w:rPr>
          <w:rFonts w:ascii="宋体" w:hAnsi="宋体" w:cs="宋体"/>
          <w:sz w:val="24"/>
        </w:rPr>
      </w:pPr>
    </w:p>
    <w:p w14:paraId="635B2B75">
      <w:pPr>
        <w:ind w:firstLine="480"/>
        <w:rPr>
          <w:rFonts w:ascii="宋体" w:hAnsi="宋体" w:cs="宋体"/>
          <w:sz w:val="24"/>
        </w:rPr>
      </w:pPr>
    </w:p>
    <w:p w14:paraId="648CC4EF">
      <w:pPr>
        <w:ind w:firstLine="480"/>
        <w:rPr>
          <w:rFonts w:ascii="宋体" w:hAnsi="宋体" w:cs="宋体"/>
          <w:sz w:val="24"/>
        </w:rPr>
      </w:pPr>
    </w:p>
    <w:p w14:paraId="26D5BB6E">
      <w:pPr>
        <w:ind w:firstLine="480"/>
        <w:rPr>
          <w:rFonts w:ascii="宋体" w:hAnsi="宋体" w:cs="宋体"/>
          <w:sz w:val="24"/>
        </w:rPr>
      </w:pPr>
    </w:p>
    <w:p w14:paraId="66E8DFE8">
      <w:pPr>
        <w:ind w:firstLine="480"/>
        <w:rPr>
          <w:rFonts w:ascii="宋体" w:hAnsi="宋体" w:cs="宋体"/>
          <w:sz w:val="24"/>
        </w:rPr>
      </w:pPr>
    </w:p>
    <w:p w14:paraId="6C1EA532">
      <w:pPr>
        <w:ind w:firstLine="480"/>
        <w:rPr>
          <w:rFonts w:ascii="宋体" w:hAnsi="宋体" w:cs="宋体"/>
          <w:sz w:val="24"/>
        </w:rPr>
      </w:pPr>
    </w:p>
    <w:p w14:paraId="6B163D73">
      <w:pPr>
        <w:ind w:firstLine="480"/>
        <w:rPr>
          <w:rFonts w:ascii="宋体" w:hAnsi="宋体" w:cs="宋体"/>
          <w:sz w:val="24"/>
        </w:rPr>
      </w:pPr>
    </w:p>
    <w:p w14:paraId="6BF7C261">
      <w:pPr>
        <w:ind w:firstLine="480"/>
        <w:rPr>
          <w:rFonts w:ascii="宋体" w:hAnsi="宋体" w:cs="宋体"/>
          <w:sz w:val="24"/>
        </w:rPr>
      </w:pPr>
    </w:p>
    <w:p w14:paraId="41CE5D6B">
      <w:pPr>
        <w:ind w:firstLine="480"/>
        <w:rPr>
          <w:rFonts w:ascii="宋体" w:hAnsi="宋体" w:cs="宋体"/>
          <w:sz w:val="24"/>
        </w:rPr>
      </w:pPr>
    </w:p>
    <w:p w14:paraId="102E66B3">
      <w:pPr>
        <w:ind w:firstLine="480"/>
        <w:rPr>
          <w:rFonts w:ascii="宋体" w:hAnsi="宋体" w:cs="宋体"/>
          <w:sz w:val="24"/>
        </w:rPr>
      </w:pPr>
    </w:p>
    <w:p w14:paraId="54A73CB3">
      <w:pPr>
        <w:ind w:firstLine="480"/>
        <w:rPr>
          <w:rFonts w:ascii="宋体" w:hAnsi="宋体" w:cs="宋体"/>
          <w:sz w:val="24"/>
        </w:rPr>
      </w:pPr>
    </w:p>
    <w:p w14:paraId="1D3E97AE">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2F40EDD3">
      <w:pPr>
        <w:spacing w:line="360" w:lineRule="auto"/>
        <w:ind w:firstLine="420" w:firstLineChars="200"/>
        <w:rPr>
          <w:rFonts w:ascii="宋体" w:hAnsi="宋体"/>
          <w:szCs w:val="21"/>
        </w:rPr>
      </w:pPr>
      <w:r>
        <w:rPr>
          <w:rFonts w:hint="eastAsia" w:ascii="宋体" w:hAnsi="宋体"/>
          <w:szCs w:val="21"/>
        </w:rPr>
        <w:t>投标人名称（加盖CA电子公章）：</w:t>
      </w:r>
    </w:p>
    <w:p w14:paraId="2F00963C">
      <w:pPr>
        <w:spacing w:line="360" w:lineRule="auto"/>
        <w:ind w:firstLine="420" w:firstLineChars="200"/>
        <w:rPr>
          <w:rFonts w:ascii="宋体" w:hAnsi="宋体"/>
          <w:szCs w:val="21"/>
        </w:rPr>
      </w:pPr>
      <w:r>
        <w:rPr>
          <w:rFonts w:hint="eastAsia" w:ascii="宋体" w:hAnsi="宋体"/>
          <w:szCs w:val="21"/>
        </w:rPr>
        <w:t>日期：  年   月   日</w:t>
      </w:r>
    </w:p>
    <w:p w14:paraId="3C35FC0C">
      <w:r>
        <w:br w:type="page"/>
      </w:r>
    </w:p>
    <w:bookmarkEnd w:id="55"/>
    <w:p w14:paraId="7C54888D">
      <w:pPr>
        <w:pStyle w:val="64"/>
        <w:spacing w:line="440" w:lineRule="exact"/>
        <w:ind w:left="420" w:firstLine="0" w:firstLineChars="0"/>
        <w:outlineLvl w:val="1"/>
        <w:rPr>
          <w:rFonts w:ascii="宋体" w:hAnsi="宋体" w:cs="Arial"/>
          <w:b/>
          <w:szCs w:val="21"/>
        </w:rPr>
      </w:pPr>
      <w:bookmarkStart w:id="58" w:name="_Toc6622"/>
      <w:r>
        <w:rPr>
          <w:rFonts w:hint="eastAsia" w:ascii="宋体" w:hAnsi="宋体" w:cs="Arial"/>
          <w:b/>
          <w:szCs w:val="21"/>
        </w:rPr>
        <w:t>四、技术参数响应/偏离表</w:t>
      </w:r>
      <w:bookmarkEnd w:id="58"/>
    </w:p>
    <w:p w14:paraId="3EE9364F">
      <w:pPr>
        <w:jc w:val="left"/>
        <w:rPr>
          <w:rFonts w:ascii="宋体" w:hAnsi="宋体"/>
          <w:szCs w:val="21"/>
        </w:rPr>
      </w:pPr>
    </w:p>
    <w:p w14:paraId="3BA01F07">
      <w:pPr>
        <w:ind w:firstLine="281" w:firstLineChars="100"/>
        <w:jc w:val="center"/>
        <w:rPr>
          <w:rFonts w:ascii="宋体" w:hAnsi="宋体"/>
          <w:b/>
          <w:sz w:val="28"/>
          <w:szCs w:val="28"/>
        </w:rPr>
      </w:pPr>
      <w:r>
        <w:rPr>
          <w:rFonts w:hint="eastAsia" w:ascii="宋体" w:hAnsi="宋体"/>
          <w:b/>
          <w:sz w:val="28"/>
          <w:szCs w:val="28"/>
        </w:rPr>
        <w:t>技术参数响应/偏离表</w:t>
      </w:r>
    </w:p>
    <w:p w14:paraId="790ACA3D">
      <w:pPr>
        <w:spacing w:line="360" w:lineRule="auto"/>
        <w:jc w:val="center"/>
        <w:rPr>
          <w:rFonts w:ascii="宋体" w:hAnsi="宋体"/>
          <w:color w:val="FF0000"/>
          <w:szCs w:val="21"/>
        </w:rPr>
      </w:pPr>
      <w:r>
        <w:rPr>
          <w:rFonts w:hint="eastAsia" w:ascii="宋体" w:hAnsi="宋体"/>
          <w:szCs w:val="21"/>
        </w:rPr>
        <w:t>（根据招标文件《第三部分：采购需求》技术要求中的内容填写，必须逐条应答）</w:t>
      </w:r>
    </w:p>
    <w:p w14:paraId="6EF761E7">
      <w:pPr>
        <w:spacing w:line="360" w:lineRule="auto"/>
        <w:rPr>
          <w:rFonts w:ascii="宋体" w:hAnsi="宋体"/>
          <w:szCs w:val="21"/>
        </w:rPr>
      </w:pPr>
    </w:p>
    <w:tbl>
      <w:tblPr>
        <w:tblStyle w:val="36"/>
        <w:tblW w:w="8931"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757"/>
        <w:gridCol w:w="2757"/>
        <w:gridCol w:w="1276"/>
        <w:gridCol w:w="1418"/>
      </w:tblGrid>
      <w:tr w14:paraId="006E92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723" w:type="dxa"/>
            <w:tcBorders>
              <w:top w:val="single" w:color="auto" w:sz="4" w:space="0"/>
              <w:bottom w:val="single" w:color="auto" w:sz="4" w:space="0"/>
              <w:right w:val="single" w:color="auto" w:sz="4" w:space="0"/>
            </w:tcBorders>
            <w:vAlign w:val="center"/>
          </w:tcPr>
          <w:p w14:paraId="4142354E">
            <w:pPr>
              <w:spacing w:line="360" w:lineRule="auto"/>
              <w:jc w:val="center"/>
              <w:rPr>
                <w:rFonts w:ascii="宋体" w:hAnsi="宋体"/>
                <w:szCs w:val="21"/>
              </w:rPr>
            </w:pPr>
            <w:r>
              <w:rPr>
                <w:rFonts w:hint="eastAsia" w:ascii="宋体" w:hAnsi="宋体"/>
                <w:szCs w:val="21"/>
              </w:rPr>
              <w:t>序号</w:t>
            </w:r>
          </w:p>
        </w:tc>
        <w:tc>
          <w:tcPr>
            <w:tcW w:w="2757" w:type="dxa"/>
            <w:tcBorders>
              <w:top w:val="single" w:color="auto" w:sz="4" w:space="0"/>
              <w:left w:val="single" w:color="auto" w:sz="4" w:space="0"/>
              <w:bottom w:val="single" w:color="auto" w:sz="4" w:space="0"/>
              <w:right w:val="single" w:color="auto" w:sz="4" w:space="0"/>
            </w:tcBorders>
            <w:vAlign w:val="center"/>
          </w:tcPr>
          <w:p w14:paraId="54A6004F">
            <w:pPr>
              <w:spacing w:line="360" w:lineRule="auto"/>
              <w:jc w:val="center"/>
              <w:rPr>
                <w:rFonts w:ascii="宋体" w:hAnsi="宋体"/>
                <w:szCs w:val="21"/>
              </w:rPr>
            </w:pPr>
            <w:r>
              <w:rPr>
                <w:rFonts w:hint="eastAsia" w:ascii="宋体" w:hAnsi="宋体"/>
                <w:szCs w:val="21"/>
              </w:rPr>
              <w:t>招标文件技术参数</w:t>
            </w:r>
          </w:p>
        </w:tc>
        <w:tc>
          <w:tcPr>
            <w:tcW w:w="2757" w:type="dxa"/>
            <w:tcBorders>
              <w:top w:val="single" w:color="auto" w:sz="4" w:space="0"/>
              <w:left w:val="single" w:color="auto" w:sz="4" w:space="0"/>
              <w:bottom w:val="single" w:color="auto" w:sz="4" w:space="0"/>
              <w:right w:val="single" w:color="auto" w:sz="4" w:space="0"/>
            </w:tcBorders>
            <w:vAlign w:val="center"/>
          </w:tcPr>
          <w:p w14:paraId="4697A8AF">
            <w:pPr>
              <w:spacing w:line="360" w:lineRule="auto"/>
              <w:jc w:val="center"/>
              <w:rPr>
                <w:rFonts w:ascii="宋体" w:hAnsi="宋体"/>
                <w:szCs w:val="21"/>
              </w:rPr>
            </w:pPr>
            <w:r>
              <w:rPr>
                <w:rFonts w:hint="eastAsia" w:ascii="宋体" w:hAnsi="宋体"/>
                <w:szCs w:val="21"/>
              </w:rPr>
              <w:t>投标人技术参数响应</w:t>
            </w:r>
          </w:p>
        </w:tc>
        <w:tc>
          <w:tcPr>
            <w:tcW w:w="1276" w:type="dxa"/>
            <w:tcBorders>
              <w:top w:val="single" w:color="auto" w:sz="4" w:space="0"/>
              <w:left w:val="single" w:color="auto" w:sz="4" w:space="0"/>
              <w:bottom w:val="single" w:color="auto" w:sz="4" w:space="0"/>
              <w:right w:val="single" w:color="auto" w:sz="4" w:space="0"/>
            </w:tcBorders>
            <w:vAlign w:val="center"/>
          </w:tcPr>
          <w:p w14:paraId="26FBE590">
            <w:pPr>
              <w:spacing w:line="360" w:lineRule="auto"/>
              <w:jc w:val="center"/>
              <w:rPr>
                <w:rFonts w:ascii="宋体" w:hAnsi="宋体"/>
                <w:szCs w:val="21"/>
              </w:rPr>
            </w:pPr>
            <w:r>
              <w:rPr>
                <w:rFonts w:hint="eastAsia" w:ascii="宋体" w:hAnsi="宋体"/>
                <w:szCs w:val="21"/>
              </w:rPr>
              <w:t>符合</w:t>
            </w:r>
            <w:r>
              <w:rPr>
                <w:rFonts w:ascii="宋体" w:hAnsi="宋体"/>
                <w:szCs w:val="21"/>
              </w:rPr>
              <w:t>/</w:t>
            </w:r>
            <w:r>
              <w:rPr>
                <w:rFonts w:hint="eastAsia" w:ascii="宋体" w:hAnsi="宋体"/>
                <w:szCs w:val="21"/>
              </w:rPr>
              <w:t>正偏离</w:t>
            </w:r>
            <w:r>
              <w:rPr>
                <w:rFonts w:ascii="宋体" w:hAnsi="宋体"/>
                <w:szCs w:val="21"/>
              </w:rPr>
              <w:t>/</w:t>
            </w:r>
            <w:r>
              <w:rPr>
                <w:rFonts w:hint="eastAsia" w:ascii="宋体" w:hAnsi="宋体"/>
                <w:szCs w:val="21"/>
              </w:rPr>
              <w:t>负偏离</w:t>
            </w:r>
          </w:p>
        </w:tc>
        <w:tc>
          <w:tcPr>
            <w:tcW w:w="1418" w:type="dxa"/>
            <w:tcBorders>
              <w:top w:val="single" w:color="auto" w:sz="4" w:space="0"/>
              <w:left w:val="single" w:color="auto" w:sz="4" w:space="0"/>
              <w:bottom w:val="single" w:color="auto" w:sz="4" w:space="0"/>
            </w:tcBorders>
            <w:vAlign w:val="center"/>
          </w:tcPr>
          <w:p w14:paraId="12966E20">
            <w:pPr>
              <w:spacing w:line="360" w:lineRule="auto"/>
              <w:jc w:val="center"/>
              <w:rPr>
                <w:rFonts w:ascii="宋体" w:hAnsi="宋体"/>
                <w:szCs w:val="21"/>
              </w:rPr>
            </w:pPr>
            <w:r>
              <w:rPr>
                <w:rFonts w:hint="eastAsia" w:ascii="宋体" w:hAnsi="宋体"/>
                <w:szCs w:val="21"/>
              </w:rPr>
              <w:t>佐证</w:t>
            </w:r>
            <w:r>
              <w:rPr>
                <w:rFonts w:ascii="宋体" w:hAnsi="宋体"/>
                <w:szCs w:val="21"/>
              </w:rPr>
              <w:t>材料</w:t>
            </w:r>
            <w:r>
              <w:rPr>
                <w:rFonts w:hint="eastAsia" w:ascii="宋体" w:hAnsi="宋体"/>
                <w:szCs w:val="21"/>
              </w:rPr>
              <w:t>（如有要求）</w:t>
            </w:r>
            <w:r>
              <w:rPr>
                <w:rFonts w:ascii="宋体" w:hAnsi="宋体"/>
                <w:szCs w:val="21"/>
              </w:rPr>
              <w:t>页码</w:t>
            </w:r>
          </w:p>
        </w:tc>
      </w:tr>
      <w:tr w14:paraId="102C8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bottom w:val="single" w:color="auto" w:sz="4" w:space="0"/>
              <w:right w:val="single" w:color="auto" w:sz="4" w:space="0"/>
            </w:tcBorders>
            <w:vAlign w:val="center"/>
          </w:tcPr>
          <w:p w14:paraId="22F583D2">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2CA56C95">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199A693E">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78F848C">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6CB0ABE3">
            <w:pPr>
              <w:spacing w:line="360" w:lineRule="auto"/>
              <w:rPr>
                <w:rFonts w:ascii="宋体" w:hAnsi="宋体"/>
                <w:szCs w:val="21"/>
              </w:rPr>
            </w:pPr>
          </w:p>
        </w:tc>
      </w:tr>
      <w:tr w14:paraId="0C7033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right w:val="single" w:color="auto" w:sz="4" w:space="0"/>
            </w:tcBorders>
            <w:vAlign w:val="center"/>
          </w:tcPr>
          <w:p w14:paraId="3EC3AA60">
            <w:pPr>
              <w:spacing w:line="360" w:lineRule="auto"/>
              <w:jc w:val="center"/>
              <w:rPr>
                <w:rFonts w:ascii="宋体" w:hAnsi="宋体"/>
                <w:szCs w:val="21"/>
              </w:rPr>
            </w:pPr>
          </w:p>
        </w:tc>
        <w:tc>
          <w:tcPr>
            <w:tcW w:w="2757" w:type="dxa"/>
            <w:tcBorders>
              <w:top w:val="single" w:color="auto" w:sz="4" w:space="0"/>
              <w:left w:val="single" w:color="auto" w:sz="4" w:space="0"/>
              <w:right w:val="single" w:color="auto" w:sz="4" w:space="0"/>
            </w:tcBorders>
            <w:vAlign w:val="center"/>
          </w:tcPr>
          <w:p w14:paraId="5467C808">
            <w:pPr>
              <w:spacing w:line="360" w:lineRule="auto"/>
              <w:rPr>
                <w:rFonts w:ascii="宋体" w:hAnsi="宋体"/>
                <w:szCs w:val="21"/>
              </w:rPr>
            </w:pPr>
          </w:p>
        </w:tc>
        <w:tc>
          <w:tcPr>
            <w:tcW w:w="2757" w:type="dxa"/>
            <w:tcBorders>
              <w:top w:val="single" w:color="auto" w:sz="4" w:space="0"/>
              <w:left w:val="single" w:color="auto" w:sz="4" w:space="0"/>
              <w:right w:val="single" w:color="auto" w:sz="4" w:space="0"/>
            </w:tcBorders>
            <w:vAlign w:val="center"/>
          </w:tcPr>
          <w:p w14:paraId="2DCD85D1">
            <w:pPr>
              <w:spacing w:line="360" w:lineRule="auto"/>
              <w:rPr>
                <w:rFonts w:ascii="宋体" w:hAnsi="宋体"/>
                <w:szCs w:val="21"/>
              </w:rPr>
            </w:pPr>
          </w:p>
        </w:tc>
        <w:tc>
          <w:tcPr>
            <w:tcW w:w="1276" w:type="dxa"/>
            <w:tcBorders>
              <w:top w:val="single" w:color="auto" w:sz="4" w:space="0"/>
              <w:left w:val="single" w:color="auto" w:sz="4" w:space="0"/>
              <w:right w:val="single" w:color="auto" w:sz="4" w:space="0"/>
            </w:tcBorders>
            <w:vAlign w:val="center"/>
          </w:tcPr>
          <w:p w14:paraId="03683B1E">
            <w:pPr>
              <w:spacing w:line="360" w:lineRule="auto"/>
              <w:rPr>
                <w:rFonts w:ascii="宋体" w:hAnsi="宋体"/>
                <w:szCs w:val="21"/>
              </w:rPr>
            </w:pPr>
          </w:p>
        </w:tc>
        <w:tc>
          <w:tcPr>
            <w:tcW w:w="1418" w:type="dxa"/>
            <w:tcBorders>
              <w:top w:val="single" w:color="auto" w:sz="4" w:space="0"/>
              <w:left w:val="single" w:color="auto" w:sz="4" w:space="0"/>
            </w:tcBorders>
            <w:vAlign w:val="center"/>
          </w:tcPr>
          <w:p w14:paraId="6BB96166">
            <w:pPr>
              <w:spacing w:line="360" w:lineRule="auto"/>
              <w:rPr>
                <w:rFonts w:ascii="宋体" w:hAnsi="宋体"/>
                <w:szCs w:val="21"/>
              </w:rPr>
            </w:pPr>
          </w:p>
        </w:tc>
      </w:tr>
      <w:tr w14:paraId="291B0B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07925691">
            <w:pPr>
              <w:spacing w:line="360" w:lineRule="auto"/>
              <w:jc w:val="center"/>
              <w:rPr>
                <w:rFonts w:ascii="宋体" w:hAnsi="宋体"/>
                <w:szCs w:val="21"/>
              </w:rPr>
            </w:pPr>
          </w:p>
        </w:tc>
        <w:tc>
          <w:tcPr>
            <w:tcW w:w="2757" w:type="dxa"/>
            <w:tcBorders>
              <w:top w:val="single" w:color="auto" w:sz="4" w:space="0"/>
              <w:left w:val="single" w:color="auto" w:sz="4" w:space="0"/>
              <w:right w:val="single" w:color="auto" w:sz="4" w:space="0"/>
            </w:tcBorders>
            <w:vAlign w:val="center"/>
          </w:tcPr>
          <w:p w14:paraId="6418B898">
            <w:pPr>
              <w:spacing w:line="360" w:lineRule="auto"/>
              <w:rPr>
                <w:rFonts w:ascii="宋体" w:hAnsi="宋体"/>
                <w:szCs w:val="21"/>
              </w:rPr>
            </w:pPr>
          </w:p>
        </w:tc>
        <w:tc>
          <w:tcPr>
            <w:tcW w:w="2757" w:type="dxa"/>
            <w:tcBorders>
              <w:top w:val="single" w:color="auto" w:sz="4" w:space="0"/>
              <w:left w:val="single" w:color="auto" w:sz="4" w:space="0"/>
              <w:right w:val="single" w:color="auto" w:sz="4" w:space="0"/>
            </w:tcBorders>
            <w:vAlign w:val="center"/>
          </w:tcPr>
          <w:p w14:paraId="4B8CB393">
            <w:pPr>
              <w:spacing w:line="360" w:lineRule="auto"/>
              <w:rPr>
                <w:rFonts w:ascii="宋体" w:hAnsi="宋体"/>
                <w:szCs w:val="21"/>
              </w:rPr>
            </w:pPr>
          </w:p>
        </w:tc>
        <w:tc>
          <w:tcPr>
            <w:tcW w:w="1276" w:type="dxa"/>
            <w:tcBorders>
              <w:top w:val="single" w:color="auto" w:sz="4" w:space="0"/>
              <w:left w:val="single" w:color="auto" w:sz="4" w:space="0"/>
              <w:right w:val="single" w:color="auto" w:sz="4" w:space="0"/>
            </w:tcBorders>
            <w:vAlign w:val="center"/>
          </w:tcPr>
          <w:p w14:paraId="00327131">
            <w:pPr>
              <w:spacing w:line="360" w:lineRule="auto"/>
              <w:rPr>
                <w:rFonts w:ascii="宋体" w:hAnsi="宋体"/>
                <w:szCs w:val="21"/>
              </w:rPr>
            </w:pPr>
          </w:p>
        </w:tc>
        <w:tc>
          <w:tcPr>
            <w:tcW w:w="1418" w:type="dxa"/>
            <w:tcBorders>
              <w:top w:val="single" w:color="auto" w:sz="4" w:space="0"/>
              <w:left w:val="single" w:color="auto" w:sz="4" w:space="0"/>
            </w:tcBorders>
            <w:vAlign w:val="center"/>
          </w:tcPr>
          <w:p w14:paraId="149E6DFB">
            <w:pPr>
              <w:spacing w:line="360" w:lineRule="auto"/>
              <w:rPr>
                <w:rFonts w:ascii="宋体" w:hAnsi="宋体"/>
                <w:szCs w:val="21"/>
              </w:rPr>
            </w:pPr>
          </w:p>
        </w:tc>
      </w:tr>
      <w:tr w14:paraId="42A959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4016CCD2">
            <w:pPr>
              <w:spacing w:line="360" w:lineRule="auto"/>
              <w:jc w:val="center"/>
              <w:rPr>
                <w:rFonts w:ascii="宋体" w:hAnsi="宋体"/>
                <w:szCs w:val="21"/>
              </w:rPr>
            </w:pPr>
          </w:p>
        </w:tc>
        <w:tc>
          <w:tcPr>
            <w:tcW w:w="2757" w:type="dxa"/>
            <w:tcBorders>
              <w:top w:val="single" w:color="auto" w:sz="4" w:space="0"/>
              <w:left w:val="single" w:color="auto" w:sz="4" w:space="0"/>
              <w:right w:val="single" w:color="auto" w:sz="4" w:space="0"/>
            </w:tcBorders>
            <w:vAlign w:val="center"/>
          </w:tcPr>
          <w:p w14:paraId="151695FA">
            <w:pPr>
              <w:spacing w:line="360" w:lineRule="auto"/>
              <w:rPr>
                <w:rFonts w:ascii="宋体" w:hAnsi="宋体"/>
                <w:szCs w:val="21"/>
              </w:rPr>
            </w:pPr>
          </w:p>
        </w:tc>
        <w:tc>
          <w:tcPr>
            <w:tcW w:w="2757" w:type="dxa"/>
            <w:tcBorders>
              <w:top w:val="single" w:color="auto" w:sz="4" w:space="0"/>
              <w:left w:val="single" w:color="auto" w:sz="4" w:space="0"/>
              <w:right w:val="single" w:color="auto" w:sz="4" w:space="0"/>
            </w:tcBorders>
            <w:vAlign w:val="center"/>
          </w:tcPr>
          <w:p w14:paraId="48D25A20">
            <w:pPr>
              <w:spacing w:line="360" w:lineRule="auto"/>
              <w:rPr>
                <w:rFonts w:ascii="宋体" w:hAnsi="宋体"/>
                <w:szCs w:val="21"/>
              </w:rPr>
            </w:pPr>
          </w:p>
        </w:tc>
        <w:tc>
          <w:tcPr>
            <w:tcW w:w="1276" w:type="dxa"/>
            <w:tcBorders>
              <w:top w:val="single" w:color="auto" w:sz="4" w:space="0"/>
              <w:left w:val="single" w:color="auto" w:sz="4" w:space="0"/>
              <w:right w:val="single" w:color="auto" w:sz="4" w:space="0"/>
            </w:tcBorders>
            <w:vAlign w:val="center"/>
          </w:tcPr>
          <w:p w14:paraId="65D4C349">
            <w:pPr>
              <w:spacing w:line="360" w:lineRule="auto"/>
              <w:rPr>
                <w:rFonts w:ascii="宋体" w:hAnsi="宋体"/>
                <w:szCs w:val="21"/>
              </w:rPr>
            </w:pPr>
          </w:p>
        </w:tc>
        <w:tc>
          <w:tcPr>
            <w:tcW w:w="1418" w:type="dxa"/>
            <w:tcBorders>
              <w:top w:val="single" w:color="auto" w:sz="4" w:space="0"/>
              <w:left w:val="single" w:color="auto" w:sz="4" w:space="0"/>
            </w:tcBorders>
            <w:vAlign w:val="center"/>
          </w:tcPr>
          <w:p w14:paraId="13E201F2">
            <w:pPr>
              <w:spacing w:line="360" w:lineRule="auto"/>
              <w:rPr>
                <w:rFonts w:ascii="宋体" w:hAnsi="宋体"/>
                <w:szCs w:val="21"/>
              </w:rPr>
            </w:pPr>
          </w:p>
        </w:tc>
      </w:tr>
      <w:tr w14:paraId="460545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bottom w:val="single" w:color="auto" w:sz="4" w:space="0"/>
              <w:right w:val="single" w:color="auto" w:sz="4" w:space="0"/>
            </w:tcBorders>
            <w:vAlign w:val="center"/>
          </w:tcPr>
          <w:p w14:paraId="72DC607C">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7B7312D2">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6BF25AF3">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3CF8AACF">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7F9371B2">
            <w:pPr>
              <w:spacing w:line="360" w:lineRule="auto"/>
              <w:rPr>
                <w:rFonts w:ascii="宋体" w:hAnsi="宋体"/>
                <w:szCs w:val="21"/>
              </w:rPr>
            </w:pPr>
          </w:p>
        </w:tc>
      </w:tr>
      <w:tr w14:paraId="3770CB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4E38AF9E">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3DACD1C8">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1B9483AC">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2E3C6CB9">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148D4B06">
            <w:pPr>
              <w:spacing w:line="360" w:lineRule="auto"/>
              <w:rPr>
                <w:rFonts w:ascii="宋体" w:hAnsi="宋体"/>
                <w:szCs w:val="21"/>
              </w:rPr>
            </w:pPr>
          </w:p>
        </w:tc>
      </w:tr>
      <w:tr w14:paraId="7B0D4F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405209C5">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3084A1CB">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60409E48">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53D4881B">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7D1C3EBD">
            <w:pPr>
              <w:spacing w:line="360" w:lineRule="auto"/>
              <w:rPr>
                <w:rFonts w:ascii="宋体" w:hAnsi="宋体"/>
                <w:szCs w:val="21"/>
              </w:rPr>
            </w:pPr>
          </w:p>
        </w:tc>
      </w:tr>
      <w:tr w14:paraId="4D8AF8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2CCEBB94">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043B8DE0">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7BC00E82">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7F608259">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2A5C8F0B">
            <w:pPr>
              <w:spacing w:line="360" w:lineRule="auto"/>
              <w:rPr>
                <w:rFonts w:ascii="宋体" w:hAnsi="宋体"/>
                <w:szCs w:val="21"/>
              </w:rPr>
            </w:pPr>
          </w:p>
        </w:tc>
      </w:tr>
      <w:tr w14:paraId="499437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1834BD1F">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2FAD0299">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64EECDA0">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2C980979">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0BB55AC0">
            <w:pPr>
              <w:spacing w:line="360" w:lineRule="auto"/>
              <w:rPr>
                <w:rFonts w:ascii="宋体" w:hAnsi="宋体"/>
                <w:szCs w:val="21"/>
              </w:rPr>
            </w:pPr>
          </w:p>
        </w:tc>
      </w:tr>
      <w:tr w14:paraId="3D20F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bottom w:val="single" w:color="auto" w:sz="4" w:space="0"/>
              <w:right w:val="single" w:color="auto" w:sz="4" w:space="0"/>
            </w:tcBorders>
            <w:vAlign w:val="center"/>
          </w:tcPr>
          <w:p w14:paraId="302D4327">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312F0CEC">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08A1657A">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167E6708">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1E29AC55">
            <w:pPr>
              <w:spacing w:line="360" w:lineRule="auto"/>
              <w:rPr>
                <w:rFonts w:ascii="宋体" w:hAnsi="宋体"/>
                <w:szCs w:val="21"/>
              </w:rPr>
            </w:pPr>
          </w:p>
        </w:tc>
      </w:tr>
      <w:tr w14:paraId="3F71EB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15" w:hRule="atLeast"/>
        </w:trPr>
        <w:tc>
          <w:tcPr>
            <w:tcW w:w="723" w:type="dxa"/>
            <w:tcBorders>
              <w:top w:val="single" w:color="auto" w:sz="4" w:space="0"/>
              <w:bottom w:val="single" w:color="auto" w:sz="4" w:space="0"/>
              <w:right w:val="single" w:color="auto" w:sz="4" w:space="0"/>
            </w:tcBorders>
            <w:vAlign w:val="center"/>
          </w:tcPr>
          <w:p w14:paraId="3454B5ED">
            <w:pPr>
              <w:spacing w:line="360" w:lineRule="auto"/>
              <w:jc w:val="center"/>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0C007FDF">
            <w:pPr>
              <w:spacing w:line="360" w:lineRule="auto"/>
              <w:rPr>
                <w:rFonts w:ascii="宋体" w:hAnsi="宋体"/>
                <w:szCs w:val="21"/>
              </w:rPr>
            </w:pPr>
          </w:p>
        </w:tc>
        <w:tc>
          <w:tcPr>
            <w:tcW w:w="2757" w:type="dxa"/>
            <w:tcBorders>
              <w:top w:val="single" w:color="auto" w:sz="4" w:space="0"/>
              <w:left w:val="single" w:color="auto" w:sz="4" w:space="0"/>
              <w:bottom w:val="single" w:color="auto" w:sz="4" w:space="0"/>
              <w:right w:val="single" w:color="auto" w:sz="4" w:space="0"/>
            </w:tcBorders>
            <w:vAlign w:val="center"/>
          </w:tcPr>
          <w:p w14:paraId="4E67CC30">
            <w:pPr>
              <w:spacing w:line="360" w:lineRule="auto"/>
              <w:rPr>
                <w:rFonts w:ascii="宋体" w:hAnsi="宋体"/>
                <w:szCs w:val="21"/>
              </w:rPr>
            </w:pPr>
          </w:p>
        </w:tc>
        <w:tc>
          <w:tcPr>
            <w:tcW w:w="1276" w:type="dxa"/>
            <w:tcBorders>
              <w:top w:val="single" w:color="auto" w:sz="4" w:space="0"/>
              <w:left w:val="single" w:color="auto" w:sz="4" w:space="0"/>
              <w:bottom w:val="single" w:color="auto" w:sz="4" w:space="0"/>
              <w:right w:val="single" w:color="auto" w:sz="4" w:space="0"/>
            </w:tcBorders>
            <w:vAlign w:val="center"/>
          </w:tcPr>
          <w:p w14:paraId="3D281F09">
            <w:pPr>
              <w:spacing w:line="360" w:lineRule="auto"/>
              <w:rPr>
                <w:rFonts w:ascii="宋体" w:hAnsi="宋体"/>
                <w:szCs w:val="21"/>
              </w:rPr>
            </w:pPr>
          </w:p>
        </w:tc>
        <w:tc>
          <w:tcPr>
            <w:tcW w:w="1418" w:type="dxa"/>
            <w:tcBorders>
              <w:top w:val="single" w:color="auto" w:sz="4" w:space="0"/>
              <w:left w:val="single" w:color="auto" w:sz="4" w:space="0"/>
              <w:bottom w:val="single" w:color="auto" w:sz="4" w:space="0"/>
            </w:tcBorders>
            <w:vAlign w:val="center"/>
          </w:tcPr>
          <w:p w14:paraId="5AFAD596">
            <w:pPr>
              <w:spacing w:line="360" w:lineRule="auto"/>
              <w:rPr>
                <w:rFonts w:ascii="宋体" w:hAnsi="宋体"/>
                <w:szCs w:val="21"/>
              </w:rPr>
            </w:pPr>
          </w:p>
        </w:tc>
      </w:tr>
    </w:tbl>
    <w:p w14:paraId="08CE4ABB">
      <w:pPr>
        <w:spacing w:line="360" w:lineRule="auto"/>
        <w:ind w:firstLine="420" w:firstLineChars="200"/>
        <w:rPr>
          <w:rFonts w:ascii="宋体" w:hAnsi="宋体"/>
          <w:szCs w:val="21"/>
        </w:rPr>
      </w:pPr>
    </w:p>
    <w:p w14:paraId="3B6F0F42">
      <w:pPr>
        <w:spacing w:line="360" w:lineRule="auto"/>
        <w:ind w:firstLine="420" w:firstLineChars="200"/>
        <w:rPr>
          <w:rFonts w:ascii="宋体" w:hAnsi="宋体"/>
          <w:szCs w:val="21"/>
        </w:rPr>
      </w:pPr>
      <w:r>
        <w:rPr>
          <w:rFonts w:hint="eastAsia" w:ascii="宋体" w:hAnsi="宋体"/>
          <w:szCs w:val="21"/>
        </w:rPr>
        <w:t xml:space="preserve">备注： </w:t>
      </w:r>
    </w:p>
    <w:p w14:paraId="78FC3B07">
      <w:pPr>
        <w:spacing w:line="360" w:lineRule="auto"/>
        <w:ind w:firstLine="422" w:firstLineChars="200"/>
        <w:rPr>
          <w:rFonts w:ascii="宋体" w:hAnsi="宋体"/>
          <w:b/>
          <w:i/>
          <w:iCs/>
          <w:szCs w:val="21"/>
          <w:u w:val="single"/>
        </w:rPr>
      </w:pPr>
      <w:r>
        <w:rPr>
          <w:rFonts w:hint="eastAsia" w:ascii="宋体" w:hAnsi="宋体"/>
          <w:b/>
          <w:bCs/>
          <w:i/>
          <w:iCs/>
          <w:szCs w:val="21"/>
          <w:u w:val="single"/>
        </w:rPr>
        <w:t>（1）技术要求中</w:t>
      </w:r>
      <w:r>
        <w:rPr>
          <w:rFonts w:hint="eastAsia" w:ascii="宋体" w:hAnsi="宋体"/>
          <w:b/>
          <w:bCs/>
          <w:i/>
          <w:iCs/>
          <w:u w:val="single"/>
        </w:rPr>
        <w:t>标注</w:t>
      </w:r>
      <w:r>
        <w:rPr>
          <w:rFonts w:ascii="宋体" w:hAnsi="宋体"/>
          <w:b/>
          <w:bCs/>
          <w:i/>
          <w:iCs/>
          <w:u w:val="single"/>
        </w:rPr>
        <w:t>“★</w:t>
      </w:r>
      <w:r>
        <w:rPr>
          <w:rFonts w:ascii="宋体" w:hAnsi="宋体" w:cs="Arial"/>
          <w:b/>
          <w:bCs/>
          <w:i/>
          <w:iCs/>
          <w:szCs w:val="21"/>
          <w:u w:val="single"/>
        </w:rPr>
        <w:t>”</w:t>
      </w:r>
      <w:r>
        <w:rPr>
          <w:rFonts w:hint="eastAsia" w:ascii="宋体" w:hAnsi="宋体" w:cs="Arial"/>
          <w:b/>
          <w:bCs/>
          <w:i/>
          <w:iCs/>
          <w:szCs w:val="21"/>
          <w:u w:val="single"/>
        </w:rPr>
        <w:t>的要求需如实填写响应情况并按要求提供证明材料，加盖公章</w:t>
      </w:r>
      <w:r>
        <w:rPr>
          <w:rFonts w:ascii="宋体" w:hAnsi="宋体" w:cs="Arial"/>
          <w:b/>
          <w:bCs/>
          <w:i/>
          <w:iCs/>
          <w:szCs w:val="21"/>
          <w:u w:val="single"/>
        </w:rPr>
        <w:t>，</w:t>
      </w:r>
      <w:r>
        <w:rPr>
          <w:rFonts w:hint="eastAsia" w:ascii="宋体" w:hAnsi="宋体" w:cs="Arial"/>
          <w:b/>
          <w:bCs/>
          <w:i/>
          <w:iCs/>
          <w:szCs w:val="21"/>
          <w:u w:val="single"/>
        </w:rPr>
        <w:t>否则视为负偏离。评标委员</w:t>
      </w:r>
      <w:r>
        <w:rPr>
          <w:rFonts w:hint="eastAsia" w:ascii="宋体" w:hAnsi="宋体"/>
          <w:b/>
          <w:bCs/>
          <w:i/>
          <w:iCs/>
          <w:szCs w:val="21"/>
          <w:u w:val="single"/>
        </w:rPr>
        <w:t>会将根据提供的</w:t>
      </w:r>
      <w:r>
        <w:rPr>
          <w:rFonts w:ascii="宋体" w:hAnsi="宋体"/>
          <w:b/>
          <w:bCs/>
          <w:i/>
          <w:iCs/>
          <w:szCs w:val="21"/>
          <w:u w:val="single"/>
        </w:rPr>
        <w:t>佐证</w:t>
      </w:r>
      <w:r>
        <w:rPr>
          <w:rFonts w:hint="eastAsia" w:ascii="宋体" w:hAnsi="宋体"/>
          <w:b/>
          <w:bCs/>
          <w:i/>
          <w:iCs/>
          <w:szCs w:val="21"/>
          <w:u w:val="single"/>
        </w:rPr>
        <w:t>材料评定产品对招标文件技术要求的响应程度。无相关证明材料的，</w:t>
      </w:r>
      <w:r>
        <w:rPr>
          <w:rFonts w:hint="eastAsia" w:ascii="宋体" w:hAnsi="宋体" w:cs="Arial"/>
          <w:b/>
          <w:bCs/>
          <w:i/>
          <w:iCs/>
          <w:szCs w:val="21"/>
          <w:u w:val="single"/>
        </w:rPr>
        <w:t>评标委员</w:t>
      </w:r>
      <w:r>
        <w:rPr>
          <w:rFonts w:hint="eastAsia" w:ascii="宋体" w:hAnsi="宋体"/>
          <w:b/>
          <w:bCs/>
          <w:i/>
          <w:iCs/>
          <w:szCs w:val="21"/>
          <w:u w:val="single"/>
        </w:rPr>
        <w:t>会有权做负偏离处理，标注</w:t>
      </w:r>
      <w:r>
        <w:rPr>
          <w:rFonts w:ascii="宋体" w:hAnsi="宋体"/>
          <w:b/>
          <w:bCs/>
          <w:i/>
          <w:iCs/>
          <w:u w:val="single"/>
        </w:rPr>
        <w:t>“★”</w:t>
      </w:r>
      <w:r>
        <w:rPr>
          <w:rFonts w:hint="eastAsia" w:ascii="宋体" w:hAnsi="宋体"/>
          <w:b/>
          <w:bCs/>
          <w:i/>
          <w:iCs/>
          <w:u w:val="single"/>
        </w:rPr>
        <w:t>的技术要求负偏离将</w:t>
      </w:r>
      <w:r>
        <w:rPr>
          <w:rFonts w:hint="eastAsia" w:ascii="宋体" w:hAnsi="宋体"/>
          <w:b/>
          <w:i/>
          <w:iCs/>
          <w:szCs w:val="21"/>
          <w:u w:val="single"/>
        </w:rPr>
        <w:t>作无效响应处理。</w:t>
      </w:r>
    </w:p>
    <w:p w14:paraId="3A24A44A">
      <w:pPr>
        <w:spacing w:line="360" w:lineRule="auto"/>
        <w:ind w:firstLine="420" w:firstLineChars="200"/>
        <w:rPr>
          <w:rFonts w:ascii="宋体" w:hAnsi="宋体"/>
          <w:szCs w:val="21"/>
        </w:rPr>
      </w:pPr>
      <w:r>
        <w:rPr>
          <w:rFonts w:hint="eastAsia" w:ascii="宋体" w:hAnsi="宋体"/>
          <w:szCs w:val="21"/>
        </w:rPr>
        <w:t>（2）</w:t>
      </w:r>
      <w:r>
        <w:rPr>
          <w:rFonts w:hint="eastAsia" w:ascii="宋体" w:hAnsi="宋体"/>
          <w:b/>
          <w:i/>
          <w:szCs w:val="21"/>
          <w:u w:val="single"/>
        </w:rPr>
        <w:t>投标人需确保提供佐证材料的真实性，如被认定提供实质性虚假材料，将会导致无效响应处理。</w:t>
      </w:r>
    </w:p>
    <w:p w14:paraId="129EC3B9">
      <w:pPr>
        <w:spacing w:line="360" w:lineRule="auto"/>
        <w:ind w:firstLine="420" w:firstLineChars="200"/>
        <w:rPr>
          <w:rFonts w:ascii="宋体" w:hAnsi="宋体"/>
          <w:szCs w:val="21"/>
        </w:rPr>
      </w:pPr>
      <w:r>
        <w:rPr>
          <w:rFonts w:hint="eastAsia" w:ascii="宋体" w:hAnsi="宋体"/>
          <w:szCs w:val="21"/>
        </w:rPr>
        <w:t>（3）供应商提供产品的规格和投标文件规格不一致，而投标人却在此表应答为响应或正偏离时，必须提供充分理由说明</w:t>
      </w:r>
      <w:r>
        <w:rPr>
          <w:rFonts w:hint="eastAsia" w:ascii="宋体" w:hAnsi="宋体"/>
          <w:b/>
          <w:bCs/>
          <w:i/>
          <w:iCs/>
          <w:szCs w:val="21"/>
          <w:u w:val="single"/>
        </w:rPr>
        <w:t>（不提供或理由不充分将视为负偏离）</w:t>
      </w:r>
      <w:r>
        <w:rPr>
          <w:rFonts w:hint="eastAsia" w:ascii="宋体" w:hAnsi="宋体"/>
          <w:szCs w:val="21"/>
        </w:rPr>
        <w:t>；因此种情况在设备验收时产生争议，采购方有权按照招标文件的原始标准进行验收。</w:t>
      </w:r>
    </w:p>
    <w:p w14:paraId="6A6483F8">
      <w:pPr>
        <w:spacing w:line="360" w:lineRule="auto"/>
        <w:ind w:firstLine="420" w:firstLineChars="200"/>
        <w:rPr>
          <w:rFonts w:ascii="宋体" w:hAnsi="宋体"/>
          <w:szCs w:val="21"/>
        </w:rPr>
      </w:pPr>
      <w:r>
        <w:rPr>
          <w:rFonts w:hint="eastAsia" w:ascii="宋体" w:hAnsi="宋体"/>
          <w:szCs w:val="21"/>
        </w:rPr>
        <w:t>（4）</w:t>
      </w:r>
      <w:r>
        <w:rPr>
          <w:rFonts w:hint="eastAsia" w:ascii="宋体" w:hAnsi="宋体"/>
          <w:b/>
          <w:i/>
          <w:szCs w:val="21"/>
          <w:u w:val="single"/>
        </w:rPr>
        <w:t>必逐条应答，缺项漏项视为负偏离。</w:t>
      </w:r>
    </w:p>
    <w:p w14:paraId="7601C59F">
      <w:pPr>
        <w:spacing w:line="360" w:lineRule="auto"/>
        <w:ind w:firstLine="420" w:firstLineChars="200"/>
        <w:rPr>
          <w:rFonts w:ascii="宋体" w:hAnsi="宋体"/>
          <w:szCs w:val="21"/>
        </w:rPr>
      </w:pPr>
      <w:r>
        <w:rPr>
          <w:rFonts w:hint="eastAsia" w:ascii="宋体" w:hAnsi="宋体"/>
          <w:szCs w:val="21"/>
        </w:rPr>
        <w:t>（5）如果行数不够，请自行增加。</w:t>
      </w:r>
    </w:p>
    <w:p w14:paraId="7B9D87B9">
      <w:pPr>
        <w:spacing w:line="360" w:lineRule="auto"/>
        <w:ind w:firstLine="420" w:firstLineChars="200"/>
        <w:rPr>
          <w:rFonts w:ascii="宋体" w:hAnsi="宋体"/>
          <w:szCs w:val="21"/>
        </w:rPr>
      </w:pPr>
    </w:p>
    <w:p w14:paraId="22F8F6A0">
      <w:pPr>
        <w:spacing w:line="360" w:lineRule="auto"/>
        <w:ind w:firstLine="420" w:firstLineChars="200"/>
        <w:rPr>
          <w:rFonts w:ascii="宋体" w:hAnsi="宋体"/>
          <w:szCs w:val="21"/>
        </w:rPr>
      </w:pPr>
    </w:p>
    <w:p w14:paraId="4CC79C48">
      <w:pPr>
        <w:spacing w:line="360" w:lineRule="auto"/>
        <w:ind w:firstLine="420" w:firstLineChars="200"/>
        <w:rPr>
          <w:rFonts w:ascii="宋体" w:hAnsi="宋体"/>
          <w:szCs w:val="21"/>
        </w:rPr>
      </w:pPr>
    </w:p>
    <w:p w14:paraId="1438D7E9">
      <w:pPr>
        <w:spacing w:line="360" w:lineRule="auto"/>
        <w:ind w:firstLine="420" w:firstLineChars="200"/>
        <w:rPr>
          <w:rFonts w:ascii="宋体" w:hAnsi="宋体"/>
          <w:szCs w:val="21"/>
        </w:rPr>
      </w:pPr>
    </w:p>
    <w:p w14:paraId="3C3FC68B">
      <w:pPr>
        <w:spacing w:line="360" w:lineRule="auto"/>
        <w:ind w:firstLine="420" w:firstLineChars="200"/>
        <w:rPr>
          <w:rFonts w:ascii="宋体" w:hAnsi="宋体"/>
          <w:szCs w:val="21"/>
        </w:rPr>
      </w:pPr>
    </w:p>
    <w:p w14:paraId="6C616434">
      <w:pPr>
        <w:spacing w:line="360" w:lineRule="auto"/>
        <w:ind w:firstLine="420" w:firstLineChars="200"/>
        <w:rPr>
          <w:rFonts w:ascii="宋体" w:hAnsi="宋体"/>
          <w:szCs w:val="21"/>
        </w:rPr>
      </w:pPr>
    </w:p>
    <w:p w14:paraId="220EC6BE">
      <w:pPr>
        <w:spacing w:line="360" w:lineRule="auto"/>
        <w:ind w:firstLine="420" w:firstLineChars="200"/>
        <w:rPr>
          <w:rFonts w:ascii="宋体" w:hAnsi="宋体"/>
          <w:szCs w:val="21"/>
        </w:rPr>
      </w:pPr>
    </w:p>
    <w:p w14:paraId="17789394">
      <w:pPr>
        <w:spacing w:line="360" w:lineRule="auto"/>
        <w:ind w:firstLine="420" w:firstLineChars="200"/>
        <w:rPr>
          <w:rFonts w:ascii="宋体" w:hAnsi="宋体"/>
          <w:szCs w:val="21"/>
        </w:rPr>
      </w:pPr>
    </w:p>
    <w:p w14:paraId="7A5E2950">
      <w:pPr>
        <w:spacing w:line="360" w:lineRule="auto"/>
        <w:ind w:firstLine="420" w:firstLineChars="200"/>
        <w:rPr>
          <w:rFonts w:ascii="宋体" w:hAnsi="宋体"/>
          <w:szCs w:val="21"/>
        </w:rPr>
      </w:pPr>
    </w:p>
    <w:p w14:paraId="61B05E91">
      <w:pPr>
        <w:spacing w:line="360" w:lineRule="auto"/>
        <w:ind w:firstLine="420" w:firstLineChars="200"/>
        <w:rPr>
          <w:rFonts w:ascii="宋体" w:hAnsi="宋体"/>
          <w:szCs w:val="21"/>
        </w:rPr>
      </w:pPr>
    </w:p>
    <w:p w14:paraId="73DF32EE">
      <w:pPr>
        <w:spacing w:line="360" w:lineRule="auto"/>
        <w:ind w:firstLine="420" w:firstLineChars="200"/>
        <w:rPr>
          <w:rFonts w:ascii="宋体" w:hAnsi="宋体"/>
          <w:szCs w:val="21"/>
        </w:rPr>
      </w:pPr>
    </w:p>
    <w:p w14:paraId="29912F33">
      <w:pPr>
        <w:spacing w:line="360" w:lineRule="auto"/>
        <w:ind w:firstLine="420" w:firstLineChars="200"/>
        <w:rPr>
          <w:rFonts w:ascii="宋体" w:hAnsi="宋体"/>
          <w:szCs w:val="21"/>
        </w:rPr>
      </w:pPr>
    </w:p>
    <w:p w14:paraId="0B22AA35">
      <w:pPr>
        <w:spacing w:line="360" w:lineRule="auto"/>
        <w:ind w:firstLine="420" w:firstLineChars="200"/>
        <w:rPr>
          <w:rFonts w:ascii="宋体" w:hAnsi="宋体"/>
          <w:szCs w:val="21"/>
        </w:rPr>
      </w:pPr>
    </w:p>
    <w:p w14:paraId="37E93FAD">
      <w:pPr>
        <w:spacing w:line="360" w:lineRule="auto"/>
        <w:ind w:firstLine="420" w:firstLineChars="200"/>
        <w:rPr>
          <w:rFonts w:ascii="宋体" w:hAnsi="宋体"/>
          <w:szCs w:val="21"/>
        </w:rPr>
      </w:pPr>
    </w:p>
    <w:p w14:paraId="5E0918EC">
      <w:pPr>
        <w:spacing w:line="360" w:lineRule="auto"/>
        <w:ind w:firstLine="420" w:firstLineChars="200"/>
        <w:rPr>
          <w:rFonts w:ascii="宋体" w:hAnsi="宋体"/>
          <w:szCs w:val="21"/>
        </w:rPr>
      </w:pPr>
    </w:p>
    <w:p w14:paraId="5ACA75D9">
      <w:pPr>
        <w:spacing w:line="360" w:lineRule="auto"/>
        <w:ind w:firstLine="420" w:firstLineChars="200"/>
        <w:rPr>
          <w:rFonts w:ascii="宋体" w:hAnsi="宋体"/>
          <w:szCs w:val="21"/>
        </w:rPr>
      </w:pPr>
    </w:p>
    <w:p w14:paraId="7B198FA8">
      <w:pPr>
        <w:spacing w:line="360" w:lineRule="auto"/>
        <w:ind w:firstLine="420" w:firstLineChars="200"/>
        <w:rPr>
          <w:rFonts w:ascii="宋体" w:hAnsi="宋体"/>
          <w:szCs w:val="21"/>
        </w:rPr>
      </w:pPr>
    </w:p>
    <w:p w14:paraId="7BF9060B">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227AB77F">
      <w:pPr>
        <w:spacing w:line="360" w:lineRule="auto"/>
        <w:ind w:firstLine="420" w:firstLineChars="200"/>
        <w:rPr>
          <w:rFonts w:ascii="宋体" w:hAnsi="宋体"/>
          <w:szCs w:val="21"/>
        </w:rPr>
      </w:pPr>
      <w:r>
        <w:rPr>
          <w:rFonts w:hint="eastAsia" w:ascii="宋体" w:hAnsi="宋体"/>
          <w:szCs w:val="21"/>
        </w:rPr>
        <w:t>投标人名称（加盖CA电子公章）：</w:t>
      </w:r>
    </w:p>
    <w:p w14:paraId="4DE12BDD">
      <w:pPr>
        <w:spacing w:line="360" w:lineRule="auto"/>
        <w:ind w:firstLine="420" w:firstLineChars="200"/>
        <w:rPr>
          <w:rFonts w:ascii="宋体" w:hAnsi="宋体"/>
          <w:szCs w:val="21"/>
        </w:rPr>
      </w:pPr>
      <w:r>
        <w:rPr>
          <w:rFonts w:hint="eastAsia" w:ascii="宋体" w:hAnsi="宋体"/>
          <w:szCs w:val="21"/>
        </w:rPr>
        <w:t>日期：  年   月   日</w:t>
      </w:r>
    </w:p>
    <w:p w14:paraId="4D0985D4">
      <w:pPr>
        <w:rPr>
          <w:rFonts w:ascii="宋体" w:hAnsi="宋体"/>
          <w:szCs w:val="21"/>
        </w:rPr>
      </w:pPr>
    </w:p>
    <w:p w14:paraId="0CE3F7DA">
      <w:pPr>
        <w:widowControl/>
        <w:jc w:val="left"/>
        <w:rPr>
          <w:rFonts w:ascii="宋体" w:hAnsi="宋体"/>
          <w:szCs w:val="21"/>
        </w:rPr>
      </w:pPr>
      <w:r>
        <w:rPr>
          <w:rFonts w:ascii="宋体" w:hAnsi="宋体"/>
          <w:szCs w:val="21"/>
        </w:rPr>
        <w:br w:type="page"/>
      </w:r>
    </w:p>
    <w:p w14:paraId="241D375C">
      <w:pPr>
        <w:pStyle w:val="64"/>
        <w:spacing w:after="156" w:afterLines="50" w:line="440" w:lineRule="exact"/>
        <w:ind w:left="567" w:hanging="567" w:firstLineChars="0"/>
        <w:outlineLvl w:val="1"/>
        <w:rPr>
          <w:rFonts w:ascii="宋体" w:hAnsi="宋体" w:cs="Arial"/>
          <w:b/>
          <w:szCs w:val="21"/>
        </w:rPr>
      </w:pPr>
      <w:bookmarkStart w:id="59" w:name="_Toc200540944"/>
      <w:bookmarkStart w:id="60" w:name="_Toc7917"/>
      <w:r>
        <w:rPr>
          <w:rFonts w:hint="eastAsia" w:ascii="宋体" w:hAnsi="宋体" w:cs="Arial"/>
          <w:b/>
          <w:szCs w:val="21"/>
        </w:rPr>
        <w:t>五</w:t>
      </w:r>
      <w:r>
        <w:rPr>
          <w:rFonts w:ascii="宋体" w:hAnsi="宋体" w:cs="Arial"/>
          <w:b/>
          <w:szCs w:val="21"/>
        </w:rPr>
        <w:t>、</w:t>
      </w:r>
      <w:r>
        <w:rPr>
          <w:rFonts w:hint="eastAsia" w:ascii="宋体" w:hAnsi="宋体" w:cs="Arial"/>
          <w:b/>
          <w:szCs w:val="21"/>
        </w:rPr>
        <w:t>商务要求响应/偏离表</w:t>
      </w:r>
      <w:bookmarkEnd w:id="59"/>
      <w:bookmarkEnd w:id="60"/>
    </w:p>
    <w:p w14:paraId="65EC4226">
      <w:pPr>
        <w:jc w:val="left"/>
        <w:rPr>
          <w:rFonts w:ascii="宋体" w:hAnsi="宋体"/>
          <w:szCs w:val="21"/>
        </w:rPr>
      </w:pPr>
    </w:p>
    <w:p w14:paraId="17DA50AE">
      <w:pPr>
        <w:ind w:firstLine="281" w:firstLineChars="100"/>
        <w:jc w:val="center"/>
        <w:rPr>
          <w:rFonts w:ascii="宋体" w:hAnsi="宋体"/>
          <w:b/>
          <w:sz w:val="28"/>
          <w:szCs w:val="28"/>
        </w:rPr>
      </w:pPr>
      <w:r>
        <w:rPr>
          <w:rFonts w:hint="eastAsia" w:ascii="宋体" w:hAnsi="宋体"/>
          <w:b/>
          <w:sz w:val="28"/>
          <w:szCs w:val="28"/>
        </w:rPr>
        <w:t>商务要求响应/偏离表</w:t>
      </w:r>
    </w:p>
    <w:p w14:paraId="67DB9F14">
      <w:pPr>
        <w:rPr>
          <w:rFonts w:ascii="宋体" w:hAnsi="宋体"/>
          <w:szCs w:val="21"/>
        </w:rPr>
      </w:pPr>
      <w:r>
        <w:rPr>
          <w:rFonts w:hint="eastAsia" w:ascii="宋体" w:hAnsi="宋体" w:cs="宋体"/>
          <w:b/>
          <w:bCs/>
          <w:sz w:val="24"/>
        </w:rPr>
        <w:t xml:space="preserve">项目名称：                             项目编号：  </w:t>
      </w:r>
      <w:r>
        <w:rPr>
          <w:rFonts w:hint="eastAsia" w:ascii="宋体" w:hAnsi="宋体" w:cs="宋体"/>
          <w:sz w:val="24"/>
        </w:rPr>
        <w:t xml:space="preserve"> </w:t>
      </w:r>
    </w:p>
    <w:tbl>
      <w:tblPr>
        <w:tblStyle w:val="36"/>
        <w:tblW w:w="907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723"/>
        <w:gridCol w:w="2821"/>
        <w:gridCol w:w="2693"/>
        <w:gridCol w:w="1533"/>
        <w:gridCol w:w="1302"/>
      </w:tblGrid>
      <w:tr w14:paraId="0CB0A8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723" w:type="dxa"/>
            <w:tcBorders>
              <w:top w:val="single" w:color="auto" w:sz="4" w:space="0"/>
              <w:bottom w:val="single" w:color="auto" w:sz="4" w:space="0"/>
              <w:right w:val="single" w:color="auto" w:sz="4" w:space="0"/>
            </w:tcBorders>
            <w:vAlign w:val="center"/>
          </w:tcPr>
          <w:p w14:paraId="212E2D7C">
            <w:pPr>
              <w:spacing w:line="360" w:lineRule="auto"/>
              <w:jc w:val="center"/>
              <w:rPr>
                <w:rFonts w:ascii="宋体" w:hAnsi="宋体"/>
                <w:szCs w:val="21"/>
              </w:rPr>
            </w:pPr>
            <w:r>
              <w:rPr>
                <w:rFonts w:hint="eastAsia" w:ascii="宋体" w:hAnsi="宋体"/>
                <w:szCs w:val="21"/>
              </w:rPr>
              <w:t>序号</w:t>
            </w:r>
          </w:p>
        </w:tc>
        <w:tc>
          <w:tcPr>
            <w:tcW w:w="2821" w:type="dxa"/>
            <w:tcBorders>
              <w:top w:val="single" w:color="auto" w:sz="4" w:space="0"/>
              <w:left w:val="single" w:color="auto" w:sz="4" w:space="0"/>
              <w:bottom w:val="single" w:color="auto" w:sz="4" w:space="0"/>
              <w:right w:val="single" w:color="auto" w:sz="4" w:space="0"/>
            </w:tcBorders>
            <w:vAlign w:val="center"/>
          </w:tcPr>
          <w:p w14:paraId="6FA8D94B">
            <w:pPr>
              <w:spacing w:line="360" w:lineRule="auto"/>
              <w:jc w:val="center"/>
              <w:rPr>
                <w:rFonts w:ascii="宋体" w:hAnsi="宋体"/>
                <w:szCs w:val="21"/>
              </w:rPr>
            </w:pPr>
            <w:r>
              <w:rPr>
                <w:rFonts w:hint="eastAsia" w:ascii="宋体" w:hAnsi="宋体"/>
                <w:szCs w:val="21"/>
              </w:rPr>
              <w:t>招标文件商务要求条款</w:t>
            </w:r>
          </w:p>
        </w:tc>
        <w:tc>
          <w:tcPr>
            <w:tcW w:w="2693" w:type="dxa"/>
            <w:tcBorders>
              <w:top w:val="single" w:color="auto" w:sz="4" w:space="0"/>
              <w:left w:val="single" w:color="auto" w:sz="4" w:space="0"/>
              <w:bottom w:val="single" w:color="auto" w:sz="4" w:space="0"/>
              <w:right w:val="single" w:color="auto" w:sz="4" w:space="0"/>
            </w:tcBorders>
            <w:vAlign w:val="center"/>
          </w:tcPr>
          <w:p w14:paraId="0C76DF6E">
            <w:pPr>
              <w:spacing w:line="360" w:lineRule="auto"/>
              <w:jc w:val="center"/>
              <w:rPr>
                <w:rFonts w:ascii="宋体" w:hAnsi="宋体"/>
                <w:szCs w:val="21"/>
              </w:rPr>
            </w:pPr>
            <w:r>
              <w:rPr>
                <w:rFonts w:hint="eastAsia" w:ascii="宋体" w:hAnsi="宋体"/>
                <w:szCs w:val="21"/>
              </w:rPr>
              <w:t>投标人商务响应</w:t>
            </w:r>
          </w:p>
        </w:tc>
        <w:tc>
          <w:tcPr>
            <w:tcW w:w="1533" w:type="dxa"/>
            <w:tcBorders>
              <w:top w:val="single" w:color="auto" w:sz="4" w:space="0"/>
              <w:left w:val="single" w:color="auto" w:sz="4" w:space="0"/>
              <w:bottom w:val="single" w:color="auto" w:sz="4" w:space="0"/>
              <w:right w:val="single" w:color="auto" w:sz="4" w:space="0"/>
            </w:tcBorders>
            <w:vAlign w:val="center"/>
          </w:tcPr>
          <w:p w14:paraId="1E4ECBBD">
            <w:pPr>
              <w:spacing w:line="360" w:lineRule="auto"/>
              <w:jc w:val="center"/>
              <w:rPr>
                <w:rFonts w:ascii="宋体" w:hAnsi="宋体"/>
                <w:szCs w:val="21"/>
              </w:rPr>
            </w:pPr>
            <w:r>
              <w:rPr>
                <w:rFonts w:hint="eastAsia" w:ascii="宋体" w:hAnsi="宋体"/>
                <w:szCs w:val="21"/>
              </w:rPr>
              <w:t>响应/正偏离</w:t>
            </w:r>
            <w:r>
              <w:rPr>
                <w:rFonts w:ascii="宋体" w:hAnsi="宋体"/>
                <w:szCs w:val="21"/>
              </w:rPr>
              <w:t>/</w:t>
            </w:r>
            <w:r>
              <w:rPr>
                <w:rFonts w:hint="eastAsia" w:ascii="宋体" w:hAnsi="宋体"/>
                <w:szCs w:val="21"/>
              </w:rPr>
              <w:t>负偏离</w:t>
            </w:r>
          </w:p>
        </w:tc>
        <w:tc>
          <w:tcPr>
            <w:tcW w:w="1302" w:type="dxa"/>
            <w:tcBorders>
              <w:top w:val="single" w:color="auto" w:sz="4" w:space="0"/>
              <w:left w:val="single" w:color="auto" w:sz="4" w:space="0"/>
              <w:bottom w:val="single" w:color="auto" w:sz="4" w:space="0"/>
            </w:tcBorders>
            <w:vAlign w:val="center"/>
          </w:tcPr>
          <w:p w14:paraId="2B63158F">
            <w:pPr>
              <w:spacing w:line="360" w:lineRule="auto"/>
              <w:jc w:val="center"/>
              <w:rPr>
                <w:rFonts w:ascii="宋体" w:hAnsi="宋体"/>
                <w:szCs w:val="21"/>
              </w:rPr>
            </w:pPr>
            <w:r>
              <w:rPr>
                <w:rFonts w:hint="eastAsia" w:ascii="宋体" w:hAnsi="宋体"/>
                <w:szCs w:val="21"/>
              </w:rPr>
              <w:t>备注</w:t>
            </w:r>
          </w:p>
        </w:tc>
      </w:tr>
      <w:tr w14:paraId="0656C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bottom w:val="single" w:color="auto" w:sz="4" w:space="0"/>
              <w:right w:val="single" w:color="auto" w:sz="4" w:space="0"/>
            </w:tcBorders>
            <w:vAlign w:val="center"/>
          </w:tcPr>
          <w:p w14:paraId="492162A0">
            <w:pPr>
              <w:spacing w:line="360" w:lineRule="auto"/>
              <w:jc w:val="center"/>
              <w:rPr>
                <w:rFonts w:ascii="宋体" w:hAnsi="宋体"/>
                <w:szCs w:val="21"/>
              </w:rPr>
            </w:pPr>
          </w:p>
        </w:tc>
        <w:tc>
          <w:tcPr>
            <w:tcW w:w="2821" w:type="dxa"/>
            <w:tcBorders>
              <w:top w:val="single" w:color="auto" w:sz="4" w:space="0"/>
              <w:left w:val="single" w:color="auto" w:sz="4" w:space="0"/>
              <w:bottom w:val="single" w:color="auto" w:sz="4" w:space="0"/>
              <w:right w:val="single" w:color="auto" w:sz="4" w:space="0"/>
            </w:tcBorders>
            <w:vAlign w:val="center"/>
          </w:tcPr>
          <w:p w14:paraId="11EF54E3">
            <w:pPr>
              <w:spacing w:line="360" w:lineRule="auto"/>
              <w:rPr>
                <w:rFonts w:ascii="宋体" w:hAnsi="宋体"/>
                <w:bCs/>
                <w:szCs w:val="21"/>
              </w:rPr>
            </w:pPr>
          </w:p>
        </w:tc>
        <w:tc>
          <w:tcPr>
            <w:tcW w:w="2693" w:type="dxa"/>
            <w:tcBorders>
              <w:top w:val="single" w:color="auto" w:sz="4" w:space="0"/>
              <w:left w:val="single" w:color="auto" w:sz="4" w:space="0"/>
              <w:bottom w:val="single" w:color="auto" w:sz="4" w:space="0"/>
              <w:right w:val="single" w:color="auto" w:sz="4" w:space="0"/>
            </w:tcBorders>
            <w:vAlign w:val="center"/>
          </w:tcPr>
          <w:p w14:paraId="2FADC606">
            <w:pPr>
              <w:spacing w:line="360" w:lineRule="auto"/>
              <w:rPr>
                <w:rFonts w:ascii="宋体" w:hAnsi="宋体"/>
                <w:szCs w:val="21"/>
              </w:rPr>
            </w:pPr>
          </w:p>
        </w:tc>
        <w:tc>
          <w:tcPr>
            <w:tcW w:w="1533" w:type="dxa"/>
            <w:tcBorders>
              <w:top w:val="single" w:color="auto" w:sz="4" w:space="0"/>
              <w:left w:val="single" w:color="auto" w:sz="4" w:space="0"/>
              <w:bottom w:val="single" w:color="auto" w:sz="4" w:space="0"/>
              <w:right w:val="single" w:color="auto" w:sz="4" w:space="0"/>
            </w:tcBorders>
            <w:vAlign w:val="center"/>
          </w:tcPr>
          <w:p w14:paraId="72192143">
            <w:pPr>
              <w:spacing w:line="360" w:lineRule="auto"/>
              <w:rPr>
                <w:rFonts w:ascii="宋体" w:hAnsi="宋体"/>
                <w:szCs w:val="21"/>
              </w:rPr>
            </w:pPr>
          </w:p>
        </w:tc>
        <w:tc>
          <w:tcPr>
            <w:tcW w:w="1302" w:type="dxa"/>
            <w:tcBorders>
              <w:top w:val="single" w:color="auto" w:sz="4" w:space="0"/>
              <w:left w:val="single" w:color="auto" w:sz="4" w:space="0"/>
              <w:bottom w:val="single" w:color="auto" w:sz="4" w:space="0"/>
            </w:tcBorders>
            <w:vAlign w:val="center"/>
          </w:tcPr>
          <w:p w14:paraId="7E5119CB">
            <w:pPr>
              <w:spacing w:line="360" w:lineRule="auto"/>
              <w:rPr>
                <w:rFonts w:ascii="宋体" w:hAnsi="宋体"/>
                <w:szCs w:val="21"/>
              </w:rPr>
            </w:pPr>
          </w:p>
        </w:tc>
      </w:tr>
      <w:tr w14:paraId="3B8661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15" w:hRule="atLeast"/>
        </w:trPr>
        <w:tc>
          <w:tcPr>
            <w:tcW w:w="723" w:type="dxa"/>
            <w:tcBorders>
              <w:top w:val="single" w:color="auto" w:sz="4" w:space="0"/>
              <w:right w:val="single" w:color="auto" w:sz="4" w:space="0"/>
            </w:tcBorders>
            <w:vAlign w:val="center"/>
          </w:tcPr>
          <w:p w14:paraId="12E162FF">
            <w:pPr>
              <w:spacing w:line="360" w:lineRule="auto"/>
              <w:jc w:val="center"/>
              <w:rPr>
                <w:rFonts w:ascii="宋体" w:hAnsi="宋体"/>
                <w:szCs w:val="21"/>
              </w:rPr>
            </w:pPr>
          </w:p>
        </w:tc>
        <w:tc>
          <w:tcPr>
            <w:tcW w:w="2821" w:type="dxa"/>
            <w:tcBorders>
              <w:top w:val="single" w:color="auto" w:sz="4" w:space="0"/>
              <w:left w:val="single" w:color="auto" w:sz="4" w:space="0"/>
              <w:right w:val="single" w:color="auto" w:sz="4" w:space="0"/>
            </w:tcBorders>
            <w:vAlign w:val="center"/>
          </w:tcPr>
          <w:p w14:paraId="410CAC7A">
            <w:pPr>
              <w:spacing w:line="360" w:lineRule="auto"/>
              <w:rPr>
                <w:rFonts w:ascii="宋体" w:hAnsi="宋体"/>
                <w:bCs/>
                <w:szCs w:val="21"/>
              </w:rPr>
            </w:pPr>
          </w:p>
        </w:tc>
        <w:tc>
          <w:tcPr>
            <w:tcW w:w="2693" w:type="dxa"/>
            <w:tcBorders>
              <w:top w:val="single" w:color="auto" w:sz="4" w:space="0"/>
              <w:left w:val="single" w:color="auto" w:sz="4" w:space="0"/>
              <w:right w:val="single" w:color="auto" w:sz="4" w:space="0"/>
            </w:tcBorders>
            <w:vAlign w:val="center"/>
          </w:tcPr>
          <w:p w14:paraId="7F6D5546">
            <w:pPr>
              <w:spacing w:line="360" w:lineRule="auto"/>
              <w:rPr>
                <w:rFonts w:ascii="宋体" w:hAnsi="宋体"/>
                <w:szCs w:val="21"/>
              </w:rPr>
            </w:pPr>
          </w:p>
        </w:tc>
        <w:tc>
          <w:tcPr>
            <w:tcW w:w="1533" w:type="dxa"/>
            <w:tcBorders>
              <w:top w:val="single" w:color="auto" w:sz="4" w:space="0"/>
              <w:left w:val="single" w:color="auto" w:sz="4" w:space="0"/>
              <w:right w:val="single" w:color="auto" w:sz="4" w:space="0"/>
            </w:tcBorders>
            <w:vAlign w:val="center"/>
          </w:tcPr>
          <w:p w14:paraId="6B8ADB59">
            <w:pPr>
              <w:spacing w:line="360" w:lineRule="auto"/>
              <w:rPr>
                <w:rFonts w:ascii="宋体" w:hAnsi="宋体"/>
                <w:szCs w:val="21"/>
              </w:rPr>
            </w:pPr>
          </w:p>
        </w:tc>
        <w:tc>
          <w:tcPr>
            <w:tcW w:w="1302" w:type="dxa"/>
            <w:tcBorders>
              <w:top w:val="single" w:color="auto" w:sz="4" w:space="0"/>
              <w:left w:val="single" w:color="auto" w:sz="4" w:space="0"/>
            </w:tcBorders>
            <w:vAlign w:val="center"/>
          </w:tcPr>
          <w:p w14:paraId="29E1EF45">
            <w:pPr>
              <w:spacing w:line="360" w:lineRule="auto"/>
              <w:rPr>
                <w:rFonts w:ascii="宋体" w:hAnsi="宋体"/>
                <w:szCs w:val="21"/>
              </w:rPr>
            </w:pPr>
          </w:p>
        </w:tc>
      </w:tr>
      <w:tr w14:paraId="3106FF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5912E38C">
            <w:pPr>
              <w:spacing w:line="360" w:lineRule="auto"/>
              <w:jc w:val="center"/>
              <w:rPr>
                <w:rFonts w:ascii="宋体" w:hAnsi="宋体"/>
                <w:szCs w:val="21"/>
              </w:rPr>
            </w:pPr>
          </w:p>
        </w:tc>
        <w:tc>
          <w:tcPr>
            <w:tcW w:w="2821" w:type="dxa"/>
            <w:tcBorders>
              <w:top w:val="single" w:color="auto" w:sz="4" w:space="0"/>
              <w:left w:val="single" w:color="auto" w:sz="4" w:space="0"/>
              <w:right w:val="single" w:color="auto" w:sz="4" w:space="0"/>
            </w:tcBorders>
            <w:vAlign w:val="center"/>
          </w:tcPr>
          <w:p w14:paraId="08BEC261">
            <w:pPr>
              <w:spacing w:line="360" w:lineRule="auto"/>
              <w:rPr>
                <w:rFonts w:ascii="宋体" w:hAnsi="宋体"/>
                <w:bCs/>
                <w:szCs w:val="21"/>
              </w:rPr>
            </w:pPr>
          </w:p>
        </w:tc>
        <w:tc>
          <w:tcPr>
            <w:tcW w:w="2693" w:type="dxa"/>
            <w:tcBorders>
              <w:top w:val="single" w:color="auto" w:sz="4" w:space="0"/>
              <w:left w:val="single" w:color="auto" w:sz="4" w:space="0"/>
              <w:right w:val="single" w:color="auto" w:sz="4" w:space="0"/>
            </w:tcBorders>
            <w:vAlign w:val="center"/>
          </w:tcPr>
          <w:p w14:paraId="60669EE3">
            <w:pPr>
              <w:spacing w:line="360" w:lineRule="auto"/>
              <w:rPr>
                <w:rFonts w:ascii="宋体" w:hAnsi="宋体"/>
                <w:szCs w:val="21"/>
              </w:rPr>
            </w:pPr>
          </w:p>
        </w:tc>
        <w:tc>
          <w:tcPr>
            <w:tcW w:w="1533" w:type="dxa"/>
            <w:tcBorders>
              <w:top w:val="single" w:color="auto" w:sz="4" w:space="0"/>
              <w:left w:val="single" w:color="auto" w:sz="4" w:space="0"/>
              <w:right w:val="single" w:color="auto" w:sz="4" w:space="0"/>
            </w:tcBorders>
            <w:vAlign w:val="center"/>
          </w:tcPr>
          <w:p w14:paraId="3F16BB47">
            <w:pPr>
              <w:spacing w:line="360" w:lineRule="auto"/>
              <w:rPr>
                <w:rFonts w:ascii="宋体" w:hAnsi="宋体"/>
                <w:szCs w:val="21"/>
              </w:rPr>
            </w:pPr>
          </w:p>
        </w:tc>
        <w:tc>
          <w:tcPr>
            <w:tcW w:w="1302" w:type="dxa"/>
            <w:tcBorders>
              <w:top w:val="single" w:color="auto" w:sz="4" w:space="0"/>
              <w:left w:val="single" w:color="auto" w:sz="4" w:space="0"/>
            </w:tcBorders>
            <w:vAlign w:val="center"/>
          </w:tcPr>
          <w:p w14:paraId="2E0236CF">
            <w:pPr>
              <w:spacing w:line="360" w:lineRule="auto"/>
              <w:rPr>
                <w:rFonts w:ascii="宋体" w:hAnsi="宋体"/>
                <w:szCs w:val="21"/>
              </w:rPr>
            </w:pPr>
          </w:p>
        </w:tc>
      </w:tr>
      <w:tr w14:paraId="5415EC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15" w:hRule="atLeast"/>
        </w:trPr>
        <w:tc>
          <w:tcPr>
            <w:tcW w:w="723" w:type="dxa"/>
            <w:tcBorders>
              <w:top w:val="single" w:color="auto" w:sz="4" w:space="0"/>
              <w:right w:val="single" w:color="auto" w:sz="4" w:space="0"/>
            </w:tcBorders>
            <w:vAlign w:val="center"/>
          </w:tcPr>
          <w:p w14:paraId="70E10186">
            <w:pPr>
              <w:spacing w:line="360" w:lineRule="auto"/>
              <w:jc w:val="center"/>
              <w:rPr>
                <w:rFonts w:ascii="宋体" w:hAnsi="宋体"/>
                <w:szCs w:val="21"/>
              </w:rPr>
            </w:pPr>
          </w:p>
        </w:tc>
        <w:tc>
          <w:tcPr>
            <w:tcW w:w="2821" w:type="dxa"/>
            <w:tcBorders>
              <w:top w:val="single" w:color="auto" w:sz="4" w:space="0"/>
              <w:left w:val="single" w:color="auto" w:sz="4" w:space="0"/>
              <w:right w:val="single" w:color="auto" w:sz="4" w:space="0"/>
            </w:tcBorders>
            <w:vAlign w:val="center"/>
          </w:tcPr>
          <w:p w14:paraId="5E416F9C">
            <w:pPr>
              <w:spacing w:line="360" w:lineRule="auto"/>
              <w:rPr>
                <w:rFonts w:ascii="宋体" w:hAnsi="宋体"/>
                <w:szCs w:val="21"/>
              </w:rPr>
            </w:pPr>
          </w:p>
        </w:tc>
        <w:tc>
          <w:tcPr>
            <w:tcW w:w="2693" w:type="dxa"/>
            <w:tcBorders>
              <w:top w:val="single" w:color="auto" w:sz="4" w:space="0"/>
              <w:left w:val="single" w:color="auto" w:sz="4" w:space="0"/>
              <w:right w:val="single" w:color="auto" w:sz="4" w:space="0"/>
            </w:tcBorders>
            <w:vAlign w:val="center"/>
          </w:tcPr>
          <w:p w14:paraId="7A72CDB8">
            <w:pPr>
              <w:spacing w:line="360" w:lineRule="auto"/>
              <w:rPr>
                <w:rFonts w:ascii="宋体" w:hAnsi="宋体"/>
                <w:szCs w:val="21"/>
              </w:rPr>
            </w:pPr>
          </w:p>
        </w:tc>
        <w:tc>
          <w:tcPr>
            <w:tcW w:w="1533" w:type="dxa"/>
            <w:tcBorders>
              <w:top w:val="single" w:color="auto" w:sz="4" w:space="0"/>
              <w:left w:val="single" w:color="auto" w:sz="4" w:space="0"/>
              <w:right w:val="single" w:color="auto" w:sz="4" w:space="0"/>
            </w:tcBorders>
            <w:vAlign w:val="center"/>
          </w:tcPr>
          <w:p w14:paraId="3C8F435E">
            <w:pPr>
              <w:spacing w:line="360" w:lineRule="auto"/>
              <w:rPr>
                <w:rFonts w:ascii="宋体" w:hAnsi="宋体"/>
                <w:szCs w:val="21"/>
              </w:rPr>
            </w:pPr>
          </w:p>
        </w:tc>
        <w:tc>
          <w:tcPr>
            <w:tcW w:w="1302" w:type="dxa"/>
            <w:tcBorders>
              <w:top w:val="single" w:color="auto" w:sz="4" w:space="0"/>
              <w:left w:val="single" w:color="auto" w:sz="4" w:space="0"/>
            </w:tcBorders>
            <w:vAlign w:val="center"/>
          </w:tcPr>
          <w:p w14:paraId="4F77B0B1">
            <w:pPr>
              <w:spacing w:line="360" w:lineRule="auto"/>
              <w:rPr>
                <w:rFonts w:ascii="宋体" w:hAnsi="宋体"/>
                <w:szCs w:val="21"/>
              </w:rPr>
            </w:pPr>
          </w:p>
        </w:tc>
      </w:tr>
    </w:tbl>
    <w:p w14:paraId="7DDCA7A6">
      <w:pPr>
        <w:spacing w:line="360" w:lineRule="auto"/>
        <w:ind w:firstLine="420" w:firstLineChars="200"/>
        <w:rPr>
          <w:rFonts w:ascii="宋体" w:hAnsi="宋体"/>
          <w:szCs w:val="21"/>
        </w:rPr>
      </w:pPr>
    </w:p>
    <w:p w14:paraId="5DB185EA">
      <w:pPr>
        <w:spacing w:line="360" w:lineRule="auto"/>
        <w:ind w:firstLine="420" w:firstLineChars="200"/>
        <w:rPr>
          <w:rFonts w:ascii="宋体" w:hAnsi="宋体"/>
          <w:szCs w:val="21"/>
        </w:rPr>
      </w:pPr>
      <w:r>
        <w:rPr>
          <w:rFonts w:hint="eastAsia" w:ascii="宋体" w:hAnsi="宋体"/>
          <w:szCs w:val="21"/>
        </w:rPr>
        <w:t>备注：</w:t>
      </w:r>
    </w:p>
    <w:p w14:paraId="26E626D1">
      <w:pPr>
        <w:spacing w:line="360" w:lineRule="auto"/>
        <w:ind w:firstLine="420" w:firstLineChars="200"/>
        <w:rPr>
          <w:rFonts w:ascii="宋体" w:hAnsi="宋体"/>
          <w:szCs w:val="21"/>
        </w:rPr>
      </w:pPr>
      <w:r>
        <w:rPr>
          <w:rFonts w:hint="eastAsia" w:ascii="宋体" w:hAnsi="宋体"/>
          <w:szCs w:val="21"/>
        </w:rPr>
        <w:t>（1）投标人应秉持诚实守信的原则，</w:t>
      </w:r>
      <w:r>
        <w:rPr>
          <w:rFonts w:ascii="宋体" w:hAnsi="宋体"/>
          <w:szCs w:val="21"/>
        </w:rPr>
        <w:t>对包括</w:t>
      </w:r>
      <w:r>
        <w:rPr>
          <w:rFonts w:hint="eastAsia" w:ascii="宋体" w:hAnsi="宋体"/>
          <w:b/>
          <w:bCs/>
          <w:szCs w:val="21"/>
        </w:rPr>
        <w:t>商务要求、</w:t>
      </w:r>
      <w:r>
        <w:rPr>
          <w:rFonts w:ascii="宋体" w:hAnsi="宋体"/>
          <w:b/>
          <w:bCs/>
          <w:szCs w:val="21"/>
        </w:rPr>
        <w:t>合同条款等</w:t>
      </w:r>
      <w:r>
        <w:rPr>
          <w:rFonts w:ascii="宋体" w:hAnsi="宋体"/>
          <w:szCs w:val="21"/>
        </w:rPr>
        <w:t>商务条款的响应有任何偏离，请在本表中详细填写。如不列出，则视为</w:t>
      </w:r>
      <w:r>
        <w:rPr>
          <w:rFonts w:hint="eastAsia" w:ascii="宋体" w:hAnsi="宋体"/>
          <w:szCs w:val="21"/>
        </w:rPr>
        <w:t>供应商</w:t>
      </w:r>
      <w:r>
        <w:rPr>
          <w:rFonts w:ascii="宋体" w:hAnsi="宋体"/>
          <w:szCs w:val="21"/>
        </w:rPr>
        <w:t>完全同意</w:t>
      </w:r>
      <w:r>
        <w:rPr>
          <w:rFonts w:hint="eastAsia" w:ascii="宋体" w:hAnsi="宋体"/>
          <w:szCs w:val="21"/>
        </w:rPr>
        <w:t>招标</w:t>
      </w:r>
      <w:r>
        <w:rPr>
          <w:rFonts w:ascii="宋体" w:hAnsi="宋体"/>
          <w:szCs w:val="21"/>
        </w:rPr>
        <w:t>文件的商务条款。</w:t>
      </w:r>
    </w:p>
    <w:p w14:paraId="27185735">
      <w:pPr>
        <w:spacing w:line="360" w:lineRule="auto"/>
        <w:ind w:firstLine="420" w:firstLineChars="200"/>
        <w:rPr>
          <w:rFonts w:ascii="宋体" w:hAnsi="宋体"/>
          <w:szCs w:val="21"/>
        </w:rPr>
      </w:pPr>
      <w:r>
        <w:rPr>
          <w:rFonts w:hint="eastAsia" w:ascii="宋体" w:hAnsi="宋体"/>
          <w:bCs/>
          <w:szCs w:val="21"/>
        </w:rPr>
        <w:t>（2）</w:t>
      </w:r>
      <w:r>
        <w:rPr>
          <w:rFonts w:hint="eastAsia" w:ascii="宋体" w:hAnsi="宋体"/>
          <w:b/>
          <w:i/>
          <w:iCs/>
          <w:szCs w:val="21"/>
          <w:u w:val="single"/>
        </w:rPr>
        <w:t>招标</w:t>
      </w:r>
      <w:r>
        <w:rPr>
          <w:rFonts w:hint="eastAsia" w:ascii="宋体" w:hAnsi="宋体"/>
          <w:b/>
          <w:bCs/>
          <w:i/>
          <w:iCs/>
          <w:u w:val="single"/>
        </w:rPr>
        <w:t>文件中标注</w:t>
      </w:r>
      <w:r>
        <w:rPr>
          <w:rFonts w:ascii="宋体" w:hAnsi="宋体"/>
          <w:b/>
          <w:bCs/>
          <w:i/>
          <w:iCs/>
          <w:u w:val="single"/>
        </w:rPr>
        <w:t>“★”</w:t>
      </w:r>
      <w:r>
        <w:rPr>
          <w:rFonts w:hint="eastAsia" w:ascii="宋体" w:hAnsi="宋体"/>
          <w:b/>
          <w:bCs/>
          <w:i/>
          <w:iCs/>
          <w:u w:val="single"/>
        </w:rPr>
        <w:t>的商务要求不允许负偏离将，否则</w:t>
      </w:r>
      <w:r>
        <w:rPr>
          <w:rFonts w:hint="eastAsia" w:ascii="宋体" w:hAnsi="宋体"/>
          <w:b/>
          <w:i/>
          <w:iCs/>
          <w:szCs w:val="21"/>
          <w:u w:val="single"/>
        </w:rPr>
        <w:t>作无效响应处理。</w:t>
      </w:r>
    </w:p>
    <w:p w14:paraId="011B47F3">
      <w:pPr>
        <w:spacing w:line="360" w:lineRule="auto"/>
        <w:ind w:firstLine="420" w:firstLineChars="200"/>
        <w:rPr>
          <w:rFonts w:ascii="宋体" w:hAnsi="宋体"/>
          <w:szCs w:val="21"/>
        </w:rPr>
      </w:pPr>
      <w:r>
        <w:rPr>
          <w:rFonts w:hint="eastAsia" w:ascii="宋体" w:hAnsi="宋体" w:cs="宋体"/>
          <w:szCs w:val="21"/>
        </w:rPr>
        <w:t>（3）如果行数不够，请自行增加。</w:t>
      </w:r>
    </w:p>
    <w:p w14:paraId="639833E9">
      <w:pPr>
        <w:spacing w:line="360" w:lineRule="auto"/>
        <w:ind w:firstLine="420" w:firstLineChars="200"/>
        <w:rPr>
          <w:rFonts w:ascii="宋体" w:hAnsi="宋体"/>
          <w:szCs w:val="21"/>
        </w:rPr>
      </w:pPr>
    </w:p>
    <w:p w14:paraId="25C57137">
      <w:pPr>
        <w:spacing w:line="360" w:lineRule="auto"/>
        <w:ind w:firstLine="420" w:firstLineChars="200"/>
        <w:rPr>
          <w:rFonts w:ascii="宋体" w:hAnsi="宋体"/>
          <w:szCs w:val="21"/>
        </w:rPr>
      </w:pPr>
    </w:p>
    <w:p w14:paraId="7C8D2B68">
      <w:pPr>
        <w:spacing w:line="360" w:lineRule="auto"/>
        <w:ind w:firstLine="420" w:firstLineChars="200"/>
        <w:rPr>
          <w:rFonts w:ascii="宋体" w:hAnsi="宋体"/>
          <w:szCs w:val="21"/>
        </w:rPr>
      </w:pPr>
    </w:p>
    <w:p w14:paraId="4A5AC108">
      <w:pPr>
        <w:spacing w:line="360" w:lineRule="auto"/>
        <w:ind w:firstLine="420" w:firstLineChars="200"/>
        <w:rPr>
          <w:rFonts w:ascii="宋体" w:hAnsi="宋体"/>
          <w:szCs w:val="21"/>
        </w:rPr>
      </w:pPr>
    </w:p>
    <w:p w14:paraId="2C39AA9A">
      <w:pPr>
        <w:spacing w:line="360" w:lineRule="auto"/>
        <w:ind w:firstLine="420" w:firstLineChars="200"/>
        <w:rPr>
          <w:rFonts w:ascii="宋体" w:hAnsi="宋体"/>
          <w:szCs w:val="21"/>
        </w:rPr>
      </w:pPr>
    </w:p>
    <w:p w14:paraId="3CB74F94">
      <w:pPr>
        <w:spacing w:line="360" w:lineRule="auto"/>
        <w:ind w:firstLine="420" w:firstLineChars="200"/>
        <w:rPr>
          <w:rFonts w:ascii="宋体" w:hAnsi="宋体"/>
          <w:szCs w:val="21"/>
        </w:rPr>
      </w:pPr>
    </w:p>
    <w:p w14:paraId="3652469F">
      <w:pPr>
        <w:spacing w:line="360" w:lineRule="auto"/>
        <w:ind w:firstLine="420" w:firstLineChars="200"/>
        <w:rPr>
          <w:rFonts w:ascii="宋体" w:hAnsi="宋体"/>
          <w:szCs w:val="21"/>
        </w:rPr>
      </w:pPr>
    </w:p>
    <w:p w14:paraId="4E5636B5">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2ADAE387">
      <w:pPr>
        <w:spacing w:line="360" w:lineRule="auto"/>
        <w:ind w:firstLine="420" w:firstLineChars="200"/>
        <w:rPr>
          <w:rFonts w:ascii="宋体" w:hAnsi="宋体"/>
          <w:szCs w:val="21"/>
        </w:rPr>
      </w:pPr>
      <w:r>
        <w:rPr>
          <w:rFonts w:hint="eastAsia" w:ascii="宋体" w:hAnsi="宋体"/>
          <w:szCs w:val="21"/>
        </w:rPr>
        <w:t>投标人名称（加盖CA电子公章）：</w:t>
      </w:r>
    </w:p>
    <w:p w14:paraId="757BEF49">
      <w:pPr>
        <w:spacing w:line="360" w:lineRule="auto"/>
        <w:ind w:firstLine="420" w:firstLineChars="200"/>
        <w:rPr>
          <w:rFonts w:ascii="宋体" w:hAnsi="宋体"/>
          <w:szCs w:val="21"/>
        </w:rPr>
      </w:pPr>
      <w:r>
        <w:rPr>
          <w:rFonts w:hint="eastAsia" w:ascii="宋体" w:hAnsi="宋体"/>
          <w:szCs w:val="21"/>
        </w:rPr>
        <w:t>日期：  年   月   日</w:t>
      </w:r>
    </w:p>
    <w:p w14:paraId="2625AC6E">
      <w:pPr>
        <w:widowControl/>
        <w:jc w:val="left"/>
        <w:rPr>
          <w:rFonts w:ascii="宋体" w:hAnsi="宋体"/>
        </w:rPr>
      </w:pPr>
      <w:r>
        <w:rPr>
          <w:rFonts w:hint="eastAsia" w:ascii="宋体" w:hAnsi="宋体"/>
        </w:rPr>
        <w:br w:type="page"/>
      </w:r>
    </w:p>
    <w:p w14:paraId="5E362339">
      <w:pPr>
        <w:pStyle w:val="64"/>
        <w:numPr>
          <w:ilvl w:val="0"/>
          <w:numId w:val="8"/>
        </w:numPr>
        <w:spacing w:after="156" w:afterLines="50" w:line="440" w:lineRule="exact"/>
        <w:ind w:left="567" w:hanging="567" w:firstLineChars="0"/>
        <w:outlineLvl w:val="1"/>
        <w:rPr>
          <w:rFonts w:ascii="宋体" w:hAnsi="宋体" w:cs="Arial"/>
          <w:b/>
          <w:szCs w:val="21"/>
        </w:rPr>
      </w:pPr>
      <w:bookmarkStart w:id="61" w:name="_Toc27948"/>
      <w:r>
        <w:rPr>
          <w:rFonts w:hint="eastAsia" w:ascii="宋体" w:hAnsi="宋体" w:cs="Arial"/>
          <w:b/>
          <w:szCs w:val="21"/>
        </w:rPr>
        <w:t>类似业绩情况一览表</w:t>
      </w:r>
      <w:bookmarkEnd w:id="61"/>
    </w:p>
    <w:p w14:paraId="2A87A8D3"/>
    <w:p w14:paraId="13E1D059">
      <w:pPr>
        <w:rPr>
          <w:rFonts w:ascii="宋体" w:hAnsi="宋体" w:cs="Arial"/>
          <w:b/>
          <w:szCs w:val="21"/>
        </w:rPr>
      </w:pPr>
      <w:r>
        <w:rPr>
          <w:rFonts w:hint="eastAsia" w:ascii="宋体" w:hAnsi="宋体" w:cs="宋体"/>
          <w:b/>
          <w:bCs/>
          <w:sz w:val="24"/>
        </w:rPr>
        <w:t xml:space="preserve">项目名称：                             项目编号：  </w:t>
      </w:r>
      <w:r>
        <w:rPr>
          <w:rFonts w:hint="eastAsia" w:ascii="宋体" w:hAnsi="宋体" w:cs="宋体"/>
          <w:sz w:val="24"/>
        </w:rPr>
        <w:t xml:space="preserve"> </w:t>
      </w:r>
    </w:p>
    <w:tbl>
      <w:tblPr>
        <w:tblStyle w:val="36"/>
        <w:tblW w:w="4998" w:type="pct"/>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9"/>
        <w:gridCol w:w="2224"/>
        <w:gridCol w:w="1938"/>
        <w:gridCol w:w="1234"/>
        <w:gridCol w:w="1253"/>
        <w:gridCol w:w="1860"/>
      </w:tblGrid>
      <w:tr w14:paraId="5EDCD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365" w:type="dxa"/>
            <w:vAlign w:val="center"/>
          </w:tcPr>
          <w:p w14:paraId="60539E96">
            <w:pPr>
              <w:jc w:val="center"/>
              <w:rPr>
                <w:rFonts w:ascii="微软雅黑" w:hAnsi="微软雅黑" w:cs="微软雅黑"/>
                <w:b/>
                <w:bCs/>
                <w:sz w:val="18"/>
                <w:szCs w:val="20"/>
              </w:rPr>
            </w:pPr>
            <w:r>
              <w:rPr>
                <w:rFonts w:hint="eastAsia" w:ascii="微软雅黑" w:hAnsi="微软雅黑" w:cs="微软雅黑"/>
                <w:b/>
                <w:bCs/>
                <w:sz w:val="18"/>
                <w:szCs w:val="20"/>
              </w:rPr>
              <w:t>序号</w:t>
            </w:r>
          </w:p>
        </w:tc>
        <w:tc>
          <w:tcPr>
            <w:tcW w:w="1211" w:type="dxa"/>
            <w:vAlign w:val="center"/>
          </w:tcPr>
          <w:p w14:paraId="12E095E3">
            <w:pPr>
              <w:jc w:val="center"/>
              <w:rPr>
                <w:rFonts w:ascii="微软雅黑" w:hAnsi="微软雅黑" w:cs="微软雅黑"/>
                <w:b/>
                <w:bCs/>
                <w:sz w:val="18"/>
                <w:szCs w:val="20"/>
              </w:rPr>
            </w:pPr>
            <w:r>
              <w:rPr>
                <w:rFonts w:hint="eastAsia" w:ascii="微软雅黑" w:hAnsi="微软雅黑" w:cs="微软雅黑"/>
                <w:b/>
                <w:bCs/>
                <w:sz w:val="18"/>
                <w:szCs w:val="20"/>
              </w:rPr>
              <w:t>业绩名称</w:t>
            </w:r>
          </w:p>
        </w:tc>
        <w:tc>
          <w:tcPr>
            <w:tcW w:w="1055" w:type="dxa"/>
            <w:vAlign w:val="center"/>
          </w:tcPr>
          <w:p w14:paraId="0DF5BD3F">
            <w:pPr>
              <w:jc w:val="center"/>
              <w:rPr>
                <w:rFonts w:ascii="微软雅黑" w:hAnsi="微软雅黑" w:cs="微软雅黑"/>
                <w:b/>
                <w:bCs/>
                <w:sz w:val="18"/>
                <w:szCs w:val="20"/>
              </w:rPr>
            </w:pPr>
            <w:r>
              <w:rPr>
                <w:rFonts w:hint="eastAsia" w:ascii="微软雅黑" w:hAnsi="微软雅黑" w:cs="微软雅黑"/>
                <w:b/>
                <w:bCs/>
                <w:sz w:val="18"/>
                <w:szCs w:val="20"/>
              </w:rPr>
              <w:t>采购单位及联系人、联系方式</w:t>
            </w:r>
          </w:p>
        </w:tc>
        <w:tc>
          <w:tcPr>
            <w:tcW w:w="672" w:type="dxa"/>
          </w:tcPr>
          <w:p w14:paraId="0D8EE519">
            <w:pPr>
              <w:jc w:val="center"/>
              <w:rPr>
                <w:rFonts w:ascii="微软雅黑" w:hAnsi="微软雅黑" w:cs="微软雅黑"/>
                <w:b/>
                <w:bCs/>
                <w:sz w:val="18"/>
                <w:szCs w:val="20"/>
              </w:rPr>
            </w:pPr>
            <w:r>
              <w:rPr>
                <w:rFonts w:hint="eastAsia" w:ascii="微软雅黑" w:hAnsi="微软雅黑" w:cs="微软雅黑"/>
                <w:b/>
                <w:bCs/>
                <w:sz w:val="18"/>
                <w:szCs w:val="20"/>
              </w:rPr>
              <w:t>签订</w:t>
            </w:r>
          </w:p>
          <w:p w14:paraId="750C97C2">
            <w:pPr>
              <w:jc w:val="center"/>
              <w:rPr>
                <w:rFonts w:ascii="微软雅黑" w:hAnsi="微软雅黑" w:cs="微软雅黑"/>
                <w:b/>
                <w:bCs/>
                <w:sz w:val="18"/>
                <w:szCs w:val="20"/>
              </w:rPr>
            </w:pPr>
            <w:r>
              <w:rPr>
                <w:rFonts w:hint="eastAsia" w:ascii="微软雅黑" w:hAnsi="微软雅黑" w:cs="微软雅黑"/>
                <w:b/>
                <w:bCs/>
                <w:sz w:val="18"/>
                <w:szCs w:val="20"/>
              </w:rPr>
              <w:t>时间</w:t>
            </w:r>
          </w:p>
        </w:tc>
        <w:tc>
          <w:tcPr>
            <w:tcW w:w="682" w:type="dxa"/>
            <w:vAlign w:val="center"/>
          </w:tcPr>
          <w:p w14:paraId="2D3C551B">
            <w:pPr>
              <w:jc w:val="center"/>
              <w:rPr>
                <w:rFonts w:ascii="微软雅黑" w:hAnsi="微软雅黑" w:cs="微软雅黑"/>
                <w:b/>
                <w:bCs/>
                <w:sz w:val="18"/>
                <w:szCs w:val="20"/>
              </w:rPr>
            </w:pPr>
            <w:r>
              <w:rPr>
                <w:rFonts w:hint="eastAsia" w:ascii="微软雅黑" w:hAnsi="微软雅黑" w:cs="微软雅黑"/>
                <w:b/>
                <w:bCs/>
                <w:sz w:val="18"/>
                <w:szCs w:val="20"/>
              </w:rPr>
              <w:t>合同金额</w:t>
            </w:r>
          </w:p>
          <w:p w14:paraId="3E32E83C">
            <w:pPr>
              <w:jc w:val="center"/>
              <w:rPr>
                <w:rFonts w:ascii="微软雅黑" w:hAnsi="微软雅黑" w:cs="微软雅黑"/>
                <w:b/>
                <w:bCs/>
                <w:sz w:val="18"/>
                <w:szCs w:val="20"/>
              </w:rPr>
            </w:pPr>
            <w:r>
              <w:rPr>
                <w:rFonts w:hint="eastAsia" w:ascii="微软雅黑" w:hAnsi="微软雅黑" w:cs="微软雅黑"/>
                <w:b/>
                <w:bCs/>
                <w:sz w:val="18"/>
                <w:szCs w:val="20"/>
              </w:rPr>
              <w:t>（万元）</w:t>
            </w:r>
          </w:p>
        </w:tc>
        <w:tc>
          <w:tcPr>
            <w:tcW w:w="1013" w:type="dxa"/>
            <w:vAlign w:val="center"/>
          </w:tcPr>
          <w:p w14:paraId="30E172C0">
            <w:pPr>
              <w:jc w:val="center"/>
              <w:rPr>
                <w:rFonts w:ascii="微软雅黑" w:hAnsi="微软雅黑" w:cs="微软雅黑"/>
                <w:b/>
                <w:bCs/>
                <w:sz w:val="18"/>
                <w:szCs w:val="20"/>
              </w:rPr>
            </w:pPr>
            <w:r>
              <w:rPr>
                <w:rFonts w:hint="eastAsia" w:ascii="微软雅黑" w:hAnsi="微软雅黑" w:cs="微软雅黑"/>
                <w:b/>
                <w:bCs/>
                <w:sz w:val="18"/>
                <w:szCs w:val="20"/>
              </w:rPr>
              <w:t>证明材料</w:t>
            </w:r>
          </w:p>
          <w:p w14:paraId="3F763401">
            <w:pPr>
              <w:jc w:val="center"/>
              <w:rPr>
                <w:rFonts w:ascii="微软雅黑" w:hAnsi="微软雅黑" w:cs="微软雅黑"/>
                <w:b/>
                <w:bCs/>
                <w:sz w:val="18"/>
                <w:szCs w:val="20"/>
              </w:rPr>
            </w:pPr>
            <w:r>
              <w:rPr>
                <w:rFonts w:hint="eastAsia" w:ascii="微软雅黑" w:hAnsi="微软雅黑" w:cs="微软雅黑"/>
                <w:b/>
                <w:bCs/>
                <w:sz w:val="18"/>
                <w:szCs w:val="20"/>
              </w:rPr>
              <w:t>（第几页—第几页）</w:t>
            </w:r>
          </w:p>
        </w:tc>
      </w:tr>
      <w:tr w14:paraId="17242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365" w:type="dxa"/>
            <w:vAlign w:val="center"/>
          </w:tcPr>
          <w:p w14:paraId="20948080">
            <w:pPr>
              <w:rPr>
                <w:rFonts w:ascii="微软雅黑" w:hAnsi="微软雅黑" w:cs="微软雅黑"/>
                <w:sz w:val="18"/>
                <w:szCs w:val="20"/>
              </w:rPr>
            </w:pPr>
          </w:p>
        </w:tc>
        <w:tc>
          <w:tcPr>
            <w:tcW w:w="1211" w:type="dxa"/>
            <w:vAlign w:val="center"/>
          </w:tcPr>
          <w:p w14:paraId="5E6C3C14">
            <w:pPr>
              <w:rPr>
                <w:rFonts w:ascii="微软雅黑" w:hAnsi="微软雅黑" w:cs="微软雅黑"/>
                <w:sz w:val="18"/>
                <w:szCs w:val="20"/>
              </w:rPr>
            </w:pPr>
          </w:p>
        </w:tc>
        <w:tc>
          <w:tcPr>
            <w:tcW w:w="1055" w:type="dxa"/>
            <w:vAlign w:val="center"/>
          </w:tcPr>
          <w:p w14:paraId="0BE79B6F">
            <w:pPr>
              <w:rPr>
                <w:rFonts w:ascii="微软雅黑" w:hAnsi="微软雅黑" w:cs="微软雅黑"/>
                <w:sz w:val="18"/>
                <w:szCs w:val="20"/>
              </w:rPr>
            </w:pPr>
          </w:p>
        </w:tc>
        <w:tc>
          <w:tcPr>
            <w:tcW w:w="672" w:type="dxa"/>
          </w:tcPr>
          <w:p w14:paraId="4CA1FA9F">
            <w:pPr>
              <w:rPr>
                <w:rFonts w:ascii="微软雅黑" w:hAnsi="微软雅黑" w:cs="微软雅黑"/>
                <w:sz w:val="18"/>
                <w:szCs w:val="20"/>
              </w:rPr>
            </w:pPr>
          </w:p>
        </w:tc>
        <w:tc>
          <w:tcPr>
            <w:tcW w:w="682" w:type="dxa"/>
            <w:vAlign w:val="center"/>
          </w:tcPr>
          <w:p w14:paraId="58872263">
            <w:pPr>
              <w:rPr>
                <w:rFonts w:ascii="微软雅黑" w:hAnsi="微软雅黑" w:cs="微软雅黑"/>
                <w:sz w:val="18"/>
                <w:szCs w:val="20"/>
              </w:rPr>
            </w:pPr>
          </w:p>
        </w:tc>
        <w:tc>
          <w:tcPr>
            <w:tcW w:w="1013" w:type="dxa"/>
            <w:vAlign w:val="center"/>
          </w:tcPr>
          <w:p w14:paraId="4296DA2E">
            <w:pPr>
              <w:rPr>
                <w:rFonts w:ascii="微软雅黑" w:hAnsi="微软雅黑" w:cs="微软雅黑"/>
                <w:sz w:val="18"/>
                <w:szCs w:val="20"/>
              </w:rPr>
            </w:pPr>
          </w:p>
        </w:tc>
      </w:tr>
      <w:tr w14:paraId="256DA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365" w:type="dxa"/>
            <w:vAlign w:val="center"/>
          </w:tcPr>
          <w:p w14:paraId="4990D188">
            <w:pPr>
              <w:rPr>
                <w:rFonts w:ascii="微软雅黑" w:hAnsi="微软雅黑" w:cs="微软雅黑"/>
                <w:sz w:val="18"/>
                <w:szCs w:val="20"/>
              </w:rPr>
            </w:pPr>
          </w:p>
        </w:tc>
        <w:tc>
          <w:tcPr>
            <w:tcW w:w="1211" w:type="dxa"/>
            <w:vAlign w:val="center"/>
          </w:tcPr>
          <w:p w14:paraId="4BEE093F">
            <w:pPr>
              <w:rPr>
                <w:rFonts w:ascii="微软雅黑" w:hAnsi="微软雅黑" w:cs="微软雅黑"/>
                <w:sz w:val="18"/>
                <w:szCs w:val="20"/>
              </w:rPr>
            </w:pPr>
          </w:p>
        </w:tc>
        <w:tc>
          <w:tcPr>
            <w:tcW w:w="1055" w:type="dxa"/>
            <w:vAlign w:val="center"/>
          </w:tcPr>
          <w:p w14:paraId="5332F882">
            <w:pPr>
              <w:rPr>
                <w:rFonts w:ascii="微软雅黑" w:hAnsi="微软雅黑" w:cs="微软雅黑"/>
                <w:sz w:val="18"/>
                <w:szCs w:val="20"/>
              </w:rPr>
            </w:pPr>
          </w:p>
        </w:tc>
        <w:tc>
          <w:tcPr>
            <w:tcW w:w="672" w:type="dxa"/>
          </w:tcPr>
          <w:p w14:paraId="2D044D9C">
            <w:pPr>
              <w:rPr>
                <w:rFonts w:ascii="微软雅黑" w:hAnsi="微软雅黑" w:cs="微软雅黑"/>
                <w:sz w:val="18"/>
                <w:szCs w:val="20"/>
              </w:rPr>
            </w:pPr>
          </w:p>
        </w:tc>
        <w:tc>
          <w:tcPr>
            <w:tcW w:w="682" w:type="dxa"/>
            <w:vAlign w:val="center"/>
          </w:tcPr>
          <w:p w14:paraId="54E74332">
            <w:pPr>
              <w:rPr>
                <w:rFonts w:ascii="微软雅黑" w:hAnsi="微软雅黑" w:cs="微软雅黑"/>
                <w:sz w:val="18"/>
                <w:szCs w:val="20"/>
              </w:rPr>
            </w:pPr>
          </w:p>
        </w:tc>
        <w:tc>
          <w:tcPr>
            <w:tcW w:w="1013" w:type="dxa"/>
            <w:vAlign w:val="center"/>
          </w:tcPr>
          <w:p w14:paraId="4A8BA1D5">
            <w:pPr>
              <w:rPr>
                <w:rFonts w:ascii="微软雅黑" w:hAnsi="微软雅黑" w:cs="微软雅黑"/>
                <w:sz w:val="18"/>
                <w:szCs w:val="20"/>
              </w:rPr>
            </w:pPr>
          </w:p>
        </w:tc>
      </w:tr>
      <w:tr w14:paraId="4BE25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365" w:type="dxa"/>
            <w:vAlign w:val="center"/>
          </w:tcPr>
          <w:p w14:paraId="420F1024">
            <w:pPr>
              <w:rPr>
                <w:rFonts w:ascii="微软雅黑" w:hAnsi="微软雅黑" w:cs="微软雅黑"/>
                <w:sz w:val="18"/>
                <w:szCs w:val="20"/>
              </w:rPr>
            </w:pPr>
          </w:p>
        </w:tc>
        <w:tc>
          <w:tcPr>
            <w:tcW w:w="1211" w:type="dxa"/>
            <w:vAlign w:val="center"/>
          </w:tcPr>
          <w:p w14:paraId="32559419">
            <w:pPr>
              <w:rPr>
                <w:rFonts w:ascii="微软雅黑" w:hAnsi="微软雅黑" w:cs="微软雅黑"/>
                <w:sz w:val="18"/>
                <w:szCs w:val="20"/>
              </w:rPr>
            </w:pPr>
          </w:p>
        </w:tc>
        <w:tc>
          <w:tcPr>
            <w:tcW w:w="1055" w:type="dxa"/>
            <w:vAlign w:val="center"/>
          </w:tcPr>
          <w:p w14:paraId="346668F2">
            <w:pPr>
              <w:rPr>
                <w:rFonts w:ascii="微软雅黑" w:hAnsi="微软雅黑" w:cs="微软雅黑"/>
                <w:sz w:val="18"/>
                <w:szCs w:val="20"/>
              </w:rPr>
            </w:pPr>
          </w:p>
        </w:tc>
        <w:tc>
          <w:tcPr>
            <w:tcW w:w="672" w:type="dxa"/>
          </w:tcPr>
          <w:p w14:paraId="45CFFB7E">
            <w:pPr>
              <w:rPr>
                <w:rFonts w:ascii="微软雅黑" w:hAnsi="微软雅黑" w:cs="微软雅黑"/>
                <w:sz w:val="18"/>
                <w:szCs w:val="20"/>
              </w:rPr>
            </w:pPr>
          </w:p>
        </w:tc>
        <w:tc>
          <w:tcPr>
            <w:tcW w:w="682" w:type="dxa"/>
            <w:vAlign w:val="center"/>
          </w:tcPr>
          <w:p w14:paraId="44CC44DF">
            <w:pPr>
              <w:rPr>
                <w:rFonts w:ascii="微软雅黑" w:hAnsi="微软雅黑" w:cs="微软雅黑"/>
                <w:sz w:val="18"/>
                <w:szCs w:val="20"/>
              </w:rPr>
            </w:pPr>
          </w:p>
        </w:tc>
        <w:tc>
          <w:tcPr>
            <w:tcW w:w="1013" w:type="dxa"/>
            <w:vAlign w:val="center"/>
          </w:tcPr>
          <w:p w14:paraId="1253C5D0">
            <w:pPr>
              <w:rPr>
                <w:rFonts w:ascii="微软雅黑" w:hAnsi="微软雅黑" w:cs="微软雅黑"/>
                <w:sz w:val="18"/>
                <w:szCs w:val="20"/>
              </w:rPr>
            </w:pPr>
          </w:p>
        </w:tc>
      </w:tr>
      <w:tr w14:paraId="1ACC3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365" w:type="dxa"/>
            <w:vAlign w:val="center"/>
          </w:tcPr>
          <w:p w14:paraId="71A0164E">
            <w:pPr>
              <w:rPr>
                <w:rFonts w:ascii="微软雅黑" w:hAnsi="微软雅黑" w:cs="微软雅黑"/>
                <w:sz w:val="18"/>
                <w:szCs w:val="20"/>
              </w:rPr>
            </w:pPr>
          </w:p>
        </w:tc>
        <w:tc>
          <w:tcPr>
            <w:tcW w:w="1211" w:type="dxa"/>
            <w:vAlign w:val="center"/>
          </w:tcPr>
          <w:p w14:paraId="0A87D4EE">
            <w:pPr>
              <w:rPr>
                <w:rFonts w:ascii="微软雅黑" w:hAnsi="微软雅黑" w:cs="微软雅黑"/>
                <w:sz w:val="18"/>
                <w:szCs w:val="20"/>
              </w:rPr>
            </w:pPr>
          </w:p>
        </w:tc>
        <w:tc>
          <w:tcPr>
            <w:tcW w:w="1055" w:type="dxa"/>
            <w:vAlign w:val="center"/>
          </w:tcPr>
          <w:p w14:paraId="781AE9B3">
            <w:pPr>
              <w:rPr>
                <w:rFonts w:ascii="微软雅黑" w:hAnsi="微软雅黑" w:cs="微软雅黑"/>
                <w:sz w:val="18"/>
                <w:szCs w:val="20"/>
              </w:rPr>
            </w:pPr>
          </w:p>
        </w:tc>
        <w:tc>
          <w:tcPr>
            <w:tcW w:w="672" w:type="dxa"/>
          </w:tcPr>
          <w:p w14:paraId="00DFA4BE">
            <w:pPr>
              <w:rPr>
                <w:rFonts w:ascii="微软雅黑" w:hAnsi="微软雅黑" w:cs="微软雅黑"/>
                <w:sz w:val="18"/>
                <w:szCs w:val="20"/>
              </w:rPr>
            </w:pPr>
          </w:p>
        </w:tc>
        <w:tc>
          <w:tcPr>
            <w:tcW w:w="682" w:type="dxa"/>
            <w:vAlign w:val="center"/>
          </w:tcPr>
          <w:p w14:paraId="270AA80B">
            <w:pPr>
              <w:rPr>
                <w:rFonts w:ascii="微软雅黑" w:hAnsi="微软雅黑" w:cs="微软雅黑"/>
                <w:sz w:val="18"/>
                <w:szCs w:val="20"/>
              </w:rPr>
            </w:pPr>
          </w:p>
        </w:tc>
        <w:tc>
          <w:tcPr>
            <w:tcW w:w="1013" w:type="dxa"/>
            <w:vAlign w:val="center"/>
          </w:tcPr>
          <w:p w14:paraId="1FB6AC2F">
            <w:pPr>
              <w:rPr>
                <w:rFonts w:ascii="微软雅黑" w:hAnsi="微软雅黑" w:cs="微软雅黑"/>
                <w:sz w:val="18"/>
                <w:szCs w:val="20"/>
              </w:rPr>
            </w:pPr>
          </w:p>
        </w:tc>
      </w:tr>
      <w:tr w14:paraId="50D38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365" w:type="dxa"/>
            <w:vAlign w:val="center"/>
          </w:tcPr>
          <w:p w14:paraId="2E00E54D">
            <w:pPr>
              <w:rPr>
                <w:rFonts w:ascii="微软雅黑" w:hAnsi="微软雅黑" w:cs="微软雅黑"/>
                <w:sz w:val="18"/>
                <w:szCs w:val="20"/>
              </w:rPr>
            </w:pPr>
          </w:p>
        </w:tc>
        <w:tc>
          <w:tcPr>
            <w:tcW w:w="1211" w:type="dxa"/>
            <w:vAlign w:val="center"/>
          </w:tcPr>
          <w:p w14:paraId="5056862F">
            <w:pPr>
              <w:rPr>
                <w:rFonts w:ascii="微软雅黑" w:hAnsi="微软雅黑" w:cs="微软雅黑"/>
                <w:sz w:val="18"/>
                <w:szCs w:val="20"/>
              </w:rPr>
            </w:pPr>
          </w:p>
        </w:tc>
        <w:tc>
          <w:tcPr>
            <w:tcW w:w="1055" w:type="dxa"/>
            <w:vAlign w:val="center"/>
          </w:tcPr>
          <w:p w14:paraId="6B0541FF">
            <w:pPr>
              <w:rPr>
                <w:rFonts w:ascii="微软雅黑" w:hAnsi="微软雅黑" w:cs="微软雅黑"/>
                <w:sz w:val="18"/>
                <w:szCs w:val="20"/>
              </w:rPr>
            </w:pPr>
          </w:p>
        </w:tc>
        <w:tc>
          <w:tcPr>
            <w:tcW w:w="672" w:type="dxa"/>
          </w:tcPr>
          <w:p w14:paraId="16DAB76E">
            <w:pPr>
              <w:rPr>
                <w:rFonts w:ascii="微软雅黑" w:hAnsi="微软雅黑" w:cs="微软雅黑"/>
                <w:sz w:val="18"/>
                <w:szCs w:val="20"/>
              </w:rPr>
            </w:pPr>
          </w:p>
        </w:tc>
        <w:tc>
          <w:tcPr>
            <w:tcW w:w="682" w:type="dxa"/>
            <w:vAlign w:val="center"/>
          </w:tcPr>
          <w:p w14:paraId="58ECA034">
            <w:pPr>
              <w:rPr>
                <w:rFonts w:ascii="微软雅黑" w:hAnsi="微软雅黑" w:cs="微软雅黑"/>
                <w:sz w:val="18"/>
                <w:szCs w:val="20"/>
              </w:rPr>
            </w:pPr>
          </w:p>
        </w:tc>
        <w:tc>
          <w:tcPr>
            <w:tcW w:w="1013" w:type="dxa"/>
            <w:vAlign w:val="center"/>
          </w:tcPr>
          <w:p w14:paraId="3DB79C5A">
            <w:pPr>
              <w:rPr>
                <w:rFonts w:ascii="微软雅黑" w:hAnsi="微软雅黑" w:cs="微软雅黑"/>
                <w:sz w:val="18"/>
                <w:szCs w:val="20"/>
              </w:rPr>
            </w:pPr>
          </w:p>
        </w:tc>
      </w:tr>
    </w:tbl>
    <w:p w14:paraId="3B0B81F4">
      <w:pPr>
        <w:spacing w:line="360" w:lineRule="auto"/>
        <w:rPr>
          <w:rFonts w:ascii="宋体" w:hAnsi="宋体"/>
        </w:rPr>
      </w:pPr>
    </w:p>
    <w:p w14:paraId="44B08AA5">
      <w:r>
        <w:br w:type="page"/>
      </w:r>
    </w:p>
    <w:bookmarkEnd w:id="52"/>
    <w:p w14:paraId="20E945DD">
      <w:pPr>
        <w:pStyle w:val="64"/>
        <w:spacing w:after="156" w:afterLines="50" w:line="440" w:lineRule="exact"/>
        <w:ind w:left="567" w:hanging="567" w:firstLineChars="0"/>
        <w:outlineLvl w:val="1"/>
        <w:rPr>
          <w:rFonts w:ascii="宋体" w:hAnsi="宋体" w:cs="Arial"/>
          <w:b/>
          <w:szCs w:val="21"/>
        </w:rPr>
      </w:pPr>
      <w:bookmarkStart w:id="62" w:name="_Toc4697"/>
      <w:r>
        <w:rPr>
          <w:rFonts w:hint="eastAsia" w:ascii="宋体" w:hAnsi="宋体" w:cs="Arial"/>
          <w:b/>
          <w:szCs w:val="21"/>
        </w:rPr>
        <w:t>七</w:t>
      </w:r>
      <w:r>
        <w:rPr>
          <w:rFonts w:ascii="宋体" w:hAnsi="宋体" w:cs="Arial"/>
          <w:b/>
          <w:szCs w:val="21"/>
        </w:rPr>
        <w:t>、资格证明文件</w:t>
      </w:r>
      <w:bookmarkEnd w:id="62"/>
    </w:p>
    <w:p w14:paraId="4B05FE5F">
      <w:pPr>
        <w:spacing w:line="420" w:lineRule="exact"/>
        <w:ind w:firstLine="420"/>
        <w:rPr>
          <w:rFonts w:ascii="微软雅黑" w:hAnsi="微软雅黑" w:cs="微软雅黑"/>
          <w:szCs w:val="21"/>
        </w:rPr>
      </w:pPr>
      <w:r>
        <w:rPr>
          <w:rFonts w:hint="eastAsia" w:ascii="微软雅黑" w:hAnsi="微软雅黑" w:cs="微软雅黑"/>
          <w:szCs w:val="21"/>
        </w:rPr>
        <w:t>7.1具有独立承担民事责任的能力（提供法人或者其他组织的营业执照复印件）；</w:t>
      </w:r>
    </w:p>
    <w:p w14:paraId="7D4F09EA">
      <w:pPr>
        <w:spacing w:line="420" w:lineRule="exact"/>
        <w:ind w:firstLine="420"/>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7.2具有良好的商业信誉和健全的财务会计制度（提供</w:t>
      </w:r>
      <w:r>
        <w:rPr>
          <w:rFonts w:hint="eastAsia" w:ascii="宋体" w:hAnsi="宋体"/>
          <w:szCs w:val="21"/>
          <w:lang w:val="zh-CN"/>
        </w:rPr>
        <w:t>至投标截止时间前六个月内任一个月份</w:t>
      </w:r>
      <w:r>
        <w:rPr>
          <w:rFonts w:hint="eastAsia" w:ascii="微软雅黑" w:hAnsi="微软雅黑" w:cs="微软雅黑"/>
          <w:szCs w:val="21"/>
        </w:rPr>
        <w:t>的资产负债表和利润表，</w:t>
      </w:r>
      <w:r>
        <w:rPr>
          <w:rFonts w:hint="eastAsia" w:ascii="微软雅黑" w:hAnsi="微软雅黑" w:cs="微软雅黑"/>
          <w:b/>
          <w:bCs/>
          <w:szCs w:val="21"/>
        </w:rPr>
        <w:t>或</w:t>
      </w:r>
      <w:r>
        <w:rPr>
          <w:rFonts w:hint="eastAsia" w:ascii="微软雅黑" w:hAnsi="微软雅黑" w:cs="微软雅黑"/>
          <w:szCs w:val="21"/>
        </w:rPr>
        <w:t>2025年度审计报告（包括报告及报告中所附的完整内容，并由注册会计师签名、盖章以及会计师事务所盖章），</w:t>
      </w:r>
      <w:r>
        <w:rPr>
          <w:rFonts w:hint="eastAsia" w:ascii="微软雅黑" w:hAnsi="微软雅黑" w:cs="微软雅黑"/>
          <w:b/>
          <w:bCs/>
          <w:szCs w:val="21"/>
        </w:rPr>
        <w:t>或</w:t>
      </w:r>
      <w:r>
        <w:rPr>
          <w:rFonts w:hint="eastAsia" w:ascii="微软雅黑" w:hAnsi="微软雅黑" w:cs="微软雅黑"/>
          <w:szCs w:val="21"/>
        </w:rPr>
        <w:t>银行出具的资信证明，</w:t>
      </w:r>
      <w:r>
        <w:rPr>
          <w:rFonts w:hint="eastAsia" w:ascii="微软雅黑" w:hAnsi="微软雅黑" w:cs="微软雅黑"/>
          <w:b/>
          <w:bCs/>
          <w:szCs w:val="21"/>
        </w:rPr>
        <w:t>或</w:t>
      </w:r>
      <w:r>
        <w:rPr>
          <w:rFonts w:hint="eastAsia" w:ascii="微软雅黑" w:hAnsi="微软雅黑" w:cs="微软雅黑"/>
          <w:szCs w:val="21"/>
        </w:rPr>
        <w:t>财政部门认可的专业担保机构出具的投标担保函）；</w:t>
      </w:r>
    </w:p>
    <w:p w14:paraId="0B76942A">
      <w:pPr>
        <w:spacing w:line="420" w:lineRule="exact"/>
        <w:ind w:firstLine="420"/>
        <w:rPr>
          <w:rFonts w:ascii="微软雅黑" w:hAnsi="微软雅黑" w:cs="微软雅黑"/>
          <w:szCs w:val="21"/>
        </w:rPr>
      </w:pPr>
      <w:r>
        <w:rPr>
          <w:rFonts w:hint="eastAsia" w:ascii="微软雅黑" w:hAnsi="微软雅黑" w:cs="微软雅黑"/>
          <w:szCs w:val="21"/>
        </w:rPr>
        <w:t>（法人或者其他组织成立未满一年的可以不提供）</w:t>
      </w:r>
    </w:p>
    <w:p w14:paraId="78A15607">
      <w:pPr>
        <w:spacing w:line="420" w:lineRule="exact"/>
        <w:ind w:firstLine="420"/>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7.3具有履行合同所必需的设备和专业技术能力（根据项目需求提供履行合同所必需的设备和专业技术能力的证明材料或承诺函）；</w:t>
      </w:r>
    </w:p>
    <w:p w14:paraId="2A1D1546">
      <w:pPr>
        <w:spacing w:line="420" w:lineRule="exact"/>
        <w:ind w:firstLine="420"/>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7.4有依法缴纳税收的良好记录（</w:t>
      </w:r>
      <w:r>
        <w:rPr>
          <w:rFonts w:hint="eastAsia" w:ascii="宋体" w:hAnsi="宋体"/>
          <w:szCs w:val="21"/>
          <w:lang w:val="zh-CN"/>
        </w:rPr>
        <w:t>提供至投标截止时间前六个月内任一个月份</w:t>
      </w:r>
      <w:r>
        <w:rPr>
          <w:rFonts w:hint="eastAsia" w:ascii="微软雅黑" w:hAnsi="微软雅黑" w:cs="微软雅黑"/>
          <w:szCs w:val="21"/>
        </w:rPr>
        <w:t>依法缴纳税收的凭据（企业代缴的个人所得税除外）。依法免税的投标供应商，应提供相应文件证明）；</w:t>
      </w:r>
    </w:p>
    <w:p w14:paraId="245E7347">
      <w:pPr>
        <w:spacing w:line="420" w:lineRule="exact"/>
        <w:ind w:firstLine="420"/>
        <w:rPr>
          <w:rFonts w:ascii="微软雅黑" w:hAnsi="微软雅黑" w:cs="微软雅黑"/>
          <w:szCs w:val="21"/>
        </w:rPr>
      </w:pPr>
    </w:p>
    <w:p w14:paraId="1A44B79D">
      <w:pPr>
        <w:spacing w:line="420" w:lineRule="exact"/>
        <w:ind w:firstLine="420"/>
        <w:rPr>
          <w:rFonts w:ascii="微软雅黑" w:hAnsi="微软雅黑" w:cs="微软雅黑"/>
          <w:szCs w:val="21"/>
        </w:rPr>
      </w:pPr>
    </w:p>
    <w:p w14:paraId="58893453">
      <w:pPr>
        <w:spacing w:line="420" w:lineRule="exact"/>
        <w:ind w:firstLine="420"/>
        <w:rPr>
          <w:rFonts w:ascii="微软雅黑" w:hAnsi="微软雅黑" w:cs="微软雅黑"/>
          <w:szCs w:val="21"/>
        </w:rPr>
      </w:pPr>
    </w:p>
    <w:p w14:paraId="6F337144">
      <w:pPr>
        <w:spacing w:line="420" w:lineRule="exact"/>
        <w:ind w:firstLine="420"/>
        <w:rPr>
          <w:rFonts w:ascii="微软雅黑" w:hAnsi="微软雅黑" w:cs="微软雅黑"/>
          <w:szCs w:val="21"/>
        </w:rPr>
      </w:pPr>
    </w:p>
    <w:p w14:paraId="7408ECC8">
      <w:pPr>
        <w:spacing w:line="420" w:lineRule="exact"/>
        <w:ind w:firstLine="420"/>
        <w:rPr>
          <w:rFonts w:ascii="微软雅黑" w:hAnsi="微软雅黑" w:cs="微软雅黑"/>
          <w:szCs w:val="21"/>
        </w:rPr>
      </w:pPr>
    </w:p>
    <w:p w14:paraId="7B0EB8FB">
      <w:pPr>
        <w:spacing w:line="420" w:lineRule="exact"/>
        <w:ind w:firstLine="420"/>
        <w:rPr>
          <w:rFonts w:ascii="微软雅黑" w:hAnsi="微软雅黑" w:cs="微软雅黑"/>
          <w:szCs w:val="21"/>
        </w:rPr>
      </w:pPr>
    </w:p>
    <w:p w14:paraId="0D496348">
      <w:pPr>
        <w:spacing w:line="420" w:lineRule="exact"/>
        <w:ind w:firstLine="420"/>
        <w:rPr>
          <w:rFonts w:ascii="微软雅黑" w:hAnsi="微软雅黑" w:cs="微软雅黑"/>
          <w:szCs w:val="21"/>
        </w:rPr>
      </w:pPr>
    </w:p>
    <w:p w14:paraId="6B673604">
      <w:pPr>
        <w:spacing w:line="420" w:lineRule="exact"/>
        <w:ind w:firstLine="420"/>
        <w:rPr>
          <w:rFonts w:ascii="微软雅黑" w:hAnsi="微软雅黑" w:cs="微软雅黑"/>
          <w:szCs w:val="21"/>
        </w:rPr>
      </w:pPr>
    </w:p>
    <w:p w14:paraId="09E55447">
      <w:pPr>
        <w:spacing w:line="420" w:lineRule="exact"/>
        <w:ind w:firstLine="420"/>
        <w:rPr>
          <w:rFonts w:ascii="微软雅黑" w:hAnsi="微软雅黑" w:cs="微软雅黑"/>
          <w:szCs w:val="21"/>
        </w:rPr>
      </w:pPr>
      <w:r>
        <w:rPr>
          <w:rFonts w:hint="eastAsia" w:ascii="微软雅黑" w:hAnsi="微软雅黑" w:cs="微软雅黑"/>
          <w:szCs w:val="21"/>
        </w:rPr>
        <w:t>有依法缴纳社会保障资金的良好记录（</w:t>
      </w:r>
      <w:r>
        <w:rPr>
          <w:rFonts w:hint="eastAsia" w:ascii="宋体" w:hAnsi="宋体"/>
          <w:szCs w:val="21"/>
          <w:lang w:val="zh-CN"/>
        </w:rPr>
        <w:t>提供至投标截止时间前六个月内任一个月</w:t>
      </w:r>
      <w:r>
        <w:rPr>
          <w:rFonts w:hint="eastAsia" w:ascii="微软雅黑" w:hAnsi="微软雅黑" w:cs="微软雅黑"/>
          <w:szCs w:val="21"/>
        </w:rPr>
        <w:t>份依法缴纳社会保险的凭据（专用收据或社会保险的凭据）。依法不需要缴纳社会保障资金的投标供应商，应提供相应文件证明）；</w:t>
      </w:r>
    </w:p>
    <w:p w14:paraId="288425F9">
      <w:pPr>
        <w:spacing w:line="420" w:lineRule="exact"/>
        <w:ind w:firstLine="420"/>
        <w:rPr>
          <w:rFonts w:ascii="微软雅黑" w:hAnsi="微软雅黑" w:cs="微软雅黑"/>
          <w:szCs w:val="21"/>
        </w:rPr>
      </w:pPr>
    </w:p>
    <w:p w14:paraId="3821E6F1">
      <w:pPr>
        <w:spacing w:line="420" w:lineRule="exact"/>
        <w:ind w:firstLine="420"/>
        <w:rPr>
          <w:rFonts w:ascii="微软雅黑" w:hAnsi="微软雅黑" w:cs="微软雅黑"/>
          <w:szCs w:val="21"/>
        </w:rPr>
      </w:pPr>
    </w:p>
    <w:p w14:paraId="397E5864">
      <w:pPr>
        <w:spacing w:line="420" w:lineRule="exact"/>
        <w:ind w:firstLine="420"/>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7.5参加本次采购活动前三年内（成立时间不足三年的自成立之日起），在经营活动中没有重大违法记录（提供参加本次采购活动前三年内在经营活动中没有重大违法记录的书面声明）；</w:t>
      </w:r>
    </w:p>
    <w:p w14:paraId="50E029B1">
      <w:pPr>
        <w:spacing w:before="159"/>
        <w:jc w:val="center"/>
        <w:rPr>
          <w:rFonts w:ascii="微软雅黑" w:hAnsi="微软雅黑" w:cs="微软雅黑"/>
          <w:b/>
          <w:bCs/>
          <w:sz w:val="24"/>
        </w:rPr>
      </w:pPr>
    </w:p>
    <w:p w14:paraId="1845E28C">
      <w:pPr>
        <w:spacing w:before="159"/>
        <w:jc w:val="center"/>
        <w:rPr>
          <w:rFonts w:ascii="微软雅黑" w:hAnsi="微软雅黑" w:cs="微软雅黑"/>
          <w:b/>
          <w:bCs/>
          <w:sz w:val="24"/>
        </w:rPr>
      </w:pPr>
      <w:r>
        <w:rPr>
          <w:rFonts w:hint="eastAsia" w:ascii="微软雅黑" w:hAnsi="微软雅黑" w:cs="微软雅黑"/>
          <w:b/>
          <w:bCs/>
          <w:sz w:val="24"/>
        </w:rPr>
        <w:t>声明</w:t>
      </w:r>
    </w:p>
    <w:p w14:paraId="0FFCA9BB">
      <w:pPr>
        <w:spacing w:line="360" w:lineRule="auto"/>
        <w:ind w:firstLine="420"/>
        <w:rPr>
          <w:rFonts w:ascii="微软雅黑" w:hAnsi="微软雅黑" w:cs="微软雅黑"/>
          <w:szCs w:val="21"/>
        </w:rPr>
      </w:pPr>
      <w:r>
        <w:rPr>
          <w:rFonts w:hint="eastAsia" w:ascii="微软雅黑" w:hAnsi="微软雅黑" w:cs="微软雅黑"/>
          <w:szCs w:val="21"/>
        </w:rPr>
        <w:t>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p>
    <w:p w14:paraId="5542B0D3">
      <w:pPr>
        <w:spacing w:line="360" w:lineRule="auto"/>
        <w:ind w:firstLine="480"/>
        <w:rPr>
          <w:rFonts w:ascii="微软雅黑" w:hAnsi="微软雅黑" w:cs="微软雅黑"/>
          <w:sz w:val="24"/>
        </w:rPr>
      </w:pPr>
    </w:p>
    <w:p w14:paraId="4000B833">
      <w:pPr>
        <w:spacing w:line="360" w:lineRule="auto"/>
        <w:rPr>
          <w:rFonts w:ascii="微软雅黑" w:hAnsi="微软雅黑" w:cs="微软雅黑"/>
          <w:sz w:val="24"/>
        </w:rPr>
      </w:pPr>
    </w:p>
    <w:p w14:paraId="6A320841">
      <w:pPr>
        <w:pStyle w:val="136"/>
        <w:ind w:left="1260"/>
        <w:rPr>
          <w:rFonts w:ascii="微软雅黑" w:hAnsi="微软雅黑" w:cs="微软雅黑"/>
        </w:rPr>
      </w:pPr>
    </w:p>
    <w:p w14:paraId="5B1E1B41">
      <w:pPr>
        <w:rPr>
          <w:rFonts w:ascii="微软雅黑" w:hAnsi="微软雅黑" w:cs="微软雅黑"/>
        </w:rPr>
      </w:pPr>
    </w:p>
    <w:p w14:paraId="2AD04ADC">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17BEF683">
      <w:pPr>
        <w:spacing w:line="360" w:lineRule="auto"/>
        <w:ind w:firstLine="420" w:firstLineChars="200"/>
        <w:rPr>
          <w:rFonts w:ascii="宋体" w:hAnsi="宋体"/>
          <w:szCs w:val="21"/>
        </w:rPr>
      </w:pPr>
      <w:r>
        <w:rPr>
          <w:rFonts w:hint="eastAsia" w:ascii="宋体" w:hAnsi="宋体"/>
          <w:szCs w:val="21"/>
        </w:rPr>
        <w:t>投标人名称（加盖CA电子公章）：</w:t>
      </w:r>
    </w:p>
    <w:p w14:paraId="6394F7FB">
      <w:pPr>
        <w:spacing w:line="360" w:lineRule="auto"/>
        <w:ind w:firstLine="420" w:firstLineChars="200"/>
        <w:rPr>
          <w:rFonts w:ascii="宋体" w:hAnsi="宋体"/>
          <w:szCs w:val="21"/>
        </w:rPr>
      </w:pPr>
      <w:r>
        <w:rPr>
          <w:rFonts w:hint="eastAsia" w:ascii="宋体" w:hAnsi="宋体"/>
          <w:szCs w:val="21"/>
        </w:rPr>
        <w:t>日期：  年   月   日</w:t>
      </w:r>
    </w:p>
    <w:p w14:paraId="1124B57F">
      <w:pPr>
        <w:pStyle w:val="136"/>
        <w:ind w:left="0"/>
        <w:rPr>
          <w:rFonts w:ascii="微软雅黑" w:hAnsi="微软雅黑" w:cs="微软雅黑"/>
          <w:szCs w:val="21"/>
        </w:rPr>
      </w:pPr>
    </w:p>
    <w:p w14:paraId="7CA9D942">
      <w:pPr>
        <w:pStyle w:val="136"/>
        <w:spacing w:line="400" w:lineRule="exact"/>
        <w:ind w:left="0"/>
        <w:rPr>
          <w:rFonts w:ascii="微软雅黑" w:hAnsi="微软雅黑" w:cs="微软雅黑"/>
          <w:b/>
          <w:bCs/>
          <w:szCs w:val="21"/>
        </w:rPr>
      </w:pPr>
      <w:r>
        <w:rPr>
          <w:rFonts w:hint="eastAsia" w:ascii="微软雅黑" w:hAnsi="微软雅黑" w:cs="微软雅黑"/>
          <w:b/>
          <w:bCs/>
          <w:szCs w:val="21"/>
        </w:rPr>
        <w:t>注：</w:t>
      </w:r>
    </w:p>
    <w:p w14:paraId="5F038DCE">
      <w:pPr>
        <w:pStyle w:val="136"/>
        <w:numPr>
          <w:ilvl w:val="0"/>
          <w:numId w:val="9"/>
        </w:numPr>
        <w:spacing w:line="400" w:lineRule="exact"/>
        <w:rPr>
          <w:rFonts w:ascii="微软雅黑" w:hAnsi="微软雅黑" w:cs="微软雅黑"/>
          <w:b/>
          <w:bCs/>
          <w:spacing w:val="-5"/>
        </w:rPr>
      </w:pPr>
      <w:r>
        <w:rPr>
          <w:rFonts w:hint="eastAsia" w:ascii="微软雅黑" w:hAnsi="微软雅黑" w:cs="微软雅黑"/>
          <w:b/>
          <w:bCs/>
          <w:szCs w:val="21"/>
        </w:rPr>
        <w:t>重大违法记录</w:t>
      </w:r>
      <w:r>
        <w:rPr>
          <w:rFonts w:hint="eastAsia" w:ascii="微软雅黑" w:hAnsi="微软雅黑" w:cs="微软雅黑"/>
          <w:b/>
          <w:bCs/>
          <w:spacing w:val="-5"/>
        </w:rPr>
        <w:t>是指供应商因违法经营受到刑事处罚或者责令停产停业、吊销许可证或者执照、较大数额罚款等行政处罚。</w:t>
      </w:r>
    </w:p>
    <w:p w14:paraId="3623CD70">
      <w:pPr>
        <w:pStyle w:val="136"/>
        <w:spacing w:line="400" w:lineRule="exact"/>
        <w:ind w:left="0"/>
        <w:rPr>
          <w:rFonts w:ascii="微软雅黑" w:hAnsi="微软雅黑" w:cs="微软雅黑"/>
          <w:b/>
          <w:bCs/>
          <w:spacing w:val="-5"/>
        </w:rPr>
      </w:pPr>
      <w:r>
        <w:rPr>
          <w:rFonts w:hint="eastAsia" w:ascii="微软雅黑" w:hAnsi="微软雅黑" w:cs="微软雅黑"/>
          <w:b/>
          <w:bCs/>
          <w:szCs w:val="21"/>
        </w:rPr>
        <w:t>2.较大数额罚款标准参照财库[2022]3号文规定执行，指的是200万元以上数额。</w:t>
      </w:r>
    </w:p>
    <w:p w14:paraId="3F07BD42">
      <w:pPr>
        <w:spacing w:line="420" w:lineRule="exact"/>
        <w:ind w:firstLine="420"/>
        <w:rPr>
          <w:rFonts w:ascii="微软雅黑" w:hAnsi="微软雅黑" w:cs="微软雅黑"/>
          <w:szCs w:val="21"/>
        </w:rPr>
      </w:pPr>
      <w:r>
        <w:rPr>
          <w:rFonts w:hint="eastAsia" w:ascii="微软雅黑" w:hAnsi="微软雅黑" w:cs="微软雅黑"/>
          <w:szCs w:val="21"/>
        </w:rPr>
        <w:br w:type="page" w:clear="all"/>
      </w:r>
      <w:r>
        <w:rPr>
          <w:rFonts w:hint="eastAsia" w:ascii="微软雅黑" w:hAnsi="微软雅黑" w:cs="微软雅黑"/>
          <w:szCs w:val="21"/>
        </w:rPr>
        <w:t>7.6投标供应商须提供法定代表人授权书原件复印件、法定代表人身份证复印件、授权代表身份证复印件（如果是法定代表人直接参与投标的可以不提供授权书）。</w:t>
      </w:r>
    </w:p>
    <w:p w14:paraId="7C329538">
      <w:bookmarkStart w:id="63" w:name="_Toc19968"/>
      <w:bookmarkStart w:id="64" w:name="_Toc8288"/>
      <w:bookmarkStart w:id="65" w:name="_Toc21386"/>
      <w:bookmarkStart w:id="66" w:name="_Toc15819"/>
      <w:bookmarkStart w:id="67" w:name="_Toc26667"/>
      <w:bookmarkStart w:id="68" w:name="_Toc24739"/>
      <w:bookmarkStart w:id="69" w:name="_Toc23461"/>
      <w:bookmarkStart w:id="70" w:name="_Toc24232"/>
      <w:bookmarkStart w:id="71" w:name="_Toc7458"/>
    </w:p>
    <w:p w14:paraId="7098A7BE"/>
    <w:bookmarkEnd w:id="63"/>
    <w:bookmarkEnd w:id="64"/>
    <w:bookmarkEnd w:id="65"/>
    <w:bookmarkEnd w:id="66"/>
    <w:bookmarkEnd w:id="67"/>
    <w:bookmarkEnd w:id="68"/>
    <w:bookmarkEnd w:id="69"/>
    <w:bookmarkEnd w:id="70"/>
    <w:bookmarkEnd w:id="71"/>
    <w:p w14:paraId="7DC90641">
      <w:pPr>
        <w:jc w:val="center"/>
        <w:rPr>
          <w:b/>
          <w:bCs/>
          <w:sz w:val="24"/>
          <w:szCs w:val="32"/>
          <w:lang w:val="zh-CN"/>
        </w:rPr>
      </w:pPr>
      <w:r>
        <w:rPr>
          <w:rFonts w:hint="eastAsia"/>
          <w:b/>
          <w:bCs/>
          <w:sz w:val="24"/>
          <w:szCs w:val="32"/>
          <w:lang w:val="zh-CN"/>
        </w:rPr>
        <w:t>法定代表人授权委托书</w:t>
      </w:r>
    </w:p>
    <w:p w14:paraId="3EEA967E">
      <w:pPr>
        <w:jc w:val="center"/>
        <w:rPr>
          <w:b/>
          <w:bCs/>
          <w:sz w:val="24"/>
          <w:szCs w:val="32"/>
        </w:rPr>
      </w:pPr>
    </w:p>
    <w:p w14:paraId="3109C432">
      <w:pPr>
        <w:jc w:val="center"/>
        <w:rPr>
          <w:b/>
          <w:bCs/>
          <w:sz w:val="24"/>
          <w:szCs w:val="32"/>
        </w:rPr>
      </w:pPr>
    </w:p>
    <w:p w14:paraId="59F87C3F">
      <w:pPr>
        <w:spacing w:line="440" w:lineRule="exact"/>
        <w:rPr>
          <w:rFonts w:ascii="微软雅黑" w:hAnsi="微软雅黑" w:cs="微软雅黑"/>
        </w:rPr>
      </w:pPr>
      <w:r>
        <w:rPr>
          <w:rFonts w:hint="eastAsia" w:ascii="微软雅黑" w:hAnsi="微软雅黑" w:cs="微软雅黑"/>
        </w:rPr>
        <w:t>江苏汉唐国际贸易集团有限公司：</w:t>
      </w:r>
    </w:p>
    <w:p w14:paraId="589BF48E">
      <w:pPr>
        <w:spacing w:line="440" w:lineRule="exact"/>
        <w:rPr>
          <w:rFonts w:ascii="微软雅黑" w:hAnsi="微软雅黑" w:cs="微软雅黑"/>
        </w:rPr>
      </w:pPr>
      <w:r>
        <w:rPr>
          <w:rFonts w:hint="eastAsia" w:ascii="微软雅黑" w:hAnsi="微软雅黑" w:cs="微软雅黑"/>
        </w:rPr>
        <w:t>本授权书宣告：</w:t>
      </w:r>
    </w:p>
    <w:p w14:paraId="5012FDE6">
      <w:pPr>
        <w:spacing w:line="440" w:lineRule="exact"/>
        <w:ind w:firstLine="420"/>
        <w:rPr>
          <w:rFonts w:ascii="微软雅黑" w:hAnsi="微软雅黑" w:cs="微软雅黑"/>
        </w:rPr>
      </w:pPr>
      <w:r>
        <w:rPr>
          <w:rFonts w:hint="eastAsia" w:ascii="微软雅黑" w:hAnsi="微软雅黑" w:cs="微软雅黑"/>
        </w:rPr>
        <w:t>委托单位：</w:t>
      </w:r>
    </w:p>
    <w:p w14:paraId="7C3EFDCD">
      <w:pPr>
        <w:spacing w:line="440" w:lineRule="exact"/>
        <w:ind w:firstLine="420"/>
        <w:rPr>
          <w:rFonts w:ascii="微软雅黑" w:hAnsi="微软雅黑" w:cs="微软雅黑"/>
        </w:rPr>
      </w:pPr>
      <w:r>
        <w:rPr>
          <w:rFonts w:hint="eastAsia" w:ascii="微软雅黑" w:hAnsi="微软雅黑" w:cs="微软雅黑"/>
        </w:rPr>
        <w:t>地址：法定代表人：</w:t>
      </w:r>
    </w:p>
    <w:p w14:paraId="42F752CD">
      <w:pPr>
        <w:spacing w:line="440" w:lineRule="exact"/>
        <w:ind w:firstLine="420"/>
        <w:rPr>
          <w:rFonts w:ascii="微软雅黑" w:hAnsi="微软雅黑" w:cs="微软雅黑"/>
          <w:u w:val="single"/>
        </w:rPr>
      </w:pPr>
      <w:r>
        <w:rPr>
          <w:rFonts w:hint="eastAsia" w:ascii="微软雅黑" w:hAnsi="微软雅黑" w:cs="微软雅黑"/>
        </w:rPr>
        <w:t xml:space="preserve">受托人：姓名性别：出生日期：   </w:t>
      </w:r>
      <w:r>
        <w:rPr>
          <w:rFonts w:hint="eastAsia" w:ascii="微软雅黑" w:hAnsi="微软雅黑" w:cs="微软雅黑"/>
          <w:u w:val="single"/>
        </w:rPr>
        <w:t>年   月    日</w:t>
      </w:r>
    </w:p>
    <w:p w14:paraId="3A03ACCC">
      <w:pPr>
        <w:spacing w:line="440" w:lineRule="exact"/>
        <w:ind w:firstLine="420"/>
        <w:rPr>
          <w:rFonts w:ascii="微软雅黑" w:hAnsi="微软雅黑" w:cs="微软雅黑"/>
          <w:u w:val="single"/>
        </w:rPr>
      </w:pPr>
      <w:r>
        <w:rPr>
          <w:rFonts w:hint="eastAsia" w:ascii="微软雅黑" w:hAnsi="微软雅黑" w:cs="微软雅黑"/>
        </w:rPr>
        <w:t>所在单位：职务：</w:t>
      </w:r>
    </w:p>
    <w:p w14:paraId="61236B24">
      <w:pPr>
        <w:spacing w:line="440" w:lineRule="exact"/>
        <w:ind w:firstLine="420"/>
        <w:rPr>
          <w:rFonts w:ascii="微软雅黑" w:hAnsi="微软雅黑" w:cs="微软雅黑"/>
          <w:u w:val="single"/>
        </w:rPr>
      </w:pPr>
      <w:r>
        <w:rPr>
          <w:rFonts w:hint="eastAsia" w:ascii="微软雅黑" w:hAnsi="微软雅黑" w:cs="微软雅黑"/>
        </w:rPr>
        <w:t>身份证：联系方式：</w:t>
      </w:r>
    </w:p>
    <w:p w14:paraId="20A125C0">
      <w:pPr>
        <w:spacing w:line="440" w:lineRule="exact"/>
        <w:ind w:firstLine="420"/>
        <w:rPr>
          <w:rFonts w:ascii="微软雅黑" w:hAnsi="微软雅黑" w:cs="微软雅黑"/>
        </w:rPr>
      </w:pPr>
      <w:r>
        <w:rPr>
          <w:rFonts w:hint="eastAsia" w:ascii="微软雅黑" w:hAnsi="微软雅黑" w:cs="微软雅黑"/>
        </w:rPr>
        <w:t>兹委托受托人合法地代表我单位参加江苏汉唐国际贸易集团有限公司组织的项目名称：（项目编号为：）的采购活动，受托人有权在该投标活动中，以我单位的名义签署投标书和投标文件，与招标代理机构协商、澄清、解释并执行一切与此有关的事项。</w:t>
      </w:r>
    </w:p>
    <w:p w14:paraId="0226BF2E">
      <w:pPr>
        <w:spacing w:line="440" w:lineRule="exact"/>
        <w:ind w:firstLine="420"/>
        <w:rPr>
          <w:rFonts w:ascii="微软雅黑" w:hAnsi="微软雅黑" w:cs="微软雅黑"/>
        </w:rPr>
      </w:pPr>
      <w:r>
        <w:rPr>
          <w:rFonts w:hint="eastAsia" w:ascii="微软雅黑" w:hAnsi="微软雅黑" w:cs="微软雅黑"/>
        </w:rPr>
        <w:t>受托人在办理上述事宜过程中以其自己的名义所签署的所有文件我均予以承认。受托人无转委托权。</w:t>
      </w:r>
    </w:p>
    <w:p w14:paraId="3403AA94">
      <w:pPr>
        <w:spacing w:line="440" w:lineRule="exact"/>
        <w:ind w:firstLine="420"/>
        <w:rPr>
          <w:rFonts w:ascii="微软雅黑" w:hAnsi="微软雅黑" w:cs="微软雅黑"/>
        </w:rPr>
      </w:pPr>
      <w:r>
        <w:rPr>
          <w:rFonts w:hint="eastAsia" w:ascii="微软雅黑" w:hAnsi="微软雅黑" w:cs="微软雅黑"/>
        </w:rPr>
        <w:t>委托期限：至上述事宜处理完毕止。</w:t>
      </w:r>
    </w:p>
    <w:p w14:paraId="0545FF51">
      <w:pPr>
        <w:spacing w:line="440" w:lineRule="exact"/>
        <w:rPr>
          <w:rFonts w:ascii="微软雅黑" w:hAnsi="微软雅黑" w:cs="微软雅黑"/>
        </w:rPr>
      </w:pPr>
    </w:p>
    <w:p w14:paraId="79C9F7CC">
      <w:pPr>
        <w:spacing w:line="440" w:lineRule="exact"/>
        <w:rPr>
          <w:rFonts w:ascii="微软雅黑" w:hAnsi="微软雅黑" w:cs="微软雅黑"/>
        </w:rPr>
      </w:pPr>
    </w:p>
    <w:p w14:paraId="363BA4BB">
      <w:pPr>
        <w:spacing w:line="440" w:lineRule="exact"/>
        <w:rPr>
          <w:rFonts w:ascii="微软雅黑" w:hAnsi="微软雅黑" w:cs="微软雅黑"/>
          <w:szCs w:val="21"/>
        </w:rPr>
      </w:pPr>
      <w:r>
        <w:rPr>
          <w:rFonts w:hint="eastAsia" w:ascii="微软雅黑" w:hAnsi="微软雅黑" w:cs="微软雅黑"/>
        </w:rPr>
        <w:t>附：</w:t>
      </w:r>
    </w:p>
    <w:p w14:paraId="5E7A53FE">
      <w:pPr>
        <w:pStyle w:val="59"/>
        <w:tabs>
          <w:tab w:val="left" w:pos="360"/>
        </w:tabs>
        <w:spacing w:after="120"/>
        <w:ind w:firstLine="480"/>
        <w:rPr>
          <w:rFonts w:ascii="微软雅黑" w:hAnsi="微软雅黑" w:cs="微软雅黑"/>
          <w:sz w:val="21"/>
        </w:rPr>
      </w:pPr>
      <w:r>
        <w:rPr>
          <w:rFonts w:hint="eastAsia" w:ascii="微软雅黑" w:hAnsi="微软雅黑" w:cs="微软雅黑"/>
          <w:sz w:val="21"/>
        </w:rPr>
        <w:t>法定代表人及被授权人身份证正反面扫描件：</w:t>
      </w:r>
    </w:p>
    <w:p w14:paraId="3AA4515F">
      <w:pPr>
        <w:spacing w:line="440" w:lineRule="exact"/>
        <w:rPr>
          <w:rFonts w:ascii="微软雅黑" w:hAnsi="微软雅黑" w:cs="微软雅黑"/>
        </w:rPr>
      </w:pPr>
    </w:p>
    <w:p w14:paraId="7300F29E">
      <w:pPr>
        <w:spacing w:line="440" w:lineRule="exact"/>
        <w:rPr>
          <w:rFonts w:ascii="微软雅黑" w:hAnsi="微软雅黑" w:cs="微软雅黑"/>
        </w:rPr>
      </w:pPr>
    </w:p>
    <w:p w14:paraId="51742DF1">
      <w:pPr>
        <w:spacing w:line="440" w:lineRule="exact"/>
        <w:rPr>
          <w:rFonts w:ascii="微软雅黑" w:hAnsi="微软雅黑" w:cs="微软雅黑"/>
        </w:rPr>
      </w:pPr>
    </w:p>
    <w:p w14:paraId="57F24FB5">
      <w:pPr>
        <w:spacing w:line="440" w:lineRule="exact"/>
        <w:ind w:firstLine="420" w:firstLineChars="200"/>
        <w:rPr>
          <w:rFonts w:ascii="微软雅黑" w:hAnsi="微软雅黑" w:cs="微软雅黑"/>
        </w:rPr>
      </w:pPr>
      <w:r>
        <w:rPr>
          <w:rFonts w:hint="eastAsia" w:ascii="微软雅黑" w:hAnsi="微软雅黑" w:cs="微软雅黑"/>
        </w:rPr>
        <w:t>委托单位：（公章）</w:t>
      </w:r>
    </w:p>
    <w:p w14:paraId="65928580">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0F06885C">
      <w:pPr>
        <w:spacing w:line="360" w:lineRule="auto"/>
        <w:ind w:firstLine="420" w:firstLineChars="200"/>
        <w:rPr>
          <w:rFonts w:ascii="宋体" w:hAnsi="宋体"/>
          <w:szCs w:val="21"/>
        </w:rPr>
      </w:pPr>
      <w:r>
        <w:rPr>
          <w:rFonts w:hint="eastAsia" w:ascii="宋体" w:hAnsi="宋体"/>
          <w:szCs w:val="21"/>
        </w:rPr>
        <w:t>投标人名称（加盖CA电子公章）：</w:t>
      </w:r>
    </w:p>
    <w:p w14:paraId="35B29BC4">
      <w:pPr>
        <w:spacing w:line="360" w:lineRule="auto"/>
        <w:ind w:firstLine="420" w:firstLineChars="200"/>
        <w:rPr>
          <w:rFonts w:ascii="宋体" w:hAnsi="宋体"/>
          <w:szCs w:val="21"/>
        </w:rPr>
      </w:pPr>
      <w:r>
        <w:rPr>
          <w:rFonts w:hint="eastAsia" w:ascii="宋体" w:hAnsi="宋体"/>
          <w:szCs w:val="21"/>
        </w:rPr>
        <w:t>日期：  年   月   日</w:t>
      </w:r>
    </w:p>
    <w:p w14:paraId="7616C48D">
      <w:pPr>
        <w:spacing w:line="420" w:lineRule="exact"/>
        <w:rPr>
          <w:rFonts w:ascii="微软雅黑" w:hAnsi="微软雅黑" w:cs="微软雅黑"/>
          <w:sz w:val="18"/>
          <w:szCs w:val="18"/>
        </w:rPr>
      </w:pPr>
    </w:p>
    <w:p w14:paraId="041DE5F7">
      <w:pPr>
        <w:spacing w:line="420" w:lineRule="exact"/>
        <w:rPr>
          <w:rFonts w:ascii="微软雅黑" w:hAnsi="微软雅黑" w:cs="微软雅黑"/>
          <w:b/>
          <w:bCs/>
          <w:szCs w:val="21"/>
        </w:rPr>
      </w:pPr>
      <w:r>
        <w:rPr>
          <w:rFonts w:hint="eastAsia" w:ascii="微软雅黑" w:hAnsi="微软雅黑" w:cs="微软雅黑"/>
          <w:b/>
          <w:bCs/>
          <w:szCs w:val="21"/>
        </w:rPr>
        <w:t>7.7针对接受进口产品投标项目（本项目不适用）</w:t>
      </w:r>
    </w:p>
    <w:p w14:paraId="0167B1CB">
      <w:pPr>
        <w:spacing w:line="420" w:lineRule="exact"/>
        <w:rPr>
          <w:rFonts w:ascii="微软雅黑" w:hAnsi="微软雅黑" w:cs="微软雅黑"/>
          <w:szCs w:val="21"/>
        </w:rPr>
      </w:pPr>
      <w:r>
        <w:rPr>
          <w:rFonts w:hint="eastAsia" w:ascii="微软雅黑" w:hAnsi="微软雅黑" w:cs="微软雅黑"/>
          <w:szCs w:val="21"/>
        </w:rPr>
        <w:t>若投标人是进口设备代理商的，必须提供下列授权文件之一（原件或扫描/复印件）：①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供应商取得的产品代理证书；（注：指产品而非构成产品的零件或部件，本文件所称进口产品是指通过中国海关报关验放进入中国境内且产自关境外的产品）。</w:t>
      </w:r>
    </w:p>
    <w:p w14:paraId="34E03CE3">
      <w:pPr>
        <w:pStyle w:val="14"/>
        <w:ind w:left="1260"/>
      </w:pPr>
    </w:p>
    <w:p w14:paraId="00350861"/>
    <w:p w14:paraId="6003CE70"/>
    <w:p w14:paraId="064A5270">
      <w:pPr>
        <w:rPr>
          <w:rFonts w:ascii="宋体" w:hAnsi="宋体" w:cs="Arial"/>
          <w:b/>
          <w:bCs/>
          <w:szCs w:val="21"/>
          <w:lang w:val="zh-CN"/>
        </w:rPr>
      </w:pPr>
      <w:r>
        <w:rPr>
          <w:rFonts w:hint="eastAsia" w:ascii="宋体" w:hAnsi="宋体" w:cs="Arial"/>
          <w:b/>
          <w:bCs/>
          <w:szCs w:val="21"/>
          <w:lang w:val="zh-CN"/>
        </w:rPr>
        <w:br w:type="page"/>
      </w:r>
    </w:p>
    <w:p w14:paraId="54BBF365">
      <w:pPr>
        <w:pStyle w:val="64"/>
        <w:autoSpaceDE w:val="0"/>
        <w:autoSpaceDN w:val="0"/>
        <w:adjustRightInd w:val="0"/>
        <w:spacing w:line="360" w:lineRule="auto"/>
        <w:ind w:left="425" w:hanging="425" w:firstLineChars="0"/>
        <w:outlineLvl w:val="2"/>
        <w:rPr>
          <w:rFonts w:ascii="宋体" w:hAnsi="宋体" w:cs="Arial"/>
          <w:b/>
          <w:bCs/>
          <w:szCs w:val="21"/>
        </w:rPr>
      </w:pPr>
      <w:bookmarkStart w:id="72" w:name="_Toc14977"/>
      <w:r>
        <w:rPr>
          <w:rFonts w:hint="eastAsia" w:ascii="宋体" w:hAnsi="宋体" w:cs="Arial"/>
          <w:b/>
          <w:bCs/>
          <w:szCs w:val="21"/>
        </w:rPr>
        <w:t>附件1：声明函</w:t>
      </w:r>
      <w:bookmarkEnd w:id="72"/>
    </w:p>
    <w:p w14:paraId="28E379D3">
      <w:pPr>
        <w:jc w:val="center"/>
        <w:rPr>
          <w:b/>
          <w:bCs/>
          <w:sz w:val="24"/>
          <w:szCs w:val="32"/>
        </w:rPr>
      </w:pPr>
      <w:r>
        <w:rPr>
          <w:rFonts w:hint="eastAsia"/>
          <w:b/>
          <w:bCs/>
          <w:sz w:val="24"/>
          <w:szCs w:val="32"/>
        </w:rPr>
        <w:t>声明函</w:t>
      </w:r>
    </w:p>
    <w:p w14:paraId="083EFA7F">
      <w:pPr>
        <w:rPr>
          <w:rFonts w:ascii="宋体" w:hAnsi="宋体" w:cs="宋体"/>
          <w:kern w:val="0"/>
          <w:szCs w:val="21"/>
        </w:rPr>
      </w:pPr>
    </w:p>
    <w:p w14:paraId="4E116534">
      <w:pPr>
        <w:widowControl/>
        <w:spacing w:line="360" w:lineRule="auto"/>
        <w:jc w:val="left"/>
        <w:rPr>
          <w:rFonts w:ascii="宋体" w:hAnsi="宋体" w:cs="宋体"/>
          <w:b/>
          <w:bCs/>
          <w:kern w:val="0"/>
          <w:szCs w:val="21"/>
        </w:rPr>
      </w:pPr>
      <w:r>
        <w:rPr>
          <w:rFonts w:hint="eastAsia" w:ascii="宋体" w:hAnsi="宋体" w:cs="宋体"/>
          <w:b/>
          <w:bCs/>
          <w:kern w:val="0"/>
          <w:szCs w:val="21"/>
        </w:rPr>
        <w:t>致：南京工业大学</w:t>
      </w:r>
    </w:p>
    <w:p w14:paraId="2DA6AABE">
      <w:pPr>
        <w:widowControl/>
        <w:spacing w:line="360" w:lineRule="auto"/>
        <w:ind w:firstLine="420" w:firstLineChars="200"/>
        <w:jc w:val="left"/>
        <w:rPr>
          <w:rFonts w:ascii="宋体" w:hAnsi="宋体" w:cs="宋体"/>
          <w:kern w:val="0"/>
          <w:szCs w:val="21"/>
        </w:rPr>
      </w:pPr>
      <w:r>
        <w:rPr>
          <w:rFonts w:ascii="宋体" w:hAnsi="宋体" w:cs="宋体"/>
          <w:kern w:val="0"/>
          <w:szCs w:val="21"/>
        </w:rPr>
        <w:t>我单位未组成联合体</w:t>
      </w:r>
      <w:r>
        <w:rPr>
          <w:rFonts w:hint="eastAsia" w:ascii="宋体" w:hAnsi="宋体" w:cs="宋体"/>
          <w:kern w:val="0"/>
          <w:szCs w:val="21"/>
        </w:rPr>
        <w:t>参加本次投标</w:t>
      </w:r>
      <w:r>
        <w:rPr>
          <w:rFonts w:ascii="宋体" w:hAnsi="宋体" w:cs="宋体"/>
          <w:kern w:val="0"/>
          <w:szCs w:val="21"/>
        </w:rPr>
        <w:t xml:space="preserve">。 </w:t>
      </w:r>
    </w:p>
    <w:p w14:paraId="2F0DB1A4">
      <w:pPr>
        <w:widowControl/>
        <w:spacing w:line="360" w:lineRule="auto"/>
        <w:ind w:firstLine="420" w:firstLineChars="200"/>
        <w:jc w:val="left"/>
        <w:rPr>
          <w:rFonts w:ascii="宋体" w:hAnsi="宋体" w:cs="宋体"/>
          <w:kern w:val="0"/>
          <w:szCs w:val="21"/>
        </w:rPr>
      </w:pPr>
      <w:r>
        <w:rPr>
          <w:rFonts w:ascii="宋体" w:hAnsi="宋体" w:cs="宋体"/>
          <w:kern w:val="0"/>
          <w:szCs w:val="21"/>
        </w:rPr>
        <w:t>我单位负责人</w:t>
      </w:r>
      <w:r>
        <w:rPr>
          <w:rFonts w:ascii="宋体" w:hAnsi="宋体" w:cs="宋体"/>
          <w:kern w:val="0"/>
          <w:szCs w:val="21"/>
          <w:u w:val="single"/>
        </w:rPr>
        <w:t xml:space="preserve"> （负责人姓名、身份证号）</w:t>
      </w:r>
      <w:r>
        <w:rPr>
          <w:rFonts w:ascii="宋体" w:hAnsi="宋体" w:cs="宋体"/>
          <w:kern w:val="0"/>
          <w:szCs w:val="21"/>
        </w:rPr>
        <w:t>，与我单位存在直接控股、管理关系的单位为</w:t>
      </w:r>
      <w:r>
        <w:rPr>
          <w:rFonts w:ascii="宋体" w:hAnsi="宋体" w:cs="宋体"/>
          <w:kern w:val="0"/>
          <w:szCs w:val="21"/>
          <w:u w:val="single"/>
        </w:rPr>
        <w:t xml:space="preserve"> （单位名称）</w:t>
      </w:r>
      <w:r>
        <w:rPr>
          <w:rFonts w:ascii="宋体" w:hAnsi="宋体" w:cs="宋体"/>
          <w:kern w:val="0"/>
          <w:szCs w:val="21"/>
        </w:rPr>
        <w:t>，不存在与我单位负责人为同一人或者存在直接控股、管理</w:t>
      </w:r>
      <w:r>
        <w:rPr>
          <w:rFonts w:hint="eastAsia" w:ascii="宋体" w:hAnsi="宋体" w:cs="宋体"/>
          <w:kern w:val="0"/>
          <w:szCs w:val="21"/>
        </w:rPr>
        <w:t>关系</w:t>
      </w:r>
      <w:r>
        <w:rPr>
          <w:rFonts w:ascii="宋体" w:hAnsi="宋体" w:cs="宋体"/>
          <w:kern w:val="0"/>
          <w:szCs w:val="21"/>
        </w:rPr>
        <w:t>的不同供应商同时参加本项目</w:t>
      </w:r>
      <w:r>
        <w:rPr>
          <w:rFonts w:hint="eastAsia" w:ascii="宋体" w:hAnsi="宋体" w:cs="宋体"/>
          <w:kern w:val="0"/>
          <w:szCs w:val="21"/>
        </w:rPr>
        <w:t>招标</w:t>
      </w:r>
      <w:r>
        <w:rPr>
          <w:rFonts w:ascii="宋体" w:hAnsi="宋体" w:cs="宋体"/>
          <w:kern w:val="0"/>
          <w:szCs w:val="21"/>
        </w:rPr>
        <w:t xml:space="preserve">的情形。 </w:t>
      </w:r>
    </w:p>
    <w:p w14:paraId="2121D30C">
      <w:pPr>
        <w:widowControl/>
        <w:spacing w:line="360" w:lineRule="auto"/>
        <w:ind w:firstLine="420" w:firstLineChars="200"/>
        <w:jc w:val="left"/>
        <w:rPr>
          <w:rFonts w:ascii="宋体" w:hAnsi="宋体" w:cs="宋体"/>
          <w:kern w:val="0"/>
          <w:szCs w:val="21"/>
        </w:rPr>
      </w:pPr>
      <w:r>
        <w:rPr>
          <w:rFonts w:ascii="宋体" w:hAnsi="宋体" w:cs="宋体"/>
          <w:kern w:val="0"/>
          <w:szCs w:val="21"/>
        </w:rPr>
        <w:t>我单位不属于为采购项目提供整体设计、规范编制或者项目管理、监理、检测等服务的情形</w:t>
      </w:r>
      <w:r>
        <w:rPr>
          <w:rFonts w:hint="eastAsia" w:ascii="宋体" w:hAnsi="宋体" w:cs="宋体"/>
          <w:kern w:val="0"/>
          <w:szCs w:val="21"/>
        </w:rPr>
        <w:t>。</w:t>
      </w:r>
    </w:p>
    <w:p w14:paraId="30DDA5E7">
      <w:pPr>
        <w:widowControl/>
        <w:spacing w:line="360" w:lineRule="auto"/>
        <w:ind w:firstLine="420" w:firstLineChars="200"/>
        <w:jc w:val="left"/>
        <w:rPr>
          <w:rFonts w:ascii="宋体" w:hAnsi="宋体" w:cs="宋体"/>
          <w:kern w:val="0"/>
          <w:szCs w:val="21"/>
        </w:rPr>
      </w:pPr>
      <w:r>
        <w:rPr>
          <w:rFonts w:ascii="宋体" w:hAnsi="宋体" w:cs="宋体"/>
          <w:kern w:val="0"/>
          <w:szCs w:val="21"/>
        </w:rPr>
        <w:t>我单位未被列入失信被执行人、重大税收违法案件当事人名单、政府采购严重违法失信行为记录名单</w:t>
      </w:r>
      <w:r>
        <w:rPr>
          <w:rFonts w:hint="eastAsia" w:ascii="宋体" w:hAnsi="宋体" w:cs="宋体"/>
          <w:kern w:val="0"/>
          <w:szCs w:val="21"/>
        </w:rPr>
        <w:t>。</w:t>
      </w:r>
    </w:p>
    <w:p w14:paraId="433FD40B">
      <w:pPr>
        <w:widowControl/>
        <w:spacing w:line="360" w:lineRule="auto"/>
        <w:ind w:firstLine="420" w:firstLineChars="200"/>
        <w:jc w:val="left"/>
        <w:rPr>
          <w:rFonts w:ascii="宋体" w:hAnsi="宋体" w:cs="宋体"/>
          <w:kern w:val="0"/>
          <w:szCs w:val="21"/>
        </w:rPr>
      </w:pPr>
      <w:r>
        <w:rPr>
          <w:rFonts w:ascii="宋体" w:hAnsi="宋体" w:cs="宋体"/>
          <w:kern w:val="0"/>
          <w:szCs w:val="21"/>
        </w:rPr>
        <w:t>特此声明。</w:t>
      </w:r>
    </w:p>
    <w:p w14:paraId="1B1E44F8">
      <w:pPr>
        <w:widowControl/>
        <w:spacing w:line="360" w:lineRule="auto"/>
        <w:jc w:val="left"/>
        <w:rPr>
          <w:rFonts w:ascii="宋体" w:hAnsi="宋体" w:cs="宋体"/>
          <w:kern w:val="0"/>
          <w:szCs w:val="21"/>
        </w:rPr>
      </w:pPr>
      <w:r>
        <w:rPr>
          <w:rFonts w:hint="eastAsia" w:ascii="宋体" w:hAnsi="宋体" w:cs="宋体"/>
          <w:kern w:val="0"/>
          <w:szCs w:val="21"/>
        </w:rPr>
        <w:t xml:space="preserve"> </w:t>
      </w:r>
      <w:r>
        <w:rPr>
          <w:rFonts w:ascii="宋体" w:hAnsi="宋体" w:cs="宋体"/>
          <w:kern w:val="0"/>
          <w:szCs w:val="21"/>
        </w:rPr>
        <w:t xml:space="preserve">   </w:t>
      </w:r>
    </w:p>
    <w:p w14:paraId="1D42AE6B">
      <w:pPr>
        <w:widowControl/>
        <w:spacing w:line="360" w:lineRule="auto"/>
        <w:jc w:val="left"/>
        <w:rPr>
          <w:rFonts w:ascii="宋体" w:hAnsi="宋体" w:cs="宋体"/>
          <w:kern w:val="0"/>
          <w:szCs w:val="21"/>
        </w:rPr>
      </w:pPr>
    </w:p>
    <w:p w14:paraId="0F0630AF">
      <w:pPr>
        <w:widowControl/>
        <w:spacing w:line="360" w:lineRule="auto"/>
        <w:jc w:val="left"/>
        <w:rPr>
          <w:rFonts w:ascii="宋体" w:hAnsi="宋体" w:cs="宋体"/>
          <w:kern w:val="0"/>
          <w:szCs w:val="21"/>
        </w:rPr>
      </w:pPr>
    </w:p>
    <w:p w14:paraId="72D66B78">
      <w:pPr>
        <w:widowControl/>
        <w:spacing w:line="360" w:lineRule="auto"/>
        <w:jc w:val="left"/>
        <w:rPr>
          <w:rFonts w:ascii="宋体" w:hAnsi="宋体" w:cs="宋体"/>
          <w:kern w:val="0"/>
          <w:szCs w:val="21"/>
        </w:rPr>
      </w:pPr>
    </w:p>
    <w:p w14:paraId="77073F48">
      <w:pPr>
        <w:widowControl/>
        <w:spacing w:line="360" w:lineRule="auto"/>
        <w:jc w:val="left"/>
        <w:rPr>
          <w:rFonts w:ascii="宋体" w:hAnsi="宋体" w:cs="宋体"/>
          <w:kern w:val="0"/>
          <w:szCs w:val="21"/>
        </w:rPr>
      </w:pPr>
    </w:p>
    <w:p w14:paraId="3FE62EA3">
      <w:pPr>
        <w:widowControl/>
        <w:spacing w:line="360" w:lineRule="auto"/>
        <w:jc w:val="left"/>
        <w:rPr>
          <w:rFonts w:ascii="宋体" w:hAnsi="宋体" w:cs="宋体"/>
          <w:kern w:val="0"/>
          <w:szCs w:val="21"/>
        </w:rPr>
      </w:pPr>
    </w:p>
    <w:p w14:paraId="278132F3">
      <w:pPr>
        <w:widowControl/>
        <w:spacing w:line="360" w:lineRule="auto"/>
        <w:jc w:val="left"/>
        <w:rPr>
          <w:rFonts w:ascii="宋体" w:hAnsi="宋体" w:cs="宋体"/>
          <w:kern w:val="0"/>
          <w:szCs w:val="21"/>
        </w:rPr>
      </w:pPr>
    </w:p>
    <w:p w14:paraId="66AEC7EA">
      <w:pPr>
        <w:widowControl/>
        <w:spacing w:line="360" w:lineRule="auto"/>
        <w:jc w:val="left"/>
        <w:rPr>
          <w:rFonts w:ascii="宋体" w:hAnsi="宋体" w:cs="宋体"/>
          <w:kern w:val="0"/>
          <w:szCs w:val="21"/>
        </w:rPr>
      </w:pPr>
    </w:p>
    <w:p w14:paraId="5235C424">
      <w:pPr>
        <w:widowControl/>
        <w:spacing w:line="360" w:lineRule="auto"/>
        <w:jc w:val="left"/>
        <w:rPr>
          <w:rFonts w:ascii="宋体" w:hAnsi="宋体" w:cs="宋体"/>
          <w:kern w:val="0"/>
          <w:szCs w:val="21"/>
        </w:rPr>
      </w:pPr>
    </w:p>
    <w:p w14:paraId="72723C12">
      <w:pPr>
        <w:widowControl/>
        <w:spacing w:line="360" w:lineRule="auto"/>
        <w:jc w:val="left"/>
        <w:rPr>
          <w:rFonts w:ascii="宋体" w:hAnsi="宋体" w:cs="宋体"/>
          <w:kern w:val="0"/>
          <w:szCs w:val="21"/>
        </w:rPr>
      </w:pPr>
    </w:p>
    <w:p w14:paraId="108EEF09">
      <w:pPr>
        <w:widowControl/>
        <w:spacing w:line="360" w:lineRule="auto"/>
        <w:jc w:val="left"/>
        <w:rPr>
          <w:rFonts w:ascii="宋体" w:hAnsi="宋体" w:cs="宋体"/>
          <w:kern w:val="0"/>
          <w:szCs w:val="21"/>
        </w:rPr>
      </w:pPr>
    </w:p>
    <w:p w14:paraId="3242DD33">
      <w:pPr>
        <w:widowControl/>
        <w:spacing w:line="360" w:lineRule="auto"/>
        <w:jc w:val="left"/>
        <w:rPr>
          <w:rFonts w:ascii="宋体" w:hAnsi="宋体" w:cs="宋体"/>
          <w:kern w:val="0"/>
          <w:szCs w:val="21"/>
        </w:rPr>
      </w:pPr>
    </w:p>
    <w:p w14:paraId="5AE9F9A7">
      <w:pPr>
        <w:spacing w:line="360" w:lineRule="auto"/>
        <w:ind w:firstLine="420" w:firstLineChars="200"/>
        <w:rPr>
          <w:rFonts w:ascii="宋体" w:hAnsi="宋体"/>
          <w:szCs w:val="21"/>
        </w:rPr>
      </w:pPr>
      <w:r>
        <w:rPr>
          <w:rFonts w:hint="eastAsia" w:ascii="宋体" w:hAnsi="宋体"/>
          <w:szCs w:val="21"/>
        </w:rPr>
        <w:t>法定代表人或授权代表（签字或签章）：</w:t>
      </w:r>
    </w:p>
    <w:p w14:paraId="6DA8061D">
      <w:pPr>
        <w:spacing w:line="360" w:lineRule="auto"/>
        <w:ind w:firstLine="420" w:firstLineChars="200"/>
        <w:rPr>
          <w:rFonts w:ascii="宋体" w:hAnsi="宋体"/>
          <w:szCs w:val="21"/>
        </w:rPr>
      </w:pPr>
      <w:r>
        <w:rPr>
          <w:rFonts w:hint="eastAsia" w:ascii="宋体" w:hAnsi="宋体"/>
          <w:szCs w:val="21"/>
        </w:rPr>
        <w:t>投标人名称（加盖CA电子公章）：</w:t>
      </w:r>
    </w:p>
    <w:p w14:paraId="6FAC4E36">
      <w:pPr>
        <w:spacing w:line="360" w:lineRule="auto"/>
        <w:ind w:firstLine="420" w:firstLineChars="200"/>
        <w:rPr>
          <w:rFonts w:ascii="宋体" w:hAnsi="宋体"/>
          <w:szCs w:val="21"/>
        </w:rPr>
      </w:pPr>
      <w:r>
        <w:rPr>
          <w:rFonts w:hint="eastAsia" w:ascii="宋体" w:hAnsi="宋体"/>
          <w:szCs w:val="21"/>
        </w:rPr>
        <w:t>日期：  年   月   日</w:t>
      </w:r>
    </w:p>
    <w:p w14:paraId="7DDF15ED">
      <w:pPr>
        <w:widowControl/>
        <w:jc w:val="left"/>
        <w:rPr>
          <w:rFonts w:ascii="宋体" w:hAnsi="宋体" w:cs="宋体"/>
          <w:kern w:val="0"/>
          <w:szCs w:val="21"/>
        </w:rPr>
      </w:pPr>
      <w:r>
        <w:rPr>
          <w:rFonts w:hint="eastAsia" w:ascii="宋体" w:hAnsi="宋体" w:cs="宋体"/>
          <w:kern w:val="0"/>
          <w:szCs w:val="21"/>
        </w:rPr>
        <w:br w:type="page"/>
      </w:r>
    </w:p>
    <w:p w14:paraId="4D24D6A6">
      <w:pPr>
        <w:pStyle w:val="64"/>
        <w:autoSpaceDE w:val="0"/>
        <w:autoSpaceDN w:val="0"/>
        <w:adjustRightInd w:val="0"/>
        <w:spacing w:line="360" w:lineRule="auto"/>
        <w:ind w:left="425" w:hanging="425" w:firstLineChars="0"/>
        <w:outlineLvl w:val="2"/>
        <w:rPr>
          <w:rFonts w:ascii="宋体" w:hAnsi="宋体" w:cs="Arial"/>
          <w:b/>
          <w:bCs/>
          <w:szCs w:val="21"/>
          <w:lang w:val="zh-CN"/>
        </w:rPr>
      </w:pPr>
      <w:bookmarkStart w:id="73" w:name="_Toc25773"/>
      <w:r>
        <w:rPr>
          <w:rFonts w:hint="eastAsia" w:ascii="宋体" w:hAnsi="宋体" w:cs="Arial"/>
          <w:b/>
          <w:bCs/>
          <w:szCs w:val="21"/>
        </w:rPr>
        <w:t>附件2：</w:t>
      </w:r>
      <w:r>
        <w:rPr>
          <w:rFonts w:hint="eastAsia" w:ascii="宋体" w:hAnsi="宋体" w:cs="Arial"/>
          <w:b/>
          <w:bCs/>
          <w:szCs w:val="21"/>
          <w:lang w:val="zh-CN"/>
        </w:rPr>
        <w:t>信用等截图</w:t>
      </w:r>
      <w:bookmarkEnd w:id="73"/>
    </w:p>
    <w:p w14:paraId="3953F10F"/>
    <w:p w14:paraId="787C3408">
      <w:r>
        <w:rPr>
          <w:rFonts w:ascii="宋体" w:hAnsi="宋体" w:cs="宋体"/>
          <w:kern w:val="0"/>
          <w:szCs w:val="21"/>
        </w:rPr>
        <w:t>未被</w:t>
      </w:r>
      <w:r>
        <w:rPr>
          <w:rFonts w:hint="eastAsia" w:ascii="宋体" w:hAnsi="宋体" w:cs="宋体"/>
          <w:kern w:val="0"/>
          <w:szCs w:val="21"/>
        </w:rPr>
        <w:t>“中国政府采购网”网站（www.ccgp.gov.cn）、“信用中国”网站（www.creditchina.gov.cn）或“国家企业信用信息公示系统”网站（www.gsxt.gov.cn）列入失信被执行人、重大税收违法案件当事人名单、政府采购严重失信行为记录名单</w:t>
      </w:r>
      <w:r>
        <w:rPr>
          <w:rFonts w:ascii="宋体" w:hAnsi="宋体" w:cs="宋体"/>
          <w:kern w:val="0"/>
          <w:szCs w:val="21"/>
        </w:rPr>
        <w:t>。</w:t>
      </w:r>
      <w:r>
        <w:rPr>
          <w:rFonts w:hint="eastAsia" w:ascii="宋体" w:hAnsi="宋体" w:cs="宋体"/>
          <w:kern w:val="0"/>
          <w:szCs w:val="21"/>
        </w:rPr>
        <w:t>（网页截图）</w:t>
      </w:r>
    </w:p>
    <w:p w14:paraId="4306EEAC">
      <w:pPr>
        <w:widowControl/>
        <w:jc w:val="left"/>
        <w:rPr>
          <w:rFonts w:ascii="宋体" w:hAnsi="宋体" w:cs="宋体"/>
          <w:kern w:val="0"/>
          <w:szCs w:val="21"/>
        </w:rPr>
      </w:pPr>
      <w:r>
        <w:rPr>
          <w:rFonts w:ascii="宋体" w:hAnsi="宋体" w:cs="宋体"/>
          <w:kern w:val="0"/>
          <w:szCs w:val="21"/>
        </w:rPr>
        <w:br w:type="page"/>
      </w:r>
    </w:p>
    <w:p w14:paraId="53AECA80">
      <w:pPr>
        <w:pStyle w:val="64"/>
        <w:spacing w:after="156" w:afterLines="50" w:line="440" w:lineRule="exact"/>
        <w:ind w:left="567" w:hanging="567" w:firstLineChars="0"/>
        <w:outlineLvl w:val="1"/>
        <w:rPr>
          <w:rFonts w:ascii="宋体" w:hAnsi="宋体" w:cs="Arial"/>
          <w:b/>
          <w:szCs w:val="21"/>
        </w:rPr>
      </w:pPr>
      <w:bookmarkStart w:id="74" w:name="_Toc301"/>
      <w:bookmarkStart w:id="75" w:name="_Toc224764261"/>
      <w:r>
        <w:rPr>
          <w:rFonts w:hint="eastAsia" w:ascii="宋体" w:hAnsi="宋体" w:cs="Arial"/>
          <w:b/>
          <w:szCs w:val="21"/>
        </w:rPr>
        <w:t>八</w:t>
      </w:r>
      <w:r>
        <w:rPr>
          <w:rFonts w:ascii="宋体" w:hAnsi="宋体" w:cs="Arial"/>
          <w:b/>
          <w:szCs w:val="21"/>
        </w:rPr>
        <w:t>、</w:t>
      </w:r>
      <w:r>
        <w:rPr>
          <w:rFonts w:hint="eastAsia" w:ascii="宋体" w:hAnsi="宋体" w:cs="Arial"/>
          <w:b/>
          <w:szCs w:val="21"/>
        </w:rPr>
        <w:t>政府采购政策功能落实证明材料</w:t>
      </w:r>
      <w:bookmarkEnd w:id="74"/>
      <w:bookmarkEnd w:id="75"/>
    </w:p>
    <w:p w14:paraId="739B80F7">
      <w:pPr>
        <w:pStyle w:val="64"/>
        <w:autoSpaceDE w:val="0"/>
        <w:autoSpaceDN w:val="0"/>
        <w:adjustRightInd w:val="0"/>
        <w:spacing w:line="360" w:lineRule="auto"/>
        <w:ind w:firstLine="0" w:firstLineChars="0"/>
        <w:outlineLvl w:val="2"/>
        <w:rPr>
          <w:rFonts w:ascii="宋体" w:hAnsi="宋体" w:cs="Arial"/>
          <w:b/>
          <w:bCs/>
          <w:szCs w:val="21"/>
          <w:lang w:val="zh-CN"/>
        </w:rPr>
      </w:pPr>
      <w:bookmarkStart w:id="76" w:name="_Toc4561"/>
      <w:bookmarkStart w:id="77" w:name="_Toc224764262"/>
      <w:r>
        <w:rPr>
          <w:rFonts w:hint="eastAsia" w:ascii="宋体" w:hAnsi="宋体" w:cs="Arial"/>
          <w:b/>
          <w:bCs/>
          <w:szCs w:val="21"/>
        </w:rPr>
        <w:t>1、</w:t>
      </w:r>
      <w:r>
        <w:rPr>
          <w:rFonts w:hint="eastAsia" w:ascii="宋体" w:hAnsi="宋体" w:cs="Arial"/>
          <w:b/>
          <w:bCs/>
          <w:szCs w:val="21"/>
          <w:lang w:val="zh-CN"/>
        </w:rPr>
        <w:t>中小企业声明函（</w:t>
      </w:r>
      <w:r>
        <w:rPr>
          <w:rFonts w:hint="eastAsia" w:ascii="宋体" w:hAnsi="宋体" w:cs="Arial"/>
          <w:b/>
          <w:bCs/>
          <w:szCs w:val="21"/>
        </w:rPr>
        <w:t>货物</w:t>
      </w:r>
      <w:r>
        <w:rPr>
          <w:rFonts w:hint="eastAsia" w:ascii="宋体" w:hAnsi="宋体" w:cs="Arial"/>
          <w:b/>
          <w:bCs/>
          <w:szCs w:val="21"/>
          <w:lang w:val="zh-CN"/>
        </w:rPr>
        <w:t>）</w:t>
      </w:r>
      <w:bookmarkEnd w:id="76"/>
      <w:bookmarkEnd w:id="77"/>
    </w:p>
    <w:p w14:paraId="24EBC729">
      <w:pPr>
        <w:rPr>
          <w:lang w:val="zh-CN"/>
        </w:rPr>
      </w:pPr>
    </w:p>
    <w:p w14:paraId="6D6A23AA">
      <w:pPr>
        <w:rPr>
          <w:lang w:val="zh-CN"/>
        </w:rPr>
      </w:pPr>
    </w:p>
    <w:p w14:paraId="0E2A603E">
      <w:pPr>
        <w:jc w:val="center"/>
        <w:rPr>
          <w:b/>
          <w:bCs/>
          <w:sz w:val="24"/>
          <w:szCs w:val="32"/>
        </w:rPr>
      </w:pPr>
      <w:bookmarkStart w:id="78" w:name="_Toc6917"/>
      <w:r>
        <w:rPr>
          <w:rFonts w:hint="eastAsia"/>
          <w:b/>
          <w:bCs/>
          <w:sz w:val="24"/>
          <w:szCs w:val="32"/>
        </w:rPr>
        <w:t>中小企业声明函（货物）</w:t>
      </w:r>
      <w:bookmarkEnd w:id="78"/>
    </w:p>
    <w:p w14:paraId="2B203D37">
      <w:pPr>
        <w:spacing w:line="360" w:lineRule="auto"/>
        <w:ind w:firstLine="480"/>
        <w:rPr>
          <w:rFonts w:ascii="宋体" w:hAnsi="宋体" w:cs="宋体"/>
          <w:color w:val="000000"/>
          <w:sz w:val="24"/>
        </w:rPr>
      </w:pPr>
      <w:r>
        <w:rPr>
          <w:rFonts w:hint="eastAsia" w:ascii="宋体" w:hAnsi="宋体" w:cs="宋体"/>
          <w:color w:val="000000"/>
          <w:sz w:val="24"/>
        </w:rPr>
        <w:t>本公司（联合体）郑重声明，根据《政府采购促进中小企业发展管理办法》（财库﹝</w:t>
      </w:r>
      <w:r>
        <w:rPr>
          <w:rFonts w:ascii="宋体" w:hAnsi="宋体" w:cs="Calibri"/>
          <w:color w:val="000000"/>
          <w:sz w:val="24"/>
        </w:rPr>
        <w:t>2020</w:t>
      </w:r>
      <w:r>
        <w:rPr>
          <w:rFonts w:hint="eastAsia" w:ascii="宋体" w:hAnsi="宋体" w:cs="宋体"/>
          <w:color w:val="000000"/>
          <w:sz w:val="24"/>
        </w:rPr>
        <w:t>﹞</w:t>
      </w:r>
      <w:r>
        <w:rPr>
          <w:rFonts w:ascii="宋体" w:hAnsi="宋体" w:cs="Calibri"/>
          <w:color w:val="000000"/>
          <w:sz w:val="24"/>
        </w:rPr>
        <w:t xml:space="preserve">46 </w:t>
      </w:r>
      <w:r>
        <w:rPr>
          <w:rFonts w:hint="eastAsia" w:ascii="宋体" w:hAnsi="宋体" w:cs="宋体"/>
          <w:color w:val="000000"/>
          <w:sz w:val="24"/>
        </w:rPr>
        <w:t>号）的规定，本公司（联合体）参加</w:t>
      </w:r>
      <w:r>
        <w:rPr>
          <w:rFonts w:hint="eastAsia" w:ascii="宋体" w:hAnsi="宋体" w:cs="宋体"/>
          <w:color w:val="000000"/>
          <w:sz w:val="24"/>
          <w:u w:val="single"/>
        </w:rPr>
        <w:t>（单位名称）</w:t>
      </w:r>
      <w:r>
        <w:rPr>
          <w:rFonts w:hint="eastAsia" w:ascii="宋体" w:hAnsi="宋体" w:cs="宋体"/>
          <w:color w:val="000000"/>
          <w:sz w:val="24"/>
        </w:rPr>
        <w:t>的</w:t>
      </w:r>
      <w:r>
        <w:rPr>
          <w:rFonts w:hint="eastAsia" w:ascii="宋体" w:hAnsi="宋体" w:cs="宋体"/>
          <w:color w:val="000000"/>
          <w:sz w:val="24"/>
          <w:u w:val="single"/>
        </w:rPr>
        <w:t>（项目名称）</w:t>
      </w:r>
      <w:r>
        <w:rPr>
          <w:rFonts w:hint="eastAsia" w:ascii="宋体" w:hAnsi="宋体" w:cs="宋体"/>
          <w:color w:val="000000"/>
          <w:sz w:val="24"/>
        </w:rPr>
        <w:t>采购活动，提供的货物全部由符合政策要求的中小企业制造。相关企业（含联合体中的中小企业、签订分包意向协议的中小企业）的具体情况如下：</w:t>
      </w:r>
    </w:p>
    <w:p w14:paraId="307947EE">
      <w:pPr>
        <w:spacing w:line="360" w:lineRule="auto"/>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（标的名称）</w:t>
      </w:r>
      <w:r>
        <w:rPr>
          <w:rFonts w:hint="eastAsia" w:ascii="宋体" w:hAnsi="宋体" w:cs="宋体"/>
          <w:color w:val="000000"/>
          <w:sz w:val="24"/>
        </w:rPr>
        <w:t>，属于</w:t>
      </w:r>
      <w:r>
        <w:rPr>
          <w:rFonts w:hint="eastAsia" w:ascii="宋体" w:hAnsi="宋体" w:cs="宋体"/>
          <w:color w:val="000000"/>
          <w:sz w:val="24"/>
          <w:u w:val="single"/>
        </w:rPr>
        <w:t>（招标文件中明确的所属行业）</w:t>
      </w:r>
      <w:r>
        <w:rPr>
          <w:rFonts w:hint="eastAsia" w:ascii="宋体" w:hAnsi="宋体" w:cs="宋体"/>
          <w:color w:val="000000"/>
          <w:sz w:val="24"/>
        </w:rPr>
        <w:t>；</w:t>
      </w:r>
      <w:r>
        <w:rPr>
          <w:rFonts w:ascii="宋体" w:hAnsi="宋体" w:cs="宋体"/>
          <w:color w:val="000000"/>
          <w:sz w:val="24"/>
        </w:rPr>
        <w:t xml:space="preserve"> </w:t>
      </w:r>
      <w:r>
        <w:rPr>
          <w:rFonts w:hint="eastAsia" w:ascii="宋体" w:hAnsi="宋体" w:cs="宋体"/>
          <w:color w:val="000000"/>
          <w:sz w:val="24"/>
        </w:rPr>
        <w:t>承接企业为</w:t>
      </w:r>
      <w:r>
        <w:rPr>
          <w:rFonts w:hint="eastAsia" w:ascii="宋体" w:hAnsi="宋体" w:cs="宋体"/>
          <w:color w:val="000000"/>
          <w:sz w:val="24"/>
          <w:u w:val="single"/>
        </w:rPr>
        <w:t>（企业名称）</w:t>
      </w:r>
      <w:r>
        <w:rPr>
          <w:rFonts w:hint="eastAsia" w:ascii="宋体" w:hAnsi="宋体" w:cs="宋体"/>
          <w:color w:val="000000"/>
          <w:sz w:val="24"/>
        </w:rPr>
        <w:t>，从业人员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人，营业收入为</w:t>
      </w:r>
      <w:r>
        <w:rPr>
          <w:rFonts w:hint="eastAsia" w:ascii="宋体" w:hAnsi="宋体" w:cs="宋体"/>
          <w:color w:val="000000"/>
          <w:sz w:val="24"/>
          <w:u w:val="single"/>
        </w:rPr>
        <w:t xml:space="preserve">      </w:t>
      </w:r>
      <w:r>
        <w:rPr>
          <w:rFonts w:hint="eastAsia" w:ascii="宋体" w:hAnsi="宋体" w:cs="宋体"/>
          <w:color w:val="000000"/>
          <w:sz w:val="24"/>
        </w:rPr>
        <w:t>万元，资产总额为</w:t>
      </w:r>
      <w:r>
        <w:rPr>
          <w:rFonts w:hint="eastAsia" w:ascii="宋体" w:hAnsi="宋体" w:cs="宋体"/>
          <w:color w:val="000000"/>
          <w:sz w:val="24"/>
          <w:u w:val="single"/>
        </w:rPr>
        <w:t xml:space="preserve">        </w:t>
      </w:r>
      <w:r>
        <w:rPr>
          <w:rFonts w:hint="eastAsia" w:ascii="宋体" w:hAnsi="宋体" w:cs="宋体"/>
          <w:color w:val="000000"/>
          <w:sz w:val="24"/>
        </w:rPr>
        <w:t>万元</w:t>
      </w:r>
      <w:r>
        <w:rPr>
          <w:rFonts w:hint="eastAsia" w:ascii="宋体" w:hAnsi="宋体" w:cs="Calibri"/>
          <w:color w:val="000000"/>
          <w:sz w:val="24"/>
          <w:vertAlign w:val="superscript"/>
        </w:rPr>
        <w:t>【1】</w:t>
      </w:r>
      <w:r>
        <w:rPr>
          <w:rFonts w:hint="eastAsia" w:ascii="宋体" w:hAnsi="宋体" w:cs="宋体"/>
          <w:color w:val="000000"/>
          <w:sz w:val="24"/>
        </w:rPr>
        <w:t>，属于</w:t>
      </w:r>
      <w:r>
        <w:rPr>
          <w:rFonts w:hint="eastAsia" w:ascii="宋体" w:hAnsi="宋体" w:cs="宋体"/>
          <w:color w:val="000000"/>
          <w:sz w:val="24"/>
          <w:u w:val="single"/>
        </w:rPr>
        <w:t>（中型企业、</w:t>
      </w:r>
      <w:r>
        <w:rPr>
          <w:rFonts w:ascii="宋体" w:hAnsi="宋体" w:cs="宋体"/>
          <w:color w:val="000000"/>
          <w:sz w:val="24"/>
          <w:u w:val="single"/>
        </w:rPr>
        <w:t xml:space="preserve"> </w:t>
      </w:r>
      <w:r>
        <w:rPr>
          <w:rFonts w:hint="eastAsia" w:ascii="宋体" w:hAnsi="宋体" w:cs="宋体"/>
          <w:color w:val="000000"/>
          <w:sz w:val="24"/>
          <w:u w:val="single"/>
        </w:rPr>
        <w:t>小型企业、微型企业）</w:t>
      </w:r>
      <w:r>
        <w:rPr>
          <w:rFonts w:hint="eastAsia" w:ascii="宋体" w:hAnsi="宋体" w:cs="宋体"/>
          <w:color w:val="000000"/>
          <w:sz w:val="24"/>
        </w:rPr>
        <w:t>；</w:t>
      </w:r>
    </w:p>
    <w:p w14:paraId="40ACE96F">
      <w:pPr>
        <w:spacing w:line="360" w:lineRule="auto"/>
        <w:ind w:firstLine="600"/>
        <w:rPr>
          <w:rFonts w:ascii="宋体" w:hAnsi="宋体" w:cs="宋体"/>
          <w:color w:val="000000"/>
          <w:sz w:val="24"/>
        </w:rPr>
      </w:pPr>
      <w:r>
        <w:rPr>
          <w:rFonts w:hint="eastAsia" w:ascii="宋体" w:hAnsi="宋体" w:cs="宋体"/>
          <w:color w:val="000000"/>
          <w:sz w:val="24"/>
        </w:rPr>
        <w:t>……</w:t>
      </w:r>
    </w:p>
    <w:p w14:paraId="2534D36E">
      <w:pPr>
        <w:spacing w:line="360" w:lineRule="auto"/>
        <w:ind w:firstLine="600"/>
        <w:rPr>
          <w:rFonts w:ascii="宋体" w:hAnsi="宋体" w:cs="宋体"/>
          <w:color w:val="000000"/>
          <w:sz w:val="24"/>
        </w:rPr>
      </w:pPr>
      <w:r>
        <w:rPr>
          <w:rFonts w:hint="eastAsia" w:ascii="宋体" w:hAnsi="宋体" w:cs="宋体"/>
          <w:color w:val="000000"/>
          <w:sz w:val="24"/>
        </w:rPr>
        <w:t>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形。</w:t>
      </w:r>
    </w:p>
    <w:p w14:paraId="2BD9EB55">
      <w:pPr>
        <w:spacing w:line="360" w:lineRule="auto"/>
        <w:rPr>
          <w:rFonts w:ascii="宋体" w:hAnsi="宋体" w:cs="宋体"/>
          <w:color w:val="000000"/>
          <w:sz w:val="24"/>
        </w:rPr>
      </w:pPr>
      <w:r>
        <w:rPr>
          <w:rFonts w:hint="eastAsia" w:ascii="宋体" w:hAnsi="宋体" w:cs="宋体"/>
          <w:color w:val="000000"/>
          <w:sz w:val="24"/>
        </w:rPr>
        <w:t>本企业对上述声明内容的真实性负责。如有虚假，将依法承担相应责任。</w:t>
      </w:r>
    </w:p>
    <w:p w14:paraId="2338B207">
      <w:pPr>
        <w:pStyle w:val="140"/>
        <w:spacing w:line="360" w:lineRule="auto"/>
        <w:rPr>
          <w:color w:val="000000"/>
          <w:sz w:val="21"/>
          <w:szCs w:val="28"/>
        </w:rPr>
      </w:pPr>
    </w:p>
    <w:p w14:paraId="1157D97E">
      <w:pPr>
        <w:rPr>
          <w:color w:val="000000"/>
          <w:sz w:val="22"/>
          <w:szCs w:val="28"/>
        </w:rPr>
      </w:pPr>
    </w:p>
    <w:p w14:paraId="592D5B3E">
      <w:pPr>
        <w:rPr>
          <w:color w:val="000000"/>
          <w:sz w:val="22"/>
          <w:szCs w:val="28"/>
        </w:rPr>
      </w:pPr>
    </w:p>
    <w:p w14:paraId="7176DCDC">
      <w:pPr>
        <w:spacing w:line="360" w:lineRule="auto"/>
        <w:ind w:firstLine="480" w:firstLineChars="200"/>
        <w:rPr>
          <w:rFonts w:ascii="宋体" w:hAnsi="宋体"/>
          <w:sz w:val="24"/>
        </w:rPr>
      </w:pPr>
      <w:r>
        <w:rPr>
          <w:rFonts w:hint="eastAsia" w:ascii="宋体" w:hAnsi="宋体"/>
          <w:sz w:val="24"/>
        </w:rPr>
        <w:t>投标人名称（加盖CA电子公章）：</w:t>
      </w:r>
    </w:p>
    <w:p w14:paraId="7E0DFF4E">
      <w:pPr>
        <w:spacing w:line="360" w:lineRule="auto"/>
        <w:ind w:firstLine="480" w:firstLineChars="200"/>
        <w:rPr>
          <w:rFonts w:ascii="宋体" w:hAnsi="宋体"/>
          <w:sz w:val="24"/>
        </w:rPr>
      </w:pPr>
      <w:r>
        <w:rPr>
          <w:rFonts w:hint="eastAsia" w:ascii="宋体" w:hAnsi="宋体"/>
          <w:sz w:val="24"/>
        </w:rPr>
        <w:t>日期：  年   月   日</w:t>
      </w:r>
    </w:p>
    <w:p w14:paraId="71E050EC">
      <w:pPr>
        <w:spacing w:line="360" w:lineRule="auto"/>
        <w:ind w:firstLine="420" w:firstLineChars="200"/>
        <w:rPr>
          <w:rFonts w:ascii="宋体" w:hAnsi="宋体"/>
          <w:szCs w:val="21"/>
        </w:rPr>
      </w:pPr>
    </w:p>
    <w:p w14:paraId="6C5F0491">
      <w:pPr>
        <w:pStyle w:val="141"/>
        <w:rPr>
          <w:rFonts w:cs="宋体"/>
          <w:color w:val="000000"/>
        </w:rPr>
      </w:pPr>
    </w:p>
    <w:p w14:paraId="16E56384">
      <w:pPr>
        <w:pStyle w:val="141"/>
        <w:rPr>
          <w:rFonts w:cs="宋体"/>
          <w:color w:val="000000"/>
          <w:sz w:val="22"/>
          <w:szCs w:val="22"/>
        </w:rPr>
      </w:pPr>
      <w:r>
        <w:rPr>
          <w:rFonts w:hint="eastAsia" w:cs="宋体"/>
          <w:color w:val="000000"/>
          <w:sz w:val="22"/>
          <w:szCs w:val="22"/>
        </w:rPr>
        <w:t>注：</w:t>
      </w:r>
    </w:p>
    <w:p w14:paraId="303475A9">
      <w:pPr>
        <w:pStyle w:val="141"/>
        <w:rPr>
          <w:rFonts w:cs="宋体"/>
          <w:b/>
          <w:bCs/>
          <w:color w:val="000000"/>
          <w:sz w:val="22"/>
          <w:szCs w:val="22"/>
        </w:rPr>
      </w:pPr>
      <w:r>
        <w:rPr>
          <w:rFonts w:hint="eastAsia" w:cs="宋体"/>
          <w:color w:val="000000"/>
          <w:sz w:val="22"/>
          <w:szCs w:val="22"/>
        </w:rPr>
        <w:t>1）从业人员、营业收入、资产总额填报上一年度数据，无上一年度数据的新成立企业可不填报。</w:t>
      </w:r>
    </w:p>
    <w:p w14:paraId="3EE1D19C">
      <w:pPr>
        <w:pStyle w:val="141"/>
        <w:rPr>
          <w:rFonts w:cs="宋体"/>
          <w:b/>
          <w:bCs/>
          <w:color w:val="000000"/>
          <w:sz w:val="22"/>
          <w:szCs w:val="22"/>
        </w:rPr>
      </w:pPr>
      <w:r>
        <w:rPr>
          <w:rFonts w:hint="eastAsia"/>
          <w:sz w:val="22"/>
          <w:szCs w:val="22"/>
        </w:rPr>
        <w:t>2）中小企业划型标准详见《关于印发中小企业划型标准规定的通知》工信部联企业〔</w:t>
      </w:r>
      <w:r>
        <w:rPr>
          <w:sz w:val="22"/>
          <w:szCs w:val="22"/>
        </w:rPr>
        <w:t>2011</w:t>
      </w:r>
      <w:r>
        <w:rPr>
          <w:rFonts w:hint="eastAsia"/>
          <w:sz w:val="22"/>
          <w:szCs w:val="22"/>
        </w:rPr>
        <w:t>〕</w:t>
      </w:r>
      <w:r>
        <w:rPr>
          <w:sz w:val="22"/>
          <w:szCs w:val="22"/>
        </w:rPr>
        <w:t>300</w:t>
      </w:r>
      <w:r>
        <w:rPr>
          <w:rFonts w:hint="eastAsia"/>
          <w:sz w:val="22"/>
          <w:szCs w:val="22"/>
        </w:rPr>
        <w:t>号。</w:t>
      </w:r>
      <w:r>
        <w:rPr>
          <w:rFonts w:hint="eastAsia"/>
          <w:bCs/>
          <w:sz w:val="22"/>
          <w:szCs w:val="20"/>
        </w:rPr>
        <w:t>《中小企业声明函（货物）》中“</w:t>
      </w:r>
      <w:r>
        <w:rPr>
          <w:rFonts w:hint="eastAsia"/>
          <w:bCs/>
          <w:sz w:val="22"/>
          <w:szCs w:val="20"/>
          <w:u w:val="single"/>
        </w:rPr>
        <w:t>采购文件中</w:t>
      </w:r>
      <w:r>
        <w:rPr>
          <w:bCs/>
          <w:sz w:val="22"/>
          <w:szCs w:val="20"/>
          <w:u w:val="single"/>
        </w:rPr>
        <w:t>明确的所属行业</w:t>
      </w:r>
      <w:r>
        <w:rPr>
          <w:rFonts w:hint="eastAsia"/>
          <w:bCs/>
          <w:sz w:val="22"/>
          <w:szCs w:val="20"/>
        </w:rPr>
        <w:t>”为</w:t>
      </w:r>
      <w:r>
        <w:rPr>
          <w:bCs/>
          <w:sz w:val="22"/>
          <w:szCs w:val="20"/>
        </w:rPr>
        <w:t>：</w:t>
      </w:r>
      <w:r>
        <w:rPr>
          <w:rFonts w:hint="eastAsia"/>
          <w:b/>
          <w:bCs/>
          <w:color w:val="FF0000"/>
          <w:sz w:val="22"/>
          <w:szCs w:val="20"/>
          <w:highlight w:val="yellow"/>
          <w:u w:val="single"/>
        </w:rPr>
        <w:t>工业</w:t>
      </w:r>
      <w:r>
        <w:rPr>
          <w:b/>
          <w:bCs/>
          <w:color w:val="FF0000"/>
          <w:sz w:val="22"/>
          <w:szCs w:val="20"/>
          <w:highlight w:val="yellow"/>
        </w:rPr>
        <w:t>。</w:t>
      </w:r>
    </w:p>
    <w:p w14:paraId="1EA8B6B4">
      <w:pPr>
        <w:spacing w:line="360" w:lineRule="auto"/>
        <w:ind w:firstLine="440" w:firstLineChars="200"/>
        <w:rPr>
          <w:rFonts w:ascii="宋体" w:hAnsi="宋体"/>
          <w:sz w:val="22"/>
          <w:szCs w:val="28"/>
        </w:rPr>
      </w:pPr>
      <w:r>
        <w:rPr>
          <w:rFonts w:ascii="宋体" w:hAnsi="宋体"/>
          <w:sz w:val="22"/>
          <w:szCs w:val="28"/>
        </w:rPr>
        <w:t>3</w:t>
      </w:r>
      <w:r>
        <w:rPr>
          <w:rFonts w:hint="eastAsia" w:ascii="宋体" w:hAnsi="宋体"/>
          <w:sz w:val="22"/>
          <w:szCs w:val="28"/>
        </w:rPr>
        <w:t>）供应商未按上述要求提供声明函的，价格将不做相应扣除。</w:t>
      </w:r>
    </w:p>
    <w:p w14:paraId="4975E83D">
      <w:pPr>
        <w:spacing w:line="360" w:lineRule="auto"/>
        <w:ind w:firstLine="440" w:firstLineChars="200"/>
        <w:rPr>
          <w:rFonts w:ascii="宋体" w:hAnsi="宋体"/>
          <w:sz w:val="22"/>
          <w:szCs w:val="28"/>
        </w:rPr>
      </w:pPr>
      <w:r>
        <w:rPr>
          <w:rFonts w:ascii="宋体" w:hAnsi="宋体"/>
          <w:sz w:val="22"/>
          <w:szCs w:val="28"/>
        </w:rPr>
        <w:t>4</w:t>
      </w:r>
      <w:r>
        <w:rPr>
          <w:rFonts w:hint="eastAsia" w:ascii="宋体" w:hAnsi="宋体"/>
          <w:sz w:val="22"/>
          <w:szCs w:val="28"/>
        </w:rPr>
        <w:t>）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p>
    <w:p w14:paraId="4B5B45A0">
      <w:pPr>
        <w:autoSpaceDE w:val="0"/>
        <w:autoSpaceDN w:val="0"/>
        <w:adjustRightInd w:val="0"/>
        <w:spacing w:line="360" w:lineRule="auto"/>
        <w:ind w:firstLine="440" w:firstLineChars="200"/>
        <w:rPr>
          <w:rFonts w:ascii="宋体" w:hAnsi="宋体" w:cs="Arial"/>
          <w:sz w:val="24"/>
        </w:rPr>
      </w:pPr>
      <w:r>
        <w:rPr>
          <w:rFonts w:hint="eastAsia" w:ascii="宋体" w:hAnsi="宋体" w:cs="宋体"/>
          <w:kern w:val="0"/>
          <w:sz w:val="22"/>
          <w:szCs w:val="22"/>
        </w:rPr>
        <w:t>5）</w:t>
      </w:r>
      <w:r>
        <w:rPr>
          <w:rFonts w:ascii="宋体" w:hAnsi="宋体" w:cs="宋体"/>
          <w:kern w:val="0"/>
          <w:sz w:val="22"/>
          <w:szCs w:val="22"/>
        </w:rPr>
        <w:t>自测小程序链接</w:t>
      </w:r>
      <w:r>
        <w:rPr>
          <w:rFonts w:hint="eastAsia" w:ascii="宋体" w:hAnsi="宋体" w:cs="宋体"/>
          <w:kern w:val="0"/>
          <w:sz w:val="22"/>
          <w:szCs w:val="22"/>
        </w:rPr>
        <w:t>（仅供参考）</w:t>
      </w:r>
      <w:r>
        <w:rPr>
          <w:rFonts w:ascii="宋体" w:hAnsi="宋体" w:cs="宋体"/>
          <w:kern w:val="0"/>
          <w:sz w:val="22"/>
          <w:szCs w:val="22"/>
        </w:rPr>
        <w:t>：https://baosong.miit.gov.cn/ScaleTest</w:t>
      </w:r>
    </w:p>
    <w:p w14:paraId="078AE052">
      <w:pPr>
        <w:widowControl/>
        <w:jc w:val="left"/>
        <w:rPr>
          <w:rFonts w:ascii="宋体" w:hAnsi="宋体"/>
        </w:rPr>
      </w:pPr>
      <w:r>
        <w:rPr>
          <w:rFonts w:hint="eastAsia" w:ascii="宋体" w:hAnsi="宋体"/>
        </w:rPr>
        <w:br w:type="page"/>
      </w:r>
    </w:p>
    <w:p w14:paraId="75CC716B">
      <w:pPr>
        <w:pStyle w:val="64"/>
        <w:autoSpaceDE w:val="0"/>
        <w:autoSpaceDN w:val="0"/>
        <w:adjustRightInd w:val="0"/>
        <w:spacing w:line="360" w:lineRule="auto"/>
        <w:ind w:firstLine="0" w:firstLineChars="0"/>
        <w:outlineLvl w:val="2"/>
        <w:rPr>
          <w:rFonts w:ascii="宋体" w:hAnsi="宋体" w:cs="Arial"/>
          <w:b/>
          <w:bCs/>
          <w:szCs w:val="21"/>
          <w:lang w:val="zh-CN"/>
        </w:rPr>
      </w:pPr>
      <w:bookmarkStart w:id="79" w:name="_Toc18411"/>
      <w:bookmarkStart w:id="80" w:name="_Toc224764263"/>
      <w:r>
        <w:rPr>
          <w:rFonts w:hint="eastAsia" w:ascii="宋体" w:hAnsi="宋体" w:cs="Arial"/>
          <w:b/>
          <w:bCs/>
          <w:szCs w:val="21"/>
        </w:rPr>
        <w:t>2、</w:t>
      </w:r>
      <w:r>
        <w:rPr>
          <w:rFonts w:hint="eastAsia" w:ascii="宋体" w:hAnsi="宋体" w:cs="Arial"/>
          <w:b/>
          <w:bCs/>
          <w:szCs w:val="21"/>
          <w:lang w:val="zh-CN"/>
        </w:rPr>
        <w:t>残疾人福利性单位声明函</w:t>
      </w:r>
      <w:bookmarkEnd w:id="79"/>
      <w:bookmarkEnd w:id="80"/>
    </w:p>
    <w:p w14:paraId="3F280896">
      <w:pPr>
        <w:adjustRightInd w:val="0"/>
        <w:spacing w:line="400" w:lineRule="exact"/>
        <w:textAlignment w:val="baseline"/>
        <w:rPr>
          <w:rFonts w:ascii="宋体" w:hAnsi="宋体" w:cs="宋体"/>
          <w:b/>
          <w:szCs w:val="21"/>
          <w:lang w:val="zh-CN"/>
        </w:rPr>
      </w:pPr>
    </w:p>
    <w:p w14:paraId="7DDE3FED">
      <w:pPr>
        <w:adjustRightInd w:val="0"/>
        <w:spacing w:line="400" w:lineRule="exact"/>
        <w:jc w:val="center"/>
        <w:textAlignment w:val="baseline"/>
        <w:rPr>
          <w:rFonts w:ascii="宋体" w:hAnsi="宋体" w:cs="宋体"/>
          <w:b/>
          <w:sz w:val="28"/>
          <w:szCs w:val="28"/>
          <w:lang w:val="zh-CN"/>
        </w:rPr>
      </w:pPr>
      <w:r>
        <w:rPr>
          <w:rFonts w:hint="eastAsia" w:ascii="宋体" w:hAnsi="宋体" w:cs="宋体"/>
          <w:b/>
          <w:sz w:val="28"/>
          <w:szCs w:val="28"/>
          <w:lang w:val="zh-CN"/>
        </w:rPr>
        <w:t>残疾人福利性单位声明函</w:t>
      </w:r>
    </w:p>
    <w:p w14:paraId="52475458">
      <w:pPr>
        <w:rPr>
          <w:rFonts w:ascii="宋体" w:hAnsi="宋体"/>
        </w:rPr>
      </w:pPr>
    </w:p>
    <w:p w14:paraId="157B8784">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本单位郑重声明，根据《财政部、民政部、中国残疾人联合会关于促进残疾人就业政府采购政策的通知》（财库〔2017〕141号）的规定，本单位为符合条件的残疾人福利性单位，且本单位参加______单位的______项目采购活动提供服务。</w:t>
      </w:r>
    </w:p>
    <w:p w14:paraId="3F0A9ABC">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本单位对上述声明的真实性负责。如有虚假，将依法承担相应责任。</w:t>
      </w:r>
    </w:p>
    <w:p w14:paraId="14DEF897">
      <w:pPr>
        <w:rPr>
          <w:rFonts w:ascii="宋体" w:hAnsi="宋体" w:cs="仿宋"/>
          <w:kern w:val="0"/>
          <w:szCs w:val="21"/>
        </w:rPr>
      </w:pPr>
    </w:p>
    <w:p w14:paraId="48F3679C">
      <w:pPr>
        <w:rPr>
          <w:rFonts w:ascii="宋体" w:hAnsi="宋体" w:cs="仿宋"/>
          <w:kern w:val="0"/>
          <w:szCs w:val="21"/>
        </w:rPr>
      </w:pPr>
    </w:p>
    <w:p w14:paraId="3CDAB2B3">
      <w:pPr>
        <w:rPr>
          <w:rFonts w:ascii="宋体" w:hAnsi="宋体" w:cs="仿宋"/>
          <w:kern w:val="0"/>
          <w:szCs w:val="21"/>
        </w:rPr>
      </w:pPr>
    </w:p>
    <w:p w14:paraId="2D064D80">
      <w:pPr>
        <w:widowControl/>
        <w:spacing w:line="360" w:lineRule="auto"/>
        <w:ind w:left="5244" w:leftChars="2497" w:firstLine="420" w:firstLineChars="200"/>
        <w:jc w:val="left"/>
        <w:rPr>
          <w:rFonts w:ascii="宋体" w:hAnsi="宋体" w:cs="宋体"/>
          <w:kern w:val="0"/>
          <w:szCs w:val="21"/>
        </w:rPr>
      </w:pPr>
      <w:r>
        <w:rPr>
          <w:rFonts w:hint="eastAsia" w:ascii="宋体" w:hAnsi="宋体" w:cs="宋体"/>
          <w:kern w:val="0"/>
          <w:szCs w:val="21"/>
        </w:rPr>
        <w:t>企业名称：（盖章）</w:t>
      </w:r>
    </w:p>
    <w:p w14:paraId="65D8047C">
      <w:pPr>
        <w:widowControl/>
        <w:spacing w:line="360" w:lineRule="auto"/>
        <w:ind w:left="5244" w:leftChars="2497" w:firstLine="420" w:firstLineChars="200"/>
        <w:jc w:val="left"/>
        <w:rPr>
          <w:rFonts w:ascii="宋体" w:hAnsi="宋体" w:cs="宋体"/>
          <w:kern w:val="0"/>
          <w:szCs w:val="21"/>
        </w:rPr>
      </w:pPr>
      <w:r>
        <w:rPr>
          <w:rFonts w:hint="eastAsia" w:ascii="宋体" w:hAnsi="宋体" w:cs="宋体"/>
          <w:kern w:val="0"/>
          <w:szCs w:val="21"/>
        </w:rPr>
        <w:t>日期：2026年XX月XX日</w:t>
      </w:r>
    </w:p>
    <w:p w14:paraId="2B30F2D9">
      <w:pPr>
        <w:rPr>
          <w:rFonts w:ascii="宋体" w:hAnsi="宋体"/>
          <w:szCs w:val="21"/>
        </w:rPr>
      </w:pPr>
    </w:p>
    <w:p w14:paraId="0FE13498">
      <w:pPr>
        <w:rPr>
          <w:rFonts w:ascii="宋体" w:hAnsi="宋体"/>
          <w:szCs w:val="21"/>
        </w:rPr>
      </w:pPr>
    </w:p>
    <w:p w14:paraId="4DAB62D1">
      <w:pPr>
        <w:widowControl/>
        <w:jc w:val="left"/>
        <w:rPr>
          <w:rFonts w:ascii="宋体" w:hAnsi="宋体"/>
          <w:szCs w:val="21"/>
        </w:rPr>
      </w:pPr>
      <w:r>
        <w:rPr>
          <w:rFonts w:hint="eastAsia" w:ascii="宋体" w:hAnsi="宋体"/>
          <w:szCs w:val="21"/>
        </w:rPr>
        <w:br w:type="page"/>
      </w:r>
    </w:p>
    <w:p w14:paraId="283A109F">
      <w:pPr>
        <w:pStyle w:val="64"/>
        <w:autoSpaceDE w:val="0"/>
        <w:autoSpaceDN w:val="0"/>
        <w:adjustRightInd w:val="0"/>
        <w:spacing w:line="360" w:lineRule="auto"/>
        <w:ind w:firstLine="0" w:firstLineChars="0"/>
        <w:outlineLvl w:val="2"/>
        <w:rPr>
          <w:rFonts w:ascii="宋体" w:hAnsi="宋体" w:cs="Arial"/>
          <w:b/>
          <w:bCs/>
          <w:szCs w:val="21"/>
          <w:lang w:val="zh-CN"/>
        </w:rPr>
      </w:pPr>
      <w:bookmarkStart w:id="81" w:name="_Toc24128"/>
      <w:bookmarkStart w:id="82" w:name="_Toc224764264"/>
      <w:r>
        <w:rPr>
          <w:rFonts w:hint="eastAsia" w:ascii="宋体" w:hAnsi="宋体" w:cs="Arial"/>
          <w:b/>
          <w:bCs/>
          <w:szCs w:val="21"/>
        </w:rPr>
        <w:t>3、</w:t>
      </w:r>
      <w:r>
        <w:rPr>
          <w:rFonts w:hint="eastAsia" w:ascii="宋体" w:hAnsi="宋体" w:cs="Arial"/>
          <w:b/>
          <w:bCs/>
          <w:szCs w:val="21"/>
          <w:lang w:val="zh-CN"/>
        </w:rPr>
        <w:t>监狱企业资格证明材料</w:t>
      </w:r>
      <w:bookmarkEnd w:id="81"/>
      <w:bookmarkEnd w:id="82"/>
    </w:p>
    <w:p w14:paraId="569C603A">
      <w:pPr>
        <w:rPr>
          <w:rFonts w:ascii="宋体" w:hAnsi="宋体"/>
          <w:szCs w:val="21"/>
        </w:rPr>
      </w:pPr>
    </w:p>
    <w:p w14:paraId="48248150">
      <w:pPr>
        <w:jc w:val="center"/>
        <w:rPr>
          <w:rFonts w:ascii="宋体" w:hAnsi="宋体"/>
          <w:b/>
          <w:sz w:val="28"/>
          <w:szCs w:val="28"/>
        </w:rPr>
      </w:pPr>
      <w:r>
        <w:rPr>
          <w:rFonts w:hint="eastAsia" w:ascii="宋体" w:hAnsi="宋体"/>
          <w:b/>
          <w:sz w:val="28"/>
          <w:szCs w:val="28"/>
        </w:rPr>
        <w:t>监狱企业资格证明材料</w:t>
      </w:r>
    </w:p>
    <w:p w14:paraId="3B81B7A6">
      <w:pPr>
        <w:jc w:val="center"/>
        <w:rPr>
          <w:rFonts w:ascii="宋体" w:hAnsi="宋体"/>
        </w:rPr>
      </w:pPr>
      <w:r>
        <w:rPr>
          <w:rFonts w:hint="eastAsia" w:ascii="宋体" w:hAnsi="宋体"/>
          <w:szCs w:val="21"/>
        </w:rPr>
        <w:t>（省级以上监狱管理局、戒毒管理局（含新疆生产建设兵团）出具的属于监狱企业的证明文件）</w:t>
      </w:r>
    </w:p>
    <w:p w14:paraId="7A6F301F">
      <w:pPr>
        <w:rPr>
          <w:rFonts w:ascii="宋体" w:hAnsi="宋体"/>
        </w:rPr>
      </w:pPr>
    </w:p>
    <w:p w14:paraId="169606C8">
      <w:pPr>
        <w:rPr>
          <w:rFonts w:ascii="宋体" w:hAnsi="宋体"/>
        </w:rPr>
      </w:pPr>
    </w:p>
    <w:p w14:paraId="148EE154">
      <w:pPr>
        <w:widowControl/>
        <w:jc w:val="left"/>
        <w:rPr>
          <w:rFonts w:ascii="宋体" w:hAnsi="宋体"/>
          <w:szCs w:val="21"/>
        </w:rPr>
      </w:pPr>
      <w:r>
        <w:rPr>
          <w:rFonts w:ascii="宋体" w:hAnsi="宋体"/>
          <w:szCs w:val="21"/>
        </w:rPr>
        <w:br w:type="page"/>
      </w:r>
    </w:p>
    <w:p w14:paraId="1C9D52A9">
      <w:pPr>
        <w:pStyle w:val="64"/>
        <w:autoSpaceDE w:val="0"/>
        <w:autoSpaceDN w:val="0"/>
        <w:adjustRightInd w:val="0"/>
        <w:spacing w:line="360" w:lineRule="auto"/>
        <w:ind w:firstLine="0" w:firstLineChars="0"/>
        <w:outlineLvl w:val="2"/>
        <w:rPr>
          <w:rFonts w:ascii="宋体" w:hAnsi="宋体" w:cs="Arial"/>
          <w:b/>
          <w:bCs/>
          <w:szCs w:val="21"/>
        </w:rPr>
      </w:pPr>
      <w:bookmarkStart w:id="83" w:name="_Toc24393"/>
      <w:bookmarkStart w:id="84" w:name="_Toc1763"/>
      <w:r>
        <w:rPr>
          <w:rFonts w:hint="eastAsia" w:ascii="宋体" w:hAnsi="宋体" w:cs="Arial"/>
          <w:b/>
          <w:bCs/>
          <w:szCs w:val="21"/>
        </w:rPr>
        <w:t>4、本国产品声明函</w:t>
      </w:r>
      <w:bookmarkEnd w:id="83"/>
    </w:p>
    <w:p w14:paraId="199A740E">
      <w:pPr>
        <w:jc w:val="center"/>
        <w:rPr>
          <w:b/>
          <w:bCs/>
          <w:sz w:val="24"/>
          <w:szCs w:val="32"/>
        </w:rPr>
      </w:pPr>
      <w:r>
        <w:rPr>
          <w:rFonts w:hint="eastAsia"/>
          <w:b/>
          <w:bCs/>
          <w:sz w:val="24"/>
          <w:szCs w:val="32"/>
        </w:rPr>
        <w:t>关于符合本国产品标准的声明函</w:t>
      </w:r>
      <w:bookmarkEnd w:id="84"/>
    </w:p>
    <w:p w14:paraId="07EC42BC">
      <w:pPr>
        <w:ind w:firstLine="562"/>
        <w:jc w:val="center"/>
        <w:rPr>
          <w:rFonts w:ascii="宋体" w:hAnsi="宋体"/>
          <w:b/>
          <w:sz w:val="28"/>
          <w:szCs w:val="28"/>
        </w:rPr>
      </w:pPr>
    </w:p>
    <w:p w14:paraId="296E7338">
      <w:pPr>
        <w:pStyle w:val="31"/>
        <w:spacing w:before="0" w:beforeAutospacing="0" w:after="0" w:afterAutospacing="0"/>
        <w:ind w:firstLine="480"/>
        <w:rPr>
          <w:rFonts w:cs="方正魏碑_GBK" w:asciiTheme="minorEastAsia" w:hAnsiTheme="minorEastAsia" w:eastAsiaTheme="minorEastAsia"/>
        </w:rPr>
      </w:pPr>
      <w:r>
        <w:rPr>
          <w:rFonts w:hint="eastAsia" w:cs="方正魏碑_GBK" w:asciiTheme="minorEastAsia" w:hAnsiTheme="minorEastAsia" w:eastAsiaTheme="minorEastAsia"/>
        </w:rPr>
        <w:t>本公司（单位）郑重声明，根据《国务院办公厅关于在政府采购中实施本国产品标准及相关政策的通知》（国办发〔2025〕34号）的规定，本公司（单位）提供的以下产品属于本国产品。具体情况如下：</w:t>
      </w:r>
    </w:p>
    <w:p w14:paraId="531326E8">
      <w:pPr>
        <w:pStyle w:val="31"/>
        <w:spacing w:before="30" w:beforeAutospacing="0" w:after="30" w:afterAutospacing="0"/>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1.</w:t>
      </w:r>
      <w:r>
        <w:rPr>
          <w:rStyle w:val="41"/>
          <w:rFonts w:hint="eastAsia" w:cs="方正魏碑_GBK" w:asciiTheme="minorEastAsia" w:hAnsiTheme="minorEastAsia" w:eastAsiaTheme="minorEastAsia"/>
          <w:i w:val="0"/>
          <w:u w:val="single"/>
          <w:shd w:val="clear" w:color="auto" w:fill="FFFFFF"/>
        </w:rPr>
        <w:t>（产品名称1）</w:t>
      </w:r>
      <w:r>
        <w:rPr>
          <w:rStyle w:val="41"/>
          <w:rFonts w:hint="eastAsia" w:cs="方正魏碑_GBK" w:asciiTheme="minorEastAsia" w:hAnsiTheme="minorEastAsia" w:eastAsiaTheme="minorEastAsia"/>
          <w:i w:val="0"/>
          <w:shd w:val="clear" w:color="auto" w:fill="FFFFFF"/>
          <w:vertAlign w:val="superscript"/>
        </w:rPr>
        <w:t>1</w:t>
      </w:r>
      <w:r>
        <w:rPr>
          <w:rFonts w:hint="eastAsia" w:cs="方正魏碑_GBK" w:asciiTheme="minorEastAsia" w:hAnsiTheme="minorEastAsia" w:eastAsiaTheme="minorEastAsia"/>
          <w:shd w:val="clear" w:color="auto" w:fill="FFFFFF"/>
        </w:rPr>
        <w:t>，生产厂为</w:t>
      </w:r>
      <w:r>
        <w:rPr>
          <w:rStyle w:val="41"/>
          <w:rFonts w:hint="eastAsia" w:cs="方正魏碑_GBK" w:asciiTheme="minorEastAsia" w:hAnsiTheme="minorEastAsia" w:eastAsiaTheme="minorEastAsia"/>
          <w:i w:val="0"/>
          <w:u w:val="single"/>
          <w:shd w:val="clear" w:color="auto" w:fill="FFFFFF"/>
        </w:rPr>
        <w:t>（厂名）</w:t>
      </w:r>
      <w:r>
        <w:rPr>
          <w:rStyle w:val="41"/>
          <w:rFonts w:hint="eastAsia" w:cs="方正魏碑_GBK" w:asciiTheme="minorEastAsia" w:hAnsiTheme="minorEastAsia" w:eastAsiaTheme="minorEastAsia"/>
          <w:i w:val="0"/>
          <w:shd w:val="clear" w:color="auto" w:fill="FFFFFF"/>
          <w:vertAlign w:val="superscript"/>
        </w:rPr>
        <w:t>2</w:t>
      </w:r>
      <w:r>
        <w:rPr>
          <w:rFonts w:hint="eastAsia" w:cs="方正魏碑_GBK" w:asciiTheme="minorEastAsia" w:hAnsiTheme="minorEastAsia" w:eastAsiaTheme="minorEastAsia"/>
          <w:shd w:val="clear" w:color="auto" w:fill="FFFFFF"/>
        </w:rPr>
        <w:t>，厂址为</w:t>
      </w:r>
      <w:r>
        <w:rPr>
          <w:rStyle w:val="41"/>
          <w:rFonts w:hint="eastAsia" w:cs="方正魏碑_GBK" w:asciiTheme="minorEastAsia" w:hAnsiTheme="minorEastAsia" w:eastAsiaTheme="minorEastAsia"/>
          <w:i w:val="0"/>
          <w:u w:val="single"/>
          <w:shd w:val="clear" w:color="auto" w:fill="FFFFFF"/>
        </w:rPr>
        <w:t>（生产厂址）</w:t>
      </w:r>
      <w:r>
        <w:rPr>
          <w:rFonts w:hint="eastAsia" w:cs="方正魏碑_GBK" w:asciiTheme="minorEastAsia" w:hAnsiTheme="minorEastAsia" w:eastAsiaTheme="minorEastAsia"/>
          <w:shd w:val="clear" w:color="auto" w:fill="FFFFFF"/>
        </w:rPr>
        <w:t>。</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的中国境内生产的组件成本占比≥</w:t>
      </w:r>
      <w:r>
        <w:rPr>
          <w:rStyle w:val="41"/>
          <w:rFonts w:hint="eastAsia" w:cs="方正魏碑_GBK" w:asciiTheme="minorEastAsia" w:hAnsiTheme="minorEastAsia" w:eastAsiaTheme="minorEastAsia"/>
          <w:i w:val="0"/>
          <w:u w:val="single"/>
          <w:shd w:val="clear" w:color="auto" w:fill="FFFFFF"/>
        </w:rPr>
        <w:t xml:space="preserve">/  </w:t>
      </w:r>
      <w:r>
        <w:rPr>
          <w:rStyle w:val="41"/>
          <w:rFonts w:hint="eastAsia" w:cs="方正魏碑_GBK" w:asciiTheme="minorEastAsia" w:hAnsiTheme="minorEastAsia" w:eastAsiaTheme="minorEastAsia"/>
          <w:i w:val="0"/>
          <w:shd w:val="clear" w:color="auto" w:fill="FFFFFF"/>
          <w:vertAlign w:val="superscript"/>
        </w:rPr>
        <w:t>3</w:t>
      </w:r>
      <w:r>
        <w:rPr>
          <w:rFonts w:hint="eastAsia" w:cs="方正魏碑_GBK" w:asciiTheme="minorEastAsia" w:hAnsiTheme="minorEastAsia" w:eastAsiaTheme="minorEastAsia"/>
          <w:shd w:val="clear" w:color="auto" w:fill="FFFFFF"/>
        </w:rPr>
        <w:t>。</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的</w:t>
      </w:r>
      <w:r>
        <w:rPr>
          <w:rStyle w:val="41"/>
          <w:rFonts w:hint="eastAsia" w:cs="方正魏碑_GBK" w:asciiTheme="minorEastAsia" w:hAnsiTheme="minorEastAsia" w:eastAsiaTheme="minorEastAsia"/>
          <w:i w:val="0"/>
          <w:u w:val="single"/>
          <w:shd w:val="clear" w:color="auto" w:fill="FFFFFF"/>
        </w:rPr>
        <w:t xml:space="preserve">/  </w:t>
      </w:r>
      <w:r>
        <w:rPr>
          <w:rStyle w:val="41"/>
          <w:rFonts w:hint="eastAsia" w:cs="方正魏碑_GBK" w:asciiTheme="minorEastAsia" w:hAnsiTheme="minorEastAsia" w:eastAsiaTheme="minorEastAsia"/>
          <w:i w:val="0"/>
          <w:shd w:val="clear" w:color="auto" w:fill="FFFFFF"/>
          <w:vertAlign w:val="superscript"/>
        </w:rPr>
        <w:t>4</w:t>
      </w:r>
      <w:r>
        <w:rPr>
          <w:rFonts w:hint="eastAsia" w:cs="方正魏碑_GBK" w:asciiTheme="minorEastAsia" w:hAnsiTheme="minorEastAsia" w:eastAsiaTheme="minorEastAsia"/>
          <w:shd w:val="clear" w:color="auto" w:fill="FFFFFF"/>
        </w:rPr>
        <w:t>在中国境内生产。</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的</w:t>
      </w:r>
      <w:r>
        <w:rPr>
          <w:rStyle w:val="41"/>
          <w:rFonts w:hint="eastAsia" w:cs="方正魏碑_GBK" w:asciiTheme="minorEastAsia" w:hAnsiTheme="minorEastAsia" w:eastAsiaTheme="minorEastAsia"/>
          <w:i w:val="0"/>
          <w:u w:val="single"/>
          <w:shd w:val="clear" w:color="auto" w:fill="FFFFFF"/>
        </w:rPr>
        <w:t xml:space="preserve">/  </w:t>
      </w:r>
      <w:r>
        <w:rPr>
          <w:rStyle w:val="41"/>
          <w:rFonts w:hint="eastAsia" w:cs="方正魏碑_GBK" w:asciiTheme="minorEastAsia" w:hAnsiTheme="minorEastAsia" w:eastAsiaTheme="minorEastAsia"/>
          <w:i w:val="0"/>
          <w:shd w:val="clear" w:color="auto" w:fill="FFFFFF"/>
          <w:vertAlign w:val="superscript"/>
        </w:rPr>
        <w:t>5</w:t>
      </w:r>
      <w:r>
        <w:rPr>
          <w:rFonts w:hint="eastAsia" w:cs="方正魏碑_GBK" w:asciiTheme="minorEastAsia" w:hAnsiTheme="minorEastAsia" w:eastAsiaTheme="minorEastAsia"/>
          <w:shd w:val="clear" w:color="auto" w:fill="FFFFFF"/>
        </w:rPr>
        <w:t>在中国境内完成。</w:t>
      </w:r>
    </w:p>
    <w:p w14:paraId="01A1C149">
      <w:pPr>
        <w:pStyle w:val="31"/>
        <w:spacing w:before="30" w:beforeAutospacing="0" w:after="30" w:afterAutospacing="0"/>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2.</w:t>
      </w:r>
      <w:r>
        <w:rPr>
          <w:rStyle w:val="41"/>
          <w:rFonts w:hint="eastAsia" w:cs="方正魏碑_GBK" w:asciiTheme="minorEastAsia" w:hAnsiTheme="minorEastAsia" w:eastAsiaTheme="minorEastAsia"/>
          <w:i w:val="0"/>
          <w:u w:val="single"/>
          <w:shd w:val="clear" w:color="auto" w:fill="FFFFFF"/>
        </w:rPr>
        <w:t>（产品名称2）</w:t>
      </w:r>
      <w:r>
        <w:rPr>
          <w:rFonts w:hint="eastAsia" w:cs="方正魏碑_GBK" w:asciiTheme="minorEastAsia" w:hAnsiTheme="minorEastAsia" w:eastAsiaTheme="minorEastAsia"/>
          <w:shd w:val="clear" w:color="auto" w:fill="FFFFFF"/>
        </w:rPr>
        <w:t>，生产厂为</w:t>
      </w:r>
      <w:r>
        <w:rPr>
          <w:rStyle w:val="41"/>
          <w:rFonts w:hint="eastAsia" w:cs="方正魏碑_GBK" w:asciiTheme="minorEastAsia" w:hAnsiTheme="minorEastAsia" w:eastAsiaTheme="minorEastAsia"/>
          <w:i w:val="0"/>
          <w:u w:val="single"/>
          <w:shd w:val="clear" w:color="auto" w:fill="FFFFFF"/>
        </w:rPr>
        <w:t>（厂名）</w:t>
      </w:r>
      <w:r>
        <w:rPr>
          <w:rFonts w:hint="eastAsia" w:cs="方正魏碑_GBK" w:asciiTheme="minorEastAsia" w:hAnsiTheme="minorEastAsia" w:eastAsiaTheme="minorEastAsia"/>
          <w:shd w:val="clear" w:color="auto" w:fill="FFFFFF"/>
        </w:rPr>
        <w:t>，厂址为</w:t>
      </w:r>
      <w:r>
        <w:rPr>
          <w:rStyle w:val="41"/>
          <w:rFonts w:hint="eastAsia" w:cs="方正魏碑_GBK" w:asciiTheme="minorEastAsia" w:hAnsiTheme="minorEastAsia" w:eastAsiaTheme="minorEastAsia"/>
          <w:i w:val="0"/>
          <w:u w:val="single"/>
          <w:shd w:val="clear" w:color="auto" w:fill="FFFFFF"/>
        </w:rPr>
        <w:t>（生产厂址）</w:t>
      </w:r>
      <w:r>
        <w:rPr>
          <w:rFonts w:hint="eastAsia" w:cs="方正魏碑_GBK" w:asciiTheme="minorEastAsia" w:hAnsiTheme="minorEastAsia" w:eastAsiaTheme="minorEastAsia"/>
          <w:shd w:val="clear" w:color="auto" w:fill="FFFFFF"/>
        </w:rPr>
        <w:t>。</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的中国境内生产的组件成本占比≥</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的</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在中国境内生产。</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的</w:t>
      </w:r>
      <w:r>
        <w:rPr>
          <w:rStyle w:val="41"/>
          <w:rFonts w:hint="eastAsia" w:cs="方正魏碑_GBK" w:asciiTheme="minorEastAsia" w:hAnsiTheme="minorEastAsia" w:eastAsiaTheme="minorEastAsia"/>
          <w:i w:val="0"/>
          <w:u w:val="single"/>
          <w:shd w:val="clear" w:color="auto" w:fill="FFFFFF"/>
        </w:rPr>
        <w:t xml:space="preserve">/  </w:t>
      </w:r>
      <w:r>
        <w:rPr>
          <w:rFonts w:hint="eastAsia" w:cs="方正魏碑_GBK" w:asciiTheme="minorEastAsia" w:hAnsiTheme="minorEastAsia" w:eastAsiaTheme="minorEastAsia"/>
          <w:shd w:val="clear" w:color="auto" w:fill="FFFFFF"/>
        </w:rPr>
        <w:t>在中国境内完成。</w:t>
      </w:r>
    </w:p>
    <w:p w14:paraId="071BF346">
      <w:pPr>
        <w:pStyle w:val="31"/>
        <w:spacing w:before="30" w:beforeAutospacing="0" w:after="30" w:afterAutospacing="0"/>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w:t>
      </w:r>
    </w:p>
    <w:p w14:paraId="16786916">
      <w:pPr>
        <w:pStyle w:val="31"/>
        <w:spacing w:before="30" w:beforeAutospacing="0" w:after="30" w:afterAutospacing="0"/>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本公司（单位）对上述声明内容的真实性负责。如有虚假，愿承担相应法律责任。</w:t>
      </w:r>
    </w:p>
    <w:p w14:paraId="7D2053DF">
      <w:pPr>
        <w:pStyle w:val="31"/>
        <w:spacing w:before="30" w:beforeAutospacing="0" w:after="30" w:afterAutospacing="0"/>
        <w:ind w:firstLine="480"/>
        <w:rPr>
          <w:rFonts w:cs="方正魏碑_GBK" w:asciiTheme="minorEastAsia" w:hAnsiTheme="minorEastAsia" w:eastAsiaTheme="minorEastAsia"/>
        </w:rPr>
      </w:pPr>
    </w:p>
    <w:p w14:paraId="529F55B2">
      <w:pPr>
        <w:pStyle w:val="31"/>
        <w:spacing w:before="30" w:beforeAutospacing="0" w:after="30" w:afterAutospacing="0"/>
        <w:ind w:firstLine="480"/>
        <w:jc w:val="right"/>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公司（单位）名称（加盖CA电子公章）：　        </w:t>
      </w:r>
    </w:p>
    <w:p w14:paraId="4B0278C0">
      <w:pPr>
        <w:pStyle w:val="31"/>
        <w:spacing w:before="30" w:beforeAutospacing="0" w:after="30" w:afterAutospacing="0"/>
        <w:ind w:firstLine="480"/>
        <w:jc w:val="center"/>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日期：　     </w:t>
      </w:r>
      <w:r>
        <w:rPr>
          <w:rFonts w:hint="eastAsia"/>
          <w:shd w:val="clear" w:color="auto" w:fill="FFFFFF"/>
        </w:rPr>
        <w:t>年　</w:t>
      </w:r>
      <w:r>
        <w:rPr>
          <w:rFonts w:hint="eastAsia" w:cs="方正魏碑_GBK" w:asciiTheme="minorEastAsia" w:hAnsiTheme="minorEastAsia" w:eastAsiaTheme="minorEastAsia"/>
          <w:shd w:val="clear" w:color="auto" w:fill="FFFFFF"/>
        </w:rPr>
        <w:t>  </w:t>
      </w:r>
      <w:r>
        <w:rPr>
          <w:rFonts w:hint="eastAsia"/>
          <w:shd w:val="clear" w:color="auto" w:fill="FFFFFF"/>
        </w:rPr>
        <w:t>月　</w:t>
      </w:r>
      <w:r>
        <w:rPr>
          <w:rFonts w:hint="eastAsia" w:cs="方正魏碑_GBK" w:asciiTheme="minorEastAsia" w:hAnsiTheme="minorEastAsia" w:eastAsiaTheme="minorEastAsia"/>
          <w:shd w:val="clear" w:color="auto" w:fill="FFFFFF"/>
        </w:rPr>
        <w:t>  </w:t>
      </w:r>
      <w:r>
        <w:rPr>
          <w:rFonts w:hint="eastAsia"/>
          <w:shd w:val="clear" w:color="auto" w:fill="FFFFFF"/>
        </w:rPr>
        <w:t>日</w:t>
      </w:r>
      <w:r>
        <w:rPr>
          <w:rFonts w:hint="eastAsia" w:cs="方正魏碑_GBK" w:asciiTheme="minorEastAsia" w:hAnsiTheme="minorEastAsia" w:eastAsiaTheme="minorEastAsia"/>
          <w:shd w:val="clear" w:color="auto" w:fill="FFFFFF"/>
        </w:rPr>
        <w:t>         </w:t>
      </w:r>
    </w:p>
    <w:p w14:paraId="233FD0E6">
      <w:pPr>
        <w:pStyle w:val="31"/>
        <w:spacing w:before="30" w:beforeAutospacing="0" w:after="30" w:afterAutospacing="0" w:line="0" w:lineRule="atLeast"/>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__________________</w:t>
      </w:r>
    </w:p>
    <w:p w14:paraId="1D4F3143">
      <w:pPr>
        <w:pStyle w:val="31"/>
        <w:spacing w:before="30" w:beforeAutospacing="0" w:after="30" w:afterAutospacing="0" w:line="0" w:lineRule="atLeast"/>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1.产品如有型号，请在“产品名称”栏一并填写。</w:t>
      </w:r>
    </w:p>
    <w:p w14:paraId="71AE1126">
      <w:pPr>
        <w:pStyle w:val="31"/>
        <w:spacing w:before="30" w:beforeAutospacing="0" w:after="30" w:afterAutospacing="0" w:line="0" w:lineRule="atLeast"/>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2.生产厂名与厂址应与生产厂营业执照载明的相关信息保持一致。</w:t>
      </w:r>
    </w:p>
    <w:p w14:paraId="1276F7FA">
      <w:pPr>
        <w:pStyle w:val="31"/>
        <w:spacing w:before="30" w:beforeAutospacing="0" w:after="30" w:afterAutospacing="0" w:line="0" w:lineRule="atLeast"/>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3.该产品的中国境内生产的组件成本占比相关要求实施前，“规定比例”栏可不填，下同。</w:t>
      </w:r>
    </w:p>
    <w:p w14:paraId="68D52873">
      <w:pPr>
        <w:pStyle w:val="31"/>
        <w:spacing w:before="30" w:beforeAutospacing="0" w:after="30" w:afterAutospacing="0" w:line="0" w:lineRule="atLeast"/>
        <w:ind w:firstLine="480"/>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4.该产品的关键组件要求实施前，“关键组件”栏可不填，下同。</w:t>
      </w:r>
    </w:p>
    <w:p w14:paraId="4BFA7A0B">
      <w:pPr>
        <w:pStyle w:val="31"/>
        <w:spacing w:before="30" w:beforeAutospacing="0" w:after="30" w:afterAutospacing="0" w:line="0" w:lineRule="atLeast"/>
        <w:ind w:firstLine="480"/>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5.该产品的关键工序要求实施前，“关键工序”栏可不填，下同。</w:t>
      </w:r>
    </w:p>
    <w:p w14:paraId="0B9E3998">
      <w:pPr>
        <w:spacing w:line="400" w:lineRule="exact"/>
        <w:ind w:firstLine="480"/>
        <w:rPr>
          <w:rFonts w:cs="方正魏碑_GBK" w:asciiTheme="minorEastAsia" w:hAnsiTheme="minorEastAsia" w:eastAsiaTheme="minorEastAsia"/>
          <w:sz w:val="24"/>
          <w:shd w:val="clear" w:color="auto" w:fill="FFFFFF"/>
        </w:rPr>
      </w:pPr>
      <w:r>
        <w:rPr>
          <w:rFonts w:hint="eastAsia" w:cs="方正魏碑_GBK" w:asciiTheme="minorEastAsia" w:hAnsiTheme="minorEastAsia" w:eastAsiaTheme="minorEastAsia"/>
          <w:sz w:val="24"/>
          <w:shd w:val="clear" w:color="auto" w:fill="FFFFFF"/>
        </w:rPr>
        <w:t>6.《声明函》中标注“</w:t>
      </w:r>
      <w:r>
        <w:rPr>
          <w:rStyle w:val="41"/>
          <w:rFonts w:hint="eastAsia" w:cs="方正魏碑_GBK" w:asciiTheme="minorEastAsia" w:hAnsiTheme="minorEastAsia" w:eastAsiaTheme="minorEastAsia"/>
          <w:i w:val="0"/>
          <w:sz w:val="24"/>
          <w:u w:val="single"/>
          <w:shd w:val="clear" w:color="auto" w:fill="FFFFFF"/>
        </w:rPr>
        <w:t xml:space="preserve">/  </w:t>
      </w:r>
      <w:r>
        <w:rPr>
          <w:rFonts w:hint="eastAsia" w:cs="方正魏碑_GBK" w:asciiTheme="minorEastAsia" w:hAnsiTheme="minorEastAsia" w:eastAsiaTheme="minorEastAsia"/>
          <w:sz w:val="24"/>
          <w:shd w:val="clear" w:color="auto" w:fill="FFFFFF"/>
        </w:rPr>
        <w:t>”的地方无需填写。</w:t>
      </w:r>
    </w:p>
    <w:p w14:paraId="0321E4BD">
      <w:pPr>
        <w:spacing w:line="400" w:lineRule="exact"/>
        <w:ind w:firstLine="480"/>
        <w:rPr>
          <w:rFonts w:cs="宋体" w:asciiTheme="minorEastAsia" w:hAnsiTheme="minorEastAsia" w:eastAsiaTheme="minorEastAsia"/>
        </w:rPr>
      </w:pPr>
      <w:r>
        <w:rPr>
          <w:rFonts w:hint="eastAsia" w:cs="方正魏碑_GBK" w:asciiTheme="minorEastAsia" w:hAnsiTheme="minorEastAsia" w:eastAsiaTheme="minorEastAsia"/>
          <w:sz w:val="24"/>
          <w:shd w:val="clear" w:color="auto" w:fill="FFFFFF"/>
        </w:rPr>
        <w:t>供应商提供虚假《声明函》、虚假证明文件谋取中标、成交的，依照《中华人民共和国政府采购法》等法律法规规定追究相应责任。</w:t>
      </w:r>
    </w:p>
    <w:p w14:paraId="0508C7E9">
      <w:pPr>
        <w:rPr>
          <w:rFonts w:ascii="宋体" w:hAnsi="宋体" w:cs="Arial"/>
          <w:b/>
          <w:szCs w:val="21"/>
        </w:rPr>
      </w:pPr>
      <w:r>
        <w:rPr>
          <w:rFonts w:hint="eastAsia" w:ascii="宋体" w:hAnsi="宋体" w:cs="Arial"/>
          <w:b/>
          <w:szCs w:val="21"/>
        </w:rPr>
        <w:br w:type="page"/>
      </w:r>
    </w:p>
    <w:p w14:paraId="24C29D2D">
      <w:pPr>
        <w:pStyle w:val="64"/>
        <w:spacing w:after="156" w:afterLines="50" w:line="440" w:lineRule="exact"/>
        <w:ind w:left="567" w:hanging="567" w:firstLineChars="0"/>
        <w:outlineLvl w:val="1"/>
        <w:rPr>
          <w:rFonts w:ascii="宋体" w:hAnsi="宋体" w:cs="Arial"/>
          <w:b/>
          <w:szCs w:val="21"/>
        </w:rPr>
      </w:pPr>
      <w:bookmarkStart w:id="85" w:name="_Toc1606"/>
      <w:r>
        <w:rPr>
          <w:rFonts w:hint="eastAsia" w:ascii="宋体" w:hAnsi="宋体" w:cs="Arial"/>
          <w:b/>
          <w:szCs w:val="21"/>
        </w:rPr>
        <w:t>九</w:t>
      </w:r>
      <w:r>
        <w:rPr>
          <w:rFonts w:ascii="宋体" w:hAnsi="宋体" w:cs="Arial"/>
          <w:b/>
          <w:szCs w:val="21"/>
        </w:rPr>
        <w:t>、</w:t>
      </w:r>
      <w:r>
        <w:rPr>
          <w:rFonts w:hint="eastAsia" w:ascii="宋体" w:hAnsi="宋体" w:cs="Arial"/>
          <w:b/>
          <w:szCs w:val="21"/>
        </w:rPr>
        <w:t>综合评分标准中涉及的相关证明材料</w:t>
      </w:r>
      <w:bookmarkEnd w:id="85"/>
    </w:p>
    <w:p w14:paraId="67591972">
      <w:pPr>
        <w:spacing w:line="360" w:lineRule="auto"/>
        <w:ind w:firstLine="420" w:firstLineChars="200"/>
        <w:jc w:val="left"/>
        <w:rPr>
          <w:rFonts w:ascii="宋体" w:hAnsi="宋体"/>
        </w:rPr>
      </w:pPr>
    </w:p>
    <w:p w14:paraId="363A8DD6">
      <w:pPr>
        <w:widowControl/>
        <w:jc w:val="left"/>
        <w:rPr>
          <w:rFonts w:ascii="宋体" w:hAnsi="宋体"/>
        </w:rPr>
      </w:pPr>
      <w:r>
        <w:rPr>
          <w:rFonts w:hint="eastAsia" w:ascii="宋体" w:hAnsi="宋体"/>
        </w:rPr>
        <w:br w:type="page"/>
      </w:r>
    </w:p>
    <w:p w14:paraId="6BDF68B9">
      <w:pPr>
        <w:pStyle w:val="64"/>
        <w:spacing w:after="156" w:afterLines="50" w:line="440" w:lineRule="exact"/>
        <w:ind w:left="567" w:hanging="567" w:firstLineChars="0"/>
        <w:outlineLvl w:val="1"/>
        <w:rPr>
          <w:rFonts w:ascii="宋体" w:hAnsi="宋体" w:cs="Arial"/>
          <w:b/>
          <w:szCs w:val="21"/>
        </w:rPr>
      </w:pPr>
      <w:bookmarkStart w:id="86" w:name="_Toc28788"/>
      <w:r>
        <w:rPr>
          <w:rFonts w:hint="eastAsia" w:ascii="宋体" w:hAnsi="宋体" w:cs="Arial"/>
          <w:b/>
          <w:szCs w:val="21"/>
        </w:rPr>
        <w:t>十</w:t>
      </w:r>
      <w:r>
        <w:rPr>
          <w:rFonts w:ascii="宋体" w:hAnsi="宋体" w:cs="Arial"/>
          <w:b/>
          <w:szCs w:val="21"/>
        </w:rPr>
        <w:t>、</w:t>
      </w:r>
      <w:r>
        <w:rPr>
          <w:rFonts w:hint="eastAsia" w:ascii="宋体" w:hAnsi="宋体" w:cs="Arial"/>
          <w:b/>
          <w:szCs w:val="21"/>
        </w:rPr>
        <w:t>投标人认为需要提供的其它资料（如有）</w:t>
      </w:r>
      <w:bookmarkEnd w:id="86"/>
    </w:p>
    <w:p w14:paraId="63E33F0E">
      <w:pPr>
        <w:rPr>
          <w:rFonts w:ascii="宋体" w:hAnsi="宋体"/>
        </w:rPr>
      </w:pPr>
    </w:p>
    <w:p w14:paraId="4E4BE6F1">
      <w:pPr>
        <w:widowControl/>
        <w:jc w:val="left"/>
        <w:rPr>
          <w:rFonts w:ascii="宋体" w:hAnsi="宋体"/>
        </w:rPr>
      </w:pPr>
    </w:p>
    <w:sectPr>
      <w:pgSz w:w="11906" w:h="16838"/>
      <w:pgMar w:top="1701"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Narrow">
    <w:panose1 w:val="020B0606020202030204"/>
    <w:charset w:val="00"/>
    <w:family w:val="swiss"/>
    <w:pitch w:val="default"/>
    <w:sig w:usb0="00000287" w:usb1="00000800" w:usb2="00000000" w:usb3="00000000" w:csb0="2000009F" w:csb1="DFD7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长城大标宋体">
    <w:altName w:val="宋体"/>
    <w:panose1 w:val="00000000000000000000"/>
    <w:charset w:val="52"/>
    <w:family w:val="auto"/>
    <w:pitch w:val="default"/>
    <w:sig w:usb0="00000000" w:usb1="00000000" w:usb2="00000000" w:usb3="00000000" w:csb0="0000009F" w:csb1="00000000"/>
  </w:font>
  <w:font w:name="FrutBold">
    <w:altName w:val="ksdb"/>
    <w:panose1 w:val="00000000000000000000"/>
    <w:charset w:val="00"/>
    <w:family w:val="auto"/>
    <w:pitch w:val="default"/>
    <w:sig w:usb0="00000000" w:usb1="00000000" w:usb2="00000000" w:usb3="00000000" w:csb0="0000001B" w:csb1="00000000"/>
  </w:font>
  <w:font w:name="ksdb">
    <w:panose1 w:val="02000500000000000000"/>
    <w:charset w:val="00"/>
    <w:family w:val="auto"/>
    <w:pitch w:val="default"/>
    <w:sig w:usb0="00000001"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Microsoft YaHei UI">
    <w:panose1 w:val="020B0503020204020204"/>
    <w:charset w:val="86"/>
    <w:family w:val="swiss"/>
    <w:pitch w:val="default"/>
    <w:sig w:usb0="80000287" w:usb1="2ACF3C50" w:usb2="00000016" w:usb3="00000000" w:csb0="0004001F" w:csb1="00000000"/>
  </w:font>
  <w:font w:name="CG Times (WN)">
    <w:altName w:val="Times New Roman"/>
    <w:panose1 w:val="00000000000000000000"/>
    <w:charset w:val="00"/>
    <w:family w:val="roman"/>
    <w:pitch w:val="default"/>
    <w:sig w:usb0="00000000" w:usb1="00000000" w:usb2="00000000" w:usb3="00000000" w:csb0="00000001"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方正魏碑_GBK">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48E61">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35EA9">
    <w:pPr>
      <w:pStyle w:val="22"/>
      <w:jc w:val="center"/>
    </w:pPr>
    <w:r>
      <w:rPr>
        <w:rStyle w:val="40"/>
      </w:rPr>
      <w:fldChar w:fldCharType="begin"/>
    </w:r>
    <w:r>
      <w:rPr>
        <w:rStyle w:val="40"/>
      </w:rPr>
      <w:instrText xml:space="preserve"> PAGE </w:instrText>
    </w:r>
    <w:r>
      <w:rPr>
        <w:rStyle w:val="40"/>
      </w:rPr>
      <w:fldChar w:fldCharType="separate"/>
    </w:r>
    <w:r>
      <w:rPr>
        <w:rStyle w:val="40"/>
      </w:rPr>
      <w:t>24</w:t>
    </w:r>
    <w:r>
      <w:rPr>
        <w:rStyle w:val="4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13CD3">
    <w:pPr>
      <w:pStyle w:val="2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F4FD2">
    <w:pPr>
      <w:pStyle w:val="2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C3361">
    <w:pPr>
      <w:jc w:val="center"/>
      <w:rPr>
        <w:sz w:val="18"/>
        <w:szCs w:val="18"/>
      </w:rPr>
    </w:pPr>
    <w:r>
      <w:rPr>
        <w:rFonts w:hint="eastAsia"/>
        <w:b/>
        <w:bCs/>
        <w:i/>
        <w:iCs/>
        <w:sz w:val="18"/>
        <w:szCs w:val="18"/>
      </w:rPr>
      <w:t>南京工业大学</w:t>
    </w:r>
    <w:r>
      <w:rPr>
        <w:rFonts w:hint="eastAsia"/>
        <w:b/>
        <w:bCs/>
        <w:i/>
        <w:iCs/>
        <w:sz w:val="18"/>
        <w:szCs w:val="18"/>
        <w:lang w:val="en-US" w:eastAsia="zh-CN"/>
      </w:rPr>
      <w:t xml:space="preserve"> </w:t>
    </w:r>
    <w:r>
      <w:rPr>
        <w:rFonts w:hint="eastAsia"/>
        <w:b/>
        <w:bCs/>
        <w:i/>
        <w:iCs/>
        <w:sz w:val="18"/>
        <w:szCs w:val="18"/>
      </w:rPr>
      <w:t xml:space="preserve">2026年第4批生产用金属磁性粉体材料采购 </w:t>
    </w:r>
    <w:r>
      <w:rPr>
        <w:b/>
        <w:bCs/>
        <w:i/>
        <w:iCs/>
        <w:sz w:val="18"/>
        <w:szCs w:val="18"/>
      </w:rPr>
      <w:t xml:space="preserve">   </w:t>
    </w:r>
    <w:r>
      <w:rPr>
        <w:rFonts w:hint="eastAsia"/>
        <w:b/>
        <w:bCs/>
        <w:i/>
        <w:iCs/>
        <w:sz w:val="18"/>
        <w:szCs w:val="1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63ACF0"/>
    <w:multiLevelType w:val="multilevel"/>
    <w:tmpl w:val="A563ACF0"/>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9.2.%1"/>
      <w:lvlJc w:val="left"/>
      <w:pPr>
        <w:ind w:left="0" w:firstLine="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5F9AB7B"/>
    <w:multiLevelType w:val="singleLevel"/>
    <w:tmpl w:val="F5F9AB7B"/>
    <w:lvl w:ilvl="0" w:tentative="0">
      <w:start w:val="6"/>
      <w:numFmt w:val="chineseCounting"/>
      <w:suff w:val="nothing"/>
      <w:lvlText w:val="%1、"/>
      <w:lvlJc w:val="left"/>
      <w:rPr>
        <w:rFonts w:hint="eastAsia"/>
      </w:rPr>
    </w:lvl>
  </w:abstractNum>
  <w:abstractNum w:abstractNumId="3">
    <w:nsid w:val="0053208E"/>
    <w:multiLevelType w:val="multilevel"/>
    <w:tmpl w:val="0053208E"/>
    <w:lvl w:ilvl="0" w:tentative="0">
      <w:start w:val="1"/>
      <w:numFmt w:val="chineseCountingThousand"/>
      <w:suff w:val="nothing"/>
      <w:lvlText w:val="第%1章"/>
      <w:lvlJc w:val="left"/>
      <w:pPr>
        <w:ind w:left="3402" w:firstLine="0"/>
      </w:pPr>
    </w:lvl>
    <w:lvl w:ilvl="1" w:tentative="0">
      <w:start w:val="1"/>
      <w:numFmt w:val="lowerLetter"/>
      <w:pStyle w:val="142"/>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6080C17"/>
    <w:multiLevelType w:val="singleLevel"/>
    <w:tmpl w:val="06080C17"/>
    <w:lvl w:ilvl="0" w:tentative="0">
      <w:start w:val="5"/>
      <w:numFmt w:val="upperLetter"/>
      <w:pStyle w:val="2"/>
      <w:lvlText w:val="%1．"/>
      <w:lvlJc w:val="left"/>
      <w:pPr>
        <w:tabs>
          <w:tab w:val="left" w:pos="396"/>
        </w:tabs>
        <w:ind w:left="396" w:hanging="396"/>
      </w:pPr>
      <w:rPr>
        <w:rFonts w:hint="eastAsia" w:cs="Times New Roman"/>
      </w:rPr>
    </w:lvl>
  </w:abstractNum>
  <w:abstractNum w:abstractNumId="5">
    <w:nsid w:val="19A119BC"/>
    <w:multiLevelType w:val="multilevel"/>
    <w:tmpl w:val="19A119BC"/>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04740EC"/>
    <w:multiLevelType w:val="multilevel"/>
    <w:tmpl w:val="304740EC"/>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7">
    <w:nsid w:val="59ADCABA"/>
    <w:multiLevelType w:val="multilevel"/>
    <w:tmpl w:val="59ADCABA"/>
    <w:lvl w:ilvl="0" w:tentative="0">
      <w:start w:val="1"/>
      <w:numFmt w:val="decimal"/>
      <w:suff w:val="space"/>
      <w:lvlText w:val="18.%1"/>
      <w:lvlJc w:val="left"/>
      <w:pPr>
        <w:ind w:left="0" w:firstLine="482"/>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BBD47F9"/>
    <w:multiLevelType w:val="multilevel"/>
    <w:tmpl w:val="7BBD47F9"/>
    <w:lvl w:ilvl="0" w:tentative="0">
      <w:start w:val="1"/>
      <w:numFmt w:val="decimal"/>
      <w:lvlText w:val="%1."/>
      <w:lvlJc w:val="left"/>
      <w:pPr>
        <w:tabs>
          <w:tab w:val="left" w:pos="425"/>
        </w:tabs>
        <w:ind w:left="425" w:hanging="425"/>
      </w:pPr>
      <w:rPr>
        <w:rFonts w:cs="Times New Roman"/>
      </w:rPr>
    </w:lvl>
    <w:lvl w:ilvl="1" w:tentative="0">
      <w:start w:val="1"/>
      <w:numFmt w:val="decimal"/>
      <w:lvlText w:val="%1.%2."/>
      <w:lvlJc w:val="left"/>
      <w:pPr>
        <w:tabs>
          <w:tab w:val="left" w:pos="747"/>
        </w:tabs>
        <w:ind w:left="747" w:hanging="567"/>
      </w:pPr>
      <w:rPr>
        <w:rFonts w:cs="Times New Roman"/>
      </w:rPr>
    </w:lvl>
    <w:lvl w:ilvl="2" w:tentative="0">
      <w:start w:val="1"/>
      <w:numFmt w:val="decimal"/>
      <w:pStyle w:val="4"/>
      <w:lvlText w:val="%1.%2.%3."/>
      <w:lvlJc w:val="left"/>
      <w:pPr>
        <w:tabs>
          <w:tab w:val="left" w:pos="1429"/>
        </w:tabs>
        <w:ind w:left="1429" w:hanging="709"/>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num w:numId="1">
    <w:abstractNumId w:val="4"/>
  </w:num>
  <w:num w:numId="2">
    <w:abstractNumId w:val="8"/>
  </w:num>
  <w:num w:numId="3">
    <w:abstractNumId w:val="3"/>
  </w:num>
  <w:num w:numId="4">
    <w:abstractNumId w:val="5"/>
  </w:num>
  <w:num w:numId="5">
    <w:abstractNumId w:val="7"/>
  </w:num>
  <w:num w:numId="6">
    <w:abstractNumId w:val="1"/>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hmMDQzYzFkODZhMDA0NmNmNWEwMmE4ZWY0MzE0ODcifQ=="/>
  </w:docVars>
  <w:rsids>
    <w:rsidRoot w:val="001C4DCC"/>
    <w:rsid w:val="00000890"/>
    <w:rsid w:val="000009B6"/>
    <w:rsid w:val="000013EA"/>
    <w:rsid w:val="000016DA"/>
    <w:rsid w:val="00001FB2"/>
    <w:rsid w:val="0000225F"/>
    <w:rsid w:val="0000233B"/>
    <w:rsid w:val="000023F8"/>
    <w:rsid w:val="000024D3"/>
    <w:rsid w:val="0000264F"/>
    <w:rsid w:val="0000299C"/>
    <w:rsid w:val="000029F6"/>
    <w:rsid w:val="00002BAA"/>
    <w:rsid w:val="0000365F"/>
    <w:rsid w:val="00004755"/>
    <w:rsid w:val="00004EF8"/>
    <w:rsid w:val="00005025"/>
    <w:rsid w:val="000051D9"/>
    <w:rsid w:val="000060BB"/>
    <w:rsid w:val="0000638D"/>
    <w:rsid w:val="00006663"/>
    <w:rsid w:val="00006968"/>
    <w:rsid w:val="00006EC0"/>
    <w:rsid w:val="00006F5F"/>
    <w:rsid w:val="0000706D"/>
    <w:rsid w:val="000075DC"/>
    <w:rsid w:val="00007AF0"/>
    <w:rsid w:val="00007FC8"/>
    <w:rsid w:val="00010685"/>
    <w:rsid w:val="0001183F"/>
    <w:rsid w:val="0001189B"/>
    <w:rsid w:val="00012038"/>
    <w:rsid w:val="0001205C"/>
    <w:rsid w:val="00012535"/>
    <w:rsid w:val="00012666"/>
    <w:rsid w:val="000129C6"/>
    <w:rsid w:val="00012CD9"/>
    <w:rsid w:val="00012D9A"/>
    <w:rsid w:val="0001377C"/>
    <w:rsid w:val="00013A6C"/>
    <w:rsid w:val="0001418C"/>
    <w:rsid w:val="000146B9"/>
    <w:rsid w:val="000148F1"/>
    <w:rsid w:val="00014A05"/>
    <w:rsid w:val="00014A9D"/>
    <w:rsid w:val="00014BF7"/>
    <w:rsid w:val="00014CB8"/>
    <w:rsid w:val="00014DDA"/>
    <w:rsid w:val="000153FB"/>
    <w:rsid w:val="00015954"/>
    <w:rsid w:val="00015ED4"/>
    <w:rsid w:val="00016D0A"/>
    <w:rsid w:val="00017450"/>
    <w:rsid w:val="00020EB4"/>
    <w:rsid w:val="00020F86"/>
    <w:rsid w:val="00021609"/>
    <w:rsid w:val="00021F64"/>
    <w:rsid w:val="0002221C"/>
    <w:rsid w:val="00022D3E"/>
    <w:rsid w:val="000238F2"/>
    <w:rsid w:val="00023D27"/>
    <w:rsid w:val="00024825"/>
    <w:rsid w:val="000249D3"/>
    <w:rsid w:val="00024C02"/>
    <w:rsid w:val="000256CC"/>
    <w:rsid w:val="00025A50"/>
    <w:rsid w:val="00026025"/>
    <w:rsid w:val="00026A33"/>
    <w:rsid w:val="00026AA2"/>
    <w:rsid w:val="00026AE1"/>
    <w:rsid w:val="00026BF7"/>
    <w:rsid w:val="00026D1B"/>
    <w:rsid w:val="00026D4D"/>
    <w:rsid w:val="000276DD"/>
    <w:rsid w:val="00027BA2"/>
    <w:rsid w:val="00027CAB"/>
    <w:rsid w:val="00030A3D"/>
    <w:rsid w:val="00030B41"/>
    <w:rsid w:val="00030E76"/>
    <w:rsid w:val="000310A1"/>
    <w:rsid w:val="000310BB"/>
    <w:rsid w:val="00032D7C"/>
    <w:rsid w:val="00032F7B"/>
    <w:rsid w:val="00033905"/>
    <w:rsid w:val="00033E4D"/>
    <w:rsid w:val="00033EA9"/>
    <w:rsid w:val="000342DE"/>
    <w:rsid w:val="00034404"/>
    <w:rsid w:val="000345B6"/>
    <w:rsid w:val="00034D35"/>
    <w:rsid w:val="000355F7"/>
    <w:rsid w:val="000357C2"/>
    <w:rsid w:val="0003605C"/>
    <w:rsid w:val="00036DF9"/>
    <w:rsid w:val="00037027"/>
    <w:rsid w:val="000377F7"/>
    <w:rsid w:val="00037C70"/>
    <w:rsid w:val="00040F09"/>
    <w:rsid w:val="00040F2A"/>
    <w:rsid w:val="000413D4"/>
    <w:rsid w:val="000418AE"/>
    <w:rsid w:val="00041A63"/>
    <w:rsid w:val="0004251B"/>
    <w:rsid w:val="000433CB"/>
    <w:rsid w:val="000435DF"/>
    <w:rsid w:val="00043C70"/>
    <w:rsid w:val="00044402"/>
    <w:rsid w:val="00044503"/>
    <w:rsid w:val="00044798"/>
    <w:rsid w:val="0004488B"/>
    <w:rsid w:val="00044E85"/>
    <w:rsid w:val="000454B8"/>
    <w:rsid w:val="00045B06"/>
    <w:rsid w:val="000464D7"/>
    <w:rsid w:val="0004693F"/>
    <w:rsid w:val="00046F21"/>
    <w:rsid w:val="000474F4"/>
    <w:rsid w:val="00047CC3"/>
    <w:rsid w:val="000508C0"/>
    <w:rsid w:val="00050963"/>
    <w:rsid w:val="000509AA"/>
    <w:rsid w:val="00051435"/>
    <w:rsid w:val="00051560"/>
    <w:rsid w:val="00051A40"/>
    <w:rsid w:val="000527D3"/>
    <w:rsid w:val="00052ABE"/>
    <w:rsid w:val="00053B5A"/>
    <w:rsid w:val="00053CCC"/>
    <w:rsid w:val="00053DC8"/>
    <w:rsid w:val="00053FDD"/>
    <w:rsid w:val="000545EE"/>
    <w:rsid w:val="00054D95"/>
    <w:rsid w:val="00055012"/>
    <w:rsid w:val="000557E2"/>
    <w:rsid w:val="00055B3C"/>
    <w:rsid w:val="00056167"/>
    <w:rsid w:val="0005622D"/>
    <w:rsid w:val="000563E4"/>
    <w:rsid w:val="000563E5"/>
    <w:rsid w:val="000564A3"/>
    <w:rsid w:val="00057781"/>
    <w:rsid w:val="0005779B"/>
    <w:rsid w:val="000608BB"/>
    <w:rsid w:val="00060CE3"/>
    <w:rsid w:val="00060E4C"/>
    <w:rsid w:val="000616E3"/>
    <w:rsid w:val="0006192B"/>
    <w:rsid w:val="00061A9F"/>
    <w:rsid w:val="00062081"/>
    <w:rsid w:val="00062913"/>
    <w:rsid w:val="00062975"/>
    <w:rsid w:val="00062D9E"/>
    <w:rsid w:val="0006323E"/>
    <w:rsid w:val="000632A3"/>
    <w:rsid w:val="0006363D"/>
    <w:rsid w:val="00063E14"/>
    <w:rsid w:val="00064332"/>
    <w:rsid w:val="00064AE0"/>
    <w:rsid w:val="00064B7E"/>
    <w:rsid w:val="00064BE3"/>
    <w:rsid w:val="000651C2"/>
    <w:rsid w:val="000652D8"/>
    <w:rsid w:val="000657DA"/>
    <w:rsid w:val="000658E1"/>
    <w:rsid w:val="00066290"/>
    <w:rsid w:val="00066358"/>
    <w:rsid w:val="000664F1"/>
    <w:rsid w:val="000667F9"/>
    <w:rsid w:val="0006688A"/>
    <w:rsid w:val="000670AE"/>
    <w:rsid w:val="000678F1"/>
    <w:rsid w:val="00067E1E"/>
    <w:rsid w:val="00067F67"/>
    <w:rsid w:val="00070167"/>
    <w:rsid w:val="000704AB"/>
    <w:rsid w:val="00070A5E"/>
    <w:rsid w:val="0007128F"/>
    <w:rsid w:val="00071421"/>
    <w:rsid w:val="0007154D"/>
    <w:rsid w:val="0007180C"/>
    <w:rsid w:val="00071EA2"/>
    <w:rsid w:val="00071EC9"/>
    <w:rsid w:val="000720A4"/>
    <w:rsid w:val="00072123"/>
    <w:rsid w:val="00072327"/>
    <w:rsid w:val="0007272A"/>
    <w:rsid w:val="00073371"/>
    <w:rsid w:val="00073CC9"/>
    <w:rsid w:val="000740F8"/>
    <w:rsid w:val="000746EE"/>
    <w:rsid w:val="00075070"/>
    <w:rsid w:val="00075C1F"/>
    <w:rsid w:val="00075C64"/>
    <w:rsid w:val="00075CE1"/>
    <w:rsid w:val="00075D71"/>
    <w:rsid w:val="00076A5A"/>
    <w:rsid w:val="00076F1C"/>
    <w:rsid w:val="000778F3"/>
    <w:rsid w:val="0008024F"/>
    <w:rsid w:val="000806E1"/>
    <w:rsid w:val="00080A60"/>
    <w:rsid w:val="00081717"/>
    <w:rsid w:val="000817CD"/>
    <w:rsid w:val="000818CB"/>
    <w:rsid w:val="0008224D"/>
    <w:rsid w:val="000840E7"/>
    <w:rsid w:val="000845AD"/>
    <w:rsid w:val="00084CF3"/>
    <w:rsid w:val="0008515C"/>
    <w:rsid w:val="00085174"/>
    <w:rsid w:val="00085C59"/>
    <w:rsid w:val="00085F2C"/>
    <w:rsid w:val="000866B5"/>
    <w:rsid w:val="000866D9"/>
    <w:rsid w:val="00087018"/>
    <w:rsid w:val="000872B0"/>
    <w:rsid w:val="00090B89"/>
    <w:rsid w:val="00090CB0"/>
    <w:rsid w:val="00090D1B"/>
    <w:rsid w:val="00090D5D"/>
    <w:rsid w:val="0009145B"/>
    <w:rsid w:val="0009188D"/>
    <w:rsid w:val="0009227B"/>
    <w:rsid w:val="0009339B"/>
    <w:rsid w:val="0009394B"/>
    <w:rsid w:val="00094623"/>
    <w:rsid w:val="000946A9"/>
    <w:rsid w:val="00094B73"/>
    <w:rsid w:val="00095356"/>
    <w:rsid w:val="00095677"/>
    <w:rsid w:val="00095AAB"/>
    <w:rsid w:val="00095F41"/>
    <w:rsid w:val="00097062"/>
    <w:rsid w:val="000972D4"/>
    <w:rsid w:val="00097402"/>
    <w:rsid w:val="00097502"/>
    <w:rsid w:val="000975FF"/>
    <w:rsid w:val="00097E37"/>
    <w:rsid w:val="000A03E1"/>
    <w:rsid w:val="000A0626"/>
    <w:rsid w:val="000A0D0E"/>
    <w:rsid w:val="000A123B"/>
    <w:rsid w:val="000A27EA"/>
    <w:rsid w:val="000A290F"/>
    <w:rsid w:val="000A32FB"/>
    <w:rsid w:val="000A3431"/>
    <w:rsid w:val="000A3995"/>
    <w:rsid w:val="000A3E16"/>
    <w:rsid w:val="000A482E"/>
    <w:rsid w:val="000A4908"/>
    <w:rsid w:val="000A6BB1"/>
    <w:rsid w:val="000A722B"/>
    <w:rsid w:val="000B04F0"/>
    <w:rsid w:val="000B0560"/>
    <w:rsid w:val="000B094F"/>
    <w:rsid w:val="000B1047"/>
    <w:rsid w:val="000B12F4"/>
    <w:rsid w:val="000B1651"/>
    <w:rsid w:val="000B172F"/>
    <w:rsid w:val="000B1883"/>
    <w:rsid w:val="000B2632"/>
    <w:rsid w:val="000B28E1"/>
    <w:rsid w:val="000B2980"/>
    <w:rsid w:val="000B2BB2"/>
    <w:rsid w:val="000B2F0F"/>
    <w:rsid w:val="000B36F5"/>
    <w:rsid w:val="000B4718"/>
    <w:rsid w:val="000B4A93"/>
    <w:rsid w:val="000B513F"/>
    <w:rsid w:val="000B5595"/>
    <w:rsid w:val="000B5C17"/>
    <w:rsid w:val="000B60D9"/>
    <w:rsid w:val="000B63B1"/>
    <w:rsid w:val="000B66CE"/>
    <w:rsid w:val="000B790F"/>
    <w:rsid w:val="000B7DF3"/>
    <w:rsid w:val="000C02BF"/>
    <w:rsid w:val="000C0427"/>
    <w:rsid w:val="000C0765"/>
    <w:rsid w:val="000C0C32"/>
    <w:rsid w:val="000C0EBC"/>
    <w:rsid w:val="000C1E04"/>
    <w:rsid w:val="000C1F71"/>
    <w:rsid w:val="000C2BF8"/>
    <w:rsid w:val="000C2D12"/>
    <w:rsid w:val="000C3125"/>
    <w:rsid w:val="000C356A"/>
    <w:rsid w:val="000C3D15"/>
    <w:rsid w:val="000C403F"/>
    <w:rsid w:val="000C4097"/>
    <w:rsid w:val="000C4407"/>
    <w:rsid w:val="000C451E"/>
    <w:rsid w:val="000C4D68"/>
    <w:rsid w:val="000C511F"/>
    <w:rsid w:val="000C628C"/>
    <w:rsid w:val="000C6465"/>
    <w:rsid w:val="000C660C"/>
    <w:rsid w:val="000C684B"/>
    <w:rsid w:val="000C6AF7"/>
    <w:rsid w:val="000C7342"/>
    <w:rsid w:val="000C7958"/>
    <w:rsid w:val="000C7B52"/>
    <w:rsid w:val="000C7E9D"/>
    <w:rsid w:val="000D0304"/>
    <w:rsid w:val="000D05D1"/>
    <w:rsid w:val="000D061D"/>
    <w:rsid w:val="000D0944"/>
    <w:rsid w:val="000D0A31"/>
    <w:rsid w:val="000D0B7B"/>
    <w:rsid w:val="000D13EB"/>
    <w:rsid w:val="000D2970"/>
    <w:rsid w:val="000D35B9"/>
    <w:rsid w:val="000D37CF"/>
    <w:rsid w:val="000D3CF0"/>
    <w:rsid w:val="000D43C5"/>
    <w:rsid w:val="000D509A"/>
    <w:rsid w:val="000D5FEB"/>
    <w:rsid w:val="000D66A7"/>
    <w:rsid w:val="000D7203"/>
    <w:rsid w:val="000D7207"/>
    <w:rsid w:val="000D757A"/>
    <w:rsid w:val="000D75EF"/>
    <w:rsid w:val="000D7660"/>
    <w:rsid w:val="000D76B4"/>
    <w:rsid w:val="000E0937"/>
    <w:rsid w:val="000E0A6A"/>
    <w:rsid w:val="000E0AA7"/>
    <w:rsid w:val="000E0C17"/>
    <w:rsid w:val="000E1B6C"/>
    <w:rsid w:val="000E1C29"/>
    <w:rsid w:val="000E2027"/>
    <w:rsid w:val="000E257A"/>
    <w:rsid w:val="000E290E"/>
    <w:rsid w:val="000E3EB6"/>
    <w:rsid w:val="000E4BA9"/>
    <w:rsid w:val="000E5272"/>
    <w:rsid w:val="000E57E5"/>
    <w:rsid w:val="000E5990"/>
    <w:rsid w:val="000E677D"/>
    <w:rsid w:val="000E69B4"/>
    <w:rsid w:val="000E72C9"/>
    <w:rsid w:val="000E792E"/>
    <w:rsid w:val="000E7E91"/>
    <w:rsid w:val="000F02F1"/>
    <w:rsid w:val="000F043C"/>
    <w:rsid w:val="000F13C4"/>
    <w:rsid w:val="000F13F6"/>
    <w:rsid w:val="000F2741"/>
    <w:rsid w:val="000F2B6A"/>
    <w:rsid w:val="000F30FA"/>
    <w:rsid w:val="000F343F"/>
    <w:rsid w:val="000F396F"/>
    <w:rsid w:val="000F4640"/>
    <w:rsid w:val="000F4717"/>
    <w:rsid w:val="000F564D"/>
    <w:rsid w:val="000F5A48"/>
    <w:rsid w:val="000F5D9A"/>
    <w:rsid w:val="000F63D3"/>
    <w:rsid w:val="000F658A"/>
    <w:rsid w:val="000F6FAF"/>
    <w:rsid w:val="000F773C"/>
    <w:rsid w:val="000F779A"/>
    <w:rsid w:val="000F7B67"/>
    <w:rsid w:val="001003E9"/>
    <w:rsid w:val="00100744"/>
    <w:rsid w:val="00101B15"/>
    <w:rsid w:val="00101D96"/>
    <w:rsid w:val="00102141"/>
    <w:rsid w:val="001027D0"/>
    <w:rsid w:val="00102BF1"/>
    <w:rsid w:val="00103151"/>
    <w:rsid w:val="001031D9"/>
    <w:rsid w:val="00103706"/>
    <w:rsid w:val="0010434F"/>
    <w:rsid w:val="00104A16"/>
    <w:rsid w:val="00104B1C"/>
    <w:rsid w:val="00105555"/>
    <w:rsid w:val="00105F51"/>
    <w:rsid w:val="00106582"/>
    <w:rsid w:val="0010672D"/>
    <w:rsid w:val="001077C2"/>
    <w:rsid w:val="00107DE4"/>
    <w:rsid w:val="0011040C"/>
    <w:rsid w:val="001104B4"/>
    <w:rsid w:val="0011083F"/>
    <w:rsid w:val="0011127B"/>
    <w:rsid w:val="0011195C"/>
    <w:rsid w:val="00111F97"/>
    <w:rsid w:val="0011314E"/>
    <w:rsid w:val="001138AE"/>
    <w:rsid w:val="00114075"/>
    <w:rsid w:val="00114787"/>
    <w:rsid w:val="00114984"/>
    <w:rsid w:val="00114C39"/>
    <w:rsid w:val="0011529F"/>
    <w:rsid w:val="00115675"/>
    <w:rsid w:val="00115D70"/>
    <w:rsid w:val="00115E94"/>
    <w:rsid w:val="0011610F"/>
    <w:rsid w:val="00116815"/>
    <w:rsid w:val="0012007E"/>
    <w:rsid w:val="0012012A"/>
    <w:rsid w:val="00120975"/>
    <w:rsid w:val="00120DDD"/>
    <w:rsid w:val="001214AB"/>
    <w:rsid w:val="00121664"/>
    <w:rsid w:val="00121AA9"/>
    <w:rsid w:val="00121DC8"/>
    <w:rsid w:val="00121E0D"/>
    <w:rsid w:val="001220AB"/>
    <w:rsid w:val="00122188"/>
    <w:rsid w:val="00122189"/>
    <w:rsid w:val="001228D5"/>
    <w:rsid w:val="00123012"/>
    <w:rsid w:val="001232F8"/>
    <w:rsid w:val="00123DDE"/>
    <w:rsid w:val="00123E0E"/>
    <w:rsid w:val="001245F8"/>
    <w:rsid w:val="001247AA"/>
    <w:rsid w:val="00124F53"/>
    <w:rsid w:val="00125073"/>
    <w:rsid w:val="0012522E"/>
    <w:rsid w:val="00125559"/>
    <w:rsid w:val="00125BC7"/>
    <w:rsid w:val="00125FD6"/>
    <w:rsid w:val="00126646"/>
    <w:rsid w:val="00126929"/>
    <w:rsid w:val="00127E33"/>
    <w:rsid w:val="00130065"/>
    <w:rsid w:val="001300AE"/>
    <w:rsid w:val="00130FB4"/>
    <w:rsid w:val="001312C4"/>
    <w:rsid w:val="00133019"/>
    <w:rsid w:val="001334D3"/>
    <w:rsid w:val="001336A7"/>
    <w:rsid w:val="0013420E"/>
    <w:rsid w:val="00134970"/>
    <w:rsid w:val="00134E8D"/>
    <w:rsid w:val="001354C0"/>
    <w:rsid w:val="0013563C"/>
    <w:rsid w:val="00135D39"/>
    <w:rsid w:val="001364EF"/>
    <w:rsid w:val="0013675F"/>
    <w:rsid w:val="00136B2B"/>
    <w:rsid w:val="00136B6B"/>
    <w:rsid w:val="00136FE8"/>
    <w:rsid w:val="001379E5"/>
    <w:rsid w:val="0014094B"/>
    <w:rsid w:val="00141FBF"/>
    <w:rsid w:val="001420D1"/>
    <w:rsid w:val="00142B78"/>
    <w:rsid w:val="00142CBD"/>
    <w:rsid w:val="00142F6F"/>
    <w:rsid w:val="001432E1"/>
    <w:rsid w:val="00143325"/>
    <w:rsid w:val="00143755"/>
    <w:rsid w:val="00143884"/>
    <w:rsid w:val="00144151"/>
    <w:rsid w:val="00144286"/>
    <w:rsid w:val="0014461D"/>
    <w:rsid w:val="0014553C"/>
    <w:rsid w:val="001455C8"/>
    <w:rsid w:val="001456D5"/>
    <w:rsid w:val="00146643"/>
    <w:rsid w:val="00146D3B"/>
    <w:rsid w:val="00147C08"/>
    <w:rsid w:val="00147D53"/>
    <w:rsid w:val="00147D8D"/>
    <w:rsid w:val="00150A27"/>
    <w:rsid w:val="00150BCD"/>
    <w:rsid w:val="00150BEA"/>
    <w:rsid w:val="0015154E"/>
    <w:rsid w:val="0015162A"/>
    <w:rsid w:val="001517C5"/>
    <w:rsid w:val="00152D8B"/>
    <w:rsid w:val="00153B18"/>
    <w:rsid w:val="00154106"/>
    <w:rsid w:val="00154943"/>
    <w:rsid w:val="001549A0"/>
    <w:rsid w:val="00154B10"/>
    <w:rsid w:val="00154C28"/>
    <w:rsid w:val="00155209"/>
    <w:rsid w:val="00155287"/>
    <w:rsid w:val="00155916"/>
    <w:rsid w:val="00155FE2"/>
    <w:rsid w:val="00156995"/>
    <w:rsid w:val="00156D44"/>
    <w:rsid w:val="00160159"/>
    <w:rsid w:val="001604C8"/>
    <w:rsid w:val="00160666"/>
    <w:rsid w:val="00160A85"/>
    <w:rsid w:val="00160F0F"/>
    <w:rsid w:val="0016100C"/>
    <w:rsid w:val="00161B0F"/>
    <w:rsid w:val="00161D47"/>
    <w:rsid w:val="00162D70"/>
    <w:rsid w:val="00162F32"/>
    <w:rsid w:val="00163ABD"/>
    <w:rsid w:val="00163B5D"/>
    <w:rsid w:val="00164508"/>
    <w:rsid w:val="00164738"/>
    <w:rsid w:val="0016487C"/>
    <w:rsid w:val="00164F5B"/>
    <w:rsid w:val="0016515A"/>
    <w:rsid w:val="00165F47"/>
    <w:rsid w:val="00166009"/>
    <w:rsid w:val="00167164"/>
    <w:rsid w:val="001674C8"/>
    <w:rsid w:val="001701C7"/>
    <w:rsid w:val="001702C7"/>
    <w:rsid w:val="00170AC2"/>
    <w:rsid w:val="001716BF"/>
    <w:rsid w:val="00172700"/>
    <w:rsid w:val="001733C7"/>
    <w:rsid w:val="00173F6F"/>
    <w:rsid w:val="0017455F"/>
    <w:rsid w:val="001747F3"/>
    <w:rsid w:val="00174AB5"/>
    <w:rsid w:val="00174DC1"/>
    <w:rsid w:val="0017546A"/>
    <w:rsid w:val="00175581"/>
    <w:rsid w:val="00175B2A"/>
    <w:rsid w:val="00176544"/>
    <w:rsid w:val="00176C58"/>
    <w:rsid w:val="00180C58"/>
    <w:rsid w:val="001812EC"/>
    <w:rsid w:val="001815CB"/>
    <w:rsid w:val="0018181F"/>
    <w:rsid w:val="00181B1A"/>
    <w:rsid w:val="00181E58"/>
    <w:rsid w:val="00181F20"/>
    <w:rsid w:val="00182A1E"/>
    <w:rsid w:val="00183131"/>
    <w:rsid w:val="00183389"/>
    <w:rsid w:val="001833E0"/>
    <w:rsid w:val="001838DA"/>
    <w:rsid w:val="00184745"/>
    <w:rsid w:val="00185E02"/>
    <w:rsid w:val="00185E08"/>
    <w:rsid w:val="0018651B"/>
    <w:rsid w:val="0018658A"/>
    <w:rsid w:val="00186B27"/>
    <w:rsid w:val="001877DF"/>
    <w:rsid w:val="00187885"/>
    <w:rsid w:val="001907D3"/>
    <w:rsid w:val="00191230"/>
    <w:rsid w:val="001918D1"/>
    <w:rsid w:val="00191B38"/>
    <w:rsid w:val="00191C6D"/>
    <w:rsid w:val="0019220A"/>
    <w:rsid w:val="001923DD"/>
    <w:rsid w:val="001925AA"/>
    <w:rsid w:val="001926B4"/>
    <w:rsid w:val="0019305C"/>
    <w:rsid w:val="001934F0"/>
    <w:rsid w:val="001935F0"/>
    <w:rsid w:val="001935F2"/>
    <w:rsid w:val="001937B5"/>
    <w:rsid w:val="00193A23"/>
    <w:rsid w:val="00193F20"/>
    <w:rsid w:val="0019404E"/>
    <w:rsid w:val="00194335"/>
    <w:rsid w:val="00194982"/>
    <w:rsid w:val="001949C8"/>
    <w:rsid w:val="00195066"/>
    <w:rsid w:val="00195DA7"/>
    <w:rsid w:val="00196151"/>
    <w:rsid w:val="00196835"/>
    <w:rsid w:val="001976E7"/>
    <w:rsid w:val="001978D9"/>
    <w:rsid w:val="00197D05"/>
    <w:rsid w:val="001A00E1"/>
    <w:rsid w:val="001A1296"/>
    <w:rsid w:val="001A17F4"/>
    <w:rsid w:val="001A187D"/>
    <w:rsid w:val="001A1C76"/>
    <w:rsid w:val="001A2683"/>
    <w:rsid w:val="001A31AD"/>
    <w:rsid w:val="001A4E3B"/>
    <w:rsid w:val="001A5487"/>
    <w:rsid w:val="001A5784"/>
    <w:rsid w:val="001A59A1"/>
    <w:rsid w:val="001A696B"/>
    <w:rsid w:val="001A6C14"/>
    <w:rsid w:val="001A7769"/>
    <w:rsid w:val="001A78DE"/>
    <w:rsid w:val="001A7AC9"/>
    <w:rsid w:val="001A7CCB"/>
    <w:rsid w:val="001B08A1"/>
    <w:rsid w:val="001B0B8C"/>
    <w:rsid w:val="001B1B62"/>
    <w:rsid w:val="001B1B7F"/>
    <w:rsid w:val="001B2D83"/>
    <w:rsid w:val="001B4144"/>
    <w:rsid w:val="001B49BA"/>
    <w:rsid w:val="001B5DEF"/>
    <w:rsid w:val="001B6285"/>
    <w:rsid w:val="001B68BA"/>
    <w:rsid w:val="001B6C85"/>
    <w:rsid w:val="001B7456"/>
    <w:rsid w:val="001B7E98"/>
    <w:rsid w:val="001C1536"/>
    <w:rsid w:val="001C2427"/>
    <w:rsid w:val="001C2FF6"/>
    <w:rsid w:val="001C37F8"/>
    <w:rsid w:val="001C3875"/>
    <w:rsid w:val="001C3BC0"/>
    <w:rsid w:val="001C3CCC"/>
    <w:rsid w:val="001C4A4C"/>
    <w:rsid w:val="001C4B60"/>
    <w:rsid w:val="001C4DCC"/>
    <w:rsid w:val="001C5492"/>
    <w:rsid w:val="001C5B8B"/>
    <w:rsid w:val="001C646F"/>
    <w:rsid w:val="001C6482"/>
    <w:rsid w:val="001C6B5A"/>
    <w:rsid w:val="001D0D68"/>
    <w:rsid w:val="001D370D"/>
    <w:rsid w:val="001D3EE6"/>
    <w:rsid w:val="001D44A3"/>
    <w:rsid w:val="001D4C6B"/>
    <w:rsid w:val="001D4E76"/>
    <w:rsid w:val="001D5388"/>
    <w:rsid w:val="001D5474"/>
    <w:rsid w:val="001D5E10"/>
    <w:rsid w:val="001D604B"/>
    <w:rsid w:val="001D6439"/>
    <w:rsid w:val="001D7237"/>
    <w:rsid w:val="001D7882"/>
    <w:rsid w:val="001D7D2D"/>
    <w:rsid w:val="001E00DB"/>
    <w:rsid w:val="001E0448"/>
    <w:rsid w:val="001E1CF8"/>
    <w:rsid w:val="001E1D9B"/>
    <w:rsid w:val="001E1F63"/>
    <w:rsid w:val="001E285A"/>
    <w:rsid w:val="001E2DC9"/>
    <w:rsid w:val="001E320D"/>
    <w:rsid w:val="001E3721"/>
    <w:rsid w:val="001E385F"/>
    <w:rsid w:val="001E391F"/>
    <w:rsid w:val="001E40AA"/>
    <w:rsid w:val="001E4372"/>
    <w:rsid w:val="001E44C6"/>
    <w:rsid w:val="001E45CD"/>
    <w:rsid w:val="001E48A5"/>
    <w:rsid w:val="001E664C"/>
    <w:rsid w:val="001E675F"/>
    <w:rsid w:val="001E69DB"/>
    <w:rsid w:val="001E6E33"/>
    <w:rsid w:val="001E7EB1"/>
    <w:rsid w:val="001F049E"/>
    <w:rsid w:val="001F05C3"/>
    <w:rsid w:val="001F0675"/>
    <w:rsid w:val="001F076F"/>
    <w:rsid w:val="001F0B1A"/>
    <w:rsid w:val="001F1200"/>
    <w:rsid w:val="001F181E"/>
    <w:rsid w:val="001F1CD1"/>
    <w:rsid w:val="001F247F"/>
    <w:rsid w:val="001F27AA"/>
    <w:rsid w:val="001F293A"/>
    <w:rsid w:val="001F3A6E"/>
    <w:rsid w:val="001F468E"/>
    <w:rsid w:val="001F5224"/>
    <w:rsid w:val="001F571E"/>
    <w:rsid w:val="001F6383"/>
    <w:rsid w:val="001F6597"/>
    <w:rsid w:val="001F686F"/>
    <w:rsid w:val="001F6949"/>
    <w:rsid w:val="001F72AC"/>
    <w:rsid w:val="001F7417"/>
    <w:rsid w:val="001F7B81"/>
    <w:rsid w:val="001F7E74"/>
    <w:rsid w:val="001F7ECF"/>
    <w:rsid w:val="0020010A"/>
    <w:rsid w:val="002003AE"/>
    <w:rsid w:val="00200746"/>
    <w:rsid w:val="00200917"/>
    <w:rsid w:val="0020154B"/>
    <w:rsid w:val="002018EE"/>
    <w:rsid w:val="002019DD"/>
    <w:rsid w:val="00201FA0"/>
    <w:rsid w:val="002022C0"/>
    <w:rsid w:val="00202889"/>
    <w:rsid w:val="00202918"/>
    <w:rsid w:val="00202B66"/>
    <w:rsid w:val="0020317B"/>
    <w:rsid w:val="002035F4"/>
    <w:rsid w:val="00203940"/>
    <w:rsid w:val="00203D1E"/>
    <w:rsid w:val="0020457C"/>
    <w:rsid w:val="00204CB1"/>
    <w:rsid w:val="00205467"/>
    <w:rsid w:val="00205837"/>
    <w:rsid w:val="002058C4"/>
    <w:rsid w:val="00205FE0"/>
    <w:rsid w:val="00206480"/>
    <w:rsid w:val="00206573"/>
    <w:rsid w:val="00206EF6"/>
    <w:rsid w:val="00207BCF"/>
    <w:rsid w:val="00207D7A"/>
    <w:rsid w:val="00210934"/>
    <w:rsid w:val="00210EA8"/>
    <w:rsid w:val="00210FAC"/>
    <w:rsid w:val="0021109D"/>
    <w:rsid w:val="00212409"/>
    <w:rsid w:val="0021259A"/>
    <w:rsid w:val="00212F4D"/>
    <w:rsid w:val="00213357"/>
    <w:rsid w:val="00213440"/>
    <w:rsid w:val="002142D5"/>
    <w:rsid w:val="0021453B"/>
    <w:rsid w:val="00214598"/>
    <w:rsid w:val="0021463B"/>
    <w:rsid w:val="00214879"/>
    <w:rsid w:val="002149E7"/>
    <w:rsid w:val="00214AD1"/>
    <w:rsid w:val="00214FD9"/>
    <w:rsid w:val="00215004"/>
    <w:rsid w:val="002155FB"/>
    <w:rsid w:val="0021590C"/>
    <w:rsid w:val="00216395"/>
    <w:rsid w:val="0021685C"/>
    <w:rsid w:val="00220400"/>
    <w:rsid w:val="002212EB"/>
    <w:rsid w:val="00221536"/>
    <w:rsid w:val="00221743"/>
    <w:rsid w:val="0022182D"/>
    <w:rsid w:val="0022189B"/>
    <w:rsid w:val="002219B4"/>
    <w:rsid w:val="00221EB7"/>
    <w:rsid w:val="00222106"/>
    <w:rsid w:val="002229D5"/>
    <w:rsid w:val="00223118"/>
    <w:rsid w:val="00223886"/>
    <w:rsid w:val="00224058"/>
    <w:rsid w:val="002240D8"/>
    <w:rsid w:val="00224AA0"/>
    <w:rsid w:val="00224AF0"/>
    <w:rsid w:val="00224B68"/>
    <w:rsid w:val="00225974"/>
    <w:rsid w:val="002260DE"/>
    <w:rsid w:val="00226163"/>
    <w:rsid w:val="002262E9"/>
    <w:rsid w:val="00226364"/>
    <w:rsid w:val="002270AF"/>
    <w:rsid w:val="0022757F"/>
    <w:rsid w:val="002279DE"/>
    <w:rsid w:val="00227A1E"/>
    <w:rsid w:val="00231139"/>
    <w:rsid w:val="002314BE"/>
    <w:rsid w:val="00231BBF"/>
    <w:rsid w:val="002323FE"/>
    <w:rsid w:val="00232678"/>
    <w:rsid w:val="0023286E"/>
    <w:rsid w:val="00232D82"/>
    <w:rsid w:val="00232E69"/>
    <w:rsid w:val="00233577"/>
    <w:rsid w:val="00233AB4"/>
    <w:rsid w:val="00233F15"/>
    <w:rsid w:val="00234091"/>
    <w:rsid w:val="0023435B"/>
    <w:rsid w:val="002349A3"/>
    <w:rsid w:val="00234A97"/>
    <w:rsid w:val="002355DC"/>
    <w:rsid w:val="002358AD"/>
    <w:rsid w:val="00235ABE"/>
    <w:rsid w:val="00235BEF"/>
    <w:rsid w:val="00235DAA"/>
    <w:rsid w:val="00235E6D"/>
    <w:rsid w:val="00236EAA"/>
    <w:rsid w:val="002371E5"/>
    <w:rsid w:val="0023749E"/>
    <w:rsid w:val="00237695"/>
    <w:rsid w:val="00237BB7"/>
    <w:rsid w:val="00240755"/>
    <w:rsid w:val="00240BEA"/>
    <w:rsid w:val="00240DF0"/>
    <w:rsid w:val="0024113D"/>
    <w:rsid w:val="00241144"/>
    <w:rsid w:val="00241247"/>
    <w:rsid w:val="00241563"/>
    <w:rsid w:val="00241ABF"/>
    <w:rsid w:val="00241D06"/>
    <w:rsid w:val="00241E8B"/>
    <w:rsid w:val="00242276"/>
    <w:rsid w:val="00242D86"/>
    <w:rsid w:val="00243129"/>
    <w:rsid w:val="002431C0"/>
    <w:rsid w:val="00243686"/>
    <w:rsid w:val="002437C2"/>
    <w:rsid w:val="00243AAA"/>
    <w:rsid w:val="00244ACB"/>
    <w:rsid w:val="002451E7"/>
    <w:rsid w:val="00245375"/>
    <w:rsid w:val="00245693"/>
    <w:rsid w:val="00245845"/>
    <w:rsid w:val="00245FBE"/>
    <w:rsid w:val="002462DF"/>
    <w:rsid w:val="00247856"/>
    <w:rsid w:val="00247CF0"/>
    <w:rsid w:val="00247DD5"/>
    <w:rsid w:val="00247E71"/>
    <w:rsid w:val="0025016C"/>
    <w:rsid w:val="00250190"/>
    <w:rsid w:val="0025051C"/>
    <w:rsid w:val="002506E4"/>
    <w:rsid w:val="00250A39"/>
    <w:rsid w:val="00251B34"/>
    <w:rsid w:val="00251EF1"/>
    <w:rsid w:val="002523E0"/>
    <w:rsid w:val="00252D17"/>
    <w:rsid w:val="00252F66"/>
    <w:rsid w:val="00253298"/>
    <w:rsid w:val="00254250"/>
    <w:rsid w:val="002542E3"/>
    <w:rsid w:val="0025446A"/>
    <w:rsid w:val="00254BA4"/>
    <w:rsid w:val="0025516E"/>
    <w:rsid w:val="00255F13"/>
    <w:rsid w:val="00256448"/>
    <w:rsid w:val="002565D6"/>
    <w:rsid w:val="0025695B"/>
    <w:rsid w:val="00256CD1"/>
    <w:rsid w:val="002578FB"/>
    <w:rsid w:val="00257E50"/>
    <w:rsid w:val="00260578"/>
    <w:rsid w:val="00260FDA"/>
    <w:rsid w:val="002613A3"/>
    <w:rsid w:val="00261840"/>
    <w:rsid w:val="00261A14"/>
    <w:rsid w:val="00262410"/>
    <w:rsid w:val="002629BF"/>
    <w:rsid w:val="0026302E"/>
    <w:rsid w:val="00263199"/>
    <w:rsid w:val="0026349A"/>
    <w:rsid w:val="002641CA"/>
    <w:rsid w:val="0026444D"/>
    <w:rsid w:val="0026581C"/>
    <w:rsid w:val="00265CC5"/>
    <w:rsid w:val="00265F58"/>
    <w:rsid w:val="00266054"/>
    <w:rsid w:val="00267066"/>
    <w:rsid w:val="002705B2"/>
    <w:rsid w:val="00270D8C"/>
    <w:rsid w:val="00271764"/>
    <w:rsid w:val="0027268F"/>
    <w:rsid w:val="00272B0D"/>
    <w:rsid w:val="00272F09"/>
    <w:rsid w:val="0027322B"/>
    <w:rsid w:val="00273B67"/>
    <w:rsid w:val="00273B87"/>
    <w:rsid w:val="00273BAF"/>
    <w:rsid w:val="0027412B"/>
    <w:rsid w:val="00274517"/>
    <w:rsid w:val="002752F0"/>
    <w:rsid w:val="00275E38"/>
    <w:rsid w:val="002761D6"/>
    <w:rsid w:val="002762D9"/>
    <w:rsid w:val="00276510"/>
    <w:rsid w:val="0027663A"/>
    <w:rsid w:val="0027673E"/>
    <w:rsid w:val="002772BD"/>
    <w:rsid w:val="0027763C"/>
    <w:rsid w:val="0028002D"/>
    <w:rsid w:val="00280128"/>
    <w:rsid w:val="00280626"/>
    <w:rsid w:val="00280715"/>
    <w:rsid w:val="00282BD5"/>
    <w:rsid w:val="002830FF"/>
    <w:rsid w:val="002836F8"/>
    <w:rsid w:val="0028399F"/>
    <w:rsid w:val="0028494A"/>
    <w:rsid w:val="00285275"/>
    <w:rsid w:val="002878A2"/>
    <w:rsid w:val="00287CC2"/>
    <w:rsid w:val="00287CD1"/>
    <w:rsid w:val="002912E9"/>
    <w:rsid w:val="002920FA"/>
    <w:rsid w:val="002924C8"/>
    <w:rsid w:val="00292665"/>
    <w:rsid w:val="002926CA"/>
    <w:rsid w:val="002927ED"/>
    <w:rsid w:val="00292B09"/>
    <w:rsid w:val="00292B8A"/>
    <w:rsid w:val="00292E2C"/>
    <w:rsid w:val="00293664"/>
    <w:rsid w:val="0029376C"/>
    <w:rsid w:val="00293C27"/>
    <w:rsid w:val="00293DCD"/>
    <w:rsid w:val="0029459F"/>
    <w:rsid w:val="00294A89"/>
    <w:rsid w:val="0029503D"/>
    <w:rsid w:val="0029529D"/>
    <w:rsid w:val="00295725"/>
    <w:rsid w:val="00296234"/>
    <w:rsid w:val="00296C88"/>
    <w:rsid w:val="002978D8"/>
    <w:rsid w:val="00297AB0"/>
    <w:rsid w:val="002A0030"/>
    <w:rsid w:val="002A0A1A"/>
    <w:rsid w:val="002A2BC6"/>
    <w:rsid w:val="002A2C4C"/>
    <w:rsid w:val="002A364F"/>
    <w:rsid w:val="002A3718"/>
    <w:rsid w:val="002A387D"/>
    <w:rsid w:val="002A3987"/>
    <w:rsid w:val="002A39FA"/>
    <w:rsid w:val="002A3C8E"/>
    <w:rsid w:val="002A3CBE"/>
    <w:rsid w:val="002A3E6C"/>
    <w:rsid w:val="002A3F53"/>
    <w:rsid w:val="002A4144"/>
    <w:rsid w:val="002A4B81"/>
    <w:rsid w:val="002A533F"/>
    <w:rsid w:val="002A574F"/>
    <w:rsid w:val="002A58B8"/>
    <w:rsid w:val="002A5913"/>
    <w:rsid w:val="002A5B05"/>
    <w:rsid w:val="002A5B1A"/>
    <w:rsid w:val="002A6E9E"/>
    <w:rsid w:val="002A73CA"/>
    <w:rsid w:val="002A73EE"/>
    <w:rsid w:val="002A7BEE"/>
    <w:rsid w:val="002B015D"/>
    <w:rsid w:val="002B0E62"/>
    <w:rsid w:val="002B16FA"/>
    <w:rsid w:val="002B175D"/>
    <w:rsid w:val="002B211E"/>
    <w:rsid w:val="002B2533"/>
    <w:rsid w:val="002B3034"/>
    <w:rsid w:val="002B3507"/>
    <w:rsid w:val="002B3DAC"/>
    <w:rsid w:val="002B3ECB"/>
    <w:rsid w:val="002B3F4A"/>
    <w:rsid w:val="002B43ED"/>
    <w:rsid w:val="002B459D"/>
    <w:rsid w:val="002B4D9C"/>
    <w:rsid w:val="002B4DBF"/>
    <w:rsid w:val="002B521B"/>
    <w:rsid w:val="002B53B6"/>
    <w:rsid w:val="002B545C"/>
    <w:rsid w:val="002B5479"/>
    <w:rsid w:val="002B5B1D"/>
    <w:rsid w:val="002B709F"/>
    <w:rsid w:val="002B71DF"/>
    <w:rsid w:val="002B76FB"/>
    <w:rsid w:val="002B777F"/>
    <w:rsid w:val="002B779C"/>
    <w:rsid w:val="002B7F30"/>
    <w:rsid w:val="002C0AD9"/>
    <w:rsid w:val="002C0E7B"/>
    <w:rsid w:val="002C12C3"/>
    <w:rsid w:val="002C1769"/>
    <w:rsid w:val="002C1C8E"/>
    <w:rsid w:val="002C2112"/>
    <w:rsid w:val="002C27C1"/>
    <w:rsid w:val="002C27FE"/>
    <w:rsid w:val="002C29EC"/>
    <w:rsid w:val="002C354B"/>
    <w:rsid w:val="002C35BC"/>
    <w:rsid w:val="002C3F42"/>
    <w:rsid w:val="002C3FCB"/>
    <w:rsid w:val="002C404C"/>
    <w:rsid w:val="002C40AD"/>
    <w:rsid w:val="002C50E2"/>
    <w:rsid w:val="002C51FE"/>
    <w:rsid w:val="002C524A"/>
    <w:rsid w:val="002C53C4"/>
    <w:rsid w:val="002C6FD1"/>
    <w:rsid w:val="002C73DC"/>
    <w:rsid w:val="002C7455"/>
    <w:rsid w:val="002C75FB"/>
    <w:rsid w:val="002C7C0A"/>
    <w:rsid w:val="002D00E5"/>
    <w:rsid w:val="002D018A"/>
    <w:rsid w:val="002D1E7B"/>
    <w:rsid w:val="002D1FBA"/>
    <w:rsid w:val="002D283E"/>
    <w:rsid w:val="002D28AF"/>
    <w:rsid w:val="002D2FD6"/>
    <w:rsid w:val="002D3140"/>
    <w:rsid w:val="002D3460"/>
    <w:rsid w:val="002D37F7"/>
    <w:rsid w:val="002D44E6"/>
    <w:rsid w:val="002D4B72"/>
    <w:rsid w:val="002D4E92"/>
    <w:rsid w:val="002D5346"/>
    <w:rsid w:val="002D59FC"/>
    <w:rsid w:val="002D5FF1"/>
    <w:rsid w:val="002E048E"/>
    <w:rsid w:val="002E0651"/>
    <w:rsid w:val="002E0C34"/>
    <w:rsid w:val="002E0DC0"/>
    <w:rsid w:val="002E0F69"/>
    <w:rsid w:val="002E10E3"/>
    <w:rsid w:val="002E1841"/>
    <w:rsid w:val="002E1B28"/>
    <w:rsid w:val="002E265A"/>
    <w:rsid w:val="002E2759"/>
    <w:rsid w:val="002E372F"/>
    <w:rsid w:val="002E3B9E"/>
    <w:rsid w:val="002E3D11"/>
    <w:rsid w:val="002E3D43"/>
    <w:rsid w:val="002E408D"/>
    <w:rsid w:val="002E4899"/>
    <w:rsid w:val="002E4C9E"/>
    <w:rsid w:val="002E54B1"/>
    <w:rsid w:val="002E6184"/>
    <w:rsid w:val="002E6287"/>
    <w:rsid w:val="002E6540"/>
    <w:rsid w:val="002E6A54"/>
    <w:rsid w:val="002E75AF"/>
    <w:rsid w:val="002E7B19"/>
    <w:rsid w:val="002E7B35"/>
    <w:rsid w:val="002F0ABA"/>
    <w:rsid w:val="002F0CB8"/>
    <w:rsid w:val="002F1D46"/>
    <w:rsid w:val="002F20C9"/>
    <w:rsid w:val="002F231C"/>
    <w:rsid w:val="002F248E"/>
    <w:rsid w:val="002F271A"/>
    <w:rsid w:val="002F2949"/>
    <w:rsid w:val="002F38C8"/>
    <w:rsid w:val="002F3B73"/>
    <w:rsid w:val="002F43D4"/>
    <w:rsid w:val="002F461C"/>
    <w:rsid w:val="002F4DFC"/>
    <w:rsid w:val="002F4F2B"/>
    <w:rsid w:val="002F5732"/>
    <w:rsid w:val="002F5924"/>
    <w:rsid w:val="002F5DF1"/>
    <w:rsid w:val="002F65DF"/>
    <w:rsid w:val="002F6891"/>
    <w:rsid w:val="002F6C91"/>
    <w:rsid w:val="002F6E6E"/>
    <w:rsid w:val="002F7193"/>
    <w:rsid w:val="002F7A84"/>
    <w:rsid w:val="0030018B"/>
    <w:rsid w:val="0030086C"/>
    <w:rsid w:val="0030096A"/>
    <w:rsid w:val="0030152C"/>
    <w:rsid w:val="00302C45"/>
    <w:rsid w:val="00302CE1"/>
    <w:rsid w:val="00302EAA"/>
    <w:rsid w:val="00303E76"/>
    <w:rsid w:val="00304088"/>
    <w:rsid w:val="003043E9"/>
    <w:rsid w:val="00304F95"/>
    <w:rsid w:val="0030520B"/>
    <w:rsid w:val="0030558F"/>
    <w:rsid w:val="003058FC"/>
    <w:rsid w:val="00306252"/>
    <w:rsid w:val="003062BA"/>
    <w:rsid w:val="003065A3"/>
    <w:rsid w:val="003076A0"/>
    <w:rsid w:val="0031048C"/>
    <w:rsid w:val="003104BD"/>
    <w:rsid w:val="003107EB"/>
    <w:rsid w:val="0031084F"/>
    <w:rsid w:val="00310FD6"/>
    <w:rsid w:val="00311748"/>
    <w:rsid w:val="00311A8B"/>
    <w:rsid w:val="0031220A"/>
    <w:rsid w:val="0031271E"/>
    <w:rsid w:val="00312B9D"/>
    <w:rsid w:val="00312F1A"/>
    <w:rsid w:val="0031354C"/>
    <w:rsid w:val="0031387E"/>
    <w:rsid w:val="00313C91"/>
    <w:rsid w:val="00313CE6"/>
    <w:rsid w:val="00313FE8"/>
    <w:rsid w:val="00315170"/>
    <w:rsid w:val="00315B43"/>
    <w:rsid w:val="00315F42"/>
    <w:rsid w:val="00316306"/>
    <w:rsid w:val="003167FC"/>
    <w:rsid w:val="00316BA4"/>
    <w:rsid w:val="00316F6B"/>
    <w:rsid w:val="00317289"/>
    <w:rsid w:val="0031758E"/>
    <w:rsid w:val="0031771F"/>
    <w:rsid w:val="003200FE"/>
    <w:rsid w:val="003206DC"/>
    <w:rsid w:val="00320CA5"/>
    <w:rsid w:val="00321435"/>
    <w:rsid w:val="00321808"/>
    <w:rsid w:val="00321BE7"/>
    <w:rsid w:val="00321C40"/>
    <w:rsid w:val="00321CBE"/>
    <w:rsid w:val="00321CDD"/>
    <w:rsid w:val="0032210B"/>
    <w:rsid w:val="00322C99"/>
    <w:rsid w:val="00323323"/>
    <w:rsid w:val="00323BD0"/>
    <w:rsid w:val="00323E09"/>
    <w:rsid w:val="00323FD8"/>
    <w:rsid w:val="00324071"/>
    <w:rsid w:val="003241C4"/>
    <w:rsid w:val="003252A8"/>
    <w:rsid w:val="00325703"/>
    <w:rsid w:val="00325989"/>
    <w:rsid w:val="00325B0E"/>
    <w:rsid w:val="00325F0B"/>
    <w:rsid w:val="003262F6"/>
    <w:rsid w:val="00326741"/>
    <w:rsid w:val="00326BEB"/>
    <w:rsid w:val="00326C78"/>
    <w:rsid w:val="00327610"/>
    <w:rsid w:val="0032783B"/>
    <w:rsid w:val="003278F1"/>
    <w:rsid w:val="003279EC"/>
    <w:rsid w:val="00327B13"/>
    <w:rsid w:val="00327B23"/>
    <w:rsid w:val="00331611"/>
    <w:rsid w:val="003323B4"/>
    <w:rsid w:val="00332512"/>
    <w:rsid w:val="00332F3E"/>
    <w:rsid w:val="0033365B"/>
    <w:rsid w:val="003338DF"/>
    <w:rsid w:val="00334158"/>
    <w:rsid w:val="00334578"/>
    <w:rsid w:val="003346D7"/>
    <w:rsid w:val="00334834"/>
    <w:rsid w:val="00334B24"/>
    <w:rsid w:val="0033503D"/>
    <w:rsid w:val="0033517D"/>
    <w:rsid w:val="00335543"/>
    <w:rsid w:val="0033564F"/>
    <w:rsid w:val="00335A07"/>
    <w:rsid w:val="00335D21"/>
    <w:rsid w:val="00335FAD"/>
    <w:rsid w:val="00336539"/>
    <w:rsid w:val="00336A4E"/>
    <w:rsid w:val="00337823"/>
    <w:rsid w:val="003379CC"/>
    <w:rsid w:val="00337E53"/>
    <w:rsid w:val="00340043"/>
    <w:rsid w:val="003408FF"/>
    <w:rsid w:val="003412FC"/>
    <w:rsid w:val="00341355"/>
    <w:rsid w:val="003415E2"/>
    <w:rsid w:val="003416C5"/>
    <w:rsid w:val="00341D3C"/>
    <w:rsid w:val="00342FA5"/>
    <w:rsid w:val="00343654"/>
    <w:rsid w:val="00343E27"/>
    <w:rsid w:val="00343ED0"/>
    <w:rsid w:val="003441DD"/>
    <w:rsid w:val="0034442E"/>
    <w:rsid w:val="00344D5B"/>
    <w:rsid w:val="003451EF"/>
    <w:rsid w:val="00345529"/>
    <w:rsid w:val="003456C0"/>
    <w:rsid w:val="00345786"/>
    <w:rsid w:val="00345B86"/>
    <w:rsid w:val="00346278"/>
    <w:rsid w:val="0034651D"/>
    <w:rsid w:val="003469CF"/>
    <w:rsid w:val="00346D7C"/>
    <w:rsid w:val="00346D8F"/>
    <w:rsid w:val="00347A40"/>
    <w:rsid w:val="00347A83"/>
    <w:rsid w:val="0035046A"/>
    <w:rsid w:val="00350E42"/>
    <w:rsid w:val="00351379"/>
    <w:rsid w:val="003514F9"/>
    <w:rsid w:val="00351C63"/>
    <w:rsid w:val="00352230"/>
    <w:rsid w:val="00353852"/>
    <w:rsid w:val="00353D2A"/>
    <w:rsid w:val="00353D78"/>
    <w:rsid w:val="00353DAA"/>
    <w:rsid w:val="00353FA4"/>
    <w:rsid w:val="00354287"/>
    <w:rsid w:val="003547D2"/>
    <w:rsid w:val="003548D9"/>
    <w:rsid w:val="0035493B"/>
    <w:rsid w:val="00354C61"/>
    <w:rsid w:val="00354CA0"/>
    <w:rsid w:val="00355154"/>
    <w:rsid w:val="003556E9"/>
    <w:rsid w:val="00356478"/>
    <w:rsid w:val="003567CD"/>
    <w:rsid w:val="00356864"/>
    <w:rsid w:val="003568FC"/>
    <w:rsid w:val="00356FB8"/>
    <w:rsid w:val="00357358"/>
    <w:rsid w:val="00357389"/>
    <w:rsid w:val="003602DA"/>
    <w:rsid w:val="00361A77"/>
    <w:rsid w:val="00361C23"/>
    <w:rsid w:val="003623EF"/>
    <w:rsid w:val="00362635"/>
    <w:rsid w:val="00364B74"/>
    <w:rsid w:val="003658E4"/>
    <w:rsid w:val="00365A48"/>
    <w:rsid w:val="00365B59"/>
    <w:rsid w:val="00366037"/>
    <w:rsid w:val="0036647C"/>
    <w:rsid w:val="003664E5"/>
    <w:rsid w:val="003666F2"/>
    <w:rsid w:val="003669D1"/>
    <w:rsid w:val="00366F3D"/>
    <w:rsid w:val="00367C09"/>
    <w:rsid w:val="00370C2A"/>
    <w:rsid w:val="00370D1D"/>
    <w:rsid w:val="00370F9D"/>
    <w:rsid w:val="003714A1"/>
    <w:rsid w:val="00371B80"/>
    <w:rsid w:val="003722D5"/>
    <w:rsid w:val="00372612"/>
    <w:rsid w:val="00372AD6"/>
    <w:rsid w:val="00372F33"/>
    <w:rsid w:val="0037302E"/>
    <w:rsid w:val="0037309A"/>
    <w:rsid w:val="003731D5"/>
    <w:rsid w:val="00373635"/>
    <w:rsid w:val="003736C9"/>
    <w:rsid w:val="00373717"/>
    <w:rsid w:val="00373C00"/>
    <w:rsid w:val="00373CCC"/>
    <w:rsid w:val="0037400F"/>
    <w:rsid w:val="003745F7"/>
    <w:rsid w:val="00375152"/>
    <w:rsid w:val="00375DF4"/>
    <w:rsid w:val="00375E50"/>
    <w:rsid w:val="00375FE8"/>
    <w:rsid w:val="00376C1D"/>
    <w:rsid w:val="00376EED"/>
    <w:rsid w:val="0037719C"/>
    <w:rsid w:val="003777C1"/>
    <w:rsid w:val="003779DA"/>
    <w:rsid w:val="00380740"/>
    <w:rsid w:val="003809BD"/>
    <w:rsid w:val="00380DCA"/>
    <w:rsid w:val="00381231"/>
    <w:rsid w:val="00381443"/>
    <w:rsid w:val="0038165C"/>
    <w:rsid w:val="00381D31"/>
    <w:rsid w:val="00382705"/>
    <w:rsid w:val="0038278C"/>
    <w:rsid w:val="003832F6"/>
    <w:rsid w:val="0038339A"/>
    <w:rsid w:val="003838F0"/>
    <w:rsid w:val="00383BD9"/>
    <w:rsid w:val="00385620"/>
    <w:rsid w:val="003860C2"/>
    <w:rsid w:val="003873B5"/>
    <w:rsid w:val="0038750E"/>
    <w:rsid w:val="0038779C"/>
    <w:rsid w:val="003901CB"/>
    <w:rsid w:val="00390836"/>
    <w:rsid w:val="00390BF8"/>
    <w:rsid w:val="00391402"/>
    <w:rsid w:val="00391486"/>
    <w:rsid w:val="00391CE9"/>
    <w:rsid w:val="003926C9"/>
    <w:rsid w:val="00392911"/>
    <w:rsid w:val="003939E8"/>
    <w:rsid w:val="00393F05"/>
    <w:rsid w:val="0039449B"/>
    <w:rsid w:val="00394662"/>
    <w:rsid w:val="00394ED4"/>
    <w:rsid w:val="00395395"/>
    <w:rsid w:val="0039644D"/>
    <w:rsid w:val="00396CAF"/>
    <w:rsid w:val="00396DC7"/>
    <w:rsid w:val="00396E0C"/>
    <w:rsid w:val="0039737B"/>
    <w:rsid w:val="00397401"/>
    <w:rsid w:val="00397BE6"/>
    <w:rsid w:val="00397DE2"/>
    <w:rsid w:val="00397FFB"/>
    <w:rsid w:val="003A0F93"/>
    <w:rsid w:val="003A192F"/>
    <w:rsid w:val="003A2010"/>
    <w:rsid w:val="003A32EE"/>
    <w:rsid w:val="003A369D"/>
    <w:rsid w:val="003A3D51"/>
    <w:rsid w:val="003A3F58"/>
    <w:rsid w:val="003A4312"/>
    <w:rsid w:val="003A48BB"/>
    <w:rsid w:val="003A48FD"/>
    <w:rsid w:val="003A496A"/>
    <w:rsid w:val="003A543F"/>
    <w:rsid w:val="003A5E83"/>
    <w:rsid w:val="003A649D"/>
    <w:rsid w:val="003A649E"/>
    <w:rsid w:val="003A656A"/>
    <w:rsid w:val="003A69DA"/>
    <w:rsid w:val="003A6E9A"/>
    <w:rsid w:val="003A70AF"/>
    <w:rsid w:val="003A74D7"/>
    <w:rsid w:val="003A7852"/>
    <w:rsid w:val="003B06AF"/>
    <w:rsid w:val="003B09BB"/>
    <w:rsid w:val="003B0D6D"/>
    <w:rsid w:val="003B17FF"/>
    <w:rsid w:val="003B1C00"/>
    <w:rsid w:val="003B2044"/>
    <w:rsid w:val="003B2256"/>
    <w:rsid w:val="003B29E0"/>
    <w:rsid w:val="003B2B8F"/>
    <w:rsid w:val="003B3702"/>
    <w:rsid w:val="003B3B1E"/>
    <w:rsid w:val="003B4108"/>
    <w:rsid w:val="003B4983"/>
    <w:rsid w:val="003B57FD"/>
    <w:rsid w:val="003B5D8A"/>
    <w:rsid w:val="003B5E5E"/>
    <w:rsid w:val="003B6B45"/>
    <w:rsid w:val="003B72AF"/>
    <w:rsid w:val="003B736B"/>
    <w:rsid w:val="003C0D8F"/>
    <w:rsid w:val="003C11D6"/>
    <w:rsid w:val="003C18B9"/>
    <w:rsid w:val="003C1E38"/>
    <w:rsid w:val="003C1E61"/>
    <w:rsid w:val="003C1F13"/>
    <w:rsid w:val="003C203F"/>
    <w:rsid w:val="003C212F"/>
    <w:rsid w:val="003C2406"/>
    <w:rsid w:val="003C2920"/>
    <w:rsid w:val="003C2CB3"/>
    <w:rsid w:val="003C33B7"/>
    <w:rsid w:val="003C3FCC"/>
    <w:rsid w:val="003C45C8"/>
    <w:rsid w:val="003C4701"/>
    <w:rsid w:val="003C4818"/>
    <w:rsid w:val="003C537B"/>
    <w:rsid w:val="003C5D44"/>
    <w:rsid w:val="003C6386"/>
    <w:rsid w:val="003C638B"/>
    <w:rsid w:val="003C6819"/>
    <w:rsid w:val="003C6AEF"/>
    <w:rsid w:val="003C6BF9"/>
    <w:rsid w:val="003C6C9E"/>
    <w:rsid w:val="003C7793"/>
    <w:rsid w:val="003C7FF7"/>
    <w:rsid w:val="003D02D4"/>
    <w:rsid w:val="003D08D2"/>
    <w:rsid w:val="003D106A"/>
    <w:rsid w:val="003D11B4"/>
    <w:rsid w:val="003D14AB"/>
    <w:rsid w:val="003D1BE3"/>
    <w:rsid w:val="003D273C"/>
    <w:rsid w:val="003D2AC4"/>
    <w:rsid w:val="003D2FD4"/>
    <w:rsid w:val="003D32CC"/>
    <w:rsid w:val="003D36C1"/>
    <w:rsid w:val="003D3969"/>
    <w:rsid w:val="003D3ED7"/>
    <w:rsid w:val="003D4203"/>
    <w:rsid w:val="003D46CD"/>
    <w:rsid w:val="003D495C"/>
    <w:rsid w:val="003D4A11"/>
    <w:rsid w:val="003D6512"/>
    <w:rsid w:val="003D6979"/>
    <w:rsid w:val="003D69BA"/>
    <w:rsid w:val="003D6BB3"/>
    <w:rsid w:val="003D6D8F"/>
    <w:rsid w:val="003D722E"/>
    <w:rsid w:val="003D72ED"/>
    <w:rsid w:val="003D73B2"/>
    <w:rsid w:val="003D74BF"/>
    <w:rsid w:val="003D7567"/>
    <w:rsid w:val="003D767A"/>
    <w:rsid w:val="003E0761"/>
    <w:rsid w:val="003E0B17"/>
    <w:rsid w:val="003E1672"/>
    <w:rsid w:val="003E1C0F"/>
    <w:rsid w:val="003E21D5"/>
    <w:rsid w:val="003E245A"/>
    <w:rsid w:val="003E2D47"/>
    <w:rsid w:val="003E32CE"/>
    <w:rsid w:val="003E3562"/>
    <w:rsid w:val="003E3810"/>
    <w:rsid w:val="003E3BEB"/>
    <w:rsid w:val="003E3C1A"/>
    <w:rsid w:val="003E428C"/>
    <w:rsid w:val="003E48FB"/>
    <w:rsid w:val="003E53BC"/>
    <w:rsid w:val="003E6B6E"/>
    <w:rsid w:val="003E6E1D"/>
    <w:rsid w:val="003E6EC9"/>
    <w:rsid w:val="003E7546"/>
    <w:rsid w:val="003E78CD"/>
    <w:rsid w:val="003E7EE2"/>
    <w:rsid w:val="003F02B7"/>
    <w:rsid w:val="003F02CA"/>
    <w:rsid w:val="003F183C"/>
    <w:rsid w:val="003F1F1E"/>
    <w:rsid w:val="003F211B"/>
    <w:rsid w:val="003F2500"/>
    <w:rsid w:val="003F2753"/>
    <w:rsid w:val="003F27A6"/>
    <w:rsid w:val="003F302E"/>
    <w:rsid w:val="003F3891"/>
    <w:rsid w:val="003F3B0B"/>
    <w:rsid w:val="003F4147"/>
    <w:rsid w:val="003F463A"/>
    <w:rsid w:val="003F46D5"/>
    <w:rsid w:val="003F5319"/>
    <w:rsid w:val="003F55A6"/>
    <w:rsid w:val="003F5870"/>
    <w:rsid w:val="003F59CB"/>
    <w:rsid w:val="003F5EA1"/>
    <w:rsid w:val="003F688F"/>
    <w:rsid w:val="003F6C84"/>
    <w:rsid w:val="003F7000"/>
    <w:rsid w:val="003F7682"/>
    <w:rsid w:val="0040098C"/>
    <w:rsid w:val="00400A83"/>
    <w:rsid w:val="004020B2"/>
    <w:rsid w:val="00402925"/>
    <w:rsid w:val="00403141"/>
    <w:rsid w:val="0040353E"/>
    <w:rsid w:val="004039BC"/>
    <w:rsid w:val="00403DE2"/>
    <w:rsid w:val="00403F68"/>
    <w:rsid w:val="0040437C"/>
    <w:rsid w:val="0040490D"/>
    <w:rsid w:val="00404C9A"/>
    <w:rsid w:val="00404E59"/>
    <w:rsid w:val="00404E6B"/>
    <w:rsid w:val="004058E1"/>
    <w:rsid w:val="00405980"/>
    <w:rsid w:val="00405E1A"/>
    <w:rsid w:val="00407CC7"/>
    <w:rsid w:val="00410965"/>
    <w:rsid w:val="00410BDA"/>
    <w:rsid w:val="00410DEB"/>
    <w:rsid w:val="0041161E"/>
    <w:rsid w:val="00411ACD"/>
    <w:rsid w:val="00411DE6"/>
    <w:rsid w:val="00412549"/>
    <w:rsid w:val="00412D3E"/>
    <w:rsid w:val="00413B1B"/>
    <w:rsid w:val="00413EFD"/>
    <w:rsid w:val="00413EFE"/>
    <w:rsid w:val="0041400F"/>
    <w:rsid w:val="004148D0"/>
    <w:rsid w:val="00414A7A"/>
    <w:rsid w:val="00414F81"/>
    <w:rsid w:val="00414FBB"/>
    <w:rsid w:val="0041524B"/>
    <w:rsid w:val="00415807"/>
    <w:rsid w:val="00415A23"/>
    <w:rsid w:val="00415EC1"/>
    <w:rsid w:val="00415F43"/>
    <w:rsid w:val="004166EE"/>
    <w:rsid w:val="00416DCB"/>
    <w:rsid w:val="00417D76"/>
    <w:rsid w:val="0042118F"/>
    <w:rsid w:val="00421918"/>
    <w:rsid w:val="004222A2"/>
    <w:rsid w:val="0042287D"/>
    <w:rsid w:val="0042291E"/>
    <w:rsid w:val="00423488"/>
    <w:rsid w:val="00423753"/>
    <w:rsid w:val="00423981"/>
    <w:rsid w:val="00423AB1"/>
    <w:rsid w:val="00424BC3"/>
    <w:rsid w:val="00424C0E"/>
    <w:rsid w:val="004254C9"/>
    <w:rsid w:val="00425A51"/>
    <w:rsid w:val="00425C6F"/>
    <w:rsid w:val="0042610F"/>
    <w:rsid w:val="0042785F"/>
    <w:rsid w:val="00430DB1"/>
    <w:rsid w:val="004311DD"/>
    <w:rsid w:val="0043161D"/>
    <w:rsid w:val="00431888"/>
    <w:rsid w:val="004318AC"/>
    <w:rsid w:val="00432BC3"/>
    <w:rsid w:val="0043340A"/>
    <w:rsid w:val="00433456"/>
    <w:rsid w:val="00433895"/>
    <w:rsid w:val="00433F0C"/>
    <w:rsid w:val="004351D3"/>
    <w:rsid w:val="0043531A"/>
    <w:rsid w:val="00435758"/>
    <w:rsid w:val="00435CA4"/>
    <w:rsid w:val="00435CB2"/>
    <w:rsid w:val="00435FED"/>
    <w:rsid w:val="00436B38"/>
    <w:rsid w:val="00436ECF"/>
    <w:rsid w:val="00437C22"/>
    <w:rsid w:val="00437FB7"/>
    <w:rsid w:val="004406C7"/>
    <w:rsid w:val="0044097D"/>
    <w:rsid w:val="00441582"/>
    <w:rsid w:val="00441AE5"/>
    <w:rsid w:val="00442091"/>
    <w:rsid w:val="004427E2"/>
    <w:rsid w:val="00442C34"/>
    <w:rsid w:val="0044346F"/>
    <w:rsid w:val="00443609"/>
    <w:rsid w:val="00444563"/>
    <w:rsid w:val="004445E7"/>
    <w:rsid w:val="00444973"/>
    <w:rsid w:val="00444EFE"/>
    <w:rsid w:val="004452C2"/>
    <w:rsid w:val="00445D3F"/>
    <w:rsid w:val="00446886"/>
    <w:rsid w:val="00446ED1"/>
    <w:rsid w:val="0044742D"/>
    <w:rsid w:val="00447846"/>
    <w:rsid w:val="00447871"/>
    <w:rsid w:val="00447ED7"/>
    <w:rsid w:val="00450F15"/>
    <w:rsid w:val="00451504"/>
    <w:rsid w:val="00451D4C"/>
    <w:rsid w:val="00451DEE"/>
    <w:rsid w:val="00451F64"/>
    <w:rsid w:val="00452AC9"/>
    <w:rsid w:val="00452E45"/>
    <w:rsid w:val="00453064"/>
    <w:rsid w:val="0045368B"/>
    <w:rsid w:val="00454007"/>
    <w:rsid w:val="0045463F"/>
    <w:rsid w:val="00454BC4"/>
    <w:rsid w:val="00454DC4"/>
    <w:rsid w:val="0045526D"/>
    <w:rsid w:val="0045556D"/>
    <w:rsid w:val="00455A33"/>
    <w:rsid w:val="0045638A"/>
    <w:rsid w:val="004567DD"/>
    <w:rsid w:val="004568B5"/>
    <w:rsid w:val="004577C2"/>
    <w:rsid w:val="00457963"/>
    <w:rsid w:val="00457B4C"/>
    <w:rsid w:val="00457D16"/>
    <w:rsid w:val="00460566"/>
    <w:rsid w:val="00460A3F"/>
    <w:rsid w:val="00460EC2"/>
    <w:rsid w:val="004619C0"/>
    <w:rsid w:val="00463110"/>
    <w:rsid w:val="00463A8E"/>
    <w:rsid w:val="004640E8"/>
    <w:rsid w:val="00464231"/>
    <w:rsid w:val="00464922"/>
    <w:rsid w:val="004651BA"/>
    <w:rsid w:val="00465765"/>
    <w:rsid w:val="00466270"/>
    <w:rsid w:val="004663F7"/>
    <w:rsid w:val="00466693"/>
    <w:rsid w:val="00467015"/>
    <w:rsid w:val="004671E0"/>
    <w:rsid w:val="00467350"/>
    <w:rsid w:val="00467381"/>
    <w:rsid w:val="00467A8B"/>
    <w:rsid w:val="00467E4E"/>
    <w:rsid w:val="00467F29"/>
    <w:rsid w:val="00470491"/>
    <w:rsid w:val="00470813"/>
    <w:rsid w:val="00470C71"/>
    <w:rsid w:val="00470CEE"/>
    <w:rsid w:val="0047139E"/>
    <w:rsid w:val="00471607"/>
    <w:rsid w:val="004718E5"/>
    <w:rsid w:val="00471971"/>
    <w:rsid w:val="00471EF1"/>
    <w:rsid w:val="0047202B"/>
    <w:rsid w:val="00473087"/>
    <w:rsid w:val="00473233"/>
    <w:rsid w:val="004732EF"/>
    <w:rsid w:val="004735C9"/>
    <w:rsid w:val="00474D15"/>
    <w:rsid w:val="00475D90"/>
    <w:rsid w:val="004762A8"/>
    <w:rsid w:val="0047675F"/>
    <w:rsid w:val="00477C92"/>
    <w:rsid w:val="00477F8C"/>
    <w:rsid w:val="0048007F"/>
    <w:rsid w:val="00480293"/>
    <w:rsid w:val="00480A17"/>
    <w:rsid w:val="00480DFB"/>
    <w:rsid w:val="00481211"/>
    <w:rsid w:val="004814AC"/>
    <w:rsid w:val="00481951"/>
    <w:rsid w:val="00481FE0"/>
    <w:rsid w:val="00482F8E"/>
    <w:rsid w:val="004836F6"/>
    <w:rsid w:val="00483C74"/>
    <w:rsid w:val="00483FA9"/>
    <w:rsid w:val="00484013"/>
    <w:rsid w:val="00484C2F"/>
    <w:rsid w:val="00484FF9"/>
    <w:rsid w:val="004855F7"/>
    <w:rsid w:val="00485689"/>
    <w:rsid w:val="00485905"/>
    <w:rsid w:val="00485F7A"/>
    <w:rsid w:val="00486368"/>
    <w:rsid w:val="004867CE"/>
    <w:rsid w:val="00486EFE"/>
    <w:rsid w:val="004872EE"/>
    <w:rsid w:val="0048778C"/>
    <w:rsid w:val="0049022D"/>
    <w:rsid w:val="00490A66"/>
    <w:rsid w:val="00490F78"/>
    <w:rsid w:val="00491037"/>
    <w:rsid w:val="004912A7"/>
    <w:rsid w:val="004917A8"/>
    <w:rsid w:val="004917D2"/>
    <w:rsid w:val="00491C30"/>
    <w:rsid w:val="00491CB9"/>
    <w:rsid w:val="004920E0"/>
    <w:rsid w:val="0049212B"/>
    <w:rsid w:val="00492ACE"/>
    <w:rsid w:val="00492F40"/>
    <w:rsid w:val="00493723"/>
    <w:rsid w:val="00493AC0"/>
    <w:rsid w:val="0049470D"/>
    <w:rsid w:val="004948C8"/>
    <w:rsid w:val="00494D5A"/>
    <w:rsid w:val="00494F8A"/>
    <w:rsid w:val="004951A6"/>
    <w:rsid w:val="0049540F"/>
    <w:rsid w:val="00495D8A"/>
    <w:rsid w:val="00495F5C"/>
    <w:rsid w:val="004962B8"/>
    <w:rsid w:val="00496A06"/>
    <w:rsid w:val="00496D51"/>
    <w:rsid w:val="00497245"/>
    <w:rsid w:val="0049731A"/>
    <w:rsid w:val="00497FAC"/>
    <w:rsid w:val="004A00EE"/>
    <w:rsid w:val="004A06F6"/>
    <w:rsid w:val="004A098A"/>
    <w:rsid w:val="004A09A8"/>
    <w:rsid w:val="004A0C37"/>
    <w:rsid w:val="004A0D8A"/>
    <w:rsid w:val="004A0DAF"/>
    <w:rsid w:val="004A1569"/>
    <w:rsid w:val="004A222F"/>
    <w:rsid w:val="004A270F"/>
    <w:rsid w:val="004A2823"/>
    <w:rsid w:val="004A3C63"/>
    <w:rsid w:val="004A4228"/>
    <w:rsid w:val="004A441F"/>
    <w:rsid w:val="004A4978"/>
    <w:rsid w:val="004A5077"/>
    <w:rsid w:val="004A5174"/>
    <w:rsid w:val="004A5E13"/>
    <w:rsid w:val="004A6287"/>
    <w:rsid w:val="004A695A"/>
    <w:rsid w:val="004A7884"/>
    <w:rsid w:val="004A7A54"/>
    <w:rsid w:val="004B01B1"/>
    <w:rsid w:val="004B0559"/>
    <w:rsid w:val="004B070A"/>
    <w:rsid w:val="004B09CD"/>
    <w:rsid w:val="004B0B56"/>
    <w:rsid w:val="004B11A7"/>
    <w:rsid w:val="004B2496"/>
    <w:rsid w:val="004B2638"/>
    <w:rsid w:val="004B2832"/>
    <w:rsid w:val="004B35F6"/>
    <w:rsid w:val="004B3876"/>
    <w:rsid w:val="004B38B6"/>
    <w:rsid w:val="004B39C2"/>
    <w:rsid w:val="004B3C8C"/>
    <w:rsid w:val="004B465C"/>
    <w:rsid w:val="004B4AC8"/>
    <w:rsid w:val="004B4CBA"/>
    <w:rsid w:val="004B4D70"/>
    <w:rsid w:val="004B50AD"/>
    <w:rsid w:val="004B524D"/>
    <w:rsid w:val="004B5A64"/>
    <w:rsid w:val="004B5FFE"/>
    <w:rsid w:val="004B65DC"/>
    <w:rsid w:val="004B681A"/>
    <w:rsid w:val="004C0308"/>
    <w:rsid w:val="004C06CD"/>
    <w:rsid w:val="004C0A0D"/>
    <w:rsid w:val="004C0ADE"/>
    <w:rsid w:val="004C0BD8"/>
    <w:rsid w:val="004C1229"/>
    <w:rsid w:val="004C247E"/>
    <w:rsid w:val="004C303E"/>
    <w:rsid w:val="004C36CF"/>
    <w:rsid w:val="004C3AAB"/>
    <w:rsid w:val="004C49EE"/>
    <w:rsid w:val="004C4BFD"/>
    <w:rsid w:val="004C4EEE"/>
    <w:rsid w:val="004C58A7"/>
    <w:rsid w:val="004C62EC"/>
    <w:rsid w:val="004C650E"/>
    <w:rsid w:val="004C6755"/>
    <w:rsid w:val="004C6802"/>
    <w:rsid w:val="004C71DC"/>
    <w:rsid w:val="004C7568"/>
    <w:rsid w:val="004C798A"/>
    <w:rsid w:val="004C7ABE"/>
    <w:rsid w:val="004C7AC4"/>
    <w:rsid w:val="004D03D2"/>
    <w:rsid w:val="004D086C"/>
    <w:rsid w:val="004D0F04"/>
    <w:rsid w:val="004D1290"/>
    <w:rsid w:val="004D2FBF"/>
    <w:rsid w:val="004D33F6"/>
    <w:rsid w:val="004D364D"/>
    <w:rsid w:val="004D5476"/>
    <w:rsid w:val="004D5CFB"/>
    <w:rsid w:val="004D7562"/>
    <w:rsid w:val="004D7CBD"/>
    <w:rsid w:val="004E01F4"/>
    <w:rsid w:val="004E049A"/>
    <w:rsid w:val="004E0757"/>
    <w:rsid w:val="004E0902"/>
    <w:rsid w:val="004E0C52"/>
    <w:rsid w:val="004E0EBE"/>
    <w:rsid w:val="004E0FF5"/>
    <w:rsid w:val="004E109B"/>
    <w:rsid w:val="004E1733"/>
    <w:rsid w:val="004E1748"/>
    <w:rsid w:val="004E2D75"/>
    <w:rsid w:val="004E2EED"/>
    <w:rsid w:val="004E39BB"/>
    <w:rsid w:val="004E3E99"/>
    <w:rsid w:val="004E44DF"/>
    <w:rsid w:val="004E4663"/>
    <w:rsid w:val="004E498D"/>
    <w:rsid w:val="004E57F0"/>
    <w:rsid w:val="004E58AE"/>
    <w:rsid w:val="004E5B83"/>
    <w:rsid w:val="004E6EA9"/>
    <w:rsid w:val="004E736A"/>
    <w:rsid w:val="004F01A3"/>
    <w:rsid w:val="004F11E3"/>
    <w:rsid w:val="004F15FE"/>
    <w:rsid w:val="004F1A9F"/>
    <w:rsid w:val="004F2732"/>
    <w:rsid w:val="004F3453"/>
    <w:rsid w:val="004F39E2"/>
    <w:rsid w:val="004F3A11"/>
    <w:rsid w:val="004F3B99"/>
    <w:rsid w:val="004F3E27"/>
    <w:rsid w:val="004F4793"/>
    <w:rsid w:val="004F486B"/>
    <w:rsid w:val="004F4A7D"/>
    <w:rsid w:val="004F5755"/>
    <w:rsid w:val="004F60A5"/>
    <w:rsid w:val="004F63F2"/>
    <w:rsid w:val="004F6B92"/>
    <w:rsid w:val="004F740E"/>
    <w:rsid w:val="004F74CE"/>
    <w:rsid w:val="004F755A"/>
    <w:rsid w:val="004F7DD5"/>
    <w:rsid w:val="005001B3"/>
    <w:rsid w:val="005003E1"/>
    <w:rsid w:val="005006DF"/>
    <w:rsid w:val="00500BBF"/>
    <w:rsid w:val="005012BC"/>
    <w:rsid w:val="00501A7C"/>
    <w:rsid w:val="00502481"/>
    <w:rsid w:val="00502D2D"/>
    <w:rsid w:val="005030D9"/>
    <w:rsid w:val="005031DB"/>
    <w:rsid w:val="005035CF"/>
    <w:rsid w:val="0050373E"/>
    <w:rsid w:val="005044FB"/>
    <w:rsid w:val="00504B3D"/>
    <w:rsid w:val="00504CAF"/>
    <w:rsid w:val="0050502C"/>
    <w:rsid w:val="005051E9"/>
    <w:rsid w:val="005058D1"/>
    <w:rsid w:val="005059FF"/>
    <w:rsid w:val="00505DC2"/>
    <w:rsid w:val="005065FD"/>
    <w:rsid w:val="00506690"/>
    <w:rsid w:val="00506860"/>
    <w:rsid w:val="005069A9"/>
    <w:rsid w:val="00506E8A"/>
    <w:rsid w:val="00507128"/>
    <w:rsid w:val="005071C1"/>
    <w:rsid w:val="0050754D"/>
    <w:rsid w:val="00507BDE"/>
    <w:rsid w:val="00507CC0"/>
    <w:rsid w:val="00510B0E"/>
    <w:rsid w:val="005113EE"/>
    <w:rsid w:val="0051145E"/>
    <w:rsid w:val="00511D91"/>
    <w:rsid w:val="0051254B"/>
    <w:rsid w:val="005128DA"/>
    <w:rsid w:val="00512A31"/>
    <w:rsid w:val="00512EC2"/>
    <w:rsid w:val="0051316E"/>
    <w:rsid w:val="00513669"/>
    <w:rsid w:val="0051379F"/>
    <w:rsid w:val="0051468C"/>
    <w:rsid w:val="0051489C"/>
    <w:rsid w:val="00515621"/>
    <w:rsid w:val="005156F9"/>
    <w:rsid w:val="00515715"/>
    <w:rsid w:val="005160FB"/>
    <w:rsid w:val="00516436"/>
    <w:rsid w:val="0051644D"/>
    <w:rsid w:val="00517601"/>
    <w:rsid w:val="00517961"/>
    <w:rsid w:val="00517A23"/>
    <w:rsid w:val="00520210"/>
    <w:rsid w:val="00520218"/>
    <w:rsid w:val="00520341"/>
    <w:rsid w:val="00521232"/>
    <w:rsid w:val="005215EE"/>
    <w:rsid w:val="005216B2"/>
    <w:rsid w:val="00522A80"/>
    <w:rsid w:val="00522A95"/>
    <w:rsid w:val="00522CDB"/>
    <w:rsid w:val="005237C6"/>
    <w:rsid w:val="005248CF"/>
    <w:rsid w:val="0052499D"/>
    <w:rsid w:val="00524FF1"/>
    <w:rsid w:val="00525055"/>
    <w:rsid w:val="005263D8"/>
    <w:rsid w:val="005265CC"/>
    <w:rsid w:val="00526E90"/>
    <w:rsid w:val="005275F3"/>
    <w:rsid w:val="005278E3"/>
    <w:rsid w:val="005300EB"/>
    <w:rsid w:val="00530364"/>
    <w:rsid w:val="00531496"/>
    <w:rsid w:val="0053181D"/>
    <w:rsid w:val="005324B7"/>
    <w:rsid w:val="005325BA"/>
    <w:rsid w:val="00532DFB"/>
    <w:rsid w:val="00532FEB"/>
    <w:rsid w:val="005330F0"/>
    <w:rsid w:val="0053380B"/>
    <w:rsid w:val="00533C71"/>
    <w:rsid w:val="00533CC2"/>
    <w:rsid w:val="005341E1"/>
    <w:rsid w:val="00534336"/>
    <w:rsid w:val="005351AD"/>
    <w:rsid w:val="005351F7"/>
    <w:rsid w:val="005355F6"/>
    <w:rsid w:val="00535F42"/>
    <w:rsid w:val="005364DA"/>
    <w:rsid w:val="00536D41"/>
    <w:rsid w:val="00537079"/>
    <w:rsid w:val="005370D4"/>
    <w:rsid w:val="005379BB"/>
    <w:rsid w:val="00537D6D"/>
    <w:rsid w:val="00537E99"/>
    <w:rsid w:val="00540157"/>
    <w:rsid w:val="00541D5C"/>
    <w:rsid w:val="00541EBB"/>
    <w:rsid w:val="00542394"/>
    <w:rsid w:val="005425AB"/>
    <w:rsid w:val="00542869"/>
    <w:rsid w:val="00542BDE"/>
    <w:rsid w:val="00542C64"/>
    <w:rsid w:val="00542D38"/>
    <w:rsid w:val="0054301F"/>
    <w:rsid w:val="0054326D"/>
    <w:rsid w:val="00543CA1"/>
    <w:rsid w:val="00543F26"/>
    <w:rsid w:val="005441FD"/>
    <w:rsid w:val="00544874"/>
    <w:rsid w:val="005448DD"/>
    <w:rsid w:val="005450E3"/>
    <w:rsid w:val="00545241"/>
    <w:rsid w:val="0054637A"/>
    <w:rsid w:val="0054688C"/>
    <w:rsid w:val="00546BFE"/>
    <w:rsid w:val="00546E2D"/>
    <w:rsid w:val="0054765E"/>
    <w:rsid w:val="005500AE"/>
    <w:rsid w:val="0055060D"/>
    <w:rsid w:val="00550815"/>
    <w:rsid w:val="00550A0C"/>
    <w:rsid w:val="0055152A"/>
    <w:rsid w:val="00551660"/>
    <w:rsid w:val="00551B43"/>
    <w:rsid w:val="00551F58"/>
    <w:rsid w:val="00551FD7"/>
    <w:rsid w:val="00552017"/>
    <w:rsid w:val="00552982"/>
    <w:rsid w:val="005535E0"/>
    <w:rsid w:val="00553F54"/>
    <w:rsid w:val="00554A33"/>
    <w:rsid w:val="0055501D"/>
    <w:rsid w:val="005550BF"/>
    <w:rsid w:val="0055639C"/>
    <w:rsid w:val="00557D56"/>
    <w:rsid w:val="00557E7A"/>
    <w:rsid w:val="0056045E"/>
    <w:rsid w:val="00560876"/>
    <w:rsid w:val="00561913"/>
    <w:rsid w:val="0056269B"/>
    <w:rsid w:val="00562B73"/>
    <w:rsid w:val="0056347A"/>
    <w:rsid w:val="005638B3"/>
    <w:rsid w:val="005638DD"/>
    <w:rsid w:val="005642D9"/>
    <w:rsid w:val="005642F2"/>
    <w:rsid w:val="00564F17"/>
    <w:rsid w:val="00564F7D"/>
    <w:rsid w:val="005651B2"/>
    <w:rsid w:val="00565454"/>
    <w:rsid w:val="0056630C"/>
    <w:rsid w:val="005667CB"/>
    <w:rsid w:val="0056786D"/>
    <w:rsid w:val="00567DC7"/>
    <w:rsid w:val="00567E51"/>
    <w:rsid w:val="0057043A"/>
    <w:rsid w:val="00570C12"/>
    <w:rsid w:val="00570F87"/>
    <w:rsid w:val="0057137A"/>
    <w:rsid w:val="00571731"/>
    <w:rsid w:val="00571796"/>
    <w:rsid w:val="00571A7F"/>
    <w:rsid w:val="00571C10"/>
    <w:rsid w:val="00571DF6"/>
    <w:rsid w:val="00572050"/>
    <w:rsid w:val="00572694"/>
    <w:rsid w:val="0057275E"/>
    <w:rsid w:val="005727CA"/>
    <w:rsid w:val="005727F0"/>
    <w:rsid w:val="00572D44"/>
    <w:rsid w:val="00573545"/>
    <w:rsid w:val="00573CD4"/>
    <w:rsid w:val="0057442B"/>
    <w:rsid w:val="00574E52"/>
    <w:rsid w:val="00575B75"/>
    <w:rsid w:val="005762B8"/>
    <w:rsid w:val="00576DC5"/>
    <w:rsid w:val="00576FBF"/>
    <w:rsid w:val="005770F3"/>
    <w:rsid w:val="005802A8"/>
    <w:rsid w:val="00580308"/>
    <w:rsid w:val="00580573"/>
    <w:rsid w:val="00580AC1"/>
    <w:rsid w:val="00580BE5"/>
    <w:rsid w:val="005813B0"/>
    <w:rsid w:val="00581612"/>
    <w:rsid w:val="00581785"/>
    <w:rsid w:val="00581EE3"/>
    <w:rsid w:val="00581F60"/>
    <w:rsid w:val="00582089"/>
    <w:rsid w:val="0058237C"/>
    <w:rsid w:val="00582629"/>
    <w:rsid w:val="00582A7E"/>
    <w:rsid w:val="00582ED2"/>
    <w:rsid w:val="0058385A"/>
    <w:rsid w:val="00584B13"/>
    <w:rsid w:val="00584C5A"/>
    <w:rsid w:val="005858EC"/>
    <w:rsid w:val="00585B9C"/>
    <w:rsid w:val="005863EC"/>
    <w:rsid w:val="00586657"/>
    <w:rsid w:val="00586DE9"/>
    <w:rsid w:val="005871A4"/>
    <w:rsid w:val="005871C9"/>
    <w:rsid w:val="005875EB"/>
    <w:rsid w:val="00587B5F"/>
    <w:rsid w:val="00590A28"/>
    <w:rsid w:val="00591369"/>
    <w:rsid w:val="005914D2"/>
    <w:rsid w:val="00591DC7"/>
    <w:rsid w:val="005927AE"/>
    <w:rsid w:val="00592C8F"/>
    <w:rsid w:val="005930C9"/>
    <w:rsid w:val="005930D4"/>
    <w:rsid w:val="00593334"/>
    <w:rsid w:val="0059360F"/>
    <w:rsid w:val="00593850"/>
    <w:rsid w:val="00594456"/>
    <w:rsid w:val="00594B76"/>
    <w:rsid w:val="00594C40"/>
    <w:rsid w:val="005950BB"/>
    <w:rsid w:val="00595819"/>
    <w:rsid w:val="00595EF9"/>
    <w:rsid w:val="0059600C"/>
    <w:rsid w:val="00596515"/>
    <w:rsid w:val="00597A41"/>
    <w:rsid w:val="00597CDF"/>
    <w:rsid w:val="005A041C"/>
    <w:rsid w:val="005A09A7"/>
    <w:rsid w:val="005A20F2"/>
    <w:rsid w:val="005A379A"/>
    <w:rsid w:val="005A4139"/>
    <w:rsid w:val="005A4248"/>
    <w:rsid w:val="005A42EF"/>
    <w:rsid w:val="005A4897"/>
    <w:rsid w:val="005A60EE"/>
    <w:rsid w:val="005A63FF"/>
    <w:rsid w:val="005A661B"/>
    <w:rsid w:val="005A696F"/>
    <w:rsid w:val="005A6DA9"/>
    <w:rsid w:val="005A6DDE"/>
    <w:rsid w:val="005A791C"/>
    <w:rsid w:val="005A7F23"/>
    <w:rsid w:val="005B010D"/>
    <w:rsid w:val="005B029E"/>
    <w:rsid w:val="005B0368"/>
    <w:rsid w:val="005B0547"/>
    <w:rsid w:val="005B0837"/>
    <w:rsid w:val="005B0B6C"/>
    <w:rsid w:val="005B0E37"/>
    <w:rsid w:val="005B12BF"/>
    <w:rsid w:val="005B1D41"/>
    <w:rsid w:val="005B2133"/>
    <w:rsid w:val="005B2599"/>
    <w:rsid w:val="005B2951"/>
    <w:rsid w:val="005B30C5"/>
    <w:rsid w:val="005B3891"/>
    <w:rsid w:val="005B462B"/>
    <w:rsid w:val="005B477F"/>
    <w:rsid w:val="005B4C3F"/>
    <w:rsid w:val="005B4CA8"/>
    <w:rsid w:val="005B4FAB"/>
    <w:rsid w:val="005B5451"/>
    <w:rsid w:val="005B54F3"/>
    <w:rsid w:val="005B5B53"/>
    <w:rsid w:val="005B5DF8"/>
    <w:rsid w:val="005B61FE"/>
    <w:rsid w:val="005B756F"/>
    <w:rsid w:val="005B77B1"/>
    <w:rsid w:val="005B793C"/>
    <w:rsid w:val="005C08E9"/>
    <w:rsid w:val="005C0A34"/>
    <w:rsid w:val="005C1060"/>
    <w:rsid w:val="005C14A4"/>
    <w:rsid w:val="005C1869"/>
    <w:rsid w:val="005C195A"/>
    <w:rsid w:val="005C1AB5"/>
    <w:rsid w:val="005C1B70"/>
    <w:rsid w:val="005C204D"/>
    <w:rsid w:val="005C2186"/>
    <w:rsid w:val="005C2605"/>
    <w:rsid w:val="005C2AE8"/>
    <w:rsid w:val="005C2C27"/>
    <w:rsid w:val="005C317E"/>
    <w:rsid w:val="005C377D"/>
    <w:rsid w:val="005C37E3"/>
    <w:rsid w:val="005C3B10"/>
    <w:rsid w:val="005C4E33"/>
    <w:rsid w:val="005C5828"/>
    <w:rsid w:val="005C5C13"/>
    <w:rsid w:val="005C5CBE"/>
    <w:rsid w:val="005C5F4F"/>
    <w:rsid w:val="005C6925"/>
    <w:rsid w:val="005C6A0C"/>
    <w:rsid w:val="005C7094"/>
    <w:rsid w:val="005C71D5"/>
    <w:rsid w:val="005C7DBC"/>
    <w:rsid w:val="005D00C2"/>
    <w:rsid w:val="005D044E"/>
    <w:rsid w:val="005D16C9"/>
    <w:rsid w:val="005D2059"/>
    <w:rsid w:val="005D2230"/>
    <w:rsid w:val="005D2431"/>
    <w:rsid w:val="005D264A"/>
    <w:rsid w:val="005D2859"/>
    <w:rsid w:val="005D28D4"/>
    <w:rsid w:val="005D308D"/>
    <w:rsid w:val="005D35C0"/>
    <w:rsid w:val="005D4169"/>
    <w:rsid w:val="005D426F"/>
    <w:rsid w:val="005D43F9"/>
    <w:rsid w:val="005D4599"/>
    <w:rsid w:val="005D4E9B"/>
    <w:rsid w:val="005D533A"/>
    <w:rsid w:val="005D69DA"/>
    <w:rsid w:val="005D6B95"/>
    <w:rsid w:val="005D7590"/>
    <w:rsid w:val="005D76FB"/>
    <w:rsid w:val="005D7743"/>
    <w:rsid w:val="005D7845"/>
    <w:rsid w:val="005D7FAA"/>
    <w:rsid w:val="005D7FCC"/>
    <w:rsid w:val="005E0819"/>
    <w:rsid w:val="005E1269"/>
    <w:rsid w:val="005E1347"/>
    <w:rsid w:val="005E177A"/>
    <w:rsid w:val="005E1822"/>
    <w:rsid w:val="005E1B60"/>
    <w:rsid w:val="005E20D8"/>
    <w:rsid w:val="005E2C1A"/>
    <w:rsid w:val="005E334A"/>
    <w:rsid w:val="005E3945"/>
    <w:rsid w:val="005E3E40"/>
    <w:rsid w:val="005E4CFC"/>
    <w:rsid w:val="005E65D5"/>
    <w:rsid w:val="005E7E1A"/>
    <w:rsid w:val="005F0545"/>
    <w:rsid w:val="005F095C"/>
    <w:rsid w:val="005F0A90"/>
    <w:rsid w:val="005F0D7C"/>
    <w:rsid w:val="005F10BB"/>
    <w:rsid w:val="005F1828"/>
    <w:rsid w:val="005F24DF"/>
    <w:rsid w:val="005F2572"/>
    <w:rsid w:val="005F27A3"/>
    <w:rsid w:val="005F28FB"/>
    <w:rsid w:val="005F2A3D"/>
    <w:rsid w:val="005F3429"/>
    <w:rsid w:val="005F38C0"/>
    <w:rsid w:val="005F3CA7"/>
    <w:rsid w:val="005F40E1"/>
    <w:rsid w:val="005F42CA"/>
    <w:rsid w:val="005F44A2"/>
    <w:rsid w:val="005F4924"/>
    <w:rsid w:val="005F500F"/>
    <w:rsid w:val="005F567A"/>
    <w:rsid w:val="005F5B4A"/>
    <w:rsid w:val="005F66DB"/>
    <w:rsid w:val="005F6B20"/>
    <w:rsid w:val="005F6E7E"/>
    <w:rsid w:val="005F6FBE"/>
    <w:rsid w:val="005F70D6"/>
    <w:rsid w:val="005F70E7"/>
    <w:rsid w:val="005F74B3"/>
    <w:rsid w:val="005F75A4"/>
    <w:rsid w:val="00600AF8"/>
    <w:rsid w:val="00600C72"/>
    <w:rsid w:val="00600DBA"/>
    <w:rsid w:val="00602114"/>
    <w:rsid w:val="00602957"/>
    <w:rsid w:val="0060308B"/>
    <w:rsid w:val="00603901"/>
    <w:rsid w:val="00603F88"/>
    <w:rsid w:val="00603F96"/>
    <w:rsid w:val="0060439D"/>
    <w:rsid w:val="00605B1D"/>
    <w:rsid w:val="00605DD8"/>
    <w:rsid w:val="0060612F"/>
    <w:rsid w:val="006061A2"/>
    <w:rsid w:val="0060648B"/>
    <w:rsid w:val="00606852"/>
    <w:rsid w:val="00606F60"/>
    <w:rsid w:val="006073ED"/>
    <w:rsid w:val="0060740B"/>
    <w:rsid w:val="006077CD"/>
    <w:rsid w:val="0060795E"/>
    <w:rsid w:val="006079BD"/>
    <w:rsid w:val="00607CD5"/>
    <w:rsid w:val="00607F7B"/>
    <w:rsid w:val="00610046"/>
    <w:rsid w:val="006109BB"/>
    <w:rsid w:val="00610DDD"/>
    <w:rsid w:val="006111E3"/>
    <w:rsid w:val="006112C8"/>
    <w:rsid w:val="006114A5"/>
    <w:rsid w:val="006126F0"/>
    <w:rsid w:val="006128B5"/>
    <w:rsid w:val="00612E26"/>
    <w:rsid w:val="0061379E"/>
    <w:rsid w:val="00613BFB"/>
    <w:rsid w:val="00613C02"/>
    <w:rsid w:val="006140CA"/>
    <w:rsid w:val="00614253"/>
    <w:rsid w:val="0061438E"/>
    <w:rsid w:val="006146BE"/>
    <w:rsid w:val="006147A8"/>
    <w:rsid w:val="006149F6"/>
    <w:rsid w:val="00614F15"/>
    <w:rsid w:val="00615626"/>
    <w:rsid w:val="00617162"/>
    <w:rsid w:val="0061732D"/>
    <w:rsid w:val="0061761B"/>
    <w:rsid w:val="00617BC9"/>
    <w:rsid w:val="00617D3B"/>
    <w:rsid w:val="00620894"/>
    <w:rsid w:val="0062195B"/>
    <w:rsid w:val="00621AAF"/>
    <w:rsid w:val="0062235C"/>
    <w:rsid w:val="006228F2"/>
    <w:rsid w:val="006233FE"/>
    <w:rsid w:val="006237BC"/>
    <w:rsid w:val="00623AF1"/>
    <w:rsid w:val="00624220"/>
    <w:rsid w:val="00624258"/>
    <w:rsid w:val="0062465A"/>
    <w:rsid w:val="00624A24"/>
    <w:rsid w:val="006251E1"/>
    <w:rsid w:val="0062580F"/>
    <w:rsid w:val="00626120"/>
    <w:rsid w:val="006268B6"/>
    <w:rsid w:val="00626904"/>
    <w:rsid w:val="00626941"/>
    <w:rsid w:val="00627761"/>
    <w:rsid w:val="00627B52"/>
    <w:rsid w:val="00630EB1"/>
    <w:rsid w:val="00630ED4"/>
    <w:rsid w:val="00631511"/>
    <w:rsid w:val="006318AD"/>
    <w:rsid w:val="00631A2D"/>
    <w:rsid w:val="00631CC3"/>
    <w:rsid w:val="00632562"/>
    <w:rsid w:val="0063272F"/>
    <w:rsid w:val="00632F84"/>
    <w:rsid w:val="00633B23"/>
    <w:rsid w:val="0063471F"/>
    <w:rsid w:val="006351B0"/>
    <w:rsid w:val="006351D2"/>
    <w:rsid w:val="00635643"/>
    <w:rsid w:val="0063669A"/>
    <w:rsid w:val="0063676A"/>
    <w:rsid w:val="006367CD"/>
    <w:rsid w:val="006368BA"/>
    <w:rsid w:val="00636AF5"/>
    <w:rsid w:val="00637518"/>
    <w:rsid w:val="00637819"/>
    <w:rsid w:val="006378ED"/>
    <w:rsid w:val="00637C54"/>
    <w:rsid w:val="00640800"/>
    <w:rsid w:val="00640917"/>
    <w:rsid w:val="00640E41"/>
    <w:rsid w:val="00640F59"/>
    <w:rsid w:val="00641407"/>
    <w:rsid w:val="006414D9"/>
    <w:rsid w:val="006419EB"/>
    <w:rsid w:val="00642249"/>
    <w:rsid w:val="00642615"/>
    <w:rsid w:val="0064284C"/>
    <w:rsid w:val="00642DE1"/>
    <w:rsid w:val="00642E91"/>
    <w:rsid w:val="0064319E"/>
    <w:rsid w:val="00643232"/>
    <w:rsid w:val="00643556"/>
    <w:rsid w:val="00643A6D"/>
    <w:rsid w:val="00643E35"/>
    <w:rsid w:val="006443A6"/>
    <w:rsid w:val="0064472C"/>
    <w:rsid w:val="0064496B"/>
    <w:rsid w:val="00644C1A"/>
    <w:rsid w:val="006450AC"/>
    <w:rsid w:val="00645163"/>
    <w:rsid w:val="006452E0"/>
    <w:rsid w:val="00645761"/>
    <w:rsid w:val="00645BE8"/>
    <w:rsid w:val="00645CAD"/>
    <w:rsid w:val="006464C2"/>
    <w:rsid w:val="00646595"/>
    <w:rsid w:val="00646849"/>
    <w:rsid w:val="00646FEA"/>
    <w:rsid w:val="00647288"/>
    <w:rsid w:val="006475D8"/>
    <w:rsid w:val="00647ADB"/>
    <w:rsid w:val="00647B41"/>
    <w:rsid w:val="00647BB9"/>
    <w:rsid w:val="00647BD4"/>
    <w:rsid w:val="006504DE"/>
    <w:rsid w:val="0065089D"/>
    <w:rsid w:val="00650D2E"/>
    <w:rsid w:val="00650E01"/>
    <w:rsid w:val="00651143"/>
    <w:rsid w:val="006522E4"/>
    <w:rsid w:val="006531FE"/>
    <w:rsid w:val="00654AD7"/>
    <w:rsid w:val="00655456"/>
    <w:rsid w:val="00655C66"/>
    <w:rsid w:val="00655F42"/>
    <w:rsid w:val="006570D1"/>
    <w:rsid w:val="006573EF"/>
    <w:rsid w:val="0065748B"/>
    <w:rsid w:val="00657E57"/>
    <w:rsid w:val="00657F65"/>
    <w:rsid w:val="006605C1"/>
    <w:rsid w:val="00660821"/>
    <w:rsid w:val="00661312"/>
    <w:rsid w:val="00661494"/>
    <w:rsid w:val="00661956"/>
    <w:rsid w:val="0066219D"/>
    <w:rsid w:val="006622AA"/>
    <w:rsid w:val="00662685"/>
    <w:rsid w:val="006634B8"/>
    <w:rsid w:val="00663BB9"/>
    <w:rsid w:val="00664149"/>
    <w:rsid w:val="00664520"/>
    <w:rsid w:val="006654CF"/>
    <w:rsid w:val="0066624F"/>
    <w:rsid w:val="006665D6"/>
    <w:rsid w:val="00666BDC"/>
    <w:rsid w:val="006671AF"/>
    <w:rsid w:val="00667546"/>
    <w:rsid w:val="00667968"/>
    <w:rsid w:val="00667D46"/>
    <w:rsid w:val="00667E60"/>
    <w:rsid w:val="00670455"/>
    <w:rsid w:val="0067085C"/>
    <w:rsid w:val="00670BCA"/>
    <w:rsid w:val="006714DF"/>
    <w:rsid w:val="00671818"/>
    <w:rsid w:val="00671882"/>
    <w:rsid w:val="006718C1"/>
    <w:rsid w:val="00671A57"/>
    <w:rsid w:val="00671C3A"/>
    <w:rsid w:val="006720A1"/>
    <w:rsid w:val="0067244A"/>
    <w:rsid w:val="00672935"/>
    <w:rsid w:val="00673420"/>
    <w:rsid w:val="00673CB6"/>
    <w:rsid w:val="0067438D"/>
    <w:rsid w:val="00674AAE"/>
    <w:rsid w:val="006753E5"/>
    <w:rsid w:val="0067570D"/>
    <w:rsid w:val="0067635A"/>
    <w:rsid w:val="00676FF8"/>
    <w:rsid w:val="00677B2C"/>
    <w:rsid w:val="00677C9B"/>
    <w:rsid w:val="006800D1"/>
    <w:rsid w:val="006802B5"/>
    <w:rsid w:val="00680A6A"/>
    <w:rsid w:val="00680A98"/>
    <w:rsid w:val="00680E53"/>
    <w:rsid w:val="00681263"/>
    <w:rsid w:val="00681560"/>
    <w:rsid w:val="0068180D"/>
    <w:rsid w:val="0068182B"/>
    <w:rsid w:val="00681DA7"/>
    <w:rsid w:val="0068220C"/>
    <w:rsid w:val="0068252C"/>
    <w:rsid w:val="00682C77"/>
    <w:rsid w:val="00683421"/>
    <w:rsid w:val="00683609"/>
    <w:rsid w:val="00683AA2"/>
    <w:rsid w:val="00683B1C"/>
    <w:rsid w:val="00683D07"/>
    <w:rsid w:val="00683D2C"/>
    <w:rsid w:val="00684355"/>
    <w:rsid w:val="0068443C"/>
    <w:rsid w:val="006845C8"/>
    <w:rsid w:val="006847C0"/>
    <w:rsid w:val="00684C64"/>
    <w:rsid w:val="0068517C"/>
    <w:rsid w:val="00685237"/>
    <w:rsid w:val="00685445"/>
    <w:rsid w:val="006855F6"/>
    <w:rsid w:val="006857A3"/>
    <w:rsid w:val="006857D9"/>
    <w:rsid w:val="00685DEE"/>
    <w:rsid w:val="006861ED"/>
    <w:rsid w:val="006863CB"/>
    <w:rsid w:val="006868A9"/>
    <w:rsid w:val="00686951"/>
    <w:rsid w:val="006869F7"/>
    <w:rsid w:val="00687627"/>
    <w:rsid w:val="006877EE"/>
    <w:rsid w:val="006878B7"/>
    <w:rsid w:val="006878E0"/>
    <w:rsid w:val="006902AE"/>
    <w:rsid w:val="00690551"/>
    <w:rsid w:val="00690E6F"/>
    <w:rsid w:val="006911D9"/>
    <w:rsid w:val="00691592"/>
    <w:rsid w:val="00691905"/>
    <w:rsid w:val="0069209C"/>
    <w:rsid w:val="00692FD1"/>
    <w:rsid w:val="0069339B"/>
    <w:rsid w:val="006935EF"/>
    <w:rsid w:val="00693A1C"/>
    <w:rsid w:val="00693AA1"/>
    <w:rsid w:val="00693F0D"/>
    <w:rsid w:val="00694568"/>
    <w:rsid w:val="00694729"/>
    <w:rsid w:val="006949CD"/>
    <w:rsid w:val="006949F6"/>
    <w:rsid w:val="0069506B"/>
    <w:rsid w:val="006954AE"/>
    <w:rsid w:val="006960AF"/>
    <w:rsid w:val="006963D2"/>
    <w:rsid w:val="00696538"/>
    <w:rsid w:val="00696609"/>
    <w:rsid w:val="006969D9"/>
    <w:rsid w:val="00696BF6"/>
    <w:rsid w:val="0069731B"/>
    <w:rsid w:val="006A02AE"/>
    <w:rsid w:val="006A10C7"/>
    <w:rsid w:val="006A1342"/>
    <w:rsid w:val="006A1394"/>
    <w:rsid w:val="006A13B8"/>
    <w:rsid w:val="006A1679"/>
    <w:rsid w:val="006A1C40"/>
    <w:rsid w:val="006A1C6A"/>
    <w:rsid w:val="006A2A57"/>
    <w:rsid w:val="006A2D0D"/>
    <w:rsid w:val="006A2FF9"/>
    <w:rsid w:val="006A304E"/>
    <w:rsid w:val="006A3582"/>
    <w:rsid w:val="006A6386"/>
    <w:rsid w:val="006A64EC"/>
    <w:rsid w:val="006A6C47"/>
    <w:rsid w:val="006A725C"/>
    <w:rsid w:val="006A7396"/>
    <w:rsid w:val="006A7514"/>
    <w:rsid w:val="006A79C2"/>
    <w:rsid w:val="006A7AD2"/>
    <w:rsid w:val="006A7B7D"/>
    <w:rsid w:val="006B0037"/>
    <w:rsid w:val="006B02BA"/>
    <w:rsid w:val="006B0762"/>
    <w:rsid w:val="006B0CFE"/>
    <w:rsid w:val="006B103A"/>
    <w:rsid w:val="006B1136"/>
    <w:rsid w:val="006B11A5"/>
    <w:rsid w:val="006B150A"/>
    <w:rsid w:val="006B1631"/>
    <w:rsid w:val="006B2030"/>
    <w:rsid w:val="006B209C"/>
    <w:rsid w:val="006B22F6"/>
    <w:rsid w:val="006B2DEF"/>
    <w:rsid w:val="006B3633"/>
    <w:rsid w:val="006B3988"/>
    <w:rsid w:val="006B3B0A"/>
    <w:rsid w:val="006B3FC4"/>
    <w:rsid w:val="006B5815"/>
    <w:rsid w:val="006B66E4"/>
    <w:rsid w:val="006B66FF"/>
    <w:rsid w:val="006B71FC"/>
    <w:rsid w:val="006B742E"/>
    <w:rsid w:val="006B7533"/>
    <w:rsid w:val="006B7816"/>
    <w:rsid w:val="006B7B67"/>
    <w:rsid w:val="006C03B4"/>
    <w:rsid w:val="006C0AB3"/>
    <w:rsid w:val="006C0B2A"/>
    <w:rsid w:val="006C0B56"/>
    <w:rsid w:val="006C179D"/>
    <w:rsid w:val="006C21DC"/>
    <w:rsid w:val="006C2463"/>
    <w:rsid w:val="006C25DE"/>
    <w:rsid w:val="006C2C34"/>
    <w:rsid w:val="006C3157"/>
    <w:rsid w:val="006C3971"/>
    <w:rsid w:val="006C445F"/>
    <w:rsid w:val="006C4AE8"/>
    <w:rsid w:val="006C4DF4"/>
    <w:rsid w:val="006C4F5A"/>
    <w:rsid w:val="006C4FE2"/>
    <w:rsid w:val="006C5527"/>
    <w:rsid w:val="006C5B80"/>
    <w:rsid w:val="006C5DDD"/>
    <w:rsid w:val="006C5E3C"/>
    <w:rsid w:val="006C61BC"/>
    <w:rsid w:val="006C6AAF"/>
    <w:rsid w:val="006C6C9E"/>
    <w:rsid w:val="006C6E52"/>
    <w:rsid w:val="006C726E"/>
    <w:rsid w:val="006C73A0"/>
    <w:rsid w:val="006C73B2"/>
    <w:rsid w:val="006C7BAE"/>
    <w:rsid w:val="006C7F39"/>
    <w:rsid w:val="006D01DF"/>
    <w:rsid w:val="006D0D7C"/>
    <w:rsid w:val="006D0E6A"/>
    <w:rsid w:val="006D1C0B"/>
    <w:rsid w:val="006D1F2A"/>
    <w:rsid w:val="006D22B6"/>
    <w:rsid w:val="006D26EC"/>
    <w:rsid w:val="006D31BD"/>
    <w:rsid w:val="006D321B"/>
    <w:rsid w:val="006D33EB"/>
    <w:rsid w:val="006D3BF5"/>
    <w:rsid w:val="006D4317"/>
    <w:rsid w:val="006D4417"/>
    <w:rsid w:val="006D492D"/>
    <w:rsid w:val="006D4C88"/>
    <w:rsid w:val="006D4DE9"/>
    <w:rsid w:val="006D5AEC"/>
    <w:rsid w:val="006D6065"/>
    <w:rsid w:val="006D6B4B"/>
    <w:rsid w:val="006D6DA6"/>
    <w:rsid w:val="006D736E"/>
    <w:rsid w:val="006D73B3"/>
    <w:rsid w:val="006E0943"/>
    <w:rsid w:val="006E0D1E"/>
    <w:rsid w:val="006E1297"/>
    <w:rsid w:val="006E150A"/>
    <w:rsid w:val="006E1D39"/>
    <w:rsid w:val="006E21AD"/>
    <w:rsid w:val="006E24EC"/>
    <w:rsid w:val="006E2CA7"/>
    <w:rsid w:val="006E2D97"/>
    <w:rsid w:val="006E31D5"/>
    <w:rsid w:val="006E35DE"/>
    <w:rsid w:val="006E3DF7"/>
    <w:rsid w:val="006E4EB5"/>
    <w:rsid w:val="006E5563"/>
    <w:rsid w:val="006E5DB9"/>
    <w:rsid w:val="006E5EA6"/>
    <w:rsid w:val="006E5EFB"/>
    <w:rsid w:val="006E6A1A"/>
    <w:rsid w:val="006E6E9E"/>
    <w:rsid w:val="006E7103"/>
    <w:rsid w:val="006E7E4D"/>
    <w:rsid w:val="006E7EF3"/>
    <w:rsid w:val="006F0069"/>
    <w:rsid w:val="006F0516"/>
    <w:rsid w:val="006F0A42"/>
    <w:rsid w:val="006F0D7C"/>
    <w:rsid w:val="006F0F8C"/>
    <w:rsid w:val="006F12CE"/>
    <w:rsid w:val="006F1864"/>
    <w:rsid w:val="006F18C1"/>
    <w:rsid w:val="006F1C1E"/>
    <w:rsid w:val="006F1E26"/>
    <w:rsid w:val="006F2A04"/>
    <w:rsid w:val="006F35D0"/>
    <w:rsid w:val="006F3639"/>
    <w:rsid w:val="006F3AC9"/>
    <w:rsid w:val="006F44B5"/>
    <w:rsid w:val="006F461C"/>
    <w:rsid w:val="006F4870"/>
    <w:rsid w:val="006F49C6"/>
    <w:rsid w:val="006F4EAE"/>
    <w:rsid w:val="006F55FB"/>
    <w:rsid w:val="006F6ABE"/>
    <w:rsid w:val="006F7399"/>
    <w:rsid w:val="006F7402"/>
    <w:rsid w:val="007009E8"/>
    <w:rsid w:val="007009F0"/>
    <w:rsid w:val="00700DF6"/>
    <w:rsid w:val="00700E45"/>
    <w:rsid w:val="00700F4E"/>
    <w:rsid w:val="0070156A"/>
    <w:rsid w:val="007023AC"/>
    <w:rsid w:val="0070270D"/>
    <w:rsid w:val="00702B00"/>
    <w:rsid w:val="00703716"/>
    <w:rsid w:val="00703770"/>
    <w:rsid w:val="0070402F"/>
    <w:rsid w:val="007044F5"/>
    <w:rsid w:val="00705591"/>
    <w:rsid w:val="00705AE7"/>
    <w:rsid w:val="007064A7"/>
    <w:rsid w:val="0070666E"/>
    <w:rsid w:val="007067C7"/>
    <w:rsid w:val="00706972"/>
    <w:rsid w:val="00707DFF"/>
    <w:rsid w:val="00710492"/>
    <w:rsid w:val="007110A9"/>
    <w:rsid w:val="007110C0"/>
    <w:rsid w:val="00711B9B"/>
    <w:rsid w:val="00711DB6"/>
    <w:rsid w:val="00712A96"/>
    <w:rsid w:val="00712E81"/>
    <w:rsid w:val="007133E8"/>
    <w:rsid w:val="0071358A"/>
    <w:rsid w:val="0071384C"/>
    <w:rsid w:val="00713878"/>
    <w:rsid w:val="007143EE"/>
    <w:rsid w:val="0071499B"/>
    <w:rsid w:val="00714B05"/>
    <w:rsid w:val="0071511E"/>
    <w:rsid w:val="007153CC"/>
    <w:rsid w:val="007154C8"/>
    <w:rsid w:val="0071581D"/>
    <w:rsid w:val="00715A82"/>
    <w:rsid w:val="0071691F"/>
    <w:rsid w:val="00716D17"/>
    <w:rsid w:val="00716E26"/>
    <w:rsid w:val="00716F03"/>
    <w:rsid w:val="00717013"/>
    <w:rsid w:val="00717597"/>
    <w:rsid w:val="007178A9"/>
    <w:rsid w:val="00717A3A"/>
    <w:rsid w:val="00717D7C"/>
    <w:rsid w:val="00720895"/>
    <w:rsid w:val="0072127D"/>
    <w:rsid w:val="00722380"/>
    <w:rsid w:val="007223B9"/>
    <w:rsid w:val="00722997"/>
    <w:rsid w:val="00722A43"/>
    <w:rsid w:val="00722B9E"/>
    <w:rsid w:val="00722C7E"/>
    <w:rsid w:val="00722FBB"/>
    <w:rsid w:val="0072339F"/>
    <w:rsid w:val="00723DE5"/>
    <w:rsid w:val="00724050"/>
    <w:rsid w:val="00724385"/>
    <w:rsid w:val="007244E5"/>
    <w:rsid w:val="00724A85"/>
    <w:rsid w:val="0072574F"/>
    <w:rsid w:val="00725907"/>
    <w:rsid w:val="00725EF4"/>
    <w:rsid w:val="00725F1D"/>
    <w:rsid w:val="0072623D"/>
    <w:rsid w:val="0072687C"/>
    <w:rsid w:val="00726F71"/>
    <w:rsid w:val="0072702C"/>
    <w:rsid w:val="00727A52"/>
    <w:rsid w:val="00727F97"/>
    <w:rsid w:val="007301A7"/>
    <w:rsid w:val="007301EC"/>
    <w:rsid w:val="00730409"/>
    <w:rsid w:val="007314B7"/>
    <w:rsid w:val="00731B85"/>
    <w:rsid w:val="0073227B"/>
    <w:rsid w:val="007325C9"/>
    <w:rsid w:val="007325F3"/>
    <w:rsid w:val="007328F4"/>
    <w:rsid w:val="00733471"/>
    <w:rsid w:val="0073368F"/>
    <w:rsid w:val="007336AC"/>
    <w:rsid w:val="0073443B"/>
    <w:rsid w:val="00735D1A"/>
    <w:rsid w:val="0073644F"/>
    <w:rsid w:val="00736AFF"/>
    <w:rsid w:val="0073726D"/>
    <w:rsid w:val="00737419"/>
    <w:rsid w:val="00737439"/>
    <w:rsid w:val="00737CA9"/>
    <w:rsid w:val="00737D94"/>
    <w:rsid w:val="00737E39"/>
    <w:rsid w:val="0074003E"/>
    <w:rsid w:val="007411CF"/>
    <w:rsid w:val="007413B8"/>
    <w:rsid w:val="007421B3"/>
    <w:rsid w:val="0074250F"/>
    <w:rsid w:val="00742828"/>
    <w:rsid w:val="00742AF9"/>
    <w:rsid w:val="00742BA0"/>
    <w:rsid w:val="00742BAE"/>
    <w:rsid w:val="00743213"/>
    <w:rsid w:val="00743EE8"/>
    <w:rsid w:val="00744957"/>
    <w:rsid w:val="00744FBD"/>
    <w:rsid w:val="00745003"/>
    <w:rsid w:val="007450EB"/>
    <w:rsid w:val="00745B9B"/>
    <w:rsid w:val="00745CAB"/>
    <w:rsid w:val="00745E06"/>
    <w:rsid w:val="0074667D"/>
    <w:rsid w:val="00746ACD"/>
    <w:rsid w:val="00746ADB"/>
    <w:rsid w:val="0074761B"/>
    <w:rsid w:val="007511C3"/>
    <w:rsid w:val="00751231"/>
    <w:rsid w:val="007512AF"/>
    <w:rsid w:val="00751519"/>
    <w:rsid w:val="007516BE"/>
    <w:rsid w:val="007518C5"/>
    <w:rsid w:val="00751ABE"/>
    <w:rsid w:val="00752159"/>
    <w:rsid w:val="0075235D"/>
    <w:rsid w:val="00752C29"/>
    <w:rsid w:val="0075309B"/>
    <w:rsid w:val="007532C9"/>
    <w:rsid w:val="007534B9"/>
    <w:rsid w:val="00753AF5"/>
    <w:rsid w:val="0075401B"/>
    <w:rsid w:val="0075466B"/>
    <w:rsid w:val="007546FC"/>
    <w:rsid w:val="00754D22"/>
    <w:rsid w:val="007554F4"/>
    <w:rsid w:val="00755BCF"/>
    <w:rsid w:val="00755E22"/>
    <w:rsid w:val="0075605D"/>
    <w:rsid w:val="00756169"/>
    <w:rsid w:val="007564A5"/>
    <w:rsid w:val="00757100"/>
    <w:rsid w:val="0075751C"/>
    <w:rsid w:val="00757650"/>
    <w:rsid w:val="00757B5F"/>
    <w:rsid w:val="007609F7"/>
    <w:rsid w:val="00760AFD"/>
    <w:rsid w:val="00760C62"/>
    <w:rsid w:val="00760F0F"/>
    <w:rsid w:val="00760F96"/>
    <w:rsid w:val="00761160"/>
    <w:rsid w:val="007618C8"/>
    <w:rsid w:val="007618F7"/>
    <w:rsid w:val="0076197D"/>
    <w:rsid w:val="00761E64"/>
    <w:rsid w:val="007623BA"/>
    <w:rsid w:val="00762E84"/>
    <w:rsid w:val="007645FB"/>
    <w:rsid w:val="0076492E"/>
    <w:rsid w:val="00764940"/>
    <w:rsid w:val="00764C1F"/>
    <w:rsid w:val="007655E6"/>
    <w:rsid w:val="00765799"/>
    <w:rsid w:val="00765B6A"/>
    <w:rsid w:val="00765D8C"/>
    <w:rsid w:val="00766277"/>
    <w:rsid w:val="00766BEC"/>
    <w:rsid w:val="00766E80"/>
    <w:rsid w:val="0076733E"/>
    <w:rsid w:val="007703F5"/>
    <w:rsid w:val="00770706"/>
    <w:rsid w:val="007709D2"/>
    <w:rsid w:val="00770A1D"/>
    <w:rsid w:val="00770A79"/>
    <w:rsid w:val="00770BEA"/>
    <w:rsid w:val="00771123"/>
    <w:rsid w:val="007716CD"/>
    <w:rsid w:val="007734D9"/>
    <w:rsid w:val="007736BC"/>
    <w:rsid w:val="00773A26"/>
    <w:rsid w:val="00773A3C"/>
    <w:rsid w:val="00773B85"/>
    <w:rsid w:val="00774742"/>
    <w:rsid w:val="00774DC5"/>
    <w:rsid w:val="007756A7"/>
    <w:rsid w:val="00775865"/>
    <w:rsid w:val="007761AE"/>
    <w:rsid w:val="00776490"/>
    <w:rsid w:val="007765E8"/>
    <w:rsid w:val="007768B5"/>
    <w:rsid w:val="007768C9"/>
    <w:rsid w:val="00776975"/>
    <w:rsid w:val="00776C8E"/>
    <w:rsid w:val="0077735A"/>
    <w:rsid w:val="00777ADE"/>
    <w:rsid w:val="00777B41"/>
    <w:rsid w:val="00777E99"/>
    <w:rsid w:val="007803F5"/>
    <w:rsid w:val="00780569"/>
    <w:rsid w:val="00780BED"/>
    <w:rsid w:val="0078170F"/>
    <w:rsid w:val="00782096"/>
    <w:rsid w:val="007833A0"/>
    <w:rsid w:val="00783532"/>
    <w:rsid w:val="0078389E"/>
    <w:rsid w:val="00783C03"/>
    <w:rsid w:val="00783E32"/>
    <w:rsid w:val="00783F0B"/>
    <w:rsid w:val="007841A7"/>
    <w:rsid w:val="007842E6"/>
    <w:rsid w:val="00785946"/>
    <w:rsid w:val="007860A4"/>
    <w:rsid w:val="00786AA8"/>
    <w:rsid w:val="00786AD4"/>
    <w:rsid w:val="00786BE8"/>
    <w:rsid w:val="00786C5F"/>
    <w:rsid w:val="00786DC4"/>
    <w:rsid w:val="00786EF1"/>
    <w:rsid w:val="00787162"/>
    <w:rsid w:val="007871B5"/>
    <w:rsid w:val="007875CF"/>
    <w:rsid w:val="00787920"/>
    <w:rsid w:val="00787B25"/>
    <w:rsid w:val="00787C6A"/>
    <w:rsid w:val="00790AB1"/>
    <w:rsid w:val="00790C32"/>
    <w:rsid w:val="00790CBF"/>
    <w:rsid w:val="0079197F"/>
    <w:rsid w:val="00791A80"/>
    <w:rsid w:val="00791EB7"/>
    <w:rsid w:val="00792404"/>
    <w:rsid w:val="007925E0"/>
    <w:rsid w:val="00792B2A"/>
    <w:rsid w:val="00792C82"/>
    <w:rsid w:val="00792DC1"/>
    <w:rsid w:val="007939E7"/>
    <w:rsid w:val="00793DC3"/>
    <w:rsid w:val="007942D4"/>
    <w:rsid w:val="007943BC"/>
    <w:rsid w:val="00794AFE"/>
    <w:rsid w:val="007952DB"/>
    <w:rsid w:val="00795C0F"/>
    <w:rsid w:val="007961A8"/>
    <w:rsid w:val="007963C4"/>
    <w:rsid w:val="00796579"/>
    <w:rsid w:val="00796F8B"/>
    <w:rsid w:val="00797217"/>
    <w:rsid w:val="007972DF"/>
    <w:rsid w:val="00797923"/>
    <w:rsid w:val="00797B0A"/>
    <w:rsid w:val="00797D00"/>
    <w:rsid w:val="007A09B1"/>
    <w:rsid w:val="007A0E8F"/>
    <w:rsid w:val="007A1290"/>
    <w:rsid w:val="007A1C89"/>
    <w:rsid w:val="007A231D"/>
    <w:rsid w:val="007A2CFD"/>
    <w:rsid w:val="007A31E1"/>
    <w:rsid w:val="007A349E"/>
    <w:rsid w:val="007A37D1"/>
    <w:rsid w:val="007A3B02"/>
    <w:rsid w:val="007A4286"/>
    <w:rsid w:val="007A49A6"/>
    <w:rsid w:val="007A4D1B"/>
    <w:rsid w:val="007A4E5D"/>
    <w:rsid w:val="007A58A1"/>
    <w:rsid w:val="007A59DA"/>
    <w:rsid w:val="007A5B01"/>
    <w:rsid w:val="007A5C1D"/>
    <w:rsid w:val="007A5E27"/>
    <w:rsid w:val="007A63F0"/>
    <w:rsid w:val="007A688A"/>
    <w:rsid w:val="007A6ABA"/>
    <w:rsid w:val="007A706D"/>
    <w:rsid w:val="007A7073"/>
    <w:rsid w:val="007A735A"/>
    <w:rsid w:val="007A7CE7"/>
    <w:rsid w:val="007B028B"/>
    <w:rsid w:val="007B03BD"/>
    <w:rsid w:val="007B0748"/>
    <w:rsid w:val="007B1264"/>
    <w:rsid w:val="007B2297"/>
    <w:rsid w:val="007B2419"/>
    <w:rsid w:val="007B26A6"/>
    <w:rsid w:val="007B284D"/>
    <w:rsid w:val="007B31EC"/>
    <w:rsid w:val="007B328E"/>
    <w:rsid w:val="007B35AA"/>
    <w:rsid w:val="007B4B16"/>
    <w:rsid w:val="007B4B9F"/>
    <w:rsid w:val="007B4BE0"/>
    <w:rsid w:val="007B534E"/>
    <w:rsid w:val="007B58EE"/>
    <w:rsid w:val="007B5B8D"/>
    <w:rsid w:val="007B5C99"/>
    <w:rsid w:val="007B5F10"/>
    <w:rsid w:val="007B645B"/>
    <w:rsid w:val="007B6C8E"/>
    <w:rsid w:val="007B70A9"/>
    <w:rsid w:val="007B72F5"/>
    <w:rsid w:val="007B7606"/>
    <w:rsid w:val="007C02C0"/>
    <w:rsid w:val="007C06F2"/>
    <w:rsid w:val="007C08F3"/>
    <w:rsid w:val="007C0A67"/>
    <w:rsid w:val="007C0CFD"/>
    <w:rsid w:val="007C0E74"/>
    <w:rsid w:val="007C1602"/>
    <w:rsid w:val="007C3093"/>
    <w:rsid w:val="007C3172"/>
    <w:rsid w:val="007C338C"/>
    <w:rsid w:val="007C3828"/>
    <w:rsid w:val="007C3B35"/>
    <w:rsid w:val="007C4F5F"/>
    <w:rsid w:val="007C52F5"/>
    <w:rsid w:val="007C533D"/>
    <w:rsid w:val="007C5796"/>
    <w:rsid w:val="007C5FC6"/>
    <w:rsid w:val="007C5FE9"/>
    <w:rsid w:val="007C7703"/>
    <w:rsid w:val="007D08A7"/>
    <w:rsid w:val="007D0C74"/>
    <w:rsid w:val="007D1315"/>
    <w:rsid w:val="007D141A"/>
    <w:rsid w:val="007D14AA"/>
    <w:rsid w:val="007D14DA"/>
    <w:rsid w:val="007D15B5"/>
    <w:rsid w:val="007D1819"/>
    <w:rsid w:val="007D27F6"/>
    <w:rsid w:val="007D35A1"/>
    <w:rsid w:val="007D3859"/>
    <w:rsid w:val="007D3DB4"/>
    <w:rsid w:val="007D3E4C"/>
    <w:rsid w:val="007D4AE9"/>
    <w:rsid w:val="007D51D6"/>
    <w:rsid w:val="007D55D3"/>
    <w:rsid w:val="007D62CC"/>
    <w:rsid w:val="007D635E"/>
    <w:rsid w:val="007D66A3"/>
    <w:rsid w:val="007D69D5"/>
    <w:rsid w:val="007D6B20"/>
    <w:rsid w:val="007D7576"/>
    <w:rsid w:val="007E0F5A"/>
    <w:rsid w:val="007E0FEE"/>
    <w:rsid w:val="007E151C"/>
    <w:rsid w:val="007E1D34"/>
    <w:rsid w:val="007E2870"/>
    <w:rsid w:val="007E2AD9"/>
    <w:rsid w:val="007E380A"/>
    <w:rsid w:val="007E3D23"/>
    <w:rsid w:val="007E3E74"/>
    <w:rsid w:val="007E3E75"/>
    <w:rsid w:val="007E40A9"/>
    <w:rsid w:val="007E40F7"/>
    <w:rsid w:val="007E4596"/>
    <w:rsid w:val="007E4B31"/>
    <w:rsid w:val="007E4C0B"/>
    <w:rsid w:val="007E4F7F"/>
    <w:rsid w:val="007E50DE"/>
    <w:rsid w:val="007E5A18"/>
    <w:rsid w:val="007E5A3E"/>
    <w:rsid w:val="007E5B99"/>
    <w:rsid w:val="007E6383"/>
    <w:rsid w:val="007E67BF"/>
    <w:rsid w:val="007E698A"/>
    <w:rsid w:val="007E6E76"/>
    <w:rsid w:val="007E6F97"/>
    <w:rsid w:val="007E7776"/>
    <w:rsid w:val="007E7CAB"/>
    <w:rsid w:val="007F019D"/>
    <w:rsid w:val="007F0993"/>
    <w:rsid w:val="007F0F33"/>
    <w:rsid w:val="007F1039"/>
    <w:rsid w:val="007F1E21"/>
    <w:rsid w:val="007F2A29"/>
    <w:rsid w:val="007F2B5B"/>
    <w:rsid w:val="007F2EBD"/>
    <w:rsid w:val="007F3321"/>
    <w:rsid w:val="007F34B1"/>
    <w:rsid w:val="007F3A49"/>
    <w:rsid w:val="007F3E9D"/>
    <w:rsid w:val="007F3FD5"/>
    <w:rsid w:val="007F460D"/>
    <w:rsid w:val="007F4F3C"/>
    <w:rsid w:val="007F614C"/>
    <w:rsid w:val="007F68D2"/>
    <w:rsid w:val="007F75D8"/>
    <w:rsid w:val="007F794F"/>
    <w:rsid w:val="0080020A"/>
    <w:rsid w:val="00800283"/>
    <w:rsid w:val="00800DD8"/>
    <w:rsid w:val="0080150F"/>
    <w:rsid w:val="0080214F"/>
    <w:rsid w:val="00802348"/>
    <w:rsid w:val="0080236D"/>
    <w:rsid w:val="008029B3"/>
    <w:rsid w:val="00802B81"/>
    <w:rsid w:val="0080304E"/>
    <w:rsid w:val="0080326D"/>
    <w:rsid w:val="00803326"/>
    <w:rsid w:val="008035E1"/>
    <w:rsid w:val="008037E8"/>
    <w:rsid w:val="00803BCC"/>
    <w:rsid w:val="0080521F"/>
    <w:rsid w:val="008052FF"/>
    <w:rsid w:val="008055AD"/>
    <w:rsid w:val="00805B96"/>
    <w:rsid w:val="00805BE2"/>
    <w:rsid w:val="0080617C"/>
    <w:rsid w:val="00806241"/>
    <w:rsid w:val="00806635"/>
    <w:rsid w:val="0080663A"/>
    <w:rsid w:val="008071E2"/>
    <w:rsid w:val="00807336"/>
    <w:rsid w:val="00807EFB"/>
    <w:rsid w:val="00810CAC"/>
    <w:rsid w:val="008126CD"/>
    <w:rsid w:val="0081322D"/>
    <w:rsid w:val="00813701"/>
    <w:rsid w:val="00814089"/>
    <w:rsid w:val="00814387"/>
    <w:rsid w:val="008144DB"/>
    <w:rsid w:val="00814596"/>
    <w:rsid w:val="00814DEB"/>
    <w:rsid w:val="008154F4"/>
    <w:rsid w:val="0081565F"/>
    <w:rsid w:val="00816487"/>
    <w:rsid w:val="008167DF"/>
    <w:rsid w:val="00816A65"/>
    <w:rsid w:val="008170C9"/>
    <w:rsid w:val="008170EF"/>
    <w:rsid w:val="00817917"/>
    <w:rsid w:val="00817DA9"/>
    <w:rsid w:val="008203BC"/>
    <w:rsid w:val="008212AB"/>
    <w:rsid w:val="008216DA"/>
    <w:rsid w:val="008224A7"/>
    <w:rsid w:val="0082285F"/>
    <w:rsid w:val="00822B6E"/>
    <w:rsid w:val="008236BE"/>
    <w:rsid w:val="0082374B"/>
    <w:rsid w:val="00825AF7"/>
    <w:rsid w:val="00825D5A"/>
    <w:rsid w:val="00826F97"/>
    <w:rsid w:val="00827702"/>
    <w:rsid w:val="00827D16"/>
    <w:rsid w:val="00827EF2"/>
    <w:rsid w:val="008305CF"/>
    <w:rsid w:val="00830AD6"/>
    <w:rsid w:val="00830EF4"/>
    <w:rsid w:val="0083101F"/>
    <w:rsid w:val="00831517"/>
    <w:rsid w:val="008318C7"/>
    <w:rsid w:val="00831942"/>
    <w:rsid w:val="00831BA0"/>
    <w:rsid w:val="008321DD"/>
    <w:rsid w:val="0083245F"/>
    <w:rsid w:val="00832510"/>
    <w:rsid w:val="00832D06"/>
    <w:rsid w:val="008337D7"/>
    <w:rsid w:val="008338FC"/>
    <w:rsid w:val="00833C72"/>
    <w:rsid w:val="00833E7D"/>
    <w:rsid w:val="00834A70"/>
    <w:rsid w:val="008352A0"/>
    <w:rsid w:val="00835365"/>
    <w:rsid w:val="00835583"/>
    <w:rsid w:val="00836274"/>
    <w:rsid w:val="0083633B"/>
    <w:rsid w:val="0083668E"/>
    <w:rsid w:val="00836BDC"/>
    <w:rsid w:val="0083725B"/>
    <w:rsid w:val="0083764E"/>
    <w:rsid w:val="0083792A"/>
    <w:rsid w:val="00837C91"/>
    <w:rsid w:val="00840057"/>
    <w:rsid w:val="008405F7"/>
    <w:rsid w:val="00840C02"/>
    <w:rsid w:val="00840FC0"/>
    <w:rsid w:val="008423BA"/>
    <w:rsid w:val="0084353D"/>
    <w:rsid w:val="00843BB2"/>
    <w:rsid w:val="00844353"/>
    <w:rsid w:val="0084466B"/>
    <w:rsid w:val="0084466C"/>
    <w:rsid w:val="00844CA0"/>
    <w:rsid w:val="00844EEE"/>
    <w:rsid w:val="008453FC"/>
    <w:rsid w:val="008456F4"/>
    <w:rsid w:val="008457AA"/>
    <w:rsid w:val="0084588C"/>
    <w:rsid w:val="00845D99"/>
    <w:rsid w:val="00845F21"/>
    <w:rsid w:val="008461BC"/>
    <w:rsid w:val="00846592"/>
    <w:rsid w:val="008465C7"/>
    <w:rsid w:val="00846795"/>
    <w:rsid w:val="008467AC"/>
    <w:rsid w:val="00846AEC"/>
    <w:rsid w:val="00847885"/>
    <w:rsid w:val="00847F09"/>
    <w:rsid w:val="00850D5E"/>
    <w:rsid w:val="00851509"/>
    <w:rsid w:val="0085189D"/>
    <w:rsid w:val="00851C1D"/>
    <w:rsid w:val="00851D24"/>
    <w:rsid w:val="00852081"/>
    <w:rsid w:val="00852158"/>
    <w:rsid w:val="00852540"/>
    <w:rsid w:val="00852616"/>
    <w:rsid w:val="00852801"/>
    <w:rsid w:val="00853089"/>
    <w:rsid w:val="008530BC"/>
    <w:rsid w:val="0085324A"/>
    <w:rsid w:val="00853CC2"/>
    <w:rsid w:val="00854A50"/>
    <w:rsid w:val="0085509A"/>
    <w:rsid w:val="008558FB"/>
    <w:rsid w:val="008562A5"/>
    <w:rsid w:val="008565A5"/>
    <w:rsid w:val="008565AB"/>
    <w:rsid w:val="0085667D"/>
    <w:rsid w:val="008569E3"/>
    <w:rsid w:val="00856A06"/>
    <w:rsid w:val="00856E11"/>
    <w:rsid w:val="00856E2E"/>
    <w:rsid w:val="008574BC"/>
    <w:rsid w:val="00857AE8"/>
    <w:rsid w:val="00857BFC"/>
    <w:rsid w:val="00857F73"/>
    <w:rsid w:val="00860ABF"/>
    <w:rsid w:val="00860F10"/>
    <w:rsid w:val="00860F6D"/>
    <w:rsid w:val="00861023"/>
    <w:rsid w:val="00861417"/>
    <w:rsid w:val="008619EB"/>
    <w:rsid w:val="008622B1"/>
    <w:rsid w:val="00862743"/>
    <w:rsid w:val="008638D0"/>
    <w:rsid w:val="00863A35"/>
    <w:rsid w:val="00863DB4"/>
    <w:rsid w:val="00864013"/>
    <w:rsid w:val="00864286"/>
    <w:rsid w:val="0086452B"/>
    <w:rsid w:val="00864892"/>
    <w:rsid w:val="008648A1"/>
    <w:rsid w:val="00864971"/>
    <w:rsid w:val="00864B95"/>
    <w:rsid w:val="008667C4"/>
    <w:rsid w:val="008670B6"/>
    <w:rsid w:val="0087002B"/>
    <w:rsid w:val="00870117"/>
    <w:rsid w:val="00870933"/>
    <w:rsid w:val="00870AF4"/>
    <w:rsid w:val="00870F80"/>
    <w:rsid w:val="00871692"/>
    <w:rsid w:val="00871875"/>
    <w:rsid w:val="00871935"/>
    <w:rsid w:val="00872F29"/>
    <w:rsid w:val="00873721"/>
    <w:rsid w:val="00873760"/>
    <w:rsid w:val="0087403C"/>
    <w:rsid w:val="008743DC"/>
    <w:rsid w:val="0087495A"/>
    <w:rsid w:val="00874C0F"/>
    <w:rsid w:val="00874CC6"/>
    <w:rsid w:val="00874E39"/>
    <w:rsid w:val="00876224"/>
    <w:rsid w:val="00876890"/>
    <w:rsid w:val="00877027"/>
    <w:rsid w:val="008773B5"/>
    <w:rsid w:val="00877E66"/>
    <w:rsid w:val="00880244"/>
    <w:rsid w:val="0088025D"/>
    <w:rsid w:val="00880904"/>
    <w:rsid w:val="0088092F"/>
    <w:rsid w:val="00880D76"/>
    <w:rsid w:val="0088106F"/>
    <w:rsid w:val="008818A4"/>
    <w:rsid w:val="00881C76"/>
    <w:rsid w:val="008825F2"/>
    <w:rsid w:val="00883F9F"/>
    <w:rsid w:val="0088425D"/>
    <w:rsid w:val="008846E9"/>
    <w:rsid w:val="00885371"/>
    <w:rsid w:val="0088556A"/>
    <w:rsid w:val="00885E1B"/>
    <w:rsid w:val="0088677B"/>
    <w:rsid w:val="0088695F"/>
    <w:rsid w:val="0088744D"/>
    <w:rsid w:val="00887D95"/>
    <w:rsid w:val="00887EE6"/>
    <w:rsid w:val="00887F8A"/>
    <w:rsid w:val="00890919"/>
    <w:rsid w:val="00890936"/>
    <w:rsid w:val="00890CD5"/>
    <w:rsid w:val="0089113E"/>
    <w:rsid w:val="0089121F"/>
    <w:rsid w:val="0089178C"/>
    <w:rsid w:val="00891FD1"/>
    <w:rsid w:val="008927C8"/>
    <w:rsid w:val="00892FB1"/>
    <w:rsid w:val="0089308D"/>
    <w:rsid w:val="00893204"/>
    <w:rsid w:val="008932E8"/>
    <w:rsid w:val="00893DB6"/>
    <w:rsid w:val="00893EB7"/>
    <w:rsid w:val="00894741"/>
    <w:rsid w:val="00894878"/>
    <w:rsid w:val="00894F87"/>
    <w:rsid w:val="00894FCE"/>
    <w:rsid w:val="008952AD"/>
    <w:rsid w:val="00895348"/>
    <w:rsid w:val="00895CDD"/>
    <w:rsid w:val="00895CFE"/>
    <w:rsid w:val="00895F77"/>
    <w:rsid w:val="00895FE6"/>
    <w:rsid w:val="008960CE"/>
    <w:rsid w:val="008972A8"/>
    <w:rsid w:val="00897B36"/>
    <w:rsid w:val="008A06F4"/>
    <w:rsid w:val="008A099C"/>
    <w:rsid w:val="008A13D3"/>
    <w:rsid w:val="008A1416"/>
    <w:rsid w:val="008A1726"/>
    <w:rsid w:val="008A1747"/>
    <w:rsid w:val="008A2253"/>
    <w:rsid w:val="008A229E"/>
    <w:rsid w:val="008A22B1"/>
    <w:rsid w:val="008A2C2C"/>
    <w:rsid w:val="008A385B"/>
    <w:rsid w:val="008A39A1"/>
    <w:rsid w:val="008A3CD4"/>
    <w:rsid w:val="008A3D35"/>
    <w:rsid w:val="008A4616"/>
    <w:rsid w:val="008A4C1D"/>
    <w:rsid w:val="008A4C62"/>
    <w:rsid w:val="008A4F98"/>
    <w:rsid w:val="008A504E"/>
    <w:rsid w:val="008A52DB"/>
    <w:rsid w:val="008A613E"/>
    <w:rsid w:val="008A68B5"/>
    <w:rsid w:val="008A6D17"/>
    <w:rsid w:val="008A76EB"/>
    <w:rsid w:val="008A7B8E"/>
    <w:rsid w:val="008A7EA4"/>
    <w:rsid w:val="008B0450"/>
    <w:rsid w:val="008B0FDE"/>
    <w:rsid w:val="008B115D"/>
    <w:rsid w:val="008B1A59"/>
    <w:rsid w:val="008B1AAE"/>
    <w:rsid w:val="008B23F1"/>
    <w:rsid w:val="008B272D"/>
    <w:rsid w:val="008B2785"/>
    <w:rsid w:val="008B295B"/>
    <w:rsid w:val="008B2D6B"/>
    <w:rsid w:val="008B2E7D"/>
    <w:rsid w:val="008B2EFB"/>
    <w:rsid w:val="008B34C6"/>
    <w:rsid w:val="008B5889"/>
    <w:rsid w:val="008B5C12"/>
    <w:rsid w:val="008B6518"/>
    <w:rsid w:val="008B6791"/>
    <w:rsid w:val="008B682F"/>
    <w:rsid w:val="008B6905"/>
    <w:rsid w:val="008B7BA0"/>
    <w:rsid w:val="008C018B"/>
    <w:rsid w:val="008C0E1E"/>
    <w:rsid w:val="008C1BE2"/>
    <w:rsid w:val="008C26D3"/>
    <w:rsid w:val="008C2E88"/>
    <w:rsid w:val="008C32D1"/>
    <w:rsid w:val="008C3497"/>
    <w:rsid w:val="008C3955"/>
    <w:rsid w:val="008C423D"/>
    <w:rsid w:val="008C43BF"/>
    <w:rsid w:val="008C46A4"/>
    <w:rsid w:val="008C4A52"/>
    <w:rsid w:val="008C4C31"/>
    <w:rsid w:val="008C4CAD"/>
    <w:rsid w:val="008C5161"/>
    <w:rsid w:val="008C59D8"/>
    <w:rsid w:val="008C5CD9"/>
    <w:rsid w:val="008C73E3"/>
    <w:rsid w:val="008C7D47"/>
    <w:rsid w:val="008D0082"/>
    <w:rsid w:val="008D048D"/>
    <w:rsid w:val="008D049C"/>
    <w:rsid w:val="008D0615"/>
    <w:rsid w:val="008D0A4B"/>
    <w:rsid w:val="008D1081"/>
    <w:rsid w:val="008D1257"/>
    <w:rsid w:val="008D1C5E"/>
    <w:rsid w:val="008D1E81"/>
    <w:rsid w:val="008D2067"/>
    <w:rsid w:val="008D2A62"/>
    <w:rsid w:val="008D2CFF"/>
    <w:rsid w:val="008D3862"/>
    <w:rsid w:val="008D3993"/>
    <w:rsid w:val="008D4B1A"/>
    <w:rsid w:val="008D4F30"/>
    <w:rsid w:val="008D57D1"/>
    <w:rsid w:val="008D5815"/>
    <w:rsid w:val="008D5C9B"/>
    <w:rsid w:val="008D6B91"/>
    <w:rsid w:val="008D6DA2"/>
    <w:rsid w:val="008D7036"/>
    <w:rsid w:val="008D7097"/>
    <w:rsid w:val="008D730D"/>
    <w:rsid w:val="008D7B78"/>
    <w:rsid w:val="008D7CFD"/>
    <w:rsid w:val="008E02F6"/>
    <w:rsid w:val="008E0879"/>
    <w:rsid w:val="008E08D4"/>
    <w:rsid w:val="008E09DC"/>
    <w:rsid w:val="008E0A27"/>
    <w:rsid w:val="008E0DA5"/>
    <w:rsid w:val="008E1935"/>
    <w:rsid w:val="008E201C"/>
    <w:rsid w:val="008E20B8"/>
    <w:rsid w:val="008E24A1"/>
    <w:rsid w:val="008E32EE"/>
    <w:rsid w:val="008E3834"/>
    <w:rsid w:val="008E3F40"/>
    <w:rsid w:val="008E4290"/>
    <w:rsid w:val="008E4641"/>
    <w:rsid w:val="008E4795"/>
    <w:rsid w:val="008E5F66"/>
    <w:rsid w:val="008E6320"/>
    <w:rsid w:val="008E6A89"/>
    <w:rsid w:val="008E6F99"/>
    <w:rsid w:val="008E70D6"/>
    <w:rsid w:val="008E7300"/>
    <w:rsid w:val="008E7376"/>
    <w:rsid w:val="008E77B4"/>
    <w:rsid w:val="008E7CDA"/>
    <w:rsid w:val="008F0295"/>
    <w:rsid w:val="008F02EA"/>
    <w:rsid w:val="008F14D9"/>
    <w:rsid w:val="008F1BA3"/>
    <w:rsid w:val="008F1C37"/>
    <w:rsid w:val="008F1EE3"/>
    <w:rsid w:val="008F2AF9"/>
    <w:rsid w:val="008F3F41"/>
    <w:rsid w:val="008F4EE5"/>
    <w:rsid w:val="008F6B38"/>
    <w:rsid w:val="008F7665"/>
    <w:rsid w:val="008F7A9C"/>
    <w:rsid w:val="009006C8"/>
    <w:rsid w:val="00900992"/>
    <w:rsid w:val="00900EB6"/>
    <w:rsid w:val="0090146C"/>
    <w:rsid w:val="00901A69"/>
    <w:rsid w:val="00901A7E"/>
    <w:rsid w:val="00902853"/>
    <w:rsid w:val="00902A19"/>
    <w:rsid w:val="00902CD8"/>
    <w:rsid w:val="009030C3"/>
    <w:rsid w:val="00903A4E"/>
    <w:rsid w:val="009047D4"/>
    <w:rsid w:val="009059AF"/>
    <w:rsid w:val="00905AA0"/>
    <w:rsid w:val="00905B7C"/>
    <w:rsid w:val="00905F40"/>
    <w:rsid w:val="00906235"/>
    <w:rsid w:val="009062C2"/>
    <w:rsid w:val="009063D8"/>
    <w:rsid w:val="00906600"/>
    <w:rsid w:val="00906815"/>
    <w:rsid w:val="00906A76"/>
    <w:rsid w:val="00906A9E"/>
    <w:rsid w:val="00906AE1"/>
    <w:rsid w:val="00906C76"/>
    <w:rsid w:val="0090705B"/>
    <w:rsid w:val="00907094"/>
    <w:rsid w:val="0090739B"/>
    <w:rsid w:val="00907A8D"/>
    <w:rsid w:val="00907AF7"/>
    <w:rsid w:val="0091006C"/>
    <w:rsid w:val="0091056A"/>
    <w:rsid w:val="00910625"/>
    <w:rsid w:val="00911841"/>
    <w:rsid w:val="00911CCF"/>
    <w:rsid w:val="009120C2"/>
    <w:rsid w:val="00912A25"/>
    <w:rsid w:val="00912ADE"/>
    <w:rsid w:val="00912EE2"/>
    <w:rsid w:val="00912EEC"/>
    <w:rsid w:val="00913032"/>
    <w:rsid w:val="00913506"/>
    <w:rsid w:val="00913872"/>
    <w:rsid w:val="00914510"/>
    <w:rsid w:val="00914780"/>
    <w:rsid w:val="009147DC"/>
    <w:rsid w:val="0091488E"/>
    <w:rsid w:val="00914971"/>
    <w:rsid w:val="009150DF"/>
    <w:rsid w:val="00915322"/>
    <w:rsid w:val="00915481"/>
    <w:rsid w:val="0091548D"/>
    <w:rsid w:val="00915AA0"/>
    <w:rsid w:val="00917C6B"/>
    <w:rsid w:val="009207E6"/>
    <w:rsid w:val="00920878"/>
    <w:rsid w:val="0092099D"/>
    <w:rsid w:val="00920A7E"/>
    <w:rsid w:val="009210C4"/>
    <w:rsid w:val="0092151A"/>
    <w:rsid w:val="00921AA0"/>
    <w:rsid w:val="00921F93"/>
    <w:rsid w:val="00922D22"/>
    <w:rsid w:val="00922E1E"/>
    <w:rsid w:val="0092334A"/>
    <w:rsid w:val="0092395F"/>
    <w:rsid w:val="00923D68"/>
    <w:rsid w:val="009249C3"/>
    <w:rsid w:val="00925256"/>
    <w:rsid w:val="00925D1F"/>
    <w:rsid w:val="00926316"/>
    <w:rsid w:val="00926649"/>
    <w:rsid w:val="00926F58"/>
    <w:rsid w:val="009274DC"/>
    <w:rsid w:val="00927A83"/>
    <w:rsid w:val="0093007B"/>
    <w:rsid w:val="009305A1"/>
    <w:rsid w:val="009311FC"/>
    <w:rsid w:val="00931542"/>
    <w:rsid w:val="009318D4"/>
    <w:rsid w:val="009324F1"/>
    <w:rsid w:val="0093263B"/>
    <w:rsid w:val="009327CB"/>
    <w:rsid w:val="009327EC"/>
    <w:rsid w:val="00933B7C"/>
    <w:rsid w:val="00934048"/>
    <w:rsid w:val="009349FA"/>
    <w:rsid w:val="00934AD6"/>
    <w:rsid w:val="00934CB1"/>
    <w:rsid w:val="00934E5D"/>
    <w:rsid w:val="0093514D"/>
    <w:rsid w:val="009351AF"/>
    <w:rsid w:val="00935A3A"/>
    <w:rsid w:val="009361BD"/>
    <w:rsid w:val="009362E3"/>
    <w:rsid w:val="0093638C"/>
    <w:rsid w:val="009366CB"/>
    <w:rsid w:val="00936B43"/>
    <w:rsid w:val="00936B67"/>
    <w:rsid w:val="0093724C"/>
    <w:rsid w:val="00937312"/>
    <w:rsid w:val="00937348"/>
    <w:rsid w:val="0093782B"/>
    <w:rsid w:val="00937F0E"/>
    <w:rsid w:val="009401DB"/>
    <w:rsid w:val="009405C0"/>
    <w:rsid w:val="0094153F"/>
    <w:rsid w:val="00941A7B"/>
    <w:rsid w:val="009428E8"/>
    <w:rsid w:val="00942A13"/>
    <w:rsid w:val="00943029"/>
    <w:rsid w:val="00943908"/>
    <w:rsid w:val="00943A94"/>
    <w:rsid w:val="00943CC5"/>
    <w:rsid w:val="009442A5"/>
    <w:rsid w:val="00944841"/>
    <w:rsid w:val="00944DB0"/>
    <w:rsid w:val="00944F55"/>
    <w:rsid w:val="0094520C"/>
    <w:rsid w:val="0094553C"/>
    <w:rsid w:val="009458C7"/>
    <w:rsid w:val="00945E0C"/>
    <w:rsid w:val="009464DC"/>
    <w:rsid w:val="00946788"/>
    <w:rsid w:val="00946DCA"/>
    <w:rsid w:val="0094712B"/>
    <w:rsid w:val="009500D3"/>
    <w:rsid w:val="0095040F"/>
    <w:rsid w:val="00950E0B"/>
    <w:rsid w:val="00951079"/>
    <w:rsid w:val="009523E2"/>
    <w:rsid w:val="009530B8"/>
    <w:rsid w:val="0095313B"/>
    <w:rsid w:val="0095366D"/>
    <w:rsid w:val="0095376B"/>
    <w:rsid w:val="00954A02"/>
    <w:rsid w:val="00954B1B"/>
    <w:rsid w:val="00954BA7"/>
    <w:rsid w:val="00955154"/>
    <w:rsid w:val="009552DA"/>
    <w:rsid w:val="0095598A"/>
    <w:rsid w:val="009560C9"/>
    <w:rsid w:val="0095632D"/>
    <w:rsid w:val="00956FAC"/>
    <w:rsid w:val="00957206"/>
    <w:rsid w:val="00957424"/>
    <w:rsid w:val="009576CB"/>
    <w:rsid w:val="0095776B"/>
    <w:rsid w:val="00957B6C"/>
    <w:rsid w:val="00960344"/>
    <w:rsid w:val="0096091B"/>
    <w:rsid w:val="00960981"/>
    <w:rsid w:val="00960E67"/>
    <w:rsid w:val="00960EDC"/>
    <w:rsid w:val="0096229B"/>
    <w:rsid w:val="0096248D"/>
    <w:rsid w:val="00962E2D"/>
    <w:rsid w:val="009631FB"/>
    <w:rsid w:val="0096407F"/>
    <w:rsid w:val="009642F1"/>
    <w:rsid w:val="00964755"/>
    <w:rsid w:val="009648B2"/>
    <w:rsid w:val="00964ACD"/>
    <w:rsid w:val="00964EFE"/>
    <w:rsid w:val="0096575A"/>
    <w:rsid w:val="00965C7B"/>
    <w:rsid w:val="00965E9A"/>
    <w:rsid w:val="009660DC"/>
    <w:rsid w:val="009665D0"/>
    <w:rsid w:val="00966C57"/>
    <w:rsid w:val="00966D39"/>
    <w:rsid w:val="00967039"/>
    <w:rsid w:val="00967094"/>
    <w:rsid w:val="009701F7"/>
    <w:rsid w:val="009715F6"/>
    <w:rsid w:val="009717DC"/>
    <w:rsid w:val="009718D4"/>
    <w:rsid w:val="00971974"/>
    <w:rsid w:val="00971CDA"/>
    <w:rsid w:val="009721C2"/>
    <w:rsid w:val="009723ED"/>
    <w:rsid w:val="0097248B"/>
    <w:rsid w:val="00972CD8"/>
    <w:rsid w:val="0097338B"/>
    <w:rsid w:val="0097360A"/>
    <w:rsid w:val="00973FF4"/>
    <w:rsid w:val="00975006"/>
    <w:rsid w:val="00975140"/>
    <w:rsid w:val="0097578B"/>
    <w:rsid w:val="009764C8"/>
    <w:rsid w:val="00976BC6"/>
    <w:rsid w:val="009771F4"/>
    <w:rsid w:val="00977749"/>
    <w:rsid w:val="00980486"/>
    <w:rsid w:val="009806E7"/>
    <w:rsid w:val="00980BDE"/>
    <w:rsid w:val="00980CE1"/>
    <w:rsid w:val="00980D37"/>
    <w:rsid w:val="00981B6A"/>
    <w:rsid w:val="009821CA"/>
    <w:rsid w:val="00982BCB"/>
    <w:rsid w:val="00982CE6"/>
    <w:rsid w:val="00983336"/>
    <w:rsid w:val="0098387A"/>
    <w:rsid w:val="00983DAB"/>
    <w:rsid w:val="00985145"/>
    <w:rsid w:val="009855C4"/>
    <w:rsid w:val="00985DE1"/>
    <w:rsid w:val="009860AE"/>
    <w:rsid w:val="00986996"/>
    <w:rsid w:val="0098714D"/>
    <w:rsid w:val="00987A3B"/>
    <w:rsid w:val="00987AC7"/>
    <w:rsid w:val="0099032C"/>
    <w:rsid w:val="0099050A"/>
    <w:rsid w:val="00991011"/>
    <w:rsid w:val="009913F5"/>
    <w:rsid w:val="009917CA"/>
    <w:rsid w:val="00992CBE"/>
    <w:rsid w:val="00993161"/>
    <w:rsid w:val="0099405E"/>
    <w:rsid w:val="00994497"/>
    <w:rsid w:val="00994A24"/>
    <w:rsid w:val="00994AC9"/>
    <w:rsid w:val="00994C75"/>
    <w:rsid w:val="009951AD"/>
    <w:rsid w:val="0099591A"/>
    <w:rsid w:val="00996075"/>
    <w:rsid w:val="009960DB"/>
    <w:rsid w:val="009960F2"/>
    <w:rsid w:val="009962F1"/>
    <w:rsid w:val="0099659B"/>
    <w:rsid w:val="009970E5"/>
    <w:rsid w:val="00997646"/>
    <w:rsid w:val="00997830"/>
    <w:rsid w:val="00997A0E"/>
    <w:rsid w:val="00997A6C"/>
    <w:rsid w:val="00997BDF"/>
    <w:rsid w:val="00997DC6"/>
    <w:rsid w:val="009A026F"/>
    <w:rsid w:val="009A0605"/>
    <w:rsid w:val="009A0EEA"/>
    <w:rsid w:val="009A1032"/>
    <w:rsid w:val="009A12F5"/>
    <w:rsid w:val="009A17B0"/>
    <w:rsid w:val="009A3746"/>
    <w:rsid w:val="009A3BFD"/>
    <w:rsid w:val="009A3CF7"/>
    <w:rsid w:val="009A3DB2"/>
    <w:rsid w:val="009A4552"/>
    <w:rsid w:val="009A468A"/>
    <w:rsid w:val="009A5B02"/>
    <w:rsid w:val="009A6529"/>
    <w:rsid w:val="009A6612"/>
    <w:rsid w:val="009A66B5"/>
    <w:rsid w:val="009A6D88"/>
    <w:rsid w:val="009A7136"/>
    <w:rsid w:val="009A72C2"/>
    <w:rsid w:val="009B0282"/>
    <w:rsid w:val="009B06A9"/>
    <w:rsid w:val="009B0895"/>
    <w:rsid w:val="009B093E"/>
    <w:rsid w:val="009B0BA4"/>
    <w:rsid w:val="009B1454"/>
    <w:rsid w:val="009B185C"/>
    <w:rsid w:val="009B24BA"/>
    <w:rsid w:val="009B25C6"/>
    <w:rsid w:val="009B338D"/>
    <w:rsid w:val="009B3452"/>
    <w:rsid w:val="009B3C7F"/>
    <w:rsid w:val="009B4095"/>
    <w:rsid w:val="009B55D8"/>
    <w:rsid w:val="009B5825"/>
    <w:rsid w:val="009B6103"/>
    <w:rsid w:val="009B6669"/>
    <w:rsid w:val="009B6B4C"/>
    <w:rsid w:val="009B7607"/>
    <w:rsid w:val="009B7D39"/>
    <w:rsid w:val="009B7E54"/>
    <w:rsid w:val="009C05ED"/>
    <w:rsid w:val="009C120C"/>
    <w:rsid w:val="009C18F2"/>
    <w:rsid w:val="009C1C7B"/>
    <w:rsid w:val="009C2349"/>
    <w:rsid w:val="009C2B72"/>
    <w:rsid w:val="009C30C7"/>
    <w:rsid w:val="009C3B59"/>
    <w:rsid w:val="009C3F94"/>
    <w:rsid w:val="009C4371"/>
    <w:rsid w:val="009C44C8"/>
    <w:rsid w:val="009C4503"/>
    <w:rsid w:val="009C48A0"/>
    <w:rsid w:val="009C5799"/>
    <w:rsid w:val="009C59E3"/>
    <w:rsid w:val="009C5A6F"/>
    <w:rsid w:val="009C5D72"/>
    <w:rsid w:val="009C5D98"/>
    <w:rsid w:val="009C5F9F"/>
    <w:rsid w:val="009C5FD4"/>
    <w:rsid w:val="009C67A3"/>
    <w:rsid w:val="009C6BA8"/>
    <w:rsid w:val="009D0717"/>
    <w:rsid w:val="009D0B43"/>
    <w:rsid w:val="009D0C57"/>
    <w:rsid w:val="009D0DD3"/>
    <w:rsid w:val="009D1109"/>
    <w:rsid w:val="009D16D6"/>
    <w:rsid w:val="009D19D0"/>
    <w:rsid w:val="009D1E3A"/>
    <w:rsid w:val="009D2039"/>
    <w:rsid w:val="009D3398"/>
    <w:rsid w:val="009D3940"/>
    <w:rsid w:val="009D3A69"/>
    <w:rsid w:val="009D3FE0"/>
    <w:rsid w:val="009D4592"/>
    <w:rsid w:val="009D4A8B"/>
    <w:rsid w:val="009D4D93"/>
    <w:rsid w:val="009D51B7"/>
    <w:rsid w:val="009D555E"/>
    <w:rsid w:val="009D5561"/>
    <w:rsid w:val="009D60F2"/>
    <w:rsid w:val="009D632B"/>
    <w:rsid w:val="009D7161"/>
    <w:rsid w:val="009D76CD"/>
    <w:rsid w:val="009E0ACF"/>
    <w:rsid w:val="009E1682"/>
    <w:rsid w:val="009E1F05"/>
    <w:rsid w:val="009E1FA4"/>
    <w:rsid w:val="009E26F4"/>
    <w:rsid w:val="009E2F43"/>
    <w:rsid w:val="009E3B84"/>
    <w:rsid w:val="009E40EE"/>
    <w:rsid w:val="009E434A"/>
    <w:rsid w:val="009E4EEA"/>
    <w:rsid w:val="009E51CA"/>
    <w:rsid w:val="009E5817"/>
    <w:rsid w:val="009E5D22"/>
    <w:rsid w:val="009E648E"/>
    <w:rsid w:val="009E75DF"/>
    <w:rsid w:val="009E7BFF"/>
    <w:rsid w:val="009F0431"/>
    <w:rsid w:val="009F0B77"/>
    <w:rsid w:val="009F0D44"/>
    <w:rsid w:val="009F117F"/>
    <w:rsid w:val="009F15F0"/>
    <w:rsid w:val="009F199A"/>
    <w:rsid w:val="009F1D36"/>
    <w:rsid w:val="009F1F2E"/>
    <w:rsid w:val="009F1F73"/>
    <w:rsid w:val="009F29EF"/>
    <w:rsid w:val="009F2BEA"/>
    <w:rsid w:val="009F31B4"/>
    <w:rsid w:val="009F3375"/>
    <w:rsid w:val="009F3811"/>
    <w:rsid w:val="009F4369"/>
    <w:rsid w:val="009F4373"/>
    <w:rsid w:val="009F4AA6"/>
    <w:rsid w:val="009F4C09"/>
    <w:rsid w:val="009F50CD"/>
    <w:rsid w:val="009F523A"/>
    <w:rsid w:val="009F5443"/>
    <w:rsid w:val="009F5791"/>
    <w:rsid w:val="009F57BA"/>
    <w:rsid w:val="009F5FFC"/>
    <w:rsid w:val="009F6184"/>
    <w:rsid w:val="009F61DE"/>
    <w:rsid w:val="009F6E7E"/>
    <w:rsid w:val="009F7572"/>
    <w:rsid w:val="009F769A"/>
    <w:rsid w:val="009F7AD6"/>
    <w:rsid w:val="00A00143"/>
    <w:rsid w:val="00A002D9"/>
    <w:rsid w:val="00A008DC"/>
    <w:rsid w:val="00A0160C"/>
    <w:rsid w:val="00A01DE5"/>
    <w:rsid w:val="00A02005"/>
    <w:rsid w:val="00A020BC"/>
    <w:rsid w:val="00A0253D"/>
    <w:rsid w:val="00A026C0"/>
    <w:rsid w:val="00A029C6"/>
    <w:rsid w:val="00A02CCD"/>
    <w:rsid w:val="00A02E27"/>
    <w:rsid w:val="00A03A2F"/>
    <w:rsid w:val="00A03C1F"/>
    <w:rsid w:val="00A042FA"/>
    <w:rsid w:val="00A04B46"/>
    <w:rsid w:val="00A04CC0"/>
    <w:rsid w:val="00A04EE5"/>
    <w:rsid w:val="00A062CE"/>
    <w:rsid w:val="00A062DD"/>
    <w:rsid w:val="00A0704A"/>
    <w:rsid w:val="00A07497"/>
    <w:rsid w:val="00A0751D"/>
    <w:rsid w:val="00A0762E"/>
    <w:rsid w:val="00A07776"/>
    <w:rsid w:val="00A07781"/>
    <w:rsid w:val="00A07B0B"/>
    <w:rsid w:val="00A07CB4"/>
    <w:rsid w:val="00A1006A"/>
    <w:rsid w:val="00A1052E"/>
    <w:rsid w:val="00A10601"/>
    <w:rsid w:val="00A10A3A"/>
    <w:rsid w:val="00A110A2"/>
    <w:rsid w:val="00A1136A"/>
    <w:rsid w:val="00A116B8"/>
    <w:rsid w:val="00A117D4"/>
    <w:rsid w:val="00A11904"/>
    <w:rsid w:val="00A11A35"/>
    <w:rsid w:val="00A11A96"/>
    <w:rsid w:val="00A11CD5"/>
    <w:rsid w:val="00A12861"/>
    <w:rsid w:val="00A12A57"/>
    <w:rsid w:val="00A136B9"/>
    <w:rsid w:val="00A1478F"/>
    <w:rsid w:val="00A148DE"/>
    <w:rsid w:val="00A151F1"/>
    <w:rsid w:val="00A15351"/>
    <w:rsid w:val="00A15644"/>
    <w:rsid w:val="00A1568D"/>
    <w:rsid w:val="00A15B10"/>
    <w:rsid w:val="00A15BE5"/>
    <w:rsid w:val="00A15D9D"/>
    <w:rsid w:val="00A15DC7"/>
    <w:rsid w:val="00A16781"/>
    <w:rsid w:val="00A1680C"/>
    <w:rsid w:val="00A16F14"/>
    <w:rsid w:val="00A16FFE"/>
    <w:rsid w:val="00A170EF"/>
    <w:rsid w:val="00A173BE"/>
    <w:rsid w:val="00A205C7"/>
    <w:rsid w:val="00A20DBF"/>
    <w:rsid w:val="00A20EDC"/>
    <w:rsid w:val="00A21BF1"/>
    <w:rsid w:val="00A223F6"/>
    <w:rsid w:val="00A224BB"/>
    <w:rsid w:val="00A22567"/>
    <w:rsid w:val="00A22897"/>
    <w:rsid w:val="00A23146"/>
    <w:rsid w:val="00A2315F"/>
    <w:rsid w:val="00A2319E"/>
    <w:rsid w:val="00A23842"/>
    <w:rsid w:val="00A2395A"/>
    <w:rsid w:val="00A2395F"/>
    <w:rsid w:val="00A23ABA"/>
    <w:rsid w:val="00A23C36"/>
    <w:rsid w:val="00A23E6F"/>
    <w:rsid w:val="00A23EE5"/>
    <w:rsid w:val="00A24980"/>
    <w:rsid w:val="00A24F8A"/>
    <w:rsid w:val="00A25062"/>
    <w:rsid w:val="00A25191"/>
    <w:rsid w:val="00A25526"/>
    <w:rsid w:val="00A2598F"/>
    <w:rsid w:val="00A25EC3"/>
    <w:rsid w:val="00A25F12"/>
    <w:rsid w:val="00A26143"/>
    <w:rsid w:val="00A26E51"/>
    <w:rsid w:val="00A27439"/>
    <w:rsid w:val="00A27708"/>
    <w:rsid w:val="00A27A67"/>
    <w:rsid w:val="00A27BAD"/>
    <w:rsid w:val="00A27D7B"/>
    <w:rsid w:val="00A30CBC"/>
    <w:rsid w:val="00A30D7A"/>
    <w:rsid w:val="00A30F48"/>
    <w:rsid w:val="00A32097"/>
    <w:rsid w:val="00A32A81"/>
    <w:rsid w:val="00A32B10"/>
    <w:rsid w:val="00A3353F"/>
    <w:rsid w:val="00A337BE"/>
    <w:rsid w:val="00A3529E"/>
    <w:rsid w:val="00A3555B"/>
    <w:rsid w:val="00A35CEC"/>
    <w:rsid w:val="00A363D1"/>
    <w:rsid w:val="00A3653D"/>
    <w:rsid w:val="00A37195"/>
    <w:rsid w:val="00A3769D"/>
    <w:rsid w:val="00A37811"/>
    <w:rsid w:val="00A37AB7"/>
    <w:rsid w:val="00A37C9F"/>
    <w:rsid w:val="00A40176"/>
    <w:rsid w:val="00A40327"/>
    <w:rsid w:val="00A406D1"/>
    <w:rsid w:val="00A40AF4"/>
    <w:rsid w:val="00A40D34"/>
    <w:rsid w:val="00A413D2"/>
    <w:rsid w:val="00A41592"/>
    <w:rsid w:val="00A4212F"/>
    <w:rsid w:val="00A422D9"/>
    <w:rsid w:val="00A429A0"/>
    <w:rsid w:val="00A43808"/>
    <w:rsid w:val="00A43A06"/>
    <w:rsid w:val="00A43AE0"/>
    <w:rsid w:val="00A442C0"/>
    <w:rsid w:val="00A44546"/>
    <w:rsid w:val="00A44C0F"/>
    <w:rsid w:val="00A45882"/>
    <w:rsid w:val="00A469AE"/>
    <w:rsid w:val="00A469C4"/>
    <w:rsid w:val="00A4778A"/>
    <w:rsid w:val="00A478A4"/>
    <w:rsid w:val="00A4795C"/>
    <w:rsid w:val="00A503BF"/>
    <w:rsid w:val="00A50678"/>
    <w:rsid w:val="00A509A1"/>
    <w:rsid w:val="00A5196D"/>
    <w:rsid w:val="00A51A57"/>
    <w:rsid w:val="00A52FA8"/>
    <w:rsid w:val="00A53A73"/>
    <w:rsid w:val="00A5458E"/>
    <w:rsid w:val="00A54C39"/>
    <w:rsid w:val="00A54F2B"/>
    <w:rsid w:val="00A55020"/>
    <w:rsid w:val="00A561E2"/>
    <w:rsid w:val="00A562F1"/>
    <w:rsid w:val="00A5695F"/>
    <w:rsid w:val="00A56E05"/>
    <w:rsid w:val="00A574B4"/>
    <w:rsid w:val="00A57833"/>
    <w:rsid w:val="00A57A4F"/>
    <w:rsid w:val="00A6008C"/>
    <w:rsid w:val="00A60763"/>
    <w:rsid w:val="00A60C04"/>
    <w:rsid w:val="00A610DB"/>
    <w:rsid w:val="00A61565"/>
    <w:rsid w:val="00A616D4"/>
    <w:rsid w:val="00A619B4"/>
    <w:rsid w:val="00A61B30"/>
    <w:rsid w:val="00A62EE3"/>
    <w:rsid w:val="00A63A12"/>
    <w:rsid w:val="00A64127"/>
    <w:rsid w:val="00A64242"/>
    <w:rsid w:val="00A648EA"/>
    <w:rsid w:val="00A64C6C"/>
    <w:rsid w:val="00A65444"/>
    <w:rsid w:val="00A65BF7"/>
    <w:rsid w:val="00A66CF6"/>
    <w:rsid w:val="00A67150"/>
    <w:rsid w:val="00A67721"/>
    <w:rsid w:val="00A677EF"/>
    <w:rsid w:val="00A67999"/>
    <w:rsid w:val="00A679AA"/>
    <w:rsid w:val="00A67A58"/>
    <w:rsid w:val="00A67A81"/>
    <w:rsid w:val="00A67EA3"/>
    <w:rsid w:val="00A70138"/>
    <w:rsid w:val="00A70565"/>
    <w:rsid w:val="00A71FF0"/>
    <w:rsid w:val="00A72287"/>
    <w:rsid w:val="00A72379"/>
    <w:rsid w:val="00A72EBC"/>
    <w:rsid w:val="00A73123"/>
    <w:rsid w:val="00A7318B"/>
    <w:rsid w:val="00A7353D"/>
    <w:rsid w:val="00A73722"/>
    <w:rsid w:val="00A73DD6"/>
    <w:rsid w:val="00A73EA8"/>
    <w:rsid w:val="00A740D3"/>
    <w:rsid w:val="00A747FB"/>
    <w:rsid w:val="00A760EA"/>
    <w:rsid w:val="00A76509"/>
    <w:rsid w:val="00A766C6"/>
    <w:rsid w:val="00A768E8"/>
    <w:rsid w:val="00A76941"/>
    <w:rsid w:val="00A769CF"/>
    <w:rsid w:val="00A76F62"/>
    <w:rsid w:val="00A77924"/>
    <w:rsid w:val="00A802A5"/>
    <w:rsid w:val="00A8055D"/>
    <w:rsid w:val="00A80673"/>
    <w:rsid w:val="00A807A5"/>
    <w:rsid w:val="00A81388"/>
    <w:rsid w:val="00A82311"/>
    <w:rsid w:val="00A824FF"/>
    <w:rsid w:val="00A82918"/>
    <w:rsid w:val="00A82993"/>
    <w:rsid w:val="00A82CA1"/>
    <w:rsid w:val="00A83689"/>
    <w:rsid w:val="00A83770"/>
    <w:rsid w:val="00A83898"/>
    <w:rsid w:val="00A84977"/>
    <w:rsid w:val="00A84A96"/>
    <w:rsid w:val="00A84B4D"/>
    <w:rsid w:val="00A84DC9"/>
    <w:rsid w:val="00A84F00"/>
    <w:rsid w:val="00A8518D"/>
    <w:rsid w:val="00A85221"/>
    <w:rsid w:val="00A8554E"/>
    <w:rsid w:val="00A85BE6"/>
    <w:rsid w:val="00A85DB8"/>
    <w:rsid w:val="00A86041"/>
    <w:rsid w:val="00A86421"/>
    <w:rsid w:val="00A867DB"/>
    <w:rsid w:val="00A869B7"/>
    <w:rsid w:val="00A870B8"/>
    <w:rsid w:val="00A87399"/>
    <w:rsid w:val="00A8766A"/>
    <w:rsid w:val="00A876C1"/>
    <w:rsid w:val="00A9044E"/>
    <w:rsid w:val="00A91027"/>
    <w:rsid w:val="00A912C5"/>
    <w:rsid w:val="00A914F8"/>
    <w:rsid w:val="00A91751"/>
    <w:rsid w:val="00A9211E"/>
    <w:rsid w:val="00A92E85"/>
    <w:rsid w:val="00A93729"/>
    <w:rsid w:val="00A93CED"/>
    <w:rsid w:val="00A9410E"/>
    <w:rsid w:val="00A94569"/>
    <w:rsid w:val="00A94948"/>
    <w:rsid w:val="00A94A90"/>
    <w:rsid w:val="00A95327"/>
    <w:rsid w:val="00A95B40"/>
    <w:rsid w:val="00A95C5E"/>
    <w:rsid w:val="00A95DEE"/>
    <w:rsid w:val="00A9619D"/>
    <w:rsid w:val="00A96937"/>
    <w:rsid w:val="00A97344"/>
    <w:rsid w:val="00A9792F"/>
    <w:rsid w:val="00AA1C39"/>
    <w:rsid w:val="00AA1E03"/>
    <w:rsid w:val="00AA2087"/>
    <w:rsid w:val="00AA20F7"/>
    <w:rsid w:val="00AA231A"/>
    <w:rsid w:val="00AA23F5"/>
    <w:rsid w:val="00AA24E8"/>
    <w:rsid w:val="00AA250A"/>
    <w:rsid w:val="00AA2613"/>
    <w:rsid w:val="00AA2CED"/>
    <w:rsid w:val="00AA3229"/>
    <w:rsid w:val="00AA33A7"/>
    <w:rsid w:val="00AA34F6"/>
    <w:rsid w:val="00AA41CC"/>
    <w:rsid w:val="00AA478E"/>
    <w:rsid w:val="00AA4A88"/>
    <w:rsid w:val="00AA4E31"/>
    <w:rsid w:val="00AA4F6E"/>
    <w:rsid w:val="00AA519D"/>
    <w:rsid w:val="00AA51E8"/>
    <w:rsid w:val="00AA5570"/>
    <w:rsid w:val="00AA591E"/>
    <w:rsid w:val="00AA61D1"/>
    <w:rsid w:val="00AA69A9"/>
    <w:rsid w:val="00AA7369"/>
    <w:rsid w:val="00AA743D"/>
    <w:rsid w:val="00AA74D1"/>
    <w:rsid w:val="00AA76BA"/>
    <w:rsid w:val="00AA7B25"/>
    <w:rsid w:val="00AB0669"/>
    <w:rsid w:val="00AB0B23"/>
    <w:rsid w:val="00AB0DEF"/>
    <w:rsid w:val="00AB14D8"/>
    <w:rsid w:val="00AB1533"/>
    <w:rsid w:val="00AB172E"/>
    <w:rsid w:val="00AB1835"/>
    <w:rsid w:val="00AB187B"/>
    <w:rsid w:val="00AB1907"/>
    <w:rsid w:val="00AB19DA"/>
    <w:rsid w:val="00AB2039"/>
    <w:rsid w:val="00AB2151"/>
    <w:rsid w:val="00AB218A"/>
    <w:rsid w:val="00AB28A4"/>
    <w:rsid w:val="00AB2A2E"/>
    <w:rsid w:val="00AB2A3B"/>
    <w:rsid w:val="00AB2AEA"/>
    <w:rsid w:val="00AB3E0F"/>
    <w:rsid w:val="00AB4A5A"/>
    <w:rsid w:val="00AB4F31"/>
    <w:rsid w:val="00AB541E"/>
    <w:rsid w:val="00AB5C5D"/>
    <w:rsid w:val="00AB6149"/>
    <w:rsid w:val="00AB633C"/>
    <w:rsid w:val="00AB6912"/>
    <w:rsid w:val="00AB716B"/>
    <w:rsid w:val="00AB72E2"/>
    <w:rsid w:val="00AB74FB"/>
    <w:rsid w:val="00AB7C3E"/>
    <w:rsid w:val="00AC02B1"/>
    <w:rsid w:val="00AC03C5"/>
    <w:rsid w:val="00AC0764"/>
    <w:rsid w:val="00AC0790"/>
    <w:rsid w:val="00AC0BBA"/>
    <w:rsid w:val="00AC1205"/>
    <w:rsid w:val="00AC126B"/>
    <w:rsid w:val="00AC1445"/>
    <w:rsid w:val="00AC1927"/>
    <w:rsid w:val="00AC197F"/>
    <w:rsid w:val="00AC1CD5"/>
    <w:rsid w:val="00AC2315"/>
    <w:rsid w:val="00AC2715"/>
    <w:rsid w:val="00AC2C20"/>
    <w:rsid w:val="00AC3353"/>
    <w:rsid w:val="00AC3D85"/>
    <w:rsid w:val="00AC4001"/>
    <w:rsid w:val="00AC4433"/>
    <w:rsid w:val="00AC4AB8"/>
    <w:rsid w:val="00AC4E95"/>
    <w:rsid w:val="00AC51AF"/>
    <w:rsid w:val="00AC51F2"/>
    <w:rsid w:val="00AC548B"/>
    <w:rsid w:val="00AC578E"/>
    <w:rsid w:val="00AC5C48"/>
    <w:rsid w:val="00AC5DE4"/>
    <w:rsid w:val="00AC604A"/>
    <w:rsid w:val="00AC6B36"/>
    <w:rsid w:val="00AC7FB3"/>
    <w:rsid w:val="00AD0549"/>
    <w:rsid w:val="00AD0726"/>
    <w:rsid w:val="00AD1036"/>
    <w:rsid w:val="00AD1814"/>
    <w:rsid w:val="00AD1C96"/>
    <w:rsid w:val="00AD1F14"/>
    <w:rsid w:val="00AD25FE"/>
    <w:rsid w:val="00AD2AE2"/>
    <w:rsid w:val="00AD2C36"/>
    <w:rsid w:val="00AD3692"/>
    <w:rsid w:val="00AD3B5F"/>
    <w:rsid w:val="00AD3D8E"/>
    <w:rsid w:val="00AD4007"/>
    <w:rsid w:val="00AD460E"/>
    <w:rsid w:val="00AD5568"/>
    <w:rsid w:val="00AD5D0D"/>
    <w:rsid w:val="00AD62E6"/>
    <w:rsid w:val="00AD66FD"/>
    <w:rsid w:val="00AD73C1"/>
    <w:rsid w:val="00AD7677"/>
    <w:rsid w:val="00AD79C6"/>
    <w:rsid w:val="00AD7A35"/>
    <w:rsid w:val="00AD7ADF"/>
    <w:rsid w:val="00AD7B3F"/>
    <w:rsid w:val="00AD7D41"/>
    <w:rsid w:val="00AE08BE"/>
    <w:rsid w:val="00AE0D0A"/>
    <w:rsid w:val="00AE0D58"/>
    <w:rsid w:val="00AE12CB"/>
    <w:rsid w:val="00AE1390"/>
    <w:rsid w:val="00AE1816"/>
    <w:rsid w:val="00AE2274"/>
    <w:rsid w:val="00AE227A"/>
    <w:rsid w:val="00AE32F4"/>
    <w:rsid w:val="00AE3D00"/>
    <w:rsid w:val="00AE3E5C"/>
    <w:rsid w:val="00AE4481"/>
    <w:rsid w:val="00AE5287"/>
    <w:rsid w:val="00AE64D1"/>
    <w:rsid w:val="00AE68BC"/>
    <w:rsid w:val="00AE6C12"/>
    <w:rsid w:val="00AE7B7E"/>
    <w:rsid w:val="00AE7F7B"/>
    <w:rsid w:val="00AF06DC"/>
    <w:rsid w:val="00AF0D15"/>
    <w:rsid w:val="00AF1524"/>
    <w:rsid w:val="00AF1630"/>
    <w:rsid w:val="00AF17DF"/>
    <w:rsid w:val="00AF1813"/>
    <w:rsid w:val="00AF1ACD"/>
    <w:rsid w:val="00AF224D"/>
    <w:rsid w:val="00AF23F5"/>
    <w:rsid w:val="00AF3653"/>
    <w:rsid w:val="00AF36FB"/>
    <w:rsid w:val="00AF4623"/>
    <w:rsid w:val="00AF497B"/>
    <w:rsid w:val="00AF563D"/>
    <w:rsid w:val="00AF5852"/>
    <w:rsid w:val="00AF6164"/>
    <w:rsid w:val="00AF7C73"/>
    <w:rsid w:val="00B001DE"/>
    <w:rsid w:val="00B00784"/>
    <w:rsid w:val="00B0166B"/>
    <w:rsid w:val="00B0188D"/>
    <w:rsid w:val="00B01EDA"/>
    <w:rsid w:val="00B026EC"/>
    <w:rsid w:val="00B02A42"/>
    <w:rsid w:val="00B0482C"/>
    <w:rsid w:val="00B04CF3"/>
    <w:rsid w:val="00B05200"/>
    <w:rsid w:val="00B0550E"/>
    <w:rsid w:val="00B055BD"/>
    <w:rsid w:val="00B0582E"/>
    <w:rsid w:val="00B05920"/>
    <w:rsid w:val="00B06851"/>
    <w:rsid w:val="00B06A31"/>
    <w:rsid w:val="00B07106"/>
    <w:rsid w:val="00B073F0"/>
    <w:rsid w:val="00B073FB"/>
    <w:rsid w:val="00B10535"/>
    <w:rsid w:val="00B10814"/>
    <w:rsid w:val="00B108FA"/>
    <w:rsid w:val="00B1107C"/>
    <w:rsid w:val="00B113AA"/>
    <w:rsid w:val="00B11B26"/>
    <w:rsid w:val="00B11CAD"/>
    <w:rsid w:val="00B11ED9"/>
    <w:rsid w:val="00B12417"/>
    <w:rsid w:val="00B127D1"/>
    <w:rsid w:val="00B130AC"/>
    <w:rsid w:val="00B13C64"/>
    <w:rsid w:val="00B13F53"/>
    <w:rsid w:val="00B1423E"/>
    <w:rsid w:val="00B142AA"/>
    <w:rsid w:val="00B14582"/>
    <w:rsid w:val="00B15627"/>
    <w:rsid w:val="00B15F5A"/>
    <w:rsid w:val="00B16045"/>
    <w:rsid w:val="00B162F6"/>
    <w:rsid w:val="00B16962"/>
    <w:rsid w:val="00B16E5D"/>
    <w:rsid w:val="00B1746A"/>
    <w:rsid w:val="00B17564"/>
    <w:rsid w:val="00B1757D"/>
    <w:rsid w:val="00B17C29"/>
    <w:rsid w:val="00B17F24"/>
    <w:rsid w:val="00B2027F"/>
    <w:rsid w:val="00B20760"/>
    <w:rsid w:val="00B20D0F"/>
    <w:rsid w:val="00B22AD9"/>
    <w:rsid w:val="00B22E46"/>
    <w:rsid w:val="00B22E5A"/>
    <w:rsid w:val="00B23BB2"/>
    <w:rsid w:val="00B242E7"/>
    <w:rsid w:val="00B252D0"/>
    <w:rsid w:val="00B255C7"/>
    <w:rsid w:val="00B257A5"/>
    <w:rsid w:val="00B25874"/>
    <w:rsid w:val="00B25E7D"/>
    <w:rsid w:val="00B26065"/>
    <w:rsid w:val="00B26439"/>
    <w:rsid w:val="00B26836"/>
    <w:rsid w:val="00B26926"/>
    <w:rsid w:val="00B273A0"/>
    <w:rsid w:val="00B277A7"/>
    <w:rsid w:val="00B27CD5"/>
    <w:rsid w:val="00B302F9"/>
    <w:rsid w:val="00B30ED6"/>
    <w:rsid w:val="00B315E2"/>
    <w:rsid w:val="00B31874"/>
    <w:rsid w:val="00B31DC6"/>
    <w:rsid w:val="00B3205E"/>
    <w:rsid w:val="00B32334"/>
    <w:rsid w:val="00B32811"/>
    <w:rsid w:val="00B328EF"/>
    <w:rsid w:val="00B32CBC"/>
    <w:rsid w:val="00B332E0"/>
    <w:rsid w:val="00B33FA2"/>
    <w:rsid w:val="00B34016"/>
    <w:rsid w:val="00B341EE"/>
    <w:rsid w:val="00B34EA6"/>
    <w:rsid w:val="00B35237"/>
    <w:rsid w:val="00B3560C"/>
    <w:rsid w:val="00B358FB"/>
    <w:rsid w:val="00B35B86"/>
    <w:rsid w:val="00B35FCE"/>
    <w:rsid w:val="00B36493"/>
    <w:rsid w:val="00B36BAD"/>
    <w:rsid w:val="00B36D44"/>
    <w:rsid w:val="00B370D8"/>
    <w:rsid w:val="00B37272"/>
    <w:rsid w:val="00B37296"/>
    <w:rsid w:val="00B37B48"/>
    <w:rsid w:val="00B37F14"/>
    <w:rsid w:val="00B37F2C"/>
    <w:rsid w:val="00B40372"/>
    <w:rsid w:val="00B4038B"/>
    <w:rsid w:val="00B4068C"/>
    <w:rsid w:val="00B40E30"/>
    <w:rsid w:val="00B41486"/>
    <w:rsid w:val="00B41524"/>
    <w:rsid w:val="00B4178D"/>
    <w:rsid w:val="00B419AE"/>
    <w:rsid w:val="00B42108"/>
    <w:rsid w:val="00B42763"/>
    <w:rsid w:val="00B42DF8"/>
    <w:rsid w:val="00B43167"/>
    <w:rsid w:val="00B43583"/>
    <w:rsid w:val="00B43EB4"/>
    <w:rsid w:val="00B445D0"/>
    <w:rsid w:val="00B4489E"/>
    <w:rsid w:val="00B44C49"/>
    <w:rsid w:val="00B45C8A"/>
    <w:rsid w:val="00B4622D"/>
    <w:rsid w:val="00B4673B"/>
    <w:rsid w:val="00B46D7B"/>
    <w:rsid w:val="00B4713B"/>
    <w:rsid w:val="00B474F6"/>
    <w:rsid w:val="00B47C4C"/>
    <w:rsid w:val="00B502A8"/>
    <w:rsid w:val="00B50476"/>
    <w:rsid w:val="00B50ED8"/>
    <w:rsid w:val="00B50F2D"/>
    <w:rsid w:val="00B51002"/>
    <w:rsid w:val="00B5129E"/>
    <w:rsid w:val="00B512EF"/>
    <w:rsid w:val="00B51B43"/>
    <w:rsid w:val="00B51CD6"/>
    <w:rsid w:val="00B52540"/>
    <w:rsid w:val="00B527FB"/>
    <w:rsid w:val="00B5313C"/>
    <w:rsid w:val="00B53216"/>
    <w:rsid w:val="00B53586"/>
    <w:rsid w:val="00B53621"/>
    <w:rsid w:val="00B53BED"/>
    <w:rsid w:val="00B53F15"/>
    <w:rsid w:val="00B54290"/>
    <w:rsid w:val="00B54326"/>
    <w:rsid w:val="00B5450E"/>
    <w:rsid w:val="00B5588D"/>
    <w:rsid w:val="00B55F4F"/>
    <w:rsid w:val="00B567B6"/>
    <w:rsid w:val="00B56A68"/>
    <w:rsid w:val="00B56BD6"/>
    <w:rsid w:val="00B5710A"/>
    <w:rsid w:val="00B5716E"/>
    <w:rsid w:val="00B57271"/>
    <w:rsid w:val="00B572C8"/>
    <w:rsid w:val="00B579CC"/>
    <w:rsid w:val="00B57EC2"/>
    <w:rsid w:val="00B60517"/>
    <w:rsid w:val="00B61C10"/>
    <w:rsid w:val="00B61FD0"/>
    <w:rsid w:val="00B6202C"/>
    <w:rsid w:val="00B62112"/>
    <w:rsid w:val="00B62151"/>
    <w:rsid w:val="00B625A0"/>
    <w:rsid w:val="00B629F8"/>
    <w:rsid w:val="00B62DD4"/>
    <w:rsid w:val="00B62DF3"/>
    <w:rsid w:val="00B634B4"/>
    <w:rsid w:val="00B643E3"/>
    <w:rsid w:val="00B65430"/>
    <w:rsid w:val="00B664B8"/>
    <w:rsid w:val="00B66BE6"/>
    <w:rsid w:val="00B66BFC"/>
    <w:rsid w:val="00B66F6D"/>
    <w:rsid w:val="00B6703E"/>
    <w:rsid w:val="00B67121"/>
    <w:rsid w:val="00B6730F"/>
    <w:rsid w:val="00B67AB1"/>
    <w:rsid w:val="00B70B4D"/>
    <w:rsid w:val="00B70BE9"/>
    <w:rsid w:val="00B70CC8"/>
    <w:rsid w:val="00B715D0"/>
    <w:rsid w:val="00B71EEF"/>
    <w:rsid w:val="00B71EFE"/>
    <w:rsid w:val="00B724B4"/>
    <w:rsid w:val="00B72969"/>
    <w:rsid w:val="00B72B96"/>
    <w:rsid w:val="00B732BC"/>
    <w:rsid w:val="00B7367C"/>
    <w:rsid w:val="00B7486E"/>
    <w:rsid w:val="00B74B39"/>
    <w:rsid w:val="00B7552C"/>
    <w:rsid w:val="00B76097"/>
    <w:rsid w:val="00B767B2"/>
    <w:rsid w:val="00B77C19"/>
    <w:rsid w:val="00B804E6"/>
    <w:rsid w:val="00B824CF"/>
    <w:rsid w:val="00B826B7"/>
    <w:rsid w:val="00B82BF0"/>
    <w:rsid w:val="00B82F20"/>
    <w:rsid w:val="00B82FC2"/>
    <w:rsid w:val="00B836A7"/>
    <w:rsid w:val="00B83C2E"/>
    <w:rsid w:val="00B83FA1"/>
    <w:rsid w:val="00B840CA"/>
    <w:rsid w:val="00B84295"/>
    <w:rsid w:val="00B84747"/>
    <w:rsid w:val="00B84818"/>
    <w:rsid w:val="00B851BE"/>
    <w:rsid w:val="00B86116"/>
    <w:rsid w:val="00B8671F"/>
    <w:rsid w:val="00B8713D"/>
    <w:rsid w:val="00B87354"/>
    <w:rsid w:val="00B873BB"/>
    <w:rsid w:val="00B87FCD"/>
    <w:rsid w:val="00B909CD"/>
    <w:rsid w:val="00B91F84"/>
    <w:rsid w:val="00B927AC"/>
    <w:rsid w:val="00B9312D"/>
    <w:rsid w:val="00B93EE0"/>
    <w:rsid w:val="00B94219"/>
    <w:rsid w:val="00B94AC3"/>
    <w:rsid w:val="00B94C40"/>
    <w:rsid w:val="00B95530"/>
    <w:rsid w:val="00B9556C"/>
    <w:rsid w:val="00B95CB0"/>
    <w:rsid w:val="00B95F00"/>
    <w:rsid w:val="00B9659D"/>
    <w:rsid w:val="00B973E6"/>
    <w:rsid w:val="00B97A65"/>
    <w:rsid w:val="00BA1440"/>
    <w:rsid w:val="00BA1D69"/>
    <w:rsid w:val="00BA22A2"/>
    <w:rsid w:val="00BA23C9"/>
    <w:rsid w:val="00BA37CD"/>
    <w:rsid w:val="00BA3B1F"/>
    <w:rsid w:val="00BA3D7E"/>
    <w:rsid w:val="00BA3F0D"/>
    <w:rsid w:val="00BA453A"/>
    <w:rsid w:val="00BA50B4"/>
    <w:rsid w:val="00BA5501"/>
    <w:rsid w:val="00BA5A19"/>
    <w:rsid w:val="00BA5C98"/>
    <w:rsid w:val="00BA6065"/>
    <w:rsid w:val="00BA617E"/>
    <w:rsid w:val="00BA73CC"/>
    <w:rsid w:val="00BA79FF"/>
    <w:rsid w:val="00BA7CFD"/>
    <w:rsid w:val="00BB062B"/>
    <w:rsid w:val="00BB0A91"/>
    <w:rsid w:val="00BB0DB0"/>
    <w:rsid w:val="00BB1471"/>
    <w:rsid w:val="00BB1CBB"/>
    <w:rsid w:val="00BB1E1D"/>
    <w:rsid w:val="00BB2469"/>
    <w:rsid w:val="00BB2868"/>
    <w:rsid w:val="00BB2E6D"/>
    <w:rsid w:val="00BB3551"/>
    <w:rsid w:val="00BB407F"/>
    <w:rsid w:val="00BB4672"/>
    <w:rsid w:val="00BB4A46"/>
    <w:rsid w:val="00BB4AB5"/>
    <w:rsid w:val="00BB550E"/>
    <w:rsid w:val="00BB7871"/>
    <w:rsid w:val="00BB7A0B"/>
    <w:rsid w:val="00BB7A1E"/>
    <w:rsid w:val="00BB7DE1"/>
    <w:rsid w:val="00BB7E04"/>
    <w:rsid w:val="00BC080F"/>
    <w:rsid w:val="00BC0902"/>
    <w:rsid w:val="00BC19F8"/>
    <w:rsid w:val="00BC1D8E"/>
    <w:rsid w:val="00BC1E10"/>
    <w:rsid w:val="00BC1EB5"/>
    <w:rsid w:val="00BC2772"/>
    <w:rsid w:val="00BC2839"/>
    <w:rsid w:val="00BC2A0B"/>
    <w:rsid w:val="00BC2FA7"/>
    <w:rsid w:val="00BC300B"/>
    <w:rsid w:val="00BC3331"/>
    <w:rsid w:val="00BC3826"/>
    <w:rsid w:val="00BC3FE9"/>
    <w:rsid w:val="00BC4067"/>
    <w:rsid w:val="00BC4394"/>
    <w:rsid w:val="00BC4B3A"/>
    <w:rsid w:val="00BC59F6"/>
    <w:rsid w:val="00BC5B87"/>
    <w:rsid w:val="00BC5F2A"/>
    <w:rsid w:val="00BC6184"/>
    <w:rsid w:val="00BC61C4"/>
    <w:rsid w:val="00BC6BD3"/>
    <w:rsid w:val="00BC73A4"/>
    <w:rsid w:val="00BC74EB"/>
    <w:rsid w:val="00BC7661"/>
    <w:rsid w:val="00BD025F"/>
    <w:rsid w:val="00BD0272"/>
    <w:rsid w:val="00BD055F"/>
    <w:rsid w:val="00BD064A"/>
    <w:rsid w:val="00BD0B53"/>
    <w:rsid w:val="00BD0CA6"/>
    <w:rsid w:val="00BD18F2"/>
    <w:rsid w:val="00BD191A"/>
    <w:rsid w:val="00BD19FC"/>
    <w:rsid w:val="00BD382F"/>
    <w:rsid w:val="00BD3DE1"/>
    <w:rsid w:val="00BD45BD"/>
    <w:rsid w:val="00BD4786"/>
    <w:rsid w:val="00BD4AF4"/>
    <w:rsid w:val="00BD4DC8"/>
    <w:rsid w:val="00BD4E61"/>
    <w:rsid w:val="00BD50C7"/>
    <w:rsid w:val="00BD55ED"/>
    <w:rsid w:val="00BD5F4E"/>
    <w:rsid w:val="00BD624F"/>
    <w:rsid w:val="00BD6C33"/>
    <w:rsid w:val="00BD6C8B"/>
    <w:rsid w:val="00BD7E9D"/>
    <w:rsid w:val="00BE06A4"/>
    <w:rsid w:val="00BE1154"/>
    <w:rsid w:val="00BE1CB1"/>
    <w:rsid w:val="00BE1E12"/>
    <w:rsid w:val="00BE1FD3"/>
    <w:rsid w:val="00BE2A1F"/>
    <w:rsid w:val="00BE2A25"/>
    <w:rsid w:val="00BE2AD5"/>
    <w:rsid w:val="00BE2F71"/>
    <w:rsid w:val="00BE3200"/>
    <w:rsid w:val="00BE3C9E"/>
    <w:rsid w:val="00BE42E5"/>
    <w:rsid w:val="00BE4692"/>
    <w:rsid w:val="00BE4D89"/>
    <w:rsid w:val="00BE4F8A"/>
    <w:rsid w:val="00BE5843"/>
    <w:rsid w:val="00BE5B54"/>
    <w:rsid w:val="00BE5BD1"/>
    <w:rsid w:val="00BE76ED"/>
    <w:rsid w:val="00BE7E18"/>
    <w:rsid w:val="00BF05E4"/>
    <w:rsid w:val="00BF0EAD"/>
    <w:rsid w:val="00BF1024"/>
    <w:rsid w:val="00BF1609"/>
    <w:rsid w:val="00BF1A70"/>
    <w:rsid w:val="00BF1C5F"/>
    <w:rsid w:val="00BF2C14"/>
    <w:rsid w:val="00BF3389"/>
    <w:rsid w:val="00BF33EA"/>
    <w:rsid w:val="00BF3488"/>
    <w:rsid w:val="00BF34F7"/>
    <w:rsid w:val="00BF37E0"/>
    <w:rsid w:val="00BF39D1"/>
    <w:rsid w:val="00BF407C"/>
    <w:rsid w:val="00BF459D"/>
    <w:rsid w:val="00BF487A"/>
    <w:rsid w:val="00BF4EE9"/>
    <w:rsid w:val="00BF5014"/>
    <w:rsid w:val="00BF5174"/>
    <w:rsid w:val="00BF5458"/>
    <w:rsid w:val="00BF5DE6"/>
    <w:rsid w:val="00BF5F00"/>
    <w:rsid w:val="00BF5F88"/>
    <w:rsid w:val="00BF62AD"/>
    <w:rsid w:val="00BF6BF8"/>
    <w:rsid w:val="00BF748F"/>
    <w:rsid w:val="00BF76D6"/>
    <w:rsid w:val="00BF7740"/>
    <w:rsid w:val="00C00961"/>
    <w:rsid w:val="00C00BBB"/>
    <w:rsid w:val="00C00D7F"/>
    <w:rsid w:val="00C00D91"/>
    <w:rsid w:val="00C00F22"/>
    <w:rsid w:val="00C01009"/>
    <w:rsid w:val="00C0158C"/>
    <w:rsid w:val="00C0163D"/>
    <w:rsid w:val="00C0171B"/>
    <w:rsid w:val="00C01930"/>
    <w:rsid w:val="00C01DB8"/>
    <w:rsid w:val="00C02353"/>
    <w:rsid w:val="00C03E99"/>
    <w:rsid w:val="00C04D6C"/>
    <w:rsid w:val="00C04EDF"/>
    <w:rsid w:val="00C0500B"/>
    <w:rsid w:val="00C052E8"/>
    <w:rsid w:val="00C0591A"/>
    <w:rsid w:val="00C05C71"/>
    <w:rsid w:val="00C06166"/>
    <w:rsid w:val="00C061A3"/>
    <w:rsid w:val="00C06A5C"/>
    <w:rsid w:val="00C06F99"/>
    <w:rsid w:val="00C077DC"/>
    <w:rsid w:val="00C07893"/>
    <w:rsid w:val="00C07A0B"/>
    <w:rsid w:val="00C07CCF"/>
    <w:rsid w:val="00C07EDA"/>
    <w:rsid w:val="00C10347"/>
    <w:rsid w:val="00C10A20"/>
    <w:rsid w:val="00C10BE0"/>
    <w:rsid w:val="00C114EA"/>
    <w:rsid w:val="00C115D0"/>
    <w:rsid w:val="00C11ADD"/>
    <w:rsid w:val="00C11C9F"/>
    <w:rsid w:val="00C11DD1"/>
    <w:rsid w:val="00C12B07"/>
    <w:rsid w:val="00C1300F"/>
    <w:rsid w:val="00C1354B"/>
    <w:rsid w:val="00C13584"/>
    <w:rsid w:val="00C13817"/>
    <w:rsid w:val="00C1442F"/>
    <w:rsid w:val="00C14945"/>
    <w:rsid w:val="00C1499A"/>
    <w:rsid w:val="00C14AE9"/>
    <w:rsid w:val="00C154D7"/>
    <w:rsid w:val="00C15E4B"/>
    <w:rsid w:val="00C160AC"/>
    <w:rsid w:val="00C16CF1"/>
    <w:rsid w:val="00C16D83"/>
    <w:rsid w:val="00C16FE1"/>
    <w:rsid w:val="00C17026"/>
    <w:rsid w:val="00C1707D"/>
    <w:rsid w:val="00C17CCF"/>
    <w:rsid w:val="00C17E0A"/>
    <w:rsid w:val="00C17E26"/>
    <w:rsid w:val="00C20F4A"/>
    <w:rsid w:val="00C220A3"/>
    <w:rsid w:val="00C224B1"/>
    <w:rsid w:val="00C22DFA"/>
    <w:rsid w:val="00C22F63"/>
    <w:rsid w:val="00C239EF"/>
    <w:rsid w:val="00C241DB"/>
    <w:rsid w:val="00C24695"/>
    <w:rsid w:val="00C24712"/>
    <w:rsid w:val="00C24BD7"/>
    <w:rsid w:val="00C25195"/>
    <w:rsid w:val="00C25199"/>
    <w:rsid w:val="00C2595B"/>
    <w:rsid w:val="00C25B9A"/>
    <w:rsid w:val="00C25EA5"/>
    <w:rsid w:val="00C2625C"/>
    <w:rsid w:val="00C26580"/>
    <w:rsid w:val="00C2696D"/>
    <w:rsid w:val="00C26C8F"/>
    <w:rsid w:val="00C27191"/>
    <w:rsid w:val="00C27945"/>
    <w:rsid w:val="00C27CAE"/>
    <w:rsid w:val="00C3005E"/>
    <w:rsid w:val="00C3018A"/>
    <w:rsid w:val="00C303E4"/>
    <w:rsid w:val="00C30497"/>
    <w:rsid w:val="00C30611"/>
    <w:rsid w:val="00C3083D"/>
    <w:rsid w:val="00C30D40"/>
    <w:rsid w:val="00C30F20"/>
    <w:rsid w:val="00C31076"/>
    <w:rsid w:val="00C310EC"/>
    <w:rsid w:val="00C314D0"/>
    <w:rsid w:val="00C33682"/>
    <w:rsid w:val="00C33704"/>
    <w:rsid w:val="00C33D44"/>
    <w:rsid w:val="00C33F94"/>
    <w:rsid w:val="00C34283"/>
    <w:rsid w:val="00C345A9"/>
    <w:rsid w:val="00C34E67"/>
    <w:rsid w:val="00C34F3D"/>
    <w:rsid w:val="00C355FA"/>
    <w:rsid w:val="00C35CDB"/>
    <w:rsid w:val="00C36314"/>
    <w:rsid w:val="00C36FE5"/>
    <w:rsid w:val="00C376CA"/>
    <w:rsid w:val="00C37E4D"/>
    <w:rsid w:val="00C40EA5"/>
    <w:rsid w:val="00C41565"/>
    <w:rsid w:val="00C419EA"/>
    <w:rsid w:val="00C43336"/>
    <w:rsid w:val="00C44071"/>
    <w:rsid w:val="00C44546"/>
    <w:rsid w:val="00C4480C"/>
    <w:rsid w:val="00C44E2F"/>
    <w:rsid w:val="00C44E3F"/>
    <w:rsid w:val="00C45609"/>
    <w:rsid w:val="00C458D0"/>
    <w:rsid w:val="00C47BB3"/>
    <w:rsid w:val="00C47F1A"/>
    <w:rsid w:val="00C47F57"/>
    <w:rsid w:val="00C500DE"/>
    <w:rsid w:val="00C50242"/>
    <w:rsid w:val="00C50A63"/>
    <w:rsid w:val="00C50C21"/>
    <w:rsid w:val="00C51980"/>
    <w:rsid w:val="00C51B17"/>
    <w:rsid w:val="00C51D16"/>
    <w:rsid w:val="00C51F2C"/>
    <w:rsid w:val="00C5200E"/>
    <w:rsid w:val="00C521F3"/>
    <w:rsid w:val="00C52517"/>
    <w:rsid w:val="00C52565"/>
    <w:rsid w:val="00C52E45"/>
    <w:rsid w:val="00C52FC9"/>
    <w:rsid w:val="00C534FA"/>
    <w:rsid w:val="00C53CA5"/>
    <w:rsid w:val="00C54066"/>
    <w:rsid w:val="00C54151"/>
    <w:rsid w:val="00C542F8"/>
    <w:rsid w:val="00C5436C"/>
    <w:rsid w:val="00C5528C"/>
    <w:rsid w:val="00C56141"/>
    <w:rsid w:val="00C561D8"/>
    <w:rsid w:val="00C56472"/>
    <w:rsid w:val="00C56CDB"/>
    <w:rsid w:val="00C56DFE"/>
    <w:rsid w:val="00C57173"/>
    <w:rsid w:val="00C5760F"/>
    <w:rsid w:val="00C57A1E"/>
    <w:rsid w:val="00C57ADD"/>
    <w:rsid w:val="00C57F09"/>
    <w:rsid w:val="00C601A4"/>
    <w:rsid w:val="00C605D7"/>
    <w:rsid w:val="00C60666"/>
    <w:rsid w:val="00C607DD"/>
    <w:rsid w:val="00C60D8F"/>
    <w:rsid w:val="00C60F41"/>
    <w:rsid w:val="00C61797"/>
    <w:rsid w:val="00C61B85"/>
    <w:rsid w:val="00C61BEF"/>
    <w:rsid w:val="00C61D13"/>
    <w:rsid w:val="00C61F12"/>
    <w:rsid w:val="00C633D9"/>
    <w:rsid w:val="00C633DB"/>
    <w:rsid w:val="00C634B0"/>
    <w:rsid w:val="00C64954"/>
    <w:rsid w:val="00C655D3"/>
    <w:rsid w:val="00C65983"/>
    <w:rsid w:val="00C66089"/>
    <w:rsid w:val="00C66531"/>
    <w:rsid w:val="00C66943"/>
    <w:rsid w:val="00C66E0A"/>
    <w:rsid w:val="00C673FA"/>
    <w:rsid w:val="00C67889"/>
    <w:rsid w:val="00C679CB"/>
    <w:rsid w:val="00C67CD9"/>
    <w:rsid w:val="00C70142"/>
    <w:rsid w:val="00C7028B"/>
    <w:rsid w:val="00C702BA"/>
    <w:rsid w:val="00C70563"/>
    <w:rsid w:val="00C70849"/>
    <w:rsid w:val="00C70F8A"/>
    <w:rsid w:val="00C70F93"/>
    <w:rsid w:val="00C71B16"/>
    <w:rsid w:val="00C71B5B"/>
    <w:rsid w:val="00C72059"/>
    <w:rsid w:val="00C72305"/>
    <w:rsid w:val="00C7238B"/>
    <w:rsid w:val="00C72DD8"/>
    <w:rsid w:val="00C7353D"/>
    <w:rsid w:val="00C73783"/>
    <w:rsid w:val="00C739E5"/>
    <w:rsid w:val="00C73B89"/>
    <w:rsid w:val="00C73C6A"/>
    <w:rsid w:val="00C73D84"/>
    <w:rsid w:val="00C73DE3"/>
    <w:rsid w:val="00C742F6"/>
    <w:rsid w:val="00C74864"/>
    <w:rsid w:val="00C74AD2"/>
    <w:rsid w:val="00C74B2D"/>
    <w:rsid w:val="00C7547B"/>
    <w:rsid w:val="00C75E65"/>
    <w:rsid w:val="00C7606E"/>
    <w:rsid w:val="00C7635D"/>
    <w:rsid w:val="00C769BA"/>
    <w:rsid w:val="00C76D90"/>
    <w:rsid w:val="00C7791C"/>
    <w:rsid w:val="00C77C32"/>
    <w:rsid w:val="00C805A0"/>
    <w:rsid w:val="00C80DA9"/>
    <w:rsid w:val="00C81A01"/>
    <w:rsid w:val="00C825E5"/>
    <w:rsid w:val="00C82C40"/>
    <w:rsid w:val="00C82F0C"/>
    <w:rsid w:val="00C82FFA"/>
    <w:rsid w:val="00C835B4"/>
    <w:rsid w:val="00C8385A"/>
    <w:rsid w:val="00C846F2"/>
    <w:rsid w:val="00C84F32"/>
    <w:rsid w:val="00C8501D"/>
    <w:rsid w:val="00C851DC"/>
    <w:rsid w:val="00C85403"/>
    <w:rsid w:val="00C85450"/>
    <w:rsid w:val="00C85991"/>
    <w:rsid w:val="00C85C14"/>
    <w:rsid w:val="00C8603C"/>
    <w:rsid w:val="00C8633F"/>
    <w:rsid w:val="00C86424"/>
    <w:rsid w:val="00C8678F"/>
    <w:rsid w:val="00C86F5A"/>
    <w:rsid w:val="00C901D0"/>
    <w:rsid w:val="00C90251"/>
    <w:rsid w:val="00C90798"/>
    <w:rsid w:val="00C90E42"/>
    <w:rsid w:val="00C91444"/>
    <w:rsid w:val="00C9160D"/>
    <w:rsid w:val="00C91651"/>
    <w:rsid w:val="00C91CFF"/>
    <w:rsid w:val="00C92278"/>
    <w:rsid w:val="00C939C8"/>
    <w:rsid w:val="00C93F12"/>
    <w:rsid w:val="00C94660"/>
    <w:rsid w:val="00C94774"/>
    <w:rsid w:val="00C9508B"/>
    <w:rsid w:val="00C95811"/>
    <w:rsid w:val="00C95D79"/>
    <w:rsid w:val="00C9605A"/>
    <w:rsid w:val="00C9643F"/>
    <w:rsid w:val="00C96649"/>
    <w:rsid w:val="00C96939"/>
    <w:rsid w:val="00C96C5F"/>
    <w:rsid w:val="00C96E7D"/>
    <w:rsid w:val="00C97735"/>
    <w:rsid w:val="00C97EC8"/>
    <w:rsid w:val="00CA08FB"/>
    <w:rsid w:val="00CA15B0"/>
    <w:rsid w:val="00CA20B0"/>
    <w:rsid w:val="00CA2653"/>
    <w:rsid w:val="00CA291C"/>
    <w:rsid w:val="00CA29C2"/>
    <w:rsid w:val="00CA3585"/>
    <w:rsid w:val="00CA4CBE"/>
    <w:rsid w:val="00CA4EC3"/>
    <w:rsid w:val="00CA4F4A"/>
    <w:rsid w:val="00CA4F62"/>
    <w:rsid w:val="00CA5886"/>
    <w:rsid w:val="00CA5919"/>
    <w:rsid w:val="00CA5BF3"/>
    <w:rsid w:val="00CA5E56"/>
    <w:rsid w:val="00CA60B9"/>
    <w:rsid w:val="00CA6298"/>
    <w:rsid w:val="00CA6E82"/>
    <w:rsid w:val="00CA7268"/>
    <w:rsid w:val="00CA7270"/>
    <w:rsid w:val="00CA7983"/>
    <w:rsid w:val="00CA7C20"/>
    <w:rsid w:val="00CB036E"/>
    <w:rsid w:val="00CB0854"/>
    <w:rsid w:val="00CB0CD9"/>
    <w:rsid w:val="00CB12D1"/>
    <w:rsid w:val="00CB1AAF"/>
    <w:rsid w:val="00CB1AE5"/>
    <w:rsid w:val="00CB1DC7"/>
    <w:rsid w:val="00CB2176"/>
    <w:rsid w:val="00CB23B2"/>
    <w:rsid w:val="00CB2A86"/>
    <w:rsid w:val="00CB3421"/>
    <w:rsid w:val="00CB3775"/>
    <w:rsid w:val="00CB38AC"/>
    <w:rsid w:val="00CB3CD7"/>
    <w:rsid w:val="00CB46AE"/>
    <w:rsid w:val="00CB4A48"/>
    <w:rsid w:val="00CB4CCD"/>
    <w:rsid w:val="00CB5E57"/>
    <w:rsid w:val="00CB6033"/>
    <w:rsid w:val="00CB6304"/>
    <w:rsid w:val="00CB6CD0"/>
    <w:rsid w:val="00CB7C4D"/>
    <w:rsid w:val="00CB7D50"/>
    <w:rsid w:val="00CC05AB"/>
    <w:rsid w:val="00CC1523"/>
    <w:rsid w:val="00CC2D26"/>
    <w:rsid w:val="00CC3274"/>
    <w:rsid w:val="00CC41B3"/>
    <w:rsid w:val="00CC4352"/>
    <w:rsid w:val="00CC4837"/>
    <w:rsid w:val="00CC4938"/>
    <w:rsid w:val="00CC4AF3"/>
    <w:rsid w:val="00CC5C15"/>
    <w:rsid w:val="00CC5D9B"/>
    <w:rsid w:val="00CC6042"/>
    <w:rsid w:val="00CC6601"/>
    <w:rsid w:val="00CC7080"/>
    <w:rsid w:val="00CC734D"/>
    <w:rsid w:val="00CC7A5A"/>
    <w:rsid w:val="00CC7DB9"/>
    <w:rsid w:val="00CC7F26"/>
    <w:rsid w:val="00CC7F4B"/>
    <w:rsid w:val="00CD0092"/>
    <w:rsid w:val="00CD0493"/>
    <w:rsid w:val="00CD04C2"/>
    <w:rsid w:val="00CD0BC7"/>
    <w:rsid w:val="00CD0D22"/>
    <w:rsid w:val="00CD164B"/>
    <w:rsid w:val="00CD1AFD"/>
    <w:rsid w:val="00CD20E9"/>
    <w:rsid w:val="00CD249E"/>
    <w:rsid w:val="00CD28E6"/>
    <w:rsid w:val="00CD2CF4"/>
    <w:rsid w:val="00CD3142"/>
    <w:rsid w:val="00CD35C3"/>
    <w:rsid w:val="00CD3E28"/>
    <w:rsid w:val="00CD402C"/>
    <w:rsid w:val="00CD4D52"/>
    <w:rsid w:val="00CD4E3E"/>
    <w:rsid w:val="00CD67B8"/>
    <w:rsid w:val="00CD6E9E"/>
    <w:rsid w:val="00CD6F88"/>
    <w:rsid w:val="00CD7023"/>
    <w:rsid w:val="00CD723F"/>
    <w:rsid w:val="00CD7A06"/>
    <w:rsid w:val="00CD7B57"/>
    <w:rsid w:val="00CE04BE"/>
    <w:rsid w:val="00CE07D6"/>
    <w:rsid w:val="00CE0EC8"/>
    <w:rsid w:val="00CE1A6A"/>
    <w:rsid w:val="00CE1CC8"/>
    <w:rsid w:val="00CE23F1"/>
    <w:rsid w:val="00CE24EA"/>
    <w:rsid w:val="00CE290F"/>
    <w:rsid w:val="00CE2DB6"/>
    <w:rsid w:val="00CE2E0C"/>
    <w:rsid w:val="00CE309B"/>
    <w:rsid w:val="00CE3630"/>
    <w:rsid w:val="00CE44B8"/>
    <w:rsid w:val="00CE454F"/>
    <w:rsid w:val="00CE56B1"/>
    <w:rsid w:val="00CE5751"/>
    <w:rsid w:val="00CE5AFD"/>
    <w:rsid w:val="00CE6647"/>
    <w:rsid w:val="00CE72AE"/>
    <w:rsid w:val="00CE747A"/>
    <w:rsid w:val="00CE7875"/>
    <w:rsid w:val="00CE79D9"/>
    <w:rsid w:val="00CE7F81"/>
    <w:rsid w:val="00CF05B0"/>
    <w:rsid w:val="00CF12B5"/>
    <w:rsid w:val="00CF187E"/>
    <w:rsid w:val="00CF1CA8"/>
    <w:rsid w:val="00CF1CD3"/>
    <w:rsid w:val="00CF1FD8"/>
    <w:rsid w:val="00CF26CA"/>
    <w:rsid w:val="00CF2B92"/>
    <w:rsid w:val="00CF2BBF"/>
    <w:rsid w:val="00CF3C6E"/>
    <w:rsid w:val="00CF3F63"/>
    <w:rsid w:val="00CF412A"/>
    <w:rsid w:val="00CF4498"/>
    <w:rsid w:val="00CF48F5"/>
    <w:rsid w:val="00CF4D6F"/>
    <w:rsid w:val="00CF4F3F"/>
    <w:rsid w:val="00CF5DDA"/>
    <w:rsid w:val="00CF5E74"/>
    <w:rsid w:val="00CF5F9D"/>
    <w:rsid w:val="00CF6150"/>
    <w:rsid w:val="00CF628D"/>
    <w:rsid w:val="00CF655E"/>
    <w:rsid w:val="00CF7020"/>
    <w:rsid w:val="00CF77CD"/>
    <w:rsid w:val="00CF7933"/>
    <w:rsid w:val="00D00993"/>
    <w:rsid w:val="00D00B2B"/>
    <w:rsid w:val="00D011B0"/>
    <w:rsid w:val="00D013E2"/>
    <w:rsid w:val="00D013EC"/>
    <w:rsid w:val="00D017B1"/>
    <w:rsid w:val="00D019EA"/>
    <w:rsid w:val="00D021EB"/>
    <w:rsid w:val="00D02356"/>
    <w:rsid w:val="00D02442"/>
    <w:rsid w:val="00D02BCB"/>
    <w:rsid w:val="00D02C41"/>
    <w:rsid w:val="00D02D04"/>
    <w:rsid w:val="00D03202"/>
    <w:rsid w:val="00D03237"/>
    <w:rsid w:val="00D036EB"/>
    <w:rsid w:val="00D03F68"/>
    <w:rsid w:val="00D0401C"/>
    <w:rsid w:val="00D05512"/>
    <w:rsid w:val="00D060D7"/>
    <w:rsid w:val="00D07C1E"/>
    <w:rsid w:val="00D07F6D"/>
    <w:rsid w:val="00D1014A"/>
    <w:rsid w:val="00D1018B"/>
    <w:rsid w:val="00D107DF"/>
    <w:rsid w:val="00D10C9C"/>
    <w:rsid w:val="00D10FFC"/>
    <w:rsid w:val="00D110D5"/>
    <w:rsid w:val="00D11BE2"/>
    <w:rsid w:val="00D11CF5"/>
    <w:rsid w:val="00D11E9F"/>
    <w:rsid w:val="00D12054"/>
    <w:rsid w:val="00D12A8B"/>
    <w:rsid w:val="00D136AD"/>
    <w:rsid w:val="00D137EF"/>
    <w:rsid w:val="00D1410A"/>
    <w:rsid w:val="00D1446D"/>
    <w:rsid w:val="00D149D9"/>
    <w:rsid w:val="00D14E72"/>
    <w:rsid w:val="00D150C6"/>
    <w:rsid w:val="00D1553C"/>
    <w:rsid w:val="00D15908"/>
    <w:rsid w:val="00D15ED0"/>
    <w:rsid w:val="00D16153"/>
    <w:rsid w:val="00D166E9"/>
    <w:rsid w:val="00D16770"/>
    <w:rsid w:val="00D16E80"/>
    <w:rsid w:val="00D1731E"/>
    <w:rsid w:val="00D17DE2"/>
    <w:rsid w:val="00D20766"/>
    <w:rsid w:val="00D20A52"/>
    <w:rsid w:val="00D2106C"/>
    <w:rsid w:val="00D221F6"/>
    <w:rsid w:val="00D222DD"/>
    <w:rsid w:val="00D22853"/>
    <w:rsid w:val="00D22AB1"/>
    <w:rsid w:val="00D22CBD"/>
    <w:rsid w:val="00D238D0"/>
    <w:rsid w:val="00D23D60"/>
    <w:rsid w:val="00D242D0"/>
    <w:rsid w:val="00D243DC"/>
    <w:rsid w:val="00D2469A"/>
    <w:rsid w:val="00D24723"/>
    <w:rsid w:val="00D2504B"/>
    <w:rsid w:val="00D253A5"/>
    <w:rsid w:val="00D26486"/>
    <w:rsid w:val="00D26A1A"/>
    <w:rsid w:val="00D26AFF"/>
    <w:rsid w:val="00D27622"/>
    <w:rsid w:val="00D276FA"/>
    <w:rsid w:val="00D27715"/>
    <w:rsid w:val="00D279DE"/>
    <w:rsid w:val="00D30695"/>
    <w:rsid w:val="00D309DC"/>
    <w:rsid w:val="00D31435"/>
    <w:rsid w:val="00D316CD"/>
    <w:rsid w:val="00D31740"/>
    <w:rsid w:val="00D31EB2"/>
    <w:rsid w:val="00D32112"/>
    <w:rsid w:val="00D32731"/>
    <w:rsid w:val="00D32732"/>
    <w:rsid w:val="00D32B8D"/>
    <w:rsid w:val="00D32E37"/>
    <w:rsid w:val="00D32FE9"/>
    <w:rsid w:val="00D33211"/>
    <w:rsid w:val="00D332C0"/>
    <w:rsid w:val="00D338B7"/>
    <w:rsid w:val="00D33C18"/>
    <w:rsid w:val="00D34493"/>
    <w:rsid w:val="00D34B27"/>
    <w:rsid w:val="00D34F09"/>
    <w:rsid w:val="00D35F26"/>
    <w:rsid w:val="00D36230"/>
    <w:rsid w:val="00D3669B"/>
    <w:rsid w:val="00D36809"/>
    <w:rsid w:val="00D36C33"/>
    <w:rsid w:val="00D36EF9"/>
    <w:rsid w:val="00D379C6"/>
    <w:rsid w:val="00D379E1"/>
    <w:rsid w:val="00D37A0E"/>
    <w:rsid w:val="00D37F68"/>
    <w:rsid w:val="00D4018B"/>
    <w:rsid w:val="00D40586"/>
    <w:rsid w:val="00D407E1"/>
    <w:rsid w:val="00D40D27"/>
    <w:rsid w:val="00D410E9"/>
    <w:rsid w:val="00D4162D"/>
    <w:rsid w:val="00D41C21"/>
    <w:rsid w:val="00D4245E"/>
    <w:rsid w:val="00D42777"/>
    <w:rsid w:val="00D42AC0"/>
    <w:rsid w:val="00D42EF7"/>
    <w:rsid w:val="00D434C7"/>
    <w:rsid w:val="00D438FF"/>
    <w:rsid w:val="00D44BCE"/>
    <w:rsid w:val="00D44DEB"/>
    <w:rsid w:val="00D44FEB"/>
    <w:rsid w:val="00D45024"/>
    <w:rsid w:val="00D46540"/>
    <w:rsid w:val="00D467D0"/>
    <w:rsid w:val="00D47C75"/>
    <w:rsid w:val="00D47D83"/>
    <w:rsid w:val="00D50439"/>
    <w:rsid w:val="00D50592"/>
    <w:rsid w:val="00D50B4C"/>
    <w:rsid w:val="00D50BA3"/>
    <w:rsid w:val="00D50D08"/>
    <w:rsid w:val="00D517BC"/>
    <w:rsid w:val="00D51EE7"/>
    <w:rsid w:val="00D51F36"/>
    <w:rsid w:val="00D5211B"/>
    <w:rsid w:val="00D52217"/>
    <w:rsid w:val="00D5267A"/>
    <w:rsid w:val="00D52BCA"/>
    <w:rsid w:val="00D53FCB"/>
    <w:rsid w:val="00D54369"/>
    <w:rsid w:val="00D54460"/>
    <w:rsid w:val="00D54D9C"/>
    <w:rsid w:val="00D54F9C"/>
    <w:rsid w:val="00D551FA"/>
    <w:rsid w:val="00D55B31"/>
    <w:rsid w:val="00D562C4"/>
    <w:rsid w:val="00D56979"/>
    <w:rsid w:val="00D56FF6"/>
    <w:rsid w:val="00D60BCB"/>
    <w:rsid w:val="00D614D0"/>
    <w:rsid w:val="00D61B11"/>
    <w:rsid w:val="00D61F96"/>
    <w:rsid w:val="00D62050"/>
    <w:rsid w:val="00D62118"/>
    <w:rsid w:val="00D6236F"/>
    <w:rsid w:val="00D62C48"/>
    <w:rsid w:val="00D62D7C"/>
    <w:rsid w:val="00D633C9"/>
    <w:rsid w:val="00D63D83"/>
    <w:rsid w:val="00D63ED3"/>
    <w:rsid w:val="00D648BF"/>
    <w:rsid w:val="00D64BC0"/>
    <w:rsid w:val="00D65033"/>
    <w:rsid w:val="00D65371"/>
    <w:rsid w:val="00D65AC1"/>
    <w:rsid w:val="00D66281"/>
    <w:rsid w:val="00D66677"/>
    <w:rsid w:val="00D666B7"/>
    <w:rsid w:val="00D668CF"/>
    <w:rsid w:val="00D66D48"/>
    <w:rsid w:val="00D67F3E"/>
    <w:rsid w:val="00D705F8"/>
    <w:rsid w:val="00D70B8A"/>
    <w:rsid w:val="00D71AC9"/>
    <w:rsid w:val="00D71AF7"/>
    <w:rsid w:val="00D722D9"/>
    <w:rsid w:val="00D729EA"/>
    <w:rsid w:val="00D72E59"/>
    <w:rsid w:val="00D7302C"/>
    <w:rsid w:val="00D7344E"/>
    <w:rsid w:val="00D73700"/>
    <w:rsid w:val="00D73A7A"/>
    <w:rsid w:val="00D73C54"/>
    <w:rsid w:val="00D74277"/>
    <w:rsid w:val="00D74947"/>
    <w:rsid w:val="00D755BC"/>
    <w:rsid w:val="00D7574D"/>
    <w:rsid w:val="00D75BB4"/>
    <w:rsid w:val="00D766A4"/>
    <w:rsid w:val="00D771DE"/>
    <w:rsid w:val="00D77321"/>
    <w:rsid w:val="00D77454"/>
    <w:rsid w:val="00D776D2"/>
    <w:rsid w:val="00D80A87"/>
    <w:rsid w:val="00D80C2A"/>
    <w:rsid w:val="00D8140E"/>
    <w:rsid w:val="00D828C0"/>
    <w:rsid w:val="00D82FBB"/>
    <w:rsid w:val="00D83557"/>
    <w:rsid w:val="00D83A6D"/>
    <w:rsid w:val="00D84166"/>
    <w:rsid w:val="00D84324"/>
    <w:rsid w:val="00D8473E"/>
    <w:rsid w:val="00D848A6"/>
    <w:rsid w:val="00D84960"/>
    <w:rsid w:val="00D84DEE"/>
    <w:rsid w:val="00D851A0"/>
    <w:rsid w:val="00D855B1"/>
    <w:rsid w:val="00D85687"/>
    <w:rsid w:val="00D85DD6"/>
    <w:rsid w:val="00D86500"/>
    <w:rsid w:val="00D86A7D"/>
    <w:rsid w:val="00D872E1"/>
    <w:rsid w:val="00D873B4"/>
    <w:rsid w:val="00D878E9"/>
    <w:rsid w:val="00D8793B"/>
    <w:rsid w:val="00D90DA8"/>
    <w:rsid w:val="00D9100D"/>
    <w:rsid w:val="00D9170F"/>
    <w:rsid w:val="00D91BAB"/>
    <w:rsid w:val="00D91C85"/>
    <w:rsid w:val="00D92478"/>
    <w:rsid w:val="00D92E9C"/>
    <w:rsid w:val="00D93068"/>
    <w:rsid w:val="00D933D5"/>
    <w:rsid w:val="00D935FB"/>
    <w:rsid w:val="00D939ED"/>
    <w:rsid w:val="00D94225"/>
    <w:rsid w:val="00D94D4F"/>
    <w:rsid w:val="00D94E04"/>
    <w:rsid w:val="00D95110"/>
    <w:rsid w:val="00D95164"/>
    <w:rsid w:val="00D9577D"/>
    <w:rsid w:val="00D9699E"/>
    <w:rsid w:val="00D969C3"/>
    <w:rsid w:val="00D96C62"/>
    <w:rsid w:val="00D96DC3"/>
    <w:rsid w:val="00D970A1"/>
    <w:rsid w:val="00D97276"/>
    <w:rsid w:val="00D97457"/>
    <w:rsid w:val="00DA00B3"/>
    <w:rsid w:val="00DA0144"/>
    <w:rsid w:val="00DA0468"/>
    <w:rsid w:val="00DA11F9"/>
    <w:rsid w:val="00DA123B"/>
    <w:rsid w:val="00DA1341"/>
    <w:rsid w:val="00DA1385"/>
    <w:rsid w:val="00DA140E"/>
    <w:rsid w:val="00DA1673"/>
    <w:rsid w:val="00DA1CE2"/>
    <w:rsid w:val="00DA2095"/>
    <w:rsid w:val="00DA239F"/>
    <w:rsid w:val="00DA27DB"/>
    <w:rsid w:val="00DA2D53"/>
    <w:rsid w:val="00DA2FF5"/>
    <w:rsid w:val="00DA308C"/>
    <w:rsid w:val="00DA3D63"/>
    <w:rsid w:val="00DA433B"/>
    <w:rsid w:val="00DA449F"/>
    <w:rsid w:val="00DA4ED7"/>
    <w:rsid w:val="00DA5309"/>
    <w:rsid w:val="00DA5DDB"/>
    <w:rsid w:val="00DA6BAF"/>
    <w:rsid w:val="00DA7082"/>
    <w:rsid w:val="00DA7307"/>
    <w:rsid w:val="00DA7D79"/>
    <w:rsid w:val="00DB1226"/>
    <w:rsid w:val="00DB16E9"/>
    <w:rsid w:val="00DB2991"/>
    <w:rsid w:val="00DB2C64"/>
    <w:rsid w:val="00DB2F5A"/>
    <w:rsid w:val="00DB3835"/>
    <w:rsid w:val="00DB3DB3"/>
    <w:rsid w:val="00DB41F9"/>
    <w:rsid w:val="00DB42BC"/>
    <w:rsid w:val="00DB4C3B"/>
    <w:rsid w:val="00DB4F70"/>
    <w:rsid w:val="00DB4FF0"/>
    <w:rsid w:val="00DB5669"/>
    <w:rsid w:val="00DB57B3"/>
    <w:rsid w:val="00DB65BC"/>
    <w:rsid w:val="00DB6907"/>
    <w:rsid w:val="00DB69AE"/>
    <w:rsid w:val="00DB6CA6"/>
    <w:rsid w:val="00DB6DAF"/>
    <w:rsid w:val="00DB6F5E"/>
    <w:rsid w:val="00DB700C"/>
    <w:rsid w:val="00DB7584"/>
    <w:rsid w:val="00DB771F"/>
    <w:rsid w:val="00DB77A2"/>
    <w:rsid w:val="00DB7EAD"/>
    <w:rsid w:val="00DB7F2C"/>
    <w:rsid w:val="00DB7F49"/>
    <w:rsid w:val="00DC0423"/>
    <w:rsid w:val="00DC058B"/>
    <w:rsid w:val="00DC0A27"/>
    <w:rsid w:val="00DC0B04"/>
    <w:rsid w:val="00DC0ECB"/>
    <w:rsid w:val="00DC1006"/>
    <w:rsid w:val="00DC1383"/>
    <w:rsid w:val="00DC1397"/>
    <w:rsid w:val="00DC1B4F"/>
    <w:rsid w:val="00DC1E4A"/>
    <w:rsid w:val="00DC2888"/>
    <w:rsid w:val="00DC2F4C"/>
    <w:rsid w:val="00DC356E"/>
    <w:rsid w:val="00DC39DA"/>
    <w:rsid w:val="00DC3C2D"/>
    <w:rsid w:val="00DC45EC"/>
    <w:rsid w:val="00DC4BE9"/>
    <w:rsid w:val="00DC5087"/>
    <w:rsid w:val="00DC5210"/>
    <w:rsid w:val="00DC59B6"/>
    <w:rsid w:val="00DC5C22"/>
    <w:rsid w:val="00DC5C2A"/>
    <w:rsid w:val="00DC5FFF"/>
    <w:rsid w:val="00DC66B9"/>
    <w:rsid w:val="00DC6AAB"/>
    <w:rsid w:val="00DC71B6"/>
    <w:rsid w:val="00DC73D2"/>
    <w:rsid w:val="00DC7A47"/>
    <w:rsid w:val="00DD0368"/>
    <w:rsid w:val="00DD0E2F"/>
    <w:rsid w:val="00DD1857"/>
    <w:rsid w:val="00DD349F"/>
    <w:rsid w:val="00DD391B"/>
    <w:rsid w:val="00DD3973"/>
    <w:rsid w:val="00DD40BF"/>
    <w:rsid w:val="00DD416D"/>
    <w:rsid w:val="00DD4D00"/>
    <w:rsid w:val="00DD541B"/>
    <w:rsid w:val="00DD5660"/>
    <w:rsid w:val="00DD58C9"/>
    <w:rsid w:val="00DD5BE8"/>
    <w:rsid w:val="00DD5EC3"/>
    <w:rsid w:val="00DD5F2E"/>
    <w:rsid w:val="00DD6515"/>
    <w:rsid w:val="00DD7071"/>
    <w:rsid w:val="00DD7147"/>
    <w:rsid w:val="00DD72D8"/>
    <w:rsid w:val="00DD746B"/>
    <w:rsid w:val="00DE0AE4"/>
    <w:rsid w:val="00DE1091"/>
    <w:rsid w:val="00DE1247"/>
    <w:rsid w:val="00DE1B9C"/>
    <w:rsid w:val="00DE1F57"/>
    <w:rsid w:val="00DE22CE"/>
    <w:rsid w:val="00DE23A2"/>
    <w:rsid w:val="00DE2408"/>
    <w:rsid w:val="00DE2A02"/>
    <w:rsid w:val="00DE2D72"/>
    <w:rsid w:val="00DE3177"/>
    <w:rsid w:val="00DE3B9C"/>
    <w:rsid w:val="00DE49B2"/>
    <w:rsid w:val="00DE4FF1"/>
    <w:rsid w:val="00DE54FC"/>
    <w:rsid w:val="00DE54FF"/>
    <w:rsid w:val="00DE55C2"/>
    <w:rsid w:val="00DE5601"/>
    <w:rsid w:val="00DE7BCD"/>
    <w:rsid w:val="00DF055A"/>
    <w:rsid w:val="00DF0733"/>
    <w:rsid w:val="00DF0950"/>
    <w:rsid w:val="00DF0B6B"/>
    <w:rsid w:val="00DF0C53"/>
    <w:rsid w:val="00DF0F2A"/>
    <w:rsid w:val="00DF0FD6"/>
    <w:rsid w:val="00DF1C50"/>
    <w:rsid w:val="00DF2084"/>
    <w:rsid w:val="00DF221D"/>
    <w:rsid w:val="00DF26CF"/>
    <w:rsid w:val="00DF284B"/>
    <w:rsid w:val="00DF2F88"/>
    <w:rsid w:val="00DF2FFB"/>
    <w:rsid w:val="00DF45D6"/>
    <w:rsid w:val="00DF4669"/>
    <w:rsid w:val="00DF4FE9"/>
    <w:rsid w:val="00DF53FB"/>
    <w:rsid w:val="00DF604D"/>
    <w:rsid w:val="00DF6E13"/>
    <w:rsid w:val="00DF6E83"/>
    <w:rsid w:val="00DF79E9"/>
    <w:rsid w:val="00DF7CDA"/>
    <w:rsid w:val="00DF7FE0"/>
    <w:rsid w:val="00E00208"/>
    <w:rsid w:val="00E0078C"/>
    <w:rsid w:val="00E00BB4"/>
    <w:rsid w:val="00E01383"/>
    <w:rsid w:val="00E0170E"/>
    <w:rsid w:val="00E02438"/>
    <w:rsid w:val="00E03063"/>
    <w:rsid w:val="00E037A7"/>
    <w:rsid w:val="00E03A60"/>
    <w:rsid w:val="00E03BF2"/>
    <w:rsid w:val="00E043E5"/>
    <w:rsid w:val="00E0489C"/>
    <w:rsid w:val="00E055AE"/>
    <w:rsid w:val="00E05DA2"/>
    <w:rsid w:val="00E06163"/>
    <w:rsid w:val="00E0651F"/>
    <w:rsid w:val="00E06783"/>
    <w:rsid w:val="00E07476"/>
    <w:rsid w:val="00E07956"/>
    <w:rsid w:val="00E07D0A"/>
    <w:rsid w:val="00E07F52"/>
    <w:rsid w:val="00E07F92"/>
    <w:rsid w:val="00E10058"/>
    <w:rsid w:val="00E10636"/>
    <w:rsid w:val="00E10B84"/>
    <w:rsid w:val="00E10C62"/>
    <w:rsid w:val="00E1223E"/>
    <w:rsid w:val="00E122DF"/>
    <w:rsid w:val="00E12399"/>
    <w:rsid w:val="00E137D0"/>
    <w:rsid w:val="00E13BFA"/>
    <w:rsid w:val="00E1469F"/>
    <w:rsid w:val="00E14994"/>
    <w:rsid w:val="00E14A03"/>
    <w:rsid w:val="00E15C1D"/>
    <w:rsid w:val="00E16064"/>
    <w:rsid w:val="00E1619B"/>
    <w:rsid w:val="00E168E6"/>
    <w:rsid w:val="00E16A4D"/>
    <w:rsid w:val="00E16E48"/>
    <w:rsid w:val="00E17AEE"/>
    <w:rsid w:val="00E17D01"/>
    <w:rsid w:val="00E20905"/>
    <w:rsid w:val="00E20988"/>
    <w:rsid w:val="00E20F79"/>
    <w:rsid w:val="00E21596"/>
    <w:rsid w:val="00E219F9"/>
    <w:rsid w:val="00E21C6A"/>
    <w:rsid w:val="00E21D6C"/>
    <w:rsid w:val="00E22D9E"/>
    <w:rsid w:val="00E24D90"/>
    <w:rsid w:val="00E24E4E"/>
    <w:rsid w:val="00E251BA"/>
    <w:rsid w:val="00E25436"/>
    <w:rsid w:val="00E25C6A"/>
    <w:rsid w:val="00E25DCD"/>
    <w:rsid w:val="00E25DF0"/>
    <w:rsid w:val="00E26148"/>
    <w:rsid w:val="00E2637D"/>
    <w:rsid w:val="00E26545"/>
    <w:rsid w:val="00E26573"/>
    <w:rsid w:val="00E265EB"/>
    <w:rsid w:val="00E268DB"/>
    <w:rsid w:val="00E26CCF"/>
    <w:rsid w:val="00E26F24"/>
    <w:rsid w:val="00E275B8"/>
    <w:rsid w:val="00E2784B"/>
    <w:rsid w:val="00E27C45"/>
    <w:rsid w:val="00E27C5F"/>
    <w:rsid w:val="00E30A91"/>
    <w:rsid w:val="00E30E04"/>
    <w:rsid w:val="00E30F22"/>
    <w:rsid w:val="00E31759"/>
    <w:rsid w:val="00E3234B"/>
    <w:rsid w:val="00E3297E"/>
    <w:rsid w:val="00E329CA"/>
    <w:rsid w:val="00E32C8D"/>
    <w:rsid w:val="00E32CC1"/>
    <w:rsid w:val="00E331A8"/>
    <w:rsid w:val="00E3321A"/>
    <w:rsid w:val="00E332C8"/>
    <w:rsid w:val="00E33B9C"/>
    <w:rsid w:val="00E33E2E"/>
    <w:rsid w:val="00E34385"/>
    <w:rsid w:val="00E34558"/>
    <w:rsid w:val="00E348D7"/>
    <w:rsid w:val="00E34C34"/>
    <w:rsid w:val="00E34DBD"/>
    <w:rsid w:val="00E34E57"/>
    <w:rsid w:val="00E35B1E"/>
    <w:rsid w:val="00E35E25"/>
    <w:rsid w:val="00E36237"/>
    <w:rsid w:val="00E36409"/>
    <w:rsid w:val="00E36D36"/>
    <w:rsid w:val="00E3711E"/>
    <w:rsid w:val="00E372AE"/>
    <w:rsid w:val="00E37528"/>
    <w:rsid w:val="00E37679"/>
    <w:rsid w:val="00E379A2"/>
    <w:rsid w:val="00E408DA"/>
    <w:rsid w:val="00E409F3"/>
    <w:rsid w:val="00E40CFA"/>
    <w:rsid w:val="00E40D35"/>
    <w:rsid w:val="00E416BB"/>
    <w:rsid w:val="00E4173A"/>
    <w:rsid w:val="00E41845"/>
    <w:rsid w:val="00E420AF"/>
    <w:rsid w:val="00E421C7"/>
    <w:rsid w:val="00E4288F"/>
    <w:rsid w:val="00E43082"/>
    <w:rsid w:val="00E434AB"/>
    <w:rsid w:val="00E43524"/>
    <w:rsid w:val="00E4380D"/>
    <w:rsid w:val="00E43902"/>
    <w:rsid w:val="00E43FCC"/>
    <w:rsid w:val="00E447C4"/>
    <w:rsid w:val="00E449C3"/>
    <w:rsid w:val="00E44CF3"/>
    <w:rsid w:val="00E44E85"/>
    <w:rsid w:val="00E44FE6"/>
    <w:rsid w:val="00E45EFD"/>
    <w:rsid w:val="00E45F8D"/>
    <w:rsid w:val="00E4607A"/>
    <w:rsid w:val="00E460C3"/>
    <w:rsid w:val="00E46A23"/>
    <w:rsid w:val="00E472D5"/>
    <w:rsid w:val="00E478BB"/>
    <w:rsid w:val="00E47972"/>
    <w:rsid w:val="00E47AC4"/>
    <w:rsid w:val="00E47C10"/>
    <w:rsid w:val="00E50181"/>
    <w:rsid w:val="00E50D69"/>
    <w:rsid w:val="00E51098"/>
    <w:rsid w:val="00E51113"/>
    <w:rsid w:val="00E514CE"/>
    <w:rsid w:val="00E52F1D"/>
    <w:rsid w:val="00E53D5F"/>
    <w:rsid w:val="00E5483E"/>
    <w:rsid w:val="00E548BE"/>
    <w:rsid w:val="00E54BDF"/>
    <w:rsid w:val="00E5545F"/>
    <w:rsid w:val="00E554CE"/>
    <w:rsid w:val="00E55C41"/>
    <w:rsid w:val="00E55CC3"/>
    <w:rsid w:val="00E55DEA"/>
    <w:rsid w:val="00E55E8C"/>
    <w:rsid w:val="00E5615C"/>
    <w:rsid w:val="00E562E9"/>
    <w:rsid w:val="00E56578"/>
    <w:rsid w:val="00E5733C"/>
    <w:rsid w:val="00E60BB2"/>
    <w:rsid w:val="00E610B3"/>
    <w:rsid w:val="00E61109"/>
    <w:rsid w:val="00E620D9"/>
    <w:rsid w:val="00E62A5A"/>
    <w:rsid w:val="00E62F83"/>
    <w:rsid w:val="00E6348B"/>
    <w:rsid w:val="00E63881"/>
    <w:rsid w:val="00E6411F"/>
    <w:rsid w:val="00E64243"/>
    <w:rsid w:val="00E64269"/>
    <w:rsid w:val="00E64925"/>
    <w:rsid w:val="00E64A4D"/>
    <w:rsid w:val="00E64DAE"/>
    <w:rsid w:val="00E6526B"/>
    <w:rsid w:val="00E65A02"/>
    <w:rsid w:val="00E65CD4"/>
    <w:rsid w:val="00E668DA"/>
    <w:rsid w:val="00E66EB4"/>
    <w:rsid w:val="00E67805"/>
    <w:rsid w:val="00E67CA1"/>
    <w:rsid w:val="00E70095"/>
    <w:rsid w:val="00E703F0"/>
    <w:rsid w:val="00E7075B"/>
    <w:rsid w:val="00E70A9E"/>
    <w:rsid w:val="00E70B34"/>
    <w:rsid w:val="00E70B6D"/>
    <w:rsid w:val="00E70CD3"/>
    <w:rsid w:val="00E70F48"/>
    <w:rsid w:val="00E71042"/>
    <w:rsid w:val="00E713A4"/>
    <w:rsid w:val="00E72000"/>
    <w:rsid w:val="00E725C8"/>
    <w:rsid w:val="00E72D55"/>
    <w:rsid w:val="00E72FB3"/>
    <w:rsid w:val="00E7363C"/>
    <w:rsid w:val="00E73CA5"/>
    <w:rsid w:val="00E740A2"/>
    <w:rsid w:val="00E745C5"/>
    <w:rsid w:val="00E7493B"/>
    <w:rsid w:val="00E74AE2"/>
    <w:rsid w:val="00E757AE"/>
    <w:rsid w:val="00E75C2B"/>
    <w:rsid w:val="00E75EC3"/>
    <w:rsid w:val="00E75FEE"/>
    <w:rsid w:val="00E7642A"/>
    <w:rsid w:val="00E764A2"/>
    <w:rsid w:val="00E764AB"/>
    <w:rsid w:val="00E765F9"/>
    <w:rsid w:val="00E7745E"/>
    <w:rsid w:val="00E77574"/>
    <w:rsid w:val="00E7794D"/>
    <w:rsid w:val="00E77B55"/>
    <w:rsid w:val="00E77BA0"/>
    <w:rsid w:val="00E77C1B"/>
    <w:rsid w:val="00E77EB3"/>
    <w:rsid w:val="00E8003A"/>
    <w:rsid w:val="00E808FE"/>
    <w:rsid w:val="00E80B30"/>
    <w:rsid w:val="00E811B6"/>
    <w:rsid w:val="00E81703"/>
    <w:rsid w:val="00E81C7F"/>
    <w:rsid w:val="00E823C6"/>
    <w:rsid w:val="00E829BB"/>
    <w:rsid w:val="00E83020"/>
    <w:rsid w:val="00E83454"/>
    <w:rsid w:val="00E844A1"/>
    <w:rsid w:val="00E84BE5"/>
    <w:rsid w:val="00E84FDF"/>
    <w:rsid w:val="00E85B33"/>
    <w:rsid w:val="00E867CD"/>
    <w:rsid w:val="00E86887"/>
    <w:rsid w:val="00E86C86"/>
    <w:rsid w:val="00E86C87"/>
    <w:rsid w:val="00E86E20"/>
    <w:rsid w:val="00E872D9"/>
    <w:rsid w:val="00E873DF"/>
    <w:rsid w:val="00E90932"/>
    <w:rsid w:val="00E90CC4"/>
    <w:rsid w:val="00E915FB"/>
    <w:rsid w:val="00E91E1A"/>
    <w:rsid w:val="00E9205E"/>
    <w:rsid w:val="00E92330"/>
    <w:rsid w:val="00E9279B"/>
    <w:rsid w:val="00E92A27"/>
    <w:rsid w:val="00E92D08"/>
    <w:rsid w:val="00E92E7B"/>
    <w:rsid w:val="00E93357"/>
    <w:rsid w:val="00E93385"/>
    <w:rsid w:val="00E937CD"/>
    <w:rsid w:val="00E93D69"/>
    <w:rsid w:val="00E93D91"/>
    <w:rsid w:val="00E94075"/>
    <w:rsid w:val="00E947F8"/>
    <w:rsid w:val="00E948E7"/>
    <w:rsid w:val="00E94F75"/>
    <w:rsid w:val="00E94FC7"/>
    <w:rsid w:val="00E95631"/>
    <w:rsid w:val="00E95B8C"/>
    <w:rsid w:val="00E95FF5"/>
    <w:rsid w:val="00E96BAF"/>
    <w:rsid w:val="00E970D7"/>
    <w:rsid w:val="00E972FF"/>
    <w:rsid w:val="00E97CD8"/>
    <w:rsid w:val="00E97EBD"/>
    <w:rsid w:val="00EA0055"/>
    <w:rsid w:val="00EA0AA6"/>
    <w:rsid w:val="00EA0EC9"/>
    <w:rsid w:val="00EA15B2"/>
    <w:rsid w:val="00EA256C"/>
    <w:rsid w:val="00EA270B"/>
    <w:rsid w:val="00EA3C30"/>
    <w:rsid w:val="00EA3F81"/>
    <w:rsid w:val="00EA4075"/>
    <w:rsid w:val="00EA4B2A"/>
    <w:rsid w:val="00EA4D20"/>
    <w:rsid w:val="00EA5112"/>
    <w:rsid w:val="00EA6CB8"/>
    <w:rsid w:val="00EA7092"/>
    <w:rsid w:val="00EA7125"/>
    <w:rsid w:val="00EA7D60"/>
    <w:rsid w:val="00EB02EE"/>
    <w:rsid w:val="00EB0B23"/>
    <w:rsid w:val="00EB0ECC"/>
    <w:rsid w:val="00EB11EA"/>
    <w:rsid w:val="00EB1EBA"/>
    <w:rsid w:val="00EB22E6"/>
    <w:rsid w:val="00EB2E19"/>
    <w:rsid w:val="00EB2EDF"/>
    <w:rsid w:val="00EB3048"/>
    <w:rsid w:val="00EB3367"/>
    <w:rsid w:val="00EB344C"/>
    <w:rsid w:val="00EB436B"/>
    <w:rsid w:val="00EB483E"/>
    <w:rsid w:val="00EB4866"/>
    <w:rsid w:val="00EB4899"/>
    <w:rsid w:val="00EB4BC0"/>
    <w:rsid w:val="00EB4F8E"/>
    <w:rsid w:val="00EB5B05"/>
    <w:rsid w:val="00EB5C0C"/>
    <w:rsid w:val="00EB6461"/>
    <w:rsid w:val="00EB6689"/>
    <w:rsid w:val="00EB73BE"/>
    <w:rsid w:val="00EB7AFF"/>
    <w:rsid w:val="00EC043D"/>
    <w:rsid w:val="00EC07C3"/>
    <w:rsid w:val="00EC07F1"/>
    <w:rsid w:val="00EC0C95"/>
    <w:rsid w:val="00EC0FC5"/>
    <w:rsid w:val="00EC10AE"/>
    <w:rsid w:val="00EC1F48"/>
    <w:rsid w:val="00EC3598"/>
    <w:rsid w:val="00EC3905"/>
    <w:rsid w:val="00EC3A03"/>
    <w:rsid w:val="00EC3A12"/>
    <w:rsid w:val="00EC3A5B"/>
    <w:rsid w:val="00EC3C52"/>
    <w:rsid w:val="00EC3CA2"/>
    <w:rsid w:val="00EC45D7"/>
    <w:rsid w:val="00EC544A"/>
    <w:rsid w:val="00EC55E3"/>
    <w:rsid w:val="00EC576D"/>
    <w:rsid w:val="00EC5D33"/>
    <w:rsid w:val="00EC6273"/>
    <w:rsid w:val="00EC6490"/>
    <w:rsid w:val="00EC655F"/>
    <w:rsid w:val="00EC6C18"/>
    <w:rsid w:val="00EC73C8"/>
    <w:rsid w:val="00EC7980"/>
    <w:rsid w:val="00ED0017"/>
    <w:rsid w:val="00ED0387"/>
    <w:rsid w:val="00ED0B56"/>
    <w:rsid w:val="00ED1400"/>
    <w:rsid w:val="00ED23BF"/>
    <w:rsid w:val="00ED2680"/>
    <w:rsid w:val="00ED29B6"/>
    <w:rsid w:val="00ED2AB7"/>
    <w:rsid w:val="00ED2CF9"/>
    <w:rsid w:val="00ED316A"/>
    <w:rsid w:val="00ED33EA"/>
    <w:rsid w:val="00ED406A"/>
    <w:rsid w:val="00ED4E2C"/>
    <w:rsid w:val="00ED501F"/>
    <w:rsid w:val="00ED53B1"/>
    <w:rsid w:val="00ED5817"/>
    <w:rsid w:val="00ED5CBE"/>
    <w:rsid w:val="00ED5E80"/>
    <w:rsid w:val="00ED6631"/>
    <w:rsid w:val="00ED6663"/>
    <w:rsid w:val="00ED694D"/>
    <w:rsid w:val="00ED6AD3"/>
    <w:rsid w:val="00ED6F60"/>
    <w:rsid w:val="00ED7106"/>
    <w:rsid w:val="00ED7299"/>
    <w:rsid w:val="00ED763D"/>
    <w:rsid w:val="00ED77E8"/>
    <w:rsid w:val="00ED7CE4"/>
    <w:rsid w:val="00EE029A"/>
    <w:rsid w:val="00EE03DB"/>
    <w:rsid w:val="00EE0652"/>
    <w:rsid w:val="00EE06B1"/>
    <w:rsid w:val="00EE0767"/>
    <w:rsid w:val="00EE09D1"/>
    <w:rsid w:val="00EE0D22"/>
    <w:rsid w:val="00EE10C0"/>
    <w:rsid w:val="00EE123D"/>
    <w:rsid w:val="00EE1679"/>
    <w:rsid w:val="00EE1BB6"/>
    <w:rsid w:val="00EE1F31"/>
    <w:rsid w:val="00EE246C"/>
    <w:rsid w:val="00EE2BDD"/>
    <w:rsid w:val="00EE3058"/>
    <w:rsid w:val="00EE3391"/>
    <w:rsid w:val="00EE33EC"/>
    <w:rsid w:val="00EE4326"/>
    <w:rsid w:val="00EE699E"/>
    <w:rsid w:val="00EE7705"/>
    <w:rsid w:val="00EF10C0"/>
    <w:rsid w:val="00EF17F1"/>
    <w:rsid w:val="00EF1BBD"/>
    <w:rsid w:val="00EF227B"/>
    <w:rsid w:val="00EF22E3"/>
    <w:rsid w:val="00EF2622"/>
    <w:rsid w:val="00EF2B0C"/>
    <w:rsid w:val="00EF2B29"/>
    <w:rsid w:val="00EF2DC5"/>
    <w:rsid w:val="00EF2DF5"/>
    <w:rsid w:val="00EF2E16"/>
    <w:rsid w:val="00EF2FE9"/>
    <w:rsid w:val="00EF30CB"/>
    <w:rsid w:val="00EF31DE"/>
    <w:rsid w:val="00EF4615"/>
    <w:rsid w:val="00EF4898"/>
    <w:rsid w:val="00EF5009"/>
    <w:rsid w:val="00EF5504"/>
    <w:rsid w:val="00EF572F"/>
    <w:rsid w:val="00EF65DD"/>
    <w:rsid w:val="00EF6CF6"/>
    <w:rsid w:val="00EF6DFD"/>
    <w:rsid w:val="00EF742D"/>
    <w:rsid w:val="00EF7695"/>
    <w:rsid w:val="00EF7D7C"/>
    <w:rsid w:val="00EF7DD4"/>
    <w:rsid w:val="00F00146"/>
    <w:rsid w:val="00F00DA1"/>
    <w:rsid w:val="00F01838"/>
    <w:rsid w:val="00F022C0"/>
    <w:rsid w:val="00F02583"/>
    <w:rsid w:val="00F02725"/>
    <w:rsid w:val="00F02BBE"/>
    <w:rsid w:val="00F02C26"/>
    <w:rsid w:val="00F02C4B"/>
    <w:rsid w:val="00F02CC4"/>
    <w:rsid w:val="00F032D6"/>
    <w:rsid w:val="00F03586"/>
    <w:rsid w:val="00F03B2A"/>
    <w:rsid w:val="00F03C74"/>
    <w:rsid w:val="00F03F91"/>
    <w:rsid w:val="00F0452E"/>
    <w:rsid w:val="00F04A7A"/>
    <w:rsid w:val="00F050DD"/>
    <w:rsid w:val="00F0551E"/>
    <w:rsid w:val="00F05A17"/>
    <w:rsid w:val="00F05DC5"/>
    <w:rsid w:val="00F05EB8"/>
    <w:rsid w:val="00F06C20"/>
    <w:rsid w:val="00F07F04"/>
    <w:rsid w:val="00F100E3"/>
    <w:rsid w:val="00F1016E"/>
    <w:rsid w:val="00F107FA"/>
    <w:rsid w:val="00F10F70"/>
    <w:rsid w:val="00F11E30"/>
    <w:rsid w:val="00F125F4"/>
    <w:rsid w:val="00F12795"/>
    <w:rsid w:val="00F128DA"/>
    <w:rsid w:val="00F12C4A"/>
    <w:rsid w:val="00F12D12"/>
    <w:rsid w:val="00F12EE8"/>
    <w:rsid w:val="00F152F4"/>
    <w:rsid w:val="00F157D8"/>
    <w:rsid w:val="00F15B79"/>
    <w:rsid w:val="00F15C9D"/>
    <w:rsid w:val="00F16153"/>
    <w:rsid w:val="00F16AAE"/>
    <w:rsid w:val="00F17014"/>
    <w:rsid w:val="00F1730F"/>
    <w:rsid w:val="00F17EE7"/>
    <w:rsid w:val="00F20083"/>
    <w:rsid w:val="00F208B9"/>
    <w:rsid w:val="00F20D5B"/>
    <w:rsid w:val="00F219A0"/>
    <w:rsid w:val="00F21E54"/>
    <w:rsid w:val="00F21F04"/>
    <w:rsid w:val="00F22B1B"/>
    <w:rsid w:val="00F233CC"/>
    <w:rsid w:val="00F23889"/>
    <w:rsid w:val="00F23FE8"/>
    <w:rsid w:val="00F241E3"/>
    <w:rsid w:val="00F248B0"/>
    <w:rsid w:val="00F25B5A"/>
    <w:rsid w:val="00F25C5D"/>
    <w:rsid w:val="00F25FDD"/>
    <w:rsid w:val="00F2604F"/>
    <w:rsid w:val="00F267BF"/>
    <w:rsid w:val="00F267D9"/>
    <w:rsid w:val="00F26859"/>
    <w:rsid w:val="00F26D9A"/>
    <w:rsid w:val="00F2790A"/>
    <w:rsid w:val="00F27941"/>
    <w:rsid w:val="00F303A4"/>
    <w:rsid w:val="00F31402"/>
    <w:rsid w:val="00F31955"/>
    <w:rsid w:val="00F3286B"/>
    <w:rsid w:val="00F329CC"/>
    <w:rsid w:val="00F32DEC"/>
    <w:rsid w:val="00F334BF"/>
    <w:rsid w:val="00F33C2A"/>
    <w:rsid w:val="00F340A6"/>
    <w:rsid w:val="00F3489D"/>
    <w:rsid w:val="00F34904"/>
    <w:rsid w:val="00F34908"/>
    <w:rsid w:val="00F353EF"/>
    <w:rsid w:val="00F35DA1"/>
    <w:rsid w:val="00F36313"/>
    <w:rsid w:val="00F3654F"/>
    <w:rsid w:val="00F3686A"/>
    <w:rsid w:val="00F36D81"/>
    <w:rsid w:val="00F36F4E"/>
    <w:rsid w:val="00F37335"/>
    <w:rsid w:val="00F37531"/>
    <w:rsid w:val="00F37ED8"/>
    <w:rsid w:val="00F40253"/>
    <w:rsid w:val="00F40547"/>
    <w:rsid w:val="00F4094D"/>
    <w:rsid w:val="00F40E14"/>
    <w:rsid w:val="00F41AAC"/>
    <w:rsid w:val="00F422DF"/>
    <w:rsid w:val="00F4288B"/>
    <w:rsid w:val="00F428EC"/>
    <w:rsid w:val="00F429CB"/>
    <w:rsid w:val="00F42AA3"/>
    <w:rsid w:val="00F42D68"/>
    <w:rsid w:val="00F42FB2"/>
    <w:rsid w:val="00F43F22"/>
    <w:rsid w:val="00F445F7"/>
    <w:rsid w:val="00F45A6D"/>
    <w:rsid w:val="00F46176"/>
    <w:rsid w:val="00F46210"/>
    <w:rsid w:val="00F465C4"/>
    <w:rsid w:val="00F46798"/>
    <w:rsid w:val="00F473F6"/>
    <w:rsid w:val="00F47AE1"/>
    <w:rsid w:val="00F47EA2"/>
    <w:rsid w:val="00F509B3"/>
    <w:rsid w:val="00F51853"/>
    <w:rsid w:val="00F51E60"/>
    <w:rsid w:val="00F5299D"/>
    <w:rsid w:val="00F52D55"/>
    <w:rsid w:val="00F5301E"/>
    <w:rsid w:val="00F5304E"/>
    <w:rsid w:val="00F5339F"/>
    <w:rsid w:val="00F537F8"/>
    <w:rsid w:val="00F53C8C"/>
    <w:rsid w:val="00F5458E"/>
    <w:rsid w:val="00F54C71"/>
    <w:rsid w:val="00F54F4A"/>
    <w:rsid w:val="00F5517D"/>
    <w:rsid w:val="00F555A7"/>
    <w:rsid w:val="00F55AA8"/>
    <w:rsid w:val="00F55F26"/>
    <w:rsid w:val="00F5633C"/>
    <w:rsid w:val="00F5675F"/>
    <w:rsid w:val="00F56BF2"/>
    <w:rsid w:val="00F56DE7"/>
    <w:rsid w:val="00F56ED6"/>
    <w:rsid w:val="00F57068"/>
    <w:rsid w:val="00F57286"/>
    <w:rsid w:val="00F60C28"/>
    <w:rsid w:val="00F6124F"/>
    <w:rsid w:val="00F61587"/>
    <w:rsid w:val="00F61A6E"/>
    <w:rsid w:val="00F61B71"/>
    <w:rsid w:val="00F61DC9"/>
    <w:rsid w:val="00F6214E"/>
    <w:rsid w:val="00F6248E"/>
    <w:rsid w:val="00F62885"/>
    <w:rsid w:val="00F62D41"/>
    <w:rsid w:val="00F63511"/>
    <w:rsid w:val="00F6351C"/>
    <w:rsid w:val="00F63D92"/>
    <w:rsid w:val="00F65EBF"/>
    <w:rsid w:val="00F66995"/>
    <w:rsid w:val="00F67584"/>
    <w:rsid w:val="00F675BF"/>
    <w:rsid w:val="00F67734"/>
    <w:rsid w:val="00F67E9E"/>
    <w:rsid w:val="00F70A91"/>
    <w:rsid w:val="00F70AF3"/>
    <w:rsid w:val="00F70E39"/>
    <w:rsid w:val="00F70F34"/>
    <w:rsid w:val="00F70FA6"/>
    <w:rsid w:val="00F712D8"/>
    <w:rsid w:val="00F713DA"/>
    <w:rsid w:val="00F71690"/>
    <w:rsid w:val="00F717A2"/>
    <w:rsid w:val="00F717D1"/>
    <w:rsid w:val="00F71801"/>
    <w:rsid w:val="00F71A13"/>
    <w:rsid w:val="00F7204A"/>
    <w:rsid w:val="00F7250E"/>
    <w:rsid w:val="00F72D2C"/>
    <w:rsid w:val="00F72D6F"/>
    <w:rsid w:val="00F731AD"/>
    <w:rsid w:val="00F73DAF"/>
    <w:rsid w:val="00F7416F"/>
    <w:rsid w:val="00F74F1A"/>
    <w:rsid w:val="00F7510F"/>
    <w:rsid w:val="00F75142"/>
    <w:rsid w:val="00F75501"/>
    <w:rsid w:val="00F76181"/>
    <w:rsid w:val="00F76235"/>
    <w:rsid w:val="00F76B6A"/>
    <w:rsid w:val="00F76E46"/>
    <w:rsid w:val="00F77714"/>
    <w:rsid w:val="00F77AC4"/>
    <w:rsid w:val="00F77E7C"/>
    <w:rsid w:val="00F77EF1"/>
    <w:rsid w:val="00F8033A"/>
    <w:rsid w:val="00F803BF"/>
    <w:rsid w:val="00F8055B"/>
    <w:rsid w:val="00F807B1"/>
    <w:rsid w:val="00F80B5D"/>
    <w:rsid w:val="00F80F14"/>
    <w:rsid w:val="00F81728"/>
    <w:rsid w:val="00F81E51"/>
    <w:rsid w:val="00F824A5"/>
    <w:rsid w:val="00F825A0"/>
    <w:rsid w:val="00F8285A"/>
    <w:rsid w:val="00F829D3"/>
    <w:rsid w:val="00F82A5A"/>
    <w:rsid w:val="00F83105"/>
    <w:rsid w:val="00F83482"/>
    <w:rsid w:val="00F83819"/>
    <w:rsid w:val="00F83941"/>
    <w:rsid w:val="00F85C3D"/>
    <w:rsid w:val="00F85DC2"/>
    <w:rsid w:val="00F871B2"/>
    <w:rsid w:val="00F871D3"/>
    <w:rsid w:val="00F8737D"/>
    <w:rsid w:val="00F87662"/>
    <w:rsid w:val="00F900E9"/>
    <w:rsid w:val="00F90E4E"/>
    <w:rsid w:val="00F90F10"/>
    <w:rsid w:val="00F91113"/>
    <w:rsid w:val="00F91C1A"/>
    <w:rsid w:val="00F91C91"/>
    <w:rsid w:val="00F92496"/>
    <w:rsid w:val="00F92885"/>
    <w:rsid w:val="00F92E1B"/>
    <w:rsid w:val="00F93A0F"/>
    <w:rsid w:val="00F93C44"/>
    <w:rsid w:val="00F93D7F"/>
    <w:rsid w:val="00F94835"/>
    <w:rsid w:val="00F94C88"/>
    <w:rsid w:val="00F94E59"/>
    <w:rsid w:val="00F95318"/>
    <w:rsid w:val="00F953B0"/>
    <w:rsid w:val="00F95AC4"/>
    <w:rsid w:val="00F96270"/>
    <w:rsid w:val="00F966DF"/>
    <w:rsid w:val="00F97110"/>
    <w:rsid w:val="00F9715C"/>
    <w:rsid w:val="00F9740D"/>
    <w:rsid w:val="00F976C2"/>
    <w:rsid w:val="00FA0436"/>
    <w:rsid w:val="00FA0848"/>
    <w:rsid w:val="00FA0B16"/>
    <w:rsid w:val="00FA0D6B"/>
    <w:rsid w:val="00FA15F4"/>
    <w:rsid w:val="00FA160B"/>
    <w:rsid w:val="00FA16B0"/>
    <w:rsid w:val="00FA3238"/>
    <w:rsid w:val="00FA342D"/>
    <w:rsid w:val="00FA35CD"/>
    <w:rsid w:val="00FA3B6F"/>
    <w:rsid w:val="00FA3C87"/>
    <w:rsid w:val="00FA4075"/>
    <w:rsid w:val="00FA4925"/>
    <w:rsid w:val="00FA4B06"/>
    <w:rsid w:val="00FA5133"/>
    <w:rsid w:val="00FA5831"/>
    <w:rsid w:val="00FA5877"/>
    <w:rsid w:val="00FA5DD9"/>
    <w:rsid w:val="00FA6250"/>
    <w:rsid w:val="00FA6672"/>
    <w:rsid w:val="00FA69B2"/>
    <w:rsid w:val="00FA6F74"/>
    <w:rsid w:val="00FB0B5A"/>
    <w:rsid w:val="00FB0BD4"/>
    <w:rsid w:val="00FB13FB"/>
    <w:rsid w:val="00FB1680"/>
    <w:rsid w:val="00FB2835"/>
    <w:rsid w:val="00FB2B18"/>
    <w:rsid w:val="00FB2C09"/>
    <w:rsid w:val="00FB385A"/>
    <w:rsid w:val="00FB4381"/>
    <w:rsid w:val="00FB4575"/>
    <w:rsid w:val="00FB5019"/>
    <w:rsid w:val="00FB5385"/>
    <w:rsid w:val="00FB5760"/>
    <w:rsid w:val="00FB6204"/>
    <w:rsid w:val="00FB66A9"/>
    <w:rsid w:val="00FB6938"/>
    <w:rsid w:val="00FB6990"/>
    <w:rsid w:val="00FB7313"/>
    <w:rsid w:val="00FB7338"/>
    <w:rsid w:val="00FB73CB"/>
    <w:rsid w:val="00FB7589"/>
    <w:rsid w:val="00FB7743"/>
    <w:rsid w:val="00FB7908"/>
    <w:rsid w:val="00FC0226"/>
    <w:rsid w:val="00FC08A3"/>
    <w:rsid w:val="00FC0B42"/>
    <w:rsid w:val="00FC0F9F"/>
    <w:rsid w:val="00FC1069"/>
    <w:rsid w:val="00FC1227"/>
    <w:rsid w:val="00FC160E"/>
    <w:rsid w:val="00FC1A65"/>
    <w:rsid w:val="00FC1BBB"/>
    <w:rsid w:val="00FC1DAC"/>
    <w:rsid w:val="00FC266D"/>
    <w:rsid w:val="00FC2809"/>
    <w:rsid w:val="00FC288D"/>
    <w:rsid w:val="00FC2DC1"/>
    <w:rsid w:val="00FC305E"/>
    <w:rsid w:val="00FC315F"/>
    <w:rsid w:val="00FC33C1"/>
    <w:rsid w:val="00FC3C70"/>
    <w:rsid w:val="00FC3D21"/>
    <w:rsid w:val="00FC3F5A"/>
    <w:rsid w:val="00FC4D5B"/>
    <w:rsid w:val="00FC59D8"/>
    <w:rsid w:val="00FC5BE3"/>
    <w:rsid w:val="00FC62FD"/>
    <w:rsid w:val="00FC637E"/>
    <w:rsid w:val="00FC69EB"/>
    <w:rsid w:val="00FC6C44"/>
    <w:rsid w:val="00FC7DA4"/>
    <w:rsid w:val="00FC7E88"/>
    <w:rsid w:val="00FD0019"/>
    <w:rsid w:val="00FD086A"/>
    <w:rsid w:val="00FD0CAF"/>
    <w:rsid w:val="00FD11E9"/>
    <w:rsid w:val="00FD1384"/>
    <w:rsid w:val="00FD13B2"/>
    <w:rsid w:val="00FD16B9"/>
    <w:rsid w:val="00FD16EE"/>
    <w:rsid w:val="00FD1849"/>
    <w:rsid w:val="00FD1E9A"/>
    <w:rsid w:val="00FD2AA9"/>
    <w:rsid w:val="00FD2BF6"/>
    <w:rsid w:val="00FD3DB1"/>
    <w:rsid w:val="00FD485E"/>
    <w:rsid w:val="00FD4D07"/>
    <w:rsid w:val="00FD4FB2"/>
    <w:rsid w:val="00FD5304"/>
    <w:rsid w:val="00FD55AF"/>
    <w:rsid w:val="00FD5797"/>
    <w:rsid w:val="00FD6AE8"/>
    <w:rsid w:val="00FD6D6D"/>
    <w:rsid w:val="00FD7459"/>
    <w:rsid w:val="00FD7C0E"/>
    <w:rsid w:val="00FD7D70"/>
    <w:rsid w:val="00FE08E6"/>
    <w:rsid w:val="00FE09F2"/>
    <w:rsid w:val="00FE0CE8"/>
    <w:rsid w:val="00FE0D9F"/>
    <w:rsid w:val="00FE110B"/>
    <w:rsid w:val="00FE1272"/>
    <w:rsid w:val="00FE18FB"/>
    <w:rsid w:val="00FE2655"/>
    <w:rsid w:val="00FE2BE7"/>
    <w:rsid w:val="00FE3A5F"/>
    <w:rsid w:val="00FE4929"/>
    <w:rsid w:val="00FE53C8"/>
    <w:rsid w:val="00FE56B5"/>
    <w:rsid w:val="00FE56FB"/>
    <w:rsid w:val="00FE57BE"/>
    <w:rsid w:val="00FE5C5E"/>
    <w:rsid w:val="00FE6246"/>
    <w:rsid w:val="00FE6960"/>
    <w:rsid w:val="00FE6C90"/>
    <w:rsid w:val="00FF0763"/>
    <w:rsid w:val="00FF0C1F"/>
    <w:rsid w:val="00FF15B4"/>
    <w:rsid w:val="00FF181A"/>
    <w:rsid w:val="00FF1A8F"/>
    <w:rsid w:val="00FF1FD2"/>
    <w:rsid w:val="00FF2019"/>
    <w:rsid w:val="00FF2401"/>
    <w:rsid w:val="00FF268F"/>
    <w:rsid w:val="00FF2B17"/>
    <w:rsid w:val="00FF2B38"/>
    <w:rsid w:val="00FF34BC"/>
    <w:rsid w:val="00FF3ECA"/>
    <w:rsid w:val="00FF4332"/>
    <w:rsid w:val="00FF497D"/>
    <w:rsid w:val="00FF54F8"/>
    <w:rsid w:val="00FF5505"/>
    <w:rsid w:val="00FF56FD"/>
    <w:rsid w:val="00FF58E5"/>
    <w:rsid w:val="00FF6041"/>
    <w:rsid w:val="00FF6137"/>
    <w:rsid w:val="00FF685F"/>
    <w:rsid w:val="00FF6F39"/>
    <w:rsid w:val="00FF72DA"/>
    <w:rsid w:val="00FF7D0C"/>
    <w:rsid w:val="01245BEB"/>
    <w:rsid w:val="022C6982"/>
    <w:rsid w:val="027345B1"/>
    <w:rsid w:val="02A72C55"/>
    <w:rsid w:val="02AB5AF9"/>
    <w:rsid w:val="02BA5D3C"/>
    <w:rsid w:val="038631D7"/>
    <w:rsid w:val="03AE7DD5"/>
    <w:rsid w:val="03DA48E8"/>
    <w:rsid w:val="041A2480"/>
    <w:rsid w:val="04F659F0"/>
    <w:rsid w:val="05655910"/>
    <w:rsid w:val="06405665"/>
    <w:rsid w:val="06E45A7E"/>
    <w:rsid w:val="07117ADC"/>
    <w:rsid w:val="07463E60"/>
    <w:rsid w:val="079C6E54"/>
    <w:rsid w:val="07C531B9"/>
    <w:rsid w:val="0869448C"/>
    <w:rsid w:val="087E15BA"/>
    <w:rsid w:val="08830271"/>
    <w:rsid w:val="08E9737B"/>
    <w:rsid w:val="09004CE3"/>
    <w:rsid w:val="09055B49"/>
    <w:rsid w:val="0AE30264"/>
    <w:rsid w:val="0B17651E"/>
    <w:rsid w:val="0B753148"/>
    <w:rsid w:val="0DEA0FA8"/>
    <w:rsid w:val="0DFC36AD"/>
    <w:rsid w:val="0E2844A2"/>
    <w:rsid w:val="0F7C6E4E"/>
    <w:rsid w:val="104B1A89"/>
    <w:rsid w:val="11110307"/>
    <w:rsid w:val="1141600A"/>
    <w:rsid w:val="116779EF"/>
    <w:rsid w:val="11D72352"/>
    <w:rsid w:val="121F3E0E"/>
    <w:rsid w:val="132D4308"/>
    <w:rsid w:val="136C4E31"/>
    <w:rsid w:val="13920CCD"/>
    <w:rsid w:val="14D809AE"/>
    <w:rsid w:val="158E72E0"/>
    <w:rsid w:val="16DC051F"/>
    <w:rsid w:val="16E15B36"/>
    <w:rsid w:val="17034063"/>
    <w:rsid w:val="174F2482"/>
    <w:rsid w:val="17C14C73"/>
    <w:rsid w:val="17F3249E"/>
    <w:rsid w:val="18CC7B0B"/>
    <w:rsid w:val="18F21805"/>
    <w:rsid w:val="191E4E1F"/>
    <w:rsid w:val="19457EEC"/>
    <w:rsid w:val="1946131C"/>
    <w:rsid w:val="19EA0175"/>
    <w:rsid w:val="1A7D5B75"/>
    <w:rsid w:val="1ABA0502"/>
    <w:rsid w:val="1AF07E89"/>
    <w:rsid w:val="1B32070E"/>
    <w:rsid w:val="1BA22798"/>
    <w:rsid w:val="1C16002F"/>
    <w:rsid w:val="1C8E7A99"/>
    <w:rsid w:val="1C8F27F1"/>
    <w:rsid w:val="1D0D1432"/>
    <w:rsid w:val="1DEC729A"/>
    <w:rsid w:val="1E5970A8"/>
    <w:rsid w:val="1E69422B"/>
    <w:rsid w:val="1EA20F9B"/>
    <w:rsid w:val="1EAA2CB1"/>
    <w:rsid w:val="1F146DDF"/>
    <w:rsid w:val="1F164BA3"/>
    <w:rsid w:val="1F1B4F45"/>
    <w:rsid w:val="1F4B4494"/>
    <w:rsid w:val="1F65724C"/>
    <w:rsid w:val="1F7F413E"/>
    <w:rsid w:val="1FBB33C8"/>
    <w:rsid w:val="202A5E57"/>
    <w:rsid w:val="210112AE"/>
    <w:rsid w:val="211469CB"/>
    <w:rsid w:val="214B077B"/>
    <w:rsid w:val="21733510"/>
    <w:rsid w:val="23E12CD1"/>
    <w:rsid w:val="24DF4D8F"/>
    <w:rsid w:val="259C77F7"/>
    <w:rsid w:val="25B14925"/>
    <w:rsid w:val="25BC7BF5"/>
    <w:rsid w:val="25CF7690"/>
    <w:rsid w:val="261E120B"/>
    <w:rsid w:val="265A320F"/>
    <w:rsid w:val="26760048"/>
    <w:rsid w:val="27027B2E"/>
    <w:rsid w:val="275B723E"/>
    <w:rsid w:val="2791691F"/>
    <w:rsid w:val="27B74DE4"/>
    <w:rsid w:val="286C368E"/>
    <w:rsid w:val="28C52BC1"/>
    <w:rsid w:val="28CF1DDA"/>
    <w:rsid w:val="28F81D46"/>
    <w:rsid w:val="28FE19B0"/>
    <w:rsid w:val="29131E7B"/>
    <w:rsid w:val="29193321"/>
    <w:rsid w:val="291B0A33"/>
    <w:rsid w:val="294C3021"/>
    <w:rsid w:val="29567CBD"/>
    <w:rsid w:val="29DD03DE"/>
    <w:rsid w:val="2A0C7C3E"/>
    <w:rsid w:val="2AA42443"/>
    <w:rsid w:val="2ADA43A5"/>
    <w:rsid w:val="2AE412F9"/>
    <w:rsid w:val="2B1C4F36"/>
    <w:rsid w:val="2B4E089B"/>
    <w:rsid w:val="2B6D7ACB"/>
    <w:rsid w:val="2BC01D66"/>
    <w:rsid w:val="2C75313C"/>
    <w:rsid w:val="2CCA2829"/>
    <w:rsid w:val="2CD47877"/>
    <w:rsid w:val="2CD5539D"/>
    <w:rsid w:val="2DE7182C"/>
    <w:rsid w:val="2E8A2220"/>
    <w:rsid w:val="2FCA408B"/>
    <w:rsid w:val="2FDE6C5E"/>
    <w:rsid w:val="2FFB3907"/>
    <w:rsid w:val="30185CCC"/>
    <w:rsid w:val="302E3742"/>
    <w:rsid w:val="30FE1366"/>
    <w:rsid w:val="31202E64"/>
    <w:rsid w:val="31CA7F73"/>
    <w:rsid w:val="31F97D80"/>
    <w:rsid w:val="32BA306B"/>
    <w:rsid w:val="336D6971"/>
    <w:rsid w:val="33A72273"/>
    <w:rsid w:val="33CB74FA"/>
    <w:rsid w:val="345614B9"/>
    <w:rsid w:val="348C3B96"/>
    <w:rsid w:val="34F82570"/>
    <w:rsid w:val="3516209B"/>
    <w:rsid w:val="353D4B7B"/>
    <w:rsid w:val="35417A73"/>
    <w:rsid w:val="358D4A67"/>
    <w:rsid w:val="35A34935"/>
    <w:rsid w:val="35EB3E83"/>
    <w:rsid w:val="3660217B"/>
    <w:rsid w:val="369462C9"/>
    <w:rsid w:val="3701395E"/>
    <w:rsid w:val="376A07DE"/>
    <w:rsid w:val="376A7951"/>
    <w:rsid w:val="37827223"/>
    <w:rsid w:val="37B068AE"/>
    <w:rsid w:val="37C3779B"/>
    <w:rsid w:val="38A7698B"/>
    <w:rsid w:val="39650B36"/>
    <w:rsid w:val="3A0B0650"/>
    <w:rsid w:val="3A1439A9"/>
    <w:rsid w:val="3A683CF4"/>
    <w:rsid w:val="3B652DB0"/>
    <w:rsid w:val="3CF4186F"/>
    <w:rsid w:val="3D70705A"/>
    <w:rsid w:val="3D7F6A3A"/>
    <w:rsid w:val="3DD516A1"/>
    <w:rsid w:val="3DE11DF4"/>
    <w:rsid w:val="3E614CE2"/>
    <w:rsid w:val="3EFB01E2"/>
    <w:rsid w:val="3F121E53"/>
    <w:rsid w:val="3FFF5C1D"/>
    <w:rsid w:val="40AB51BD"/>
    <w:rsid w:val="411078CD"/>
    <w:rsid w:val="414E4E72"/>
    <w:rsid w:val="429C453B"/>
    <w:rsid w:val="42EC3A87"/>
    <w:rsid w:val="431228B8"/>
    <w:rsid w:val="43566FFB"/>
    <w:rsid w:val="436074C4"/>
    <w:rsid w:val="43CA332A"/>
    <w:rsid w:val="4492209A"/>
    <w:rsid w:val="449A2CFC"/>
    <w:rsid w:val="451313F6"/>
    <w:rsid w:val="4586372E"/>
    <w:rsid w:val="470D176D"/>
    <w:rsid w:val="47305B9A"/>
    <w:rsid w:val="48643D4D"/>
    <w:rsid w:val="48BB02CE"/>
    <w:rsid w:val="49E52C6C"/>
    <w:rsid w:val="4A4C0F18"/>
    <w:rsid w:val="4A783AE0"/>
    <w:rsid w:val="4A8561FD"/>
    <w:rsid w:val="4AF41787"/>
    <w:rsid w:val="4B571947"/>
    <w:rsid w:val="4B6D2F19"/>
    <w:rsid w:val="4BF7705A"/>
    <w:rsid w:val="4C5916EF"/>
    <w:rsid w:val="4CAF38A0"/>
    <w:rsid w:val="4D2012FB"/>
    <w:rsid w:val="4D550108"/>
    <w:rsid w:val="4D6463C0"/>
    <w:rsid w:val="4D970721"/>
    <w:rsid w:val="4D9D560B"/>
    <w:rsid w:val="4DBB7003"/>
    <w:rsid w:val="4ED25A5F"/>
    <w:rsid w:val="4EE70EEB"/>
    <w:rsid w:val="4EFF7763"/>
    <w:rsid w:val="4F0C0BCE"/>
    <w:rsid w:val="4F97C30F"/>
    <w:rsid w:val="4FC76F87"/>
    <w:rsid w:val="4FD55530"/>
    <w:rsid w:val="4FFF246A"/>
    <w:rsid w:val="5043693E"/>
    <w:rsid w:val="50B079EF"/>
    <w:rsid w:val="50BD049E"/>
    <w:rsid w:val="512D6CA6"/>
    <w:rsid w:val="5176064D"/>
    <w:rsid w:val="51956184"/>
    <w:rsid w:val="51A4340C"/>
    <w:rsid w:val="51E67A6C"/>
    <w:rsid w:val="5238556C"/>
    <w:rsid w:val="525963B3"/>
    <w:rsid w:val="527032EE"/>
    <w:rsid w:val="52EA3F23"/>
    <w:rsid w:val="54014B46"/>
    <w:rsid w:val="54DC6ADD"/>
    <w:rsid w:val="55431F45"/>
    <w:rsid w:val="565964E2"/>
    <w:rsid w:val="56841E7A"/>
    <w:rsid w:val="574F3E1A"/>
    <w:rsid w:val="574F5BC8"/>
    <w:rsid w:val="58410EFC"/>
    <w:rsid w:val="58647451"/>
    <w:rsid w:val="58892E17"/>
    <w:rsid w:val="58BD6B62"/>
    <w:rsid w:val="59C363FA"/>
    <w:rsid w:val="5A1F1D41"/>
    <w:rsid w:val="5A67147B"/>
    <w:rsid w:val="5A851901"/>
    <w:rsid w:val="5AC05A36"/>
    <w:rsid w:val="5B196705"/>
    <w:rsid w:val="5B3C6463"/>
    <w:rsid w:val="5B547C51"/>
    <w:rsid w:val="5B5C6B06"/>
    <w:rsid w:val="5B5F03A4"/>
    <w:rsid w:val="5B784E24"/>
    <w:rsid w:val="5BD23294"/>
    <w:rsid w:val="5BEB7F91"/>
    <w:rsid w:val="5C133668"/>
    <w:rsid w:val="5C4001D5"/>
    <w:rsid w:val="5CAB3C9E"/>
    <w:rsid w:val="5D167EF7"/>
    <w:rsid w:val="5D2B2C34"/>
    <w:rsid w:val="5D3970FE"/>
    <w:rsid w:val="5D8D73AD"/>
    <w:rsid w:val="5F95434E"/>
    <w:rsid w:val="5FF941C5"/>
    <w:rsid w:val="600A6B30"/>
    <w:rsid w:val="606467B1"/>
    <w:rsid w:val="60D26497"/>
    <w:rsid w:val="60FF4F66"/>
    <w:rsid w:val="61161505"/>
    <w:rsid w:val="61354081"/>
    <w:rsid w:val="61CB2431"/>
    <w:rsid w:val="62C40B19"/>
    <w:rsid w:val="63701BA4"/>
    <w:rsid w:val="64371EBE"/>
    <w:rsid w:val="645D77CF"/>
    <w:rsid w:val="64874BF3"/>
    <w:rsid w:val="64B77292"/>
    <w:rsid w:val="64E87F37"/>
    <w:rsid w:val="657131AE"/>
    <w:rsid w:val="67096703"/>
    <w:rsid w:val="675A4E44"/>
    <w:rsid w:val="67E75076"/>
    <w:rsid w:val="68994EF5"/>
    <w:rsid w:val="68AA5747"/>
    <w:rsid w:val="68F95A25"/>
    <w:rsid w:val="69476DB4"/>
    <w:rsid w:val="6995430C"/>
    <w:rsid w:val="69B67D29"/>
    <w:rsid w:val="6AA3205B"/>
    <w:rsid w:val="6AD466B8"/>
    <w:rsid w:val="6B3717AA"/>
    <w:rsid w:val="6C142268"/>
    <w:rsid w:val="6C1C3391"/>
    <w:rsid w:val="6C5D26DE"/>
    <w:rsid w:val="6CD022DA"/>
    <w:rsid w:val="6D144E48"/>
    <w:rsid w:val="6D30394E"/>
    <w:rsid w:val="6E2F0DDE"/>
    <w:rsid w:val="6E541A1F"/>
    <w:rsid w:val="6ECC2824"/>
    <w:rsid w:val="707F6A2D"/>
    <w:rsid w:val="71325EE7"/>
    <w:rsid w:val="715440AF"/>
    <w:rsid w:val="72587BCF"/>
    <w:rsid w:val="727367B7"/>
    <w:rsid w:val="73DE5EB2"/>
    <w:rsid w:val="74C4183A"/>
    <w:rsid w:val="75E01633"/>
    <w:rsid w:val="75E16B85"/>
    <w:rsid w:val="768C7E47"/>
    <w:rsid w:val="76CC293A"/>
    <w:rsid w:val="771542E1"/>
    <w:rsid w:val="7765331C"/>
    <w:rsid w:val="77B34DAA"/>
    <w:rsid w:val="787463D4"/>
    <w:rsid w:val="789D1A6F"/>
    <w:rsid w:val="790B6629"/>
    <w:rsid w:val="79246A5D"/>
    <w:rsid w:val="79297BCF"/>
    <w:rsid w:val="79515378"/>
    <w:rsid w:val="796E7CD8"/>
    <w:rsid w:val="79D42231"/>
    <w:rsid w:val="79E166FC"/>
    <w:rsid w:val="7A0A6464"/>
    <w:rsid w:val="7A144F8E"/>
    <w:rsid w:val="7A523156"/>
    <w:rsid w:val="7A9F5D3D"/>
    <w:rsid w:val="7AC2652D"/>
    <w:rsid w:val="7AFF705B"/>
    <w:rsid w:val="7BB87930"/>
    <w:rsid w:val="7BC33671"/>
    <w:rsid w:val="7C211543"/>
    <w:rsid w:val="7CAD6D69"/>
    <w:rsid w:val="7CB50FA0"/>
    <w:rsid w:val="7CBE05C2"/>
    <w:rsid w:val="7CD47394"/>
    <w:rsid w:val="7CD65261"/>
    <w:rsid w:val="7CE42605"/>
    <w:rsid w:val="7CED360A"/>
    <w:rsid w:val="7D3C23C3"/>
    <w:rsid w:val="7DE93DD1"/>
    <w:rsid w:val="7E0D42F1"/>
    <w:rsid w:val="7F121106"/>
    <w:rsid w:val="7F4606BC"/>
    <w:rsid w:val="7F7F2C3F"/>
    <w:rsid w:val="7F85088C"/>
    <w:rsid w:val="7FBA072D"/>
    <w:rsid w:val="7FF17D85"/>
    <w:rsid w:val="7FF8654D"/>
    <w:rsid w:val="AF7D6834"/>
    <w:rsid w:val="D2FFA9F5"/>
    <w:rsid w:val="F7F4FFCF"/>
    <w:rsid w:val="FF8F951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qFormat="1" w:uiPriority="39" w:semiHidden="0" w:name="toc 4" w:locked="1"/>
    <w:lsdException w:qFormat="1" w:uiPriority="39" w:semiHidden="0" w:name="toc 5" w:locked="1"/>
    <w:lsdException w:qFormat="1" w:uiPriority="39" w:semiHidden="0" w:name="toc 6" w:locked="1"/>
    <w:lsdException w:qFormat="1" w:uiPriority="39" w:semiHidden="0" w:name="toc 7" w:locked="1"/>
    <w:lsdException w:qFormat="1" w:uiPriority="39" w:semiHidden="0" w:name="toc 8" w:locked="1"/>
    <w:lsdException w:qFormat="1" w:uiPriority="39" w:semiHidden="0" w:name="toc 9" w:locked="1"/>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name="Message Header"/>
    <w:lsdException w:qFormat="1" w:unhideWhenUsed="0" w:uiPriority="0" w:semiHidden="0" w:name="Subtitle" w:locked="1"/>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99"/>
    <w:pPr>
      <w:keepNext/>
      <w:numPr>
        <w:ilvl w:val="0"/>
        <w:numId w:val="1"/>
      </w:numPr>
      <w:outlineLvl w:val="0"/>
    </w:pPr>
    <w:rPr>
      <w:rFonts w:eastAsia="黑体"/>
      <w:b/>
      <w:sz w:val="28"/>
      <w:szCs w:val="20"/>
    </w:rPr>
  </w:style>
  <w:style w:type="paragraph" w:styleId="3">
    <w:name w:val="heading 2"/>
    <w:basedOn w:val="1"/>
    <w:next w:val="1"/>
    <w:link w:val="45"/>
    <w:qFormat/>
    <w:uiPriority w:val="0"/>
    <w:pPr>
      <w:keepNext/>
      <w:keepLines/>
      <w:spacing w:line="360" w:lineRule="auto"/>
      <w:outlineLvl w:val="1"/>
    </w:pPr>
    <w:rPr>
      <w:rFonts w:ascii="Arial" w:hAnsi="Arial" w:eastAsia="黑体"/>
      <w:sz w:val="24"/>
      <w:szCs w:val="20"/>
    </w:rPr>
  </w:style>
  <w:style w:type="paragraph" w:styleId="4">
    <w:name w:val="heading 3"/>
    <w:basedOn w:val="1"/>
    <w:next w:val="1"/>
    <w:link w:val="46"/>
    <w:qFormat/>
    <w:uiPriority w:val="99"/>
    <w:pPr>
      <w:keepNext/>
      <w:numPr>
        <w:ilvl w:val="2"/>
        <w:numId w:val="2"/>
      </w:numPr>
      <w:spacing w:line="400" w:lineRule="exact"/>
      <w:jc w:val="center"/>
      <w:outlineLvl w:val="2"/>
    </w:pPr>
    <w:rPr>
      <w:rFonts w:ascii="仿宋_GB2312" w:eastAsia="仿宋_GB2312"/>
      <w:sz w:val="32"/>
      <w:szCs w:val="20"/>
    </w:rPr>
  </w:style>
  <w:style w:type="paragraph" w:styleId="5">
    <w:name w:val="heading 4"/>
    <w:basedOn w:val="1"/>
    <w:next w:val="1"/>
    <w:link w:val="47"/>
    <w:qFormat/>
    <w:uiPriority w:val="9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8"/>
    <w:qFormat/>
    <w:uiPriority w:val="99"/>
    <w:pPr>
      <w:keepNext/>
      <w:keepLines/>
      <w:spacing w:before="280" w:after="290" w:line="376" w:lineRule="auto"/>
      <w:outlineLvl w:val="4"/>
    </w:pPr>
    <w:rPr>
      <w:b/>
      <w:bCs/>
      <w:sz w:val="28"/>
      <w:szCs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locked/>
    <w:uiPriority w:val="39"/>
    <w:pPr>
      <w:ind w:left="2520" w:leftChars="1200"/>
    </w:pPr>
    <w:rPr>
      <w:rFonts w:asciiTheme="minorHAnsi" w:hAnsiTheme="minorHAnsi" w:eastAsiaTheme="minorEastAsia" w:cstheme="minorBidi"/>
      <w:szCs w:val="22"/>
    </w:rPr>
  </w:style>
  <w:style w:type="paragraph" w:styleId="8">
    <w:name w:val="Normal Indent"/>
    <w:basedOn w:val="1"/>
    <w:qFormat/>
    <w:uiPriority w:val="0"/>
    <w:pPr>
      <w:widowControl/>
      <w:ind w:firstLine="420"/>
      <w:jc w:val="left"/>
    </w:pPr>
    <w:rPr>
      <w:kern w:val="0"/>
      <w:sz w:val="20"/>
      <w:szCs w:val="20"/>
    </w:rPr>
  </w:style>
  <w:style w:type="paragraph" w:styleId="9">
    <w:name w:val="annotation text"/>
    <w:basedOn w:val="1"/>
    <w:link w:val="108"/>
    <w:unhideWhenUsed/>
    <w:qFormat/>
    <w:uiPriority w:val="99"/>
    <w:pPr>
      <w:jc w:val="left"/>
    </w:pPr>
  </w:style>
  <w:style w:type="paragraph" w:styleId="10">
    <w:name w:val="Body Text 3"/>
    <w:basedOn w:val="1"/>
    <w:link w:val="50"/>
    <w:qFormat/>
    <w:uiPriority w:val="99"/>
    <w:pPr>
      <w:widowControl/>
      <w:adjustRightInd w:val="0"/>
      <w:snapToGrid w:val="0"/>
      <w:spacing w:line="300" w:lineRule="auto"/>
      <w:jc w:val="left"/>
    </w:pPr>
    <w:rPr>
      <w:rFonts w:ascii="仿宋_GB2312" w:eastAsia="仿宋_GB2312"/>
      <w:kern w:val="0"/>
      <w:sz w:val="24"/>
      <w:szCs w:val="20"/>
      <w:u w:val="single"/>
    </w:rPr>
  </w:style>
  <w:style w:type="paragraph" w:styleId="11">
    <w:name w:val="Body Text"/>
    <w:basedOn w:val="1"/>
    <w:link w:val="62"/>
    <w:qFormat/>
    <w:uiPriority w:val="99"/>
    <w:pPr>
      <w:spacing w:after="120"/>
    </w:pPr>
  </w:style>
  <w:style w:type="paragraph" w:styleId="12">
    <w:name w:val="Body Text Indent"/>
    <w:basedOn w:val="1"/>
    <w:link w:val="54"/>
    <w:qFormat/>
    <w:uiPriority w:val="99"/>
    <w:pPr>
      <w:ind w:firstLine="420" w:firstLineChars="200"/>
    </w:pPr>
    <w:rPr>
      <w:rFonts w:ascii="宋体" w:hAnsi="宋体"/>
      <w:shd w:val="pct10" w:color="auto" w:fill="FFFFFF"/>
    </w:rPr>
  </w:style>
  <w:style w:type="paragraph" w:styleId="13">
    <w:name w:val="Block Text"/>
    <w:basedOn w:val="1"/>
    <w:qFormat/>
    <w:uiPriority w:val="99"/>
    <w:pPr>
      <w:ind w:left="113" w:right="113"/>
      <w:jc w:val="center"/>
    </w:pPr>
    <w:rPr>
      <w:b/>
      <w:bCs/>
      <w:sz w:val="18"/>
      <w:szCs w:val="20"/>
    </w:rPr>
  </w:style>
  <w:style w:type="paragraph" w:styleId="14">
    <w:name w:val="index 4"/>
    <w:basedOn w:val="1"/>
    <w:next w:val="1"/>
    <w:qFormat/>
    <w:uiPriority w:val="0"/>
    <w:pPr>
      <w:ind w:left="600" w:leftChars="600"/>
    </w:pPr>
    <w:rPr>
      <w:rFonts w:hAnsiTheme="minorHAnsi" w:eastAsiaTheme="minorEastAsia" w:cstheme="minorBidi"/>
    </w:rPr>
  </w:style>
  <w:style w:type="paragraph" w:styleId="15">
    <w:name w:val="toc 5"/>
    <w:basedOn w:val="1"/>
    <w:next w:val="1"/>
    <w:unhideWhenUsed/>
    <w:qFormat/>
    <w:locked/>
    <w:uiPriority w:val="39"/>
    <w:pPr>
      <w:ind w:left="1680" w:leftChars="800"/>
    </w:pPr>
    <w:rPr>
      <w:rFonts w:asciiTheme="minorHAnsi" w:hAnsiTheme="minorHAnsi" w:eastAsiaTheme="minorEastAsia" w:cstheme="minorBidi"/>
      <w:szCs w:val="22"/>
    </w:rPr>
  </w:style>
  <w:style w:type="paragraph" w:styleId="16">
    <w:name w:val="toc 3"/>
    <w:basedOn w:val="1"/>
    <w:next w:val="1"/>
    <w:qFormat/>
    <w:locked/>
    <w:uiPriority w:val="39"/>
    <w:pPr>
      <w:ind w:left="840" w:leftChars="400"/>
    </w:pPr>
  </w:style>
  <w:style w:type="paragraph" w:styleId="17">
    <w:name w:val="Plain Text"/>
    <w:basedOn w:val="1"/>
    <w:link w:val="49"/>
    <w:qFormat/>
    <w:uiPriority w:val="0"/>
    <w:rPr>
      <w:rFonts w:ascii="宋体" w:hAnsi="Courier New"/>
      <w:szCs w:val="21"/>
    </w:rPr>
  </w:style>
  <w:style w:type="paragraph" w:styleId="18">
    <w:name w:val="toc 8"/>
    <w:basedOn w:val="1"/>
    <w:next w:val="1"/>
    <w:unhideWhenUsed/>
    <w:qFormat/>
    <w:locked/>
    <w:uiPriority w:val="39"/>
    <w:pPr>
      <w:ind w:left="2940" w:leftChars="1400"/>
    </w:pPr>
    <w:rPr>
      <w:rFonts w:asciiTheme="minorHAnsi" w:hAnsiTheme="minorHAnsi" w:eastAsiaTheme="minorEastAsia" w:cstheme="minorBidi"/>
      <w:szCs w:val="22"/>
    </w:rPr>
  </w:style>
  <w:style w:type="paragraph" w:styleId="19">
    <w:name w:val="Date"/>
    <w:basedOn w:val="1"/>
    <w:next w:val="1"/>
    <w:link w:val="61"/>
    <w:qFormat/>
    <w:uiPriority w:val="0"/>
    <w:pPr>
      <w:ind w:left="100" w:leftChars="2500"/>
    </w:pPr>
  </w:style>
  <w:style w:type="paragraph" w:styleId="20">
    <w:name w:val="Body Text Indent 2"/>
    <w:basedOn w:val="1"/>
    <w:link w:val="56"/>
    <w:qFormat/>
    <w:uiPriority w:val="99"/>
    <w:pPr>
      <w:spacing w:after="120" w:line="480" w:lineRule="auto"/>
      <w:ind w:left="420" w:leftChars="200"/>
    </w:pPr>
  </w:style>
  <w:style w:type="paragraph" w:styleId="21">
    <w:name w:val="Balloon Text"/>
    <w:basedOn w:val="1"/>
    <w:link w:val="90"/>
    <w:qFormat/>
    <w:uiPriority w:val="99"/>
    <w:rPr>
      <w:sz w:val="18"/>
      <w:szCs w:val="18"/>
    </w:rPr>
  </w:style>
  <w:style w:type="paragraph" w:styleId="22">
    <w:name w:val="footer"/>
    <w:basedOn w:val="1"/>
    <w:link w:val="51"/>
    <w:qFormat/>
    <w:uiPriority w:val="99"/>
    <w:pPr>
      <w:widowControl/>
      <w:tabs>
        <w:tab w:val="center" w:pos="4153"/>
        <w:tab w:val="right" w:pos="8306"/>
      </w:tabs>
      <w:snapToGrid w:val="0"/>
      <w:jc w:val="left"/>
    </w:pPr>
    <w:rPr>
      <w:kern w:val="0"/>
      <w:sz w:val="18"/>
      <w:szCs w:val="18"/>
    </w:rPr>
  </w:style>
  <w:style w:type="paragraph" w:styleId="23">
    <w:name w:val="header"/>
    <w:basedOn w:val="1"/>
    <w:link w:val="52"/>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24">
    <w:name w:val="toc 1"/>
    <w:basedOn w:val="1"/>
    <w:next w:val="1"/>
    <w:qFormat/>
    <w:locked/>
    <w:uiPriority w:val="39"/>
  </w:style>
  <w:style w:type="paragraph" w:styleId="25">
    <w:name w:val="toc 4"/>
    <w:basedOn w:val="1"/>
    <w:next w:val="1"/>
    <w:unhideWhenUsed/>
    <w:qFormat/>
    <w:locked/>
    <w:uiPriority w:val="39"/>
    <w:pPr>
      <w:ind w:left="1260" w:leftChars="600"/>
    </w:pPr>
    <w:rPr>
      <w:rFonts w:asciiTheme="minorHAnsi" w:hAnsiTheme="minorHAnsi" w:eastAsiaTheme="minorEastAsia" w:cstheme="minorBidi"/>
      <w:szCs w:val="22"/>
    </w:rPr>
  </w:style>
  <w:style w:type="paragraph" w:styleId="26">
    <w:name w:val="toc 6"/>
    <w:basedOn w:val="1"/>
    <w:next w:val="1"/>
    <w:unhideWhenUsed/>
    <w:qFormat/>
    <w:locked/>
    <w:uiPriority w:val="39"/>
    <w:pPr>
      <w:ind w:left="2100" w:leftChars="1000"/>
    </w:pPr>
    <w:rPr>
      <w:rFonts w:asciiTheme="minorHAnsi" w:hAnsiTheme="minorHAnsi" w:eastAsiaTheme="minorEastAsia" w:cstheme="minorBidi"/>
      <w:szCs w:val="22"/>
    </w:rPr>
  </w:style>
  <w:style w:type="paragraph" w:styleId="27">
    <w:name w:val="Body Text Indent 3"/>
    <w:basedOn w:val="1"/>
    <w:link w:val="58"/>
    <w:qFormat/>
    <w:uiPriority w:val="0"/>
    <w:pPr>
      <w:ind w:firstLine="412" w:firstLineChars="196"/>
    </w:pPr>
    <w:rPr>
      <w:rFonts w:ascii="宋体" w:hAnsi="宋体"/>
      <w:color w:val="000000"/>
    </w:rPr>
  </w:style>
  <w:style w:type="paragraph" w:styleId="28">
    <w:name w:val="toc 2"/>
    <w:basedOn w:val="1"/>
    <w:next w:val="1"/>
    <w:qFormat/>
    <w:locked/>
    <w:uiPriority w:val="39"/>
    <w:pPr>
      <w:ind w:left="420" w:leftChars="200"/>
    </w:pPr>
  </w:style>
  <w:style w:type="paragraph" w:styleId="29">
    <w:name w:val="toc 9"/>
    <w:basedOn w:val="1"/>
    <w:next w:val="1"/>
    <w:unhideWhenUsed/>
    <w:qFormat/>
    <w:locked/>
    <w:uiPriority w:val="39"/>
    <w:pPr>
      <w:ind w:left="3360" w:leftChars="1600"/>
    </w:pPr>
    <w:rPr>
      <w:rFonts w:asciiTheme="minorHAnsi" w:hAnsiTheme="minorHAnsi" w:eastAsiaTheme="minorEastAsia" w:cstheme="minorBidi"/>
      <w:szCs w:val="22"/>
    </w:rPr>
  </w:style>
  <w:style w:type="paragraph" w:styleId="30">
    <w:name w:val="Message Header"/>
    <w:basedOn w:val="1"/>
    <w:link w:val="123"/>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rPr>
  </w:style>
  <w:style w:type="paragraph" w:styleId="3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2">
    <w:name w:val="Title"/>
    <w:basedOn w:val="1"/>
    <w:qFormat/>
    <w:locked/>
    <w:uiPriority w:val="10"/>
    <w:pPr>
      <w:jc w:val="center"/>
    </w:pPr>
    <w:rPr>
      <w:rFonts w:ascii="Calibri" w:hAnsi="Calibri"/>
      <w:b/>
      <w:sz w:val="30"/>
      <w:szCs w:val="20"/>
    </w:rPr>
  </w:style>
  <w:style w:type="paragraph" w:styleId="33">
    <w:name w:val="annotation subject"/>
    <w:basedOn w:val="9"/>
    <w:next w:val="9"/>
    <w:link w:val="109"/>
    <w:semiHidden/>
    <w:unhideWhenUsed/>
    <w:qFormat/>
    <w:uiPriority w:val="99"/>
    <w:rPr>
      <w:b/>
      <w:bCs/>
    </w:rPr>
  </w:style>
  <w:style w:type="paragraph" w:styleId="34">
    <w:name w:val="Body Text First Indent"/>
    <w:basedOn w:val="11"/>
    <w:link w:val="107"/>
    <w:qFormat/>
    <w:uiPriority w:val="0"/>
    <w:pPr>
      <w:ind w:firstLine="420" w:firstLineChars="100"/>
    </w:pPr>
    <w:rPr>
      <w:rFonts w:ascii="宋体"/>
      <w:szCs w:val="20"/>
    </w:rPr>
  </w:style>
  <w:style w:type="paragraph" w:styleId="35">
    <w:name w:val="Body Text First Indent 2"/>
    <w:basedOn w:val="12"/>
    <w:next w:val="1"/>
    <w:qFormat/>
    <w:uiPriority w:val="99"/>
    <w:rPr>
      <w:rFonts w:ascii="Calibri" w:hAnsi="Calibri" w:cs="Calibri"/>
    </w:rPr>
  </w:style>
  <w:style w:type="table" w:styleId="37">
    <w:name w:val="Table Grid"/>
    <w:basedOn w:val="36"/>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qFormat/>
    <w:locked/>
    <w:uiPriority w:val="22"/>
    <w:rPr>
      <w:b/>
      <w:bCs/>
    </w:rPr>
  </w:style>
  <w:style w:type="character" w:styleId="40">
    <w:name w:val="page number"/>
    <w:basedOn w:val="38"/>
    <w:qFormat/>
    <w:uiPriority w:val="99"/>
    <w:rPr>
      <w:rFonts w:cs="Times New Roman"/>
    </w:rPr>
  </w:style>
  <w:style w:type="character" w:styleId="41">
    <w:name w:val="Emphasis"/>
    <w:basedOn w:val="38"/>
    <w:qFormat/>
    <w:locked/>
    <w:uiPriority w:val="0"/>
    <w:rPr>
      <w:i/>
    </w:rPr>
  </w:style>
  <w:style w:type="character" w:styleId="42">
    <w:name w:val="Hyperlink"/>
    <w:basedOn w:val="38"/>
    <w:unhideWhenUsed/>
    <w:qFormat/>
    <w:uiPriority w:val="99"/>
    <w:rPr>
      <w:color w:val="0000FF"/>
      <w:u w:val="single"/>
    </w:rPr>
  </w:style>
  <w:style w:type="character" w:styleId="43">
    <w:name w:val="annotation reference"/>
    <w:basedOn w:val="38"/>
    <w:semiHidden/>
    <w:unhideWhenUsed/>
    <w:qFormat/>
    <w:uiPriority w:val="99"/>
    <w:rPr>
      <w:sz w:val="21"/>
      <w:szCs w:val="21"/>
    </w:rPr>
  </w:style>
  <w:style w:type="character" w:customStyle="1" w:styleId="44">
    <w:name w:val="标题 1 字符"/>
    <w:basedOn w:val="38"/>
    <w:link w:val="2"/>
    <w:qFormat/>
    <w:locked/>
    <w:uiPriority w:val="99"/>
    <w:rPr>
      <w:rFonts w:eastAsia="黑体"/>
      <w:b/>
      <w:kern w:val="2"/>
      <w:sz w:val="28"/>
    </w:rPr>
  </w:style>
  <w:style w:type="character" w:customStyle="1" w:styleId="45">
    <w:name w:val="标题 2 字符"/>
    <w:basedOn w:val="38"/>
    <w:link w:val="3"/>
    <w:qFormat/>
    <w:locked/>
    <w:uiPriority w:val="0"/>
    <w:rPr>
      <w:rFonts w:ascii="Arial" w:hAnsi="Arial" w:eastAsia="黑体"/>
      <w:kern w:val="2"/>
      <w:sz w:val="24"/>
    </w:rPr>
  </w:style>
  <w:style w:type="character" w:customStyle="1" w:styleId="46">
    <w:name w:val="标题 3 字符"/>
    <w:basedOn w:val="38"/>
    <w:link w:val="4"/>
    <w:qFormat/>
    <w:locked/>
    <w:uiPriority w:val="99"/>
    <w:rPr>
      <w:rFonts w:ascii="仿宋_GB2312" w:eastAsia="仿宋_GB2312"/>
      <w:kern w:val="2"/>
      <w:sz w:val="32"/>
    </w:rPr>
  </w:style>
  <w:style w:type="character" w:customStyle="1" w:styleId="47">
    <w:name w:val="标题 4 字符"/>
    <w:basedOn w:val="38"/>
    <w:link w:val="5"/>
    <w:semiHidden/>
    <w:qFormat/>
    <w:locked/>
    <w:uiPriority w:val="99"/>
    <w:rPr>
      <w:rFonts w:ascii="Cambria" w:hAnsi="Cambria" w:eastAsia="宋体" w:cs="Times New Roman"/>
      <w:b/>
      <w:bCs/>
      <w:sz w:val="28"/>
      <w:szCs w:val="28"/>
    </w:rPr>
  </w:style>
  <w:style w:type="character" w:customStyle="1" w:styleId="48">
    <w:name w:val="标题 5 字符"/>
    <w:basedOn w:val="38"/>
    <w:link w:val="6"/>
    <w:semiHidden/>
    <w:qFormat/>
    <w:locked/>
    <w:uiPriority w:val="99"/>
    <w:rPr>
      <w:rFonts w:cs="Times New Roman"/>
      <w:b/>
      <w:bCs/>
      <w:sz w:val="28"/>
      <w:szCs w:val="28"/>
    </w:rPr>
  </w:style>
  <w:style w:type="character" w:customStyle="1" w:styleId="49">
    <w:name w:val="纯文本 字符"/>
    <w:basedOn w:val="38"/>
    <w:link w:val="17"/>
    <w:qFormat/>
    <w:locked/>
    <w:uiPriority w:val="0"/>
    <w:rPr>
      <w:rFonts w:ascii="宋体" w:hAnsi="Courier New" w:eastAsia="宋体" w:cs="Times New Roman"/>
      <w:kern w:val="2"/>
      <w:sz w:val="21"/>
      <w:szCs w:val="21"/>
      <w:lang w:val="en-US" w:eastAsia="zh-CN" w:bidi="ar-SA"/>
    </w:rPr>
  </w:style>
  <w:style w:type="character" w:customStyle="1" w:styleId="50">
    <w:name w:val="正文文本 3 字符"/>
    <w:basedOn w:val="38"/>
    <w:link w:val="10"/>
    <w:semiHidden/>
    <w:qFormat/>
    <w:locked/>
    <w:uiPriority w:val="99"/>
    <w:rPr>
      <w:rFonts w:cs="Times New Roman"/>
      <w:sz w:val="16"/>
      <w:szCs w:val="16"/>
    </w:rPr>
  </w:style>
  <w:style w:type="character" w:customStyle="1" w:styleId="51">
    <w:name w:val="页脚 字符"/>
    <w:basedOn w:val="38"/>
    <w:link w:val="22"/>
    <w:semiHidden/>
    <w:qFormat/>
    <w:locked/>
    <w:uiPriority w:val="99"/>
    <w:rPr>
      <w:rFonts w:cs="Times New Roman"/>
      <w:sz w:val="18"/>
      <w:szCs w:val="18"/>
    </w:rPr>
  </w:style>
  <w:style w:type="character" w:customStyle="1" w:styleId="52">
    <w:name w:val="页眉 字符"/>
    <w:basedOn w:val="38"/>
    <w:link w:val="23"/>
    <w:semiHidden/>
    <w:qFormat/>
    <w:locked/>
    <w:uiPriority w:val="99"/>
    <w:rPr>
      <w:rFonts w:cs="Times New Roman"/>
      <w:sz w:val="18"/>
      <w:szCs w:val="18"/>
    </w:rPr>
  </w:style>
  <w:style w:type="character" w:customStyle="1" w:styleId="53">
    <w:name w:val="px121"/>
    <w:basedOn w:val="38"/>
    <w:qFormat/>
    <w:uiPriority w:val="99"/>
    <w:rPr>
      <w:rFonts w:cs="Times New Roman"/>
      <w:spacing w:val="312"/>
    </w:rPr>
  </w:style>
  <w:style w:type="character" w:customStyle="1" w:styleId="54">
    <w:name w:val="正文文本缩进 字符"/>
    <w:basedOn w:val="38"/>
    <w:link w:val="12"/>
    <w:semiHidden/>
    <w:qFormat/>
    <w:locked/>
    <w:uiPriority w:val="99"/>
    <w:rPr>
      <w:rFonts w:cs="Times New Roman"/>
      <w:sz w:val="24"/>
      <w:szCs w:val="24"/>
    </w:rPr>
  </w:style>
  <w:style w:type="paragraph" w:customStyle="1" w:styleId="55">
    <w:name w:val="表格文字"/>
    <w:basedOn w:val="1"/>
    <w:qFormat/>
    <w:uiPriority w:val="99"/>
    <w:pPr>
      <w:snapToGrid w:val="0"/>
      <w:spacing w:before="120"/>
    </w:pPr>
    <w:rPr>
      <w:rFonts w:ascii="Arial Narrow" w:hAnsi="Arial Narrow" w:eastAsia="仿宋_GB2312"/>
      <w:sz w:val="24"/>
      <w:szCs w:val="20"/>
    </w:rPr>
  </w:style>
  <w:style w:type="character" w:customStyle="1" w:styleId="56">
    <w:name w:val="正文文本缩进 2 字符"/>
    <w:basedOn w:val="38"/>
    <w:link w:val="20"/>
    <w:semiHidden/>
    <w:qFormat/>
    <w:locked/>
    <w:uiPriority w:val="99"/>
    <w:rPr>
      <w:rFonts w:cs="Times New Roman"/>
      <w:sz w:val="24"/>
      <w:szCs w:val="24"/>
    </w:rPr>
  </w:style>
  <w:style w:type="character" w:customStyle="1" w:styleId="57">
    <w:name w:val="Char Char3"/>
    <w:basedOn w:val="38"/>
    <w:qFormat/>
    <w:uiPriority w:val="99"/>
    <w:rPr>
      <w:rFonts w:ascii="宋体" w:hAnsi="Courier New" w:eastAsia="宋体" w:cs="Times New Roman"/>
      <w:kern w:val="2"/>
      <w:sz w:val="21"/>
      <w:szCs w:val="21"/>
      <w:lang w:val="en-US" w:eastAsia="zh-CN" w:bidi="ar-SA"/>
    </w:rPr>
  </w:style>
  <w:style w:type="character" w:customStyle="1" w:styleId="58">
    <w:name w:val="正文文本缩进 3 字符"/>
    <w:basedOn w:val="38"/>
    <w:link w:val="27"/>
    <w:semiHidden/>
    <w:qFormat/>
    <w:locked/>
    <w:uiPriority w:val="99"/>
    <w:rPr>
      <w:rFonts w:cs="Times New Roman"/>
      <w:sz w:val="16"/>
      <w:szCs w:val="16"/>
    </w:rPr>
  </w:style>
  <w:style w:type="paragraph" w:customStyle="1" w:styleId="59">
    <w:name w:val="Char1"/>
    <w:basedOn w:val="1"/>
    <w:qFormat/>
    <w:uiPriority w:val="99"/>
    <w:rPr>
      <w:sz w:val="24"/>
    </w:rPr>
  </w:style>
  <w:style w:type="paragraph" w:customStyle="1" w:styleId="60">
    <w:name w:val="样式 标4 + 段前: 0.5 行1"/>
    <w:basedOn w:val="1"/>
    <w:qFormat/>
    <w:uiPriority w:val="99"/>
    <w:pPr>
      <w:tabs>
        <w:tab w:val="left" w:pos="1260"/>
      </w:tabs>
      <w:adjustRightInd w:val="0"/>
      <w:snapToGrid w:val="0"/>
      <w:spacing w:beforeLines="50"/>
      <w:outlineLvl w:val="3"/>
    </w:pPr>
    <w:rPr>
      <w:rFonts w:ascii="Arial Narrow" w:hAnsi="Arial Narrow" w:eastAsia="仿宋_GB2312" w:cs="宋体"/>
      <w:sz w:val="28"/>
      <w:szCs w:val="20"/>
    </w:rPr>
  </w:style>
  <w:style w:type="character" w:customStyle="1" w:styleId="61">
    <w:name w:val="日期 字符"/>
    <w:basedOn w:val="38"/>
    <w:link w:val="19"/>
    <w:semiHidden/>
    <w:qFormat/>
    <w:locked/>
    <w:uiPriority w:val="99"/>
    <w:rPr>
      <w:rFonts w:cs="Times New Roman"/>
      <w:sz w:val="24"/>
      <w:szCs w:val="24"/>
    </w:rPr>
  </w:style>
  <w:style w:type="character" w:customStyle="1" w:styleId="62">
    <w:name w:val="正文文本 字符"/>
    <w:basedOn w:val="38"/>
    <w:link w:val="11"/>
    <w:semiHidden/>
    <w:qFormat/>
    <w:locked/>
    <w:uiPriority w:val="99"/>
    <w:rPr>
      <w:rFonts w:cs="Times New Roman"/>
      <w:sz w:val="24"/>
      <w:szCs w:val="24"/>
    </w:rPr>
  </w:style>
  <w:style w:type="paragraph" w:customStyle="1" w:styleId="63">
    <w:name w:val="报告正文"/>
    <w:basedOn w:val="1"/>
    <w:qFormat/>
    <w:uiPriority w:val="99"/>
    <w:pPr>
      <w:ind w:firstLine="567"/>
    </w:pPr>
    <w:rPr>
      <w:rFonts w:ascii="Arial Narrow" w:hAnsi="Arial Narrow" w:eastAsia="仿宋_GB2312"/>
      <w:kern w:val="0"/>
      <w:sz w:val="28"/>
      <w:szCs w:val="20"/>
    </w:rPr>
  </w:style>
  <w:style w:type="paragraph" w:styleId="64">
    <w:name w:val="List Paragraph"/>
    <w:basedOn w:val="1"/>
    <w:link w:val="106"/>
    <w:qFormat/>
    <w:uiPriority w:val="34"/>
    <w:pPr>
      <w:ind w:firstLine="420" w:firstLineChars="200"/>
    </w:pPr>
    <w:rPr>
      <w:rFonts w:ascii="Calibri" w:hAnsi="Calibri"/>
      <w:szCs w:val="22"/>
    </w:rPr>
  </w:style>
  <w:style w:type="paragraph" w:customStyle="1" w:styleId="65">
    <w:name w:val="List Paragraph1"/>
    <w:basedOn w:val="1"/>
    <w:qFormat/>
    <w:uiPriority w:val="99"/>
    <w:pPr>
      <w:ind w:firstLine="420" w:firstLineChars="200"/>
    </w:pPr>
    <w:rPr>
      <w:rFonts w:ascii="Calibri" w:hAnsi="Calibri"/>
      <w:szCs w:val="22"/>
    </w:rPr>
  </w:style>
  <w:style w:type="paragraph" w:customStyle="1" w:styleId="66">
    <w:name w:val="列出段落1"/>
    <w:qFormat/>
    <w:uiPriority w:val="99"/>
    <w:pPr>
      <w:ind w:firstLine="420"/>
    </w:pPr>
    <w:rPr>
      <w:rFonts w:ascii="Times New Roman" w:hAnsi="Times New Roman" w:eastAsia="宋体" w:cs="Times New Roman"/>
      <w:lang w:val="en-US" w:eastAsia="zh-CN" w:bidi="ar-SA"/>
    </w:rPr>
  </w:style>
  <w:style w:type="paragraph" w:customStyle="1" w:styleId="67">
    <w:name w:val="列出段落11"/>
    <w:qFormat/>
    <w:uiPriority w:val="99"/>
    <w:pPr>
      <w:ind w:firstLine="420"/>
    </w:pPr>
    <w:rPr>
      <w:rFonts w:ascii="Times New Roman" w:hAnsi="Times New Roman" w:eastAsia="宋体" w:cs="Times New Roman"/>
      <w:lang w:val="en-US" w:eastAsia="zh-CN" w:bidi="ar-SA"/>
    </w:rPr>
  </w:style>
  <w:style w:type="paragraph" w:styleId="68">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69">
    <w:name w:val="CharAttribute2"/>
    <w:qFormat/>
    <w:uiPriority w:val="99"/>
    <w:rPr>
      <w:rFonts w:ascii="Times New Roman" w:eastAsia="宋体"/>
      <w:b/>
      <w:sz w:val="21"/>
    </w:rPr>
  </w:style>
  <w:style w:type="paragraph" w:customStyle="1" w:styleId="70">
    <w:name w:val="Char"/>
    <w:basedOn w:val="1"/>
    <w:qFormat/>
    <w:uiPriority w:val="99"/>
    <w:rPr>
      <w:sz w:val="30"/>
    </w:rPr>
  </w:style>
  <w:style w:type="paragraph" w:customStyle="1" w:styleId="71">
    <w:name w:val="ParaAttribute2"/>
    <w:qFormat/>
    <w:uiPriority w:val="99"/>
    <w:pPr>
      <w:widowControl w:val="0"/>
      <w:wordWrap w:val="0"/>
      <w:spacing w:before="156" w:after="156"/>
      <w:jc w:val="both"/>
    </w:pPr>
    <w:rPr>
      <w:rFonts w:ascii="Times New Roman" w:hAnsi="Times New Roman" w:eastAsia="Batang" w:cs="Times New Roman"/>
      <w:lang w:val="en-US" w:eastAsia="zh-CN" w:bidi="ar-SA"/>
    </w:rPr>
  </w:style>
  <w:style w:type="paragraph" w:customStyle="1" w:styleId="72">
    <w:name w:val="ParaAttribute6"/>
    <w:qFormat/>
    <w:uiPriority w:val="99"/>
    <w:pPr>
      <w:widowControl w:val="0"/>
      <w:wordWrap w:val="0"/>
      <w:spacing w:before="50"/>
      <w:ind w:left="1276"/>
      <w:jc w:val="both"/>
    </w:pPr>
    <w:rPr>
      <w:rFonts w:ascii="Times New Roman" w:hAnsi="Times New Roman" w:eastAsia="Batang" w:cs="Times New Roman"/>
      <w:lang w:val="en-US" w:eastAsia="zh-CN" w:bidi="ar-SA"/>
    </w:rPr>
  </w:style>
  <w:style w:type="paragraph" w:customStyle="1" w:styleId="73">
    <w:name w:val="ParaAttribute7"/>
    <w:qFormat/>
    <w:uiPriority w:val="99"/>
    <w:pPr>
      <w:widowControl w:val="0"/>
      <w:wordWrap w:val="0"/>
      <w:spacing w:before="50"/>
      <w:jc w:val="both"/>
    </w:pPr>
    <w:rPr>
      <w:rFonts w:ascii="Times New Roman" w:hAnsi="Times New Roman" w:eastAsia="Batang" w:cs="Times New Roman"/>
      <w:lang w:val="en-US" w:eastAsia="zh-CN" w:bidi="ar-SA"/>
    </w:rPr>
  </w:style>
  <w:style w:type="paragraph" w:customStyle="1" w:styleId="74">
    <w:name w:val="ParaAttribute8"/>
    <w:qFormat/>
    <w:uiPriority w:val="99"/>
    <w:pPr>
      <w:widowControl w:val="0"/>
      <w:wordWrap w:val="0"/>
      <w:spacing w:before="50"/>
      <w:ind w:left="993"/>
      <w:jc w:val="both"/>
    </w:pPr>
    <w:rPr>
      <w:rFonts w:ascii="Times New Roman" w:hAnsi="Times New Roman" w:eastAsia="Batang" w:cs="Times New Roman"/>
      <w:lang w:val="en-US" w:eastAsia="zh-CN" w:bidi="ar-SA"/>
    </w:rPr>
  </w:style>
  <w:style w:type="paragraph" w:customStyle="1" w:styleId="75">
    <w:name w:val="ParaAttribute10"/>
    <w:qFormat/>
    <w:uiPriority w:val="99"/>
    <w:pPr>
      <w:widowControl w:val="0"/>
      <w:wordWrap w:val="0"/>
      <w:ind w:left="491"/>
      <w:jc w:val="both"/>
    </w:pPr>
    <w:rPr>
      <w:rFonts w:ascii="Times New Roman" w:hAnsi="Times New Roman" w:eastAsia="Batang" w:cs="Times New Roman"/>
      <w:lang w:val="en-US" w:eastAsia="zh-CN" w:bidi="ar-SA"/>
    </w:rPr>
  </w:style>
  <w:style w:type="paragraph" w:customStyle="1" w:styleId="76">
    <w:name w:val="ParaAttribute22"/>
    <w:qFormat/>
    <w:uiPriority w:val="99"/>
    <w:pPr>
      <w:widowControl w:val="0"/>
      <w:wordWrap w:val="0"/>
      <w:spacing w:before="50"/>
      <w:ind w:left="2340"/>
      <w:jc w:val="both"/>
    </w:pPr>
    <w:rPr>
      <w:rFonts w:ascii="Times New Roman" w:hAnsi="Times New Roman" w:eastAsia="Batang" w:cs="Times New Roman"/>
      <w:lang w:val="en-US" w:eastAsia="zh-CN" w:bidi="ar-SA"/>
    </w:rPr>
  </w:style>
  <w:style w:type="character" w:customStyle="1" w:styleId="77">
    <w:name w:val="CharAttribute4"/>
    <w:qFormat/>
    <w:uiPriority w:val="99"/>
    <w:rPr>
      <w:rFonts w:ascii="Arial Narrow" w:eastAsia="仿宋_GB2312"/>
      <w:sz w:val="21"/>
    </w:rPr>
  </w:style>
  <w:style w:type="character" w:customStyle="1" w:styleId="78">
    <w:name w:val="CharAttribute7"/>
    <w:qFormat/>
    <w:uiPriority w:val="99"/>
    <w:rPr>
      <w:rFonts w:ascii="Times New Roman" w:eastAsia="宋体"/>
      <w:sz w:val="21"/>
    </w:rPr>
  </w:style>
  <w:style w:type="character" w:customStyle="1" w:styleId="79">
    <w:name w:val="CharAttribute9"/>
    <w:qFormat/>
    <w:uiPriority w:val="99"/>
    <w:rPr>
      <w:rFonts w:ascii="Arial" w:eastAsia="宋体"/>
      <w:sz w:val="21"/>
    </w:rPr>
  </w:style>
  <w:style w:type="character" w:customStyle="1" w:styleId="80">
    <w:name w:val="CharAttribute11"/>
    <w:qFormat/>
    <w:uiPriority w:val="99"/>
    <w:rPr>
      <w:rFonts w:ascii="长城大标宋体" w:eastAsia="Times New Roman"/>
      <w:sz w:val="21"/>
    </w:rPr>
  </w:style>
  <w:style w:type="character" w:customStyle="1" w:styleId="81">
    <w:name w:val="CharAttribute12"/>
    <w:qFormat/>
    <w:uiPriority w:val="99"/>
    <w:rPr>
      <w:rFonts w:ascii="Arial Narrow" w:eastAsia="Times New Roman"/>
      <w:sz w:val="21"/>
    </w:rPr>
  </w:style>
  <w:style w:type="character" w:customStyle="1" w:styleId="82">
    <w:name w:val="CharAttribute14"/>
    <w:qFormat/>
    <w:uiPriority w:val="99"/>
    <w:rPr>
      <w:rFonts w:ascii="仿宋_GB2312" w:eastAsia="仿宋_GB2312"/>
      <w:sz w:val="21"/>
    </w:rPr>
  </w:style>
  <w:style w:type="character" w:customStyle="1" w:styleId="83">
    <w:name w:val="CharAttribute18"/>
    <w:qFormat/>
    <w:uiPriority w:val="99"/>
    <w:rPr>
      <w:rFonts w:ascii="仿宋_GB2312" w:eastAsia="仿宋_GB2312"/>
      <w:sz w:val="24"/>
    </w:rPr>
  </w:style>
  <w:style w:type="character" w:customStyle="1" w:styleId="84">
    <w:name w:val="MAICO Bold Zchn"/>
    <w:basedOn w:val="38"/>
    <w:link w:val="85"/>
    <w:qFormat/>
    <w:locked/>
    <w:uiPriority w:val="99"/>
    <w:rPr>
      <w:rFonts w:ascii="FrutBold" w:hAnsi="FrutBold" w:cs="Times New Roman"/>
      <w:kern w:val="2"/>
      <w:sz w:val="28"/>
      <w:szCs w:val="28"/>
      <w:lang w:val="en-GB"/>
    </w:rPr>
  </w:style>
  <w:style w:type="paragraph" w:customStyle="1" w:styleId="85">
    <w:name w:val="MAICO Bold"/>
    <w:basedOn w:val="1"/>
    <w:link w:val="84"/>
    <w:qFormat/>
    <w:uiPriority w:val="99"/>
    <w:pPr>
      <w:widowControl/>
      <w:tabs>
        <w:tab w:val="left" w:pos="709"/>
        <w:tab w:val="right" w:pos="1701"/>
      </w:tabs>
      <w:ind w:right="112"/>
      <w:jc w:val="left"/>
    </w:pPr>
    <w:rPr>
      <w:rFonts w:ascii="FrutBold" w:hAnsi="FrutBold"/>
      <w:sz w:val="28"/>
      <w:szCs w:val="28"/>
      <w:lang w:val="en-GB"/>
    </w:rPr>
  </w:style>
  <w:style w:type="character" w:customStyle="1" w:styleId="86">
    <w:name w:val="MAICO light Zchn"/>
    <w:basedOn w:val="38"/>
    <w:link w:val="87"/>
    <w:qFormat/>
    <w:locked/>
    <w:uiPriority w:val="99"/>
    <w:rPr>
      <w:rFonts w:ascii="华文仿宋" w:hAnsi="华文仿宋" w:eastAsia="华文仿宋" w:cs="Times New Roman"/>
      <w:b/>
      <w:kern w:val="2"/>
      <w:sz w:val="28"/>
      <w:szCs w:val="28"/>
      <w:lang w:val="en-GB"/>
    </w:rPr>
  </w:style>
  <w:style w:type="paragraph" w:customStyle="1" w:styleId="87">
    <w:name w:val="MAICO light"/>
    <w:basedOn w:val="1"/>
    <w:link w:val="86"/>
    <w:qFormat/>
    <w:uiPriority w:val="99"/>
    <w:pPr>
      <w:widowControl/>
      <w:spacing w:line="360" w:lineRule="auto"/>
      <w:ind w:firstLine="561" w:firstLineChars="200"/>
    </w:pPr>
    <w:rPr>
      <w:rFonts w:ascii="华文仿宋" w:hAnsi="华文仿宋" w:eastAsia="华文仿宋"/>
      <w:b/>
      <w:sz w:val="28"/>
      <w:szCs w:val="28"/>
      <w:lang w:val="en-GB"/>
    </w:rPr>
  </w:style>
  <w:style w:type="paragraph" w:customStyle="1" w:styleId="88">
    <w:name w:val="p22"/>
    <w:basedOn w:val="1"/>
    <w:qFormat/>
    <w:uiPriority w:val="99"/>
    <w:pPr>
      <w:widowControl/>
      <w:spacing w:line="360" w:lineRule="auto"/>
      <w:ind w:left="720"/>
      <w:jc w:val="left"/>
    </w:pPr>
    <w:rPr>
      <w:rFonts w:ascii="Verdana" w:hAnsi="Verdana" w:cs="宋体"/>
      <w:kern w:val="0"/>
      <w:sz w:val="24"/>
    </w:rPr>
  </w:style>
  <w:style w:type="paragraph" w:customStyle="1" w:styleId="89">
    <w:name w:val="Default"/>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character" w:customStyle="1" w:styleId="90">
    <w:name w:val="批注框文本 字符"/>
    <w:basedOn w:val="38"/>
    <w:link w:val="21"/>
    <w:qFormat/>
    <w:locked/>
    <w:uiPriority w:val="99"/>
    <w:rPr>
      <w:rFonts w:cs="Times New Roman"/>
      <w:kern w:val="2"/>
      <w:sz w:val="18"/>
      <w:szCs w:val="18"/>
    </w:rPr>
  </w:style>
  <w:style w:type="paragraph" w:customStyle="1" w:styleId="91">
    <w:name w:val="Char Char3 Char Char"/>
    <w:basedOn w:val="1"/>
    <w:qFormat/>
    <w:uiPriority w:val="99"/>
    <w:rPr>
      <w:rFonts w:ascii="Tahoma" w:hAnsi="Tahoma"/>
      <w:sz w:val="24"/>
      <w:szCs w:val="20"/>
    </w:rPr>
  </w:style>
  <w:style w:type="paragraph" w:customStyle="1" w:styleId="92">
    <w:name w:val="正文 A"/>
    <w:qFormat/>
    <w:uiPriority w:val="0"/>
    <w:pPr>
      <w:widowControl w:val="0"/>
      <w:jc w:val="both"/>
    </w:pPr>
    <w:rPr>
      <w:rFonts w:ascii="Arial Unicode MS" w:hAnsi="Arial Unicode MS" w:eastAsia="Times New Roman" w:cs="Arial Unicode MS"/>
      <w:color w:val="000000"/>
      <w:kern w:val="2"/>
      <w:sz w:val="21"/>
      <w:szCs w:val="21"/>
      <w:u w:color="000000"/>
      <w:lang w:val="en-US" w:eastAsia="zh-CN" w:bidi="ar-SA"/>
    </w:rPr>
  </w:style>
  <w:style w:type="paragraph" w:customStyle="1" w:styleId="93">
    <w:name w:val="默认段落字体 Para Char Char Char Char"/>
    <w:basedOn w:val="1"/>
    <w:qFormat/>
    <w:uiPriority w:val="99"/>
    <w:rPr>
      <w:szCs w:val="21"/>
    </w:rPr>
  </w:style>
  <w:style w:type="paragraph" w:customStyle="1" w:styleId="94">
    <w:name w:val="p0"/>
    <w:qFormat/>
    <w:uiPriority w:val="0"/>
    <w:rPr>
      <w:rFonts w:ascii="Times New Roman" w:hAnsi="Times New Roman" w:eastAsia="宋体" w:cs="Times New Roman"/>
      <w:szCs w:val="21"/>
      <w:lang w:val="en-US" w:eastAsia="zh-CN" w:bidi="ar-SA"/>
    </w:rPr>
  </w:style>
  <w:style w:type="character" w:customStyle="1" w:styleId="95">
    <w:name w:val="mark"/>
    <w:basedOn w:val="38"/>
    <w:qFormat/>
    <w:uiPriority w:val="0"/>
  </w:style>
  <w:style w:type="paragraph" w:customStyle="1" w:styleId="96">
    <w:name w:val="ITB-0"/>
    <w:basedOn w:val="1"/>
    <w:qFormat/>
    <w:uiPriority w:val="0"/>
    <w:pPr>
      <w:adjustRightInd w:val="0"/>
      <w:jc w:val="center"/>
      <w:textAlignment w:val="baseline"/>
    </w:pPr>
    <w:rPr>
      <w:b/>
      <w:sz w:val="32"/>
      <w:szCs w:val="20"/>
    </w:rPr>
  </w:style>
  <w:style w:type="character" w:customStyle="1" w:styleId="97">
    <w:name w:val="bot_zi"/>
    <w:basedOn w:val="38"/>
    <w:qFormat/>
    <w:uiPriority w:val="0"/>
  </w:style>
  <w:style w:type="character" w:customStyle="1" w:styleId="98">
    <w:name w:val="font31"/>
    <w:basedOn w:val="38"/>
    <w:qFormat/>
    <w:uiPriority w:val="0"/>
    <w:rPr>
      <w:rFonts w:hint="eastAsia" w:ascii="宋体" w:hAnsi="宋体" w:eastAsia="宋体" w:cs="宋体"/>
      <w:color w:val="000000"/>
      <w:sz w:val="24"/>
      <w:szCs w:val="24"/>
      <w:u w:val="none"/>
    </w:rPr>
  </w:style>
  <w:style w:type="paragraph" w:customStyle="1" w:styleId="99">
    <w:name w:val="s3"/>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s7"/>
    <w:basedOn w:val="1"/>
    <w:qFormat/>
    <w:uiPriority w:val="0"/>
    <w:pPr>
      <w:widowControl/>
      <w:spacing w:before="100" w:beforeAutospacing="1" w:after="100" w:afterAutospacing="1"/>
      <w:jc w:val="left"/>
    </w:pPr>
    <w:rPr>
      <w:rFonts w:ascii="宋体" w:hAnsi="宋体" w:cs="宋体"/>
      <w:kern w:val="0"/>
      <w:sz w:val="24"/>
    </w:rPr>
  </w:style>
  <w:style w:type="character" w:customStyle="1" w:styleId="101">
    <w:name w:val="bumpedfont15"/>
    <w:basedOn w:val="38"/>
    <w:qFormat/>
    <w:uiPriority w:val="0"/>
  </w:style>
  <w:style w:type="character" w:customStyle="1" w:styleId="102">
    <w:name w:val="bumpedfont20"/>
    <w:basedOn w:val="38"/>
    <w:qFormat/>
    <w:uiPriority w:val="0"/>
  </w:style>
  <w:style w:type="character" w:customStyle="1" w:styleId="103">
    <w:name w:val="标题一级 Char"/>
    <w:link w:val="104"/>
    <w:qFormat/>
    <w:uiPriority w:val="0"/>
    <w:rPr>
      <w:rFonts w:ascii="宋体" w:hAnsi="宋体"/>
      <w:b/>
      <w:kern w:val="2"/>
      <w:sz w:val="21"/>
      <w:szCs w:val="21"/>
    </w:rPr>
  </w:style>
  <w:style w:type="paragraph" w:customStyle="1" w:styleId="104">
    <w:name w:val="标题一级"/>
    <w:basedOn w:val="1"/>
    <w:link w:val="103"/>
    <w:qFormat/>
    <w:uiPriority w:val="0"/>
    <w:pPr>
      <w:ind w:left="422"/>
    </w:pPr>
    <w:rPr>
      <w:rFonts w:ascii="宋体" w:hAnsi="宋体"/>
      <w:b/>
      <w:szCs w:val="21"/>
    </w:rPr>
  </w:style>
  <w:style w:type="paragraph" w:customStyle="1" w:styleId="105">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6">
    <w:name w:val="列出段落 字符"/>
    <w:link w:val="64"/>
    <w:qFormat/>
    <w:uiPriority w:val="34"/>
    <w:rPr>
      <w:rFonts w:ascii="Calibri" w:hAnsi="Calibri" w:eastAsia="宋体"/>
      <w:kern w:val="2"/>
      <w:sz w:val="21"/>
      <w:szCs w:val="22"/>
    </w:rPr>
  </w:style>
  <w:style w:type="character" w:customStyle="1" w:styleId="107">
    <w:name w:val="正文首行缩进 字符"/>
    <w:basedOn w:val="62"/>
    <w:link w:val="34"/>
    <w:qFormat/>
    <w:uiPriority w:val="0"/>
    <w:rPr>
      <w:rFonts w:ascii="宋体" w:cs="Times New Roman"/>
      <w:kern w:val="2"/>
      <w:sz w:val="21"/>
      <w:szCs w:val="24"/>
    </w:rPr>
  </w:style>
  <w:style w:type="character" w:customStyle="1" w:styleId="108">
    <w:name w:val="批注文字 字符"/>
    <w:basedOn w:val="38"/>
    <w:link w:val="9"/>
    <w:qFormat/>
    <w:uiPriority w:val="99"/>
    <w:rPr>
      <w:kern w:val="2"/>
      <w:sz w:val="21"/>
      <w:szCs w:val="24"/>
    </w:rPr>
  </w:style>
  <w:style w:type="character" w:customStyle="1" w:styleId="109">
    <w:name w:val="批注主题 字符"/>
    <w:basedOn w:val="108"/>
    <w:link w:val="33"/>
    <w:semiHidden/>
    <w:qFormat/>
    <w:uiPriority w:val="99"/>
    <w:rPr>
      <w:b/>
      <w:bCs/>
      <w:kern w:val="2"/>
      <w:sz w:val="21"/>
      <w:szCs w:val="24"/>
    </w:rPr>
  </w:style>
  <w:style w:type="character" w:customStyle="1" w:styleId="110">
    <w:name w:val="未处理的提及1"/>
    <w:basedOn w:val="38"/>
    <w:semiHidden/>
    <w:unhideWhenUsed/>
    <w:qFormat/>
    <w:uiPriority w:val="99"/>
    <w:rPr>
      <w:color w:val="605E5C"/>
      <w:shd w:val="clear" w:color="auto" w:fill="E1DFDD"/>
    </w:rPr>
  </w:style>
  <w:style w:type="character" w:customStyle="1" w:styleId="111">
    <w:name w:val="cf01"/>
    <w:basedOn w:val="38"/>
    <w:qFormat/>
    <w:uiPriority w:val="0"/>
    <w:rPr>
      <w:rFonts w:hint="eastAsia" w:ascii="Microsoft YaHei UI" w:hAnsi="Microsoft YaHei UI" w:eastAsia="Microsoft YaHei UI"/>
      <w:sz w:val="18"/>
      <w:szCs w:val="18"/>
    </w:rPr>
  </w:style>
  <w:style w:type="paragraph" w:customStyle="1" w:styleId="112">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113">
    <w:name w:val="cf11"/>
    <w:basedOn w:val="38"/>
    <w:qFormat/>
    <w:uiPriority w:val="0"/>
    <w:rPr>
      <w:rFonts w:hint="eastAsia" w:ascii="Microsoft YaHei UI" w:hAnsi="Microsoft YaHei UI" w:eastAsia="Microsoft YaHei UI"/>
      <w:sz w:val="18"/>
      <w:szCs w:val="18"/>
    </w:rPr>
  </w:style>
  <w:style w:type="paragraph" w:customStyle="1" w:styleId="114">
    <w:name w:val="B正文"/>
    <w:basedOn w:val="1"/>
    <w:qFormat/>
    <w:uiPriority w:val="0"/>
    <w:pPr>
      <w:spacing w:line="500" w:lineRule="exact"/>
      <w:ind w:firstLine="560" w:firstLineChars="200"/>
    </w:pPr>
    <w:rPr>
      <w:rFonts w:ascii="Calibri" w:hAnsi="Calibri" w:eastAsiaTheme="minorEastAsia" w:cstheme="minorBidi"/>
      <w:sz w:val="28"/>
    </w:rPr>
  </w:style>
  <w:style w:type="paragraph" w:customStyle="1" w:styleId="115">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116">
    <w:name w:val="B2"/>
    <w:basedOn w:val="4"/>
    <w:qFormat/>
    <w:uiPriority w:val="0"/>
    <w:pPr>
      <w:keepLines/>
      <w:numPr>
        <w:ilvl w:val="0"/>
        <w:numId w:val="0"/>
      </w:numPr>
      <w:adjustRightInd w:val="0"/>
      <w:snapToGrid w:val="0"/>
      <w:spacing w:line="360" w:lineRule="auto"/>
      <w:jc w:val="both"/>
    </w:pPr>
    <w:rPr>
      <w:rFonts w:ascii="宋体" w:hAnsi="宋体" w:eastAsia="宋体" w:cs="Arial"/>
      <w:b/>
      <w:kern w:val="0"/>
      <w:sz w:val="21"/>
    </w:rPr>
  </w:style>
  <w:style w:type="paragraph" w:customStyle="1" w:styleId="117">
    <w:name w:val="列表段落1"/>
    <w:basedOn w:val="1"/>
    <w:qFormat/>
    <w:uiPriority w:val="0"/>
    <w:pPr>
      <w:ind w:firstLine="420" w:firstLineChars="200"/>
    </w:pPr>
    <w:rPr>
      <w:rFonts w:ascii="Calibri" w:hAnsi="Calibri" w:eastAsiaTheme="minorEastAsia" w:cstheme="minorBidi"/>
      <w:szCs w:val="22"/>
      <w14:ligatures w14:val="standardContextual"/>
    </w:rPr>
  </w:style>
  <w:style w:type="character" w:customStyle="1" w:styleId="118">
    <w:name w:val="未处理的提及2"/>
    <w:basedOn w:val="38"/>
    <w:semiHidden/>
    <w:unhideWhenUsed/>
    <w:qFormat/>
    <w:uiPriority w:val="99"/>
    <w:rPr>
      <w:color w:val="605E5C"/>
      <w:shd w:val="clear" w:color="auto" w:fill="E1DFDD"/>
    </w:rPr>
  </w:style>
  <w:style w:type="paragraph" w:customStyle="1" w:styleId="119">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eastAsiaTheme="minorEastAsia"/>
      <w:b/>
      <w:bCs/>
      <w:snapToGrid w:val="0"/>
      <w:color w:val="000000"/>
      <w:kern w:val="0"/>
      <w:sz w:val="24"/>
    </w:rPr>
  </w:style>
  <w:style w:type="table" w:customStyle="1" w:styleId="120">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121">
    <w:name w:val="未处理的提及3"/>
    <w:basedOn w:val="38"/>
    <w:semiHidden/>
    <w:unhideWhenUsed/>
    <w:qFormat/>
    <w:uiPriority w:val="99"/>
    <w:rPr>
      <w:color w:val="605E5C"/>
      <w:shd w:val="clear" w:color="auto" w:fill="E1DFDD"/>
    </w:rPr>
  </w:style>
  <w:style w:type="paragraph" w:customStyle="1" w:styleId="122">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123">
    <w:name w:val="信息标题 字符"/>
    <w:basedOn w:val="38"/>
    <w:link w:val="30"/>
    <w:semiHidden/>
    <w:qFormat/>
    <w:uiPriority w:val="99"/>
    <w:rPr>
      <w:rFonts w:asciiTheme="majorHAnsi" w:hAnsiTheme="majorHAnsi" w:eastAsiaTheme="majorEastAsia" w:cstheme="majorBidi"/>
      <w:kern w:val="2"/>
      <w:sz w:val="24"/>
      <w:szCs w:val="24"/>
      <w:shd w:val="pct20" w:color="auto" w:fill="auto"/>
    </w:rPr>
  </w:style>
  <w:style w:type="character" w:customStyle="1" w:styleId="124">
    <w:name w:val="未处理的提及4"/>
    <w:basedOn w:val="38"/>
    <w:semiHidden/>
    <w:unhideWhenUsed/>
    <w:qFormat/>
    <w:uiPriority w:val="99"/>
    <w:rPr>
      <w:color w:val="605E5C"/>
      <w:shd w:val="clear" w:color="auto" w:fill="E1DFDD"/>
    </w:rPr>
  </w:style>
  <w:style w:type="paragraph" w:customStyle="1" w:styleId="125">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126">
    <w:name w:val="未处理的提及5"/>
    <w:basedOn w:val="38"/>
    <w:semiHidden/>
    <w:unhideWhenUsed/>
    <w:qFormat/>
    <w:uiPriority w:val="99"/>
    <w:rPr>
      <w:color w:val="605E5C"/>
      <w:shd w:val="clear" w:color="auto" w:fill="E1DFDD"/>
    </w:rPr>
  </w:style>
  <w:style w:type="character" w:customStyle="1" w:styleId="127">
    <w:name w:val="未处理的提及6"/>
    <w:basedOn w:val="38"/>
    <w:semiHidden/>
    <w:unhideWhenUsed/>
    <w:qFormat/>
    <w:uiPriority w:val="99"/>
    <w:rPr>
      <w:color w:val="605E5C"/>
      <w:shd w:val="clear" w:color="auto" w:fill="E1DFDD"/>
    </w:rPr>
  </w:style>
  <w:style w:type="character" w:customStyle="1" w:styleId="128">
    <w:name w:val="未处理的提及7"/>
    <w:basedOn w:val="38"/>
    <w:semiHidden/>
    <w:unhideWhenUsed/>
    <w:qFormat/>
    <w:uiPriority w:val="99"/>
    <w:rPr>
      <w:color w:val="605E5C"/>
      <w:shd w:val="clear" w:color="auto" w:fill="E1DFDD"/>
    </w:rPr>
  </w:style>
  <w:style w:type="paragraph" w:customStyle="1" w:styleId="129">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130">
    <w:name w:val="未处理的提及8"/>
    <w:basedOn w:val="38"/>
    <w:semiHidden/>
    <w:unhideWhenUsed/>
    <w:qFormat/>
    <w:uiPriority w:val="99"/>
    <w:rPr>
      <w:color w:val="605E5C"/>
      <w:shd w:val="clear" w:color="auto" w:fill="E1DFDD"/>
    </w:rPr>
  </w:style>
  <w:style w:type="paragraph" w:customStyle="1" w:styleId="131">
    <w:name w:val="null3"/>
    <w:qFormat/>
    <w:uiPriority w:val="0"/>
    <w:rPr>
      <w:rFonts w:hint="eastAsia" w:ascii="Calibri" w:hAnsi="Calibri" w:eastAsia="宋体" w:cs="Times New Roman"/>
      <w:lang w:val="en-US" w:eastAsia="zh-Hans" w:bidi="ar-SA"/>
    </w:rPr>
  </w:style>
  <w:style w:type="paragraph" w:customStyle="1" w:styleId="132">
    <w:name w:val="正文1"/>
    <w:basedOn w:val="1"/>
    <w:qFormat/>
    <w:uiPriority w:val="99"/>
    <w:pPr>
      <w:widowControl/>
      <w:jc w:val="left"/>
    </w:pPr>
    <w:rPr>
      <w:rFonts w:ascii="CG Times (WN)" w:hAnsi="CG Times (WN)"/>
      <w:kern w:val="0"/>
      <w:sz w:val="20"/>
      <w:szCs w:val="20"/>
      <w:lang w:val="it-IT"/>
    </w:rPr>
  </w:style>
  <w:style w:type="paragraph" w:customStyle="1" w:styleId="133">
    <w:name w:val="缺省文本"/>
    <w:basedOn w:val="1"/>
    <w:qFormat/>
    <w:uiPriority w:val="0"/>
    <w:pPr>
      <w:jc w:val="left"/>
    </w:pPr>
    <w:rPr>
      <w:kern w:val="0"/>
      <w:szCs w:val="20"/>
    </w:rPr>
  </w:style>
  <w:style w:type="paragraph" w:customStyle="1" w:styleId="134">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135">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136">
    <w:name w:val="索引 411"/>
    <w:basedOn w:val="1"/>
    <w:next w:val="1"/>
    <w:unhideWhenUsed/>
    <w:qFormat/>
    <w:uiPriority w:val="99"/>
    <w:pPr>
      <w:ind w:left="600"/>
    </w:pPr>
    <w:rPr>
      <w:rFonts w:ascii="Verdana" w:hAnsi="Verdana"/>
      <w:szCs w:val="20"/>
    </w:rPr>
  </w:style>
  <w:style w:type="paragraph" w:customStyle="1" w:styleId="137">
    <w:name w:val="正文文本1"/>
    <w:basedOn w:val="1"/>
    <w:qFormat/>
    <w:uiPriority w:val="99"/>
    <w:pPr>
      <w:jc w:val="center"/>
    </w:pPr>
    <w:rPr>
      <w:rFonts w:eastAsia="幼圆"/>
      <w:b/>
      <w:bCs/>
      <w:sz w:val="44"/>
    </w:rPr>
  </w:style>
  <w:style w:type="paragraph" w:customStyle="1" w:styleId="138">
    <w:name w:val="标题 31"/>
    <w:basedOn w:val="1"/>
    <w:next w:val="139"/>
    <w:qFormat/>
    <w:uiPriority w:val="0"/>
    <w:pPr>
      <w:keepNext/>
      <w:keepLines/>
      <w:spacing w:line="440" w:lineRule="exact"/>
      <w:jc w:val="left"/>
      <w:outlineLvl w:val="2"/>
    </w:pPr>
    <w:rPr>
      <w:b/>
      <w:bCs/>
      <w:szCs w:val="32"/>
    </w:rPr>
  </w:style>
  <w:style w:type="paragraph" w:customStyle="1" w:styleId="139">
    <w:name w:val="正文缩进1"/>
    <w:basedOn w:val="1"/>
    <w:qFormat/>
    <w:uiPriority w:val="0"/>
    <w:pPr>
      <w:spacing w:line="360" w:lineRule="atLeast"/>
      <w:ind w:firstLine="420"/>
      <w:jc w:val="left"/>
    </w:pPr>
    <w:rPr>
      <w:szCs w:val="21"/>
    </w:rPr>
  </w:style>
  <w:style w:type="paragraph" w:customStyle="1" w:styleId="140">
    <w:name w:val="索引 41"/>
    <w:basedOn w:val="1"/>
    <w:next w:val="1"/>
    <w:qFormat/>
    <w:uiPriority w:val="0"/>
    <w:pPr>
      <w:ind w:left="840" w:hanging="210"/>
      <w:jc w:val="left"/>
    </w:pPr>
    <w:rPr>
      <w:sz w:val="20"/>
    </w:rPr>
  </w:style>
  <w:style w:type="paragraph" w:customStyle="1" w:styleId="141">
    <w:name w:val="首行缩进"/>
    <w:basedOn w:val="1"/>
    <w:qFormat/>
    <w:uiPriority w:val="99"/>
    <w:pPr>
      <w:spacing w:line="360" w:lineRule="auto"/>
      <w:ind w:firstLine="480"/>
      <w:jc w:val="left"/>
    </w:pPr>
    <w:rPr>
      <w:rFonts w:ascii="宋体" w:hAnsi="宋体"/>
      <w:sz w:val="24"/>
    </w:rPr>
  </w:style>
  <w:style w:type="paragraph" w:customStyle="1" w:styleId="142">
    <w:name w:val="标题 21"/>
    <w:basedOn w:val="1"/>
    <w:next w:val="1"/>
    <w:qFormat/>
    <w:uiPriority w:val="1"/>
    <w:pPr>
      <w:keepNext/>
      <w:keepLines/>
      <w:numPr>
        <w:ilvl w:val="1"/>
        <w:numId w:val="3"/>
      </w:numPr>
      <w:spacing w:before="260" w:after="260" w:line="416" w:lineRule="auto"/>
      <w:outlineLvl w:val="1"/>
    </w:pPr>
    <w:rPr>
      <w:rFonts w:ascii="黑体" w:hAnsi="黑体"/>
      <w:b/>
      <w:bCs/>
      <w:sz w:val="24"/>
      <w:szCs w:val="36"/>
    </w:rPr>
  </w:style>
  <w:style w:type="paragraph" w:customStyle="1" w:styleId="143">
    <w:name w:val="Table Paragraph"/>
    <w:basedOn w:val="1"/>
    <w:qFormat/>
    <w:uiPriority w:val="1"/>
    <w:pPr>
      <w:jc w:val="left"/>
    </w:pPr>
    <w:rPr>
      <w:rFonts w:eastAsia="Calibri"/>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F383F087-B245-4578-85DB-FB32D052F7CC}">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59</Pages>
  <Words>9207</Words>
  <Characters>10031</Characters>
  <Lines>233</Lines>
  <Paragraphs>65</Paragraphs>
  <TotalTime>123</TotalTime>
  <ScaleCrop>false</ScaleCrop>
  <LinksUpToDate>false</LinksUpToDate>
  <CharactersWithSpaces>10130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2026-09-17T03:05:00Z</dcterms:created>
  <dc:creator>yaoyi</dc:creator>
  <cp:lastModifiedBy>苍盛</cp:lastModifiedBy>
  <cp:lastPrinted>2026-06-30T02:24:00Z</cp:lastPrinted>
  <dcterms:modified xsi:type="dcterms:W3CDTF">2026-10-30T06:45:53Z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eyJoZGlkIjoiNmMxOTFjNTVkNmFjMGE3YmUyMWIzZDVhZGVmNGUyZDQiLCJ1c2VySWQiOiI1ODkxNjMwMTYifQ==</vt:lpwstr>
  </property>
  <property fmtid="{D5CDD505-2E9C-101B-9397-08002B2CF9AE}" pid="3" name="KSOProductBuildVer">
    <vt:lpwstr>2052-12.1.0.24034</vt:lpwstr>
  </property>
  <property fmtid="{D5CDD505-2E9C-101B-9397-08002B2CF9AE}" pid="4" name="ICV">
    <vt:lpwstr>CB03555B0E06415C9175303B3F0C3127_13</vt:lpwstr>
  </property>
</Properties>
</file>