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0"/>
        <w:ind w:firstLine="300"/>
        <w:spacing w:line="360" w:lineRule="auto"/>
        <w:rPr>
          <w:sz w:val="60"/>
          <w:szCs w:val="60"/>
          <w:highlight w:val="none"/>
        </w:rPr>
      </w:pPr>
      <w:r>
        <w:rPr>
          <w:sz w:val="60"/>
          <w:szCs w:val="60"/>
          <w:highlight w:val="none"/>
        </w:rPr>
      </w:r>
      <w:r/>
    </w:p>
    <w:p>
      <w:pPr>
        <w:pStyle w:val="1030"/>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0"/>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0"/>
        <w:jc w:val="center"/>
        <w:rPr>
          <w:b/>
          <w:bCs/>
          <w:sz w:val="60"/>
          <w:szCs w:val="60"/>
          <w:highlight w:val="none"/>
        </w:rPr>
      </w:pPr>
      <w:r>
        <w:rPr>
          <w:b/>
          <w:bCs/>
          <w:sz w:val="60"/>
          <w:szCs w:val="60"/>
          <w:highlight w:val="none"/>
        </w:rPr>
      </w:r>
      <w:r/>
    </w:p>
    <w:p>
      <w:pPr>
        <w:pStyle w:val="1030"/>
        <w:jc w:val="center"/>
        <w:spacing w:line="360" w:lineRule="auto"/>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highlight w:val="none"/>
        </w:rPr>
      </w:pPr>
      <w:r>
        <w:rPr>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常州市金坛区第二轮土地承包到期后再延长30年工作技术服务项目</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项目编号/包号：JSZC-320413-JTHY-G2026-0013</w:t>
      </w:r>
      <w:r>
        <w:rPr>
          <w:rFonts w:ascii="宋体" w:hAnsi="宋体" w:cs="宋体"/>
          <w:bCs/>
          <w:sz w:val="32"/>
          <w:szCs w:val="32"/>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常州市金坛区农业农村局</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0"/>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0"/>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84"/>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08"/>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8"/>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8"/>
          <w:rFonts w:ascii="Times New Roman" w:hAnsi="Times New Roman"/>
          <w:highlight w:val="none"/>
        </w:rPr>
        <w:t xml:space="preserve">第三章   资</w:t>
      </w:r>
      <w:bookmarkStart w:id="1" w:name="_Hlt100754117"/>
      <w:r>
        <w:rPr>
          <w:rStyle w:val="1108"/>
          <w:rFonts w:ascii="Times New Roman" w:hAnsi="Times New Roman"/>
          <w:highlight w:val="none"/>
        </w:rPr>
        <w:t xml:space="preserve">格</w:t>
      </w:r>
      <w:bookmarkEnd w:id="1"/>
      <w:r>
        <w:rPr>
          <w:rStyle w:val="1108"/>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8"/>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8"/>
          <w:rFonts w:ascii="Times New Roman" w:hAnsi="Times New Roman"/>
          <w:highlight w:val="none"/>
        </w:rPr>
        <w:t xml:space="preserve">第五章   采购</w:t>
      </w:r>
      <w:bookmarkStart w:id="2" w:name="_Hlt100754103"/>
      <w:r/>
      <w:bookmarkStart w:id="3" w:name="_Hlt100754102"/>
      <w:r>
        <w:rPr>
          <w:rStyle w:val="1108"/>
          <w:rFonts w:ascii="Times New Roman" w:hAnsi="Times New Roman"/>
          <w:highlight w:val="none"/>
        </w:rPr>
        <w:t xml:space="preserve">需</w:t>
      </w:r>
      <w:bookmarkEnd w:id="2"/>
      <w:r/>
      <w:bookmarkEnd w:id="3"/>
      <w:r>
        <w:rPr>
          <w:rStyle w:val="1108"/>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8"/>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8"/>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0"/>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0"/>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2"/>
        <w:jc w:val="left"/>
        <w:spacing w:before="0" w:line="360" w:lineRule="auto"/>
        <w:rPr>
          <w:rFonts w:ascii="宋体" w:hAnsi="宋体" w:eastAsia="宋体"/>
          <w:sz w:val="21"/>
          <w:szCs w:val="21"/>
          <w:highlight w:val="none"/>
        </w:rPr>
      </w:pPr>
      <w:r/>
      <w:bookmarkStart w:id="5" w:name="_Toc28359002"/>
      <w:r/>
      <w:bookmarkStart w:id="6" w:name="_Toc28359079"/>
      <w:r/>
      <w:bookmarkStart w:id="7" w:name="_Toc35393621"/>
      <w:r/>
      <w:bookmarkStart w:id="8" w:name="_Toc35393790"/>
      <w:r/>
      <w:bookmarkStart w:id="9" w:name="_Hlk24379207"/>
      <w:r/>
      <w:bookmarkStart w:id="10" w:name="_Toc28359008"/>
      <w:r/>
      <w:bookmarkStart w:id="11" w:name="_Toc28359085"/>
      <w:r/>
      <w:bookmarkStart w:id="12" w:name="_Toc35393627"/>
      <w:r/>
      <w:bookmarkStart w:id="13" w:name="_Toc7145"/>
      <w:r/>
      <w:bookmarkStart w:id="14" w:name="_Toc35393796"/>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1.项目编号/包号：JSZC-320413-JTHY-G2026-0013</w:t>
      </w:r>
      <w:r>
        <w:rPr>
          <w:rFonts w:ascii="宋体" w:hAnsi="宋体"/>
          <w:szCs w:val="21"/>
          <w:highlight w:val="none"/>
        </w:rPr>
      </w:r>
      <w:r/>
    </w:p>
    <w:p>
      <w:pPr>
        <w:pStyle w:val="1030"/>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常州市金坛区第二轮土地承包到期后再延长30年工作技术服务项目</w:t>
      </w:r>
      <w:r>
        <w:rPr>
          <w:rFonts w:hint="eastAsia" w:ascii="宋体" w:hAnsi="宋体" w:eastAsia="宋体"/>
          <w:szCs w:val="21"/>
          <w:highlight w:val="none"/>
          <w:lang w:eastAsia="zh-CN"/>
        </w:rPr>
      </w:r>
      <w:r/>
    </w:p>
    <w:p>
      <w:pPr>
        <w:pStyle w:val="1030"/>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399万元</w:t>
      </w:r>
      <w:r>
        <w:rPr>
          <w:rFonts w:hint="eastAsia" w:ascii="宋体" w:hAnsi="宋体" w:cs="宋体"/>
          <w:highlight w:val="none"/>
        </w:rPr>
        <w:t xml:space="preserve">。</w:t>
      </w:r>
      <w:r>
        <w:rPr>
          <w:rFonts w:hint="eastAsia" w:ascii="宋体" w:hAnsi="宋体" w:cs="宋体"/>
          <w:highlight w:val="none"/>
        </w:rPr>
      </w:r>
      <w:r/>
    </w:p>
    <w:p>
      <w:pPr>
        <w:pStyle w:val="1030"/>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399万元</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01包：141万元；02包：135万元；03包：123万元。各个采购包</w:t>
      </w:r>
      <w:r>
        <w:rPr>
          <w:rFonts w:hint="eastAsia" w:ascii="宋体" w:hAnsi="宋体" w:cs="宋体"/>
          <w:bCs/>
          <w:szCs w:val="21"/>
          <w:highlight w:val="none"/>
        </w:rPr>
        <w:t xml:space="preserve">投标报价不得高于最高限价，否则作无效标处理。</w:t>
      </w:r>
      <w:r>
        <w:rPr>
          <w:rFonts w:hint="eastAsia" w:ascii="宋体" w:hAnsi="宋体"/>
          <w:szCs w:val="21"/>
          <w:highlight w:val="none"/>
        </w:rPr>
      </w:r>
      <w:r/>
    </w:p>
    <w:p>
      <w:pPr>
        <w:pStyle w:val="1030"/>
        <w:ind w:firstLine="420"/>
        <w:spacing w:line="360" w:lineRule="auto"/>
        <w:rPr>
          <w:rFonts w:hint="eastAsia" w:ascii="宋体" w:hAnsi="宋体" w:cs="宋体"/>
          <w:spacing w:val="2"/>
          <w:highlight w:val="none"/>
          <w:lang w:eastAsia="zh-CN"/>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cs="宋体"/>
          <w:spacing w:val="2"/>
          <w:highlight w:val="none"/>
          <w:lang w:eastAsia="zh-CN"/>
        </w:rPr>
      </w:r>
      <w:r/>
    </w:p>
    <w:tbl>
      <w:tblPr>
        <w:tblW w:w="50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759"/>
        <w:gridCol w:w="1079"/>
        <w:gridCol w:w="780"/>
        <w:gridCol w:w="4122"/>
      </w:tblGrid>
      <w:tr>
        <w:trPr>
          <w:trHeight w:val="658"/>
        </w:trPr>
        <w:tc>
          <w:tcPr>
            <w:tcW w:w="357"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包号</w:t>
            </w:r>
            <w:r>
              <w:rPr>
                <w:rFonts w:hint="eastAsia" w:ascii="宋体" w:hAnsi="宋体" w:eastAsia="宋体" w:cs="宋体"/>
                <w:bCs/>
                <w:sz w:val="21"/>
                <w:szCs w:val="21"/>
                <w:highlight w:val="none"/>
              </w:rPr>
            </w:r>
            <w:r/>
          </w:p>
        </w:tc>
        <w:tc>
          <w:tcPr>
            <w:tcW w:w="146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标的名称</w:t>
            </w:r>
            <w:r>
              <w:rPr>
                <w:rFonts w:hint="eastAsia" w:ascii="宋体" w:hAnsi="宋体" w:eastAsia="宋体" w:cs="宋体"/>
                <w:bCs/>
                <w:sz w:val="21"/>
                <w:szCs w:val="21"/>
                <w:highlight w:val="none"/>
              </w:rPr>
            </w:r>
            <w:r/>
          </w:p>
        </w:tc>
        <w:tc>
          <w:tcPr>
            <w:tcW w:w="573"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cs="宋体"/>
                <w:highlight w:val="none"/>
              </w:rPr>
              <w:t xml:space="preserve">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万元）</w:t>
            </w:r>
            <w:r>
              <w:rPr>
                <w:rFonts w:ascii="宋体" w:hAnsi="宋体" w:eastAsia="宋体" w:cs="宋体"/>
                <w:bCs/>
                <w:sz w:val="21"/>
                <w:szCs w:val="21"/>
                <w:highlight w:val="none"/>
                <w:lang w:val="en-US" w:eastAsia="zh-CN"/>
              </w:rPr>
            </w:r>
            <w:r/>
          </w:p>
        </w:tc>
        <w:tc>
          <w:tcPr>
            <w:tcW w:w="41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数量</w:t>
            </w:r>
            <w:r>
              <w:rPr>
                <w:rFonts w:hint="eastAsia" w:ascii="宋体" w:hAnsi="宋体" w:eastAsia="宋体" w:cs="宋体"/>
                <w:bCs/>
                <w:sz w:val="21"/>
                <w:szCs w:val="21"/>
                <w:highlight w:val="none"/>
              </w:rPr>
            </w:r>
            <w:r/>
          </w:p>
        </w:tc>
        <w:tc>
          <w:tcPr>
            <w:tcW w:w="2189"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简要技术需求或服务要求</w:t>
            </w:r>
            <w:r>
              <w:rPr>
                <w:rFonts w:hint="eastAsia" w:ascii="宋体" w:hAnsi="宋体" w:eastAsia="宋体" w:cs="宋体"/>
                <w:sz w:val="21"/>
                <w:szCs w:val="21"/>
                <w:highlight w:val="none"/>
              </w:rPr>
            </w:r>
            <w:r/>
          </w:p>
        </w:tc>
      </w:tr>
      <w:tr>
        <w:trPr>
          <w:trHeight w:val="635"/>
        </w:trPr>
        <w:tc>
          <w:tcPr>
            <w:tcW w:w="357"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0</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r>
            <w:r/>
          </w:p>
        </w:tc>
        <w:tc>
          <w:tcPr>
            <w:tcW w:w="1465"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（01包）</w:t>
            </w:r>
            <w:r>
              <w:rPr>
                <w:rFonts w:ascii="宋体" w:hAnsi="宋体" w:eastAsia="宋体" w:cs="宋体"/>
                <w:bCs/>
                <w:sz w:val="21"/>
                <w:szCs w:val="21"/>
                <w:highlight w:val="none"/>
                <w:lang w:val="en-US"/>
              </w:rPr>
            </w:r>
            <w:r/>
          </w:p>
        </w:tc>
        <w:tc>
          <w:tcPr>
            <w:tcW w:w="573"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141</w:t>
            </w:r>
            <w:r>
              <w:rPr>
                <w:rFonts w:ascii="宋体" w:hAnsi="宋体" w:eastAsia="宋体" w:cs="宋体"/>
                <w:bCs/>
                <w:sz w:val="21"/>
                <w:szCs w:val="21"/>
                <w:highlight w:val="none"/>
                <w:lang w:val="en-US" w:eastAsia="zh-CN"/>
              </w:rPr>
            </w:r>
            <w:r/>
          </w:p>
        </w:tc>
        <w:tc>
          <w:tcPr>
            <w:tcW w:w="41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4122"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SA"/>
              </w:rPr>
              <w:t xml:space="preserve">直溪镇（坞家村、西溪村、王甲村、巨村村、溪滨村、建昌村、井庄村、迪庄村、天湖村、新河村、吕坵村）、朱林镇（红旗圩村、朱林村、三星村、长兴村、唐王村、黄金村、龙溪村）、儒林镇（儒林村、湖头村、南社</w:t>
            </w:r>
            <w:r>
              <w:rPr>
                <w:rFonts w:hint="eastAsia" w:ascii="宋体" w:hAnsi="宋体" w:eastAsia="宋体" w:cs="宋体"/>
                <w:sz w:val="21"/>
                <w:szCs w:val="21"/>
                <w:highlight w:val="none"/>
                <w:lang w:val="en-US" w:eastAsia="zh-CN" w:bidi="ar-SA"/>
              </w:rPr>
              <w:t xml:space="preserve">村），共计21个村，约9.4</w:t>
            </w:r>
            <w:r>
              <w:rPr>
                <w:rFonts w:hint="eastAsia" w:ascii="宋体" w:hAnsi="宋体" w:eastAsia="宋体" w:cs="宋体"/>
                <w:sz w:val="21"/>
                <w:szCs w:val="21"/>
                <w:highlight w:val="none"/>
                <w:lang w:val="en-US" w:eastAsia="zh-CN" w:bidi="ar-SA"/>
              </w:rPr>
              <w:t xml:space="preserve">万亩土地的延包技术服务。另外，儒林镇还需要提供组集体土地所有权确权的技术服务。</w:t>
            </w:r>
            <w:r>
              <w:rPr>
                <w:rFonts w:hint="eastAsia" w:ascii="宋体" w:hAnsi="宋体" w:eastAsia="宋体" w:cs="宋体"/>
                <w:sz w:val="21"/>
                <w:szCs w:val="21"/>
                <w:highlight w:val="none"/>
                <w:lang w:eastAsia="zh-CN"/>
              </w:rPr>
            </w:r>
            <w:r/>
          </w:p>
        </w:tc>
      </w:tr>
      <w:tr>
        <w:trPr>
          <w:trHeight w:val="610"/>
        </w:trPr>
        <w:tc>
          <w:tcPr>
            <w:tcW w:w="357"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02</w:t>
            </w:r>
            <w:r>
              <w:rPr>
                <w:rFonts w:hint="eastAsia" w:ascii="宋体" w:hAnsi="宋体" w:eastAsia="宋体" w:cs="宋体"/>
                <w:bCs/>
                <w:sz w:val="21"/>
                <w:szCs w:val="21"/>
                <w:highlight w:val="none"/>
                <w:lang w:val="en-US" w:eastAsia="zh-CN"/>
              </w:rPr>
            </w:r>
            <w:r/>
          </w:p>
        </w:tc>
        <w:tc>
          <w:tcPr>
            <w:tcW w:w="146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（02包）</w:t>
            </w:r>
            <w:r>
              <w:rPr>
                <w:rFonts w:hint="eastAsia" w:ascii="宋体" w:hAnsi="宋体" w:eastAsia="宋体" w:cs="宋体"/>
                <w:bCs/>
                <w:sz w:val="21"/>
                <w:szCs w:val="21"/>
                <w:highlight w:val="none"/>
                <w:lang w:eastAsia="zh-CN"/>
              </w:rPr>
            </w:r>
            <w:r/>
          </w:p>
        </w:tc>
        <w:tc>
          <w:tcPr>
            <w:tcW w:w="573"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135</w:t>
            </w:r>
            <w:r>
              <w:rPr>
                <w:rFonts w:ascii="宋体" w:hAnsi="宋体" w:eastAsia="宋体" w:cs="宋体"/>
                <w:sz w:val="21"/>
                <w:szCs w:val="21"/>
                <w:highlight w:val="none"/>
                <w:u w:val="none"/>
                <w:lang w:val="en-US" w:eastAsia="zh-CN"/>
              </w:rPr>
            </w:r>
            <w:r/>
          </w:p>
        </w:tc>
        <w:tc>
          <w:tcPr>
            <w:tcW w:w="41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4122"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指前镇（庄阳村、东浦村、社头村、 建春村、解放村、芦溪村、丰产村、岳阳村、新河村、清水渎村）、西城街道（涑渎村、黄庄村）、东城街道（明星村）、儒林镇（五叶村、河下社区、柚山村），共计16个村，约9万亩</w:t>
            </w:r>
            <w:r>
              <w:rPr>
                <w:rFonts w:hint="eastAsia" w:ascii="宋体" w:hAnsi="宋体" w:cs="宋体"/>
                <w:sz w:val="21"/>
                <w:szCs w:val="21"/>
                <w:highlight w:val="none"/>
                <w:lang w:val="en-US" w:eastAsia="zh-CN" w:bidi="ar-SA"/>
              </w:rPr>
              <w:t xml:space="preserve">土地的延包技术</w:t>
            </w:r>
            <w:r>
              <w:rPr>
                <w:rFonts w:hint="eastAsia" w:ascii="宋体" w:hAnsi="宋体" w:eastAsia="宋体" w:cs="宋体"/>
                <w:sz w:val="21"/>
                <w:szCs w:val="21"/>
                <w:highlight w:val="none"/>
                <w:lang w:val="en-US" w:eastAsia="zh-CN" w:bidi="ar-SA"/>
              </w:rPr>
              <w:t xml:space="preserve">服务。另外，儒林镇还需要提供组集体土地所有权确权的技术服务。</w:t>
            </w:r>
            <w:r>
              <w:rPr>
                <w:rFonts w:hint="eastAsia" w:ascii="宋体" w:hAnsi="宋体" w:eastAsia="宋体" w:cs="宋体"/>
                <w:sz w:val="21"/>
                <w:szCs w:val="21"/>
                <w:highlight w:val="none"/>
                <w:lang w:val="en-US" w:eastAsia="zh-CN"/>
              </w:rPr>
            </w:r>
            <w:r/>
          </w:p>
        </w:tc>
      </w:tr>
      <w:tr>
        <w:trPr>
          <w:trHeight w:val="607"/>
        </w:trPr>
        <w:tc>
          <w:tcPr>
            <w:tcW w:w="357"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03</w:t>
            </w:r>
            <w:r>
              <w:rPr>
                <w:rFonts w:ascii="宋体" w:hAnsi="宋体" w:eastAsia="宋体" w:cs="宋体"/>
                <w:bCs/>
                <w:sz w:val="21"/>
                <w:szCs w:val="21"/>
                <w:highlight w:val="none"/>
                <w:lang w:val="en-US" w:eastAsia="zh-CN"/>
              </w:rPr>
            </w:r>
            <w:r/>
          </w:p>
        </w:tc>
        <w:tc>
          <w:tcPr>
            <w:tcW w:w="146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（03包）</w:t>
            </w:r>
            <w:r>
              <w:rPr>
                <w:rFonts w:hint="eastAsia" w:ascii="宋体" w:hAnsi="宋体" w:eastAsia="宋体" w:cs="Times New Roman"/>
                <w:szCs w:val="21"/>
                <w:highlight w:val="none"/>
                <w:lang w:eastAsia="zh-CN"/>
              </w:rPr>
            </w:r>
            <w:r/>
          </w:p>
        </w:tc>
        <w:tc>
          <w:tcPr>
            <w:tcW w:w="573"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123</w:t>
            </w:r>
            <w:r>
              <w:rPr>
                <w:rFonts w:ascii="宋体" w:hAnsi="宋体" w:eastAsia="宋体" w:cs="宋体"/>
                <w:sz w:val="21"/>
                <w:szCs w:val="21"/>
                <w:highlight w:val="none"/>
                <w:u w:val="none"/>
                <w:lang w:val="en-US" w:eastAsia="zh-CN"/>
              </w:rPr>
            </w:r>
            <w:r/>
          </w:p>
        </w:tc>
        <w:tc>
          <w:tcPr>
            <w:tcW w:w="41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4122"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金城镇（南瑶村、前庄村、 庄城村、沈渎村、元巷社区、白塔村 、后阳村、长竹埂村、联丰村）、尧塘街道（西华村、谢桥村、水东村、迎春村、汤庄社区、万新村、下庄村），共计16个村，约8.2万亩</w:t>
            </w:r>
            <w:r>
              <w:rPr>
                <w:rFonts w:hint="eastAsia" w:ascii="宋体" w:hAnsi="宋体" w:cs="宋体"/>
                <w:sz w:val="21"/>
                <w:szCs w:val="21"/>
                <w:highlight w:val="none"/>
                <w:lang w:val="en-US" w:eastAsia="zh-CN" w:bidi="ar-SA"/>
              </w:rPr>
              <w:t xml:space="preserve">土地的延包技术服务</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rPr>
            </w:r>
            <w:r/>
          </w:p>
        </w:tc>
      </w:tr>
    </w:tbl>
    <w:p>
      <w:pPr>
        <w:pStyle w:val="1030"/>
        <w:ind w:firstLine="422"/>
        <w:spacing w:line="360" w:lineRule="auto"/>
        <w:rPr>
          <w:rFonts w:hint="eastAsia" w:ascii="宋体" w:hAnsi="宋体" w:eastAsia="宋体" w:cs="宋体"/>
          <w:spacing w:val="2"/>
          <w:highlight w:val="none"/>
          <w:lang w:val="en-US" w:eastAsia="zh-CN"/>
        </w:rPr>
      </w:pPr>
      <w:r>
        <w:rPr>
          <w:rFonts w:hint="eastAsia" w:ascii="宋体" w:hAnsi="宋体" w:eastAsia="宋体" w:cs="宋体"/>
          <w:b/>
          <w:bCs/>
          <w:color w:val="000000"/>
          <w:sz w:val="21"/>
          <w:szCs w:val="21"/>
        </w:rPr>
        <w:t xml:space="preserve">注：本项目共分</w:t>
      </w:r>
      <w:r>
        <w:rPr>
          <w:rFonts w:hint="eastAsia" w:ascii="宋体" w:hAnsi="宋体" w:eastAsia="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个采购包，</w:t>
      </w:r>
      <w:r>
        <w:rPr>
          <w:rFonts w:hint="eastAsia" w:ascii="宋体" w:hAnsi="宋体" w:eastAsia="宋体" w:cs="宋体"/>
          <w:b/>
          <w:bCs/>
          <w:color w:val="000000"/>
          <w:sz w:val="21"/>
          <w:szCs w:val="21"/>
          <w:lang w:val="en-US" w:eastAsia="zh-CN"/>
        </w:rPr>
        <w:t xml:space="preserve">投标人</w:t>
      </w:r>
      <w:r>
        <w:rPr>
          <w:rFonts w:hint="eastAsia" w:ascii="宋体" w:hAnsi="宋体" w:eastAsia="宋体" w:cs="宋体"/>
          <w:b/>
          <w:bCs/>
          <w:color w:val="000000"/>
          <w:sz w:val="21"/>
          <w:szCs w:val="21"/>
        </w:rPr>
        <w:t xml:space="preserve">可对本次采购的单个采购包或全部采购包进行</w:t>
      </w:r>
      <w:r>
        <w:rPr>
          <w:rFonts w:hint="eastAsia" w:ascii="宋体" w:hAnsi="宋体" w:eastAsia="宋体" w:cs="宋体"/>
          <w:b/>
          <w:bCs/>
          <w:color w:val="000000"/>
          <w:sz w:val="21"/>
          <w:szCs w:val="21"/>
          <w:lang w:val="en-US" w:eastAsia="zh-CN"/>
        </w:rPr>
        <w:t xml:space="preserve">投标</w:t>
      </w:r>
      <w:r>
        <w:rPr>
          <w:rFonts w:hint="eastAsia" w:ascii="宋体" w:hAnsi="宋体" w:eastAsia="宋体" w:cs="宋体"/>
          <w:b/>
          <w:bCs/>
          <w:color w:val="000000"/>
          <w:sz w:val="21"/>
          <w:szCs w:val="21"/>
        </w:rPr>
        <w:t xml:space="preserve">，但不得兼中，每个投标人仅限中一个采购包。</w:t>
      </w:r>
      <w:r>
        <w:rPr>
          <w:rFonts w:hint="eastAsia" w:ascii="宋体" w:hAnsi="宋体" w:eastAsia="宋体" w:cs="宋体"/>
          <w:b/>
          <w:bCs/>
          <w:color w:val="000000"/>
          <w:sz w:val="21"/>
          <w:szCs w:val="21"/>
          <w:lang w:val="en-US" w:eastAsia="zh-CN"/>
        </w:rPr>
        <w:t xml:space="preserve">开标按01、02、03包顺序依次进行，所有采购包开标结束后进行评标，评标按01、02、03包顺序依次进行，并按01、02、03包顺序依次确定第一中标候选人，若同一个投标人在多个采购包排名第一，则在01包推荐为第一中标候选人，并取消其在其他采购包的中标候选人资格，因此造成其他采购包推荐的中标候选人不足三家的，则该包废标。</w:t>
      </w:r>
      <w:r>
        <w:rPr>
          <w:rFonts w:hint="eastAsia" w:ascii="宋体" w:hAnsi="宋体" w:eastAsia="宋体" w:cs="宋体"/>
          <w:spacing w:val="2"/>
          <w:highlight w:val="none"/>
          <w:lang w:val="en-US" w:eastAsia="zh-CN"/>
        </w:rPr>
      </w:r>
      <w:r/>
    </w:p>
    <w:p>
      <w:pPr>
        <w:pStyle w:val="1030"/>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color w:val="000000"/>
          <w:highlight w:val="none"/>
          <w:shd w:val="clear" w:color="auto" w:fill="ffffff"/>
          <w:lang w:eastAsia="zh-CN"/>
        </w:rPr>
        <w:t xml:space="preserve">合同签订之日起至通过最终验收后一年</w:t>
      </w:r>
      <w:r>
        <w:rPr>
          <w:rFonts w:hint="eastAsia" w:ascii="宋体" w:hAnsi="宋体"/>
          <w:color w:val="000000"/>
          <w:highlight w:val="none"/>
          <w:shd w:val="clear" w:color="auto" w:fill="ffffff"/>
        </w:rPr>
        <w:t xml:space="preserve">。</w:t>
      </w:r>
      <w:r>
        <w:rPr>
          <w:rFonts w:hint="eastAsia" w:ascii="宋体" w:hAnsi="宋体" w:eastAsia="宋体"/>
          <w:szCs w:val="21"/>
          <w:highlight w:val="none"/>
          <w:lang w:eastAsia="zh-CN"/>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15" w:name="_Toc35393622"/>
      <w:r/>
      <w:bookmarkStart w:id="16" w:name="_Toc35393791"/>
      <w:r/>
      <w:bookmarkStart w:id="17" w:name="_Toc28359003"/>
      <w:r/>
      <w:bookmarkStart w:id="18" w:name="_Toc28359080"/>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0"/>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专门面向中小企业预留采购份额。</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3.2本项目是否属于政府购买服务：</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■是，公益一类事业单位、使用事业编制且由财政拨款保障的群团组织，不得作为承接主体；</w:t>
      </w:r>
      <w:r>
        <w:rPr>
          <w:rFonts w:ascii="宋体" w:hAnsi="宋体"/>
          <w:szCs w:val="21"/>
          <w:highlight w:val="none"/>
        </w:rPr>
      </w:r>
      <w:r/>
    </w:p>
    <w:p>
      <w:pPr>
        <w:pStyle w:val="1030"/>
        <w:ind w:firstLine="420"/>
        <w:spacing w:line="360" w:lineRule="auto"/>
        <w:rPr>
          <w:rFonts w:hint="eastAsia" w:ascii="宋体" w:hAnsi="宋体" w:eastAsia="宋体" w:cs="宋体"/>
          <w:color w:val="000000"/>
          <w:sz w:val="21"/>
          <w:szCs w:val="21"/>
          <w:highlight w:val="none"/>
          <w:lang w:eastAsia="zh-CN"/>
        </w:rPr>
      </w:pPr>
      <w:r>
        <w:rPr>
          <w:rFonts w:ascii="宋体" w:hAnsi="宋体"/>
          <w:color w:val="000000"/>
          <w:szCs w:val="21"/>
          <w:highlight w:val="none"/>
        </w:rPr>
        <w:t xml:space="preserve">3.3其他特定资格要求：</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具备有效期内测绘乙级及以上资质证书</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专业范围含界线及不动产测绘</w:t>
      </w:r>
      <w:r>
        <w:rPr>
          <w:rFonts w:hint="eastAsia" w:ascii="宋体" w:hAnsi="宋体"/>
          <w:color w:val="000000"/>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2"/>
        <w:jc w:val="left"/>
        <w:spacing w:before="0" w:line="360" w:lineRule="auto"/>
        <w:widowControl/>
        <w:rPr>
          <w:rFonts w:ascii="宋体" w:hAnsi="宋体" w:eastAsia="宋体"/>
          <w:sz w:val="21"/>
          <w:szCs w:val="21"/>
          <w:highlight w:val="none"/>
        </w:rPr>
      </w:pPr>
      <w:r/>
      <w:bookmarkEnd w:id="19"/>
      <w:r/>
      <w:bookmarkEnd w:id="20"/>
      <w:r/>
      <w:bookmarkStart w:id="21" w:name="_Toc35393792"/>
      <w:r/>
      <w:bookmarkStart w:id="22" w:name="_Toc35393623"/>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030"/>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26</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28359082"/>
      <w:r/>
      <w:bookmarkStart w:id="24" w:name="_Toc35393793"/>
      <w:r/>
      <w:bookmarkStart w:id="25" w:name="_Toc35393624"/>
      <w:r/>
      <w:bookmarkStart w:id="26" w:name="_Toc28359005"/>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w:t>
      </w:r>
      <w:r>
        <w:rPr>
          <w:rFonts w:hint="eastAsia" w:ascii="宋体" w:hAnsi="宋体" w:cs="宋体"/>
          <w:szCs w:val="21"/>
          <w:highlight w:val="none"/>
          <w:lang w:eastAsia="zh-CN"/>
        </w:rPr>
        <w:t xml:space="preserve">http://jszfcg.jsczt.cn</w:t>
      </w:r>
      <w:r>
        <w:rPr>
          <w:rFonts w:hint="eastAsia" w:ascii="宋体" w:hAnsi="宋体" w:cs="宋体"/>
          <w:szCs w:val="21"/>
          <w:highlight w:val="none"/>
        </w:rPr>
        <w:t xml:space="preserve">）获取电子版招标文件。</w:t>
      </w:r>
      <w:r>
        <w:rPr>
          <w:rFonts w:hint="eastAsia" w:ascii="宋体" w:hAnsi="宋体"/>
          <w:szCs w:val="21"/>
          <w:highlight w:val="none"/>
          <w:lang w:bidi="ar"/>
        </w:rPr>
      </w:r>
      <w:r/>
    </w:p>
    <w:p>
      <w:pPr>
        <w:pStyle w:val="1030"/>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2"/>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030"/>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11</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12</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上午9</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0</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0"/>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28359084"/>
      <w:r/>
      <w:bookmarkStart w:id="28" w:name="_Toc35393625"/>
      <w:r/>
      <w:bookmarkStart w:id="29" w:name="_Toc28359007"/>
      <w:r/>
      <w:bookmarkStart w:id="30" w:name="_Toc35393794"/>
      <w:r>
        <w:rPr>
          <w:rFonts w:hint="eastAsia" w:ascii="宋体" w:hAnsi="宋体" w:cs="宋体"/>
          <w:highlight w:val="none"/>
          <w:u w:val="single"/>
        </w:rPr>
        <w:t xml:space="preserve">本项目采用不见面交易方式，无需到现场提交，响应人登录“苏采云”政府采购一体化平台供应商端，通过系统在线提交电子投标文件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0"/>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31" w:name="_Toc35393795"/>
      <w:r/>
      <w:bookmarkStart w:id="32" w:name="_Toc35393626"/>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0"/>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highlight w:val="none"/>
          <w:lang w:val="zh-TW" w:bidi="ar"/>
        </w:rPr>
      </w:r>
      <w:r/>
    </w:p>
    <w:p>
      <w:pPr>
        <w:pStyle w:val="1030"/>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中国人民银行常州市中心支行关于进一步推进政府采购信用融资工作的通知》。</w:t>
      </w:r>
      <w:r>
        <w:rPr>
          <w:rFonts w:hint="eastAsia" w:ascii="宋体" w:hAnsi="宋体" w:cs="宋体"/>
          <w:bCs/>
          <w:szCs w:val="21"/>
          <w:highlight w:val="none"/>
        </w:rPr>
      </w:r>
      <w:r/>
    </w:p>
    <w:p>
      <w:pPr>
        <w:pStyle w:val="1030"/>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0"/>
        <w:ind w:firstLine="420"/>
        <w:spacing w:line="360" w:lineRule="auto"/>
        <w:rPr>
          <w:rFonts w:hint="eastAsia" w:ascii="宋体" w:hAnsi="宋体" w:cs="宋体"/>
          <w:szCs w:val="21"/>
          <w:highlight w:val="none"/>
        </w:rPr>
      </w:pPr>
      <w:r/>
      <w:bookmarkStart w:id="33" w:name="_Toc35393786"/>
      <w:r/>
      <w:bookmarkStart w:id="34" w:name="_Toc28358998"/>
      <w:r/>
      <w:bookmarkStart w:id="35" w:name="_Toc28359075"/>
      <w:r/>
      <w:bookmarkStart w:id="36" w:name="_Toc35393617"/>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常州市金坛区农业农村局</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ascii="宋体" w:hAnsi="宋体" w:cs="宋体"/>
          <w:szCs w:val="21"/>
          <w:highlight w:val="none"/>
        </w:rPr>
        <w:t xml:space="preserve">常州市金坛区</w:t>
      </w:r>
      <w:r>
        <w:rPr>
          <w:rFonts w:hint="eastAsia" w:ascii="宋体" w:hAnsi="宋体" w:cs="宋体"/>
          <w:szCs w:val="21"/>
          <w:highlight w:val="none"/>
          <w:lang w:val="en-US" w:eastAsia="zh-CN"/>
        </w:rPr>
        <w:t xml:space="preserve">清风路1号</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张女士</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0519-82835164</w:t>
      </w:r>
      <w:r>
        <w:rPr>
          <w:rFonts w:ascii="宋体" w:hAnsi="宋体" w:eastAsia="宋体" w:cs="宋体"/>
          <w:szCs w:val="21"/>
          <w:highlight w:val="none"/>
          <w:lang w:val="en-US" w:eastAsia="zh-CN"/>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bookmarkStart w:id="37" w:name="_Toc35393788"/>
      <w:r/>
      <w:bookmarkStart w:id="38" w:name="_Toc35393619"/>
      <w:r/>
      <w:bookmarkStart w:id="39" w:name="_Toc28359077"/>
      <w:r/>
      <w:bookmarkStart w:id="40" w:name="_Toc28359000"/>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                </w:t>
      </w:r>
      <w:r>
        <w:rPr>
          <w:rFonts w:hint="eastAsia" w:ascii="宋体" w:hAnsi="宋体" w:cs="宋体"/>
          <w:szCs w:val="21"/>
          <w:highlight w:val="none"/>
        </w:rPr>
      </w:r>
      <w:r/>
    </w:p>
    <w:p>
      <w:pPr>
        <w:pStyle w:val="1030"/>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szCs w:val="21"/>
          <w:highlight w:val="none"/>
        </w:rPr>
        <w:t xml:space="preserve">　</w:t>
      </w:r>
      <w:r>
        <w:rPr>
          <w:rFonts w:hint="eastAsia" w:ascii="宋体" w:hAnsi="宋体" w:cs="宋体"/>
          <w:sz w:val="24"/>
          <w:highlight w:val="none"/>
        </w:rPr>
        <w:t xml:space="preserve">　　　</w:t>
      </w:r>
      <w:r>
        <w:rPr>
          <w:rFonts w:hint="eastAsia" w:ascii="宋体" w:hAnsi="宋体" w:cs="宋体"/>
          <w:color w:val="000000"/>
          <w:sz w:val="24"/>
          <w:highlight w:val="none"/>
          <w:lang w:bidi="zh-TW"/>
        </w:rPr>
        <w:t xml:space="preserve">　　　　　　</w:t>
      </w:r>
      <w:r>
        <w:rPr>
          <w:rFonts w:hint="eastAsia" w:ascii="宋体" w:hAnsi="宋体" w:cs="宋体"/>
          <w:b/>
          <w:sz w:val="24"/>
          <w:highlight w:val="none"/>
        </w:rPr>
      </w:r>
      <w:r/>
    </w:p>
    <w:p>
      <w:pPr>
        <w:pStyle w:val="1030"/>
        <w:jc w:val="both"/>
        <w:spacing w:line="360" w:lineRule="auto"/>
        <w:rPr>
          <w:b/>
          <w:sz w:val="36"/>
          <w:szCs w:val="36"/>
          <w:highlight w:val="none"/>
        </w:rPr>
        <w:outlineLvl w:val="0"/>
      </w:pPr>
      <w:r/>
      <w:bookmarkStart w:id="41" w:name="_Toc127151777"/>
      <w:r/>
      <w:bookmarkStart w:id="42" w:name="_Toc265228423"/>
      <w:r/>
      <w:bookmarkStart w:id="43" w:name="_Toc226965856"/>
      <w:r/>
      <w:bookmarkStart w:id="44" w:name="_Toc512937850"/>
      <w:r/>
      <w:bookmarkStart w:id="45" w:name="_Toc353825548"/>
      <w:r/>
      <w:bookmarkStart w:id="46" w:name="_Toc150774783"/>
      <w:r/>
      <w:bookmarkStart w:id="47" w:name="_Toc195842950"/>
      <w:r/>
      <w:bookmarkStart w:id="48" w:name="_Toc305158854"/>
      <w:r/>
      <w:bookmarkStart w:id="49" w:name="_Toc127161488"/>
      <w:r/>
      <w:bookmarkStart w:id="50" w:name="_Toc305158928"/>
      <w:r/>
      <w:bookmarkStart w:id="51" w:name="_Toc99301420"/>
      <w:r/>
      <w:bookmarkStart w:id="52" w:name="_Toc353873938"/>
      <w:r/>
      <w:bookmarkStart w:id="53" w:name="_Toc264969275"/>
      <w:r>
        <w:rPr>
          <w:b/>
          <w:sz w:val="36"/>
          <w:szCs w:val="36"/>
          <w:highlight w:val="none"/>
        </w:rPr>
      </w:r>
      <w:r/>
    </w:p>
    <w:p>
      <w:pPr>
        <w:pStyle w:val="1030"/>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032"/>
        <w:spacing w:before="0" w:line="360" w:lineRule="auto"/>
        <w:tabs>
          <w:tab w:val="center" w:pos="4592" w:leader="none"/>
          <w:tab w:val="left" w:pos="7860" w:leader="none"/>
        </w:tabs>
        <w:rPr>
          <w:rFonts w:ascii="Times New Roman" w:hAnsi="Times New Roman" w:eastAsia="宋体"/>
          <w:sz w:val="28"/>
          <w:highlight w:val="none"/>
        </w:rPr>
      </w:pPr>
      <w:r/>
      <w:bookmarkStart w:id="54" w:name="_Toc150480757"/>
      <w:r/>
      <w:bookmarkStart w:id="55" w:name="_Toc127151519"/>
      <w:r/>
      <w:bookmarkStart w:id="56" w:name="_Toc151193833"/>
      <w:r/>
      <w:bookmarkStart w:id="57" w:name="_Toc150774619"/>
      <w:r/>
      <w:bookmarkStart w:id="58" w:name="_Toc226965709"/>
      <w:r/>
      <w:bookmarkStart w:id="59" w:name="_Toc164229214"/>
      <w:r/>
      <w:bookmarkStart w:id="60" w:name="_Toc150509270"/>
      <w:r/>
      <w:bookmarkStart w:id="61" w:name="_Toc151193689"/>
      <w:r/>
      <w:bookmarkStart w:id="62" w:name="_Toc164229360"/>
      <w:r/>
      <w:bookmarkStart w:id="63" w:name="_Toc150774724"/>
      <w:r/>
      <w:bookmarkStart w:id="64" w:name="_Toc151193617"/>
      <w:r/>
      <w:bookmarkStart w:id="65" w:name="_Toc164608633"/>
      <w:r/>
      <w:bookmarkStart w:id="66" w:name="_Toc149720812"/>
      <w:r/>
      <w:bookmarkStart w:id="67" w:name="_Toc142311021"/>
      <w:r/>
      <w:bookmarkStart w:id="68" w:name="_Toc151193761"/>
      <w:r/>
      <w:bookmarkStart w:id="69" w:name="_Toc164351613"/>
      <w:r/>
      <w:bookmarkStart w:id="70" w:name="_Toc195842884"/>
      <w:r/>
      <w:bookmarkStart w:id="71" w:name="_Toc151190146"/>
      <w:r/>
      <w:bookmarkStart w:id="72" w:name="_Toc226965792"/>
      <w:r/>
      <w:bookmarkStart w:id="73" w:name="_Toc226309763"/>
      <w:r/>
      <w:bookmarkStart w:id="74" w:name="_Toc164608788"/>
      <w:r/>
      <w:bookmarkStart w:id="75" w:name="_Toc127151720"/>
      <w:r/>
      <w:bookmarkStart w:id="76" w:name="_Toc226337215"/>
      <w:r/>
      <w:bookmarkStart w:id="77" w:name="_Toc520356144"/>
      <w:r/>
      <w:bookmarkStart w:id="78" w:name="_Toc127161433"/>
      <w:r/>
      <w:bookmarkStart w:id="79" w:name="_Toc151193907"/>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0"/>
        <w:jc w:val="center"/>
        <w:rPr>
          <w:b/>
          <w:sz w:val="28"/>
          <w:szCs w:val="28"/>
          <w:highlight w:val="none"/>
        </w:rPr>
      </w:pPr>
      <w:r>
        <w:rPr>
          <w:b/>
          <w:sz w:val="28"/>
          <w:szCs w:val="28"/>
          <w:highlight w:val="none"/>
        </w:rPr>
      </w:r>
      <w:r/>
    </w:p>
    <w:p>
      <w:pPr>
        <w:pStyle w:val="1030"/>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43"/>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0"/>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1.本项目采购标的对应的中小企业划分标准所属行业：</w:t>
            </w:r>
            <w:r>
              <w:rPr>
                <w:rFonts w:hint="eastAsia" w:ascii="宋体" w:hAnsi="宋体" w:eastAsia="宋体" w:cs="宋体"/>
                <w:b/>
                <w:bCs/>
                <w:szCs w:val="21"/>
              </w:rPr>
              <w:t xml:space="preserve">其他未列明行业</w:t>
            </w:r>
            <w:r>
              <w:rPr>
                <w:rFonts w:hint="eastAsia" w:ascii="宋体" w:hAnsi="宋体" w:eastAsia="宋体" w:cs="宋体"/>
                <w:szCs w:val="21"/>
              </w:rPr>
              <w:t xml:space="preserve">，【《关于印发中小企业划型标准规定的通知》（工信部联企业〔2011〕300号）】，按照本次采购标的所属行业的划型标准，符合条件的中小企业应按照询价文件格式要求提供</w:t>
            </w:r>
            <w:r>
              <w:rPr>
                <w:rFonts w:hint="eastAsia" w:ascii="宋体" w:hAnsi="宋体" w:eastAsia="宋体" w:cs="宋体"/>
                <w:b/>
                <w:bCs/>
                <w:szCs w:val="21"/>
                <w:u w:val="single"/>
              </w:rPr>
              <w:t xml:space="preserve">《中小企业声明函（工程、服务）》</w:t>
            </w:r>
            <w:r>
              <w:rPr>
                <w:rFonts w:hint="eastAsia" w:ascii="宋体" w:hAnsi="宋体" w:eastAsia="宋体" w:cs="宋体"/>
                <w:szCs w:val="21"/>
              </w:rPr>
              <w:t xml:space="preserve">。</w:t>
            </w:r>
            <w:r>
              <w:rPr>
                <w:rFonts w:hint="eastAsia" w:ascii="宋体" w:hAnsi="宋体" w:eastAsia="宋体" w:cs="宋体"/>
                <w:szCs w:val="21"/>
                <w:u w:val="single"/>
              </w:rPr>
              <w:t xml:space="preserve">请正确填写中小企业申明函（工程、服务），未填报或缺项、漏项则报价不做相应扣除。</w:t>
            </w:r>
            <w:r>
              <w:rPr>
                <w:rFonts w:hint="eastAsia" w:ascii="宋体" w:hAnsi="宋体" w:eastAsia="宋体" w:cs="宋体"/>
                <w:szCs w:val="21"/>
              </w:rPr>
              <w:t xml:space="preserve">提交中小企业声明函并中标的，随中标公告一同公示。</w:t>
            </w:r>
            <w:r>
              <w:rPr>
                <w:rFonts w:hint="eastAsia" w:ascii="宋体" w:hAnsi="宋体" w:eastAsia="宋体" w:cs="宋体"/>
                <w:szCs w:val="21"/>
              </w:rPr>
            </w:r>
            <w:r/>
          </w:p>
          <w:p>
            <w:pPr>
              <w:pStyle w:val="1030"/>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根据财库〔2020〕46号财政部、工业和信息化部关于印发《政府采购促进中小企业发展管理办法》的通知，按照《政府采购促进中小企业发展管理办法》第四条要求，在政府采购活动中，供应商提供的货物符合下列情形的，享受本办法规定的中小企业扶持政策：（一）在服务采购项目中，服务全部由符合政策要求的中小企业承接，对于符合条件的</w:t>
            </w:r>
            <w:r>
              <w:rPr>
                <w:rFonts w:hint="eastAsia" w:ascii="宋体" w:hAnsi="宋体" w:eastAsia="宋体" w:cs="宋体"/>
                <w:b/>
                <w:bCs/>
                <w:szCs w:val="21"/>
                <w:u w:val="single"/>
              </w:rPr>
              <w:t xml:space="preserve">小型和微型企业</w:t>
            </w:r>
            <w:r>
              <w:rPr>
                <w:rFonts w:hint="eastAsia" w:ascii="宋体" w:hAnsi="宋体" w:eastAsia="宋体" w:cs="宋体"/>
                <w:szCs w:val="21"/>
              </w:rPr>
              <w:t xml:space="preserve">报价给</w:t>
            </w:r>
            <w:r>
              <w:rPr>
                <w:rFonts w:hint="eastAsia" w:ascii="宋体" w:hAnsi="宋体" w:eastAsia="宋体" w:cs="宋体"/>
                <w:szCs w:val="21"/>
                <w:highlight w:val="none"/>
              </w:rPr>
              <w:t xml:space="preserve">予</w:t>
            </w:r>
            <w:r>
              <w:rPr>
                <w:rFonts w:hint="eastAsia" w:ascii="宋体" w:hAnsi="宋体" w:eastAsia="宋体" w:cs="宋体"/>
                <w:b/>
                <w:bCs/>
                <w:szCs w:val="21"/>
                <w:highlight w:val="none"/>
                <w:u w:val="single"/>
                <w:lang w:val="en-US" w:eastAsia="zh-CN"/>
              </w:rPr>
              <w:t xml:space="preserve">1</w:t>
            </w:r>
            <w:r>
              <w:rPr>
                <w:rFonts w:hint="eastAsia" w:ascii="宋体" w:hAnsi="宋体" w:eastAsia="宋体" w:cs="宋体"/>
                <w:b/>
                <w:bCs/>
                <w:szCs w:val="21"/>
                <w:highlight w:val="none"/>
                <w:u w:val="single"/>
              </w:rPr>
              <w:t xml:space="preserve">0%</w:t>
            </w:r>
            <w:r>
              <w:rPr>
                <w:rFonts w:hint="eastAsia" w:ascii="宋体" w:hAnsi="宋体" w:eastAsia="宋体" w:cs="宋体"/>
                <w:szCs w:val="21"/>
                <w:highlight w:val="none"/>
              </w:rPr>
              <w:t xml:space="preserve">的</w:t>
            </w:r>
            <w:r>
              <w:rPr>
                <w:rFonts w:hint="eastAsia" w:ascii="宋体" w:hAnsi="宋体" w:eastAsia="宋体" w:cs="宋体"/>
                <w:szCs w:val="21"/>
              </w:rPr>
              <w:t xml:space="preserve">扣除，用扣除后的价格参与评审。属于残疾人福利性单位、监狱企业的视同小微企业，给予价格扣除。供应商需按照谈判文件的要求提供相应的</w:t>
            </w:r>
            <w:r>
              <w:rPr>
                <w:rFonts w:hint="eastAsia" w:ascii="宋体" w:hAnsi="宋体" w:eastAsia="宋体" w:cs="宋体"/>
                <w:b/>
                <w:bCs/>
                <w:szCs w:val="21"/>
                <w:u w:val="single"/>
              </w:rPr>
              <w:t xml:space="preserve">《中小企业声明函（工程、服务）》</w:t>
            </w:r>
            <w:r>
              <w:rPr>
                <w:rFonts w:hint="eastAsia" w:ascii="宋体" w:hAnsi="宋体" w:eastAsia="宋体" w:cs="宋体"/>
                <w:szCs w:val="21"/>
                <w:u w:val="single"/>
              </w:rPr>
              <w:t xml:space="preserve">，请正确填写中小企业申明函（工程、服务）</w:t>
            </w:r>
            <w:r>
              <w:rPr>
                <w:rFonts w:hint="eastAsia" w:ascii="宋体" w:hAnsi="宋体" w:eastAsia="宋体" w:cs="宋体"/>
                <w:szCs w:val="21"/>
              </w:rPr>
              <w:t xml:space="preserve">，如填写错误或未填报或缺项、漏项则报价不做相应扣除。否则不予价格扣除。</w:t>
            </w:r>
            <w:r>
              <w:rPr>
                <w:rFonts w:hint="eastAsia" w:ascii="宋体" w:hAnsi="宋体" w:eastAsia="宋体" w:cs="宋体"/>
                <w:szCs w:val="21"/>
              </w:rPr>
            </w:r>
            <w:r/>
          </w:p>
          <w:p>
            <w:pPr>
              <w:pStyle w:val="1030"/>
              <w:jc w:val="left"/>
              <w:spacing w:line="360" w:lineRule="auto"/>
              <w:rPr>
                <w:rFonts w:hint="eastAsia" w:ascii="宋体" w:hAnsi="宋体" w:cs="宋体"/>
                <w:szCs w:val="21"/>
                <w:highlight w:val="none"/>
              </w:rPr>
            </w:pPr>
            <w:r>
              <w:rPr>
                <w:rFonts w:hint="eastAsia" w:ascii="宋体" w:hAnsi="宋体" w:eastAsia="宋体" w:cs="宋体"/>
                <w:szCs w:val="21"/>
              </w:rPr>
              <w:t xml:space="preserve">3.以上规定未尽事项，按《政府采购促进中小企业发展管理办法》</w:t>
            </w:r>
            <w:r>
              <w:rPr>
                <w:rFonts w:ascii="宋体" w:hAnsi="宋体" w:eastAsia="宋体" w:cs="Times New Roman"/>
                <w:bCs/>
                <w:szCs w:val="21"/>
              </w:rPr>
              <w:t xml:space="preserve">、</w:t>
            </w:r>
            <w:r>
              <w:rPr>
                <w:rFonts w:hint="eastAsia" w:ascii="宋体" w:hAnsi="宋体" w:eastAsia="宋体" w:cs="Times New Roman"/>
                <w:bCs/>
                <w:szCs w:val="21"/>
              </w:rPr>
              <w:t xml:space="preserve">《关于进一步加大政府采购支持中小企业力度的通知》</w:t>
            </w:r>
            <w:r>
              <w:rPr>
                <w:rFonts w:hint="eastAsia" w:ascii="宋体" w:hAnsi="宋体" w:eastAsia="宋体" w:cs="宋体"/>
                <w:szCs w:val="21"/>
              </w:rPr>
              <w:t xml:space="preserve">、《关于促进残疾人就业政府采购政策的通知》、《关于政府采购支持监狱企业发展有关问题的通知》等有关制度规定执行。</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cs="宋体"/>
                <w:szCs w:val="21"/>
                <w:highlight w:val="none"/>
              </w:rPr>
            </w:pPr>
            <w:r>
              <w:rPr>
                <w:rFonts w:hint="eastAsia"/>
                <w:sz w:val="21"/>
                <w:szCs w:val="21"/>
              </w:rPr>
              <w:t xml:space="preserve">本国产品政策支持</w:t>
            </w:r>
            <w:r>
              <w:rPr>
                <w:rFonts w:hint="eastAsia" w:ascii="宋体" w:hAnsi="宋体" w:cs="宋体"/>
                <w:szCs w:val="21"/>
                <w:highlight w:val="none"/>
              </w:rPr>
            </w:r>
            <w:r/>
          </w:p>
        </w:tc>
        <w:tc>
          <w:tcPr>
            <w:tcW w:w="7551" w:type="dxa"/>
            <w:vAlign w:val="center"/>
            <w:textDirection w:val="lrTb"/>
            <w:noWrap w:val="false"/>
          </w:tcPr>
          <w:p>
            <w:pPr>
              <w:pStyle w:val="1030"/>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b/>
                <w:color w:val="000000"/>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各个采购包投标</w:t>
            </w:r>
            <w:r>
              <w:rPr>
                <w:rFonts w:hint="eastAsia" w:ascii="宋体" w:hAnsi="宋体" w:cs="宋体"/>
                <w:b w:val="0"/>
                <w:bCs/>
                <w:color w:val="000000"/>
                <w:szCs w:val="21"/>
                <w:highlight w:val="none"/>
              </w:rPr>
              <w:t xml:space="preserve">报价不得高于最高限价，否则作无效响应处理。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lang w:val="en-US" w:eastAsia="zh-CN"/>
              </w:rPr>
              <w:t xml:space="preserve">不允许</w:t>
            </w:r>
            <w:r>
              <w:rPr>
                <w:rFonts w:hint="eastAsia" w:ascii="宋体" w:hAnsi="宋体" w:cs="宋体"/>
                <w:szCs w:val="21"/>
                <w:highlight w:val="none"/>
                <w:lang w:val="zh-TW"/>
              </w:rPr>
              <w:t xml:space="preserve">。</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27</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0"/>
              <w:jc w:val="left"/>
              <w:spacing w:line="360" w:lineRule="auto"/>
              <w:rPr>
                <w:rFonts w:hint="eastAsia" w:ascii="宋体" w:hAnsi="宋体" w:eastAsia="宋体" w:cs="宋体"/>
                <w:szCs w:val="21"/>
                <w:highlight w:val="none"/>
                <w:lang w:eastAsia="zh-CN"/>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每个采购包</w:t>
            </w:r>
            <w:r>
              <w:rPr>
                <w:rFonts w:hint="eastAsia" w:ascii="宋体" w:hAnsi="宋体" w:eastAsia="宋体" w:cs="宋体"/>
                <w:szCs w:val="21"/>
                <w:highlight w:val="none"/>
              </w:rPr>
              <w:t xml:space="preserve">中标人</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eastAsia="zh-CN"/>
              </w:rPr>
            </w:r>
            <w:r/>
          </w:p>
          <w:p>
            <w:pPr>
              <w:pStyle w:val="1030"/>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收费标准：根据采购人预算安排及代理委托协议约定，本项目代理服务费由中标人承担，相关费用已计入投标总价。收费标准按</w:t>
            </w:r>
            <w:r>
              <w:rPr>
                <w:rFonts w:hint="eastAsia" w:ascii="宋体" w:hAnsi="宋体" w:eastAsia="宋体" w:cs="宋体"/>
                <w:szCs w:val="21"/>
                <w:highlight w:val="none"/>
                <w:lang w:val="en-US" w:eastAsia="zh-CN"/>
              </w:rPr>
              <w:t xml:space="preserve">每个采购包</w:t>
            </w:r>
            <w:r>
              <w:rPr>
                <w:rFonts w:hint="eastAsia" w:ascii="宋体" w:hAnsi="宋体" w:eastAsia="宋体" w:cs="宋体"/>
                <w:szCs w:val="21"/>
                <w:highlight w:val="none"/>
              </w:rPr>
              <w:t xml:space="preserve">中标金额的1%计算，保底3000元，收费依据为《苏财规〔2026〕1号》文件及委托协议。</w:t>
            </w:r>
            <w:r>
              <w:rPr>
                <w:rFonts w:hint="eastAsia" w:ascii="宋体" w:hAnsi="宋体" w:eastAsia="宋体" w:cs="宋体"/>
                <w:szCs w:val="21"/>
                <w:highlight w:val="none"/>
                <w:lang w:val="en-US" w:eastAsia="zh-CN"/>
              </w:rPr>
              <w:t xml:space="preserve">投标人的投标报价包含代理费，请投标人在投标报价时综合考虑</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lang w:eastAsia="zh-CN"/>
              </w:rPr>
            </w:r>
            <w:r/>
          </w:p>
          <w:p>
            <w:pPr>
              <w:pStyle w:val="1030"/>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缴纳时间：中标单位在领取中标通知书时一次性支付给</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4"/>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2026年10月19日至投标截止时间15日前。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0"/>
              <w:spacing w:line="360" w:lineRule="auto"/>
              <w:rPr>
                <w:rFonts w:hint="eastAsia" w:ascii="宋体" w:hAnsi="宋体" w:cs="宋体"/>
                <w:bCs/>
                <w:color w:val="000000"/>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rPr>
              <w:t xml:space="preserve">否</w:t>
            </w:r>
            <w:r>
              <w:rPr>
                <w:rFonts w:hint="eastAsia" w:ascii="宋体" w:hAnsi="宋体" w:cs="宋体"/>
                <w:bCs/>
                <w:color w:val="000000"/>
                <w:szCs w:val="21"/>
                <w:highlight w:val="none"/>
              </w:rPr>
            </w:r>
            <w:r/>
          </w:p>
        </w:tc>
      </w:tr>
    </w:tbl>
    <w:p>
      <w:pPr>
        <w:pStyle w:val="1030"/>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0"/>
        <w:jc w:val="center"/>
        <w:spacing w:before="240" w:after="240"/>
        <w:rPr>
          <w:b/>
          <w:sz w:val="28"/>
          <w:szCs w:val="28"/>
          <w:highlight w:val="none"/>
        </w:rPr>
      </w:pPr>
      <w:r/>
      <w:bookmarkStart w:id="80" w:name="_Toc353873662"/>
      <w:r/>
      <w:bookmarkStart w:id="81" w:name="_Toc195842882"/>
      <w:r/>
      <w:bookmarkStart w:id="82" w:name="_Toc150774722"/>
      <w:r/>
      <w:bookmarkStart w:id="83" w:name="_Toc305158859"/>
      <w:r/>
      <w:bookmarkStart w:id="84" w:name="_Toc305158785"/>
      <w:r/>
      <w:bookmarkStart w:id="85" w:name="_Toc226965790"/>
      <w:r/>
      <w:bookmarkStart w:id="86" w:name="_Toc127151517"/>
      <w:r/>
      <w:bookmarkStart w:id="87" w:name="_Toc265228355"/>
      <w:r/>
      <w:bookmarkStart w:id="88" w:name="_Toc353873932"/>
      <w:r/>
      <w:bookmarkStart w:id="89" w:name="_Toc353825542"/>
      <w:r/>
      <w:bookmarkStart w:id="90" w:name="_Toc150480755"/>
      <w:r/>
      <w:bookmarkStart w:id="91" w:name="_Toc264969207"/>
      <w:r/>
      <w:bookmarkStart w:id="92" w:name="_Toc142311019"/>
      <w:r/>
      <w:bookmarkStart w:id="93" w:name="_Toc226337213"/>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032"/>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520356143"/>
      <w:r/>
      <w:bookmarkStart w:id="95" w:name="_Toc127151518"/>
      <w:r>
        <w:rPr>
          <w:rFonts w:ascii="Times New Roman" w:hAnsi="Times New Roman" w:eastAsia="宋体"/>
          <w:sz w:val="28"/>
          <w:highlight w:val="none"/>
        </w:rPr>
        <w:tab/>
      </w:r>
      <w:bookmarkEnd w:id="94"/>
      <w:r/>
      <w:bookmarkEnd w:id="95"/>
      <w:r/>
      <w:bookmarkStart w:id="96" w:name="_Toc151193760"/>
      <w:r/>
      <w:bookmarkStart w:id="97" w:name="_Toc150774723"/>
      <w:r/>
      <w:bookmarkStart w:id="98" w:name="_Toc151193832"/>
      <w:r/>
      <w:bookmarkStart w:id="99" w:name="_Toc226965708"/>
      <w:r/>
      <w:bookmarkStart w:id="100" w:name="_Toc151190145"/>
      <w:r/>
      <w:bookmarkStart w:id="101" w:name="_Toc150774618"/>
      <w:r/>
      <w:bookmarkStart w:id="102" w:name="_Toc142311020"/>
      <w:r/>
      <w:bookmarkStart w:id="103" w:name="_Toc226309762"/>
      <w:r/>
      <w:bookmarkStart w:id="104" w:name="_Toc150480756"/>
      <w:r/>
      <w:bookmarkStart w:id="105" w:name="_Toc226965791"/>
      <w:r/>
      <w:bookmarkStart w:id="106" w:name="_Toc151193616"/>
      <w:r/>
      <w:bookmarkStart w:id="107" w:name="_Toc264969208"/>
      <w:r/>
      <w:bookmarkStart w:id="108" w:name="_Toc151193688"/>
      <w:r/>
      <w:bookmarkStart w:id="109" w:name="_Toc226337214"/>
      <w:r/>
      <w:bookmarkStart w:id="110" w:name="_Toc265228356"/>
      <w:r/>
      <w:bookmarkStart w:id="111" w:name="_Toc151193906"/>
      <w:r/>
      <w:bookmarkStart w:id="112" w:name="_Toc195842883"/>
      <w:r/>
      <w:bookmarkStart w:id="113" w:name="_Toc150509269"/>
      <w:r/>
      <w:bookmarkStart w:id="114" w:name="_Toc305158786"/>
      <w:r/>
      <w:bookmarkStart w:id="115" w:name="_Toc305158860"/>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16" w:name="_Toc264969209"/>
      <w:r/>
      <w:bookmarkStart w:id="117" w:name="_Toc265228357"/>
      <w:r/>
      <w:bookmarkStart w:id="118" w:name="_Toc305158861"/>
      <w:r/>
      <w:bookmarkStart w:id="119" w:name="_Toc305158787"/>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20" w:name="_Toc151193618"/>
      <w:r/>
      <w:bookmarkStart w:id="121" w:name="_Toc226309764"/>
      <w:r/>
      <w:bookmarkStart w:id="122" w:name="_Toc195842885"/>
      <w:r/>
      <w:bookmarkStart w:id="123" w:name="_Toc226965793"/>
      <w:r/>
      <w:bookmarkStart w:id="124" w:name="_Toc127151520"/>
      <w:r/>
      <w:bookmarkStart w:id="125" w:name="_Toc150480758"/>
      <w:r/>
      <w:bookmarkStart w:id="126" w:name="_Toc151193762"/>
      <w:r/>
      <w:bookmarkStart w:id="127" w:name="_Toc305158788"/>
      <w:r/>
      <w:bookmarkStart w:id="128" w:name="_Toc164229361"/>
      <w:r/>
      <w:bookmarkStart w:id="129" w:name="_Toc264969210"/>
      <w:r/>
      <w:bookmarkStart w:id="130" w:name="_Toc150774725"/>
      <w:r/>
      <w:bookmarkStart w:id="131" w:name="_Toc151190147"/>
      <w:r/>
      <w:bookmarkStart w:id="132" w:name="_Toc151193690"/>
      <w:r/>
      <w:bookmarkStart w:id="133" w:name="_Toc127161434"/>
      <w:r/>
      <w:bookmarkStart w:id="134" w:name="_Toc265228358"/>
      <w:r/>
      <w:bookmarkStart w:id="135" w:name="_Toc142311022"/>
      <w:r/>
      <w:bookmarkStart w:id="136" w:name="_Toc226337216"/>
      <w:r/>
      <w:bookmarkStart w:id="137" w:name="_Toc226965710"/>
      <w:r/>
      <w:bookmarkStart w:id="138" w:name="_Toc164608789"/>
      <w:r/>
      <w:bookmarkStart w:id="139" w:name="_Toc164608634"/>
      <w:r/>
      <w:bookmarkStart w:id="140" w:name="_Toc127151721"/>
      <w:r/>
      <w:bookmarkStart w:id="141" w:name="_Toc150774620"/>
      <w:r/>
      <w:bookmarkStart w:id="142" w:name="_Toc151193908"/>
      <w:r/>
      <w:bookmarkStart w:id="143" w:name="_Toc305158862"/>
      <w:r/>
      <w:bookmarkStart w:id="144" w:name="_Toc151193834"/>
      <w:r/>
      <w:bookmarkStart w:id="145" w:name="_Toc150509271"/>
      <w:r/>
      <w:bookmarkStart w:id="146" w:name="_Toc164229215"/>
      <w:r/>
      <w:bookmarkStart w:id="147" w:name="_Toc164351614"/>
      <w:r/>
      <w:bookmarkStart w:id="148" w:name="_Toc149720813"/>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151193692"/>
      <w:r/>
      <w:bookmarkStart w:id="150" w:name="_Toc151193620"/>
      <w:r/>
      <w:bookmarkStart w:id="151" w:name="_Toc151193764"/>
      <w:r/>
      <w:bookmarkStart w:id="152" w:name="_Toc305158790"/>
      <w:r/>
      <w:bookmarkStart w:id="153" w:name="_Toc520356146"/>
      <w:r/>
      <w:bookmarkStart w:id="154" w:name="_Toc264969212"/>
      <w:r/>
      <w:bookmarkStart w:id="155" w:name="_Toc151193910"/>
      <w:r/>
      <w:bookmarkStart w:id="156" w:name="_Toc150774622"/>
      <w:r/>
      <w:bookmarkStart w:id="157" w:name="_Toc142311024"/>
      <w:r/>
      <w:bookmarkStart w:id="158" w:name="_Toc150480760"/>
      <w:r/>
      <w:bookmarkStart w:id="159" w:name="_Toc226965712"/>
      <w:r/>
      <w:bookmarkStart w:id="160" w:name="_Toc226337218"/>
      <w:r/>
      <w:bookmarkStart w:id="161" w:name="_Toc226309766"/>
      <w:r/>
      <w:bookmarkStart w:id="162" w:name="_Toc305158864"/>
      <w:r/>
      <w:bookmarkStart w:id="163" w:name="_Toc195842887"/>
      <w:r/>
      <w:bookmarkStart w:id="164" w:name="_Toc150509273"/>
      <w:r/>
      <w:bookmarkStart w:id="165" w:name="_Toc151190149"/>
      <w:r/>
      <w:bookmarkStart w:id="166" w:name="_Toc127151522"/>
      <w:r/>
      <w:bookmarkStart w:id="167" w:name="_Toc151193836"/>
      <w:r/>
      <w:bookmarkStart w:id="168" w:name="_Toc226965795"/>
      <w:r/>
      <w:bookmarkStart w:id="169" w:name="_Toc150774727"/>
      <w:r/>
      <w:bookmarkStart w:id="170" w:name="_Toc265228360"/>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0"/>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0"/>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0"/>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2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0"/>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0"/>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0"/>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5.7.2 推广应用绿色建材</w:t>
      </w:r>
      <w:r>
        <w:rPr>
          <w:rFonts w:hint="eastAsia" w:ascii="宋体" w:hAnsi="宋体" w:eastAsia="宋体" w:cs="宋体"/>
          <w:szCs w:val="21"/>
          <w:highlight w:val="none"/>
        </w:rPr>
      </w:r>
      <w:r/>
    </w:p>
    <w:p>
      <w:pPr>
        <w:pStyle w:val="1030"/>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highlight w:val="none"/>
        </w:rPr>
      </w:r>
      <w:r/>
    </w:p>
    <w:p>
      <w:pPr>
        <w:pStyle w:val="1030"/>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5.7.3 优先使用低挥发性有机化合物产品</w:t>
      </w:r>
      <w:r>
        <w:rPr>
          <w:rFonts w:hint="eastAsia" w:ascii="宋体" w:hAnsi="宋体" w:eastAsia="宋体" w:cs="宋体"/>
          <w:szCs w:val="21"/>
          <w:highlight w:val="none"/>
        </w:rPr>
      </w:r>
      <w:r/>
    </w:p>
    <w:p>
      <w:pPr>
        <w:pStyle w:val="1030"/>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highlight w:val="none"/>
        </w:rPr>
      </w:r>
      <w:r/>
    </w:p>
    <w:p>
      <w:pPr>
        <w:pStyle w:val="1030"/>
        <w:spacing w:line="480" w:lineRule="exact"/>
        <w:rPr>
          <w:rFonts w:hint="eastAsia" w:ascii="宋体" w:hAnsi="宋体" w:cs="宋体"/>
          <w:szCs w:val="21"/>
          <w:highlight w:val="none"/>
        </w:rPr>
      </w:pPr>
      <w:r>
        <w:rPr>
          <w:rFonts w:hint="eastAsia" w:ascii="宋体" w:hAnsi="宋体" w:eastAsia="宋体" w:cs="宋体"/>
          <w:szCs w:val="21"/>
          <w:highlight w:val="none"/>
          <w:lang w:val="en-US" w:eastAsia="zh-CN"/>
        </w:rPr>
        <w:t xml:space="preserve">5.8     </w:t>
      </w:r>
      <w:r>
        <w:rPr>
          <w:rFonts w:hint="eastAsia" w:ascii="宋体" w:hAnsi="宋体" w:eastAsia="宋体" w:cs="宋体"/>
          <w:szCs w:val="21"/>
          <w:highlight w:val="none"/>
        </w:rPr>
        <w:t xml:space="preserve">政府采购中实施本国产品标准及相关政策</w:t>
      </w:r>
      <w:r>
        <w:rPr>
          <w:rFonts w:hint="eastAsia" w:ascii="宋体" w:hAnsi="宋体" w:cs="宋体"/>
          <w:szCs w:val="21"/>
          <w:highlight w:val="none"/>
        </w:rPr>
      </w:r>
      <w:r/>
    </w:p>
    <w:p>
      <w:pPr>
        <w:pStyle w:val="1030"/>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5.8.1本项目对采购本国产品给予政策支持，具体内容见招标文件“第四章 评标程序、评标方法与评标标准”。</w:t>
      </w:r>
      <w:r>
        <w:rPr>
          <w:rFonts w:hint="eastAsia" w:ascii="宋体" w:hAnsi="宋体" w:eastAsia="宋体" w:cs="宋体"/>
          <w:szCs w:val="21"/>
          <w:highlight w:val="none"/>
        </w:rPr>
      </w:r>
      <w:r/>
    </w:p>
    <w:p>
      <w:pPr>
        <w:pStyle w:val="1030"/>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eastAsia="宋体" w:cs="宋体"/>
          <w:szCs w:val="21"/>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0"/>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172" w:name="_Toc164351617"/>
      <w:r/>
      <w:bookmarkStart w:id="173" w:name="_Toc151193911"/>
      <w:r/>
      <w:bookmarkStart w:id="174" w:name="_Toc127151523"/>
      <w:r/>
      <w:bookmarkStart w:id="175" w:name="_Toc264969213"/>
      <w:r/>
      <w:bookmarkStart w:id="176" w:name="_Toc151193765"/>
      <w:r/>
      <w:bookmarkStart w:id="177" w:name="_Toc150480761"/>
      <w:r/>
      <w:bookmarkStart w:id="178" w:name="_Toc265228361"/>
      <w:r/>
      <w:bookmarkStart w:id="179" w:name="_Toc150774623"/>
      <w:r/>
      <w:bookmarkStart w:id="180" w:name="_Toc151193837"/>
      <w:r/>
      <w:bookmarkStart w:id="181" w:name="_Toc149720816"/>
      <w:r/>
      <w:bookmarkStart w:id="182" w:name="_Toc305158791"/>
      <w:r/>
      <w:bookmarkStart w:id="183" w:name="_Toc164229364"/>
      <w:r/>
      <w:bookmarkStart w:id="184" w:name="_Toc142311025"/>
      <w:r/>
      <w:bookmarkStart w:id="185" w:name="_Toc150509274"/>
      <w:r/>
      <w:bookmarkStart w:id="186" w:name="_Toc226309767"/>
      <w:r/>
      <w:bookmarkStart w:id="187" w:name="_Toc164229218"/>
      <w:r/>
      <w:bookmarkStart w:id="188" w:name="_Toc151193621"/>
      <w:r/>
      <w:bookmarkStart w:id="189" w:name="_Toc151193693"/>
      <w:r/>
      <w:bookmarkStart w:id="190" w:name="_Toc151190150"/>
      <w:r/>
      <w:bookmarkStart w:id="191" w:name="_Toc226965796"/>
      <w:r/>
      <w:bookmarkStart w:id="192" w:name="_Toc150774728"/>
      <w:r/>
      <w:bookmarkStart w:id="193" w:name="_Toc305158865"/>
      <w:r/>
      <w:bookmarkStart w:id="194" w:name="_Toc195842888"/>
      <w:r/>
      <w:bookmarkStart w:id="195" w:name="_Toc226337219"/>
      <w:r/>
      <w:bookmarkStart w:id="196" w:name="_Toc127151724"/>
      <w:r/>
      <w:bookmarkStart w:id="197" w:name="_Toc127161437"/>
      <w:r/>
      <w:bookmarkStart w:id="198" w:name="_Toc520356147"/>
      <w:r/>
      <w:bookmarkStart w:id="199" w:name="_Toc164608792"/>
      <w:r/>
      <w:bookmarkStart w:id="200" w:name="_Toc164608637"/>
      <w:r/>
      <w:bookmarkStart w:id="201" w:name="_Toc226965713"/>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spacing w:line="360" w:lineRule="auto"/>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0"/>
        <w:ind w:left="1080"/>
        <w:spacing w:line="360" w:lineRule="auto"/>
        <w:tabs>
          <w:tab w:val="left" w:pos="1080" w:leader="none"/>
          <w:tab w:val="left" w:pos="1561" w:leader="none"/>
        </w:tabs>
        <w:rPr>
          <w:rFonts w:hint="eastAsia" w:ascii="宋体" w:hAnsi="宋体" w:cs="宋体"/>
          <w:szCs w:val="21"/>
          <w:highlight w:val="none"/>
        </w:rPr>
      </w:pPr>
      <w:r/>
      <w:bookmarkStart w:id="202" w:name="_Toc265228364"/>
      <w:r/>
      <w:bookmarkStart w:id="203" w:name="_Toc151193696"/>
      <w:r/>
      <w:bookmarkStart w:id="204" w:name="_Toc142311028"/>
      <w:r/>
      <w:bookmarkStart w:id="205" w:name="_Toc150480764"/>
      <w:r/>
      <w:bookmarkStart w:id="206" w:name="_Toc127151526"/>
      <w:r/>
      <w:bookmarkStart w:id="207" w:name="_Toc226337222"/>
      <w:r/>
      <w:bookmarkStart w:id="208" w:name="_Toc516367020"/>
      <w:r/>
      <w:bookmarkStart w:id="209" w:name="_Toc150774626"/>
      <w:r/>
      <w:bookmarkStart w:id="210" w:name="_Toc226309770"/>
      <w:r/>
      <w:bookmarkStart w:id="211" w:name="_Toc226965716"/>
      <w:r/>
      <w:bookmarkStart w:id="212" w:name="_Toc151193768"/>
      <w:r/>
      <w:bookmarkStart w:id="213" w:name="_Toc520356150"/>
      <w:r/>
      <w:bookmarkStart w:id="214" w:name="_Toc150509277"/>
      <w:r/>
      <w:bookmarkStart w:id="215" w:name="_Toc150774731"/>
      <w:r/>
      <w:bookmarkStart w:id="216" w:name="_Toc151193624"/>
      <w:r/>
      <w:bookmarkStart w:id="217" w:name="_Toc195842891"/>
      <w:r/>
      <w:bookmarkStart w:id="218" w:name="_Toc151193840"/>
      <w:r/>
      <w:bookmarkStart w:id="219" w:name="_Toc151193914"/>
      <w:r/>
      <w:bookmarkStart w:id="220" w:name="_Toc305158794"/>
      <w:r/>
      <w:bookmarkStart w:id="221" w:name="_Toc226965799"/>
      <w:r/>
      <w:bookmarkStart w:id="222" w:name="_Toc305158868"/>
      <w:r/>
      <w:bookmarkStart w:id="223" w:name="_Toc264969216"/>
      <w:r/>
      <w:bookmarkStart w:id="224" w:name="_Toc151190153"/>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25" w:name="_Toc151193625"/>
      <w:r/>
      <w:bookmarkStart w:id="226" w:name="_Toc149720820"/>
      <w:r/>
      <w:bookmarkStart w:id="227" w:name="_Toc151193841"/>
      <w:r/>
      <w:bookmarkStart w:id="228" w:name="_Toc305158869"/>
      <w:r/>
      <w:bookmarkStart w:id="229" w:name="_Toc151190154"/>
      <w:r/>
      <w:bookmarkStart w:id="230" w:name="_Toc226309771"/>
      <w:r/>
      <w:bookmarkStart w:id="231" w:name="_Toc164608796"/>
      <w:r/>
      <w:bookmarkStart w:id="232" w:name="_Toc127161441"/>
      <w:r/>
      <w:bookmarkStart w:id="233" w:name="_Toc164351621"/>
      <w:r/>
      <w:bookmarkStart w:id="234" w:name="_Toc151193697"/>
      <w:r/>
      <w:bookmarkStart w:id="235" w:name="_Toc164608641"/>
      <w:r/>
      <w:bookmarkStart w:id="236" w:name="_Toc150480765"/>
      <w:r/>
      <w:bookmarkStart w:id="237" w:name="_Toc305158795"/>
      <w:r/>
      <w:bookmarkStart w:id="238" w:name="_Toc226337223"/>
      <w:r/>
      <w:bookmarkStart w:id="239" w:name="_Toc195842892"/>
      <w:r/>
      <w:bookmarkStart w:id="240" w:name="_Toc164229368"/>
      <w:r/>
      <w:bookmarkStart w:id="241" w:name="_Toc142311029"/>
      <w:r/>
      <w:bookmarkStart w:id="242" w:name="_Toc151193769"/>
      <w:r/>
      <w:bookmarkStart w:id="243" w:name="_Toc226965800"/>
      <w:r/>
      <w:bookmarkStart w:id="244" w:name="_Toc127151728"/>
      <w:r/>
      <w:bookmarkStart w:id="245" w:name="_Toc264969217"/>
      <w:r/>
      <w:bookmarkStart w:id="246" w:name="_Toc150774627"/>
      <w:r/>
      <w:bookmarkStart w:id="247" w:name="_Toc127151527"/>
      <w:r/>
      <w:bookmarkStart w:id="248" w:name="_Toc150509278"/>
      <w:r/>
      <w:bookmarkStart w:id="249" w:name="_Toc164229222"/>
      <w:r/>
      <w:bookmarkStart w:id="250" w:name="_Toc150774732"/>
      <w:r/>
      <w:bookmarkStart w:id="251" w:name="_Toc265228365"/>
      <w:r/>
      <w:bookmarkStart w:id="252" w:name="_Toc516367021"/>
      <w:r/>
      <w:bookmarkStart w:id="253" w:name="_Toc226965717"/>
      <w:r/>
      <w:bookmarkStart w:id="254" w:name="_Toc151193915"/>
      <w:r/>
      <w:bookmarkStart w:id="255" w:name="_Toc520356151"/>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56" w:name="_Toc305158796"/>
      <w:r/>
      <w:bookmarkStart w:id="257" w:name="_Toc520356152"/>
      <w:r/>
      <w:bookmarkStart w:id="258" w:name="_Toc265228366"/>
      <w:r/>
      <w:bookmarkStart w:id="259" w:name="_Toc151193842"/>
      <w:r/>
      <w:bookmarkStart w:id="260" w:name="_Toc150774733"/>
      <w:r/>
      <w:bookmarkStart w:id="261" w:name="_Toc305158870"/>
      <w:r/>
      <w:bookmarkStart w:id="262" w:name="_Toc226309772"/>
      <w:r/>
      <w:bookmarkStart w:id="263" w:name="_Toc195842893"/>
      <w:r/>
      <w:bookmarkStart w:id="264" w:name="_Toc127151528"/>
      <w:r/>
      <w:bookmarkStart w:id="265" w:name="_Toc150509279"/>
      <w:r/>
      <w:bookmarkStart w:id="266" w:name="_Toc151193698"/>
      <w:r/>
      <w:bookmarkStart w:id="267" w:name="_Toc164351622"/>
      <w:r/>
      <w:bookmarkStart w:id="268" w:name="_Toc127161442"/>
      <w:r/>
      <w:bookmarkStart w:id="269" w:name="_Toc226965801"/>
      <w:r/>
      <w:bookmarkStart w:id="270" w:name="_Toc164608642"/>
      <w:r/>
      <w:bookmarkStart w:id="271" w:name="_Toc226337224"/>
      <w:r/>
      <w:bookmarkStart w:id="272" w:name="_Toc164229223"/>
      <w:r/>
      <w:bookmarkStart w:id="273" w:name="_Toc149720821"/>
      <w:r/>
      <w:bookmarkStart w:id="274" w:name="_Toc127151729"/>
      <w:r/>
      <w:bookmarkStart w:id="275" w:name="_Toc150774628"/>
      <w:r/>
      <w:bookmarkStart w:id="276" w:name="_Toc151193626"/>
      <w:r/>
      <w:bookmarkStart w:id="277" w:name="_Toc150480766"/>
      <w:r/>
      <w:bookmarkStart w:id="278" w:name="_Toc226965718"/>
      <w:r/>
      <w:bookmarkStart w:id="279" w:name="_Toc142311030"/>
      <w:r/>
      <w:bookmarkStart w:id="280" w:name="_Toc151193916"/>
      <w:r/>
      <w:bookmarkStart w:id="281" w:name="_Toc151190155"/>
      <w:r/>
      <w:bookmarkStart w:id="282" w:name="_Toc164608797"/>
      <w:r/>
      <w:bookmarkStart w:id="283" w:name="_Toc151193770"/>
      <w:r/>
      <w:bookmarkStart w:id="284" w:name="_Toc164229369"/>
      <w:r/>
      <w:bookmarkStart w:id="285" w:name="_Toc516367022"/>
      <w:r/>
      <w:bookmarkStart w:id="286" w:name="_Ref467306195"/>
      <w:r/>
      <w:bookmarkStart w:id="287" w:name="_Toc264969218"/>
      <w:r/>
      <w:bookmarkStart w:id="288" w:name="_Ref467306676"/>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90" w:name="_Toc164229225"/>
      <w:r/>
      <w:bookmarkStart w:id="291" w:name="_Toc164351624"/>
      <w:r/>
      <w:bookmarkStart w:id="292" w:name="_Toc151193844"/>
      <w:r/>
      <w:bookmarkStart w:id="293" w:name="_Toc520356155"/>
      <w:r/>
      <w:bookmarkStart w:id="294" w:name="_Toc151193700"/>
      <w:r/>
      <w:bookmarkStart w:id="295" w:name="_Toc164608644"/>
      <w:r/>
      <w:bookmarkStart w:id="296" w:name="_Toc150774630"/>
      <w:r/>
      <w:bookmarkStart w:id="297" w:name="_Toc127151530"/>
      <w:r/>
      <w:bookmarkStart w:id="298" w:name="_Toc151193628"/>
      <w:r/>
      <w:bookmarkStart w:id="299" w:name="_Toc151193772"/>
      <w:r/>
      <w:bookmarkStart w:id="300" w:name="_Toc149720823"/>
      <w:r/>
      <w:bookmarkStart w:id="301" w:name="_Toc195842895"/>
      <w:r/>
      <w:bookmarkStart w:id="302" w:name="_Toc150480768"/>
      <w:r/>
      <w:bookmarkStart w:id="303" w:name="_Toc127151731"/>
      <w:r/>
      <w:bookmarkStart w:id="304" w:name="_Toc151190157"/>
      <w:r/>
      <w:bookmarkStart w:id="305" w:name="_Toc151193918"/>
      <w:r/>
      <w:bookmarkStart w:id="306" w:name="_Toc164229371"/>
      <w:r/>
      <w:bookmarkStart w:id="307" w:name="_Toc127161444"/>
      <w:r/>
      <w:bookmarkStart w:id="308" w:name="_Toc164608799"/>
      <w:r/>
      <w:bookmarkStart w:id="309" w:name="_Toc150774735"/>
      <w:r/>
      <w:bookmarkStart w:id="310" w:name="_Toc150509281"/>
      <w:r/>
      <w:bookmarkStart w:id="311" w:name="_Toc142311032"/>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12" w:name="_Toc150509282"/>
      <w:r/>
      <w:bookmarkStart w:id="313" w:name="_Toc150480769"/>
      <w:r/>
      <w:bookmarkStart w:id="314" w:name="_Toc226337227"/>
      <w:r/>
      <w:bookmarkStart w:id="315" w:name="_Toc151193919"/>
      <w:r/>
      <w:bookmarkStart w:id="316" w:name="_Toc164608645"/>
      <w:r/>
      <w:bookmarkStart w:id="317" w:name="_Toc265228369"/>
      <w:r/>
      <w:bookmarkStart w:id="318" w:name="_Toc164229372"/>
      <w:r/>
      <w:bookmarkStart w:id="319" w:name="_Toc151190158"/>
      <w:r/>
      <w:bookmarkStart w:id="320" w:name="_Toc520356156"/>
      <w:r/>
      <w:bookmarkStart w:id="321" w:name="_Toc150774736"/>
      <w:r/>
      <w:bookmarkStart w:id="322" w:name="_Toc164229226"/>
      <w:r/>
      <w:bookmarkStart w:id="323" w:name="_Toc151193773"/>
      <w:r/>
      <w:bookmarkStart w:id="324" w:name="_Toc127151732"/>
      <w:r/>
      <w:bookmarkStart w:id="325" w:name="_Toc305158873"/>
      <w:r/>
      <w:bookmarkStart w:id="326" w:name="_Toc226965721"/>
      <w:r/>
      <w:bookmarkStart w:id="327" w:name="_Toc226965804"/>
      <w:r/>
      <w:bookmarkStart w:id="328" w:name="_Toc305158799"/>
      <w:r/>
      <w:bookmarkStart w:id="329" w:name="_Toc195842896"/>
      <w:r/>
      <w:bookmarkStart w:id="330" w:name="_Toc151193629"/>
      <w:r/>
      <w:bookmarkStart w:id="331" w:name="_Toc127161445"/>
      <w:r/>
      <w:bookmarkStart w:id="332" w:name="_Toc149720824"/>
      <w:r/>
      <w:bookmarkStart w:id="333" w:name="_Toc151193845"/>
      <w:r/>
      <w:bookmarkStart w:id="334" w:name="_Toc142311033"/>
      <w:r/>
      <w:bookmarkStart w:id="335" w:name="_Toc226309775"/>
      <w:r/>
      <w:bookmarkStart w:id="336" w:name="_Toc127151531"/>
      <w:r/>
      <w:bookmarkStart w:id="337" w:name="_Ref467306513"/>
      <w:r/>
      <w:bookmarkStart w:id="338" w:name="_Toc264969221"/>
      <w:r/>
      <w:bookmarkStart w:id="339" w:name="_Toc164351625"/>
      <w:r/>
      <w:bookmarkStart w:id="340" w:name="_Toc151193701"/>
      <w:r/>
      <w:bookmarkStart w:id="341" w:name="_Toc164608800"/>
      <w:r/>
      <w:bookmarkStart w:id="342" w:name="_Toc150774631"/>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030"/>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43" w:name="_Toc226309776"/>
      <w:r/>
      <w:bookmarkStart w:id="344" w:name="_Toc226965722"/>
      <w:r/>
      <w:bookmarkStart w:id="345" w:name="_Toc164229227"/>
      <w:r/>
      <w:bookmarkStart w:id="346" w:name="_Toc151193774"/>
      <w:r/>
      <w:bookmarkStart w:id="347" w:name="_Toc127151733"/>
      <w:r/>
      <w:bookmarkStart w:id="348" w:name="_Toc265228370"/>
      <w:r/>
      <w:bookmarkStart w:id="349" w:name="_Toc305158800"/>
      <w:r/>
      <w:bookmarkStart w:id="350" w:name="_Toc226965805"/>
      <w:r/>
      <w:bookmarkStart w:id="351" w:name="_Toc164608646"/>
      <w:r/>
      <w:bookmarkStart w:id="352" w:name="_Toc127161446"/>
      <w:r/>
      <w:bookmarkStart w:id="353" w:name="_Toc164229373"/>
      <w:r/>
      <w:bookmarkStart w:id="354" w:name="_Toc305158874"/>
      <w:r/>
      <w:bookmarkStart w:id="355" w:name="_Toc150774737"/>
      <w:r/>
      <w:bookmarkStart w:id="356" w:name="_Toc151193920"/>
      <w:r/>
      <w:bookmarkStart w:id="357" w:name="_Toc520356157"/>
      <w:r/>
      <w:bookmarkStart w:id="358" w:name="_Toc164608801"/>
      <w:r/>
      <w:bookmarkStart w:id="359" w:name="_Toc164351626"/>
      <w:r/>
      <w:bookmarkStart w:id="360" w:name="_Toc142311034"/>
      <w:r/>
      <w:bookmarkStart w:id="361" w:name="_Toc150774632"/>
      <w:r/>
      <w:bookmarkStart w:id="362" w:name="_Toc150509283"/>
      <w:r/>
      <w:bookmarkStart w:id="363" w:name="_Toc149720825"/>
      <w:r/>
      <w:bookmarkStart w:id="364" w:name="_Toc151193846"/>
      <w:r/>
      <w:bookmarkStart w:id="365" w:name="_Toc151190159"/>
      <w:r/>
      <w:bookmarkStart w:id="366" w:name="_Toc150480770"/>
      <w:r/>
      <w:bookmarkStart w:id="367" w:name="_Toc127151532"/>
      <w:r/>
      <w:bookmarkStart w:id="368" w:name="_Toc151193630"/>
      <w:r/>
      <w:bookmarkStart w:id="369" w:name="_Toc151193702"/>
      <w:r/>
      <w:bookmarkStart w:id="370" w:name="_Toc195842897"/>
      <w:r/>
      <w:bookmarkStart w:id="371" w:name="_Toc226337228"/>
      <w:r/>
      <w:bookmarkStart w:id="372" w:name="_Toc264969222"/>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73" w:name="_Toc226337229"/>
      <w:r/>
      <w:bookmarkStart w:id="374" w:name="_Toc164608802"/>
      <w:r/>
      <w:bookmarkStart w:id="375" w:name="_Toc151190160"/>
      <w:r/>
      <w:bookmarkStart w:id="376" w:name="_Toc226965723"/>
      <w:r/>
      <w:bookmarkStart w:id="377" w:name="_Toc150774633"/>
      <w:r/>
      <w:bookmarkStart w:id="378" w:name="_Toc226965806"/>
      <w:r/>
      <w:bookmarkStart w:id="379" w:name="_Toc151193703"/>
      <w:r/>
      <w:bookmarkStart w:id="380" w:name="_Toc305158801"/>
      <w:r/>
      <w:bookmarkStart w:id="381" w:name="_Toc142311035"/>
      <w:r/>
      <w:bookmarkStart w:id="382" w:name="_Toc164229374"/>
      <w:r/>
      <w:bookmarkStart w:id="383" w:name="_Toc520356158"/>
      <w:r/>
      <w:bookmarkStart w:id="384" w:name="_Toc164351627"/>
      <w:r/>
      <w:bookmarkStart w:id="385" w:name="_Toc150509284"/>
      <w:r/>
      <w:bookmarkStart w:id="386" w:name="_Toc150480771"/>
      <w:r/>
      <w:bookmarkStart w:id="387" w:name="_Toc305158875"/>
      <w:r/>
      <w:bookmarkStart w:id="388" w:name="_Toc164229228"/>
      <w:r/>
      <w:bookmarkStart w:id="389" w:name="_Toc127161447"/>
      <w:r/>
      <w:bookmarkStart w:id="390" w:name="_Toc151193631"/>
      <w:r/>
      <w:bookmarkStart w:id="391" w:name="_Toc151193921"/>
      <w:r/>
      <w:bookmarkStart w:id="392" w:name="_Toc164608647"/>
      <w:r/>
      <w:bookmarkStart w:id="393" w:name="_Toc150774738"/>
      <w:r/>
      <w:bookmarkStart w:id="394" w:name="_Toc195842898"/>
      <w:r/>
      <w:bookmarkStart w:id="395" w:name="_Toc127151533"/>
      <w:r/>
      <w:bookmarkStart w:id="396" w:name="_Toc127151734"/>
      <w:r/>
      <w:bookmarkStart w:id="397" w:name="_Toc149720826"/>
      <w:r/>
      <w:bookmarkStart w:id="398" w:name="_Toc151193847"/>
      <w:r/>
      <w:bookmarkStart w:id="399" w:name="_Toc226309777"/>
      <w:r/>
      <w:bookmarkStart w:id="400" w:name="_Toc265228371"/>
      <w:r/>
      <w:bookmarkStart w:id="401" w:name="_Toc151193775"/>
      <w:r/>
      <w:bookmarkStart w:id="402" w:name="_Toc264969223"/>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403" w:name="_Toc127151534"/>
      <w:r/>
      <w:bookmarkStart w:id="404" w:name="_Toc150774739"/>
      <w:r/>
      <w:bookmarkStart w:id="405" w:name="_Toc520356159"/>
      <w:r/>
      <w:bookmarkStart w:id="406" w:name="_Toc305158802"/>
      <w:r/>
      <w:bookmarkStart w:id="407" w:name="_Toc265228372"/>
      <w:r/>
      <w:bookmarkStart w:id="408" w:name="_Toc264969224"/>
      <w:r/>
      <w:bookmarkStart w:id="409" w:name="_Toc150480772"/>
      <w:r/>
      <w:bookmarkStart w:id="410" w:name="_Toc226337230"/>
      <w:r/>
      <w:bookmarkStart w:id="411" w:name="_Toc226309778"/>
      <w:r/>
      <w:bookmarkStart w:id="412" w:name="_Toc195842899"/>
      <w:r/>
      <w:bookmarkStart w:id="413" w:name="_Toc151193848"/>
      <w:r/>
      <w:bookmarkStart w:id="414" w:name="_Toc151193776"/>
      <w:r/>
      <w:bookmarkStart w:id="415" w:name="_Toc226965724"/>
      <w:r/>
      <w:bookmarkStart w:id="416" w:name="_Toc151190161"/>
      <w:r/>
      <w:bookmarkStart w:id="417" w:name="_Toc226965807"/>
      <w:r/>
      <w:bookmarkStart w:id="418" w:name="_Toc151193704"/>
      <w:r/>
      <w:bookmarkStart w:id="419" w:name="_Toc151193632"/>
      <w:r/>
      <w:bookmarkStart w:id="420" w:name="_Toc305158876"/>
      <w:r/>
      <w:bookmarkStart w:id="421" w:name="_Toc142311036"/>
      <w:r/>
      <w:bookmarkStart w:id="422" w:name="_Toc150774634"/>
      <w:r/>
      <w:bookmarkStart w:id="423" w:name="_Toc150509285"/>
      <w:r/>
      <w:bookmarkStart w:id="424" w:name="_Toc151193922"/>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0"/>
        <w:ind w:left="357"/>
        <w:spacing w:line="360" w:lineRule="auto"/>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25" w:name="_Toc195842900"/>
      <w:r/>
      <w:bookmarkStart w:id="426" w:name="_Toc164351629"/>
      <w:r/>
      <w:bookmarkStart w:id="427" w:name="_Toc142311037"/>
      <w:r/>
      <w:bookmarkStart w:id="428" w:name="_Toc164229376"/>
      <w:r/>
      <w:bookmarkStart w:id="429" w:name="_Toc127161449"/>
      <w:r/>
      <w:bookmarkStart w:id="430" w:name="_Toc164608804"/>
      <w:r/>
      <w:bookmarkStart w:id="431" w:name="_Toc164229230"/>
      <w:r/>
      <w:bookmarkStart w:id="432" w:name="_Toc151193777"/>
      <w:r/>
      <w:bookmarkStart w:id="433" w:name="_Toc150774635"/>
      <w:r/>
      <w:bookmarkStart w:id="434" w:name="_Toc226309779"/>
      <w:r/>
      <w:bookmarkStart w:id="435" w:name="_Toc150774740"/>
      <w:r/>
      <w:bookmarkStart w:id="436" w:name="_Toc150509286"/>
      <w:r/>
      <w:bookmarkStart w:id="437" w:name="_Toc151193633"/>
      <w:r/>
      <w:bookmarkStart w:id="438" w:name="_Toc151190162"/>
      <w:r/>
      <w:bookmarkStart w:id="439" w:name="_Toc264969225"/>
      <w:r/>
      <w:bookmarkStart w:id="440" w:name="_Toc150480773"/>
      <w:r/>
      <w:bookmarkStart w:id="441" w:name="_Toc149720828"/>
      <w:r/>
      <w:bookmarkStart w:id="442" w:name="_Toc151193849"/>
      <w:r/>
      <w:bookmarkStart w:id="443" w:name="_Toc265228373"/>
      <w:r/>
      <w:bookmarkStart w:id="444" w:name="_Toc305158803"/>
      <w:r/>
      <w:bookmarkStart w:id="445" w:name="_Toc151193923"/>
      <w:r/>
      <w:bookmarkStart w:id="446" w:name="_Toc164608649"/>
      <w:r/>
      <w:bookmarkStart w:id="447" w:name="_Toc127151535"/>
      <w:r/>
      <w:bookmarkStart w:id="448" w:name="_Toc305158877"/>
      <w:r/>
      <w:bookmarkStart w:id="449" w:name="_Toc151193705"/>
      <w:r/>
      <w:bookmarkStart w:id="450" w:name="_Toc127151736"/>
      <w:r/>
      <w:bookmarkStart w:id="451" w:name="_Toc226965808"/>
      <w:r/>
      <w:bookmarkStart w:id="452" w:name="_Toc520356160"/>
      <w:r/>
      <w:bookmarkStart w:id="453" w:name="_Toc226965725"/>
      <w:r/>
      <w:bookmarkStart w:id="454" w:name="_Toc226337231"/>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55" w:name="_Toc150774636"/>
      <w:r/>
      <w:bookmarkStart w:id="456" w:name="_Toc151193778"/>
      <w:r/>
      <w:bookmarkStart w:id="457" w:name="_Toc127161450"/>
      <w:r/>
      <w:bookmarkStart w:id="458" w:name="_Toc265228374"/>
      <w:r/>
      <w:bookmarkStart w:id="459" w:name="_Toc164608805"/>
      <w:r/>
      <w:bookmarkStart w:id="460" w:name="_Toc150480774"/>
      <w:r/>
      <w:bookmarkStart w:id="461" w:name="_Toc226965726"/>
      <w:r/>
      <w:bookmarkStart w:id="462" w:name="_Toc127151737"/>
      <w:r/>
      <w:bookmarkStart w:id="463" w:name="_Toc226309780"/>
      <w:r/>
      <w:bookmarkStart w:id="464" w:name="_Toc226965809"/>
      <w:r/>
      <w:bookmarkStart w:id="465" w:name="_Toc305158804"/>
      <w:r/>
      <w:bookmarkStart w:id="466" w:name="_Toc305158878"/>
      <w:r/>
      <w:bookmarkStart w:id="467" w:name="_Toc226337232"/>
      <w:r/>
      <w:bookmarkStart w:id="468" w:name="_Toc164229231"/>
      <w:r/>
      <w:bookmarkStart w:id="469" w:name="_Toc151193924"/>
      <w:r/>
      <w:bookmarkStart w:id="470" w:name="_Toc195842901"/>
      <w:r/>
      <w:bookmarkStart w:id="471" w:name="_Toc151193850"/>
      <w:r/>
      <w:bookmarkStart w:id="472" w:name="_Toc520356161"/>
      <w:r/>
      <w:bookmarkStart w:id="473" w:name="_Toc150774741"/>
      <w:r/>
      <w:bookmarkStart w:id="474" w:name="_Toc149720829"/>
      <w:r/>
      <w:bookmarkStart w:id="475" w:name="_Toc151190163"/>
      <w:r/>
      <w:bookmarkStart w:id="476" w:name="_Toc264969226"/>
      <w:r/>
      <w:bookmarkStart w:id="477" w:name="_Toc151193706"/>
      <w:r/>
      <w:bookmarkStart w:id="478" w:name="_Toc164608650"/>
      <w:r/>
      <w:bookmarkStart w:id="479" w:name="_Toc150509287"/>
      <w:r/>
      <w:bookmarkStart w:id="480" w:name="_Toc164229377"/>
      <w:r/>
      <w:bookmarkStart w:id="481" w:name="_Toc142311038"/>
      <w:r/>
      <w:bookmarkStart w:id="482" w:name="_Toc151193634"/>
      <w:r/>
      <w:bookmarkStart w:id="483" w:name="_Toc164351630"/>
      <w:r/>
      <w:bookmarkStart w:id="484" w:name="_Toc127151536"/>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85" w:name="_Toc127151537"/>
      <w:r/>
      <w:bookmarkStart w:id="486" w:name="_Toc127151738"/>
      <w:r/>
      <w:bookmarkStart w:id="487" w:name="_Toc265228375"/>
      <w:r/>
      <w:bookmarkStart w:id="488" w:name="_Toc226309781"/>
      <w:r/>
      <w:bookmarkStart w:id="489" w:name="_Toc142311039"/>
      <w:r/>
      <w:bookmarkStart w:id="490" w:name="_Toc226337233"/>
      <w:r/>
      <w:bookmarkStart w:id="491" w:name="_Toc151193925"/>
      <w:r/>
      <w:bookmarkStart w:id="492" w:name="_Toc305158805"/>
      <w:r/>
      <w:bookmarkStart w:id="493" w:name="_Toc264969227"/>
      <w:r/>
      <w:bookmarkStart w:id="494" w:name="_Toc150774742"/>
      <w:r/>
      <w:bookmarkStart w:id="495" w:name="_Toc164608651"/>
      <w:r/>
      <w:bookmarkStart w:id="496" w:name="_Toc164608806"/>
      <w:r/>
      <w:bookmarkStart w:id="497" w:name="_Toc164351631"/>
      <w:r/>
      <w:bookmarkStart w:id="498" w:name="_Toc151190164"/>
      <w:r/>
      <w:bookmarkStart w:id="499" w:name="_Toc150774637"/>
      <w:r/>
      <w:bookmarkStart w:id="500" w:name="_Toc127161451"/>
      <w:r/>
      <w:bookmarkStart w:id="501" w:name="_Toc226965810"/>
      <w:r/>
      <w:bookmarkStart w:id="502" w:name="_Toc151193635"/>
      <w:r/>
      <w:bookmarkStart w:id="503" w:name="_Toc150509288"/>
      <w:r/>
      <w:bookmarkStart w:id="504" w:name="_Toc195842902"/>
      <w:r/>
      <w:bookmarkStart w:id="505" w:name="_Toc150480775"/>
      <w:r/>
      <w:bookmarkStart w:id="506" w:name="_Toc520356162"/>
      <w:r/>
      <w:bookmarkStart w:id="507" w:name="_Toc226965727"/>
      <w:r/>
      <w:bookmarkStart w:id="508" w:name="_Toc151193779"/>
      <w:r/>
      <w:bookmarkStart w:id="509" w:name="_Toc149720830"/>
      <w:r/>
      <w:bookmarkStart w:id="510" w:name="_Toc164229232"/>
      <w:r/>
      <w:bookmarkStart w:id="511" w:name="_Toc305158879"/>
      <w:r/>
      <w:bookmarkStart w:id="512" w:name="_Toc151193707"/>
      <w:r/>
      <w:bookmarkStart w:id="513" w:name="_Toc164229378"/>
      <w:r/>
      <w:bookmarkStart w:id="514" w:name="_Toc151193851"/>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bookmarkStart w:id="515" w:name="_Toc305158806"/>
      <w:r/>
      <w:bookmarkStart w:id="516" w:name="_Toc195842903"/>
      <w:r/>
      <w:bookmarkStart w:id="517" w:name="_Toc226309782"/>
      <w:r/>
      <w:bookmarkStart w:id="518" w:name="_Toc264969228"/>
      <w:r/>
      <w:bookmarkStart w:id="519" w:name="_Toc150509289"/>
      <w:r/>
      <w:bookmarkStart w:id="520" w:name="_Toc305158880"/>
      <w:r/>
      <w:bookmarkStart w:id="521" w:name="_Toc150774743"/>
      <w:r/>
      <w:bookmarkStart w:id="522" w:name="_Toc265228376"/>
      <w:r/>
      <w:bookmarkStart w:id="523" w:name="_Toc520356163"/>
      <w:r/>
      <w:bookmarkStart w:id="524" w:name="_Toc142311040"/>
      <w:r/>
      <w:bookmarkStart w:id="525" w:name="_Toc151193926"/>
      <w:r/>
      <w:bookmarkStart w:id="526" w:name="_Toc151193780"/>
      <w:r/>
      <w:bookmarkStart w:id="527" w:name="_Toc150480776"/>
      <w:r/>
      <w:bookmarkStart w:id="528" w:name="_Toc226965728"/>
      <w:r/>
      <w:bookmarkStart w:id="529" w:name="_Toc127151538"/>
      <w:r/>
      <w:bookmarkStart w:id="530" w:name="_Toc226965811"/>
      <w:r/>
      <w:bookmarkStart w:id="531" w:name="_Toc226337234"/>
      <w:r/>
      <w:bookmarkStart w:id="532" w:name="_Toc150774638"/>
      <w:r/>
      <w:bookmarkStart w:id="533" w:name="_Toc151193636"/>
      <w:r/>
      <w:bookmarkStart w:id="534" w:name="_Toc151193852"/>
      <w:r/>
      <w:bookmarkStart w:id="535" w:name="_Toc151193708"/>
      <w:r/>
      <w:bookmarkStart w:id="536" w:name="_Toc151190165"/>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537" w:name="_Toc151193709"/>
      <w:r/>
      <w:bookmarkStart w:id="538" w:name="_Toc305158881"/>
      <w:r/>
      <w:bookmarkStart w:id="539" w:name="_Toc264969229"/>
      <w:r/>
      <w:bookmarkStart w:id="540" w:name="_Toc150509290"/>
      <w:r/>
      <w:bookmarkStart w:id="541" w:name="_Toc151193637"/>
      <w:r/>
      <w:bookmarkStart w:id="542" w:name="_Toc164608808"/>
      <w:r/>
      <w:bookmarkStart w:id="543" w:name="_Toc142311041"/>
      <w:r/>
      <w:bookmarkStart w:id="544" w:name="_Toc226309783"/>
      <w:r/>
      <w:bookmarkStart w:id="545" w:name="_Toc305158807"/>
      <w:r/>
      <w:bookmarkStart w:id="546" w:name="_Toc265228377"/>
      <w:r/>
      <w:bookmarkStart w:id="547" w:name="_Toc149720832"/>
      <w:r/>
      <w:bookmarkStart w:id="548" w:name="_Toc195842904"/>
      <w:r/>
      <w:bookmarkStart w:id="549" w:name="_Toc520356164"/>
      <w:r/>
      <w:bookmarkStart w:id="550" w:name="_Toc150774744"/>
      <w:r/>
      <w:bookmarkStart w:id="551" w:name="_Toc151193853"/>
      <w:r/>
      <w:bookmarkStart w:id="552" w:name="_Toc151190166"/>
      <w:r/>
      <w:bookmarkStart w:id="553" w:name="_Toc127151539"/>
      <w:r/>
      <w:bookmarkStart w:id="554" w:name="_Toc164608653"/>
      <w:r/>
      <w:bookmarkStart w:id="555" w:name="_Toc151193781"/>
      <w:r/>
      <w:bookmarkStart w:id="556" w:name="_Toc164229380"/>
      <w:r/>
      <w:bookmarkStart w:id="557" w:name="_Toc150480777"/>
      <w:r/>
      <w:bookmarkStart w:id="558" w:name="_Toc164351633"/>
      <w:r/>
      <w:bookmarkStart w:id="559" w:name="_Toc226965729"/>
      <w:r/>
      <w:bookmarkStart w:id="560" w:name="_Toc127151740"/>
      <w:r/>
      <w:bookmarkStart w:id="561" w:name="_Toc150774639"/>
      <w:r/>
      <w:bookmarkStart w:id="562" w:name="_Toc226965812"/>
      <w:r/>
      <w:bookmarkStart w:id="563" w:name="_Toc226337235"/>
      <w:r/>
      <w:bookmarkStart w:id="564" w:name="_Toc151193927"/>
      <w:r/>
      <w:bookmarkStart w:id="565" w:name="_Toc127161453"/>
      <w:r/>
      <w:bookmarkStart w:id="566" w:name="_Toc164229234"/>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0"/>
        <w:ind w:left="1134"/>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567"/>
      <w:r/>
      <w:bookmarkStart w:id="568" w:name="_Toc127151741"/>
      <w:r/>
      <w:bookmarkStart w:id="569" w:name="_Toc226309784"/>
      <w:r/>
      <w:bookmarkStart w:id="570" w:name="_Toc164608654"/>
      <w:r/>
      <w:bookmarkStart w:id="571" w:name="_Toc164229381"/>
      <w:r/>
      <w:bookmarkStart w:id="572" w:name="_Toc305158808"/>
      <w:r/>
      <w:bookmarkStart w:id="573" w:name="_Toc226965730"/>
      <w:r/>
      <w:bookmarkStart w:id="574" w:name="_Toc150509291"/>
      <w:r/>
      <w:bookmarkStart w:id="575" w:name="_Toc264969230"/>
      <w:r/>
      <w:bookmarkStart w:id="576" w:name="_Toc195842905"/>
      <w:r/>
      <w:bookmarkStart w:id="577" w:name="_Toc151193710"/>
      <w:r/>
      <w:bookmarkStart w:id="578" w:name="_Toc226965813"/>
      <w:r/>
      <w:bookmarkStart w:id="579" w:name="_Toc151193638"/>
      <w:r/>
      <w:bookmarkStart w:id="580" w:name="_Toc164229235"/>
      <w:r/>
      <w:bookmarkStart w:id="581" w:name="_Toc151193854"/>
      <w:r/>
      <w:bookmarkStart w:id="582" w:name="_Toc149720833"/>
      <w:r/>
      <w:bookmarkStart w:id="583" w:name="_Toc127151540"/>
      <w:r/>
      <w:bookmarkStart w:id="584" w:name="_Toc305158882"/>
      <w:r/>
      <w:bookmarkStart w:id="585" w:name="_Toc226337236"/>
      <w:r/>
      <w:bookmarkStart w:id="586" w:name="_Toc151190167"/>
      <w:r/>
      <w:bookmarkStart w:id="587" w:name="_Toc265228378"/>
      <w:r/>
      <w:bookmarkStart w:id="588" w:name="_Toc164608809"/>
      <w:r/>
      <w:bookmarkStart w:id="589" w:name="_Toc150774745"/>
      <w:r/>
      <w:bookmarkStart w:id="590" w:name="_Toc127161454"/>
      <w:r/>
      <w:bookmarkStart w:id="591" w:name="_Toc150480778"/>
      <w:r/>
      <w:bookmarkStart w:id="592" w:name="_Toc151193782"/>
      <w:r/>
      <w:bookmarkStart w:id="593" w:name="_Toc151193928"/>
      <w:r/>
      <w:bookmarkStart w:id="594" w:name="_Toc142311042"/>
      <w:r/>
      <w:bookmarkStart w:id="595" w:name="_Toc150774640"/>
      <w:r/>
      <w:bookmarkStart w:id="596" w:name="_Toc164351634"/>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0"/>
        <w:ind w:left="108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bookmarkStart w:id="599" w:name="_Toc151193859"/>
      <w:r/>
      <w:bookmarkStart w:id="600" w:name="_Toc226965818"/>
      <w:r/>
      <w:bookmarkStart w:id="601" w:name="_Toc150509296"/>
      <w:r/>
      <w:bookmarkStart w:id="602" w:name="_Toc150774645"/>
      <w:r/>
      <w:bookmarkStart w:id="603" w:name="_Toc142311047"/>
      <w:r/>
      <w:bookmarkStart w:id="604" w:name="_Toc150480783"/>
      <w:r/>
      <w:bookmarkStart w:id="605" w:name="_Toc195842910"/>
      <w:r/>
      <w:bookmarkStart w:id="606" w:name="_Toc265228383"/>
      <w:r/>
      <w:bookmarkStart w:id="607" w:name="_Toc127151545"/>
      <w:r/>
      <w:bookmarkStart w:id="608" w:name="_Toc305158813"/>
      <w:r/>
      <w:bookmarkStart w:id="609" w:name="_Toc151193643"/>
      <w:r/>
      <w:bookmarkStart w:id="610" w:name="_Toc226337241"/>
      <w:r/>
      <w:bookmarkStart w:id="611" w:name="_Toc151193787"/>
      <w:r/>
      <w:bookmarkStart w:id="612" w:name="_Toc151193933"/>
      <w:r/>
      <w:bookmarkStart w:id="613" w:name="_Toc305158887"/>
      <w:r/>
      <w:bookmarkStart w:id="614" w:name="_Toc150774750"/>
      <w:r/>
      <w:bookmarkStart w:id="615" w:name="_Toc151190172"/>
      <w:r/>
      <w:bookmarkStart w:id="616" w:name="_Toc264969235"/>
      <w:r/>
      <w:bookmarkStart w:id="617" w:name="_Toc226309789"/>
      <w:r/>
      <w:bookmarkStart w:id="618" w:name="_Toc151193715"/>
      <w:r/>
      <w:bookmarkStart w:id="619" w:name="_Toc226965735"/>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51193645"/>
      <w:r/>
      <w:bookmarkStart w:id="621" w:name="_Toc150774752"/>
      <w:r/>
      <w:bookmarkStart w:id="622" w:name="_Toc195842912"/>
      <w:r/>
      <w:bookmarkStart w:id="623" w:name="_Toc305158889"/>
      <w:r/>
      <w:bookmarkStart w:id="624" w:name="_Toc151193935"/>
      <w:r/>
      <w:bookmarkStart w:id="625" w:name="_Toc151193861"/>
      <w:r/>
      <w:bookmarkStart w:id="626" w:name="_Toc150480785"/>
      <w:r/>
      <w:bookmarkStart w:id="627" w:name="_Toc150509298"/>
      <w:r/>
      <w:bookmarkStart w:id="628" w:name="_Toc142311049"/>
      <w:r/>
      <w:bookmarkStart w:id="629" w:name="_Toc226309791"/>
      <w:r/>
      <w:bookmarkStart w:id="630" w:name="_Toc264969237"/>
      <w:r/>
      <w:bookmarkStart w:id="631" w:name="_Toc226965820"/>
      <w:r/>
      <w:bookmarkStart w:id="632" w:name="_Toc127161461"/>
      <w:r/>
      <w:bookmarkStart w:id="633" w:name="_Toc164608816"/>
      <w:r/>
      <w:bookmarkStart w:id="634" w:name="_Toc164229242"/>
      <w:r/>
      <w:bookmarkStart w:id="635" w:name="_Toc149720840"/>
      <w:r/>
      <w:bookmarkStart w:id="636" w:name="_Toc150774647"/>
      <w:r/>
      <w:bookmarkStart w:id="637" w:name="_Toc164608661"/>
      <w:r/>
      <w:bookmarkStart w:id="638" w:name="_Toc164351641"/>
      <w:r/>
      <w:bookmarkStart w:id="639" w:name="_Toc127151748"/>
      <w:r/>
      <w:bookmarkStart w:id="640" w:name="_Toc265228385"/>
      <w:r/>
      <w:bookmarkStart w:id="641" w:name="_Toc226337243"/>
      <w:r/>
      <w:bookmarkStart w:id="642" w:name="_Toc226965737"/>
      <w:r/>
      <w:bookmarkStart w:id="643" w:name="_Toc305158815"/>
      <w:r/>
      <w:bookmarkStart w:id="644" w:name="_Toc151193717"/>
      <w:r/>
      <w:bookmarkStart w:id="645" w:name="_Toc127151547"/>
      <w:r/>
      <w:bookmarkStart w:id="646" w:name="_Toc164229388"/>
      <w:r/>
      <w:bookmarkStart w:id="647" w:name="_Toc151190174"/>
      <w:r/>
      <w:bookmarkStart w:id="648" w:name="_Toc151193789"/>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649" w:name="_Toc150774649"/>
      <w:r/>
      <w:bookmarkStart w:id="650" w:name="_Toc164608818"/>
      <w:r/>
      <w:bookmarkStart w:id="651" w:name="_Toc151193863"/>
      <w:r/>
      <w:bookmarkStart w:id="652" w:name="_Toc305158891"/>
      <w:r/>
      <w:bookmarkStart w:id="653" w:name="_Toc164351643"/>
      <w:r/>
      <w:bookmarkStart w:id="654" w:name="_Ref467307090"/>
      <w:r/>
      <w:bookmarkStart w:id="655" w:name="_Toc520356176"/>
      <w:r/>
      <w:bookmarkStart w:id="656" w:name="_Ref467306425"/>
      <w:r/>
      <w:bookmarkStart w:id="657" w:name="_Toc305158817"/>
      <w:r/>
      <w:bookmarkStart w:id="658" w:name="_Toc226965822"/>
      <w:r/>
      <w:bookmarkStart w:id="659" w:name="_Toc164229244"/>
      <w:r/>
      <w:bookmarkStart w:id="660" w:name="_Toc151193937"/>
      <w:r/>
      <w:bookmarkStart w:id="661" w:name="_Toc151193647"/>
      <w:r/>
      <w:bookmarkStart w:id="662" w:name="_Toc149720842"/>
      <w:r/>
      <w:bookmarkStart w:id="663" w:name="_Toc127151750"/>
      <w:r/>
      <w:bookmarkStart w:id="664" w:name="_Toc150774754"/>
      <w:r/>
      <w:bookmarkStart w:id="665" w:name="_Toc127151549"/>
      <w:r/>
      <w:bookmarkStart w:id="666" w:name="_Toc226337245"/>
      <w:r/>
      <w:bookmarkStart w:id="667" w:name="_Toc150480787"/>
      <w:r/>
      <w:bookmarkStart w:id="668" w:name="_Toc151193719"/>
      <w:r/>
      <w:bookmarkStart w:id="669" w:name="_Toc164229390"/>
      <w:r/>
      <w:bookmarkStart w:id="670" w:name="_Toc264969239"/>
      <w:r/>
      <w:bookmarkStart w:id="671" w:name="_Toc195842914"/>
      <w:r/>
      <w:bookmarkStart w:id="672" w:name="_Toc265228387"/>
      <w:r/>
      <w:bookmarkStart w:id="673" w:name="_Toc226309793"/>
      <w:r/>
      <w:bookmarkStart w:id="674" w:name="_Toc151190176"/>
      <w:r/>
      <w:bookmarkStart w:id="675" w:name="_Toc151193791"/>
      <w:r/>
      <w:bookmarkStart w:id="676" w:name="_Toc226965739"/>
      <w:r/>
      <w:bookmarkStart w:id="677" w:name="_Toc127161463"/>
      <w:r/>
      <w:bookmarkStart w:id="678" w:name="_Toc164608663"/>
      <w:r/>
      <w:bookmarkStart w:id="679" w:name="_Toc150509300"/>
      <w:r/>
      <w:bookmarkStart w:id="680" w:name="_Toc142311051"/>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150509301"/>
      <w:r/>
      <w:bookmarkStart w:id="682" w:name="_Toc149720843"/>
      <w:r/>
      <w:bookmarkStart w:id="683" w:name="_Toc164351644"/>
      <w:r/>
      <w:bookmarkStart w:id="684" w:name="_Toc150774650"/>
      <w:r/>
      <w:bookmarkStart w:id="685" w:name="_Ref467307062"/>
      <w:r/>
      <w:bookmarkStart w:id="686" w:name="_Toc164229391"/>
      <w:r/>
      <w:bookmarkStart w:id="687" w:name="_Toc264969240"/>
      <w:r/>
      <w:bookmarkStart w:id="688" w:name="_Toc520356175"/>
      <w:r/>
      <w:bookmarkStart w:id="689" w:name="_Toc150480788"/>
      <w:r/>
      <w:bookmarkStart w:id="690" w:name="_Toc150774755"/>
      <w:r/>
      <w:bookmarkStart w:id="691" w:name="_Toc151193792"/>
      <w:r/>
      <w:bookmarkStart w:id="692" w:name="_Toc142311052"/>
      <w:r/>
      <w:bookmarkStart w:id="693" w:name="_Toc195842915"/>
      <w:r/>
      <w:bookmarkStart w:id="694" w:name="_Toc127151751"/>
      <w:r/>
      <w:bookmarkStart w:id="695" w:name="_Toc226965823"/>
      <w:r/>
      <w:bookmarkStart w:id="696" w:name="_Toc151193864"/>
      <w:r/>
      <w:bookmarkStart w:id="697" w:name="_Toc265228388"/>
      <w:r/>
      <w:bookmarkStart w:id="698" w:name="_Ref467307204"/>
      <w:r/>
      <w:bookmarkStart w:id="699" w:name="_Ref467306377"/>
      <w:r/>
      <w:bookmarkStart w:id="700" w:name="_Toc164608664"/>
      <w:r/>
      <w:bookmarkStart w:id="701" w:name="_Toc127151550"/>
      <w:r/>
      <w:bookmarkStart w:id="702" w:name="_Toc226965740"/>
      <w:r/>
      <w:bookmarkStart w:id="703" w:name="_Toc305158818"/>
      <w:r/>
      <w:bookmarkStart w:id="704" w:name="_Toc151190177"/>
      <w:r/>
      <w:bookmarkStart w:id="705" w:name="_Toc127161464"/>
      <w:r/>
      <w:bookmarkStart w:id="706" w:name="_Toc164608819"/>
      <w:r/>
      <w:bookmarkStart w:id="707" w:name="_Toc164229245"/>
      <w:r/>
      <w:bookmarkStart w:id="708" w:name="_Ref467306978"/>
      <w:r/>
      <w:bookmarkStart w:id="709" w:name="_Toc151193648"/>
      <w:r/>
      <w:bookmarkStart w:id="710" w:name="_Toc226337246"/>
      <w:r/>
      <w:bookmarkStart w:id="711" w:name="_Toc151193720"/>
      <w:r/>
      <w:bookmarkStart w:id="712" w:name="_Toc151193938"/>
      <w:r/>
      <w:bookmarkStart w:id="713" w:name="_Toc305158892"/>
      <w:r/>
      <w:bookmarkStart w:id="714" w:name="_Toc226309794"/>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08"/>
          <w:rFonts w:hint="eastAsia" w:ascii="宋体" w:hAnsi="宋体" w:cs="宋体"/>
          <w:szCs w:val="21"/>
          <w:highlight w:val="none"/>
        </w:rPr>
        <w:t xml:space="preserve">http://gk</w:t>
      </w:r>
      <w:bookmarkStart w:id="715" w:name="_Hlt100654014"/>
      <w:r>
        <w:rPr>
          <w:rStyle w:val="1108"/>
          <w:rFonts w:hint="eastAsia" w:ascii="宋体" w:hAnsi="宋体" w:cs="宋体"/>
          <w:szCs w:val="21"/>
          <w:highlight w:val="none"/>
        </w:rPr>
        <w:t xml:space="preserve">s</w:t>
      </w:r>
      <w:bookmarkEnd w:id="715"/>
      <w:r>
        <w:rPr>
          <w:rStyle w:val="1108"/>
          <w:rFonts w:hint="eastAsia" w:ascii="宋体" w:hAnsi="宋体" w:cs="宋体"/>
          <w:szCs w:val="21"/>
          <w:highlight w:val="none"/>
        </w:rPr>
        <w:t xml:space="preserve">.m</w:t>
      </w:r>
      <w:bookmarkStart w:id="716" w:name="_Hlt100653993"/>
      <w:r/>
      <w:bookmarkStart w:id="717" w:name="_Hlt100653994"/>
      <w:r>
        <w:rPr>
          <w:rStyle w:val="1108"/>
          <w:rFonts w:hint="eastAsia" w:ascii="宋体" w:hAnsi="宋体" w:cs="宋体"/>
          <w:szCs w:val="21"/>
          <w:highlight w:val="none"/>
        </w:rPr>
        <w:t xml:space="preserve">o</w:t>
      </w:r>
      <w:bookmarkEnd w:id="716"/>
      <w:r/>
      <w:bookmarkEnd w:id="717"/>
      <w:r>
        <w:rPr>
          <w:rStyle w:val="1108"/>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0"/>
        <w:jc w:val="center"/>
        <w:spacing w:line="360" w:lineRule="auto"/>
        <w:rPr>
          <w:b/>
          <w:sz w:val="36"/>
          <w:szCs w:val="36"/>
          <w:highlight w:val="none"/>
        </w:rPr>
        <w:outlineLvl w:val="0"/>
      </w:pPr>
      <w:r/>
      <w:bookmarkStart w:id="718" w:name="_Toc305158896"/>
      <w:r/>
      <w:bookmarkStart w:id="719" w:name="_Toc150774759"/>
      <w:r/>
      <w:bookmarkStart w:id="720" w:name="_Toc226337250"/>
      <w:r/>
      <w:bookmarkStart w:id="721" w:name="_Toc127151554"/>
      <w:r/>
      <w:bookmarkStart w:id="722" w:name="_Toc353825544"/>
      <w:r/>
      <w:bookmarkStart w:id="723" w:name="_Toc353873664"/>
      <w:r/>
      <w:bookmarkStart w:id="724" w:name="_Toc353873934"/>
      <w:r/>
      <w:bookmarkStart w:id="725" w:name="_Toc142311056"/>
      <w:r/>
      <w:bookmarkStart w:id="726" w:name="_Toc264969244"/>
      <w:r/>
      <w:bookmarkStart w:id="727" w:name="_Toc150480792"/>
      <w:r/>
      <w:bookmarkStart w:id="728" w:name="_Toc226965827"/>
      <w:r/>
      <w:bookmarkStart w:id="729" w:name="_Toc265228392"/>
      <w:r/>
      <w:bookmarkStart w:id="730" w:name="_Toc305158822"/>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030"/>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0"/>
        <w:jc w:val="left"/>
        <w:widowControl/>
        <w:rPr>
          <w:sz w:val="24"/>
          <w:highlight w:val="none"/>
        </w:rPr>
      </w:pPr>
      <w:r>
        <w:rPr>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127151779"/>
            <w:r/>
            <w:bookmarkStart w:id="736" w:name="_Toc353873940"/>
            <w:r/>
            <w:bookmarkStart w:id="737" w:name="_Toc353825550"/>
            <w:r/>
            <w:bookmarkStart w:id="738" w:name="_Toc226965858"/>
            <w:r/>
            <w:bookmarkStart w:id="739" w:name="_Toc127161490"/>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881"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30"/>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lang w:eastAsia="zh-CN"/>
              </w:rPr>
              <w:t xml:space="preserve">具备有效期内测绘乙级及以上资质证书（</w:t>
            </w:r>
            <w:r>
              <w:rPr>
                <w:rFonts w:hint="eastAsia" w:ascii="宋体" w:hAnsi="宋体" w:eastAsia="宋体" w:cs="宋体"/>
                <w:szCs w:val="21"/>
                <w:highlight w:val="none"/>
                <w:lang w:val="en-US" w:eastAsia="zh-CN"/>
              </w:rPr>
              <w:t xml:space="preserve">专业范围含界线及不动产测绘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030"/>
        <w:jc w:val="left"/>
        <w:widowControl/>
        <w:rPr>
          <w:rFonts w:hint="eastAsia"/>
          <w:b/>
          <w:bCs/>
          <w:szCs w:val="21"/>
          <w:highlight w:val="none"/>
        </w:rPr>
      </w:pPr>
      <w:r>
        <w:rPr>
          <w:rFonts w:hint="eastAsia"/>
          <w:b/>
          <w:bCs/>
          <w:szCs w:val="21"/>
          <w:highlight w:val="none"/>
        </w:rPr>
      </w:r>
      <w:r/>
    </w:p>
    <w:p>
      <w:pPr>
        <w:pStyle w:val="1030"/>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0"/>
        <w:jc w:val="center"/>
        <w:spacing w:line="360" w:lineRule="auto"/>
        <w:rPr>
          <w:b/>
          <w:sz w:val="36"/>
          <w:szCs w:val="36"/>
          <w:highlight w:val="none"/>
        </w:rPr>
        <w:outlineLvl w:val="0"/>
      </w:pPr>
      <w:r/>
      <w:bookmarkStart w:id="740" w:name="_Toc99301423"/>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030"/>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0"/>
        <w:numPr>
          <w:ilvl w:val="0"/>
          <w:numId w:val="12"/>
        </w:numPr>
        <w:spacing w:line="360" w:lineRule="auto"/>
        <w:tabs>
          <w:tab w:val="left" w:pos="360" w:leader="none"/>
          <w:tab w:val="left" w:pos="900" w:leader="none"/>
        </w:tabs>
        <w:rPr>
          <w:szCs w:val="21"/>
          <w:highlight w:val="none"/>
        </w:rPr>
        <w:outlineLvl w:val="1"/>
      </w:pPr>
      <w:r/>
      <w:bookmarkStart w:id="742" w:name="_Toc150480779"/>
      <w:r/>
      <w:bookmarkStart w:id="743" w:name="_Toc151193783"/>
      <w:r/>
      <w:bookmarkStart w:id="744" w:name="_Toc127161455"/>
      <w:r/>
      <w:bookmarkStart w:id="745" w:name="_Toc151193855"/>
      <w:r/>
      <w:bookmarkStart w:id="746" w:name="_Toc164351635"/>
      <w:r/>
      <w:bookmarkStart w:id="747" w:name="_Toc164608655"/>
      <w:r/>
      <w:bookmarkStart w:id="748" w:name="_Toc127151742"/>
      <w:r/>
      <w:bookmarkStart w:id="749" w:name="_Toc164608810"/>
      <w:r/>
      <w:bookmarkStart w:id="750" w:name="_Toc226309785"/>
      <w:r/>
      <w:bookmarkStart w:id="751" w:name="_Toc150509292"/>
      <w:r/>
      <w:bookmarkStart w:id="752" w:name="_Toc149720834"/>
      <w:r/>
      <w:bookmarkStart w:id="753" w:name="_Toc265228379"/>
      <w:r/>
      <w:bookmarkStart w:id="754" w:name="_Toc151193639"/>
      <w:r/>
      <w:bookmarkStart w:id="755" w:name="_Toc164229382"/>
      <w:r/>
      <w:bookmarkStart w:id="756" w:name="_Toc151193929"/>
      <w:r/>
      <w:bookmarkStart w:id="757" w:name="_Toc150774641"/>
      <w:r/>
      <w:bookmarkStart w:id="758" w:name="_Toc195842906"/>
      <w:r/>
      <w:bookmarkStart w:id="759" w:name="_Toc150774746"/>
      <w:r/>
      <w:bookmarkStart w:id="760" w:name="_Toc142311043"/>
      <w:r/>
      <w:bookmarkStart w:id="761" w:name="_Toc305158883"/>
      <w:r/>
      <w:bookmarkStart w:id="762" w:name="_Toc226337237"/>
      <w:r/>
      <w:bookmarkStart w:id="763" w:name="_Toc151190168"/>
      <w:r/>
      <w:bookmarkStart w:id="764" w:name="_Toc151193711"/>
      <w:r/>
      <w:bookmarkStart w:id="765" w:name="_Toc264969231"/>
      <w:r/>
      <w:bookmarkStart w:id="766" w:name="_Toc226965731"/>
      <w:r/>
      <w:bookmarkStart w:id="767" w:name="_Toc164229236"/>
      <w:r/>
      <w:bookmarkStart w:id="768" w:name="_Toc305158809"/>
      <w:r/>
      <w:bookmarkStart w:id="769" w:name="_Toc127151541"/>
      <w:r/>
      <w:bookmarkStart w:id="770" w:name="_Toc226965814"/>
      <w:r/>
      <w:bookmarkStart w:id="771" w:name="_Toc353825551"/>
      <w:r/>
      <w:bookmarkStart w:id="772" w:name="_Toc353873941"/>
      <w:r/>
      <w:bookmarkStart w:id="773" w:name="_Toc264969245"/>
      <w:r/>
      <w:bookmarkStart w:id="774" w:name="_Toc150774760"/>
      <w:r/>
      <w:bookmarkStart w:id="775" w:name="_Toc195842920"/>
      <w:r/>
      <w:bookmarkStart w:id="776" w:name="_Toc127151555"/>
      <w:r/>
      <w:bookmarkStart w:id="777" w:name="_Toc353873665"/>
      <w:r/>
      <w:bookmarkStart w:id="778" w:name="_Toc305158897"/>
      <w:r/>
      <w:bookmarkStart w:id="779" w:name="_Toc226965828"/>
      <w:r/>
      <w:bookmarkStart w:id="780" w:name="_Toc150480793"/>
      <w:r/>
      <w:bookmarkStart w:id="781" w:name="_Toc353873935"/>
      <w:r/>
      <w:bookmarkStart w:id="782" w:name="_Toc353825545"/>
      <w:r/>
      <w:bookmarkStart w:id="783" w:name="_Toc142311057"/>
      <w:r/>
      <w:bookmarkStart w:id="784" w:name="_Toc226337251"/>
      <w:r/>
      <w:bookmarkStart w:id="785" w:name="_Toc265228393"/>
      <w:r/>
      <w:bookmarkStart w:id="786" w:name="_Toc305158823"/>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0"/>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0"/>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rPr>
        <w:t xml:space="preserve">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0"/>
        <w:numPr>
          <w:ilvl w:val="1"/>
          <w:numId w:val="12"/>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落实政府采购政策（采购本国产品的支持政策）的价格调整： </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lang w:val="en-US" w:eastAsia="zh-CN"/>
        </w:rPr>
      </w:r>
      <w:r/>
    </w:p>
    <w:p>
      <w:pPr>
        <w:pStyle w:val="1030"/>
        <w:numPr>
          <w:ilvl w:val="1"/>
          <w:numId w:val="12"/>
        </w:numPr>
        <w:ind w:left="1077" w:hanging="720"/>
        <w:spacing w:line="440" w:lineRule="exact"/>
        <w:tabs>
          <w:tab w:val="left" w:pos="1080" w:leader="none"/>
          <w:tab w:val="left" w:pos="1589"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评审过程中出现下列情形之一的，</w:t>
      </w:r>
      <w:r>
        <w:rPr>
          <w:rFonts w:hint="eastAsia" w:ascii="宋体" w:hAnsi="宋体" w:cs="宋体"/>
          <w:color w:val="000000"/>
          <w:szCs w:val="21"/>
          <w:highlight w:val="none"/>
        </w:rPr>
        <w:t xml:space="preserve">评标委员会</w:t>
      </w:r>
      <w:r>
        <w:rPr>
          <w:rFonts w:hint="eastAsia" w:ascii="宋体" w:hAnsi="宋体" w:eastAsia="宋体" w:cs="宋体"/>
          <w:color w:val="000000"/>
          <w:szCs w:val="21"/>
          <w:highlight w:val="none"/>
          <w:lang w:val="en-US" w:eastAsia="zh-CN"/>
        </w:rPr>
        <w:t xml:space="preserve">应当启动异常低价响应审查程序：</w:t>
      </w:r>
      <w:r>
        <w:rPr>
          <w:rFonts w:hint="eastAsia" w:ascii="宋体" w:hAnsi="宋体" w:eastAsia="宋体" w:cs="宋体"/>
          <w:color w:val="000000"/>
          <w:szCs w:val="21"/>
          <w:highlight w:val="none"/>
          <w:lang w:val="en-US" w:eastAsia="zh-CN"/>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color w:val="000000"/>
          <w:szCs w:val="21"/>
          <w:highlight w:val="none"/>
          <w:lang w:val="en-US" w:eastAsia="zh-CN"/>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color w:val="000000"/>
          <w:szCs w:val="21"/>
          <w:highlight w:val="none"/>
          <w:lang w:val="en-US" w:eastAsia="zh-CN"/>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投标报价低于采购项目最高限价45%的，即投标报价&lt;采购项目最高限价×45%；</w:t>
      </w:r>
      <w:r>
        <w:rPr>
          <w:rFonts w:hint="eastAsia" w:ascii="宋体" w:hAnsi="宋体" w:eastAsia="宋体" w:cs="宋体"/>
          <w:color w:val="000000"/>
          <w:szCs w:val="21"/>
          <w:highlight w:val="none"/>
          <w:lang w:val="en-US" w:eastAsia="zh-CN"/>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评标委员会基于专业判断，认为供应商报价过低，有可能影响产品质量或者不能诚信履约的其他情形。</w:t>
      </w:r>
      <w:r>
        <w:rPr>
          <w:rFonts w:hint="eastAsia" w:ascii="宋体" w:hAnsi="宋体" w:eastAsia="宋体" w:cs="宋体"/>
          <w:color w:val="000000"/>
          <w:szCs w:val="21"/>
          <w:highlight w:val="none"/>
          <w:lang w:val="en-US" w:eastAsia="zh-CN"/>
        </w:rPr>
      </w:r>
      <w:r/>
    </w:p>
    <w:p>
      <w:pPr>
        <w:pStyle w:val="1030"/>
        <w:numPr>
          <w:ilvl w:val="1"/>
          <w:numId w:val="12"/>
        </w:numPr>
        <w:ind w:left="1077" w:hanging="720"/>
        <w:spacing w:line="440" w:lineRule="exact"/>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启动异常低价响应审查后，评标委员会应当要求相关供应商在评标现场合理的时间（30分钟）内，提供项目具体成本测算等与报价合理性相关的书面说明及相关证明材料（</w:t>
      </w:r>
      <w:r>
        <w:rPr>
          <w:rFonts w:hint="eastAsia" w:ascii="宋体" w:hAnsi="宋体" w:eastAsia="宋体" w:cs="宋体"/>
          <w:color w:val="000000"/>
          <w:szCs w:val="21"/>
          <w:highlight w:val="none"/>
          <w:lang w:val="en-US" w:eastAsia="zh-CN"/>
        </w:rPr>
        <w:t xml:space="preserve">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其中，属于第（3）项情形，供应商已随响应文件一并提交相关书面说明及必要的证明材料的，在评审时可不再重复提交。响应供应商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color w:val="000000"/>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Toc226309790"/>
      <w:r/>
      <w:bookmarkStart w:id="789" w:name="_Toc226337242"/>
      <w:r/>
      <w:bookmarkStart w:id="790" w:name="_Toc265228384"/>
      <w:r/>
      <w:bookmarkStart w:id="791" w:name="_Toc164229387"/>
      <w:r/>
      <w:bookmarkStart w:id="792" w:name="_Toc150509297"/>
      <w:r/>
      <w:bookmarkStart w:id="793" w:name="_Toc151193644"/>
      <w:r/>
      <w:bookmarkStart w:id="794" w:name="_Toc150774646"/>
      <w:r/>
      <w:bookmarkStart w:id="795" w:name="_Toc151190173"/>
      <w:r/>
      <w:bookmarkStart w:id="796" w:name="_Toc264969236"/>
      <w:r/>
      <w:bookmarkStart w:id="797" w:name="_Toc151193934"/>
      <w:r/>
      <w:bookmarkStart w:id="798" w:name="_Toc195842911"/>
      <w:r/>
      <w:bookmarkStart w:id="799" w:name="_Toc226965736"/>
      <w:r/>
      <w:bookmarkStart w:id="800" w:name="_Toc127151546"/>
      <w:r/>
      <w:bookmarkStart w:id="801" w:name="_Toc164608815"/>
      <w:r/>
      <w:bookmarkStart w:id="802" w:name="_Toc226965819"/>
      <w:r/>
      <w:bookmarkStart w:id="803" w:name="_Toc164229241"/>
      <w:r/>
      <w:bookmarkStart w:id="804" w:name="_Toc151193716"/>
      <w:r/>
      <w:bookmarkStart w:id="805" w:name="_Toc164608660"/>
      <w:r/>
      <w:bookmarkStart w:id="806" w:name="_Toc142311048"/>
      <w:r/>
      <w:bookmarkStart w:id="807" w:name="_Toc127161460"/>
      <w:r/>
      <w:bookmarkStart w:id="808" w:name="_Toc151193788"/>
      <w:r/>
      <w:bookmarkStart w:id="809" w:name="_Toc164351640"/>
      <w:r/>
      <w:bookmarkStart w:id="810" w:name="_Toc520356170"/>
      <w:r/>
      <w:bookmarkStart w:id="811" w:name="_Toc305158888"/>
      <w:r/>
      <w:bookmarkStart w:id="812" w:name="_Ref467307010"/>
      <w:r/>
      <w:bookmarkStart w:id="813" w:name="_Toc150480784"/>
      <w:r/>
      <w:bookmarkStart w:id="814" w:name="_Toc127151747"/>
      <w:r/>
      <w:bookmarkStart w:id="815" w:name="_Toc151193860"/>
      <w:r/>
      <w:bookmarkStart w:id="816" w:name="_Toc305158814"/>
      <w:r/>
      <w:bookmarkStart w:id="817" w:name="_Toc150774751"/>
      <w:r/>
      <w:bookmarkStart w:id="818" w:name="_Toc149720839"/>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0"/>
        <w:jc w:val="left"/>
        <w:spacing w:line="360" w:lineRule="auto"/>
        <w:widowControl/>
        <w:rPr>
          <w:rFonts w:hint="eastAsia" w:ascii="宋体" w:hAnsi="宋体" w:cs="宋体"/>
          <w:b/>
          <w:szCs w:val="21"/>
          <w:highlight w:val="none"/>
        </w:rPr>
      </w:pPr>
      <w:r>
        <w:rPr>
          <w:rFonts w:hint="eastAsia" w:ascii="宋体" w:hAnsi="宋体" w:cs="宋体"/>
          <w:b/>
          <w:szCs w:val="21"/>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0"/>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序号</w:t>
            </w:r>
            <w:r>
              <w:rPr>
                <w:rFonts w:hint="eastAsia" w:ascii="Times New Roman" w:hAnsi="Times New Roman" w:eastAsia="宋体" w:cs="Times New Roman"/>
                <w:b/>
                <w:bCs/>
                <w:szCs w:val="21"/>
                <w:highlight w:val="none"/>
                <w:lang w:bidi="ar"/>
              </w:rPr>
            </w:r>
            <w:r/>
          </w:p>
        </w:tc>
        <w:tc>
          <w:tcPr>
            <w:tcW w:w="1126" w:type="dxa"/>
            <w:vAlign w:val="center"/>
            <w:textDirection w:val="lrTb"/>
            <w:noWrap w:val="false"/>
          </w:tcPr>
          <w:p>
            <w:pPr>
              <w:pStyle w:val="1030"/>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评分因素</w:t>
            </w:r>
            <w:r>
              <w:rPr>
                <w:rFonts w:hint="eastAsia" w:ascii="Times New Roman" w:hAnsi="Times New Roman" w:eastAsia="宋体" w:cs="Times New Roman"/>
                <w:b/>
                <w:bCs/>
                <w:szCs w:val="21"/>
                <w:highlight w:val="none"/>
                <w:lang w:bidi="ar"/>
              </w:rPr>
            </w:r>
            <w:r/>
          </w:p>
        </w:tc>
        <w:tc>
          <w:tcPr>
            <w:tcW w:w="700" w:type="dxa"/>
            <w:vAlign w:val="center"/>
            <w:textDirection w:val="lrTb"/>
            <w:noWrap w:val="false"/>
          </w:tcPr>
          <w:p>
            <w:pPr>
              <w:pStyle w:val="1030"/>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分值</w:t>
            </w:r>
            <w:r>
              <w:rPr>
                <w:rFonts w:hint="eastAsia" w:ascii="Times New Roman" w:hAnsi="Times New Roman" w:eastAsia="宋体" w:cs="Times New Roman"/>
                <w:b/>
                <w:bCs/>
                <w:szCs w:val="21"/>
                <w:highlight w:val="none"/>
                <w:lang w:bidi="ar"/>
              </w:rPr>
            </w:r>
            <w:r/>
          </w:p>
        </w:tc>
        <w:tc>
          <w:tcPr>
            <w:tcW w:w="4523" w:type="dxa"/>
            <w:vAlign w:val="center"/>
            <w:textDirection w:val="lrTb"/>
            <w:noWrap w:val="false"/>
          </w:tcPr>
          <w:p>
            <w:pPr>
              <w:pStyle w:val="1030"/>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评分标准和评审材料</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ascii="Times New Roman" w:hAnsi="Times New Roman" w:eastAsia="宋体" w:cs="Times New Roman"/>
                <w:b/>
                <w:bCs/>
                <w:szCs w:val="21"/>
                <w:highlight w:val="none"/>
                <w:lang w:bidi="ar"/>
              </w:rPr>
            </w:r>
            <w:r/>
          </w:p>
        </w:tc>
      </w:tr>
      <w:tr>
        <w:trPr>
          <w:trHeight w:val="90"/>
        </w:trPr>
        <w:tc>
          <w:tcPr>
            <w:tcW w:w="835" w:type="dxa"/>
            <w:vAlign w:val="center"/>
            <w:textDirection w:val="lrTb"/>
            <w:noWrap w:val="false"/>
          </w:tcPr>
          <w:p>
            <w:pPr>
              <w:pStyle w:val="1030"/>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0"/>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价格分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0"/>
              <w:jc w:val="center"/>
              <w:widowControl/>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15</w:t>
            </w:r>
            <w:r>
              <w:rPr>
                <w:rFonts w:hint="eastAsia" w:ascii="Times New Roman" w:hAnsi="Times New Roman" w:eastAsia="宋体" w:cs="Times New Roman"/>
                <w:szCs w:val="21"/>
                <w:highlight w:val="none"/>
                <w:lang w:eastAsia="zh-CN" w:bidi="ar"/>
              </w:rPr>
            </w:r>
            <w:r/>
          </w:p>
        </w:tc>
        <w:tc>
          <w:tcPr>
            <w:tcW w:w="4523" w:type="dxa"/>
            <w:vAlign w:val="center"/>
            <w:textDirection w:val="lrTb"/>
            <w:noWrap w:val="false"/>
          </w:tcPr>
          <w:p>
            <w:pPr>
              <w:pStyle w:val="1030"/>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满足招标文件要求且投标价格最低的投标报价为评标基准价，其价格分为满分。其他投标人的价格分统一按照下列公式计算：</w:t>
            </w:r>
            <w:r>
              <w:rPr>
                <w:rFonts w:hint="eastAsia" w:ascii="Times New Roman" w:hAnsi="Times New Roman" w:eastAsia="宋体" w:cs="Times New Roman"/>
                <w:szCs w:val="21"/>
                <w:highlight w:val="none"/>
                <w:lang w:bidi="ar"/>
              </w:rPr>
            </w:r>
            <w:r/>
          </w:p>
          <w:p>
            <w:pPr>
              <w:pStyle w:val="1030"/>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投标报价得分＝（评标基准价/投标报价）×</w:t>
            </w:r>
            <w:r>
              <w:rPr>
                <w:rFonts w:hint="eastAsia" w:ascii="Times New Roman" w:hAnsi="Times New Roman" w:eastAsia="宋体" w:cs="Times New Roman"/>
                <w:szCs w:val="21"/>
                <w:highlight w:val="none"/>
                <w:lang w:val="en-US" w:eastAsia="zh-CN" w:bidi="ar"/>
              </w:rPr>
              <w:t xml:space="preserve">15</w:t>
            </w:r>
            <w:r>
              <w:rPr>
                <w:rFonts w:hint="eastAsia" w:ascii="Times New Roman" w:hAnsi="Times New Roman" w:eastAsia="宋体" w:cs="Times New Roman"/>
                <w:szCs w:val="21"/>
                <w:highlight w:val="none"/>
                <w:lang w:bidi="ar"/>
              </w:rPr>
              <w:t xml:space="preserve">。</w:t>
            </w:r>
            <w:r>
              <w:rPr>
                <w:rFonts w:hint="eastAsia" w:ascii="Times New Roman" w:hAnsi="Times New Roman" w:eastAsia="宋体" w:cs="Times New Roman"/>
                <w:szCs w:val="21"/>
                <w:highlight w:val="none"/>
                <w:lang w:bidi="ar"/>
              </w:rPr>
            </w:r>
            <w:r/>
          </w:p>
        </w:tc>
        <w:tc>
          <w:tcPr>
            <w:tcW w:w="702" w:type="dxa"/>
            <w:vAlign w:val="center"/>
            <w:textDirection w:val="lrTb"/>
            <w:noWrap w:val="false"/>
          </w:tcPr>
          <w:p>
            <w:pPr>
              <w:pStyle w:val="1030"/>
              <w:jc w:val="center"/>
              <w:rPr>
                <w:rFonts w:hint="eastAsia"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0</w:t>
            </w:r>
            <w:r>
              <w:rPr>
                <w:rFonts w:hint="eastAsia"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030"/>
              <w:jc w:val="center"/>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15</w:t>
            </w:r>
            <w:r>
              <w:rPr>
                <w:rFonts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030"/>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Cs w:val="21"/>
                <w:highlight w:val="none"/>
                <w:lang w:eastAsia="zh-CN" w:bidi="ar"/>
              </w:rPr>
            </w:r>
            <w:r/>
          </w:p>
        </w:tc>
        <w:tc>
          <w:tcPr>
            <w:tcW w:w="702" w:type="dxa"/>
            <w:vAlign w:val="center"/>
            <w:textDirection w:val="lrTb"/>
            <w:noWrap w:val="false"/>
          </w:tcPr>
          <w:p>
            <w:pPr>
              <w:pStyle w:val="1030"/>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Cs w:val="21"/>
                <w:highlight w:val="none"/>
                <w:lang w:eastAsia="zh-CN" w:bidi="ar"/>
              </w:rPr>
            </w:r>
            <w:r/>
          </w:p>
        </w:tc>
      </w:tr>
      <w:tr>
        <w:trPr>
          <w:trHeight w:val="676"/>
        </w:trPr>
        <w:tc>
          <w:tcPr>
            <w:tcW w:w="835" w:type="dxa"/>
            <w:vAlign w:val="center"/>
            <w:textDirection w:val="lrTb"/>
            <w:noWrap w:val="false"/>
          </w:tcPr>
          <w:p>
            <w:pPr>
              <w:pStyle w:val="1030"/>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0"/>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主观分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0"/>
              <w:jc w:val="center"/>
              <w:widowControl/>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40</w:t>
            </w:r>
            <w:r>
              <w:rPr>
                <w:rFonts w:ascii="Times New Roman" w:hAnsi="Times New Roman" w:eastAsia="宋体" w:cs="Times New Roman"/>
                <w:szCs w:val="21"/>
                <w:highlight w:val="none"/>
                <w:lang w:val="en-US" w:eastAsia="zh-CN" w:bidi="ar"/>
              </w:rPr>
            </w:r>
            <w:r/>
          </w:p>
        </w:tc>
        <w:tc>
          <w:tcPr>
            <w:tcW w:w="4523" w:type="dxa"/>
            <w:vAlign w:val="center"/>
            <w:textDirection w:val="lrTb"/>
            <w:noWrap w:val="false"/>
          </w:tcPr>
          <w:p>
            <w:pPr>
              <w:pStyle w:val="1030"/>
              <w:ind w:firstLine="28"/>
              <w:jc w:val="center"/>
              <w:spacing w:line="360" w:lineRule="auto"/>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0"/>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0"/>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0"/>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0"/>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r>
      <w:tr>
        <w:trPr>
          <w:trHeight w:val="90"/>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2.1</w:t>
            </w:r>
            <w:r>
              <w:rPr>
                <w:rFonts w:ascii="Times New Roman" w:hAnsi="Times New Roman" w:eastAsia="宋体" w:cs="Times New Roman"/>
                <w:szCs w:val="21"/>
                <w:highlight w:val="none"/>
              </w:rPr>
            </w:r>
            <w:r/>
          </w:p>
        </w:tc>
        <w:tc>
          <w:tcPr>
            <w:tcW w:w="1126" w:type="dxa"/>
            <w:vAlign w:val="center"/>
            <w:textDirection w:val="lrTb"/>
            <w:noWrap w:val="false"/>
          </w:tcPr>
          <w:p>
            <w:pPr>
              <w:pStyle w:val="1030"/>
              <w:jc w:val="center"/>
              <w:widowControl/>
              <w:rPr>
                <w:rFonts w:ascii="宋体" w:hAnsi="宋体" w:eastAsia="宋体" w:cs="宋体"/>
                <w:szCs w:val="21"/>
                <w:highlight w:val="none"/>
              </w:rPr>
              <w:framePr w:vAnchor="text" w:hAnchor="page" w:xAlign="center" w:y="394"/>
            </w:pPr>
            <w:r>
              <w:rPr>
                <w:rFonts w:hint="eastAsia" w:ascii="宋体" w:hAnsi="宋体" w:eastAsia="宋体" w:cs="宋体"/>
                <w:szCs w:val="21"/>
                <w:highlight w:val="none"/>
              </w:rPr>
              <w:t xml:space="preserve">重难点分析</w:t>
            </w:r>
            <w:r>
              <w:rPr>
                <w:rFonts w:ascii="宋体" w:hAnsi="宋体" w:eastAsia="宋体" w:cs="宋体"/>
                <w:szCs w:val="21"/>
                <w:highlight w:val="none"/>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0"/>
              <w:jc w:val="left"/>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1.投标人对项目实施过程中可能出现的重点、难点</w:t>
            </w:r>
            <w:r>
              <w:rPr>
                <w:rFonts w:hint="eastAsia" w:ascii="宋体" w:hAnsi="宋体" w:eastAsia="宋体" w:cs="宋体"/>
                <w:bCs/>
                <w:szCs w:val="21"/>
                <w:highlight w:val="none"/>
                <w:lang w:val="en-US" w:eastAsia="zh-CN"/>
              </w:rPr>
              <w:t xml:space="preserve">的</w:t>
            </w:r>
            <w:r>
              <w:rPr>
                <w:rFonts w:ascii="宋体" w:hAnsi="宋体" w:eastAsia="宋体" w:cs="宋体"/>
                <w:bCs/>
                <w:szCs w:val="21"/>
                <w:highlight w:val="none"/>
                <w:lang w:val="en-US" w:eastAsia="zh-CN"/>
              </w:rPr>
              <w:t xml:space="preserve">分析；</w:t>
            </w:r>
            <w:r>
              <w:rPr>
                <w:rFonts w:ascii="宋体" w:hAnsi="宋体" w:eastAsia="宋体" w:cs="宋体"/>
                <w:bCs/>
                <w:szCs w:val="21"/>
                <w:highlight w:val="none"/>
                <w:lang w:val="en-US" w:eastAsia="zh-CN"/>
              </w:rPr>
            </w:r>
            <w:r/>
          </w:p>
          <w:p>
            <w:pPr>
              <w:pStyle w:val="1030"/>
              <w:jc w:val="left"/>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2.</w:t>
            </w:r>
            <w:r>
              <w:rPr>
                <w:rFonts w:ascii="宋体" w:hAnsi="宋体" w:eastAsia="宋体" w:cs="宋体"/>
                <w:bCs/>
                <w:szCs w:val="21"/>
                <w:highlight w:val="none"/>
                <w:lang w:val="en-US" w:eastAsia="zh-CN"/>
              </w:rPr>
              <w:t xml:space="preserve">投标人对可能出现的重点、难点</w:t>
            </w:r>
            <w:r>
              <w:rPr>
                <w:rFonts w:hint="eastAsia" w:ascii="宋体" w:hAnsi="宋体" w:eastAsia="宋体" w:cs="宋体"/>
                <w:bCs/>
                <w:szCs w:val="21"/>
                <w:highlight w:val="none"/>
                <w:lang w:val="en-US" w:eastAsia="zh-CN"/>
              </w:rPr>
              <w:t xml:space="preserve">提出的</w:t>
            </w:r>
            <w:r>
              <w:rPr>
                <w:rFonts w:ascii="宋体" w:hAnsi="宋体" w:eastAsia="宋体" w:cs="宋体"/>
                <w:bCs/>
                <w:szCs w:val="21"/>
                <w:highlight w:val="none"/>
                <w:lang w:val="en-US" w:eastAsia="zh-CN"/>
              </w:rPr>
              <w:t xml:space="preserve">合理化的解决措施；</w:t>
            </w:r>
            <w:r>
              <w:rPr>
                <w:rFonts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030"/>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r>
      <w:tr>
        <w:trPr>
          <w:trHeight w:val="628"/>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2.2</w:t>
            </w:r>
            <w:r>
              <w:rPr>
                <w:rFonts w:ascii="Times New Roman" w:hAnsi="Times New Roman" w:eastAsia="宋体" w:cs="Times New Roman"/>
                <w:szCs w:val="21"/>
                <w:highlight w:val="none"/>
              </w:rPr>
            </w:r>
            <w:r/>
          </w:p>
        </w:tc>
        <w:tc>
          <w:tcPr>
            <w:tcW w:w="1126" w:type="dxa"/>
            <w:vAlign w:val="center"/>
            <w:textDirection w:val="lrTb"/>
            <w:noWrap w:val="false"/>
          </w:tcPr>
          <w:p>
            <w:pPr>
              <w:pStyle w:val="1030"/>
              <w:jc w:val="center"/>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总体实施方案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1.投标人对本项目的需求的理解；</w:t>
            </w:r>
            <w:r>
              <w:rPr>
                <w:rFonts w:hint="eastAsia" w:ascii="宋体" w:hAnsi="宋体" w:eastAsia="宋体" w:cs="宋体"/>
                <w:bCs/>
                <w:szCs w:val="21"/>
                <w:highlight w:val="none"/>
                <w:lang w:val="en-US" w:eastAsia="zh-CN"/>
              </w:rPr>
            </w:r>
            <w:r/>
          </w:p>
          <w:p>
            <w:pPr>
              <w:pStyle w:val="1030"/>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2.投标人对本项目的</w:t>
            </w:r>
            <w:r>
              <w:rPr>
                <w:rFonts w:hint="eastAsia" w:ascii="宋体" w:hAnsi="宋体" w:eastAsia="宋体" w:cs="宋体"/>
                <w:bCs/>
                <w:szCs w:val="21"/>
                <w:highlight w:val="none"/>
                <w:lang w:val="en-US" w:eastAsia="zh-CN"/>
              </w:rPr>
              <w:t xml:space="preserve">工作流程的安排；</w:t>
            </w:r>
            <w:r>
              <w:rPr>
                <w:rFonts w:ascii="宋体" w:hAnsi="宋体" w:eastAsia="宋体" w:cs="宋体"/>
                <w:bCs/>
                <w:szCs w:val="21"/>
                <w:highlight w:val="none"/>
                <w:lang w:val="en-US" w:eastAsia="zh-CN"/>
              </w:rPr>
            </w:r>
            <w:r/>
          </w:p>
          <w:p>
            <w:pPr>
              <w:pStyle w:val="1030"/>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3.投标人针对本项目的技术方案</w:t>
            </w:r>
            <w:r>
              <w:rPr>
                <w:rFonts w:hint="eastAsia" w:ascii="宋体" w:hAnsi="宋体" w:eastAsia="宋体" w:cs="宋体"/>
                <w:sz w:val="21"/>
                <w:szCs w:val="21"/>
                <w:lang w:val="en-US" w:eastAsia="zh-CN"/>
              </w:rPr>
              <w:t xml:space="preserve">；</w:t>
            </w:r>
            <w:r>
              <w:rPr>
                <w:rFonts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考察以上内容，每满足一项内容得1分，最高得3分。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1.方案整体科学合理、针对性强、可操作性强，评审为优加5分；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2.方案较合理、有一定针对性、一定可操作性，评审为良加3.5分；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030"/>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2.3</w:t>
            </w:r>
            <w:r>
              <w:rPr>
                <w:rFonts w:ascii="Times New Roman" w:hAnsi="Times New Roman" w:eastAsia="宋体" w:cs="Times New Roman"/>
                <w:szCs w:val="21"/>
                <w:highlight w:val="none"/>
              </w:rPr>
            </w:r>
            <w:r/>
          </w:p>
        </w:tc>
        <w:tc>
          <w:tcPr>
            <w:tcW w:w="1126" w:type="dxa"/>
            <w:vAlign w:val="center"/>
            <w:textDirection w:val="lrTb"/>
            <w:noWrap w:val="false"/>
          </w:tcPr>
          <w:p>
            <w:pPr>
              <w:pStyle w:val="1030"/>
              <w:jc w:val="center"/>
              <w:widowControl/>
              <w:rPr>
                <w:rFonts w:ascii="宋体" w:hAnsi="宋体" w:eastAsia="宋体" w:cs="宋体"/>
                <w:szCs w:val="21"/>
                <w:highlight w:val="none"/>
                <w:lang w:bidi="ar"/>
              </w:rPr>
              <w:framePr w:vAnchor="text" w:hAnchor="page" w:xAlign="center" w:y="394"/>
            </w:pPr>
            <w:r>
              <w:rPr>
                <w:rFonts w:hint="eastAsia" w:ascii="宋体" w:hAnsi="宋体" w:eastAsia="宋体" w:cs="宋体"/>
                <w:szCs w:val="21"/>
                <w:highlight w:val="none"/>
                <w:lang w:bidi="ar"/>
              </w:rPr>
              <w:t xml:space="preserve">质量控制方案</w:t>
            </w:r>
            <w:r>
              <w:rPr>
                <w:rFonts w:ascii="宋体" w:hAnsi="宋体" w:eastAsia="宋体" w:cs="宋体"/>
                <w:szCs w:val="21"/>
                <w:highlight w:val="none"/>
                <w:lang w:bidi="ar"/>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val="en-US" w:eastAsia="zh-CN"/>
              </w:rPr>
              <w:t xml:space="preserve">投标人对本项目</w:t>
            </w:r>
            <w:r>
              <w:rPr>
                <w:rFonts w:hint="eastAsia" w:ascii="宋体" w:hAnsi="宋体" w:eastAsia="宋体" w:cs="宋体"/>
                <w:bCs/>
                <w:szCs w:val="21"/>
                <w:highlight w:val="none"/>
                <w:lang w:val="en-US" w:eastAsia="zh-CN"/>
              </w:rPr>
              <w:t xml:space="preserve">的质量控制方案；</w:t>
            </w:r>
            <w:r>
              <w:rPr>
                <w:rFonts w:hint="eastAsia" w:ascii="宋体" w:hAnsi="宋体" w:eastAsia="宋体" w:cs="宋体"/>
                <w:bCs/>
                <w:szCs w:val="21"/>
                <w:highlight w:val="none"/>
                <w:lang w:val="en-US" w:eastAsia="zh-CN"/>
              </w:rPr>
            </w:r>
            <w:r/>
          </w:p>
          <w:p>
            <w:pPr>
              <w:pStyle w:val="1030"/>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2.投标人对本项目的质量控制保障措施；</w:t>
            </w:r>
            <w:r>
              <w:rPr>
                <w:rFonts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030"/>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2.4</w:t>
            </w:r>
            <w:r>
              <w:rPr>
                <w:rFonts w:ascii="Times New Roman" w:hAnsi="Times New Roman" w:eastAsia="宋体" w:cs="Times New Roman"/>
                <w:szCs w:val="21"/>
                <w:highlight w:val="none"/>
              </w:rPr>
            </w:r>
            <w:r/>
          </w:p>
        </w:tc>
        <w:tc>
          <w:tcPr>
            <w:tcW w:w="1126" w:type="dxa"/>
            <w:vAlign w:val="center"/>
            <w:textDirection w:val="lrTb"/>
            <w:noWrap w:val="false"/>
          </w:tcPr>
          <w:p>
            <w:pPr>
              <w:pStyle w:val="1030"/>
              <w:jc w:val="center"/>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进度保障</w:t>
            </w:r>
            <w:r>
              <w:rPr>
                <w:rFonts w:hint="eastAsia" w:ascii="宋体" w:hAnsi="宋体" w:eastAsia="宋体" w:cs="宋体"/>
                <w:szCs w:val="21"/>
                <w:highlight w:val="none"/>
                <w:lang w:val="en-US" w:eastAsia="zh-CN"/>
              </w:rPr>
              <w:t xml:space="preserve">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1.投标人针对本项目的进度保障措施；</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2.投标人针对本项目的人力、物资设备保障情况；</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考察以上内容，每满足一项内容得2分，最高得4分。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030"/>
              <w:spacing w:line="360" w:lineRule="auto"/>
              <w:widowControl/>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0"/>
              <w:jc w:val="center"/>
              <w:widowControl/>
              <w:rPr>
                <w:rFonts w:ascii="宋体" w:hAnsi="宋体" w:eastAsia="宋体" w:cs="宋体"/>
                <w:szCs w:val="21"/>
                <w:highlight w:val="none"/>
              </w:rPr>
              <w:framePr w:vAnchor="text" w:hAnchor="page" w:xAlign="center" w:y="394"/>
            </w:pPr>
            <w:r>
              <w:rPr>
                <w:rFonts w:hint="eastAsia" w:ascii="宋体" w:hAnsi="宋体" w:eastAsia="宋体" w:cs="宋体"/>
                <w:szCs w:val="21"/>
                <w:highlight w:val="none"/>
              </w:rPr>
              <w:t xml:space="preserve">安全与保密管理方案</w:t>
            </w:r>
            <w:r>
              <w:rPr>
                <w:rFonts w:ascii="宋体" w:hAnsi="宋体" w:eastAsia="宋体" w:cs="宋体"/>
                <w:szCs w:val="21"/>
                <w:highlight w:val="none"/>
              </w:rPr>
            </w:r>
            <w:r/>
          </w:p>
        </w:tc>
        <w:tc>
          <w:tcPr>
            <w:tcW w:w="700"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1.安全管理方案及安全保障措施；</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2.保密管理方案及</w:t>
            </w:r>
            <w:r>
              <w:rPr>
                <w:rFonts w:hint="eastAsia" w:ascii="宋体" w:hAnsi="宋体" w:eastAsia="宋体" w:cs="宋体"/>
                <w:bCs/>
                <w:szCs w:val="21"/>
                <w:highlight w:val="none"/>
                <w:lang w:val="en-US" w:eastAsia="zh-CN"/>
              </w:rPr>
              <w:t xml:space="preserve">保密保障措施</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030"/>
              <w:spacing w:line="360" w:lineRule="auto"/>
              <w:widowControl/>
              <w:rPr>
                <w:rFonts w:hint="eastAsia" w:ascii="宋体" w:hAnsi="宋体" w:eastAsia="宋体" w:cs="宋体"/>
                <w:bCs/>
                <w:szCs w:val="21"/>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hint="eastAsia" w:ascii="宋体" w:hAnsi="宋体" w:eastAsia="宋体" w:cs="宋体"/>
                <w:bCs/>
                <w:szCs w:val="21"/>
                <w:highlight w:val="none"/>
              </w:rPr>
            </w:r>
            <w:r/>
          </w:p>
        </w:tc>
        <w:tc>
          <w:tcPr>
            <w:tcW w:w="702" w:type="dxa"/>
            <w:vAlign w:val="center"/>
            <w:textDirection w:val="lrTb"/>
            <w:noWrap w:val="false"/>
          </w:tcPr>
          <w:p>
            <w:pPr>
              <w:pStyle w:val="1030"/>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2.6</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0"/>
              <w:jc w:val="center"/>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eastAsia="宋体" w:cs="宋体"/>
                <w:sz w:val="21"/>
                <w:szCs w:val="21"/>
                <w:highlight w:val="none"/>
                <w:lang w:val="en-US" w:eastAsia="zh-CN" w:bidi="ar-SA"/>
              </w:rPr>
              <w:t xml:space="preserve">质保期服务方案</w:t>
            </w:r>
            <w:r>
              <w:rPr>
                <w:rFonts w:hint="eastAsia" w:ascii="宋体" w:hAnsi="宋体" w:eastAsia="宋体" w:cs="宋体"/>
                <w:sz w:val="21"/>
                <w:szCs w:val="21"/>
                <w:highlight w:val="none"/>
                <w:lang w:val="en-US" w:eastAsia="zh-CN" w:bidi="ar-SA"/>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1"/>
                <w:szCs w:val="21"/>
                <w:highlight w:val="none"/>
                <w:lang w:val="en-US" w:eastAsia="zh-CN" w:bidi="ar-SA"/>
              </w:rPr>
            </w:r>
            <w:r/>
          </w:p>
        </w:tc>
        <w:tc>
          <w:tcPr>
            <w:tcW w:w="4523" w:type="dxa"/>
            <w:vAlign w:val="center"/>
            <w:textDirection w:val="lrTb"/>
            <w:noWrap w:val="false"/>
          </w:tcPr>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1.质保期服务方案；</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sz w:val="21"/>
                <w:szCs w:val="21"/>
                <w:highlight w:val="none"/>
                <w:lang w:val="en-US" w:eastAsia="zh-CN" w:bidi="ar-SA"/>
              </w:rPr>
              <w:t xml:space="preserve">质保期服务保障措施</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030"/>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030"/>
              <w:spacing w:line="360" w:lineRule="auto"/>
              <w:widowControl/>
              <w:rPr>
                <w:rFonts w:hint="eastAsia" w:ascii="宋体" w:hAnsi="宋体" w:eastAsia="宋体" w:cs="宋体"/>
                <w:bCs/>
                <w:sz w:val="21"/>
                <w:szCs w:val="21"/>
                <w:highlight w:val="none"/>
                <w:lang w:val="en-US" w:eastAsia="zh-CN" w:bidi="ar-SA"/>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hint="eastAsia" w:ascii="宋体" w:hAnsi="宋体" w:eastAsia="宋体" w:cs="宋体"/>
                <w:bCs/>
                <w:sz w:val="21"/>
                <w:szCs w:val="21"/>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 w:val="21"/>
                <w:szCs w:val="21"/>
                <w:highlight w:val="none"/>
                <w:lang w:val="en-US" w:eastAsia="zh-CN" w:bidi="ar-SA"/>
              </w:rPr>
            </w:r>
            <w:r/>
          </w:p>
        </w:tc>
      </w:tr>
      <w:tr>
        <w:trPr>
          <w:trHeight w:val="454"/>
        </w:trPr>
        <w:tc>
          <w:tcPr>
            <w:tcW w:w="835" w:type="dxa"/>
            <w:vAlign w:val="center"/>
            <w:textDirection w:val="lrTb"/>
            <w:noWrap w:val="false"/>
          </w:tcPr>
          <w:p>
            <w:pPr>
              <w:pStyle w:val="1030"/>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0"/>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Cs w:val="21"/>
                <w:highlight w:val="none"/>
                <w:lang w:bidi="ar"/>
              </w:rPr>
              <w:t xml:space="preserve">客观分</w:t>
            </w:r>
            <w:r>
              <w:rPr>
                <w:rFonts w:ascii="Times New Roman" w:hAnsi="Times New Roman" w:eastAsia="宋体" w:cs="Times New Roman"/>
                <w:sz w:val="24"/>
                <w:highlight w:val="none"/>
              </w:rPr>
            </w:r>
            <w:r/>
          </w:p>
        </w:tc>
        <w:tc>
          <w:tcPr>
            <w:tcW w:w="700"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45</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0"/>
              <w:spacing w:line="360" w:lineRule="auto"/>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r>
        <w:trPr>
          <w:trHeight w:val="652"/>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3.1</w:t>
            </w:r>
            <w:r>
              <w:rPr>
                <w:rFonts w:ascii="Times New Roman" w:hAnsi="Times New Roman" w:eastAsia="宋体" w:cs="Times New Roman"/>
                <w:szCs w:val="21"/>
                <w:highlight w:val="none"/>
              </w:rPr>
            </w:r>
            <w:r/>
          </w:p>
        </w:tc>
        <w:tc>
          <w:tcPr>
            <w:tcW w:w="1126" w:type="dxa"/>
            <w:vAlign w:val="center"/>
            <w:textDirection w:val="lrTb"/>
            <w:noWrap w:val="false"/>
          </w:tcPr>
          <w:p>
            <w:pPr>
              <w:pStyle w:val="1030"/>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类似业绩</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12</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0"/>
              <w:numPr>
                <w:ilvl w:val="0"/>
                <w:numId w:val="0"/>
              </w:numPr>
              <w:jc w:val="left"/>
              <w:spacing w:line="360" w:lineRule="auto"/>
              <w:widowControl/>
              <w:rPr>
                <w:rFonts w:ascii="宋体" w:hAnsi="宋体" w:eastAsia="宋体" w:cs="宋体"/>
                <w:b w:val="0"/>
                <w:bCs/>
                <w:szCs w:val="21"/>
                <w:highlight w:val="none"/>
                <w:lang w:val="en-US" w:eastAsia="zh-CN"/>
              </w:rPr>
              <w:framePr w:vAnchor="text" w:hAnchor="page" w:xAlign="center" w:y="394"/>
            </w:pPr>
            <w:r>
              <w:rPr>
                <w:rFonts w:hint="eastAsia" w:ascii="宋体" w:hAnsi="宋体" w:eastAsia="宋体" w:cs="宋体"/>
                <w:b w:val="0"/>
                <w:bCs/>
                <w:szCs w:val="21"/>
                <w:highlight w:val="none"/>
                <w:lang w:val="en-US" w:eastAsia="zh-CN"/>
              </w:rPr>
              <w:t xml:space="preserve">1.投标人自2023年1月1日以来承接过第二轮土地承包到期再延长30年服务项目业绩的，有1个得2分，本小项最高得8分。</w:t>
            </w:r>
            <w:r>
              <w:rPr>
                <w:rFonts w:ascii="宋体" w:hAnsi="宋体" w:eastAsia="宋体" w:cs="宋体"/>
                <w:b w:val="0"/>
                <w:bCs/>
                <w:szCs w:val="21"/>
                <w:highlight w:val="none"/>
                <w:lang w:val="en-US" w:eastAsia="zh-CN"/>
              </w:rPr>
            </w:r>
            <w:r/>
          </w:p>
          <w:p>
            <w:pPr>
              <w:pStyle w:val="1030"/>
              <w:numPr>
                <w:ilvl w:val="0"/>
                <w:numId w:val="0"/>
              </w:numPr>
              <w:jc w:val="left"/>
              <w:spacing w:line="360" w:lineRule="auto"/>
              <w:widowControl/>
              <w:rPr>
                <w:rFonts w:ascii="宋体" w:hAnsi="宋体" w:eastAsia="宋体" w:cs="宋体"/>
                <w:b/>
                <w:szCs w:val="21"/>
                <w:highlight w:val="none"/>
              </w:rPr>
              <w:framePr w:vAnchor="text" w:hAnchor="page" w:xAlign="center" w:y="394"/>
            </w:pPr>
            <w:r>
              <w:rPr>
                <w:rFonts w:hint="eastAsia" w:ascii="宋体" w:hAnsi="宋体" w:eastAsia="宋体" w:cs="宋体"/>
                <w:b w:val="0"/>
                <w:bCs/>
                <w:szCs w:val="21"/>
                <w:highlight w:val="none"/>
                <w:lang w:val="en-US" w:eastAsia="zh-CN"/>
              </w:rPr>
              <w:t xml:space="preserve">2.投标</w:t>
            </w:r>
            <w:r>
              <w:rPr>
                <w:rFonts w:hint="eastAsia" w:ascii="宋体" w:hAnsi="宋体" w:eastAsia="宋体" w:cs="宋体"/>
                <w:b w:val="0"/>
                <w:bCs/>
                <w:szCs w:val="21"/>
                <w:highlight w:val="none"/>
              </w:rPr>
              <w:t xml:space="preserve">人</w:t>
            </w:r>
            <w:r>
              <w:rPr>
                <w:rFonts w:hint="eastAsia" w:ascii="宋体" w:hAnsi="宋体" w:eastAsia="宋体" w:cs="宋体"/>
                <w:b w:val="0"/>
                <w:bCs/>
                <w:szCs w:val="21"/>
                <w:highlight w:val="none"/>
                <w:lang w:val="en-US" w:eastAsia="zh-CN"/>
              </w:rPr>
              <w:t xml:space="preserve">自2023年1月1日以来</w:t>
            </w:r>
            <w:r>
              <w:rPr>
                <w:rFonts w:hint="eastAsia" w:ascii="宋体" w:hAnsi="宋体" w:eastAsia="宋体" w:cs="宋体"/>
                <w:b w:val="0"/>
                <w:bCs/>
                <w:szCs w:val="21"/>
                <w:highlight w:val="none"/>
              </w:rPr>
              <w:t xml:space="preserve">承接过</w:t>
            </w:r>
            <w:r>
              <w:rPr>
                <w:rFonts w:hint="eastAsia" w:ascii="宋体" w:hAnsi="宋体" w:eastAsia="宋体" w:cs="宋体"/>
                <w:b w:val="0"/>
                <w:bCs/>
                <w:szCs w:val="21"/>
                <w:highlight w:val="none"/>
                <w:lang w:val="en-US" w:eastAsia="zh-CN"/>
              </w:rPr>
              <w:t xml:space="preserve">农村土地承包经营权确权登记或集体土地所有权更新项目业绩的</w:t>
            </w:r>
            <w:r>
              <w:rPr>
                <w:rFonts w:hint="eastAsia" w:ascii="宋体" w:hAnsi="宋体" w:eastAsia="宋体" w:cs="宋体"/>
                <w:b w:val="0"/>
                <w:bCs/>
                <w:szCs w:val="21"/>
                <w:highlight w:val="none"/>
              </w:rPr>
              <w:t xml:space="preserve">，有1个得</w:t>
            </w:r>
            <w:r>
              <w:rPr>
                <w:rFonts w:hint="eastAsia" w:ascii="宋体" w:hAnsi="宋体" w:eastAsia="宋体" w:cs="宋体"/>
                <w:b w:val="0"/>
                <w:bCs/>
                <w:szCs w:val="21"/>
                <w:highlight w:val="none"/>
                <w:lang w:val="en-US" w:eastAsia="zh-CN"/>
              </w:rPr>
              <w:t xml:space="preserve">1</w:t>
            </w:r>
            <w:r>
              <w:rPr>
                <w:rFonts w:hint="eastAsia" w:ascii="宋体" w:hAnsi="宋体" w:eastAsia="宋体" w:cs="宋体"/>
                <w:b w:val="0"/>
                <w:bCs/>
                <w:szCs w:val="21"/>
                <w:highlight w:val="none"/>
              </w:rPr>
              <w:t xml:space="preserve">分，本</w:t>
            </w:r>
            <w:r>
              <w:rPr>
                <w:rFonts w:hint="eastAsia" w:ascii="宋体" w:hAnsi="宋体" w:eastAsia="宋体" w:cs="宋体"/>
                <w:b w:val="0"/>
                <w:bCs/>
                <w:szCs w:val="21"/>
                <w:highlight w:val="none"/>
                <w:lang w:val="en-US" w:eastAsia="zh-CN"/>
              </w:rPr>
              <w:t xml:space="preserve">小</w:t>
            </w:r>
            <w:r>
              <w:rPr>
                <w:rFonts w:hint="eastAsia" w:ascii="宋体" w:hAnsi="宋体" w:eastAsia="宋体" w:cs="宋体"/>
                <w:b w:val="0"/>
                <w:bCs/>
                <w:szCs w:val="21"/>
                <w:highlight w:val="none"/>
              </w:rPr>
              <w:t xml:space="preserve">项最高</w:t>
            </w:r>
            <w:r>
              <w:rPr>
                <w:rFonts w:hint="eastAsia" w:ascii="宋体" w:hAnsi="宋体" w:eastAsia="宋体" w:cs="宋体"/>
                <w:b w:val="0"/>
                <w:bCs/>
                <w:szCs w:val="21"/>
                <w:highlight w:val="none"/>
                <w:lang w:val="en-US" w:eastAsia="zh-CN"/>
              </w:rPr>
              <w:t xml:space="preserve">得4</w:t>
            </w:r>
            <w:r>
              <w:rPr>
                <w:rFonts w:hint="eastAsia" w:ascii="宋体" w:hAnsi="宋体" w:eastAsia="宋体" w:cs="宋体"/>
                <w:b w:val="0"/>
                <w:bCs/>
                <w:szCs w:val="21"/>
                <w:highlight w:val="none"/>
              </w:rPr>
              <w:t xml:space="preserve">分。</w:t>
            </w:r>
            <w:r>
              <w:rPr>
                <w:rFonts w:ascii="宋体" w:hAnsi="宋体" w:eastAsia="宋体" w:cs="宋体"/>
                <w:b/>
                <w:szCs w:val="21"/>
                <w:highlight w:val="none"/>
              </w:rPr>
            </w:r>
            <w:r/>
          </w:p>
          <w:p>
            <w:pPr>
              <w:pStyle w:val="1030"/>
              <w:jc w:val="left"/>
              <w:spacing w:line="360" w:lineRule="auto"/>
              <w:widowControl/>
              <w:rPr>
                <w:rFonts w:hint="eastAsia"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w:t>
            </w:r>
            <w:r>
              <w:rPr>
                <w:rFonts w:hint="eastAsia" w:ascii="宋体" w:hAnsi="宋体" w:eastAsia="宋体" w:cs="宋体"/>
                <w:b/>
                <w:szCs w:val="21"/>
                <w:highlight w:val="none"/>
                <w:lang w:val="en-US" w:eastAsia="zh-CN"/>
              </w:rPr>
              <w:t xml:space="preserve">时间以合同签订时间为准，</w:t>
            </w:r>
            <w:r>
              <w:rPr>
                <w:rFonts w:hint="eastAsia" w:ascii="宋体" w:hAnsi="宋体" w:eastAsia="宋体" w:cs="宋体"/>
                <w:b/>
                <w:szCs w:val="21"/>
                <w:highlight w:val="none"/>
              </w:rPr>
              <w:t xml:space="preserve">提供</w:t>
            </w:r>
            <w:r>
              <w:rPr>
                <w:rFonts w:hint="eastAsia" w:ascii="宋体" w:hAnsi="宋体" w:eastAsia="宋体" w:cs="宋体"/>
                <w:b/>
                <w:szCs w:val="21"/>
                <w:highlight w:val="none"/>
                <w:lang w:val="en-US" w:eastAsia="zh-CN"/>
              </w:rPr>
              <w:t xml:space="preserve">业绩合同</w:t>
            </w:r>
            <w:r>
              <w:rPr>
                <w:rFonts w:hint="eastAsia" w:ascii="宋体" w:hAnsi="宋体" w:eastAsia="宋体" w:cs="宋体"/>
                <w:b/>
                <w:szCs w:val="21"/>
                <w:highlight w:val="none"/>
              </w:rPr>
              <w:t xml:space="preserve">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转包或分包业绩不计分，业绩合同须体现对应服务内容，</w:t>
            </w:r>
            <w:r>
              <w:rPr>
                <w:rFonts w:hint="eastAsia" w:ascii="宋体" w:hAnsi="宋体" w:eastAsia="宋体" w:cs="宋体"/>
                <w:b/>
                <w:szCs w:val="21"/>
                <w:highlight w:val="none"/>
              </w:rPr>
              <w:t xml:space="preserve">未提供不得分。</w:t>
            </w:r>
            <w:r>
              <w:rPr>
                <w:rFonts w:hint="eastAsia" w:ascii="Times New Roman" w:hAnsi="Times New Roman" w:eastAsia="宋体" w:cs="Times New Roman"/>
                <w:highlight w:val="none"/>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12</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0"/>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0"/>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3.2</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0"/>
              <w:ind w:firstLine="28"/>
              <w:jc w:val="center"/>
              <w:rPr>
                <w:rFonts w:hint="eastAsia" w:ascii="Times New Roman" w:hAnsi="Times New Roman" w:eastAsia="宋体" w:cs="Times New Roman"/>
                <w:color w:val="000000"/>
                <w:sz w:val="21"/>
                <w:szCs w:val="21"/>
                <w:highlight w:val="none"/>
                <w:lang w:val="en-US" w:eastAsia="zh-CN" w:bidi="ar"/>
              </w:rPr>
              <w:framePr w:vAnchor="text" w:hAnchor="page" w:xAlign="center" w:y="394"/>
            </w:pPr>
            <w:r>
              <w:rPr>
                <w:rFonts w:hint="eastAsia" w:cs="Times New Roman"/>
                <w:color w:val="000000"/>
                <w:szCs w:val="21"/>
                <w:highlight w:val="none"/>
                <w:lang w:val="en-US" w:eastAsia="zh-CN" w:bidi="ar"/>
              </w:rPr>
              <w:t xml:space="preserve">综合实力</w:t>
            </w:r>
            <w:r>
              <w:rPr>
                <w:rFonts w:hint="eastAsia" w:ascii="Times New Roman" w:hAnsi="Times New Roman" w:eastAsia="宋体" w:cs="Times New Roman"/>
                <w:color w:val="000000"/>
                <w:sz w:val="21"/>
                <w:szCs w:val="21"/>
                <w:highlight w:val="none"/>
                <w:lang w:val="en-US" w:eastAsia="zh-CN" w:bidi="ar"/>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color w:val="000000"/>
                <w:sz w:val="21"/>
                <w:szCs w:val="21"/>
                <w:highlight w:val="none"/>
                <w:lang w:val="en-US" w:eastAsia="zh-CN" w:bidi="ar-SA"/>
              </w:rPr>
              <w:framePr w:vAnchor="text" w:hAnchor="page" w:xAlign="center" w:y="394"/>
            </w:pPr>
            <w:r>
              <w:rPr>
                <w:rFonts w:hint="eastAsia" w:cs="Times New Roman"/>
                <w:color w:val="000000"/>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r>
            <w:r/>
          </w:p>
        </w:tc>
        <w:tc>
          <w:tcPr>
            <w:tcW w:w="4523" w:type="dxa"/>
            <w:vAlign w:val="center"/>
            <w:textDirection w:val="lrTb"/>
            <w:noWrap w:val="false"/>
          </w:tcPr>
          <w:p>
            <w:pPr>
              <w:pStyle w:val="1030"/>
              <w:numPr>
                <w:ilvl w:val="0"/>
                <w:numId w:val="0"/>
              </w:numPr>
              <w:jc w:val="left"/>
              <w:spacing w:line="360" w:lineRule="auto"/>
              <w:widowControl/>
              <w:rPr>
                <w:rFonts w:hint="eastAsia" w:eastAsia="宋体"/>
                <w:color w:val="000000"/>
                <w:lang w:eastAsia="zh-CN"/>
              </w:rPr>
              <w:framePr w:vAnchor="text" w:hAnchor="page" w:xAlign="center" w:y="394"/>
            </w:pPr>
            <w:r>
              <w:rPr>
                <w:rFonts w:hint="eastAsia" w:ascii="宋体" w:hAnsi="宋体" w:eastAsia="宋体" w:cs="宋体"/>
                <w:bCs/>
                <w:color w:val="000000"/>
                <w:szCs w:val="21"/>
                <w:highlight w:val="none"/>
                <w:lang w:val="en-US" w:eastAsia="zh-CN" w:bidi="ar-SA"/>
              </w:rPr>
              <w:t xml:space="preserve">1.</w:t>
            </w:r>
            <w:r>
              <w:rPr>
                <w:rFonts w:hint="eastAsia" w:eastAsia="宋体"/>
                <w:color w:val="000000"/>
                <w:lang w:val="en-US" w:eastAsia="zh-CN"/>
              </w:rPr>
              <w:t xml:space="preserve">投标人</w:t>
            </w:r>
            <w:r>
              <w:rPr>
                <w:rFonts w:hint="eastAsia"/>
                <w:color w:val="000000"/>
              </w:rPr>
              <w:t xml:space="preserve">具有土地二轮延包相关软件著作权证书的，每提供1个得</w:t>
            </w:r>
            <w:r>
              <w:rPr>
                <w:rFonts w:hint="eastAsia"/>
                <w:color w:val="000000"/>
                <w:lang w:val="en-US" w:eastAsia="zh-CN"/>
              </w:rPr>
              <w:t xml:space="preserve">2</w:t>
            </w:r>
            <w:r>
              <w:rPr>
                <w:rFonts w:hint="eastAsia"/>
                <w:color w:val="000000"/>
              </w:rPr>
              <w:t xml:space="preserve">分</w:t>
            </w:r>
            <w:r>
              <w:rPr>
                <w:rFonts w:hint="eastAsia"/>
                <w:color w:val="000000"/>
                <w:lang w:eastAsia="zh-CN"/>
              </w:rPr>
              <w:t xml:space="preserve">，</w:t>
            </w:r>
            <w:r>
              <w:rPr>
                <w:rFonts w:hint="eastAsia" w:ascii="宋体" w:hAnsi="宋体" w:eastAsia="宋体" w:cs="宋体"/>
                <w:b w:val="0"/>
                <w:bCs/>
                <w:szCs w:val="21"/>
                <w:highlight w:val="none"/>
                <w:lang w:val="en-US" w:eastAsia="zh-CN" w:bidi="ar-SA"/>
              </w:rPr>
              <w:t xml:space="preserve">本小项最高得4分。</w:t>
            </w:r>
            <w:r>
              <w:rPr>
                <w:rFonts w:hint="eastAsia" w:eastAsia="宋体"/>
                <w:color w:val="000000"/>
                <w:lang w:eastAsia="zh-CN"/>
              </w:rPr>
            </w:r>
            <w:r/>
          </w:p>
          <w:p>
            <w:pPr>
              <w:pStyle w:val="1030"/>
              <w:numPr>
                <w:ilvl w:val="0"/>
                <w:numId w:val="0"/>
              </w:numPr>
              <w:jc w:val="left"/>
              <w:spacing w:line="360" w:lineRule="auto"/>
              <w:widowControl/>
              <w:rPr>
                <w:rFonts w:eastAsia="宋体"/>
                <w:color w:val="000000"/>
                <w:lang w:val="en-US" w:eastAsia="zh-CN"/>
              </w:rPr>
              <w:framePr w:vAnchor="text" w:hAnchor="page" w:xAlign="center" w:y="394"/>
            </w:pPr>
            <w:r>
              <w:rPr>
                <w:rFonts w:hint="eastAsia"/>
                <w:color w:val="000000"/>
                <w:lang w:val="en-US" w:eastAsia="zh-CN"/>
              </w:rPr>
              <w:t xml:space="preserve">2.投标人</w:t>
            </w:r>
            <w:r>
              <w:rPr>
                <w:rFonts w:hint="eastAsia"/>
                <w:color w:val="000000"/>
                <w:lang w:eastAsia="zh-CN"/>
              </w:rPr>
              <w:t xml:space="preserve">具有集体土地所有权相关软件著作权证书的，</w:t>
            </w:r>
            <w:r>
              <w:rPr>
                <w:rFonts w:hint="eastAsia"/>
                <w:color w:val="000000"/>
              </w:rPr>
              <w:t xml:space="preserve">每提供1个得</w:t>
            </w:r>
            <w:r>
              <w:rPr>
                <w:rFonts w:hint="eastAsia"/>
                <w:color w:val="000000"/>
                <w:lang w:val="en-US" w:eastAsia="zh-CN"/>
              </w:rPr>
              <w:t xml:space="preserve">1</w:t>
            </w:r>
            <w:r>
              <w:rPr>
                <w:rFonts w:hint="eastAsia"/>
                <w:color w:val="000000"/>
              </w:rPr>
              <w:t xml:space="preserve">分，</w:t>
            </w:r>
            <w:r>
              <w:rPr>
                <w:rFonts w:hint="eastAsia" w:ascii="宋体" w:hAnsi="宋体" w:eastAsia="宋体" w:cs="宋体"/>
                <w:b w:val="0"/>
                <w:bCs/>
                <w:szCs w:val="21"/>
                <w:highlight w:val="none"/>
                <w:lang w:val="en-US" w:eastAsia="zh-CN" w:bidi="ar-SA"/>
              </w:rPr>
              <w:t xml:space="preserve">本小项最高得2分。</w:t>
            </w:r>
            <w:r>
              <w:rPr>
                <w:rFonts w:eastAsia="宋体"/>
                <w:color w:val="000000"/>
                <w:lang w:val="en-US" w:eastAsia="zh-CN"/>
              </w:rPr>
            </w:r>
            <w:r/>
          </w:p>
          <w:p>
            <w:pPr>
              <w:pStyle w:val="1030"/>
              <w:numPr>
                <w:ilvl w:val="0"/>
                <w:numId w:val="0"/>
              </w:numPr>
              <w:ind w:left="0" w:firstLine="0"/>
              <w:jc w:val="left"/>
              <w:spacing w:line="360" w:lineRule="auto"/>
              <w:widowControl/>
              <w:rPr>
                <w:rFonts w:hint="eastAsia"/>
                <w:color w:val="000000"/>
                <w:sz w:val="21"/>
                <w:szCs w:val="24"/>
                <w:lang w:val="en-US" w:eastAsia="zh-CN" w:bidi="ar-SA"/>
              </w:rPr>
              <w:framePr w:vAnchor="text" w:hAnchor="page" w:xAlign="center" w:y="394"/>
            </w:pPr>
            <w:r>
              <w:rPr>
                <w:rFonts w:hint="eastAsia" w:ascii="宋体" w:hAnsi="宋体" w:eastAsia="宋体" w:cs="宋体"/>
                <w:b/>
                <w:bCs/>
                <w:color w:val="000000"/>
                <w:sz w:val="21"/>
                <w:szCs w:val="21"/>
                <w:lang w:eastAsia="zh-CN"/>
              </w:rPr>
              <w:t xml:space="preserve">注：</w:t>
            </w:r>
            <w:r>
              <w:rPr>
                <w:rFonts w:hint="eastAsia" w:ascii="宋体" w:hAnsi="宋体" w:eastAsia="宋体" w:cs="宋体"/>
                <w:b/>
                <w:bCs/>
                <w:color w:val="000000"/>
                <w:sz w:val="21"/>
                <w:szCs w:val="21"/>
              </w:rPr>
              <w:t xml:space="preserve">提供</w:t>
            </w:r>
            <w:r>
              <w:rPr>
                <w:rFonts w:hint="eastAsia" w:ascii="宋体" w:hAnsi="宋体" w:cs="宋体"/>
                <w:b/>
                <w:bCs/>
                <w:color w:val="000000"/>
                <w:sz w:val="21"/>
                <w:szCs w:val="21"/>
                <w:lang w:val="en-US" w:eastAsia="zh-CN"/>
              </w:rPr>
              <w:t xml:space="preserve">相关</w:t>
            </w:r>
            <w:r>
              <w:rPr>
                <w:rFonts w:hint="eastAsia" w:ascii="宋体" w:hAnsi="宋体" w:eastAsia="宋体" w:cs="宋体"/>
                <w:b/>
                <w:bCs/>
                <w:color w:val="000000"/>
                <w:sz w:val="21"/>
                <w:szCs w:val="21"/>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bCs/>
                <w:color w:val="000000"/>
                <w:sz w:val="21"/>
                <w:szCs w:val="21"/>
                <w:lang w:eastAsia="zh-CN"/>
              </w:rPr>
              <w:t xml:space="preserve">，</w:t>
            </w:r>
            <w:r>
              <w:rPr>
                <w:rFonts w:hint="eastAsia" w:ascii="宋体" w:hAnsi="宋体" w:cs="等线 Light"/>
                <w:b/>
                <w:bCs/>
                <w:color w:val="000000"/>
                <w:sz w:val="21"/>
                <w:szCs w:val="21"/>
              </w:rPr>
              <w:t xml:space="preserve">未提供不得分。</w:t>
            </w:r>
            <w:r>
              <w:rPr>
                <w:rFonts w:hint="eastAsia"/>
                <w:color w:val="000000"/>
                <w:sz w:val="21"/>
                <w:szCs w:val="24"/>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color w:val="000000"/>
                <w:sz w:val="21"/>
                <w:szCs w:val="21"/>
                <w:highlight w:val="none"/>
                <w:lang w:val="en-US" w:eastAsia="zh-CN" w:bidi="ar-SA"/>
              </w:rPr>
              <w:framePr w:vAnchor="text" w:hAnchor="page" w:xAlign="center" w:y="394"/>
            </w:pPr>
            <w:r>
              <w:rPr>
                <w:rFonts w:hint="eastAsia" w:cs="Times New Roman"/>
                <w:color w:val="000000"/>
                <w:sz w:val="21"/>
                <w:szCs w:val="21"/>
                <w:highlight w:val="none"/>
                <w:lang w:val="en-US" w:eastAsia="zh-CN" w:bidi="ar-SA"/>
              </w:rPr>
              <w:t xml:space="preserve">0</w:t>
            </w:r>
            <w:r>
              <w:rPr>
                <w:rFonts w:hint="eastAsia" w:ascii="Times New Roman" w:hAnsi="Times New Roman" w:eastAsia="宋体" w:cs="Times New Roman"/>
                <w:color w:val="000000"/>
                <w:sz w:val="21"/>
                <w:szCs w:val="21"/>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color w:val="000000"/>
                <w:sz w:val="21"/>
                <w:szCs w:val="21"/>
                <w:highlight w:val="none"/>
                <w:lang w:val="en-US" w:eastAsia="zh-CN" w:bidi="ar-SA"/>
              </w:rPr>
              <w:framePr w:vAnchor="text" w:hAnchor="page" w:xAlign="center" w:y="394"/>
            </w:pPr>
            <w:r>
              <w:rPr>
                <w:rFonts w:hint="eastAsia" w:cs="Times New Roman"/>
                <w:color w:val="000000"/>
                <w:sz w:val="21"/>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r>
            <w:r/>
          </w:p>
        </w:tc>
        <w:tc>
          <w:tcPr>
            <w:tcW w:w="702" w:type="dxa"/>
            <w:vAlign w:val="center"/>
            <w:textDirection w:val="lrTb"/>
            <w:noWrap w:val="false"/>
          </w:tcPr>
          <w:p>
            <w:pPr>
              <w:pStyle w:val="1030"/>
              <w:jc w:val="center"/>
              <w:rPr>
                <w:rFonts w:hint="eastAsia" w:ascii="Times New Roman" w:hAnsi="Times New Roman" w:eastAsia="宋体" w:cs="Times New Roman"/>
                <w:color w:val="000000"/>
                <w:sz w:val="21"/>
                <w:szCs w:val="21"/>
                <w:highlight w:val="none"/>
                <w:lang w:val="en-US" w:eastAsia="zh-CN" w:bidi="ar"/>
              </w:rPr>
              <w:framePr w:vAnchor="text" w:hAnchor="page" w:xAlign="center" w:y="394"/>
            </w:pPr>
            <w:r>
              <w:rPr>
                <w:rFonts w:hint="eastAsia" w:cs="Times New Roman"/>
                <w:color w:val="000000"/>
                <w:szCs w:val="21"/>
                <w:highlight w:val="none"/>
                <w:lang w:eastAsia="zh-CN" w:bidi="ar"/>
              </w:rPr>
              <w:t xml:space="preserve">否</w:t>
            </w:r>
            <w:r>
              <w:rPr>
                <w:rFonts w:hint="eastAsia" w:ascii="Times New Roman" w:hAnsi="Times New Roman" w:eastAsia="宋体" w:cs="Times New Roman"/>
                <w:color w:val="000000"/>
                <w:sz w:val="21"/>
                <w:szCs w:val="21"/>
                <w:highlight w:val="none"/>
                <w:lang w:val="en-US" w:eastAsia="zh-CN" w:bidi="ar"/>
              </w:rPr>
            </w:r>
            <w:r/>
          </w:p>
        </w:tc>
        <w:tc>
          <w:tcPr>
            <w:tcW w:w="702" w:type="dxa"/>
            <w:vAlign w:val="center"/>
            <w:textDirection w:val="lrTb"/>
            <w:noWrap w:val="false"/>
          </w:tcPr>
          <w:p>
            <w:pPr>
              <w:pStyle w:val="1030"/>
              <w:jc w:val="center"/>
              <w:rPr>
                <w:rFonts w:hint="eastAsia" w:ascii="Times New Roman" w:hAnsi="Times New Roman" w:eastAsia="宋体" w:cs="Times New Roman"/>
                <w:color w:val="000000"/>
                <w:sz w:val="21"/>
                <w:szCs w:val="21"/>
                <w:highlight w:val="none"/>
                <w:lang w:val="en-US" w:eastAsia="zh-CN" w:bidi="ar"/>
              </w:rPr>
              <w:framePr w:vAnchor="text" w:hAnchor="page" w:xAlign="center" w:y="394"/>
            </w:pPr>
            <w:r>
              <w:rPr>
                <w:rFonts w:hint="eastAsia" w:cs="Times New Roman"/>
                <w:color w:val="000000"/>
                <w:szCs w:val="21"/>
                <w:highlight w:val="none"/>
                <w:lang w:eastAsia="zh-CN" w:bidi="ar"/>
              </w:rPr>
              <w:t xml:space="preserve">是</w:t>
            </w:r>
            <w:r>
              <w:rPr>
                <w:rFonts w:hint="eastAsia" w:ascii="Times New Roman" w:hAnsi="Times New Roman" w:eastAsia="宋体" w:cs="Times New Roman"/>
                <w:color w:val="000000"/>
                <w:sz w:val="21"/>
                <w:szCs w:val="21"/>
                <w:highlight w:val="none"/>
                <w:lang w:val="en-US" w:eastAsia="zh-CN" w:bidi="ar"/>
              </w:rPr>
            </w:r>
            <w:r/>
          </w:p>
        </w:tc>
      </w:tr>
      <w:tr>
        <w:trPr>
          <w:trHeight w:val="417"/>
        </w:trPr>
        <w:tc>
          <w:tcPr>
            <w:tcW w:w="835" w:type="dxa"/>
            <w:vAlign w:val="center"/>
            <w:textDirection w:val="lrTb"/>
            <w:noWrap w:val="false"/>
          </w:tcPr>
          <w:p>
            <w:pPr>
              <w:pStyle w:val="1030"/>
              <w:ind w:firstLine="2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lang w:val="en-US" w:eastAsia="zh-CN"/>
              </w:rPr>
              <w:t xml:space="preserve">3</w:t>
            </w:r>
            <w:r>
              <w:rPr>
                <w:rFonts w:hint="eastAsia"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0"/>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项目负责人</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sz w:val="24"/>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4"/>
                <w:highlight w:val="none"/>
                <w:lang w:eastAsia="zh-CN"/>
              </w:rPr>
            </w:r>
            <w:r/>
          </w:p>
        </w:tc>
        <w:tc>
          <w:tcPr>
            <w:tcW w:w="4523" w:type="dxa"/>
            <w:vAlign w:val="center"/>
            <w:textDirection w:val="lrTb"/>
            <w:noWrap w:val="false"/>
          </w:tcPr>
          <w:p>
            <w:pPr>
              <w:pStyle w:val="1030"/>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1.拟配备项目负责人具有测绘类专业高级及以上职称的得3分，具有</w:t>
            </w:r>
            <w:r>
              <w:rPr>
                <w:rFonts w:hint="eastAsia" w:ascii="宋体" w:hAnsi="宋体" w:eastAsia="宋体" w:cs="宋体"/>
                <w:bCs/>
                <w:szCs w:val="21"/>
                <w:highlight w:val="none"/>
                <w:lang w:val="en-US" w:eastAsia="zh-CN"/>
              </w:rPr>
              <w:t xml:space="preserve">测绘类专业中级职称的得1.5分，本小项最高得3分。</w:t>
            </w:r>
            <w:r>
              <w:rPr>
                <w:rFonts w:ascii="宋体" w:hAnsi="宋体" w:eastAsia="宋体" w:cs="宋体"/>
                <w:bCs/>
                <w:szCs w:val="21"/>
                <w:highlight w:val="none"/>
                <w:lang w:val="en-US" w:eastAsia="zh-CN"/>
              </w:rPr>
            </w:r>
            <w:r/>
          </w:p>
          <w:p>
            <w:pPr>
              <w:pStyle w:val="1030"/>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en-US" w:eastAsia="zh-CN"/>
              </w:rPr>
              <w:t xml:space="preserve">拟配备项目负责人具有</w:t>
            </w:r>
            <w:r>
              <w:rPr>
                <w:rFonts w:hint="eastAsia"/>
                <w:highlight w:val="none"/>
              </w:rPr>
              <w:t xml:space="preserve">注册测绘</w:t>
            </w:r>
            <w:r>
              <w:rPr>
                <w:rFonts w:hint="eastAsia"/>
              </w:rPr>
              <w:t xml:space="preserve">师证书</w:t>
            </w:r>
            <w:r>
              <w:rPr>
                <w:rFonts w:hint="eastAsia"/>
                <w:lang w:eastAsia="zh-CN"/>
              </w:rPr>
              <w:t xml:space="preserve">、不动产登记代理人（或原土地登记代理人）职业资格证书、地理信息安全保密培训合格证</w:t>
            </w:r>
            <w:r>
              <w:rPr>
                <w:rFonts w:hint="eastAsia"/>
                <w:lang w:val="en-US" w:eastAsia="zh-CN"/>
              </w:rPr>
              <w:t xml:space="preserve">的，每有1项得1分，本小项最高得3分。</w:t>
            </w:r>
            <w:r>
              <w:rPr>
                <w:rFonts w:ascii="宋体" w:hAnsi="宋体" w:eastAsia="宋体" w:cs="宋体"/>
                <w:bCs/>
                <w:szCs w:val="21"/>
                <w:highlight w:val="none"/>
                <w:lang w:val="en-US" w:eastAsia="zh-CN"/>
              </w:rPr>
            </w:r>
            <w:r/>
          </w:p>
          <w:p>
            <w:pPr>
              <w:pStyle w:val="1030"/>
              <w:spacing w:line="360" w:lineRule="auto"/>
              <w:widowControl/>
              <w:rPr>
                <w:rFonts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注：提供</w:t>
            </w:r>
            <w:r>
              <w:rPr>
                <w:rFonts w:hint="eastAsia" w:ascii="宋体" w:hAnsi="宋体" w:eastAsia="宋体" w:cs="宋体"/>
                <w:b/>
                <w:szCs w:val="21"/>
                <w:highlight w:val="none"/>
                <w:lang w:val="en-US" w:eastAsia="zh-CN"/>
              </w:rPr>
              <w:t xml:space="preserve">相关</w:t>
            </w:r>
            <w:r>
              <w:rPr>
                <w:rFonts w:hint="eastAsia" w:ascii="宋体" w:hAnsi="宋体" w:eastAsia="宋体" w:cs="宋体"/>
                <w:b/>
                <w:szCs w:val="21"/>
                <w:highlight w:val="none"/>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ascii="Times New Roman" w:hAnsi="Times New Roman" w:eastAsia="宋体" w:cs="Times New Roman"/>
                <w:highlight w:val="none"/>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0"/>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0"/>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3.4</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0"/>
              <w:ind w:firstLine="28"/>
              <w:jc w:val="center"/>
              <w:rPr>
                <w:rFonts w:hint="eastAsia" w:ascii="Times New Roman" w:hAnsi="Times New Roman" w:eastAsia="宋体" w:cs="Times New Roman"/>
                <w:sz w:val="21"/>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技术</w:t>
            </w:r>
            <w:r>
              <w:rPr>
                <w:rFonts w:hint="eastAsia" w:ascii="Times New Roman" w:hAnsi="Times New Roman" w:eastAsia="宋体" w:cs="Times New Roman"/>
                <w:szCs w:val="21"/>
                <w:highlight w:val="none"/>
                <w:lang w:bidi="ar"/>
              </w:rPr>
              <w:t xml:space="preserve">负责人</w:t>
            </w:r>
            <w:r>
              <w:rPr>
                <w:rFonts w:hint="eastAsia" w:ascii="Times New Roman" w:hAnsi="Times New Roman" w:eastAsia="宋体" w:cs="Times New Roman"/>
                <w:sz w:val="21"/>
                <w:szCs w:val="21"/>
                <w:highlight w:val="none"/>
                <w:lang w:val="en-US" w:eastAsia="zh-CN" w:bidi="ar"/>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sz w:val="24"/>
                <w:szCs w:val="24"/>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4"/>
                <w:szCs w:val="24"/>
                <w:highlight w:val="none"/>
                <w:lang w:val="en-US" w:eastAsia="zh-CN" w:bidi="ar-SA"/>
              </w:rPr>
            </w:r>
            <w:r/>
          </w:p>
        </w:tc>
        <w:tc>
          <w:tcPr>
            <w:tcW w:w="4523" w:type="dxa"/>
            <w:vAlign w:val="center"/>
            <w:textDirection w:val="lrTb"/>
            <w:noWrap w:val="false"/>
          </w:tcPr>
          <w:p>
            <w:pPr>
              <w:pStyle w:val="1030"/>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1.拟配备技术负责人具有测绘类专业高级及以上职称的得3分，具有测绘类专业中级职称的得1.5分，本小项最高得3分。</w:t>
            </w:r>
            <w:r>
              <w:rPr>
                <w:rFonts w:ascii="宋体" w:hAnsi="宋体" w:eastAsia="宋体" w:cs="宋体"/>
                <w:bCs/>
                <w:szCs w:val="21"/>
                <w:highlight w:val="none"/>
                <w:lang w:val="en-US" w:eastAsia="zh-CN"/>
              </w:rPr>
            </w:r>
            <w:r/>
          </w:p>
          <w:p>
            <w:pPr>
              <w:pStyle w:val="1030"/>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2.拟配备技术负责人具有</w:t>
            </w:r>
            <w:r>
              <w:rPr>
                <w:rFonts w:hint="eastAsia"/>
              </w:rPr>
              <w:t xml:space="preserve">注册测绘师证书</w:t>
            </w:r>
            <w:r>
              <w:rPr>
                <w:rFonts w:hint="eastAsia"/>
                <w:lang w:eastAsia="zh-CN"/>
              </w:rPr>
              <w:t xml:space="preserve">、不动产登记代理人（或原土地登记代理人）职业资格证书、</w:t>
            </w:r>
            <w:r>
              <w:rPr>
                <w:rFonts w:hint="eastAsia"/>
                <w:lang w:val="en-US" w:eastAsia="zh-CN"/>
              </w:rPr>
              <w:t xml:space="preserve">土地承包经营权/二轮延包</w:t>
            </w:r>
            <w:r>
              <w:rPr>
                <w:rFonts w:hint="eastAsia"/>
                <w:lang w:eastAsia="zh-CN"/>
              </w:rPr>
              <w:t xml:space="preserve">培训合格证</w:t>
            </w:r>
            <w:r>
              <w:rPr>
                <w:rFonts w:hint="eastAsia"/>
                <w:lang w:val="en-US" w:eastAsia="zh-CN"/>
              </w:rPr>
              <w:t xml:space="preserve">的，每有1项得1分，本小项最高得3分。</w:t>
            </w:r>
            <w:r>
              <w:rPr>
                <w:rFonts w:ascii="宋体" w:hAnsi="宋体" w:eastAsia="宋体" w:cs="宋体"/>
                <w:bCs/>
                <w:szCs w:val="21"/>
                <w:highlight w:val="none"/>
                <w:lang w:val="en-US" w:eastAsia="zh-CN"/>
              </w:rPr>
            </w:r>
            <w:r/>
          </w:p>
          <w:p>
            <w:pPr>
              <w:pStyle w:val="1030"/>
              <w:spacing w:line="360" w:lineRule="auto"/>
              <w:widowControl/>
              <w:rPr>
                <w:rFonts w:hint="eastAsia" w:ascii="Times New Roman" w:hAnsi="Times New Roman" w:eastAsia="宋体" w:cs="Times New Roman"/>
                <w:sz w:val="21"/>
                <w:szCs w:val="24"/>
                <w:highlight w:val="none"/>
                <w:lang w:val="en-US" w:eastAsia="zh-CN" w:bidi="ar-SA"/>
              </w:rPr>
              <w:framePr w:vAnchor="text" w:hAnchor="page" w:xAlign="center" w:y="394"/>
            </w:pPr>
            <w:r>
              <w:rPr>
                <w:rFonts w:hint="eastAsia" w:ascii="宋体" w:hAnsi="宋体" w:eastAsia="宋体" w:cs="宋体"/>
                <w:b/>
                <w:szCs w:val="21"/>
                <w:highlight w:val="none"/>
              </w:rPr>
              <w:t xml:space="preserve">注：提供</w:t>
            </w:r>
            <w:r>
              <w:rPr>
                <w:rFonts w:hint="eastAsia" w:ascii="宋体" w:hAnsi="宋体" w:eastAsia="宋体" w:cs="宋体"/>
                <w:b/>
                <w:szCs w:val="21"/>
                <w:highlight w:val="none"/>
                <w:lang w:val="en-US" w:eastAsia="zh-CN"/>
              </w:rPr>
              <w:t xml:space="preserve">相关</w:t>
            </w:r>
            <w:r>
              <w:rPr>
                <w:rFonts w:hint="eastAsia" w:ascii="宋体" w:hAnsi="宋体" w:eastAsia="宋体" w:cs="宋体"/>
                <w:b/>
                <w:szCs w:val="21"/>
                <w:highlight w:val="none"/>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hint="eastAsia" w:ascii="Times New Roman" w:hAnsi="Times New Roman" w:eastAsia="宋体" w:cs="Times New Roman"/>
                <w:sz w:val="21"/>
                <w:szCs w:val="24"/>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 w:val="21"/>
                <w:szCs w:val="21"/>
                <w:highlight w:val="none"/>
                <w:lang w:val="en-US" w:eastAsia="zh-CN" w:bidi="ar-SA"/>
              </w:rPr>
            </w:r>
            <w:r/>
          </w:p>
        </w:tc>
      </w:tr>
      <w:tr>
        <w:trPr>
          <w:trHeight w:val="417"/>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0"/>
              <w:ind w:firstLine="28"/>
              <w:jc w:val="center"/>
              <w:rPr>
                <w:rFonts w:hint="eastAsia" w:ascii="Times New Roman" w:hAnsi="Times New Roman" w:eastAsia="宋体" w:cs="Times New Roman"/>
                <w:sz w:val="21"/>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质量</w:t>
            </w:r>
            <w:r>
              <w:rPr>
                <w:rFonts w:hint="eastAsia" w:ascii="Times New Roman" w:hAnsi="Times New Roman" w:eastAsia="宋体" w:cs="Times New Roman"/>
                <w:szCs w:val="21"/>
                <w:highlight w:val="none"/>
                <w:lang w:bidi="ar"/>
              </w:rPr>
              <w:t xml:space="preserve">负责人</w:t>
            </w:r>
            <w:r>
              <w:rPr>
                <w:rFonts w:hint="eastAsia" w:ascii="Times New Roman" w:hAnsi="Times New Roman" w:eastAsia="宋体" w:cs="Times New Roman"/>
                <w:sz w:val="21"/>
                <w:szCs w:val="21"/>
                <w:highlight w:val="none"/>
                <w:lang w:val="en-US" w:eastAsia="zh-CN" w:bidi="ar"/>
              </w:rPr>
            </w:r>
            <w:r/>
          </w:p>
        </w:tc>
        <w:tc>
          <w:tcPr>
            <w:tcW w:w="700" w:type="dxa"/>
            <w:vAlign w:val="center"/>
            <w:textDirection w:val="lrTb"/>
            <w:noWrap w:val="false"/>
          </w:tcPr>
          <w:p>
            <w:pPr>
              <w:pStyle w:val="1030"/>
              <w:ind w:firstLine="28"/>
              <w:jc w:val="center"/>
              <w:rPr>
                <w:rFonts w:hint="eastAsia" w:ascii="Times New Roman" w:hAnsi="Times New Roman" w:eastAsia="宋体" w:cs="Times New Roman"/>
                <w:sz w:val="24"/>
                <w:szCs w:val="24"/>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 w:val="24"/>
                <w:szCs w:val="24"/>
                <w:highlight w:val="none"/>
                <w:lang w:val="en-US" w:eastAsia="zh-CN" w:bidi="ar-SA"/>
              </w:rPr>
            </w:r>
            <w:r/>
          </w:p>
        </w:tc>
        <w:tc>
          <w:tcPr>
            <w:tcW w:w="4523" w:type="dxa"/>
            <w:vAlign w:val="center"/>
            <w:textDirection w:val="lrTb"/>
            <w:noWrap w:val="false"/>
          </w:tcPr>
          <w:p>
            <w:pPr>
              <w:pStyle w:val="1030"/>
              <w:numPr>
                <w:ilvl w:val="0"/>
                <w:numId w:val="0"/>
              </w:numPr>
              <w:spacing w:line="360" w:lineRule="auto"/>
              <w:shd w:val="clear" w:color="auto" w:fill="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1.拟配备</w:t>
            </w:r>
            <w:r>
              <w:rPr>
                <w:rFonts w:hint="eastAsia" w:ascii="Times New Roman" w:hAnsi="Times New Roman" w:eastAsia="宋体" w:cs="Times New Roman"/>
                <w:szCs w:val="21"/>
                <w:highlight w:val="none"/>
                <w:lang w:val="en-US" w:eastAsia="zh-CN" w:bidi="ar"/>
              </w:rPr>
              <w:t xml:space="preserve">质量</w:t>
            </w:r>
            <w:r>
              <w:rPr>
                <w:rFonts w:hint="eastAsia" w:ascii="宋体" w:hAnsi="宋体" w:eastAsia="宋体" w:cs="宋体"/>
                <w:bCs/>
                <w:szCs w:val="21"/>
                <w:highlight w:val="none"/>
                <w:lang w:val="en-US" w:eastAsia="zh-CN"/>
              </w:rPr>
              <w:t xml:space="preserve">负责人具有测绘类专业高级及以上职称的得3分，具有测绘类专业中级职称的得1.5分，本小项最高得3分。</w:t>
            </w:r>
            <w:r>
              <w:rPr>
                <w:rFonts w:ascii="宋体" w:hAnsi="宋体" w:eastAsia="宋体" w:cs="宋体"/>
                <w:bCs/>
                <w:szCs w:val="21"/>
                <w:highlight w:val="none"/>
                <w:lang w:val="en-US" w:eastAsia="zh-CN"/>
              </w:rPr>
            </w:r>
            <w:r/>
          </w:p>
          <w:p>
            <w:pPr>
              <w:pStyle w:val="1030"/>
              <w:numPr>
                <w:ilvl w:val="0"/>
                <w:numId w:val="0"/>
              </w:numPr>
              <w:spacing w:line="360" w:lineRule="auto"/>
              <w:shd w:val="clear" w:color="auto" w:fill="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2.拟配备</w:t>
            </w:r>
            <w:r>
              <w:rPr>
                <w:rFonts w:hint="eastAsia" w:ascii="Times New Roman" w:hAnsi="Times New Roman" w:eastAsia="宋体" w:cs="Times New Roman"/>
                <w:szCs w:val="21"/>
                <w:highlight w:val="none"/>
                <w:lang w:val="en-US" w:eastAsia="zh-CN" w:bidi="ar"/>
              </w:rPr>
              <w:t xml:space="preserve">质量</w:t>
            </w:r>
            <w:r>
              <w:rPr>
                <w:rFonts w:hint="eastAsia" w:ascii="宋体" w:hAnsi="宋体" w:eastAsia="宋体" w:cs="宋体"/>
                <w:bCs/>
                <w:szCs w:val="21"/>
                <w:highlight w:val="none"/>
                <w:lang w:val="en-US" w:eastAsia="zh-CN"/>
              </w:rPr>
              <w:t xml:space="preserve">负责人具有</w:t>
            </w:r>
            <w:r>
              <w:rPr>
                <w:rFonts w:hint="eastAsia"/>
                <w:highlight w:val="none"/>
              </w:rPr>
              <w:t xml:space="preserve">注册测</w:t>
            </w:r>
            <w:r>
              <w:rPr>
                <w:rFonts w:hint="eastAsia"/>
              </w:rPr>
              <w:t xml:space="preserve">绘师证书</w:t>
            </w:r>
            <w:r>
              <w:rPr>
                <w:rFonts w:hint="eastAsia"/>
                <w:lang w:eastAsia="zh-CN"/>
              </w:rPr>
              <w:t xml:space="preserve">、地理信息安全保密培训合格证</w:t>
            </w:r>
            <w:r>
              <w:rPr>
                <w:rFonts w:hint="eastAsia"/>
                <w:lang w:val="en-US" w:eastAsia="zh-CN"/>
              </w:rPr>
              <w:t xml:space="preserve">的，每有1项得1分，本小项最高得2分。</w:t>
            </w:r>
            <w:r>
              <w:rPr>
                <w:rFonts w:ascii="宋体" w:hAnsi="宋体" w:eastAsia="宋体" w:cs="宋体"/>
                <w:bCs/>
                <w:szCs w:val="21"/>
                <w:highlight w:val="none"/>
                <w:lang w:val="en-US" w:eastAsia="zh-CN"/>
              </w:rPr>
            </w:r>
            <w:r/>
          </w:p>
          <w:p>
            <w:pPr>
              <w:pStyle w:val="1030"/>
              <w:spacing w:line="360" w:lineRule="auto"/>
              <w:widowControl/>
              <w:rPr>
                <w:rFonts w:hint="eastAsia" w:ascii="Times New Roman" w:hAnsi="Times New Roman" w:eastAsia="宋体" w:cs="Times New Roman"/>
                <w:sz w:val="21"/>
                <w:szCs w:val="24"/>
                <w:highlight w:val="none"/>
                <w:lang w:val="en-US" w:eastAsia="zh-CN" w:bidi="ar-SA"/>
              </w:rPr>
              <w:framePr w:vAnchor="text" w:hAnchor="page" w:xAlign="center" w:y="394"/>
            </w:pPr>
            <w:r>
              <w:rPr>
                <w:rFonts w:hint="eastAsia" w:ascii="宋体" w:hAnsi="宋体" w:eastAsia="宋体" w:cs="宋体"/>
                <w:b/>
                <w:szCs w:val="21"/>
                <w:highlight w:val="none"/>
              </w:rPr>
              <w:t xml:space="preserve">注：提供</w:t>
            </w:r>
            <w:r>
              <w:rPr>
                <w:rFonts w:hint="eastAsia" w:ascii="宋体" w:hAnsi="宋体" w:eastAsia="宋体" w:cs="宋体"/>
                <w:b/>
                <w:szCs w:val="21"/>
                <w:highlight w:val="none"/>
                <w:lang w:val="en-US" w:eastAsia="zh-CN"/>
              </w:rPr>
              <w:t xml:space="preserve">相关</w:t>
            </w:r>
            <w:r>
              <w:rPr>
                <w:rFonts w:hint="eastAsia" w:ascii="宋体" w:hAnsi="宋体" w:eastAsia="宋体" w:cs="宋体"/>
                <w:b/>
                <w:szCs w:val="21"/>
                <w:highlight w:val="none"/>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hint="eastAsia" w:ascii="Times New Roman" w:hAnsi="Times New Roman" w:eastAsia="宋体" w:cs="Times New Roman"/>
                <w:sz w:val="21"/>
                <w:szCs w:val="24"/>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0"/>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 w:val="21"/>
                <w:szCs w:val="21"/>
                <w:highlight w:val="none"/>
                <w:lang w:val="en-US" w:eastAsia="zh-CN" w:bidi="ar-SA"/>
              </w:rPr>
            </w:r>
            <w:r/>
          </w:p>
        </w:tc>
      </w:tr>
      <w:tr>
        <w:trPr>
          <w:trHeight w:val="417"/>
        </w:trPr>
        <w:tc>
          <w:tcPr>
            <w:tcW w:w="835" w:type="dxa"/>
            <w:vAlign w:val="center"/>
            <w:textDirection w:val="lrTb"/>
            <w:noWrap w:val="false"/>
          </w:tcPr>
          <w:p>
            <w:pPr>
              <w:pStyle w:val="1030"/>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3.6</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0"/>
              <w:ind w:firstLine="28"/>
              <w:jc w:val="center"/>
              <w:rPr>
                <w:rFonts w:ascii="Times New Roman" w:hAnsi="Times New Roman" w:eastAsia="宋体" w:cs="Times New Roman"/>
                <w:color w:val="000000"/>
                <w:szCs w:val="21"/>
                <w:highlight w:val="none"/>
                <w:lang w:val="en-US"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项目</w:t>
            </w:r>
            <w:r>
              <w:rPr>
                <w:rFonts w:hint="eastAsia" w:ascii="Times New Roman" w:hAnsi="Times New Roman" w:eastAsia="宋体" w:cs="Times New Roman"/>
                <w:color w:val="000000"/>
                <w:szCs w:val="21"/>
                <w:highlight w:val="none"/>
                <w:lang w:val="en-US" w:eastAsia="zh-CN" w:bidi="ar"/>
              </w:rPr>
              <w:t xml:space="preserve">组成员</w:t>
            </w:r>
            <w:r>
              <w:rPr>
                <w:rFonts w:hint="eastAsia" w:ascii="Times New Roman" w:hAnsi="Times New Roman" w:eastAsia="宋体" w:cs="Times New Roman"/>
                <w:color w:val="000000"/>
                <w:szCs w:val="21"/>
                <w:highlight w:val="none"/>
                <w:lang w:eastAsia="zh-CN" w:bidi="ar"/>
              </w:rPr>
              <w:t xml:space="preserve">(不含项目负责人、</w:t>
            </w:r>
            <w:r>
              <w:rPr>
                <w:rFonts w:hint="eastAsia" w:ascii="Times New Roman" w:hAnsi="Times New Roman" w:eastAsia="宋体" w:cs="Times New Roman"/>
                <w:color w:val="000000"/>
                <w:szCs w:val="21"/>
                <w:highlight w:val="none"/>
                <w:lang w:val="en-US" w:eastAsia="zh-CN" w:bidi="ar"/>
              </w:rPr>
              <w:t xml:space="preserve">技术负责人、质量负责人</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val="en-US" w:eastAsia="zh-CN" w:bidi="ar"/>
              </w:rPr>
            </w:r>
            <w:r/>
          </w:p>
        </w:tc>
        <w:tc>
          <w:tcPr>
            <w:tcW w:w="700" w:type="dxa"/>
            <w:vAlign w:val="center"/>
            <w:textDirection w:val="lrTb"/>
            <w:noWrap w:val="false"/>
          </w:tcPr>
          <w:p>
            <w:pPr>
              <w:pStyle w:val="1030"/>
              <w:ind w:firstLine="28"/>
              <w:jc w:val="center"/>
              <w:rPr>
                <w:rFonts w:ascii="Times New Roman" w:hAnsi="Times New Roman" w:eastAsia="宋体" w:cs="Times New Roman"/>
                <w:color w:val="000000"/>
                <w:szCs w:val="21"/>
                <w:highlight w:val="none"/>
                <w:lang w:val="en-US" w:eastAsia="zh-CN"/>
              </w:rPr>
              <w:framePr w:vAnchor="text" w:hAnchor="page" w:xAlign="center" w:y="394"/>
            </w:pPr>
            <w:r>
              <w:rPr>
                <w:rFonts w:hint="eastAsia" w:ascii="Times New Roman" w:hAnsi="Times New Roman" w:eastAsia="宋体" w:cs="Times New Roman"/>
                <w:color w:val="000000"/>
                <w:szCs w:val="21"/>
                <w:highlight w:val="none"/>
                <w:lang w:val="en-US" w:eastAsia="zh-CN"/>
              </w:rPr>
              <w:t xml:space="preserve">10</w:t>
            </w:r>
            <w:r>
              <w:rPr>
                <w:rFonts w:ascii="Times New Roman" w:hAnsi="Times New Roman" w:eastAsia="宋体" w:cs="Times New Roman"/>
                <w:color w:val="000000"/>
                <w:szCs w:val="21"/>
                <w:highlight w:val="none"/>
                <w:lang w:val="en-US" w:eastAsia="zh-CN"/>
              </w:rPr>
            </w:r>
            <w:r/>
          </w:p>
        </w:tc>
        <w:tc>
          <w:tcPr>
            <w:tcW w:w="4523" w:type="dxa"/>
            <w:vAlign w:val="center"/>
            <w:textDirection w:val="lrTb"/>
            <w:noWrap w:val="false"/>
          </w:tcPr>
          <w:p>
            <w:pPr>
              <w:pStyle w:val="1030"/>
              <w:spacing w:line="360" w:lineRule="auto"/>
              <w:widowControl/>
              <w:rPr>
                <w:rFonts w:hint="eastAsia" w:ascii="宋体" w:hAnsi="宋体" w:eastAsia="宋体" w:cs="宋体"/>
                <w:b w:val="0"/>
                <w:bCs/>
                <w:color w:val="000000"/>
                <w:szCs w:val="21"/>
                <w:highlight w:val="none"/>
                <w:lang w:eastAsia="zh-CN"/>
              </w:rPr>
              <w:framePr w:vAnchor="text" w:hAnchor="page" w:xAlign="center" w:y="394"/>
            </w:pP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lang w:eastAsia="zh-CN"/>
              </w:rPr>
              <w:t xml:space="preserve">项目</w:t>
            </w:r>
            <w:r>
              <w:rPr>
                <w:rFonts w:hint="eastAsia" w:ascii="宋体" w:hAnsi="宋体" w:eastAsia="宋体" w:cs="宋体"/>
                <w:b w:val="0"/>
                <w:bCs/>
                <w:color w:val="000000"/>
                <w:szCs w:val="21"/>
                <w:highlight w:val="none"/>
                <w:lang w:val="en-US" w:eastAsia="zh-CN"/>
              </w:rPr>
              <w:t xml:space="preserve">组成员</w:t>
            </w:r>
            <w:r>
              <w:rPr>
                <w:rFonts w:hint="eastAsia" w:ascii="宋体" w:hAnsi="宋体" w:eastAsia="宋体" w:cs="宋体"/>
                <w:b w:val="0"/>
                <w:bCs/>
                <w:color w:val="000000"/>
                <w:szCs w:val="21"/>
                <w:highlight w:val="none"/>
                <w:lang w:eastAsia="zh-CN"/>
              </w:rPr>
              <w:t xml:space="preserve">(不含项目负责人、</w:t>
            </w:r>
            <w:r>
              <w:rPr>
                <w:rFonts w:hint="eastAsia" w:ascii="宋体" w:hAnsi="宋体" w:eastAsia="宋体" w:cs="宋体"/>
                <w:b w:val="0"/>
                <w:bCs/>
                <w:color w:val="000000"/>
                <w:szCs w:val="21"/>
                <w:highlight w:val="none"/>
                <w:lang w:val="en-US" w:eastAsia="zh-CN"/>
              </w:rPr>
              <w:t xml:space="preserve">技术负责人、质量负责人</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中具</w:t>
            </w:r>
            <w:r>
              <w:rPr>
                <w:rFonts w:hint="eastAsia" w:ascii="宋体" w:hAnsi="宋体" w:eastAsia="宋体" w:cs="宋体"/>
                <w:b w:val="0"/>
                <w:bCs/>
                <w:color w:val="000000"/>
                <w:szCs w:val="21"/>
                <w:highlight w:val="none"/>
                <w:lang w:val="en-US" w:eastAsia="zh-CN"/>
              </w:rPr>
              <w:t xml:space="preserve">有</w:t>
            </w:r>
            <w:r>
              <w:rPr>
                <w:rFonts w:hint="eastAsia" w:ascii="宋体" w:hAnsi="宋体" w:eastAsia="宋体" w:cs="宋体"/>
                <w:bCs/>
                <w:szCs w:val="21"/>
                <w:highlight w:val="none"/>
                <w:lang w:val="en-US" w:eastAsia="zh-CN"/>
              </w:rPr>
              <w:t xml:space="preserve">测绘类专业高级及以上职称的有1人得2分；具有测绘类专业中级职称的有1人得1分，本小项最高得4分。</w:t>
            </w:r>
            <w:r>
              <w:rPr>
                <w:rFonts w:hint="eastAsia" w:ascii="宋体" w:hAnsi="宋体" w:eastAsia="宋体" w:cs="宋体"/>
                <w:b w:val="0"/>
                <w:bCs/>
                <w:color w:val="000000"/>
                <w:szCs w:val="21"/>
                <w:highlight w:val="none"/>
                <w:lang w:eastAsia="zh-CN"/>
              </w:rPr>
            </w:r>
            <w:r/>
          </w:p>
          <w:p>
            <w:pPr>
              <w:pStyle w:val="1030"/>
              <w:spacing w:line="360" w:lineRule="auto"/>
              <w:widowControl/>
              <w:rPr>
                <w:rFonts w:ascii="宋体" w:hAnsi="宋体" w:eastAsia="宋体" w:cs="宋体"/>
                <w:b w:val="0"/>
                <w:bCs/>
                <w:color w:val="000000"/>
                <w:szCs w:val="21"/>
                <w:highlight w:val="none"/>
                <w:lang w:val="en-US" w:eastAsia="zh-CN"/>
              </w:rPr>
              <w:framePr w:vAnchor="text" w:hAnchor="page" w:xAlign="center" w:y="394"/>
            </w:pP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lang w:eastAsia="zh-CN"/>
              </w:rPr>
              <w:t xml:space="preserve">项目</w:t>
            </w:r>
            <w:r>
              <w:rPr>
                <w:rFonts w:hint="eastAsia" w:ascii="宋体" w:hAnsi="宋体" w:eastAsia="宋体" w:cs="宋体"/>
                <w:b w:val="0"/>
                <w:bCs/>
                <w:color w:val="000000"/>
                <w:szCs w:val="21"/>
                <w:highlight w:val="none"/>
                <w:lang w:val="en-US" w:eastAsia="zh-CN"/>
              </w:rPr>
              <w:t xml:space="preserve">组成员</w:t>
            </w:r>
            <w:r>
              <w:rPr>
                <w:rFonts w:hint="eastAsia" w:ascii="宋体" w:hAnsi="宋体" w:eastAsia="宋体" w:cs="宋体"/>
                <w:b w:val="0"/>
                <w:bCs/>
                <w:color w:val="000000"/>
                <w:szCs w:val="21"/>
                <w:highlight w:val="none"/>
                <w:lang w:eastAsia="zh-CN"/>
              </w:rPr>
              <w:t xml:space="preserve">(不含项目负责人、</w:t>
            </w:r>
            <w:r>
              <w:rPr>
                <w:rFonts w:hint="eastAsia" w:ascii="宋体" w:hAnsi="宋体" w:eastAsia="宋体" w:cs="宋体"/>
                <w:b w:val="0"/>
                <w:bCs/>
                <w:color w:val="000000"/>
                <w:szCs w:val="21"/>
                <w:highlight w:val="none"/>
                <w:lang w:val="en-US" w:eastAsia="zh-CN"/>
              </w:rPr>
              <w:t xml:space="preserve">技术负责人、质量负责人</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中具</w:t>
            </w:r>
            <w:r>
              <w:rPr>
                <w:rFonts w:hint="eastAsia" w:ascii="宋体" w:hAnsi="宋体" w:eastAsia="宋体" w:cs="宋体"/>
                <w:b w:val="0"/>
                <w:bCs/>
                <w:color w:val="000000"/>
                <w:szCs w:val="21"/>
                <w:highlight w:val="none"/>
                <w:lang w:val="en-US" w:eastAsia="zh-CN"/>
              </w:rPr>
              <w:t xml:space="preserve">有</w:t>
            </w:r>
            <w:r>
              <w:rPr>
                <w:rFonts w:hint="eastAsia"/>
              </w:rPr>
              <w:t xml:space="preserve">注册测绘师证书</w:t>
            </w:r>
            <w:r>
              <w:rPr>
                <w:rFonts w:hint="eastAsia"/>
                <w:lang w:val="en-US" w:eastAsia="zh-CN"/>
              </w:rPr>
              <w:t xml:space="preserve">的，有1人得1分，本小项最高得4分。</w:t>
            </w:r>
            <w:r>
              <w:rPr>
                <w:rFonts w:ascii="宋体" w:hAnsi="宋体" w:eastAsia="宋体" w:cs="宋体"/>
                <w:b w:val="0"/>
                <w:bCs/>
                <w:color w:val="000000"/>
                <w:szCs w:val="21"/>
                <w:highlight w:val="none"/>
                <w:lang w:val="en-US" w:eastAsia="zh-CN"/>
              </w:rPr>
            </w:r>
            <w:r/>
          </w:p>
          <w:p>
            <w:pPr>
              <w:pStyle w:val="1030"/>
              <w:spacing w:line="360" w:lineRule="auto"/>
              <w:widowControl/>
              <w:rPr>
                <w:rFonts w:ascii="宋体" w:hAnsi="宋体" w:eastAsia="宋体" w:cs="宋体"/>
                <w:b w:val="0"/>
                <w:bCs/>
                <w:color w:val="000000"/>
                <w:szCs w:val="21"/>
                <w:highlight w:val="none"/>
                <w:lang w:val="en-US" w:eastAsia="zh-CN"/>
              </w:rPr>
              <w:framePr w:vAnchor="text" w:hAnchor="page" w:xAlign="center" w:y="394"/>
            </w:pPr>
            <w:r>
              <w:rPr>
                <w:rFonts w:hint="eastAsia" w:ascii="宋体" w:hAnsi="宋体" w:eastAsia="宋体" w:cs="宋体"/>
                <w:b w:val="0"/>
                <w:bCs/>
                <w:color w:val="000000"/>
                <w:szCs w:val="21"/>
                <w:highlight w:val="none"/>
                <w:lang w:val="en-US" w:eastAsia="zh-CN"/>
              </w:rPr>
              <w:t xml:space="preserve">3.</w:t>
            </w:r>
            <w:r>
              <w:rPr>
                <w:rFonts w:hint="eastAsia" w:ascii="宋体" w:hAnsi="宋体" w:eastAsia="宋体" w:cs="宋体"/>
                <w:b w:val="0"/>
                <w:bCs/>
                <w:color w:val="000000"/>
                <w:szCs w:val="21"/>
                <w:highlight w:val="none"/>
                <w:lang w:eastAsia="zh-CN"/>
              </w:rPr>
              <w:t xml:space="preserve">项目</w:t>
            </w:r>
            <w:r>
              <w:rPr>
                <w:rFonts w:hint="eastAsia" w:ascii="宋体" w:hAnsi="宋体" w:eastAsia="宋体" w:cs="宋体"/>
                <w:b w:val="0"/>
                <w:bCs/>
                <w:color w:val="000000"/>
                <w:szCs w:val="21"/>
                <w:highlight w:val="none"/>
                <w:lang w:val="en-US" w:eastAsia="zh-CN"/>
              </w:rPr>
              <w:t xml:space="preserve">组成员</w:t>
            </w:r>
            <w:r>
              <w:rPr>
                <w:rFonts w:hint="eastAsia" w:ascii="宋体" w:hAnsi="宋体" w:eastAsia="宋体" w:cs="宋体"/>
                <w:b w:val="0"/>
                <w:bCs/>
                <w:color w:val="000000"/>
                <w:szCs w:val="21"/>
                <w:highlight w:val="none"/>
                <w:lang w:eastAsia="zh-CN"/>
              </w:rPr>
              <w:t xml:space="preserve">(不含项目负责人、</w:t>
            </w:r>
            <w:r>
              <w:rPr>
                <w:rFonts w:hint="eastAsia" w:ascii="宋体" w:hAnsi="宋体" w:eastAsia="宋体" w:cs="宋体"/>
                <w:b w:val="0"/>
                <w:bCs/>
                <w:color w:val="000000"/>
                <w:szCs w:val="21"/>
                <w:highlight w:val="none"/>
                <w:lang w:val="en-US" w:eastAsia="zh-CN"/>
              </w:rPr>
              <w:t xml:space="preserve">技术负责人、质量负责人</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中</w:t>
            </w:r>
            <w:r>
              <w:rPr>
                <w:rFonts w:hint="eastAsia" w:ascii="宋体" w:hAnsi="宋体" w:eastAsia="宋体" w:cs="宋体"/>
                <w:b w:val="0"/>
                <w:bCs/>
                <w:color w:val="000000"/>
                <w:szCs w:val="21"/>
                <w:highlight w:val="none"/>
                <w:lang w:val="en-US" w:eastAsia="zh-CN"/>
              </w:rPr>
              <w:t xml:space="preserve">具有</w:t>
            </w:r>
            <w:r>
              <w:rPr>
                <w:rFonts w:hint="eastAsia" w:ascii="宋体" w:hAnsi="宋体" w:eastAsia="宋体" w:cs="宋体"/>
                <w:b w:val="0"/>
                <w:bCs/>
                <w:color w:val="000000"/>
                <w:szCs w:val="21"/>
                <w:highlight w:val="none"/>
                <w:lang w:val="zh-CN" w:eastAsia="zh-CN"/>
              </w:rPr>
              <w:t xml:space="preserve">中国民用航空管理局颁发的民用无人驾驶航空器飞行执照（CAAC）</w:t>
            </w:r>
            <w:r>
              <w:rPr>
                <w:rFonts w:hint="eastAsia" w:ascii="宋体" w:hAnsi="宋体" w:eastAsia="宋体" w:cs="宋体"/>
                <w:b w:val="0"/>
                <w:bCs/>
                <w:color w:val="000000"/>
                <w:szCs w:val="21"/>
                <w:highlight w:val="none"/>
                <w:lang w:val="en-US" w:eastAsia="zh-CN"/>
              </w:rPr>
              <w:t xml:space="preserve">的，有1人得1分，本小项最高得2分。</w:t>
            </w:r>
            <w:r>
              <w:rPr>
                <w:rFonts w:ascii="宋体" w:hAnsi="宋体" w:eastAsia="宋体" w:cs="宋体"/>
                <w:b w:val="0"/>
                <w:bCs/>
                <w:color w:val="000000"/>
                <w:szCs w:val="21"/>
                <w:highlight w:val="none"/>
                <w:lang w:val="en-US" w:eastAsia="zh-CN"/>
              </w:rPr>
            </w:r>
            <w:r/>
          </w:p>
          <w:p>
            <w:pPr>
              <w:pStyle w:val="1030"/>
              <w:spacing w:line="360" w:lineRule="auto"/>
              <w:widowControl/>
              <w:rPr>
                <w:rFonts w:hint="eastAsia" w:ascii="宋体" w:hAnsi="宋体" w:eastAsia="宋体" w:cs="宋体"/>
                <w:b/>
                <w:bCs/>
                <w:color w:val="000000"/>
                <w:sz w:val="21"/>
                <w:szCs w:val="21"/>
                <w:highlight w:val="none"/>
                <w:lang w:val="en-US" w:eastAsia="zh-CN"/>
              </w:rPr>
              <w:framePr w:vAnchor="text" w:hAnchor="page" w:xAlign="center" w:y="394"/>
            </w:pPr>
            <w:r>
              <w:rPr>
                <w:rFonts w:hint="eastAsia" w:ascii="宋体" w:hAnsi="宋体" w:eastAsia="宋体" w:cs="宋体"/>
                <w:b/>
                <w:bCs w:val="0"/>
                <w:color w:val="000000"/>
                <w:szCs w:val="21"/>
                <w:highlight w:val="none"/>
              </w:rPr>
              <w:t xml:space="preserve">注：</w:t>
            </w:r>
            <w:r>
              <w:rPr>
                <w:rFonts w:hint="eastAsia" w:ascii="宋体" w:hAnsi="宋体" w:eastAsia="宋体" w:cs="宋体"/>
                <w:b/>
                <w:bCs w:val="0"/>
                <w:color w:val="000000"/>
                <w:szCs w:val="21"/>
                <w:highlight w:val="none"/>
                <w:lang w:val="en-US" w:eastAsia="zh-CN"/>
              </w:rPr>
              <w:t xml:space="preserve">同一人员不得重复计分，</w:t>
            </w:r>
            <w:r>
              <w:rPr>
                <w:rFonts w:hint="eastAsia" w:ascii="宋体" w:hAnsi="宋体" w:eastAsia="宋体" w:cs="宋体"/>
                <w:b/>
                <w:bCs w:val="0"/>
                <w:color w:val="000000"/>
                <w:szCs w:val="21"/>
                <w:highlight w:val="none"/>
              </w:rPr>
              <w:t xml:space="preserve">提供</w:t>
            </w:r>
            <w:r>
              <w:rPr>
                <w:rFonts w:hint="eastAsia" w:ascii="宋体" w:hAnsi="宋体" w:eastAsia="宋体" w:cs="宋体"/>
                <w:b/>
                <w:bCs w:val="0"/>
                <w:color w:val="000000"/>
                <w:szCs w:val="21"/>
                <w:highlight w:val="none"/>
                <w:lang w:val="en-US" w:eastAsia="zh-CN"/>
              </w:rPr>
              <w:t xml:space="preserve">上述人员的</w:t>
            </w:r>
            <w:r>
              <w:rPr>
                <w:rFonts w:hint="eastAsia" w:ascii="宋体" w:hAnsi="宋体" w:eastAsia="宋体" w:cs="宋体"/>
                <w:b/>
                <w:bCs w:val="0"/>
                <w:color w:val="000000"/>
                <w:szCs w:val="21"/>
                <w:highlight w:val="none"/>
              </w:rPr>
              <w:t xml:space="preserve">相关证书及</w:t>
            </w:r>
            <w:r>
              <w:rPr>
                <w:rFonts w:hint="eastAsia" w:ascii="宋体" w:hAnsi="宋体" w:eastAsia="宋体" w:cs="宋体"/>
                <w:b/>
                <w:szCs w:val="21"/>
                <w:highlight w:val="none"/>
              </w:rPr>
              <w:t xml:space="preserve">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bCs w:val="0"/>
                <w:color w:val="000000"/>
                <w:szCs w:val="21"/>
                <w:highlight w:val="none"/>
              </w:rPr>
              <w:t xml:space="preserve">，未按要求提供的不得分。</w:t>
            </w:r>
            <w:r>
              <w:rPr>
                <w:rFonts w:hint="eastAsia" w:ascii="宋体" w:hAnsi="宋体" w:eastAsia="宋体" w:cs="宋体"/>
                <w:b/>
                <w:bCs/>
                <w:color w:val="000000"/>
                <w:sz w:val="21"/>
                <w:szCs w:val="21"/>
                <w:highlight w:val="none"/>
                <w:lang w:val="en-US" w:eastAsia="zh-CN"/>
              </w:rPr>
            </w:r>
            <w:r/>
          </w:p>
        </w:tc>
        <w:tc>
          <w:tcPr>
            <w:tcW w:w="702" w:type="dxa"/>
            <w:vAlign w:val="center"/>
            <w:textDirection w:val="lrTb"/>
            <w:noWrap w:val="false"/>
          </w:tcPr>
          <w:p>
            <w:pPr>
              <w:pStyle w:val="1030"/>
              <w:ind w:left="-38"/>
              <w:jc w:val="center"/>
              <w:rPr>
                <w:rFonts w:hint="eastAsia"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bidi="ar-SA"/>
              </w:rPr>
              <w:t xml:space="preserve">0</w:t>
            </w:r>
            <w:r>
              <w:rPr>
                <w:rFonts w:hint="eastAsia"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030"/>
              <w:ind w:left="-38"/>
              <w:jc w:val="center"/>
              <w:rPr>
                <w:rFonts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030"/>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否</w:t>
            </w:r>
            <w:r>
              <w:rPr>
                <w:rFonts w:hint="eastAsia" w:ascii="Times New Roman" w:hAnsi="Times New Roman" w:eastAsia="宋体" w:cs="Times New Roman"/>
                <w:color w:val="000000"/>
                <w:szCs w:val="21"/>
                <w:highlight w:val="none"/>
                <w:lang w:eastAsia="zh-CN" w:bidi="ar"/>
              </w:rPr>
            </w:r>
            <w:r/>
          </w:p>
        </w:tc>
        <w:tc>
          <w:tcPr>
            <w:tcW w:w="702" w:type="dxa"/>
            <w:vAlign w:val="center"/>
            <w:textDirection w:val="lrTb"/>
            <w:noWrap w:val="false"/>
          </w:tcPr>
          <w:p>
            <w:pPr>
              <w:pStyle w:val="1030"/>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是</w:t>
            </w:r>
            <w:r>
              <w:rPr>
                <w:rFonts w:hint="eastAsia" w:ascii="Times New Roman" w:hAnsi="Times New Roman" w:eastAsia="宋体" w:cs="Times New Roman"/>
                <w:color w:val="000000"/>
                <w:szCs w:val="21"/>
                <w:highlight w:val="none"/>
                <w:lang w:eastAsia="zh-CN" w:bidi="ar"/>
              </w:rPr>
            </w:r>
            <w:r/>
          </w:p>
        </w:tc>
      </w:tr>
      <w:tr>
        <w:trPr>
          <w:trHeight w:val="495"/>
        </w:trPr>
        <w:tc>
          <w:tcPr>
            <w:tcW w:w="835" w:type="dxa"/>
            <w:vAlign w:val="center"/>
            <w:textDirection w:val="lrTb"/>
            <w:noWrap w:val="false"/>
          </w:tcPr>
          <w:p>
            <w:pPr>
              <w:pStyle w:val="1030"/>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1126" w:type="dxa"/>
            <w:vAlign w:val="center"/>
            <w:textDirection w:val="lrTb"/>
            <w:noWrap w:val="false"/>
          </w:tcPr>
          <w:p>
            <w:pPr>
              <w:pStyle w:val="1030"/>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合计</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0"/>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tcW w:w="4523" w:type="dxa"/>
            <w:vAlign w:val="center"/>
            <w:textDirection w:val="lrTb"/>
            <w:noWrap w:val="false"/>
          </w:tcPr>
          <w:p>
            <w:pPr>
              <w:pStyle w:val="1030"/>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0"/>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bl>
    <w:p>
      <w:pPr>
        <w:pStyle w:val="1030"/>
        <w:ind w:firstLine="420"/>
        <w:spacing w:line="560" w:lineRule="exact"/>
        <w:rPr>
          <w:rFonts w:ascii="宋体" w:hAnsi="宋体"/>
          <w:szCs w:val="21"/>
          <w:highlight w:val="none"/>
        </w:rPr>
      </w:pPr>
      <w:r>
        <w:rPr>
          <w:rFonts w:hint="eastAsia" w:ascii="宋体" w:hAnsi="宋体"/>
          <w:szCs w:val="21"/>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szCs w:val="21"/>
          <w:highlight w:val="none"/>
        </w:rPr>
      </w:r>
      <w:r/>
    </w:p>
    <w:p>
      <w:pPr>
        <w:pStyle w:val="1030"/>
        <w:ind w:firstLine="420"/>
        <w:spacing w:line="560" w:lineRule="exact"/>
        <w:rPr>
          <w:rFonts w:ascii="宋体" w:hAnsi="宋体"/>
          <w:szCs w:val="21"/>
          <w:highlight w:val="none"/>
        </w:rPr>
      </w:pPr>
      <w:r>
        <w:rPr>
          <w:rFonts w:hint="eastAsia" w:ascii="宋体" w:hAnsi="宋体"/>
          <w:szCs w:val="21"/>
          <w:highlight w:val="none"/>
        </w:rPr>
        <w:t xml:space="preserve">2）评标标准中要求提供的证明文件及资料等在响应文件中提供扫描件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rPr>
        <w:t xml:space="preserve">3）评标时，未能按以上要求提供相应证明的，不作为评标依据，不得分。</w:t>
      </w:r>
      <w:r>
        <w:rPr>
          <w:rFonts w:hint="eastAsia"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rPr>
        <w:t xml:space="preserve">4）扫描件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0"/>
        <w:ind w:firstLine="420"/>
        <w:spacing w:line="560" w:lineRule="exact"/>
        <w:rPr>
          <w:b/>
          <w:sz w:val="36"/>
          <w:szCs w:val="36"/>
          <w:highlight w:val="none"/>
        </w:rPr>
      </w:pPr>
      <w:r>
        <w:rPr>
          <w:rFonts w:hint="eastAsia" w:ascii="宋体" w:hAnsi="宋体"/>
          <w:szCs w:val="21"/>
          <w:highlight w:val="none"/>
        </w:rPr>
        <w:t xml:space="preserve">5）响应人按评分细则所有得分项目均视为对本次招标的承诺，成交后均作为合同的组成部分。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30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1．项目名称：</w:t>
      </w:r>
      <w:r>
        <w:rPr>
          <w:rFonts w:hint="eastAsia" w:ascii="宋体" w:hAnsi="宋体" w:eastAsia="宋体" w:cs="宋体"/>
          <w:sz w:val="21"/>
          <w:szCs w:val="21"/>
          <w:lang w:eastAsia="zh-CN"/>
        </w:rPr>
        <w:t xml:space="preserve">常州市金坛区第二轮土地承包到期后再延长30年工作技术服务项目</w:t>
      </w:r>
      <w:r>
        <w:rPr>
          <w:rFonts w:hint="eastAsia" w:ascii="宋体" w:hAnsi="宋体" w:eastAsia="宋体" w:cs="宋体"/>
          <w:sz w:val="21"/>
          <w:szCs w:val="21"/>
          <w:lang w:eastAsia="zh-CN"/>
        </w:rPr>
      </w:r>
      <w:r/>
    </w:p>
    <w:p>
      <w:pPr>
        <w:pStyle w:val="1030"/>
        <w:ind w:firstLine="640"/>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rPr>
        <w:t xml:space="preserve">2．预算金额：</w:t>
      </w:r>
      <w:r>
        <w:rPr>
          <w:rFonts w:hint="eastAsia" w:ascii="宋体" w:hAnsi="宋体" w:eastAsia="宋体" w:cs="宋体"/>
          <w:sz w:val="21"/>
          <w:szCs w:val="21"/>
          <w:lang w:val="en-US" w:eastAsia="zh-CN"/>
        </w:rPr>
        <w:t xml:space="preserve">399万元</w:t>
      </w:r>
      <w:r>
        <w:rPr>
          <w:rFonts w:hint="eastAsia" w:ascii="宋体" w:hAnsi="宋体" w:eastAsia="宋体" w:cs="宋体"/>
          <w:sz w:val="21"/>
          <w:szCs w:val="21"/>
        </w:rPr>
        <w:t xml:space="preserve">。</w:t>
      </w:r>
      <w:r>
        <w:rPr>
          <w:rFonts w:ascii="宋体" w:hAnsi="宋体" w:eastAsia="宋体" w:cs="宋体"/>
          <w:sz w:val="21"/>
          <w:szCs w:val="21"/>
          <w:lang w:val="en-US" w:eastAsia="zh-CN"/>
        </w:rPr>
      </w:r>
      <w:r/>
    </w:p>
    <w:p>
      <w:pPr>
        <w:pStyle w:val="1030"/>
        <w:ind w:firstLine="630"/>
        <w:spacing w:line="360" w:lineRule="auto"/>
        <w:rPr>
          <w:rFonts w:hint="eastAsia" w:ascii="宋体" w:hAnsi="宋体" w:eastAsia="宋体" w:cs="Times New Roman"/>
          <w:szCs w:val="21"/>
          <w:highlight w:val="none"/>
        </w:rPr>
      </w:pPr>
      <w:r>
        <w:rPr>
          <w:rFonts w:hint="eastAsia" w:ascii="宋体" w:hAnsi="宋体" w:eastAsia="宋体" w:cs="宋体"/>
          <w:sz w:val="21"/>
          <w:szCs w:val="21"/>
        </w:rPr>
        <w:t xml:space="preserve">3．最高限价：</w:t>
      </w:r>
      <w:r>
        <w:rPr>
          <w:rFonts w:hint="eastAsia" w:ascii="宋体" w:hAnsi="宋体" w:eastAsia="宋体" w:cs="宋体"/>
          <w:highlight w:val="none"/>
          <w:lang w:val="en-US" w:eastAsia="zh-CN"/>
        </w:rPr>
        <w:t xml:space="preserve">399万元</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01包：141万元；02包：135万元；03包：123万元。各个采购包</w:t>
      </w:r>
      <w:r>
        <w:rPr>
          <w:rFonts w:hint="eastAsia" w:ascii="宋体" w:hAnsi="宋体" w:eastAsia="宋体" w:cs="宋体"/>
          <w:bCs/>
          <w:szCs w:val="21"/>
          <w:highlight w:val="none"/>
        </w:rPr>
        <w:t xml:space="preserve">投标报价不得高于最高限价，否则作无效标处理。</w:t>
      </w:r>
      <w:r>
        <w:rPr>
          <w:rFonts w:hint="eastAsia" w:ascii="宋体" w:hAnsi="宋体" w:eastAsia="宋体" w:cs="Times New Roman"/>
          <w:szCs w:val="21"/>
          <w:highlight w:val="none"/>
        </w:rPr>
      </w:r>
      <w:r/>
    </w:p>
    <w:p>
      <w:pPr>
        <w:pStyle w:val="1030"/>
        <w:ind w:firstLine="630"/>
        <w:spacing w:line="360" w:lineRule="auto"/>
        <w:rPr>
          <w:rFonts w:hint="eastAsia" w:ascii="宋体" w:hAnsi="宋体" w:eastAsia="宋体" w:cs="宋体"/>
          <w:spacing w:val="2"/>
          <w:highlight w:val="none"/>
          <w:lang w:eastAsia="zh-CN"/>
        </w:rPr>
      </w:pPr>
      <w:r>
        <w:rPr>
          <w:rFonts w:hint="eastAsia" w:ascii="宋体" w:hAnsi="宋体" w:eastAsia="宋体" w:cs="Times New Roman"/>
          <w:color w:val="000000"/>
          <w:highlight w:val="none"/>
          <w:shd w:val="clear" w:color="auto" w:fill="ffffff"/>
          <w:lang w:val="en-US" w:eastAsia="zh-CN"/>
        </w:rPr>
        <w:t xml:space="preserve">4</w:t>
      </w:r>
      <w:r>
        <w:rPr>
          <w:rFonts w:hint="eastAsia" w:ascii="宋体" w:hAnsi="宋体" w:eastAsia="宋体" w:cs="Times New Roman"/>
          <w:color w:val="000000"/>
          <w:highlight w:val="none"/>
          <w:shd w:val="clear" w:color="auto" w:fill="ffffff"/>
        </w:rPr>
        <w:t xml:space="preserve">.</w:t>
      </w:r>
      <w:r>
        <w:rPr>
          <w:rFonts w:hint="eastAsia" w:ascii="宋体" w:hAnsi="宋体" w:eastAsia="宋体" w:cs="宋体"/>
          <w:spacing w:val="2"/>
          <w:highlight w:val="none"/>
        </w:rPr>
        <w:t xml:space="preserve">采购需求：</w:t>
      </w:r>
      <w:r>
        <w:rPr>
          <w:rFonts w:hint="eastAsia" w:ascii="宋体" w:hAnsi="宋体" w:eastAsia="宋体" w:cs="宋体"/>
          <w:spacing w:val="2"/>
          <w:highlight w:val="none"/>
          <w:lang w:eastAsia="zh-CN"/>
        </w:rPr>
      </w:r>
      <w:r/>
    </w:p>
    <w:tbl>
      <w:tblPr>
        <w:tblW w:w="50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363"/>
        <w:gridCol w:w="1117"/>
        <w:gridCol w:w="706"/>
        <w:gridCol w:w="5076"/>
      </w:tblGrid>
      <w:tr>
        <w:trPr>
          <w:trHeight w:val="658"/>
        </w:trPr>
        <w:tc>
          <w:tcPr>
            <w:tcW w:w="352"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包号</w:t>
            </w:r>
            <w:r>
              <w:rPr>
                <w:rFonts w:hint="eastAsia" w:ascii="宋体" w:hAnsi="宋体" w:eastAsia="宋体" w:cs="宋体"/>
                <w:bCs/>
                <w:sz w:val="21"/>
                <w:szCs w:val="21"/>
                <w:highlight w:val="none"/>
              </w:rPr>
            </w:r>
            <w:r/>
          </w:p>
        </w:tc>
        <w:tc>
          <w:tcPr>
            <w:tcW w:w="118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标的名称</w:t>
            </w:r>
            <w:r>
              <w:rPr>
                <w:rFonts w:hint="eastAsia" w:ascii="宋体" w:hAnsi="宋体" w:eastAsia="宋体" w:cs="宋体"/>
                <w:bCs/>
                <w:sz w:val="21"/>
                <w:szCs w:val="21"/>
                <w:highlight w:val="none"/>
              </w:rPr>
            </w:r>
            <w:r/>
          </w:p>
        </w:tc>
        <w:tc>
          <w:tcPr>
            <w:tcW w:w="560"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highlight w:val="none"/>
              </w:rPr>
              <w:t xml:space="preserve">最高限价</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万元）</w:t>
            </w:r>
            <w:r>
              <w:rPr>
                <w:rFonts w:ascii="宋体" w:hAnsi="宋体" w:eastAsia="宋体" w:cs="宋体"/>
                <w:bCs/>
                <w:sz w:val="21"/>
                <w:szCs w:val="21"/>
                <w:highlight w:val="none"/>
                <w:lang w:val="en-US" w:eastAsia="zh-CN"/>
              </w:rPr>
            </w:r>
            <w:r/>
          </w:p>
        </w:tc>
        <w:tc>
          <w:tcPr>
            <w:tcW w:w="35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数量</w:t>
            </w:r>
            <w:r>
              <w:rPr>
                <w:rFonts w:hint="eastAsia" w:ascii="宋体" w:hAnsi="宋体" w:eastAsia="宋体" w:cs="宋体"/>
                <w:bCs/>
                <w:sz w:val="21"/>
                <w:szCs w:val="21"/>
                <w:highlight w:val="none"/>
              </w:rPr>
            </w:r>
            <w:r/>
          </w:p>
        </w:tc>
        <w:tc>
          <w:tcPr>
            <w:tcW w:w="2546"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简要技术需求或服务要求</w:t>
            </w:r>
            <w:r>
              <w:rPr>
                <w:rFonts w:hint="eastAsia" w:ascii="宋体" w:hAnsi="宋体" w:eastAsia="宋体" w:cs="宋体"/>
                <w:sz w:val="21"/>
                <w:szCs w:val="21"/>
                <w:highlight w:val="none"/>
              </w:rPr>
            </w:r>
            <w:r/>
          </w:p>
        </w:tc>
      </w:tr>
      <w:tr>
        <w:trPr>
          <w:trHeight w:val="635"/>
        </w:trPr>
        <w:tc>
          <w:tcPr>
            <w:tcW w:w="352"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0</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r>
            <w:r/>
          </w:p>
        </w:tc>
        <w:tc>
          <w:tcPr>
            <w:tcW w:w="1185"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（01包）</w:t>
            </w:r>
            <w:r>
              <w:rPr>
                <w:rFonts w:ascii="宋体" w:hAnsi="宋体" w:eastAsia="宋体" w:cs="宋体"/>
                <w:bCs/>
                <w:sz w:val="21"/>
                <w:szCs w:val="21"/>
                <w:highlight w:val="none"/>
                <w:lang w:val="en-US"/>
              </w:rPr>
            </w:r>
            <w:r/>
          </w:p>
        </w:tc>
        <w:tc>
          <w:tcPr>
            <w:tcW w:w="560"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141</w:t>
            </w:r>
            <w:r>
              <w:rPr>
                <w:rFonts w:ascii="宋体" w:hAnsi="宋体" w:eastAsia="宋体" w:cs="宋体"/>
                <w:bCs/>
                <w:sz w:val="21"/>
                <w:szCs w:val="21"/>
                <w:highlight w:val="none"/>
                <w:lang w:val="en-US" w:eastAsia="zh-CN"/>
              </w:rPr>
            </w:r>
            <w:r/>
          </w:p>
        </w:tc>
        <w:tc>
          <w:tcPr>
            <w:tcW w:w="35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507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SA"/>
              </w:rPr>
              <w:t xml:space="preserve">直溪镇（坞家村、西溪村、王甲村、巨村村、溪滨村、建昌村、井庄村、迪庄村、天湖村、新河村、吕坵村）、朱林镇（红旗圩村、朱林村、三星村、长兴村、唐王村、黄金村、龙溪村）、儒林镇（儒林村、湖头村、南社</w:t>
            </w:r>
            <w:r>
              <w:rPr>
                <w:rFonts w:hint="eastAsia" w:ascii="宋体" w:hAnsi="宋体" w:eastAsia="宋体" w:cs="宋体"/>
                <w:color w:val="000000"/>
                <w:sz w:val="21"/>
                <w:szCs w:val="21"/>
                <w:highlight w:val="none"/>
                <w:lang w:val="en-US" w:eastAsia="zh-CN" w:bidi="ar-SA"/>
              </w:rPr>
              <w:t xml:space="preserve">村），共计21个村，约9.4万亩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另外，儒林镇还需要提供组集体土地所有权确权的技术服务。</w:t>
            </w:r>
            <w:r>
              <w:rPr>
                <w:rFonts w:hint="eastAsia" w:ascii="宋体" w:hAnsi="宋体" w:eastAsia="宋体" w:cs="宋体"/>
                <w:color w:val="000000"/>
                <w:sz w:val="21"/>
                <w:szCs w:val="21"/>
                <w:highlight w:val="none"/>
              </w:rPr>
            </w:r>
            <w:r/>
          </w:p>
        </w:tc>
      </w:tr>
      <w:tr>
        <w:trPr>
          <w:trHeight w:val="610"/>
        </w:trPr>
        <w:tc>
          <w:tcPr>
            <w:tcW w:w="352"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02</w:t>
            </w:r>
            <w:r>
              <w:rPr>
                <w:rFonts w:hint="eastAsia" w:ascii="宋体" w:hAnsi="宋体" w:eastAsia="宋体" w:cs="宋体"/>
                <w:bCs/>
                <w:sz w:val="21"/>
                <w:szCs w:val="21"/>
                <w:highlight w:val="none"/>
                <w:lang w:val="en-US" w:eastAsia="zh-CN"/>
              </w:rPr>
            </w:r>
            <w:r/>
          </w:p>
        </w:tc>
        <w:tc>
          <w:tcPr>
            <w:tcW w:w="118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（02包）</w:t>
            </w:r>
            <w:r>
              <w:rPr>
                <w:rFonts w:hint="eastAsia" w:ascii="宋体" w:hAnsi="宋体" w:eastAsia="宋体" w:cs="宋体"/>
                <w:bCs/>
                <w:sz w:val="21"/>
                <w:szCs w:val="21"/>
                <w:highlight w:val="none"/>
                <w:lang w:eastAsia="zh-CN"/>
              </w:rPr>
            </w:r>
            <w:r/>
          </w:p>
        </w:tc>
        <w:tc>
          <w:tcPr>
            <w:tcW w:w="560"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135</w:t>
            </w:r>
            <w:r>
              <w:rPr>
                <w:rFonts w:hint="eastAsia" w:ascii="宋体" w:hAnsi="宋体" w:eastAsia="宋体" w:cs="宋体"/>
                <w:sz w:val="21"/>
                <w:szCs w:val="21"/>
                <w:highlight w:val="none"/>
                <w:u w:val="none"/>
                <w:lang w:val="en-US" w:eastAsia="zh-CN"/>
              </w:rPr>
            </w:r>
            <w:r/>
          </w:p>
        </w:tc>
        <w:tc>
          <w:tcPr>
            <w:tcW w:w="35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507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指前镇（庄阳村、东浦村、社头村、 建春村、解放村、芦溪村、丰产村、岳阳村、新河村、清水渎村）、西城街道（涑渎村、黄庄村）、东城街道（明星村）、儒林镇（五叶村、河下社区、柚山村），共计16个村，约9万亩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另外，儒林镇还需要提供组集体土地所有权确权的技术服务。</w:t>
            </w:r>
            <w:r>
              <w:rPr>
                <w:rFonts w:hint="eastAsia" w:ascii="宋体" w:hAnsi="宋体" w:eastAsia="宋体" w:cs="宋体"/>
                <w:color w:val="000000"/>
                <w:sz w:val="21"/>
                <w:szCs w:val="21"/>
                <w:highlight w:val="none"/>
                <w:lang w:val="en-US" w:eastAsia="zh-CN"/>
              </w:rPr>
            </w:r>
            <w:r/>
          </w:p>
        </w:tc>
      </w:tr>
      <w:tr>
        <w:trPr>
          <w:trHeight w:val="607"/>
        </w:trPr>
        <w:tc>
          <w:tcPr>
            <w:tcW w:w="352" w:type="dxa"/>
            <w:vAlign w:val="center"/>
            <w:textDirection w:val="lrTb"/>
            <w:noWrap w:val="false"/>
          </w:tcPr>
          <w:p>
            <w:pPr>
              <w:pStyle w:val="1030"/>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03</w:t>
            </w:r>
            <w:r>
              <w:rPr>
                <w:rFonts w:ascii="宋体" w:hAnsi="宋体" w:eastAsia="宋体" w:cs="宋体"/>
                <w:bCs/>
                <w:sz w:val="21"/>
                <w:szCs w:val="21"/>
                <w:highlight w:val="none"/>
                <w:lang w:val="en-US" w:eastAsia="zh-CN"/>
              </w:rPr>
            </w:r>
            <w:r/>
          </w:p>
        </w:tc>
        <w:tc>
          <w:tcPr>
            <w:tcW w:w="118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（03包）</w:t>
            </w:r>
            <w:r>
              <w:rPr>
                <w:rFonts w:hint="eastAsia" w:ascii="宋体" w:hAnsi="宋体" w:eastAsia="宋体" w:cs="Times New Roman"/>
                <w:szCs w:val="21"/>
                <w:highlight w:val="none"/>
                <w:lang w:eastAsia="zh-CN"/>
              </w:rPr>
            </w:r>
            <w:r/>
          </w:p>
        </w:tc>
        <w:tc>
          <w:tcPr>
            <w:tcW w:w="560"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123</w:t>
            </w:r>
            <w:r>
              <w:rPr>
                <w:rFonts w:hint="eastAsia" w:ascii="宋体" w:hAnsi="宋体" w:eastAsia="宋体" w:cs="宋体"/>
                <w:sz w:val="21"/>
                <w:szCs w:val="21"/>
                <w:highlight w:val="none"/>
                <w:u w:val="none"/>
                <w:lang w:val="en-US" w:eastAsia="zh-CN"/>
              </w:rPr>
            </w:r>
            <w:r/>
          </w:p>
        </w:tc>
        <w:tc>
          <w:tcPr>
            <w:tcW w:w="35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507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金城镇（南瑶村、前庄村、 庄城村、沈渎村、元巷社区、白塔村 、后阳村、长竹埂村、联丰村）、尧塘街道（西华村、谢桥村、水东村、迎春村、汤庄社区、万新村、下庄村），共计16个村，约8.2万亩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r>
            <w:r/>
          </w:p>
        </w:tc>
      </w:tr>
    </w:tbl>
    <w:p>
      <w:pPr>
        <w:pStyle w:val="1030"/>
        <w:ind w:firstLine="632"/>
        <w:spacing w:line="360" w:lineRule="auto"/>
        <w:rPr>
          <w:rFonts w:hint="eastAsia" w:ascii="宋体" w:hAnsi="宋体" w:eastAsia="宋体" w:cs="宋体"/>
          <w:spacing w:val="2"/>
          <w:highlight w:val="none"/>
          <w:lang w:val="en-US" w:eastAsia="zh-CN"/>
        </w:rPr>
      </w:pPr>
      <w:r>
        <w:rPr>
          <w:rFonts w:hint="eastAsia" w:ascii="宋体" w:hAnsi="宋体" w:eastAsia="宋体" w:cs="宋体"/>
          <w:b/>
          <w:bCs/>
          <w:color w:val="000000"/>
          <w:sz w:val="21"/>
          <w:szCs w:val="21"/>
        </w:rPr>
        <w:t xml:space="preserve">注：本项目共分</w:t>
      </w:r>
      <w:r>
        <w:rPr>
          <w:rFonts w:hint="eastAsia" w:ascii="宋体" w:hAnsi="宋体" w:eastAsia="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个采购包，</w:t>
      </w:r>
      <w:r>
        <w:rPr>
          <w:rFonts w:hint="eastAsia" w:ascii="宋体" w:hAnsi="宋体" w:eastAsia="宋体" w:cs="宋体"/>
          <w:b/>
          <w:bCs/>
          <w:color w:val="000000"/>
          <w:sz w:val="21"/>
          <w:szCs w:val="21"/>
          <w:lang w:val="en-US" w:eastAsia="zh-CN"/>
        </w:rPr>
        <w:t xml:space="preserve">投标人</w:t>
      </w:r>
      <w:r>
        <w:rPr>
          <w:rFonts w:hint="eastAsia" w:ascii="宋体" w:hAnsi="宋体" w:eastAsia="宋体" w:cs="宋体"/>
          <w:b/>
          <w:bCs/>
          <w:color w:val="000000"/>
          <w:sz w:val="21"/>
          <w:szCs w:val="21"/>
        </w:rPr>
        <w:t xml:space="preserve">可对本次采购的单个采购包或全部采购包进行</w:t>
      </w:r>
      <w:r>
        <w:rPr>
          <w:rFonts w:hint="eastAsia" w:ascii="宋体" w:hAnsi="宋体" w:eastAsia="宋体" w:cs="宋体"/>
          <w:b/>
          <w:bCs/>
          <w:color w:val="000000"/>
          <w:sz w:val="21"/>
          <w:szCs w:val="21"/>
          <w:lang w:val="en-US" w:eastAsia="zh-CN"/>
        </w:rPr>
        <w:t xml:space="preserve">投标</w:t>
      </w:r>
      <w:r>
        <w:rPr>
          <w:rFonts w:hint="eastAsia" w:ascii="宋体" w:hAnsi="宋体" w:eastAsia="宋体" w:cs="宋体"/>
          <w:b/>
          <w:bCs/>
          <w:color w:val="000000"/>
          <w:sz w:val="21"/>
          <w:szCs w:val="21"/>
        </w:rPr>
        <w:t xml:space="preserve">，但不得兼中，每个投标人仅限中一个采购包。</w:t>
      </w:r>
      <w:r>
        <w:rPr>
          <w:rFonts w:hint="eastAsia" w:ascii="宋体" w:hAnsi="宋体" w:eastAsia="宋体" w:cs="宋体"/>
          <w:b/>
          <w:bCs/>
          <w:color w:val="000000"/>
          <w:sz w:val="21"/>
          <w:szCs w:val="21"/>
          <w:lang w:val="en-US" w:eastAsia="zh-CN"/>
        </w:rPr>
        <w:t xml:space="preserve">开标按01、02、03包顺序依次进行，所有采购包开标结束后进行评标，评标按01、02、03包顺序依次进行，并按01、02、03包顺序依次确定第一中标候选人，若同一个投标人在多个采购包排名第一，则在01包推荐为第一中标候选人，并取消其在其他采购包的中标候选人资格，因此造成其他采购包推荐的中标候选人不足三家的，则该包废标。</w:t>
      </w:r>
      <w:r>
        <w:rPr>
          <w:rFonts w:hint="eastAsia" w:ascii="宋体" w:hAnsi="宋体" w:eastAsia="宋体" w:cs="宋体"/>
          <w:spacing w:val="2"/>
          <w:highlight w:val="none"/>
          <w:lang w:val="en-US" w:eastAsia="zh-CN"/>
        </w:rPr>
      </w:r>
      <w:r/>
    </w:p>
    <w:p>
      <w:pPr>
        <w:pStyle w:val="1030"/>
        <w:ind w:firstLine="630"/>
        <w:spacing w:line="360" w:lineRule="auto"/>
        <w:rPr>
          <w:rFonts w:hint="eastAsia" w:ascii="宋体" w:hAnsi="宋体" w:eastAsia="宋体" w:cs="宋体"/>
          <w:sz w:val="21"/>
          <w:szCs w:val="21"/>
          <w:highlight w:val="none"/>
          <w:lang w:eastAsia="zh-CN"/>
        </w:rPr>
      </w:pPr>
      <w:r>
        <w:rPr>
          <w:rFonts w:hint="eastAsia" w:ascii="宋体" w:hAnsi="宋体" w:eastAsia="宋体" w:cs="Times New Roman"/>
          <w:szCs w:val="21"/>
          <w:highlight w:val="none"/>
          <w:lang w:val="en-US" w:eastAsia="zh-CN"/>
        </w:rPr>
        <w:t xml:space="preserve">5</w:t>
      </w:r>
      <w:r>
        <w:rPr>
          <w:rFonts w:ascii="宋体" w:hAnsi="宋体" w:eastAsia="宋体" w:cs="Times New Roman"/>
          <w:szCs w:val="21"/>
          <w:highlight w:val="none"/>
        </w:rPr>
        <w:t xml:space="preserve">.合同履行</w:t>
      </w:r>
      <w:r>
        <w:rPr>
          <w:rFonts w:ascii="宋体" w:hAnsi="宋体" w:eastAsia="宋体" w:cs="Times New Roman"/>
          <w:color w:val="000000"/>
          <w:highlight w:val="none"/>
          <w:shd w:val="clear" w:color="auto" w:fill="ffffff"/>
        </w:rPr>
        <w:t xml:space="preserve">期限：</w:t>
      </w:r>
      <w:r>
        <w:rPr>
          <w:rFonts w:hint="eastAsia" w:ascii="宋体" w:hAnsi="宋体" w:eastAsia="宋体" w:cs="Times New Roman"/>
          <w:color w:val="000000"/>
          <w:highlight w:val="none"/>
          <w:shd w:val="clear" w:color="auto" w:fill="ffffff"/>
          <w:lang w:eastAsia="zh-CN"/>
        </w:rPr>
        <w:t xml:space="preserve">合同签订之日起至通过最终验收后一年</w:t>
      </w:r>
      <w:r>
        <w:rPr>
          <w:rFonts w:hint="eastAsia" w:ascii="宋体" w:hAnsi="宋体" w:eastAsia="宋体" w:cs="Times New Roman"/>
          <w:color w:val="000000"/>
          <w:highlight w:val="none"/>
          <w:shd w:val="clear" w:color="auto" w:fill="ffffff"/>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11．本项目的特定资格要求：</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具备有效期内测绘乙级及以上资质证书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专业范围含界线及不动产测绘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12．项目类别：服务类</w:t>
      </w:r>
      <w:r>
        <w:rPr>
          <w:rFonts w:hint="eastAsia" w:ascii="宋体" w:hAnsi="宋体" w:eastAsia="宋体" w:cs="宋体"/>
          <w:sz w:val="21"/>
          <w:szCs w:val="21"/>
          <w:highlight w:val="none"/>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30"/>
        <w:ind w:firstLine="63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30"/>
        <w:spacing w:line="360" w:lineRule="auto"/>
        <w:rPr>
          <w:rFonts w:hint="eastAsia" w:ascii="宋体" w:hAnsi="宋体" w:eastAsia="宋体" w:cs="宋体"/>
          <w:i/>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实施期限：</w:t>
      </w:r>
      <w:r>
        <w:rPr>
          <w:rFonts w:hint="eastAsia" w:ascii="宋体" w:hAnsi="宋体" w:eastAsia="宋体" w:cs="Times New Roman"/>
          <w:color w:val="000000"/>
          <w:highlight w:val="none"/>
          <w:shd w:val="clear" w:color="auto" w:fill="ffffff"/>
          <w:lang w:eastAsia="zh-CN"/>
        </w:rPr>
        <w:t xml:space="preserve">合同签订之日起至通过最终验收后一年</w:t>
      </w:r>
      <w:r>
        <w:rPr>
          <w:rFonts w:hint="eastAsia" w:ascii="宋体" w:hAnsi="宋体" w:eastAsia="宋体" w:cs="Times New Roman"/>
          <w:color w:val="000000"/>
          <w:highlight w:val="none"/>
          <w:shd w:val="clear" w:color="auto" w:fill="ffffff"/>
        </w:rPr>
        <w:t xml:space="preserve">。</w:t>
      </w:r>
      <w:r>
        <w:rPr>
          <w:rFonts w:hint="eastAsia" w:ascii="宋体" w:hAnsi="宋体" w:eastAsia="宋体" w:cs="Times New Roman"/>
          <w:color w:val="000000"/>
          <w:highlight w:val="none"/>
          <w:shd w:val="clear" w:color="auto" w:fill="ffffff"/>
          <w:lang w:val="en-US" w:eastAsia="zh-CN"/>
        </w:rPr>
        <w:t xml:space="preserve">实施范围：</w:t>
      </w:r>
      <w:r>
        <w:rPr>
          <w:rFonts w:hint="eastAsia" w:ascii="宋体" w:hAnsi="宋体" w:eastAsia="宋体" w:cs="宋体"/>
          <w:color w:val="000000"/>
          <w:sz w:val="21"/>
          <w:szCs w:val="21"/>
          <w:highlight w:val="none"/>
          <w:lang w:eastAsia="zh-CN"/>
        </w:rPr>
        <w:t xml:space="preserve">常州市金坛区。</w:t>
      </w:r>
      <w:r>
        <w:rPr>
          <w:rFonts w:hint="eastAsia" w:ascii="宋体" w:hAnsi="宋体" w:eastAsia="宋体" w:cs="宋体"/>
          <w:i/>
          <w:color w:val="000000"/>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2．付款方式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1）合同签订后1个月内支付</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lang w:eastAsia="zh-CN"/>
        </w:rPr>
        <w:t xml:space="preserve">价的</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非供应商原因按工作量付款，延包合同签订户数达应参加延包总户数70%时支付合同价的50%；</w:t>
      </w:r>
      <w:r>
        <w:rPr>
          <w:rFonts w:hint="eastAsia" w:ascii="宋体" w:hAnsi="宋体" w:eastAsia="宋体" w:cs="宋体"/>
          <w:color w:val="000000"/>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通过项目最终验收后支付</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lang w:eastAsia="zh-CN"/>
        </w:rPr>
        <w:t xml:space="preserve">价的2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0"/>
        <w:ind w:firstLine="64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项目验收结束期满一年，经核实无遗漏问题后支付剩余</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%尾款。</w:t>
      </w:r>
      <w:r>
        <w:rPr>
          <w:rFonts w:ascii="宋体" w:hAnsi="宋体" w:eastAsia="宋体" w:cs="宋体"/>
          <w:color w:val="000000"/>
          <w:sz w:val="21"/>
          <w:szCs w:val="21"/>
          <w:highlight w:val="none"/>
          <w:lang w:val="en-US" w:eastAsia="zh-CN"/>
        </w:rPr>
      </w:r>
      <w:r/>
    </w:p>
    <w:p>
      <w:pPr>
        <w:pStyle w:val="130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三、技术要求</w:t>
      </w:r>
      <w:r>
        <w:rPr>
          <w:rFonts w:hint="eastAsia" w:ascii="宋体" w:hAnsi="宋体" w:eastAsia="宋体" w:cs="宋体"/>
          <w:color w:val="000000"/>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服务技术要求</w:t>
      </w:r>
      <w:r>
        <w:rPr>
          <w:rFonts w:hint="eastAsia" w:ascii="宋体" w:hAnsi="宋体" w:eastAsia="宋体" w:cs="宋体"/>
          <w:sz w:val="21"/>
          <w:szCs w:val="21"/>
          <w:highlight w:val="none"/>
          <w:lang w:val="en-US" w:eastAsia="zh-CN"/>
        </w:rPr>
      </w:r>
      <w:r/>
    </w:p>
    <w:p>
      <w:pPr>
        <w:pStyle w:val="1030"/>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第一节 总体建设目标</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坚持"大稳定、小调整"原则，以原有农村土地承包经营权确权登记颁证成果为基础，不推倒重来、不打乱重分，严格按照《农村土地承包经营权调查规程》《地籍调查规程》等技术规范，规范完成二轮土地承包到期延包全部技术服务工作。具体目标如下：</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面完成前期准备与基础数据核查。制定周密的调查工作计划，统筹安排二轮延包任务、范围、方法、时间、步骤及人员组织；收集整合十类基础数据源，开展耕地现状分析，形成村耕地变化情况分析表；以高分影像为准、集体土地所有权成果为基础，制作工作底图和组界分布图，标绘调查范围界线及承包经营权界线并注明四至。</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全面摸清农户家庭及承包地块变化情况。</w:t>
      </w:r>
      <w:r>
        <w:rPr>
          <w:rFonts w:ascii="宋体" w:hAnsi="宋体" w:eastAsia="方正兰亭黑_GBK" w:cs="宋体"/>
          <w:sz w:val="21"/>
          <w:szCs w:val="21"/>
          <w:lang w:val="en-US" w:eastAsia="zh-CN" w:bidi="ar-SA"/>
        </w:rPr>
        <w:t xml:space="preserve">协助村组</w:t>
      </w:r>
      <w:r>
        <w:rPr>
          <w:rFonts w:hint="eastAsia" w:ascii="宋体" w:hAnsi="宋体" w:eastAsia="宋体" w:cs="宋体"/>
          <w:sz w:val="21"/>
          <w:szCs w:val="21"/>
          <w:lang w:val="en-US" w:eastAsia="zh-CN" w:bidi="ar-SA"/>
        </w:rPr>
        <w:t xml:space="preserve">采取入户调查</w:t>
      </w:r>
      <w:r>
        <w:rPr>
          <w:rFonts w:ascii="宋体" w:hAnsi="宋体" w:eastAsia="方正兰亭黑_GBK" w:cs="宋体"/>
          <w:sz w:val="21"/>
          <w:szCs w:val="21"/>
          <w:lang w:val="en-US" w:eastAsia="zh-CN" w:bidi="ar-SA"/>
        </w:rPr>
        <w:t xml:space="preserve">、</w:t>
      </w:r>
      <w:r>
        <w:rPr>
          <w:rFonts w:hint="eastAsia" w:ascii="宋体" w:hAnsi="宋体" w:eastAsia="宋体" w:cs="宋体"/>
          <w:sz w:val="21"/>
          <w:szCs w:val="21"/>
          <w:lang w:val="en-US" w:eastAsia="zh-CN" w:bidi="ar-SA"/>
        </w:rPr>
        <w:t xml:space="preserve">集中确认</w:t>
      </w:r>
      <w:r>
        <w:rPr>
          <w:rFonts w:ascii="宋体" w:hAnsi="宋体" w:eastAsia="方正兰亭黑_GBK" w:cs="宋体"/>
          <w:sz w:val="21"/>
          <w:szCs w:val="21"/>
          <w:lang w:val="en-US" w:eastAsia="zh-CN" w:bidi="ar-SA"/>
        </w:rPr>
        <w:t xml:space="preserve">等</w:t>
      </w:r>
      <w:r>
        <w:rPr>
          <w:rFonts w:hint="eastAsia" w:ascii="宋体" w:hAnsi="宋体" w:eastAsia="宋体" w:cs="宋体"/>
          <w:sz w:val="21"/>
          <w:szCs w:val="21"/>
          <w:lang w:val="en-US" w:eastAsia="zh-CN" w:bidi="ar-SA"/>
        </w:rPr>
        <w:t xml:space="preserve">方式，逐户摸清二轮承包以来家庭成员变动、承包地块流转、征收灭失、分户、整户消亡等情况，收集农户延包意愿；规范填写发包方、承包方、承包地块调查表；将作业对象划分为直接顺延、属性变更、外业实测、权属争议四类清单，建立问题台账。</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协助村组依法制定村级延包方案。基于摸底问题清单，协助村组编制村级延包方案，涵盖延包对象确认规则、人员地块变化处置、确权确股规则、纠纷调解机制等内容；指导村组规范履行成员大会、民主议事、方案公示报批全部法定程序，公示期限不少于15日；涉及承包地调整的，协助准备报批材料。</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外业实测指界与权属、地籍调查。针对地块四至、权属、面积变化的地块，采用室内判图、野外调绘、RTK实测等方式开展现场指界和补充测绘；严格执行调查规程和地籍调查规程，开展发包方、承包方、承包地块、集体土地调查，形成地籍调查表、界址点坐标成果、宗地图、地籍调查报告等成果；地块测量采用组合法，坐标系统采用2000国家大地坐标系，面积单位为亩。</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内业数据处理、审核公示与合同网签。完成外业成果入库，采集矢量数据并录入地块权属信息，实现农户信息与地块信息一一对应；制作调查信息公示表和承包地块公示图，协助村组开展审核公示，公示期不少于15日；收集农户异议并核实修正，直至无异议后制作公示结果归户表；使用全国网签系统完成电子承包合同签订。</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数据库建设与成果汇交。严格按照要素编码规则和数据库规范完成地块编码和要素编码；开展内部质检，检查数据完整性、拓扑关系、图数一致性、逻辑一致性、编码正确性；生成两套独立数据库：网签系统适配版和不动产登记发证版；生成符合部省标准的延包汇交数据包。</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成果输出与档案整理归档。依据最终数据库输出全套簿册图件，包括各类调查表、归户表、承包合同、地块示意图、地籍调查成果等，按要求份数打印装订；严格按照档案管理办法收集整理全部资料，配合资料移交；编制技术设计书、实施方案、质检报告、工作报告、技术总结等全套项目文档。</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部成果通过各级核查验收。严格落实二级检查一级验收制度，成果差错率控制在1%以内；无条件配合区、市、省、农业农村部各级质量抽查，不合格内容无偿返工整改；全部成果通过各级核查验收，实现土地承包合同管理与不动产登记有序衔接；质保服务期限至项目验收后一年，一般问题4小时处置、重大问题8小时处置，现场处置不超过12小时。</w:t>
      </w:r>
      <w:r>
        <w:rPr>
          <w:rFonts w:hint="eastAsia" w:ascii="宋体" w:hAnsi="宋体" w:eastAsia="宋体" w:cs="宋体"/>
          <w:sz w:val="21"/>
          <w:szCs w:val="21"/>
          <w:lang w:val="en-US" w:eastAsia="zh-CN" w:bidi="ar-SA"/>
        </w:rPr>
      </w:r>
      <w:r/>
    </w:p>
    <w:p>
      <w:pPr>
        <w:pStyle w:val="1030"/>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第二节 主要工作内容（全过程技术服务）</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（一）业务培训与组织技术指导</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面向区、镇、村、组工作人员开展政策解读、技术规范、调查表填报、网签系统操作培训，确保各级工作人员熟悉延包政策要求和技术流程。</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ascii="宋体" w:hAnsi="宋体" w:eastAsia="方正兰亭黑_GBK" w:cs="宋体"/>
          <w:sz w:val="21"/>
          <w:szCs w:val="21"/>
          <w:lang w:val="en-US" w:eastAsia="zh-CN" w:bidi="ar-SA"/>
        </w:rPr>
        <w:t xml:space="preserve">指导并</w:t>
      </w:r>
      <w:r>
        <w:rPr>
          <w:rFonts w:hint="eastAsia" w:ascii="宋体" w:hAnsi="宋体" w:eastAsia="宋体" w:cs="宋体"/>
          <w:sz w:val="21"/>
          <w:szCs w:val="21"/>
          <w:lang w:val="en-US" w:eastAsia="zh-CN" w:bidi="ar-SA"/>
        </w:rPr>
        <w:t xml:space="preserve">协助村组依法组建村级延包工作小组，落实工作小组人员构成要求（包含一定比例妇女代表），指导村组规范履行成员代表大会、民主议事、方案公示报批全部法定程序。</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全程为矛盾调处提供技术支撑，对权属存在争议的地块建立问题台账，争议未化解地块暂缓</w:t>
      </w:r>
      <w:r>
        <w:rPr>
          <w:rFonts w:ascii="宋体" w:hAnsi="宋体" w:eastAsia="方正兰亭黑_GBK" w:cs="宋体"/>
          <w:sz w:val="21"/>
          <w:szCs w:val="21"/>
          <w:lang w:val="en-US" w:eastAsia="zh-CN" w:bidi="ar-SA"/>
        </w:rPr>
        <w:t xml:space="preserve">发包</w:t>
      </w:r>
      <w:r>
        <w:rPr>
          <w:rFonts w:hint="eastAsia" w:ascii="宋体" w:hAnsi="宋体" w:eastAsia="宋体" w:cs="宋体"/>
          <w:sz w:val="21"/>
          <w:szCs w:val="21"/>
          <w:lang w:val="en-US" w:eastAsia="zh-CN" w:bidi="ar-SA"/>
        </w:rPr>
        <w:t xml:space="preserve">，待矛盾纠纷处置完成后再开展作业。</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（二）资料收集与基础数据加工</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收集整合项目所需基础数据源，主要包括：</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1.农村土地承包经营权确权登记数据库、汇交库；</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2.二轮承包台账、原始承包合同；</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3.第三次全国国土调查及年度变更成果、集体土地所有权数据库；</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4.国有土地登记数据；</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5.征地、报批项目数据；</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6.基本农田数据资料；</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7.最新高分辨率正射影像，必要时实施无人机航空摄影；</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8.行政区划成果、三区三线成果、户籍辅助信息；</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9.不动产登记、征地等用途管制信息，以及不动产登记数据建库相关规范。</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收集到的多源基础数据开展清洗、坐标系统统一、数据提取加工，进行金坛区耕地现状分析，形成村耕地变化情况分析表；以高分影像为准，以农村集体土地所有权成果为基础、以国土变更调查成果为辅，利用现有的图件、影像等数据，以村或村民小组为单位绘制工作底图、组界分布图，在调查底图上标绘调查范围界线、土地承包经营权界线，并注明四至，形成项目作业底图与基础作业数据库。</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（三）摸底核实调查</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ascii="宋体" w:hAnsi="宋体" w:eastAsia="方正兰亭黑_GBK" w:cs="宋体"/>
          <w:sz w:val="21"/>
          <w:szCs w:val="21"/>
          <w:lang w:val="en-US" w:eastAsia="zh-CN" w:bidi="ar-SA"/>
        </w:rPr>
        <w:t xml:space="preserve">协助村组</w:t>
      </w:r>
      <w:r>
        <w:rPr>
          <w:rFonts w:hint="eastAsia" w:ascii="宋体" w:hAnsi="宋体" w:eastAsia="宋体" w:cs="宋体"/>
          <w:sz w:val="21"/>
          <w:szCs w:val="21"/>
          <w:lang w:val="en-US" w:eastAsia="zh-CN" w:bidi="ar-SA"/>
        </w:rPr>
        <w:t xml:space="preserve">采取入户实地调查加集中确认相结合的作业方式，逐户摸清二轮承包以来家庭成员变动、承包地块流转、征收灭失、分户、整户消亡、出嫁女等特殊群体承包权益情况，收集农户延包意愿。</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规范填写摸底表，包括发包方调查表、承包方调查表、承包地块调查表等，组织农户签字确认。</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对作业对象分类梳理，划分为直接顺延、属性信息变更、需要外业实测指界、权属存在争议四类清单，建立完整问题台账。</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每个行政村配置专职对接技术人员，摸底调查阶段不得随意抽调离岗；重要会议、农户确认环节留存影像资料，做到一村一档影像归档。</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（四）协助制定村级延包方案</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基于摸底调查形成的问题清单，协助村组编制村级延包方案，方案内容包含政策依据、组织机构、本村基本情况、延包对象确认规则、人员地块变化处置办法、确权确股规则、纠纷调解机制。协助村组落实方案公示不少于15日、集体经济组织成员代表会议表决等程序；如延包方案涉及承包地调整，协助准备报批技术材料，完成向乡镇政府、区级农业农村主管部门报批工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（五）所有权调整、建库相关工作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（1）延包地块权属界线应与集体土地所有权界线保持一致，细微差异严格按照集体土地所有权界线执行。</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（2）涉及所有权调整的，需</w:t>
      </w:r>
      <w:r>
        <w:rPr>
          <w:rFonts w:hint="eastAsia" w:ascii="宋体" w:hAnsi="宋体" w:eastAsia="宋体" w:cs="宋体"/>
          <w:szCs w:val="21"/>
          <w:lang w:bidi="ar-SA"/>
        </w:rPr>
        <w:t xml:space="preserve">经民主</w:t>
      </w:r>
      <w:r>
        <w:rPr>
          <w:rFonts w:hint="eastAsia" w:ascii="宋体" w:hAnsi="宋体" w:eastAsia="宋体" w:cs="宋体"/>
          <w:sz w:val="21"/>
          <w:szCs w:val="21"/>
          <w:lang w:val="en-US" w:eastAsia="zh-CN" w:bidi="ar-SA"/>
        </w:rPr>
        <w:t xml:space="preserve">程序审议通过；涉及原所有权错误的，按相关规程处理。</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（3）儒</w:t>
      </w:r>
      <w:r>
        <w:rPr>
          <w:rFonts w:hint="eastAsia" w:ascii="宋体" w:hAnsi="宋体" w:eastAsia="宋体" w:cs="宋体"/>
          <w:szCs w:val="21"/>
          <w:lang w:bidi="ar-SA"/>
        </w:rPr>
        <w:t xml:space="preserve">林镇各村组因情况特殊需同</w:t>
      </w:r>
      <w:r>
        <w:rPr>
          <w:rFonts w:hint="eastAsia" w:ascii="宋体" w:hAnsi="宋体" w:eastAsia="宋体" w:cs="宋体"/>
          <w:sz w:val="21"/>
          <w:szCs w:val="21"/>
          <w:lang w:val="en-US" w:eastAsia="zh-CN" w:bidi="ar-SA"/>
        </w:rPr>
        <w:t xml:space="preserve">步完成所有权更新，按"首次登记"要求提交全套材料</w:t>
      </w:r>
      <w:r>
        <w:rPr>
          <w:rFonts w:ascii="宋体" w:hAnsi="宋体" w:eastAsia="方正兰亭黑_GBK"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（六）外业实测指界与权属、地籍调查</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严格按照《农村土地承包合同管理办法》《农村土地承包经营权调查规程》（NY/T 2537）有关规定，根据延包方案和摸底调查中收集到的数据，按照直接延包、调整后承包和未颁发证书先确权后再延包等分类情况，推进延包工作实施。</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发包方调查。调查内容包括发包方的名称和负责人姓名、地址等。</w:t>
      </w:r>
      <w:r>
        <w:rPr>
          <w:rFonts w:hint="eastAsia" w:ascii="宋体" w:hAnsi="宋体" w:eastAsia="宋体" w:cs="宋体"/>
          <w:sz w:val="21"/>
          <w:szCs w:val="21"/>
          <w:lang w:val="en-US" w:eastAsia="zh-CN" w:bidi="ar-SA"/>
        </w:rPr>
        <w:t xml:space="preserve">以农村集体土地所有权确权登记发证成果和其他合法权属资料为基础确定发包方。承包合同生效后，集体经济组织发生分立或者合并的，发包方名称确定为分立或者合并前的集体经济组织名称，同时在调查记事栏注明分立或者合并后的集体经济组织名称；发包方名称发生变更的，确定为变更前的集体经济组织名称，同时在调查记事栏注明变更后的集体经济组织名称；发包方承办人或负责人发生变更的，负责人姓名为变更后的发包方负责人姓名，同时在调查记事栏注明变更前的负责人姓名。发包方名称格式统一为常州市金坛区XX镇（街道）XX村（社区）集体经济组织全称。</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方调查。家庭承包的承包方调查内容包括承包方代表的姓名、地址以及农户家庭成员等情况；其他方式承包的承包方调查内容包括承包方的名称或姓名、地址等情况；承包方土地承包经营权权属信息，包括土地承包合</w:t>
      </w:r>
      <w:r>
        <w:rPr>
          <w:rFonts w:hint="eastAsia" w:ascii="宋体" w:hAnsi="宋体" w:eastAsia="宋体" w:cs="宋体"/>
          <w:sz w:val="21"/>
          <w:szCs w:val="21"/>
          <w:lang w:val="en-US" w:eastAsia="zh-CN" w:bidi="ar-SA"/>
        </w:rPr>
        <w:t xml:space="preserve">同和农村土地承包经营权证等信息。承包方代表按以下情形确定：农村土地承包经营权证等证书上记载的人；未依法登记取得证书的，为在承包合同上签字的人；前两项规定的人死亡、丧失民事行为能力或者因其他原因无法确认的，为农户成员推选的人。承包合同生效后，农户内的成员分家析产或合户的，按有关法律法规和政策进行处理，并提供相关的书面证明书或者协议书，由全体家庭成员和村干部签字确认，无异议后进行调查。家庭成员调查以原二轮承包发包时的共有人调查为基础，对新增及减少人员进行备注说明，严格按照村组提供的集体经济组织成员名单进行调查。</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地块调查。调查内容包括承包地块的名称、面积、四至、空间位置、界址、土地用途、地力等级、利用类型和是否基本农田等情况。耕地地力等级以相关部门提供的地力等级数据进行套合；是否为基本农田以自然资源和规划局提供的基本农田保护数据进行套合。承包地块调查的指界人包括发包方指界</w:t>
      </w:r>
      <w:r>
        <w:rPr>
          <w:rFonts w:hint="eastAsia" w:ascii="宋体" w:hAnsi="宋体" w:eastAsia="宋体" w:cs="宋体"/>
          <w:sz w:val="21"/>
          <w:szCs w:val="21"/>
          <w:lang w:val="en-US" w:eastAsia="zh-CN" w:bidi="ar-SA"/>
        </w:rPr>
        <w:t xml:space="preserve">人、承包方指界人和毗邻地块或地物指界人。指界人可以是承包方本人，也可以是承包方的代理人，代理进行指界时出示代理人的身份证明书和委托书。由村、组二轮延包工作小组、调查人员共同组成农户承包地指界小组，与申请农户或其代理人现场共同指界确认承包户所属地块，现场指界后，由工作人员标注上图或纸质表格记录相关信息，村组负责人在工作底图上签字确认。界址点设置原则：能准确表示界址线的走向；相邻承包地块的界址线交叉处设置界址点；承包地块依附于沟渠、道路、田坎等线状地物的交叉点设置界址点；界址线类型发生变化时，变化处设置界址点。</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地块测量。结合实际情况采用组合法，以图解法为基础，实测法为辅助调查测绘确定界址点坐标。影像图有明显地界的可根据影像纹理进行图解，影像图无法确定地块界址或有争议的需辅以现场测定界址坐标。具体测量方式：一是利用江苏省卫星定位</w:t>
      </w:r>
      <w:r>
        <w:rPr>
          <w:rFonts w:hint="eastAsia" w:ascii="宋体" w:hAnsi="宋体" w:eastAsia="宋体" w:cs="宋体"/>
          <w:sz w:val="21"/>
          <w:szCs w:val="21"/>
          <w:lang w:val="en-US" w:eastAsia="zh-CN" w:bidi="ar-SA"/>
        </w:rPr>
        <w:t xml:space="preserve">连续运行综合应用服务系统（JSCORS）进行网络RTK测量，可用于控制点、农村土地承包经营权界址点测量等工作；二是对JSCORS信号不好的区域，利用收集到的高等级控制点成果，使用GNSS接收机，解算区域转换参数并检核，建立基准站，以流动站的方式（GPS-RTK）测量地块界址点坐标；三是对现场条件难以满足GPS-RTK实测时，可采用皮尺丈量辅助进行地块界址点测量。有明显特征点的界址点图解时精确到影像图最小像元；无明显特征点的界址点需辅以测量工具进行现场测定，并保留原始测量记录，如外业勘丈草图、测量原始点位等。</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集体土地调查。以集体土地所有权确权登记成果为基础，逐地块核实村集体经济组织、村民小组集体土地权属界线，明确地块四至（东至、南至、西至、北至）、地块面积，确保集体土地权属界线与承包地块界线无缝衔接。对权属界线发生变化的地块，组织相邻权利人现场指界确认，更新地块四至描述和面积数据，形成集体土地台账，制作集体土地分布图，并标注面积等相关属性。</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严格执行《农村土地承包经营权调查规程》NY/T 2537-2014、《地籍调查规程》GB/T 42547-2023开展地籍调查，形成地籍调查表、界址点坐标成果、宗地图、地籍调查报告纸质及电子成果。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逐地块核对四至、地类、面积、权属信息，更新调查手簿、调查草图。</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坐标系统：2000国家大地坐标系，高斯-克吕格3度分带，中央子午线120度；高程系统采用1985国家高程基准；作业比例尺不低于1:2000；面积统计单位为亩，保留2位小数。</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（七）内业数据处理、数据库建设、质检汇交包制作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内业数据整理主要是将核实调查与测绘过程中收集的权源证明等材料、调查记录表格、调查成果及测绘成果进行处理，面积量算，经检查后，制作公示材料。</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矢量数据修改。将入户核查的地块信息通过专业软件采集矢量数据，同时在作业过程中录入地块的权属信息，采集信息通过过程检查方可进入下一步工作。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权属数据导入挂接。将检查无误的修改后矢量数据与导入的农户基本家庭数据进行挂接，使农户的基本信息与地块信息一一对应，通过质量检查方可进入下一步工作。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公示图公示表制作。农户的地块数据与农户基本家庭数据挂接后，通过专业软件生成对应的公示表与公示图，检查无误后进入下一步上墙公示工作。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完成外业成果入库，更新地块图形、属性、权利人、家庭成员信息；严格按照GB/T 35958-2018、NY/T 2539-2016规范完成地块编码、要素编码。</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开展项目成果内部质检，检查内容包含数据完整性、拓扑关系、图数一致性、逻辑一致性、编码正确性。</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生成两套独立数据库成果：库A适配全国农村土地承包合同网签系统，上传网签平台用于电子合同签订；库B为不动产登记发证专用数据库（含全套地籍调查成果），移交自然资源不动产登记部门。</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生成符合农业农村部、江苏省标准的延包汇交数据包，满足上级数据汇交要求。</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（八）审核公示</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协助村组开展调查成果审核，输出公示表、公示图，在村组公告栏进行公示，公示期限不少于15日。</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调查信息公示表。根据权属调查结果，以发包方为单位按承包方顺序逐地块公示调查结果，形成《农村土地承包经营权调查信息公示表》。主要内容包括承包方（代表）姓名或名称、承包地块的编码、合同面积、实测面积和地块四至等信息。以发包方调查表、承包方调查表、承包地块调查表和地块测量结果为依据。</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地块公示图。内容包括土地承包经营权权属要素、承包地块、行政区划要素、辅助地物以及图廓要素等。地块公示图主次分明，清晰易读，重点表达地块的承包方（代表）、四至、合同面积、实测面积、地块编码（缩略码）、比例尺、公示时间等信息，如果发包方面积过大或过于分散可分为多幅图。承包地块公示图张榜公示须拍照留存，按组拍摄照片。</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勘误修正。对公示过程中发包方和承包方提出的异议，配合延包工作小组及时进行核实、修正，并再次进行公示，公示期限不少于15日。</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结果确认。公示无异议的，根据调查和公示结果以承包方为单位制作农村土地承包经营权公示结果归户表，由发包方、承包方（代表）进行签章确认。</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审核公示注意事项。一是核实承包人姓名是否与身份证一致，身份证号是否准确；二是核实地块位置、形状是否正确；三是检查地块与表格是否对应，有地块合并、分割的在公示图上标注；四是确定合同面积与实测面积差别较大的情况是否属实；五是核实有无承包地块、家庭成员遗漏；六是核实有无家庭成员重复的情况；七是核实家庭成员关系是否准确。特别是对于合同面积与实测面积相差过大的情况，调查人员核实并记载具体情况。</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（九）合同网签签订</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使用全国农村土地承包合同网签系统，按照示范文本自动生成电子承包合同；支持人脸识别、电子签章；特殊情形可线下打印纸质合同签字后扫描上传网签系统。</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承担网签业务培训、驻场技术支撑</w:t>
      </w:r>
      <w:r>
        <w:rPr>
          <w:rFonts w:ascii="宋体" w:hAnsi="宋体" w:eastAsia="方正兰亭黑_GBK" w:cs="宋体"/>
          <w:sz w:val="21"/>
          <w:szCs w:val="21"/>
          <w:lang w:val="en-US" w:eastAsia="zh-CN" w:bidi="ar-SA"/>
        </w:rPr>
        <w:t xml:space="preserve">等</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每月向镇、区主管部门报送标段工作进度报表。</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同步填写不动产登记申请书，归集登记发证所需全套技术材料。</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（十）成果输出打印</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最终延包数据库输出全套簿册图件：发包方调查表、承包方调查表、承包地块调查表、公示结果归户表、承包合同、地块示意图、地籍调查表、界址点坐标成果表、地籍调查成果等，按照采购人要求份数完成打印、装订。</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地块示意图制作。地块示意图为农户承包地和确权土地的坐落示意图，图中标明了农户承包地在村组中的位置、面积、编号和承包方（代表）姓名，以及四周承包地块的权利人、面积和编号（地块编码只保留最后五位）。根据已获取的权属调查信息，内业录入编辑成地块示意图，内容包括界址点位置、权属界线位置、承包方（代表）姓名、地块编号、地块面积、四至等。地块编码以江苏省统计局发布的行政区划代码为依据，农村承包耕地登记以村委会（居委会）为基本单位进行耕地登记分区划分，并以村委会（居委会）的统一行政区划代码为该分区编码。</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（十一）档案整理</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严格按照农业农村部、国家档案局《第二轮土地承包到期后再延长30年试点工作档案管理办法》要求，收集整理延包试点工作过程中形成的全部文字、表格、合同、图件、影像、数据等文件材料。</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编制全套项目技术文档：技术设</w:t>
      </w:r>
      <w:r>
        <w:rPr>
          <w:rFonts w:hint="eastAsia" w:ascii="宋体" w:hAnsi="宋体" w:eastAsia="宋体" w:cs="宋体"/>
          <w:sz w:val="21"/>
          <w:szCs w:val="21"/>
          <w:lang w:val="en-US" w:eastAsia="zh-CN" w:bidi="ar-SA"/>
        </w:rPr>
        <w:t xml:space="preserve">计书、项目实施方案、质量检查报告、项目工作报告、技术总结报告、纠纷调解材料、会议记录决议材料、问题处置台账等档案归档相关材料。</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（十二）质量核查、整改、质保期服务</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无条件配合区、市、省、农业农村部各级质量抽查，核查发现不合格内容由供应商无偿返工整改。</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质保服务期限至项目验收后一年，承担延包回头看、上级发布新标准后的数据更新、农户诉求变更处置、不动产登记配套技术支持。</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ascii="宋体" w:hAnsi="宋体" w:eastAsia="方正兰亭黑_GBK" w:cs="宋体"/>
          <w:sz w:val="21"/>
          <w:szCs w:val="21"/>
          <w:lang w:val="en-US" w:eastAsia="zh-CN" w:bidi="ar-SA"/>
        </w:rPr>
        <w:t xml:space="preserve">质保</w:t>
      </w:r>
      <w:r>
        <w:rPr>
          <w:rFonts w:hint="eastAsia" w:ascii="宋体" w:hAnsi="宋体" w:eastAsia="宋体" w:cs="宋体"/>
          <w:sz w:val="21"/>
          <w:szCs w:val="21"/>
          <w:lang w:val="en-US" w:eastAsia="zh-CN" w:bidi="ar-SA"/>
        </w:rPr>
        <w:t xml:space="preserve">服务响应要求：一般问题4小时处置完成；重大问题8小时处置完成；需要现场处置的，到达现场不超过12小时，特殊情况不超过24小时。</w:t>
      </w:r>
      <w:r>
        <w:rPr>
          <w:rFonts w:hint="eastAsia" w:ascii="宋体" w:hAnsi="宋体" w:eastAsia="宋体" w:cs="宋体"/>
          <w:sz w:val="21"/>
          <w:szCs w:val="21"/>
          <w:lang w:val="en-US" w:eastAsia="zh-CN" w:bidi="ar-SA"/>
        </w:rPr>
      </w:r>
      <w:r/>
    </w:p>
    <w:p>
      <w:pPr>
        <w:pStyle w:val="1030"/>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第三节 交付成果清单</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1.数据库成果（电子）</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二轮延包业务数据库（网签版）；</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不动产登记发证版延包数据库（含全套地籍调查数据）；</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部省标准汇交数据包；</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元数据、项目质检报告。</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2.图件簿册成果（纸质加电子）</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工作底图、调查草图、地块分布图、地籍图；农村土地承包台账；二轮延包承包合同；发包方调查表、承包方调查表、承包地块调查表、调查信息公示表、公示结果归户表、宗地图、地籍调查表、承包地块示意图（含集体土地）、承包地块示意图（不含集体土地）。</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3.文字报告成果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技术设计书、项目实施方案、工作报告、技术总结报告、质量检查报告、纠纷调处台账、会议决议材料、问题处置台账</w:t>
      </w:r>
      <w:r>
        <w:rPr>
          <w:rFonts w:ascii="宋体" w:hAnsi="宋体" w:eastAsia="方正兰亭黑_GBK" w:cs="宋体"/>
          <w:sz w:val="21"/>
          <w:szCs w:val="21"/>
          <w:lang w:val="en-US" w:eastAsia="zh-CN" w:bidi="ar-SA"/>
        </w:rPr>
        <w:t xml:space="preserve">等</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4.影音归档成果</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一村一档影像资料（成员大会、公示、农户签字确认、现场外业等影像素材）。</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全部成果格式、编码、内容必须满足农业农村部、江苏省农业农村厅、档案馆、不动产登记部门接收标准，以主管部门验收接收为准。</w:t>
      </w:r>
      <w:r>
        <w:rPr>
          <w:rFonts w:hint="eastAsia" w:ascii="宋体" w:hAnsi="宋体" w:eastAsia="宋体" w:cs="宋体"/>
          <w:sz w:val="21"/>
          <w:szCs w:val="21"/>
          <w:lang w:val="en-US" w:eastAsia="zh-CN" w:bidi="ar-SA"/>
        </w:rPr>
      </w:r>
      <w:r/>
    </w:p>
    <w:p>
      <w:pPr>
        <w:pStyle w:val="1030"/>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第四节 技术标准与依据（新标准发布自动执行最新版本）</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《中华人民共和国民法典》、《中华人民共和国农村土地承包法》、《中华人民共和国土地管理法》、《农村土地承包合同管理办法》、《江苏省不动产登记条例》；</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农业农村部办公厅、自然资源部办公厅、国家档案局办公室《第二轮土地承包到期后再延长30年试点工作规程》（2026年版）；</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NY/T 2537-2014《农村土地承包经营权调查规程》；</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GB/T 42547-2023《地籍调查规程》；</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NY/T 2539-2016《农村土地承包经营权确权登记数据库规范》；</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GB/T 35958-2018《农村土地承包经营权要素编码规则》；</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GB/T 24356-2023《测绘成果质量检查与验收》；</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TD/T 1066-2021《不动产登记数据库标准》；</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常州市、金坛区第二轮土地承包到期再延长30年试点工作方案；</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农业农村部、国家档案局《第二轮土地承包到期后再延长30年试点工作档案管理办法》。</w:t>
      </w:r>
      <w:r>
        <w:rPr>
          <w:rFonts w:hint="eastAsia" w:ascii="宋体" w:hAnsi="宋体" w:eastAsia="宋体" w:cs="宋体"/>
          <w:sz w:val="21"/>
          <w:szCs w:val="21"/>
          <w:lang w:val="en-US" w:eastAsia="zh-CN" w:bidi="ar-SA"/>
        </w:rPr>
      </w:r>
      <w:r/>
    </w:p>
    <w:p>
      <w:pPr>
        <w:pStyle w:val="1030"/>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★第五节 人员配置、驻场、变更管理要求</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项目负责人、技术负责人、质量负责人、档案负责人必须专职在岗，未经采购人书面许可不得更换，不得兼任其他项目主要岗位；确需更换的，替换人员资质不得低于原人员，须报采购人书面审批；擅自更换人员采购人有权执行违约金处罚。</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2.驻场人员配置：每个采购包现场常驻技术人员不少于5人；公示、网签关键阶段保证各村每周不少于4天驻村服务。</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3.人员出勤管理：项目负责人离开作业区域2天以内报采购人备案；超过2天须取得采购人书面批准；项目负责人、技术负责人、质量负责人不得同时离开项目属地。</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4.供应商须按采购人要求参加各类工作例会，对应岗位人员按时参会。</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5.外业作业人员须配置RTK、无人机、笔记本电脑、保密专用计算机等作业设备；建库工作必须在保密环境开展，严禁涉密数据外网随意拷贝外传。</w:t>
      </w:r>
      <w:r>
        <w:rPr>
          <w:rFonts w:hint="eastAsia" w:ascii="宋体" w:hAnsi="宋体" w:eastAsia="宋体" w:cs="宋体"/>
          <w:sz w:val="21"/>
          <w:szCs w:val="21"/>
          <w:lang w:val="en-US" w:eastAsia="zh-CN" w:bidi="ar-SA"/>
        </w:rPr>
      </w:r>
      <w:r/>
    </w:p>
    <w:p>
      <w:pPr>
        <w:pStyle w:val="1030"/>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★第六节 质量、安全、保密要求</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1.质量控制</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严格落实二级检查一级验收制度：作业组自检、项目组互检、单位质检部门专检，留存完整质检记录；成果差错率控制在1%以内；上级核查发现错误由供应商无偿返工整改，直至验收通过。</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2.安全生产</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外业作业人员人身安全全部由供应商负责；作业过程妥善处置群众权属矛盾，发生纠纷第一时间移交村组延包工作小组，严禁作业人员与农户发生冲突。</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3.数据与档案保密</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确权、延包、地籍、影像均属于涉密测绘成果，严格遵守测绘地理信息保密管理相关法律法规；</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项目作业计算机、处理终端禁止连接互联网，不得私自复制、拷贝、外传、转发项目原始数据及成果数据，不得私自留存完整项目数据库副本；</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纸质档案、电子介质不得擅自带离指定作业场所；全部项目工作人员必须签订保密协议；项目结束后按照采购人要求销毁全部本地留存项目数据；</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一旦发生泄密事件，供应商承担全部法律责任与经济赔偿责任，采购人有权终止合同并追究损失。</w:t>
      </w:r>
      <w:r>
        <w:rPr>
          <w:rFonts w:hint="eastAsia" w:ascii="宋体" w:hAnsi="宋体" w:eastAsia="宋体" w:cs="宋体"/>
          <w:sz w:val="21"/>
          <w:szCs w:val="21"/>
          <w:lang w:val="en-US" w:eastAsia="zh-CN" w:bidi="ar-SA"/>
        </w:rPr>
      </w:r>
      <w:r/>
    </w:p>
    <w:p>
      <w:pPr>
        <w:pStyle w:val="1030"/>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第七节 验收要求</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验收分为三级：供应商内部质检、区级初步验收、配合省、市主管部门核查。</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验收资料：完整全套纸质、电子成果，全套技术文档，质检记录，培训记录，影像档案，档案移交签收单。</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验收不合格，供应商限期无偿整改；两次整改仍不能通过验收，采购人有权解除合同，由此造成全部损失由供应商自行承担。</w:t>
      </w:r>
      <w:r>
        <w:rPr>
          <w:rFonts w:hint="eastAsia" w:ascii="宋体" w:hAnsi="宋体" w:eastAsia="宋体" w:cs="宋体"/>
          <w:sz w:val="21"/>
          <w:szCs w:val="21"/>
          <w:lang w:val="en-US" w:eastAsia="zh-CN" w:bidi="ar-SA"/>
        </w:rPr>
      </w:r>
      <w:r/>
    </w:p>
    <w:p>
      <w:pPr>
        <w:pStyle w:val="1030"/>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验收依据：国家、省、市现行政策、技术规范、采购文件、合同约定；成果被农业农村、档案、自然资源不动产登记部门接收作为重要验收依据。</w:t>
      </w:r>
      <w:r>
        <w:rPr>
          <w:rFonts w:hint="eastAsia" w:ascii="宋体" w:hAnsi="宋体" w:eastAsia="宋体" w:cs="宋体"/>
          <w:sz w:val="21"/>
          <w:szCs w:val="21"/>
          <w:lang w:val="en-US" w:eastAsia="zh-CN"/>
        </w:rPr>
      </w:r>
      <w:r/>
    </w:p>
    <w:p>
      <w:pPr>
        <w:pStyle w:val="1030"/>
        <w:ind w:firstLine="630"/>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实质性要求</w:t>
      </w:r>
      <w:r>
        <w:rPr>
          <w:rFonts w:ascii="宋体" w:hAnsi="宋体" w:eastAsia="宋体" w:cs="宋体"/>
          <w:color w:val="000000"/>
          <w:sz w:val="21"/>
          <w:szCs w:val="21"/>
          <w:lang w:val="en-US" w:eastAsia="zh-CN"/>
        </w:rPr>
      </w:r>
      <w:r/>
    </w:p>
    <w:tbl>
      <w:tblPr>
        <w:tblW w:w="9698"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8057"/>
        <w:gridCol w:w="939"/>
      </w:tblGrid>
      <w:tr>
        <w:trPr>
          <w:trHeight w:val="552"/>
        </w:trPr>
        <w:tc>
          <w:tcPr>
            <w:tcW w:w="70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8057"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实质性要求</w:t>
            </w:r>
            <w:r>
              <w:rPr>
                <w:rFonts w:hint="eastAsia" w:ascii="宋体" w:hAnsi="宋体" w:eastAsia="宋体" w:cs="宋体"/>
                <w:color w:val="000000"/>
                <w:sz w:val="21"/>
                <w:szCs w:val="21"/>
                <w:highlight w:val="none"/>
                <w:lang w:val="en-US" w:eastAsia="zh-CN" w:bidi="ar-SA"/>
              </w:rPr>
            </w:r>
            <w:r/>
          </w:p>
        </w:tc>
        <w:tc>
          <w:tcPr>
            <w:tcW w:w="93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须提供的材料</w:t>
            </w:r>
            <w:r>
              <w:rPr>
                <w:rFonts w:hint="eastAsia" w:ascii="宋体" w:hAnsi="宋体" w:eastAsia="宋体" w:cs="宋体"/>
                <w:color w:val="000000"/>
                <w:sz w:val="21"/>
                <w:szCs w:val="21"/>
                <w:highlight w:val="none"/>
                <w:lang w:val="en-US" w:eastAsia="zh-CN" w:bidi="ar-SA"/>
              </w:rPr>
            </w:r>
            <w:r/>
          </w:p>
        </w:tc>
      </w:tr>
      <w:tr>
        <w:trPr>
          <w:trHeight w:val="1426"/>
        </w:trPr>
        <w:tc>
          <w:tcPr>
            <w:tcW w:w="70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057" w:type="dxa"/>
            <w:vAlign w:val="center"/>
            <w:textDirection w:val="lrTb"/>
            <w:noWrap w:val="false"/>
          </w:tcPr>
          <w:p>
            <w:pPr>
              <w:pStyle w:val="1030"/>
              <w:ind w:firstLine="0"/>
              <w:keepLines w:val="0"/>
              <w:keepNext w:val="0"/>
              <w:pageBreakBefore w:val="0"/>
              <w:spacing w:line="360" w:lineRule="auto"/>
              <w:widowControl w:val="off"/>
              <w:rPr>
                <w:rFonts w:hint="eastAsia" w:ascii="宋体" w:hAnsi="宋体" w:eastAsia="宋体" w:cs="宋体"/>
                <w:b/>
                <w:bCs/>
                <w:i w:val="0"/>
                <w:iCs w:val="0"/>
                <w:color w:val="0000ff"/>
                <w:sz w:val="21"/>
                <w:szCs w:val="21"/>
                <w:highlight w:val="yellow"/>
                <w:u w:val="none"/>
                <w:lang w:val="en-US" w:eastAsia="zh-CN" w:bidi="ar"/>
              </w:rPr>
            </w:pPr>
            <w:r>
              <w:rPr>
                <w:rFonts w:hint="eastAsia" w:ascii="宋体" w:hAnsi="宋体" w:eastAsia="宋体" w:cs="宋体"/>
                <w:b/>
                <w:bCs/>
                <w:i w:val="0"/>
                <w:iCs w:val="0"/>
                <w:color w:val="0000ff"/>
                <w:sz w:val="21"/>
                <w:szCs w:val="21"/>
                <w:highlight w:val="yellow"/>
                <w:u w:val="none"/>
                <w:lang w:val="en-US" w:eastAsia="zh-CN" w:bidi="ar"/>
              </w:rPr>
              <w:t xml:space="preserve">★第五节 人员配置、驻场、变更管理要求</w:t>
            </w:r>
            <w:r>
              <w:rPr>
                <w:rFonts w:hint="eastAsia" w:ascii="宋体" w:hAnsi="宋体" w:eastAsia="宋体" w:cs="宋体"/>
                <w:b/>
                <w:bCs/>
                <w:i w:val="0"/>
                <w:iCs w:val="0"/>
                <w:color w:val="0000ff"/>
                <w:sz w:val="21"/>
                <w:szCs w:val="21"/>
                <w:highlight w:val="yellow"/>
                <w:u w:val="none"/>
                <w:lang w:val="en-US" w:eastAsia="zh-CN" w:bidi="ar"/>
              </w:rPr>
            </w:r>
            <w:r/>
          </w:p>
          <w:p>
            <w:pPr>
              <w:pStyle w:val="1030"/>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1.项目负责人、技术负责人、质量负责人、档案负责人必须专职在岗，未经采购人书面许可不得更换，不得兼任其他项目主要岗位；确需更换的，替换人员资质不得低于原人员，须报采购人书面审批；擅自更换人员采购人有权执行违约金处罚。</w:t>
            </w:r>
            <w:r>
              <w:rPr>
                <w:rFonts w:ascii="Times New Roman" w:hAnsi="Times New Roman" w:eastAsia="宋体" w:cs="Times New Roman"/>
                <w:color w:val="0000ff"/>
                <w:highlight w:val="yellow"/>
                <w:lang w:val="en-US" w:eastAsia="zh-CN"/>
              </w:rPr>
            </w:r>
            <w:r/>
          </w:p>
          <w:p>
            <w:pPr>
              <w:pStyle w:val="1030"/>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2.驻场人员配置：每个采购包现场常驻技术人员不少于5人；公示、网签关键阶段保证各村每周不少于4天驻村服务。</w:t>
            </w:r>
            <w:r>
              <w:rPr>
                <w:rFonts w:ascii="Times New Roman" w:hAnsi="Times New Roman" w:eastAsia="宋体" w:cs="Times New Roman"/>
                <w:color w:val="0000ff"/>
                <w:highlight w:val="yellow"/>
                <w:lang w:val="en-US" w:eastAsia="zh-CN"/>
              </w:rPr>
            </w:r>
            <w:r/>
          </w:p>
          <w:p>
            <w:pPr>
              <w:pStyle w:val="1030"/>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3.人员出勤管理：项目负责人离开作业区域2天以内报采购人备案；超过2天须取得采购人书面批准；项目负责人、技术负责人、质量负责人不得同时离开项目属地。</w:t>
            </w:r>
            <w:r>
              <w:rPr>
                <w:rFonts w:ascii="Times New Roman" w:hAnsi="Times New Roman" w:eastAsia="宋体" w:cs="Times New Roman"/>
                <w:color w:val="0000ff"/>
                <w:highlight w:val="yellow"/>
                <w:lang w:val="en-US" w:eastAsia="zh-CN"/>
              </w:rPr>
            </w:r>
            <w:r/>
          </w:p>
          <w:p>
            <w:pPr>
              <w:pStyle w:val="1030"/>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4.供应商须按采购人要求参加各类工作例会，对应岗位人员按时参会。</w:t>
            </w:r>
            <w:r>
              <w:rPr>
                <w:rFonts w:ascii="Times New Roman" w:hAnsi="Times New Roman" w:eastAsia="宋体" w:cs="Times New Roman"/>
                <w:color w:val="0000ff"/>
                <w:highlight w:val="yellow"/>
                <w:lang w:val="en-US" w:eastAsia="zh-CN"/>
              </w:rPr>
            </w:r>
            <w:r/>
          </w:p>
          <w:p>
            <w:pPr>
              <w:pStyle w:val="1030"/>
              <w:ind w:firstLine="0"/>
              <w:keepLines w:val="0"/>
              <w:keepNext w:val="0"/>
              <w:pageBreakBefore w:val="0"/>
              <w:spacing w:line="360" w:lineRule="auto"/>
              <w:widowControl w:val="off"/>
              <w:rPr>
                <w:rFonts w:ascii="Times New Roman" w:hAnsi="Times New Roman" w:eastAsia="宋体" w:cs="Times New Roman"/>
                <w:color w:val="0000ff"/>
                <w:highlight w:val="yellow"/>
                <w:lang w:val="en-US"/>
              </w:rPr>
            </w:pPr>
            <w:r>
              <w:rPr>
                <w:rFonts w:ascii="Times New Roman" w:hAnsi="Times New Roman" w:eastAsia="宋体" w:cs="Times New Roman"/>
                <w:color w:val="0000ff"/>
                <w:highlight w:val="yellow"/>
                <w:lang w:val="en-US" w:eastAsia="zh-CN"/>
              </w:rPr>
              <w:t xml:space="preserve">5.外业作业人员须配置RTK、无人机、笔记本电脑、保密专用计算机等作业设备；建库工作必须在保密环境开展，严禁涉密数据外网随意拷贝外传。</w:t>
            </w:r>
            <w:r>
              <w:rPr>
                <w:rFonts w:ascii="Times New Roman" w:hAnsi="Times New Roman" w:eastAsia="宋体" w:cs="Times New Roman"/>
                <w:color w:val="0000ff"/>
                <w:highlight w:val="yellow"/>
                <w:lang w:val="en-US"/>
              </w:rPr>
            </w:r>
            <w:r/>
          </w:p>
        </w:tc>
        <w:tc>
          <w:tcPr>
            <w:tcW w:w="939" w:type="dxa"/>
            <w:vAlign w:val="center"/>
            <w:textDirection w:val="lrTb"/>
            <w:noWrap w:val="false"/>
          </w:tcPr>
          <w:p>
            <w:pPr>
              <w:pStyle w:val="1030"/>
              <w:ind w:firstLine="0"/>
              <w:keepLines w:val="0"/>
              <w:keepNext w:val="0"/>
              <w:pageBreakBefore w:val="0"/>
              <w:spacing w:line="360" w:lineRule="auto"/>
              <w:widowControl w:val="off"/>
              <w:rPr>
                <w:rFonts w:ascii="宋体" w:hAnsi="宋体" w:eastAsia="宋体" w:cs="宋体"/>
                <w:bCs/>
                <w:color w:val="0000ff"/>
                <w:sz w:val="21"/>
                <w:szCs w:val="21"/>
                <w:highlight w:val="yellow"/>
                <w:lang w:val="en-US" w:eastAsia="zh-CN"/>
              </w:rPr>
            </w:pPr>
            <w:r>
              <w:rPr>
                <w:rFonts w:ascii="宋体" w:hAnsi="宋体" w:eastAsia="宋体" w:cs="宋体"/>
                <w:b/>
                <w:bCs w:val="0"/>
                <w:color w:val="0000ff"/>
                <w:sz w:val="21"/>
                <w:szCs w:val="21"/>
                <w:highlight w:val="yellow"/>
                <w:lang w:val="en-US" w:eastAsia="zh-CN"/>
              </w:rPr>
              <w:t xml:space="preserve">提供承诺函（</w:t>
            </w:r>
            <w:r>
              <w:rPr>
                <w:rFonts w:hint="eastAsia" w:ascii="宋体" w:hAnsi="宋体" w:eastAsia="宋体" w:cs="宋体"/>
                <w:b/>
                <w:bCs w:val="0"/>
                <w:color w:val="0000ff"/>
                <w:sz w:val="21"/>
                <w:szCs w:val="21"/>
                <w:highlight w:val="yellow"/>
                <w:lang w:val="en-US" w:eastAsia="zh-CN"/>
              </w:rPr>
              <w:t xml:space="preserve">格式自拟</w:t>
            </w:r>
            <w:r>
              <w:rPr>
                <w:rFonts w:ascii="宋体" w:hAnsi="宋体" w:eastAsia="宋体" w:cs="宋体"/>
                <w:b/>
                <w:bCs w:val="0"/>
                <w:color w:val="0000ff"/>
                <w:sz w:val="21"/>
                <w:szCs w:val="21"/>
                <w:highlight w:val="yellow"/>
                <w:lang w:val="en-US" w:eastAsia="zh-CN"/>
              </w:rPr>
              <w:t xml:space="preserve">）。</w:t>
            </w:r>
            <w:r>
              <w:rPr>
                <w:rFonts w:ascii="宋体" w:hAnsi="宋体" w:eastAsia="宋体" w:cs="宋体"/>
                <w:bCs/>
                <w:color w:val="0000ff"/>
                <w:sz w:val="21"/>
                <w:szCs w:val="21"/>
                <w:highlight w:val="yellow"/>
                <w:lang w:val="en-US" w:eastAsia="zh-CN"/>
              </w:rPr>
            </w:r>
            <w:r/>
          </w:p>
        </w:tc>
      </w:tr>
      <w:tr>
        <w:trPr>
          <w:trHeight w:val="1415"/>
        </w:trPr>
        <w:tc>
          <w:tcPr>
            <w:tcW w:w="70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057" w:type="dxa"/>
            <w:vAlign w:val="center"/>
            <w:textDirection w:val="lrTb"/>
            <w:noWrap w:val="false"/>
          </w:tcPr>
          <w:p>
            <w:pPr>
              <w:pStyle w:val="1030"/>
              <w:ind w:firstLine="0"/>
              <w:keepLines w:val="0"/>
              <w:keepNext w:val="0"/>
              <w:pageBreakBefore w:val="0"/>
              <w:spacing w:line="360" w:lineRule="auto"/>
              <w:widowControl w:val="off"/>
              <w:rPr>
                <w:rFonts w:hint="eastAsia" w:ascii="Times New Roman" w:hAnsi="Times New Roman" w:eastAsia="宋体" w:cs="Times New Roman"/>
                <w:b/>
                <w:bCs/>
                <w:color w:val="0000ff"/>
                <w:highlight w:val="yellow"/>
                <w:lang w:val="en-US" w:eastAsia="zh-CN"/>
              </w:rPr>
            </w:pPr>
            <w:r>
              <w:rPr>
                <w:rFonts w:hint="eastAsia" w:ascii="Times New Roman" w:hAnsi="Times New Roman" w:eastAsia="宋体" w:cs="Times New Roman"/>
                <w:b/>
                <w:bCs/>
                <w:color w:val="0000ff"/>
                <w:highlight w:val="yellow"/>
                <w:lang w:val="en-US" w:eastAsia="zh-CN"/>
              </w:rPr>
              <w:t xml:space="preserve">★第六节 质量、安全、保密要求</w:t>
            </w:r>
            <w:r>
              <w:rPr>
                <w:rFonts w:hint="eastAsia" w:ascii="Times New Roman" w:hAnsi="Times New Roman" w:eastAsia="宋体" w:cs="Times New Roman"/>
                <w:b/>
                <w:bCs/>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1.质量控制</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严格落实二级检查一级验收制度：作业组自检、项目组互检、单位质检部门专检，留存完整质检记录；成果差错率控制在1%以内；上级核查发现错误由供应商无偿返工整改，直至验收通过。</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2.安全生产</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外业作业人员人身安全全部由供应商负责；作业过程妥善处置群众权属矛盾，发生纠纷第一时间移交村组延包工作小组，严禁作业人员与农户发生冲突。</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3.数据与档案保密</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确权、延包、地籍、影像均属于涉密测绘成果，严格遵守测绘地理信息保密管理相关法律法规；</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项目作业计算机、处理终端禁止连接互联网，不得私自复制、拷贝、外传、转发项目原始数据及成果数据，不得私自留存完整项目数据库副本；</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纸质档案、电子介质不得擅自带离指定作业场所；全部项目工作人员必须签订保密协议；项目结束后按照采购人要求销毁全部本地留存项目数据；</w:t>
            </w:r>
            <w:r>
              <w:rPr>
                <w:rFonts w:hint="eastAsia" w:ascii="Times New Roman" w:hAnsi="Times New Roman" w:eastAsia="宋体" w:cs="Times New Roman"/>
                <w:b w:val="0"/>
                <w:bCs w:val="0"/>
                <w:color w:val="0000ff"/>
                <w:highlight w:val="yellow"/>
                <w:lang w:val="en-US" w:eastAsia="zh-CN"/>
              </w:rPr>
            </w:r>
            <w:r/>
          </w:p>
          <w:p>
            <w:pPr>
              <w:pStyle w:val="1030"/>
              <w:ind w:firstLine="0"/>
              <w:keepLines w:val="0"/>
              <w:keepNext w:val="0"/>
              <w:pageBreakBefore w:val="0"/>
              <w:spacing w:line="360" w:lineRule="auto"/>
              <w:widowControl w:val="off"/>
              <w:rPr>
                <w:rFonts w:ascii="Times New Roman" w:hAnsi="Times New Roman" w:eastAsia="宋体" w:cs="Times New Roman"/>
                <w:color w:val="0000ff"/>
                <w:highlight w:val="yellow"/>
                <w:lang w:val="en-US"/>
              </w:rPr>
            </w:pPr>
            <w:r>
              <w:rPr>
                <w:rFonts w:hint="eastAsia" w:ascii="Times New Roman" w:hAnsi="Times New Roman" w:eastAsia="宋体" w:cs="Times New Roman"/>
                <w:b w:val="0"/>
                <w:bCs w:val="0"/>
                <w:color w:val="0000ff"/>
                <w:highlight w:val="yellow"/>
                <w:lang w:val="en-US" w:eastAsia="zh-CN"/>
              </w:rPr>
              <w:t xml:space="preserve">一旦发生泄密事件，供应商承担全部法律责任与经济赔偿责任，采购人有权终止合同并追究损失。</w:t>
            </w:r>
            <w:r>
              <w:rPr>
                <w:rFonts w:ascii="Times New Roman" w:hAnsi="Times New Roman" w:eastAsia="宋体" w:cs="Times New Roman"/>
                <w:color w:val="0000ff"/>
                <w:highlight w:val="yellow"/>
                <w:lang w:val="en-US"/>
              </w:rPr>
            </w:r>
            <w:r/>
          </w:p>
        </w:tc>
        <w:tc>
          <w:tcPr>
            <w:tcW w:w="939" w:type="dxa"/>
            <w:vAlign w:val="center"/>
            <w:textDirection w:val="lrTb"/>
            <w:noWrap w:val="false"/>
          </w:tcPr>
          <w:p>
            <w:pPr>
              <w:pStyle w:val="1030"/>
              <w:ind w:firstLine="0"/>
              <w:keepLines w:val="0"/>
              <w:keepNext w:val="0"/>
              <w:pageBreakBefore w:val="0"/>
              <w:spacing w:line="360" w:lineRule="auto"/>
              <w:widowControl w:val="off"/>
              <w:rPr>
                <w:rFonts w:hint="eastAsia" w:ascii="宋体" w:hAnsi="宋体" w:eastAsia="宋体" w:cs="宋体"/>
                <w:bCs/>
                <w:color w:val="0000ff"/>
                <w:sz w:val="21"/>
                <w:szCs w:val="21"/>
                <w:highlight w:val="yellow"/>
              </w:rPr>
            </w:pPr>
            <w:r>
              <w:rPr>
                <w:rFonts w:ascii="宋体" w:hAnsi="宋体" w:eastAsia="宋体" w:cs="宋体"/>
                <w:b/>
                <w:bCs w:val="0"/>
                <w:color w:val="0000ff"/>
                <w:sz w:val="21"/>
                <w:szCs w:val="21"/>
                <w:highlight w:val="yellow"/>
                <w:lang w:val="en-US" w:eastAsia="zh-CN"/>
              </w:rPr>
              <w:t xml:space="preserve">提供承诺函（</w:t>
            </w:r>
            <w:r>
              <w:rPr>
                <w:rFonts w:hint="eastAsia" w:ascii="宋体" w:hAnsi="宋体" w:eastAsia="宋体" w:cs="宋体"/>
                <w:b/>
                <w:bCs w:val="0"/>
                <w:color w:val="0000ff"/>
                <w:sz w:val="21"/>
                <w:szCs w:val="21"/>
                <w:highlight w:val="yellow"/>
                <w:lang w:val="en-US" w:eastAsia="zh-CN"/>
              </w:rPr>
              <w:t xml:space="preserve">格式自拟</w:t>
            </w:r>
            <w:r>
              <w:rPr>
                <w:rFonts w:ascii="宋体" w:hAnsi="宋体" w:eastAsia="宋体" w:cs="宋体"/>
                <w:b/>
                <w:bCs w:val="0"/>
                <w:color w:val="0000ff"/>
                <w:sz w:val="21"/>
                <w:szCs w:val="21"/>
                <w:highlight w:val="yellow"/>
                <w:lang w:val="en-US" w:eastAsia="zh-CN"/>
              </w:rPr>
              <w:t xml:space="preserve">）。</w:t>
            </w:r>
            <w:r>
              <w:rPr>
                <w:rFonts w:hint="eastAsia" w:ascii="宋体" w:hAnsi="宋体" w:eastAsia="宋体" w:cs="宋体"/>
                <w:bCs/>
                <w:color w:val="0000ff"/>
                <w:sz w:val="21"/>
                <w:szCs w:val="21"/>
                <w:highlight w:val="yellow"/>
              </w:rPr>
            </w:r>
            <w:r/>
          </w:p>
        </w:tc>
      </w:tr>
    </w:tbl>
    <w:p>
      <w:pPr>
        <w:pStyle w:val="1030"/>
        <w:ind w:firstLine="632"/>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ff"/>
          <w:sz w:val="21"/>
          <w:szCs w:val="21"/>
          <w:highlight w:val="yellow"/>
          <w:lang w:val="en-US" w:eastAsia="zh-CN"/>
        </w:rPr>
        <w:t xml:space="preserve">注：上表内带“★”号要求为实质性要求，投标人须实质性响应，否则作无效投标文件处理。</w:t>
      </w:r>
      <w:r>
        <w:rPr>
          <w:rFonts w:hint="eastAsia" w:ascii="宋体" w:hAnsi="宋体" w:eastAsia="宋体" w:cs="宋体"/>
          <w:color w:val="000000"/>
          <w:sz w:val="21"/>
          <w:szCs w:val="21"/>
          <w:highlight w:val="none"/>
          <w:lang w:val="en-US" w:eastAsia="zh-CN"/>
        </w:rPr>
      </w:r>
      <w:r/>
    </w:p>
    <w:p>
      <w:pPr>
        <w:pStyle w:val="1030"/>
        <w:ind w:firstLine="63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采购标的对应的中小企业划分标准所属行业一览表</w:t>
      </w:r>
      <w:r>
        <w:rPr>
          <w:rFonts w:hint="eastAsia" w:ascii="宋体" w:hAnsi="宋体" w:eastAsia="宋体" w:cs="宋体"/>
          <w:color w:val="000000"/>
          <w:sz w:val="21"/>
          <w:szCs w:val="21"/>
          <w:highlight w:val="none"/>
        </w:rPr>
      </w:r>
      <w:r/>
    </w:p>
    <w:tbl>
      <w:tblPr>
        <w:tblW w:w="9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5190"/>
        <w:gridCol w:w="3752"/>
      </w:tblGrid>
      <w:tr>
        <w:trPr>
          <w:cantSplit/>
          <w:trHeight w:val="619"/>
        </w:trPr>
        <w:tc>
          <w:tcPr>
            <w:tcW w:w="917"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190"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976"/>
        </w:trPr>
        <w:tc>
          <w:tcPr>
            <w:tcW w:w="917"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190"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（01包）</w:t>
            </w:r>
            <w:r>
              <w:rPr>
                <w:rFonts w:hint="eastAsia" w:ascii="宋体" w:hAnsi="宋体" w:eastAsia="宋体" w:cs="宋体"/>
                <w:color w:val="000000"/>
                <w:sz w:val="21"/>
                <w:szCs w:val="21"/>
                <w:highlight w:val="none"/>
                <w:lang w:eastAsia="zh-CN"/>
              </w:rPr>
            </w:r>
            <w:r/>
          </w:p>
        </w:tc>
        <w:tc>
          <w:tcPr>
            <w:tcW w:w="375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其他未列明行业</w:t>
            </w:r>
            <w:r>
              <w:rPr>
                <w:rFonts w:hint="eastAsia" w:ascii="宋体" w:hAnsi="宋体" w:eastAsia="宋体" w:cs="宋体"/>
                <w:color w:val="000000"/>
                <w:sz w:val="21"/>
                <w:szCs w:val="21"/>
                <w:highlight w:val="none"/>
                <w:lang w:eastAsia="zh-CN"/>
              </w:rPr>
            </w:r>
            <w:r/>
          </w:p>
        </w:tc>
      </w:tr>
      <w:tr>
        <w:trPr>
          <w:cantSplit/>
          <w:trHeight w:val="976"/>
        </w:trPr>
        <w:tc>
          <w:tcPr>
            <w:tcW w:w="917"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5190"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（02包）</w:t>
            </w:r>
            <w:r>
              <w:rPr>
                <w:rFonts w:hint="eastAsia" w:ascii="宋体" w:hAnsi="宋体" w:eastAsia="宋体" w:cs="宋体"/>
                <w:color w:val="000000"/>
                <w:sz w:val="21"/>
                <w:szCs w:val="21"/>
                <w:highlight w:val="none"/>
                <w:lang w:eastAsia="zh-CN"/>
              </w:rPr>
            </w:r>
            <w:r/>
          </w:p>
        </w:tc>
        <w:tc>
          <w:tcPr>
            <w:tcW w:w="375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其他未列明行业</w:t>
            </w:r>
            <w:r>
              <w:rPr>
                <w:rFonts w:hint="eastAsia" w:ascii="宋体" w:hAnsi="宋体" w:eastAsia="宋体" w:cs="宋体"/>
                <w:color w:val="000000"/>
                <w:sz w:val="21"/>
                <w:szCs w:val="21"/>
                <w:highlight w:val="none"/>
                <w:lang w:eastAsia="zh-CN"/>
              </w:rPr>
            </w:r>
            <w:r/>
          </w:p>
        </w:tc>
      </w:tr>
      <w:tr>
        <w:trPr>
          <w:cantSplit/>
          <w:trHeight w:val="976"/>
        </w:trPr>
        <w:tc>
          <w:tcPr>
            <w:tcW w:w="917"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190"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（03包）</w:t>
            </w:r>
            <w:r>
              <w:rPr>
                <w:rFonts w:hint="eastAsia" w:ascii="宋体" w:hAnsi="宋体" w:eastAsia="宋体" w:cs="宋体"/>
                <w:color w:val="000000"/>
                <w:sz w:val="21"/>
                <w:szCs w:val="21"/>
                <w:highlight w:val="none"/>
                <w:lang w:eastAsia="zh-CN"/>
              </w:rPr>
            </w:r>
            <w:r/>
          </w:p>
        </w:tc>
        <w:tc>
          <w:tcPr>
            <w:tcW w:w="375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其他未列明行业</w:t>
            </w:r>
            <w:r>
              <w:rPr>
                <w:rFonts w:hint="eastAsia" w:ascii="宋体" w:hAnsi="宋体" w:eastAsia="宋体" w:cs="宋体"/>
                <w:color w:val="000000"/>
                <w:sz w:val="21"/>
                <w:szCs w:val="21"/>
                <w:highlight w:val="none"/>
                <w:lang w:eastAsia="zh-CN"/>
              </w:rPr>
            </w:r>
            <w:r/>
          </w:p>
        </w:tc>
      </w:tr>
    </w:tbl>
    <w:p>
      <w:pPr>
        <w:pStyle w:val="1030"/>
        <w:numPr>
          <w:ilvl w:val="0"/>
          <w:numId w:val="0"/>
        </w:numPr>
        <w:ind w:firstLine="63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5.服务类产品清单</w:t>
      </w:r>
      <w:r>
        <w:rPr>
          <w:rFonts w:hint="eastAsia" w:ascii="宋体" w:hAnsi="宋体" w:eastAsia="宋体" w:cs="宋体"/>
          <w:b w:val="0"/>
          <w:bCs/>
          <w:color w:val="000000"/>
          <w:sz w:val="21"/>
          <w:szCs w:val="21"/>
          <w:highlight w:val="none"/>
          <w:lang w:val="en-US" w:eastAsia="zh-CN" w:bidi="ar-SA"/>
        </w:rPr>
      </w:r>
      <w:r/>
    </w:p>
    <w:tbl>
      <w:tblPr>
        <w:tblW w:w="975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655"/>
        <w:gridCol w:w="5055"/>
        <w:gridCol w:w="675"/>
        <w:gridCol w:w="689"/>
      </w:tblGrid>
      <w:tr>
        <w:trPr>
          <w:cantSplit/>
          <w:trHeight w:val="642"/>
        </w:trPr>
        <w:tc>
          <w:tcPr>
            <w:tcW w:w="683" w:type="dxa"/>
            <w:vAlign w:val="center"/>
            <w:textDirection w:val="lrTb"/>
            <w:noWrap w:val="false"/>
          </w:tcPr>
          <w:p>
            <w:pPr>
              <w:pStyle w:val="130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655" w:type="dxa"/>
            <w:vAlign w:val="center"/>
            <w:textDirection w:val="lrTb"/>
            <w:noWrap w:val="false"/>
          </w:tcPr>
          <w:p>
            <w:pPr>
              <w:pStyle w:val="130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服务名称</w:t>
            </w:r>
            <w:r>
              <w:rPr>
                <w:rFonts w:hint="eastAsia" w:ascii="宋体" w:hAnsi="宋体" w:eastAsia="宋体" w:cs="宋体"/>
                <w:color w:val="000000"/>
                <w:highlight w:val="none"/>
              </w:rPr>
            </w:r>
            <w:r/>
          </w:p>
        </w:tc>
        <w:tc>
          <w:tcPr>
            <w:tcW w:w="5055" w:type="dxa"/>
            <w:vAlign w:val="center"/>
            <w:textDirection w:val="lrTb"/>
            <w:noWrap w:val="false"/>
          </w:tcPr>
          <w:p>
            <w:pPr>
              <w:pStyle w:val="130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服务内容</w:t>
            </w:r>
            <w:r>
              <w:rPr>
                <w:rFonts w:hint="eastAsia" w:ascii="宋体" w:hAnsi="宋体" w:eastAsia="宋体" w:cs="宋体"/>
                <w:color w:val="000000"/>
                <w:highlight w:val="none"/>
              </w:rPr>
            </w:r>
            <w:r/>
          </w:p>
        </w:tc>
        <w:tc>
          <w:tcPr>
            <w:tcW w:w="675" w:type="dxa"/>
            <w:vAlign w:val="center"/>
            <w:textDirection w:val="lrTb"/>
            <w:noWrap w:val="false"/>
          </w:tcPr>
          <w:p>
            <w:pPr>
              <w:pStyle w:val="130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689" w:type="dxa"/>
            <w:vAlign w:val="center"/>
            <w:textDirection w:val="lrTb"/>
            <w:noWrap w:val="false"/>
          </w:tcPr>
          <w:p>
            <w:pPr>
              <w:pStyle w:val="1301"/>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数量</w:t>
            </w:r>
            <w:r>
              <w:rPr>
                <w:rFonts w:hint="eastAsia" w:ascii="宋体" w:hAnsi="宋体" w:eastAsia="宋体" w:cs="宋体"/>
                <w:color w:val="000000"/>
                <w:highlight w:val="none"/>
              </w:rPr>
            </w:r>
            <w:r/>
          </w:p>
        </w:tc>
      </w:tr>
      <w:tr>
        <w:trPr>
          <w:cantSplit/>
          <w:trHeight w:val="546"/>
        </w:trPr>
        <w:tc>
          <w:tcPr>
            <w:tcW w:w="683" w:type="dxa"/>
            <w:vAlign w:val="center"/>
            <w:textDirection w:val="lrTb"/>
            <w:noWrap w:val="false"/>
          </w:tcPr>
          <w:p>
            <w:pPr>
              <w:pStyle w:val="1030"/>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265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（01包）</w:t>
            </w:r>
            <w:r>
              <w:rPr>
                <w:rFonts w:hint="eastAsia" w:ascii="宋体" w:hAnsi="宋体" w:eastAsia="宋体" w:cs="宋体"/>
                <w:color w:val="000000"/>
                <w:lang w:eastAsia="zh-CN"/>
              </w:rPr>
            </w:r>
            <w:r/>
          </w:p>
        </w:tc>
        <w:tc>
          <w:tcPr>
            <w:tcW w:w="5055"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 w:val="21"/>
                <w:szCs w:val="21"/>
                <w:highlight w:val="none"/>
                <w:lang w:bidi="ar-SA"/>
              </w:rPr>
              <w:t xml:space="preserve">直溪镇（坞家村、西溪村、王甲村、巨村村、溪滨村、建昌村、井庄村、迪庄村、天湖村、新河村、吕坵村）、朱林镇（红旗圩村、朱林村、三星村、长兴村、唐王村、黄金村、龙溪村）、儒林镇（儒林村、湖头村、南社</w:t>
            </w:r>
            <w:r>
              <w:rPr>
                <w:rFonts w:hint="eastAsia" w:ascii="宋体" w:hAnsi="宋体" w:eastAsia="宋体" w:cs="宋体"/>
                <w:color w:val="000000"/>
                <w:sz w:val="21"/>
                <w:szCs w:val="21"/>
                <w:highlight w:val="none"/>
                <w:lang w:val="en-US" w:eastAsia="zh-CN" w:bidi="ar-SA"/>
              </w:rPr>
              <w:t xml:space="preserve">村），共计21个村，约9.4万</w:t>
            </w:r>
            <w:r>
              <w:rPr>
                <w:rFonts w:hint="eastAsia" w:ascii="宋体" w:hAnsi="宋体" w:eastAsia="宋体" w:cs="宋体"/>
                <w:color w:val="000000"/>
                <w:sz w:val="21"/>
                <w:szCs w:val="21"/>
                <w:highlight w:val="none"/>
                <w:lang w:val="en-US" w:eastAsia="zh-CN" w:bidi="ar-SA"/>
              </w:rPr>
              <w:t xml:space="preserve">亩土地的延包技术服务。另外，儒林镇还需要提供组集体土地所有权确权的技术服务。</w:t>
            </w:r>
            <w:r>
              <w:rPr>
                <w:rFonts w:hint="eastAsia" w:ascii="宋体" w:hAnsi="宋体" w:eastAsia="宋体" w:cs="宋体"/>
                <w:color w:val="000000"/>
              </w:rPr>
            </w:r>
            <w:r/>
          </w:p>
        </w:tc>
        <w:tc>
          <w:tcPr>
            <w:tcW w:w="675"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lang w:eastAsia="zh-CN"/>
              </w:rPr>
            </w:r>
            <w:r/>
          </w:p>
        </w:tc>
        <w:tc>
          <w:tcPr>
            <w:tcW w:w="689" w:type="dxa"/>
            <w:vAlign w:val="center"/>
            <w:textDirection w:val="lrTb"/>
            <w:noWrap w:val="false"/>
          </w:tcPr>
          <w:p>
            <w:pPr>
              <w:pStyle w:val="1030"/>
              <w:ind w:firstLine="0"/>
              <w:jc w:val="center"/>
              <w:keepLines w:val="0"/>
              <w:keepNext w:val="0"/>
              <w:pageBreakBefore w:val="0"/>
              <w:spacing w:line="36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r>
            <w:r/>
          </w:p>
        </w:tc>
      </w:tr>
      <w:tr>
        <w:trPr>
          <w:cantSplit/>
          <w:trHeight w:val="526"/>
        </w:trPr>
        <w:tc>
          <w:tcPr>
            <w:tcW w:w="683" w:type="dxa"/>
            <w:vAlign w:val="center"/>
            <w:textDirection w:val="lrTb"/>
            <w:noWrap w:val="false"/>
          </w:tcPr>
          <w:p>
            <w:pPr>
              <w:pStyle w:val="1030"/>
              <w:ind w:firstLine="0"/>
              <w:jc w:val="center"/>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r>
            <w:r/>
          </w:p>
        </w:tc>
        <w:tc>
          <w:tcPr>
            <w:tcW w:w="265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（02包）</w:t>
            </w:r>
            <w:r>
              <w:rPr>
                <w:rFonts w:hint="eastAsia" w:ascii="宋体" w:hAnsi="宋体" w:eastAsia="宋体" w:cs="宋体"/>
                <w:color w:val="000000"/>
                <w:lang w:eastAsia="zh-CN"/>
              </w:rPr>
            </w:r>
            <w:r/>
          </w:p>
        </w:tc>
        <w:tc>
          <w:tcPr>
            <w:tcW w:w="5055"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 w:val="21"/>
                <w:szCs w:val="21"/>
                <w:highlight w:val="none"/>
                <w:lang w:val="en-US" w:eastAsia="zh-CN" w:bidi="ar-SA"/>
              </w:rPr>
              <w:t xml:space="preserve">指前镇（庄阳村、东浦村、社头村、 建春村、解放村、芦溪村、丰产村、岳阳村、新河村、清水渎村）、西城街道（涑渎村、黄庄村）、东城街道（明星村）、儒林镇（五叶村、河下社区、柚山村），共计16个村，约9万亩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。另外，儒林镇还需要提供组集体土地所有权确权的技术服务。</w:t>
            </w:r>
            <w:r>
              <w:rPr>
                <w:rFonts w:hint="eastAsia" w:ascii="宋体" w:hAnsi="宋体" w:eastAsia="宋体" w:cs="宋体"/>
                <w:color w:val="000000"/>
              </w:rPr>
            </w:r>
            <w:r/>
          </w:p>
        </w:tc>
        <w:tc>
          <w:tcPr>
            <w:tcW w:w="675"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lang w:eastAsia="zh-CN"/>
              </w:rPr>
            </w:r>
            <w:r/>
          </w:p>
        </w:tc>
        <w:tc>
          <w:tcPr>
            <w:tcW w:w="689" w:type="dxa"/>
            <w:vAlign w:val="center"/>
            <w:textDirection w:val="lrTb"/>
            <w:noWrap w:val="false"/>
          </w:tcPr>
          <w:p>
            <w:pPr>
              <w:pStyle w:val="1030"/>
              <w:ind w:firstLine="0"/>
              <w:jc w:val="center"/>
              <w:keepLines w:val="0"/>
              <w:keepNext w:val="0"/>
              <w:pageBreakBefore w:val="0"/>
              <w:spacing w:line="36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r>
            <w:r/>
          </w:p>
        </w:tc>
      </w:tr>
      <w:tr>
        <w:trPr>
          <w:cantSplit/>
          <w:trHeight w:val="564"/>
        </w:trPr>
        <w:tc>
          <w:tcPr>
            <w:tcW w:w="683" w:type="dxa"/>
            <w:vAlign w:val="center"/>
            <w:textDirection w:val="lrTb"/>
            <w:noWrap w:val="false"/>
          </w:tcPr>
          <w:p>
            <w:pPr>
              <w:pStyle w:val="1030"/>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lang w:val="en-US" w:eastAsia="zh-CN"/>
              </w:rPr>
            </w:r>
            <w:r/>
          </w:p>
        </w:tc>
        <w:tc>
          <w:tcPr>
            <w:tcW w:w="2655"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（03包）</w:t>
            </w:r>
            <w:r>
              <w:rPr>
                <w:rFonts w:hint="eastAsia" w:ascii="宋体" w:hAnsi="宋体" w:eastAsia="宋体" w:cs="宋体"/>
                <w:lang w:eastAsia="zh-CN"/>
              </w:rPr>
            </w:r>
            <w:r/>
          </w:p>
        </w:tc>
        <w:tc>
          <w:tcPr>
            <w:tcW w:w="5055" w:type="dxa"/>
            <w:vAlign w:val="center"/>
            <w:textDirection w:val="lrTb"/>
            <w:noWrap w:val="false"/>
          </w:tcPr>
          <w:p>
            <w:pPr>
              <w:pStyle w:val="1030"/>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highlight w:val="none"/>
                <w:lang w:val="en-US" w:eastAsia="zh-CN" w:bidi="ar-SA"/>
              </w:rPr>
              <w:t xml:space="preserve">金城镇（南瑶村、前庄村、 庄城村、沈渎村、元巷社区、白塔村 、后阳村、长竹埂村、联丰村）、尧塘街道（西华村、谢桥村、水东村、迎春村、汤庄社区、万新村、下庄村），共计16个村，约8.2万亩</w:t>
            </w:r>
            <w:r>
              <w:rPr>
                <w:rFonts w:hint="eastAsia" w:ascii="宋体" w:hAnsi="宋体" w:cs="宋体"/>
                <w:sz w:val="21"/>
                <w:szCs w:val="21"/>
                <w:highlight w:val="none"/>
                <w:lang w:val="en-US" w:eastAsia="zh-CN" w:bidi="ar-SA"/>
              </w:rPr>
              <w:t xml:space="preserve">土地的延包技术服务</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rPr>
            </w:r>
            <w:r/>
          </w:p>
        </w:tc>
        <w:tc>
          <w:tcPr>
            <w:tcW w:w="675"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689" w:type="dxa"/>
            <w:vAlign w:val="center"/>
            <w:textDirection w:val="lrTb"/>
            <w:noWrap w:val="false"/>
          </w:tcPr>
          <w:p>
            <w:pPr>
              <w:pStyle w:val="1030"/>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bl>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0"/>
        <w:spacing w:line="360" w:lineRule="auto"/>
        <w:tabs>
          <w:tab w:val="left" w:pos="900" w:leader="none"/>
          <w:tab w:val="left" w:pos="1080" w:leader="none"/>
        </w:tabs>
        <w:rPr>
          <w:sz w:val="18"/>
          <w:szCs w:val="18"/>
          <w:highlight w:val="none"/>
        </w:rPr>
      </w:pPr>
      <w:r>
        <w:rPr>
          <w:sz w:val="18"/>
          <w:szCs w:val="18"/>
          <w:highlight w:val="none"/>
        </w:rPr>
      </w:r>
      <w:r/>
    </w:p>
    <w:p>
      <w:pPr>
        <w:pStyle w:val="1030"/>
        <w:spacing w:before="120"/>
        <w:rPr>
          <w:rFonts w:hint="eastAsia" w:ascii="宋体" w:hAnsi="宋体" w:eastAsia="宋体" w:cs="Times New Roman"/>
          <w:b/>
          <w:sz w:val="52"/>
          <w:szCs w:val="72"/>
        </w:rPr>
      </w:pPr>
      <w:r/>
      <w:bookmarkStart w:id="820" w:name="_Toc99301426"/>
      <w:r>
        <w:rPr>
          <w:rFonts w:hint="eastAsia" w:ascii="宋体" w:hAnsi="宋体" w:eastAsia="宋体" w:cs="Times New Roman"/>
          <w:b/>
          <w:sz w:val="52"/>
          <w:szCs w:val="72"/>
        </w:rPr>
      </w:r>
      <w:r/>
    </w:p>
    <w:p>
      <w:pPr>
        <w:pStyle w:val="1030"/>
        <w:spacing w:before="120"/>
        <w:rPr>
          <w:rFonts w:hint="eastAsia" w:ascii="宋体" w:hAnsi="宋体" w:eastAsia="宋体" w:cs="宋体"/>
          <w:b/>
          <w:sz w:val="52"/>
          <w:szCs w:val="72"/>
        </w:rPr>
      </w:pPr>
      <w:r>
        <w:rPr>
          <w:rFonts w:hint="eastAsia" w:ascii="宋体" w:hAnsi="宋体" w:eastAsia="宋体" w:cs="宋体"/>
          <w:b/>
          <w:sz w:val="52"/>
          <w:szCs w:val="72"/>
        </w:rPr>
      </w:r>
      <w:r/>
    </w:p>
    <w:p>
      <w:pPr>
        <w:pStyle w:val="1030"/>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030"/>
        <w:spacing w:line="360" w:lineRule="auto"/>
        <w:rPr>
          <w:rFonts w:hint="eastAsia" w:ascii="宋体" w:hAnsi="宋体" w:eastAsia="宋体" w:cs="宋体"/>
        </w:rPr>
      </w:pPr>
      <w:r>
        <w:rPr>
          <w:rFonts w:hint="eastAsia" w:ascii="宋体" w:hAnsi="宋体" w:eastAsia="宋体" w:cs="宋体"/>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    </w:t>
      </w: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firstLine="64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0"/>
        <w:ind w:firstLine="780"/>
        <w:spacing w:line="360" w:lineRule="auto"/>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44"/>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030"/>
        <w:spacing w:line="360" w:lineRule="auto"/>
        <w:rPr>
          <w:rFonts w:ascii="宋体" w:hAnsi="宋体" w:eastAsia="宋体" w:cs="宋体"/>
          <w:sz w:val="32"/>
          <w:lang w:val="en-US" w:eastAsia="zh-CN"/>
        </w:rPr>
      </w:pPr>
      <w:r>
        <w:rPr>
          <w:rFonts w:hint="eastAsia" w:ascii="宋体" w:hAnsi="宋体" w:eastAsia="宋体" w:cs="宋体"/>
          <w:sz w:val="32"/>
        </w:rPr>
        <w:t xml:space="preserve">    </w:t>
      </w:r>
      <w:r>
        <w:rPr>
          <w:rFonts w:hint="eastAsia" w:ascii="宋体" w:hAnsi="宋体" w:eastAsia="宋体" w:cs="宋体"/>
          <w:sz w:val="32"/>
          <w:lang w:val="en-US" w:eastAsia="zh-CN"/>
        </w:rPr>
        <w:t xml:space="preserve">标的名称：</w:t>
      </w:r>
      <w:r>
        <w:rPr>
          <w:rFonts w:hint="eastAsia" w:ascii="宋体" w:hAnsi="宋体" w:eastAsia="宋体" w:cs="宋体"/>
          <w:b/>
          <w:sz w:val="32"/>
          <w:szCs w:val="32"/>
          <w:u w:val="single"/>
        </w:rPr>
        <w:t xml:space="preserve">                      </w:t>
      </w:r>
      <w:r>
        <w:rPr>
          <w:rFonts w:ascii="宋体" w:hAnsi="宋体" w:eastAsia="宋体" w:cs="宋体"/>
          <w:sz w:val="32"/>
          <w:lang w:val="en-US" w:eastAsia="zh-CN"/>
        </w:rPr>
      </w:r>
      <w:r/>
    </w:p>
    <w:p>
      <w:pPr>
        <w:pStyle w:val="1030"/>
        <w:spacing w:line="360" w:lineRule="auto"/>
        <w:rPr>
          <w:rFonts w:hint="eastAsia" w:ascii="宋体" w:hAnsi="宋体" w:eastAsia="宋体" w:cs="宋体"/>
          <w:sz w:val="32"/>
        </w:rPr>
      </w:pPr>
      <w:r>
        <w:rPr>
          <w:rFonts w:hint="eastAsia" w:ascii="宋体" w:hAnsi="宋体" w:eastAsia="宋体" w:cs="宋体"/>
          <w:sz w:val="32"/>
        </w:rPr>
      </w:r>
      <w:r/>
    </w:p>
    <w:p>
      <w:pPr>
        <w:pStyle w:val="1030"/>
        <w:ind w:firstLine="640"/>
        <w:spacing w:line="360" w:lineRule="auto"/>
        <w:rPr>
          <w:rFonts w:hint="eastAsia" w:ascii="宋体" w:hAnsi="宋体" w:eastAsia="宋体" w:cs="宋体"/>
          <w:b/>
          <w:sz w:val="32"/>
          <w:szCs w:val="32"/>
          <w:u w:val="single"/>
        </w:rPr>
      </w:pPr>
      <w:r>
        <w:rPr>
          <w:rFonts w:hint="eastAsia" w:ascii="宋体" w:hAnsi="宋体" w:eastAsia="宋体" w:cs="宋体"/>
          <w:sz w:val="32"/>
          <w:szCs w:val="32"/>
        </w:rPr>
        <w:t xml:space="preserve">采购人：</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rPr>
          <w:rFonts w:hint="eastAsia" w:ascii="宋体" w:hAnsi="宋体" w:eastAsia="宋体" w:cs="宋体"/>
          <w:b/>
          <w:sz w:val="32"/>
          <w:szCs w:val="32"/>
          <w:u w:val="single"/>
        </w:rPr>
      </w:pPr>
      <w:r>
        <w:rPr>
          <w:rFonts w:hint="eastAsia" w:ascii="宋体" w:hAnsi="宋体" w:eastAsia="宋体" w:cs="宋体"/>
          <w:sz w:val="32"/>
          <w:szCs w:val="32"/>
        </w:rPr>
        <w:t xml:space="preserve">    供应商：</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tabs>
          <w:tab w:val="left" w:pos="3045" w:leader="none"/>
          <w:tab w:val="left" w:pos="7140" w:leader="none"/>
          <w:tab w:val="left" w:pos="7350" w:leader="none"/>
        </w:tabs>
        <w:rPr>
          <w:rFonts w:hint="eastAsia" w:ascii="宋体" w:hAnsi="宋体" w:eastAsia="宋体" w:cs="宋体"/>
          <w:b/>
          <w:color w:val="000000"/>
          <w:sz w:val="21"/>
          <w:szCs w:val="21"/>
          <w:lang w:val="zh-CN" w:eastAsia="zh-CN" w:bidi="ar-SA"/>
        </w:rPr>
      </w:pPr>
      <w:r>
        <w:rPr>
          <w:rFonts w:hint="eastAsia" w:ascii="宋体" w:hAnsi="宋体" w:eastAsia="宋体" w:cs="宋体"/>
          <w:sz w:val="32"/>
          <w:szCs w:val="32"/>
        </w:rPr>
        <w:t xml:space="preserve">     </w:t>
      </w: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hint="eastAsia" w:ascii="宋体" w:hAnsi="宋体" w:eastAsia="宋体" w:cs="宋体"/>
          <w:b/>
          <w:color w:val="000000"/>
          <w:sz w:val="21"/>
          <w:szCs w:val="21"/>
          <w:lang w:val="zh-CN"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sz w:val="21"/>
          <w:szCs w:val="21"/>
          <w:lang w:eastAsia="zh-CN"/>
        </w:rPr>
        <w:t xml:space="preserve">常州市金坛区第二轮土地承包到期后再延长30年工作技术服务项目（</w:t>
      </w:r>
      <w:r>
        <w:rPr>
          <w:rFonts w:hint="eastAsia" w:ascii="宋体" w:hAnsi="宋体" w:eastAsia="宋体" w:cs="宋体"/>
          <w:sz w:val="21"/>
          <w:szCs w:val="21"/>
          <w:lang w:val="en-US" w:eastAsia="zh-CN"/>
        </w:rPr>
        <w:t xml:space="preserve">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lang w:val="en-US" w:eastAsia="zh-CN"/>
        </w:rPr>
        <w:t xml:space="preserve">包）</w:t>
      </w:r>
      <w:r>
        <w:rPr>
          <w:rFonts w:hint="eastAsia" w:ascii="宋体" w:hAnsi="宋体" w:eastAsia="宋体" w:cs="宋体"/>
          <w:lang w:eastAsia="zh-CN"/>
        </w:rPr>
        <w:t xml:space="preserve">公开招标</w:t>
      </w:r>
      <w:r>
        <w:rPr>
          <w:rFonts w:hint="eastAsia" w:ascii="宋体" w:hAnsi="宋体" w:eastAsia="宋体" w:cs="宋体"/>
        </w:rPr>
        <w:t xml:space="preserve">的结果，签署本合同。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1.1 标的名称：</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1.2标的质量：</w:t>
      </w:r>
      <w:r>
        <w:rPr>
          <w:rFonts w:hint="eastAsia" w:ascii="宋体" w:hAnsi="宋体" w:eastAsia="宋体" w:cs="宋体"/>
          <w:lang w:eastAsia="zh-CN"/>
        </w:rPr>
        <w:t xml:space="preserve">满足</w:t>
      </w:r>
      <w:r>
        <w:rPr>
          <w:rFonts w:hint="eastAsia" w:ascii="宋体" w:hAnsi="宋体" w:eastAsia="宋体" w:cs="宋体"/>
          <w:lang w:val="en-US" w:eastAsia="zh-CN"/>
        </w:rPr>
        <w:t xml:space="preserve">采购</w:t>
      </w:r>
      <w:r>
        <w:rPr>
          <w:rFonts w:hint="eastAsia" w:ascii="宋体" w:hAnsi="宋体" w:eastAsia="宋体" w:cs="宋体"/>
          <w:lang w:eastAsia="zh-CN"/>
        </w:rPr>
        <w:t xml:space="preserve">文件要求。</w:t>
      </w:r>
      <w:r>
        <w:rPr>
          <w:rFonts w:hint="eastAsia" w:ascii="宋体" w:hAnsi="宋体" w:eastAsia="宋体" w:cs="宋体"/>
          <w:lang w:eastAsia="zh-CN"/>
        </w:rPr>
      </w:r>
      <w:r/>
    </w:p>
    <w:p>
      <w:pPr>
        <w:pStyle w:val="1030"/>
        <w:ind w:firstLine="640"/>
        <w:keepLines w:val="0"/>
        <w:keepNext w:val="0"/>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eastAsia="zh-CN"/>
        </w:rPr>
        <w:t xml:space="preserve">满足</w:t>
      </w:r>
      <w:r>
        <w:rPr>
          <w:rFonts w:hint="eastAsia" w:ascii="宋体" w:hAnsi="宋体" w:eastAsia="宋体" w:cs="宋体"/>
          <w:lang w:val="en-US" w:eastAsia="zh-CN"/>
        </w:rPr>
        <w:t xml:space="preserve">采购</w:t>
      </w:r>
      <w:r>
        <w:rPr>
          <w:rFonts w:hint="eastAsia" w:ascii="宋体" w:hAnsi="宋体" w:eastAsia="宋体" w:cs="宋体"/>
          <w:lang w:eastAsia="zh-CN"/>
        </w:rPr>
        <w:t xml:space="preserve">文件要求。</w:t>
      </w:r>
      <w:r>
        <w:rPr>
          <w:rFonts w:hint="eastAsia" w:ascii="宋体" w:hAnsi="宋体" w:eastAsia="宋体" w:cs="宋体"/>
          <w:lang w:val="en-US" w:eastAsia="zh-CN"/>
        </w:rPr>
      </w:r>
      <w:r/>
    </w:p>
    <w:p>
      <w:pPr>
        <w:pStyle w:val="1030"/>
        <w:ind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rPr>
        <w:t xml:space="preserve">1.4 履行期限</w:t>
      </w:r>
      <w:r>
        <w:rPr>
          <w:rFonts w:hint="eastAsia" w:ascii="宋体" w:hAnsi="宋体" w:eastAsia="宋体" w:cs="宋体"/>
          <w:highlight w:val="none"/>
        </w:rPr>
        <w:t xml:space="preserve">：</w:t>
      </w:r>
      <w:r>
        <w:rPr>
          <w:rFonts w:hint="eastAsia" w:ascii="宋体" w:hAnsi="宋体" w:eastAsia="宋体" w:cs="Times New Roman"/>
          <w:color w:val="000000"/>
          <w:highlight w:val="none"/>
          <w:shd w:val="clear" w:color="auto" w:fill="ffffff"/>
          <w:lang w:eastAsia="zh-CN"/>
        </w:rPr>
        <w:t xml:space="preserve">合同签订之日起至通过最终验收后一年</w:t>
      </w:r>
      <w:r>
        <w:rPr>
          <w:rFonts w:hint="eastAsia" w:ascii="宋体" w:hAnsi="宋体" w:eastAsia="宋体" w:cs="Times New Roman"/>
          <w:color w:val="000000"/>
          <w:highlight w:val="none"/>
          <w:shd w:val="clear" w:color="auto" w:fill="ffffff"/>
        </w:rPr>
        <w:t xml:space="preserve">。</w:t>
      </w:r>
      <w:r>
        <w:rPr>
          <w:rFonts w:hint="eastAsia" w:ascii="宋体" w:hAnsi="宋体" w:eastAsia="宋体" w:cs="宋体"/>
          <w:sz w:val="21"/>
          <w:szCs w:val="21"/>
          <w:highlight w:val="none"/>
          <w:lang w:val="en-US" w:eastAsia="zh-CN"/>
        </w:rPr>
      </w:r>
      <w:r/>
    </w:p>
    <w:p>
      <w:pPr>
        <w:pStyle w:val="1030"/>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1.5 履行地点：</w:t>
      </w:r>
      <w:r>
        <w:rPr>
          <w:rFonts w:hint="eastAsia" w:ascii="宋体" w:hAnsi="宋体" w:eastAsia="宋体" w:cs="宋体"/>
          <w:lang w:eastAsia="zh-CN"/>
        </w:rPr>
        <w:t xml:space="preserve">常州市金坛区</w:t>
      </w:r>
      <w:r>
        <w:rPr>
          <w:rFonts w:hint="eastAsia" w:ascii="宋体" w:hAnsi="宋体" w:eastAsia="宋体" w:cs="宋体"/>
          <w:lang w:eastAsia="zh-CN"/>
        </w:rPr>
      </w:r>
      <w:r/>
    </w:p>
    <w:p>
      <w:pPr>
        <w:pStyle w:val="1030"/>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1.6履行方式：</w:t>
      </w:r>
      <w:r>
        <w:rPr>
          <w:rFonts w:hint="eastAsia" w:ascii="宋体" w:hAnsi="宋体" w:eastAsia="宋体" w:cs="宋体"/>
          <w:lang w:eastAsia="zh-CN"/>
        </w:rPr>
        <w:t xml:space="preserve">提供服务、完成服务合同要求的全部内容。</w:t>
      </w:r>
      <w:r>
        <w:rPr>
          <w:rFonts w:hint="eastAsia" w:ascii="宋体" w:hAnsi="宋体" w:eastAsia="宋体" w:cs="宋体"/>
          <w:lang w:eastAsia="zh-CN"/>
        </w:rPr>
      </w:r>
      <w:r/>
    </w:p>
    <w:p>
      <w:pPr>
        <w:pStyle w:val="1030"/>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lang w:val="en-US" w:eastAsia="zh-CN"/>
        </w:rPr>
        <w:t xml:space="preserve">1.7服务内容：</w:t>
      </w:r>
      <w:r>
        <w:rPr>
          <w:rFonts w:ascii="宋体" w:hAnsi="宋体" w:eastAsia="宋体" w:cs="宋体"/>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lang w:eastAsia="zh-CN"/>
        </w:rPr>
        <w:t xml:space="preserve">对金坛区土地承包经营权调查进行服务采购，包括但不限于：业务培训、资料收集、摸底核实、制定方案、完善调查数据、数据修改入库、资料输出打印、审核公示、签订合同等工作，根据实际业务需求提供所有权更新服务，</w:t>
      </w:r>
      <w:r>
        <w:rPr>
          <w:rFonts w:hint="eastAsia" w:ascii="宋体" w:hAnsi="宋体" w:eastAsia="宋体" w:cs="宋体"/>
          <w:lang w:val="en-US" w:eastAsia="zh-CN"/>
        </w:rPr>
        <w:t xml:space="preserve">详见招标文件</w:t>
      </w:r>
      <w:r>
        <w:rPr>
          <w:rFonts w:hint="eastAsia" w:ascii="宋体" w:hAnsi="宋体" w:eastAsia="宋体" w:cs="宋体"/>
          <w:lang w:eastAsia="zh-CN"/>
        </w:rPr>
        <w:t xml:space="preserve">。</w:t>
      </w:r>
      <w:r>
        <w:rPr>
          <w:rFonts w:hint="eastAsia" w:ascii="宋体" w:hAnsi="宋体" w:eastAsia="宋体" w:cs="宋体"/>
          <w:lang w:eastAsia="zh-CN"/>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二、合同金额</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2.1 本合同金额为（大写）：人民币_____________________元整（_______________元）。</w:t>
      </w:r>
      <w:r>
        <w:rPr>
          <w:rFonts w:hint="eastAsia" w:ascii="宋体" w:hAnsi="宋体" w:eastAsia="宋体" w:cs="宋体"/>
        </w:rPr>
      </w:r>
      <w:r/>
    </w:p>
    <w:p>
      <w:pPr>
        <w:pStyle w:val="1030"/>
        <w:ind w:firstLine="630"/>
        <w:jc w:val="both"/>
        <w:keepLines w:val="0"/>
        <w:keepNext w:val="0"/>
        <w:pageBreakBefore w:val="0"/>
        <w:spacing w:line="480" w:lineRule="exact"/>
        <w:widowControl w:val="off"/>
        <w:rPr>
          <w:rFonts w:hint="eastAsia" w:ascii="宋体" w:hAnsi="宋体" w:eastAsia="宋体" w:cs="宋体"/>
          <w:b w:val="0"/>
          <w:bCs w:val="0"/>
          <w:sz w:val="21"/>
          <w:szCs w:val="32"/>
          <w:lang w:val="en-US" w:eastAsia="zh-CN" w:bidi="ar-SA"/>
        </w:rPr>
      </w:pPr>
      <w:r>
        <w:rPr>
          <w:rFonts w:hint="eastAsia" w:ascii="宋体" w:hAnsi="宋体" w:eastAsia="宋体" w:cs="宋体"/>
          <w:b w:val="0"/>
          <w:bCs w:val="0"/>
          <w:sz w:val="21"/>
          <w:szCs w:val="32"/>
          <w:lang w:val="en-US" w:eastAsia="zh-CN" w:bidi="ar-SA"/>
        </w:rPr>
        <w:t xml:space="preserve">2.2 本合同金额包括采购文件所确定的采购范围相应服务的提供、人员（包括工资和补贴）、办公场所及设施、测绘、成果、差旅、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b w:val="0"/>
          <w:bCs w:val="0"/>
          <w:sz w:val="21"/>
          <w:szCs w:val="32"/>
          <w:lang w:val="en-US" w:eastAsia="zh-CN" w:bidi="ar-SA"/>
        </w:rPr>
      </w:r>
      <w:r/>
    </w:p>
    <w:p>
      <w:pPr>
        <w:pStyle w:val="1030"/>
        <w:ind w:firstLine="630"/>
        <w:jc w:val="both"/>
        <w:keepLines w:val="0"/>
        <w:keepNext w:val="0"/>
        <w:pageBreakBefore w:val="0"/>
        <w:spacing w:line="480" w:lineRule="exact"/>
        <w:widowControl w:val="off"/>
        <w:rPr>
          <w:rFonts w:ascii="宋体" w:hAnsi="宋体" w:eastAsia="宋体" w:cs="宋体"/>
          <w:b w:val="0"/>
          <w:bCs w:val="0"/>
          <w:sz w:val="21"/>
          <w:szCs w:val="32"/>
          <w:lang w:val="en-US" w:eastAsia="zh-CN" w:bidi="ar-SA"/>
        </w:rPr>
      </w:pPr>
      <w:r>
        <w:rPr>
          <w:rFonts w:hint="eastAsia" w:ascii="宋体" w:hAnsi="宋体" w:eastAsia="宋体" w:cs="宋体"/>
          <w:b w:val="0"/>
          <w:bCs w:val="0"/>
          <w:sz w:val="21"/>
          <w:szCs w:val="32"/>
          <w:lang w:val="en-US" w:eastAsia="zh-CN" w:bidi="ar-SA"/>
        </w:rPr>
        <w:t xml:space="preserve">本合同总价款还包含乙方应当提供的伴随服务/售后服务费用。</w:t>
      </w:r>
      <w:r>
        <w:rPr>
          <w:rFonts w:ascii="宋体" w:hAnsi="宋体" w:eastAsia="宋体" w:cs="宋体"/>
          <w:b w:val="0"/>
          <w:bCs w:val="0"/>
          <w:sz w:val="21"/>
          <w:szCs w:val="32"/>
          <w:lang w:val="en-US" w:eastAsia="zh-CN" w:bidi="ar-SA"/>
        </w:rPr>
      </w:r>
      <w:r/>
    </w:p>
    <w:p>
      <w:pPr>
        <w:pStyle w:val="1030"/>
        <w:ind w:firstLine="632"/>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三、技术资料</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3.1乙方应按</w:t>
      </w:r>
      <w:r>
        <w:rPr>
          <w:rFonts w:hint="eastAsia" w:ascii="宋体" w:hAnsi="宋体" w:eastAsia="宋体" w:cs="宋体"/>
          <w:lang w:eastAsia="zh-CN"/>
        </w:rPr>
        <w:t xml:space="preserve">采购文件</w:t>
      </w:r>
      <w:r>
        <w:rPr>
          <w:rFonts w:hint="eastAsia" w:ascii="宋体" w:hAnsi="宋体" w:eastAsia="宋体" w:cs="宋体"/>
        </w:rPr>
        <w:t xml:space="preserve">规定的时间向甲方提供服务（包含与服务相关的货物）的有关技术资料。</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四、知识产权</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i/>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u w:val="single"/>
          <w:lang w:val="en-US" w:eastAsia="zh-CN" w:bidi="ar-SA"/>
        </w:rPr>
      </w:pPr>
      <w:r>
        <w:rPr>
          <w:rFonts w:hint="eastAsia" w:ascii="宋体" w:hAnsi="宋体" w:eastAsia="宋体" w:cs="宋体"/>
          <w:b/>
          <w:bCs/>
          <w:sz w:val="21"/>
          <w:szCs w:val="32"/>
          <w:lang w:val="en-US" w:eastAsia="zh-CN" w:bidi="ar-SA"/>
        </w:rPr>
        <w:t xml:space="preserve">五、产权担保</w:t>
      </w:r>
      <w:r>
        <w:rPr>
          <w:rFonts w:hint="eastAsia" w:ascii="宋体" w:hAnsi="宋体" w:eastAsia="宋体" w:cs="宋体"/>
          <w:sz w:val="21"/>
          <w:szCs w:val="32"/>
          <w:u w:val="single"/>
          <w:lang w:val="en-US" w:eastAsia="zh-CN" w:bidi="ar-SA"/>
        </w:rPr>
      </w:r>
      <w:r/>
    </w:p>
    <w:p>
      <w:pPr>
        <w:pStyle w:val="1030"/>
        <w:ind w:firstLine="640"/>
        <w:keepLines w:val="0"/>
        <w:keepNext w:val="0"/>
        <w:pageBreakBefore w:val="0"/>
        <w:spacing w:line="480" w:lineRule="exact"/>
        <w:rPr>
          <w:rFonts w:hint="eastAsia" w:ascii="宋体" w:hAnsi="宋体" w:eastAsia="宋体" w:cs="宋体"/>
          <w:u w:val="single"/>
        </w:rPr>
      </w:pPr>
      <w:r>
        <w:rPr>
          <w:rFonts w:hint="eastAsia" w:ascii="宋体" w:hAnsi="宋体" w:eastAsia="宋体" w:cs="宋体"/>
        </w:rPr>
        <w:t xml:space="preserve">5.1 乙方保证所交付的服务（包含与服务相关的货物）的所有权完全属于乙方且无任何抵押、查封等产权瑕疵。</w:t>
      </w:r>
      <w:r>
        <w:rPr>
          <w:rFonts w:hint="eastAsia" w:ascii="宋体" w:hAnsi="宋体" w:eastAsia="宋体" w:cs="宋体"/>
          <w:u w:val="singl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六、履约保证金</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本项目</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不收取</w:t>
      </w:r>
      <w:r>
        <w:rPr>
          <w:rFonts w:hint="eastAsia" w:ascii="宋体" w:hAnsi="宋体" w:eastAsia="宋体" w:cs="宋体"/>
          <w:u w:val="single"/>
          <w:lang w:val="en-US" w:eastAsia="zh-CN"/>
        </w:rPr>
        <w:t xml:space="preserve">  </w:t>
      </w:r>
      <w:r>
        <w:rPr>
          <w:rFonts w:hint="eastAsia" w:ascii="宋体" w:hAnsi="宋体" w:eastAsia="宋体" w:cs="宋体"/>
        </w:rPr>
        <w:t xml:space="preserve">履约保证金。</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七、合同转包或分包</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7.1 乙方不得将合同标的转包给他人履行。</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color w:val="000000"/>
        </w:rPr>
      </w:pPr>
      <w:r>
        <w:rPr>
          <w:rFonts w:hint="eastAsia" w:ascii="宋体" w:hAnsi="宋体" w:eastAsia="宋体" w:cs="宋体"/>
          <w:color w:val="000000"/>
        </w:rPr>
        <w:t xml:space="preserve">7.2 </w:t>
      </w:r>
      <w:r>
        <w:rPr>
          <w:rFonts w:hint="eastAsia" w:ascii="宋体" w:hAnsi="宋体" w:eastAsia="宋体" w:cs="宋体"/>
          <w:color w:val="000000"/>
          <w:lang w:val="en-US" w:eastAsia="zh-CN"/>
        </w:rPr>
        <w:t xml:space="preserve">未经甲方允许</w:t>
      </w:r>
      <w:r>
        <w:rPr>
          <w:rFonts w:hint="eastAsia" w:ascii="宋体" w:hAnsi="宋体" w:eastAsia="宋体" w:cs="宋体"/>
          <w:color w:val="000000"/>
        </w:rPr>
        <w:t xml:space="preserve">乙方不得将合同标的分包给他人履行。</w:t>
      </w:r>
      <w:r>
        <w:rPr>
          <w:rFonts w:hint="eastAsia" w:ascii="宋体" w:hAnsi="宋体" w:eastAsia="宋体" w:cs="宋体"/>
          <w:color w:val="000000"/>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rPr>
        <w:t xml:space="preserve">7.3 乙方如有转</w:t>
      </w:r>
      <w:r>
        <w:rPr>
          <w:rFonts w:hint="eastAsia" w:ascii="宋体" w:hAnsi="宋体" w:eastAsia="宋体" w:cs="宋体"/>
          <w:highlight w:val="none"/>
        </w:rPr>
        <w:t xml:space="preserve">包或未经甲方同意的分包行为，甲方有权解除合同。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color w:val="000000"/>
          <w:sz w:val="21"/>
          <w:szCs w:val="32"/>
          <w:highlight w:val="none"/>
          <w:lang w:val="en-US" w:eastAsia="zh-CN" w:bidi="ar-SA"/>
        </w:rPr>
      </w:pPr>
      <w:r>
        <w:rPr>
          <w:rFonts w:hint="eastAsia" w:ascii="宋体" w:hAnsi="宋体" w:eastAsia="宋体" w:cs="宋体"/>
          <w:b/>
          <w:bCs/>
          <w:color w:val="000000"/>
          <w:sz w:val="21"/>
          <w:szCs w:val="32"/>
          <w:highlight w:val="none"/>
          <w:lang w:val="en-US" w:eastAsia="zh-CN" w:bidi="ar-SA"/>
        </w:rPr>
        <w:t xml:space="preserve">八、合同款项支付</w:t>
      </w:r>
      <w:r>
        <w:rPr>
          <w:rFonts w:hint="eastAsia" w:ascii="宋体" w:hAnsi="宋体" w:eastAsia="宋体" w:cs="宋体"/>
          <w:b/>
          <w:bCs/>
          <w:color w:val="000000"/>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8.1分期付款：</w:t>
      </w:r>
      <w:r>
        <w:rPr>
          <w:rFonts w:hint="eastAsia" w:ascii="宋体" w:hAnsi="宋体" w:eastAsia="宋体" w:cs="宋体"/>
          <w:color w:val="000000"/>
          <w:highlight w:val="none"/>
        </w:rPr>
      </w:r>
      <w:r/>
    </w:p>
    <w:p>
      <w:pPr>
        <w:pStyle w:val="1030"/>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1）合同签订后1个月内支付</w:t>
      </w:r>
      <w:r>
        <w:rPr>
          <w:rFonts w:hint="eastAsia" w:ascii="宋体" w:hAnsi="宋体" w:eastAsia="宋体" w:cs="宋体"/>
          <w:color w:val="000000"/>
          <w:highlight w:val="none"/>
          <w:lang w:val="en-US" w:eastAsia="zh-CN"/>
        </w:rPr>
        <w:t xml:space="preserve">合同</w:t>
      </w:r>
      <w:r>
        <w:rPr>
          <w:rFonts w:hint="eastAsia" w:ascii="宋体" w:hAnsi="宋体" w:eastAsia="宋体" w:cs="宋体"/>
          <w:color w:val="000000"/>
          <w:highlight w:val="none"/>
          <w:lang w:eastAsia="zh-CN"/>
        </w:rPr>
        <w:t xml:space="preserve">价的</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r>
      <w:r/>
    </w:p>
    <w:p>
      <w:pPr>
        <w:pStyle w:val="1030"/>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非</w:t>
      </w:r>
      <w:r>
        <w:rPr>
          <w:rFonts w:hint="eastAsia" w:ascii="宋体" w:hAnsi="宋体" w:eastAsia="宋体" w:cs="宋体"/>
          <w:color w:val="000000"/>
          <w:highlight w:val="none"/>
          <w:lang w:val="en-US" w:eastAsia="zh-CN"/>
        </w:rPr>
        <w:t xml:space="preserve">乙方</w:t>
      </w:r>
      <w:r>
        <w:rPr>
          <w:rFonts w:hint="eastAsia" w:ascii="宋体" w:hAnsi="宋体" w:eastAsia="宋体" w:cs="宋体"/>
          <w:color w:val="000000"/>
          <w:highlight w:val="none"/>
          <w:lang w:eastAsia="zh-CN"/>
        </w:rPr>
        <w:t xml:space="preserve">原因按工作量付款，延包合同签订户数达应参加延包总户数70%时支付合同价的50%；</w:t>
      </w:r>
      <w:r>
        <w:rPr>
          <w:rFonts w:hint="eastAsia" w:ascii="宋体" w:hAnsi="宋体" w:eastAsia="宋体" w:cs="宋体"/>
          <w:color w:val="000000"/>
          <w:highlight w:val="none"/>
          <w:lang w:eastAsia="zh-CN"/>
        </w:rPr>
      </w:r>
      <w:r/>
    </w:p>
    <w:p>
      <w:pPr>
        <w:pStyle w:val="1030"/>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通过项目最终验收后支付</w:t>
      </w:r>
      <w:r>
        <w:rPr>
          <w:rFonts w:hint="eastAsia" w:ascii="宋体" w:hAnsi="宋体" w:eastAsia="宋体" w:cs="宋体"/>
          <w:color w:val="000000"/>
          <w:highlight w:val="none"/>
          <w:lang w:val="en-US" w:eastAsia="zh-CN"/>
        </w:rPr>
        <w:t xml:space="preserve">合同</w:t>
      </w:r>
      <w:r>
        <w:rPr>
          <w:rFonts w:hint="eastAsia" w:ascii="宋体" w:hAnsi="宋体" w:eastAsia="宋体" w:cs="宋体"/>
          <w:color w:val="000000"/>
          <w:highlight w:val="none"/>
          <w:lang w:eastAsia="zh-CN"/>
        </w:rPr>
        <w:t xml:space="preserve">价的2</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30"/>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项目验收结束期满一年，经核实无遗漏问题后支付剩余</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eastAsia="zh-CN"/>
        </w:rPr>
        <w:t xml:space="preserve">%尾款。</w:t>
      </w:r>
      <w:r>
        <w:rPr>
          <w:rFonts w:hint="eastAsia" w:ascii="宋体" w:hAnsi="宋体" w:eastAsia="宋体" w:cs="宋体"/>
          <w:color w:val="000000"/>
          <w:highlight w:val="none"/>
          <w:lang w:eastAsia="zh-CN"/>
        </w:rPr>
      </w:r>
      <w:r/>
    </w:p>
    <w:p>
      <w:pPr>
        <w:pStyle w:val="1030"/>
        <w:ind w:firstLine="640"/>
        <w:keepLines w:val="0"/>
        <w:keepNext w:val="0"/>
        <w:pageBreakBefore w:val="0"/>
        <w:spacing w:line="480" w:lineRule="exact"/>
        <w:rPr>
          <w:rFonts w:ascii="宋体" w:hAnsi="宋体" w:eastAsia="宋体" w:cs="宋体"/>
          <w:color w:val="000000"/>
          <w:highlight w:val="none"/>
          <w:lang w:val="en-US"/>
        </w:rPr>
      </w:pPr>
      <w:r>
        <w:rPr>
          <w:rFonts w:hint="eastAsia" w:ascii="宋体" w:hAnsi="宋体" w:eastAsia="宋体" w:cs="宋体"/>
          <w:color w:val="000000"/>
          <w:highlight w:val="none"/>
          <w:u w:val="none"/>
          <w:lang w:val="en-US" w:eastAsia="zh-CN"/>
        </w:rPr>
        <w:t xml:space="preserve">付款前，乙方需提供等额的符合规定的正式发票。</w:t>
      </w:r>
      <w:r>
        <w:rPr>
          <w:rFonts w:ascii="宋体" w:hAnsi="宋体" w:eastAsia="宋体" w:cs="宋体"/>
          <w:color w:val="000000"/>
          <w:highlight w:val="none"/>
          <w:lang w:val="en-US"/>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本合同执行中相关的一切税费均由乙方负担。</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 未经</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书面许可擅自更换项目负责人，每次违约金最高30000元；擅自更换技术负责人、质量负责人、档案负责人，每次违约金最高10000元。</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 驻场人员不到岗、人员配置达不到采购文件要求，</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有权按日扣减对应合同款。</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 项目成果质量两次整改仍然无法通过验收，</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有权解除合同，</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承担由此产生全部损失。</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4. 项目实施期间发生涉密数据泄密事件，</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有权单方解除合同，</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承担全部经济赔偿责任，并移交相关主管部门追究法律责任。</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5. 未按照合同约定节点完成工作任务，每逾期一日按照合同总金额0.05%计收违约金，累计违约金总额不超过合同总价的10%。</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6. 质保服务期内，因</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调查、测绘、建库错误引发权属纠纷，由</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无偿处置，并承担相应损失赔偿责任。</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7. </w:t>
      </w:r>
      <w:r>
        <w:rPr>
          <w:rFonts w:hint="eastAsia" w:ascii="宋体" w:hAnsi="宋体" w:eastAsia="宋体" w:cs="宋体"/>
          <w:highlight w:val="none"/>
        </w:rPr>
        <w:t xml:space="preserve">甲方无正当理由拒绝接受乙方提供服务的，甲方向乙方偿付拒绝接受服务合同价款总值</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 甲方无故逾期验收和办理合同款项支付手续的,甲方应按逾期付款总额每日</w:t>
      </w:r>
      <w:r>
        <w:rPr>
          <w:rFonts w:hint="eastAsia" w:ascii="宋体" w:hAnsi="宋体" w:eastAsia="宋体" w:cs="宋体"/>
          <w:highlight w:val="none"/>
          <w:lang w:eastAsia="zh-CN"/>
        </w:rPr>
        <w:t xml:space="preserve">千分之二</w:t>
      </w:r>
      <w:r>
        <w:rPr>
          <w:rFonts w:hint="eastAsia" w:ascii="宋体" w:hAnsi="宋体" w:eastAsia="宋体" w:cs="宋体"/>
          <w:highlight w:val="none"/>
        </w:rPr>
        <w:t xml:space="preserve">向乙方支付违约金</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累计违约金总额不超过合同总价的</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 乙方逾期提供服务的，乙方应按逾期提供服务合同总额每日千分之</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的违约金，如造成甲方损失超过违约金的，超出部分由乙方继续承担赔偿责任。</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 乙方所提供服务的标准不符合合同规定及</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规定标准的，甲方有权拒绝接受服务，并可单方面解除合同。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十二、不可抗力事件处理</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12.1 在合同有效期内，任何一方因不可抗力事件导致不能履行合同，则合同履行期可延长，其延长期与不可抗力影响期相同。</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12.2 不可抗力事件发生后，应立即通知对方，并寄送有关权威机构出具的证明。</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12.3 不可抗力事件延续120天以上，双方应通过友好协商，确定是否继续履行合同。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十三、解决争议的方法</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13.1双方在签订、履行合同中所发生的一切争议，应通过友好协商解决。如协商不成，由甲方住所地人民法院管辖。</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十四、合同生效及其他</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14.1 合同经双方法定代表人或授权委托代表人签字并加盖单位公章后生效。</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14.2 本合同未尽事宜，遵照《中华人民共和国民法典》《中华人民共和国政府采购法》有关条文执行。</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14.3 本合同一式</w:t>
      </w:r>
      <w:r>
        <w:rPr>
          <w:rFonts w:hint="eastAsia" w:ascii="宋体" w:hAnsi="宋体" w:eastAsia="宋体" w:cs="宋体"/>
          <w:lang w:eastAsia="zh-CN"/>
        </w:rPr>
        <w:t xml:space="preserve">六</w:t>
      </w:r>
      <w:r>
        <w:rPr>
          <w:rFonts w:hint="eastAsia" w:ascii="宋体" w:hAnsi="宋体" w:eastAsia="宋体" w:cs="宋体"/>
        </w:rPr>
        <w:t xml:space="preserve">份，具有同等法律效力，甲方、乙方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p>
      <w:pPr>
        <w:pStyle w:val="1030"/>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0"/>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甲方：</w:t>
      </w:r>
      <w:r>
        <w:rPr>
          <w:rFonts w:hint="eastAsia" w:ascii="宋体" w:hAnsi="宋体" w:eastAsia="宋体" w:cs="宋体"/>
          <w:lang w:val="en-US" w:eastAsia="zh-CN"/>
        </w:rPr>
        <w:t xml:space="preserve">                                   </w:t>
      </w:r>
      <w:r>
        <w:rPr>
          <w:rFonts w:hint="eastAsia" w:ascii="宋体" w:hAnsi="宋体" w:eastAsia="宋体" w:cs="宋体"/>
        </w:rPr>
        <w:t xml:space="preserve">乙方：</w:t>
      </w:r>
      <w:r>
        <w:rPr>
          <w:rFonts w:hint="eastAsia" w:ascii="宋体" w:hAnsi="宋体" w:eastAsia="宋体" w:cs="宋体"/>
        </w:rPr>
      </w:r>
      <w:r/>
    </w:p>
    <w:p>
      <w:pPr>
        <w:pStyle w:val="1030"/>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地址：</w:t>
      </w:r>
      <w:r>
        <w:rPr>
          <w:rFonts w:hint="eastAsia" w:ascii="宋体" w:hAnsi="宋体" w:eastAsia="宋体" w:cs="宋体"/>
          <w:lang w:val="en-US" w:eastAsia="zh-CN"/>
        </w:rPr>
        <w:t xml:space="preserve">                                   </w:t>
      </w:r>
      <w:r>
        <w:rPr>
          <w:rFonts w:hint="eastAsia" w:ascii="宋体" w:hAnsi="宋体" w:eastAsia="宋体" w:cs="宋体"/>
        </w:rPr>
        <w:t xml:space="preserve">地址：</w:t>
      </w:r>
      <w:r>
        <w:rPr>
          <w:rFonts w:hint="eastAsia" w:ascii="宋体" w:hAnsi="宋体" w:eastAsia="宋体" w:cs="宋体"/>
        </w:rPr>
      </w:r>
      <w:r/>
    </w:p>
    <w:p>
      <w:pPr>
        <w:pStyle w:val="1030"/>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法定代表人或授权代表：</w:t>
      </w:r>
      <w:r>
        <w:rPr>
          <w:rFonts w:hint="eastAsia" w:ascii="宋体" w:hAnsi="宋体" w:eastAsia="宋体" w:cs="宋体"/>
          <w:lang w:val="en-US" w:eastAsia="zh-CN"/>
        </w:rPr>
        <w:t xml:space="preserve">                   </w:t>
      </w:r>
      <w:r>
        <w:rPr>
          <w:rFonts w:hint="eastAsia" w:ascii="宋体" w:hAnsi="宋体" w:eastAsia="宋体" w:cs="宋体"/>
        </w:rPr>
        <w:t xml:space="preserve">法定代表人或授权代表：</w:t>
      </w:r>
      <w:r>
        <w:rPr>
          <w:rFonts w:hint="eastAsia" w:ascii="宋体" w:hAnsi="宋体" w:eastAsia="宋体" w:cs="宋体"/>
        </w:rPr>
      </w:r>
      <w:r/>
    </w:p>
    <w:p>
      <w:pPr>
        <w:pStyle w:val="1030"/>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lang w:val="en-US" w:eastAsia="zh-CN"/>
        </w:rPr>
        <w:t xml:space="preserve">                               </w:t>
      </w:r>
      <w:r>
        <w:rPr>
          <w:rFonts w:hint="eastAsia" w:ascii="宋体" w:hAnsi="宋体" w:eastAsia="宋体" w:cs="宋体"/>
        </w:rPr>
        <w:t xml:space="preserve">联系电话：</w:t>
      </w:r>
      <w:r>
        <w:rPr>
          <w:rFonts w:hint="eastAsia" w:ascii="宋体" w:hAnsi="宋体" w:eastAsia="宋体" w:cs="宋体"/>
        </w:rPr>
      </w:r>
      <w:r/>
    </w:p>
    <w:p>
      <w:pPr>
        <w:pStyle w:val="1030"/>
        <w:jc w:val="both"/>
        <w:spacing w:line="360" w:lineRule="auto"/>
        <w:rPr>
          <w:rFonts w:hint="eastAsia" w:ascii="宋体" w:hAnsi="宋体" w:eastAsia="宋体" w:cs="宋体"/>
        </w:rPr>
        <w:outlineLvl w:val="0"/>
      </w:pPr>
      <w:r>
        <w:rPr>
          <w:rFonts w:hint="eastAsia" w:ascii="宋体" w:hAnsi="宋体" w:eastAsia="宋体" w:cs="宋体"/>
        </w:rPr>
      </w:r>
      <w:r/>
    </w:p>
    <w:p>
      <w:pPr>
        <w:pStyle w:val="1030"/>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第七章   投标文件格式</w:t>
      </w:r>
      <w:bookmarkEnd w:id="820"/>
      <w:r>
        <w:rPr>
          <w:b/>
          <w:sz w:val="36"/>
          <w:szCs w:val="36"/>
          <w:highlight w:val="none"/>
        </w:rPr>
      </w:r>
      <w:r/>
    </w:p>
    <w:p>
      <w:pPr>
        <w:pStyle w:val="1030"/>
        <w:spacing w:line="360" w:lineRule="auto"/>
        <w:tabs>
          <w:tab w:val="left" w:pos="900" w:leader="none"/>
          <w:tab w:val="left" w:pos="1980" w:leader="none"/>
        </w:tabs>
        <w:rPr>
          <w:b/>
          <w:sz w:val="24"/>
          <w:highlight w:val="none"/>
        </w:rPr>
      </w:pPr>
      <w:r>
        <w:rPr>
          <w:b/>
          <w:sz w:val="24"/>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0"/>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0"/>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0"/>
        <w:jc w:val="center"/>
        <w:rPr>
          <w:szCs w:val="21"/>
          <w:highlight w:val="none"/>
        </w:rPr>
      </w:pPr>
      <w:r>
        <w:rPr>
          <w:szCs w:val="21"/>
          <w:highlight w:val="none"/>
        </w:rPr>
      </w:r>
      <w:r/>
    </w:p>
    <w:p>
      <w:pPr>
        <w:pStyle w:val="1030"/>
        <w:jc w:val="center"/>
        <w:rPr>
          <w:b/>
          <w:spacing w:val="60"/>
          <w:sz w:val="84"/>
          <w:szCs w:val="84"/>
          <w:highlight w:val="none"/>
        </w:rPr>
      </w:pPr>
      <w:r>
        <w:rPr>
          <w:b/>
          <w:spacing w:val="60"/>
          <w:sz w:val="84"/>
          <w:szCs w:val="84"/>
          <w:highlight w:val="none"/>
        </w:rPr>
      </w:r>
      <w:r/>
    </w:p>
    <w:p>
      <w:pPr>
        <w:pStyle w:val="1030"/>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0"/>
        <w:ind w:firstLine="1084"/>
        <w:rPr>
          <w:rFonts w:ascii="宋体" w:hAnsi="宋体" w:eastAsia="宋体"/>
          <w:b/>
          <w:sz w:val="36"/>
          <w:highlight w:val="none"/>
          <w:lang w:val="en-US" w:eastAsia="zh-CN"/>
        </w:rPr>
      </w:pPr>
      <w:r>
        <w:rPr>
          <w:rFonts w:hint="eastAsia" w:ascii="宋体" w:hAnsi="宋体"/>
          <w:b/>
          <w:sz w:val="36"/>
          <w:highlight w:val="none"/>
          <w:lang w:val="en-US" w:eastAsia="zh-CN"/>
        </w:rPr>
        <w:t xml:space="preserve">标 的 名 称</w:t>
      </w:r>
      <w:r>
        <w:rPr>
          <w:rFonts w:hint="eastAsia" w:ascii="宋体" w:hAnsi="宋体"/>
          <w:b/>
          <w:sz w:val="36"/>
          <w:highlight w:val="none"/>
        </w:rPr>
        <w:t xml:space="preserve">：</w:t>
      </w:r>
      <w:r>
        <w:rPr>
          <w:rFonts w:hint="eastAsia" w:ascii="宋体" w:hAnsi="宋体"/>
          <w:b/>
          <w:sz w:val="36"/>
          <w:highlight w:val="none"/>
          <w:u w:val="single"/>
        </w:rPr>
        <w:t xml:space="preserve">               </w:t>
      </w:r>
      <w:r>
        <w:rPr>
          <w:rFonts w:ascii="宋体" w:hAnsi="宋体" w:eastAsia="宋体"/>
          <w:b/>
          <w:sz w:val="36"/>
          <w:highlight w:val="none"/>
          <w:lang w:val="en-US" w:eastAsia="zh-CN"/>
        </w:rPr>
      </w:r>
      <w:r/>
    </w:p>
    <w:p>
      <w:pPr>
        <w:pStyle w:val="1030"/>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0"/>
        <w:jc w:val="center"/>
        <w:rPr>
          <w:b/>
          <w:sz w:val="32"/>
          <w:szCs w:val="32"/>
          <w:highlight w:val="none"/>
        </w:rPr>
      </w:pPr>
      <w:r>
        <w:rPr>
          <w:b/>
          <w:sz w:val="32"/>
          <w:szCs w:val="32"/>
          <w:highlight w:val="none"/>
        </w:rPr>
      </w:r>
      <w:r/>
    </w:p>
    <w:p>
      <w:pPr>
        <w:pStyle w:val="1030"/>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0"/>
        <w:rPr>
          <w:b/>
          <w:highlight w:val="none"/>
        </w:rPr>
      </w:pPr>
      <w:r>
        <w:rPr>
          <w:b/>
          <w:highlight w:val="none"/>
        </w:rPr>
      </w:r>
      <w:r/>
    </w:p>
    <w:p>
      <w:pPr>
        <w:pStyle w:val="10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3"/>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0"/>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0"/>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6"/>
        <w:ind w:firstLine="480"/>
        <w:spacing w:line="460" w:lineRule="exact"/>
        <w:rPr>
          <w:highlight w:val="none"/>
        </w:rPr>
      </w:pPr>
      <w:r>
        <w:rPr>
          <w:highlight w:val="none"/>
        </w:rPr>
      </w:r>
      <w:r/>
    </w:p>
    <w:p>
      <w:pPr>
        <w:pStyle w:val="1046"/>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6"/>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6"/>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6"/>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6"/>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eastAsia="宋体"/>
          <w:sz w:val="24"/>
          <w:highlight w:val="none"/>
          <w:lang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eastAsia="zh-CN"/>
        </w:rPr>
      </w:r>
      <w:r/>
    </w:p>
    <w:p>
      <w:pPr>
        <w:pStyle w:val="1030"/>
        <w:spacing w:line="360" w:lineRule="auto"/>
        <w:rPr>
          <w:rFonts w:ascii="宋体" w:hAnsi="宋体" w:eastAsia="宋体" w:cs="宋体"/>
          <w:color w:val="000000"/>
          <w:szCs w:val="21"/>
        </w:rPr>
        <w:outlineLvl w:val="2"/>
      </w:pPr>
      <w:r>
        <w:rPr>
          <w:rFonts w:hint="eastAsia" w:ascii="宋体" w:hAnsi="宋体" w:eastAsia="宋体" w:cs="宋体"/>
          <w:color w:val="000000"/>
          <w:szCs w:val="21"/>
        </w:rPr>
        <w:t xml:space="preserve">2 </w:t>
      </w:r>
      <w:r>
        <w:rPr>
          <w:rFonts w:hint="eastAsia" w:ascii="Times New Roman" w:hAnsi="Times New Roman" w:eastAsia="宋体" w:cs="Times New Roman"/>
          <w:szCs w:val="21"/>
        </w:rPr>
        <w:t xml:space="preserve">落实政府采购政策需满足的资格要求：无</w:t>
      </w:r>
      <w:r>
        <w:rPr>
          <w:rFonts w:ascii="宋体" w:hAnsi="宋体" w:eastAsia="宋体" w:cs="宋体"/>
          <w:color w:val="000000"/>
          <w:szCs w:val="21"/>
        </w:rPr>
      </w:r>
      <w:r/>
    </w:p>
    <w:p>
      <w:pPr>
        <w:pStyle w:val="1030"/>
        <w:spacing w:line="360" w:lineRule="auto"/>
        <w:rPr>
          <w:rFonts w:hint="eastAsia" w:ascii="宋体" w:hAnsi="宋体" w:eastAsia="宋体" w:cs="宋体"/>
          <w:color w:val="000000"/>
          <w:szCs w:val="21"/>
        </w:rPr>
        <w:outlineLvl w:val="2"/>
      </w:pPr>
      <w:r>
        <w:rPr>
          <w:rFonts w:hint="eastAsia" w:ascii="宋体" w:hAnsi="宋体" w:eastAsia="宋体" w:cs="宋体"/>
          <w:color w:val="000000"/>
          <w:szCs w:val="21"/>
        </w:rPr>
        <w:t xml:space="preserve">3 </w:t>
      </w:r>
      <w:r>
        <w:rPr>
          <w:rFonts w:hint="eastAsia" w:ascii="宋体" w:hAnsi="宋体" w:eastAsia="宋体" w:cs="宋体"/>
          <w:szCs w:val="21"/>
        </w:rPr>
        <w:t xml:space="preserve">本项目的特定资格要求</w:t>
      </w:r>
      <w:r>
        <w:rPr>
          <w:rFonts w:hint="eastAsia" w:ascii="宋体" w:hAnsi="宋体" w:eastAsia="宋体" w:cs="宋体"/>
          <w:color w:val="000000"/>
          <w:szCs w:val="21"/>
        </w:rPr>
      </w:r>
      <w:r/>
    </w:p>
    <w:p>
      <w:pPr>
        <w:pStyle w:val="1030"/>
        <w:spacing w:line="588" w:lineRule="exact"/>
        <w:rPr>
          <w:rFonts w:hint="eastAsia" w:ascii="宋体" w:hAnsi="宋体" w:eastAsia="宋体" w:cs="宋体"/>
          <w:szCs w:val="21"/>
        </w:rPr>
        <w:outlineLvl w:val="2"/>
      </w:pPr>
      <w:r>
        <w:rPr>
          <w:rFonts w:hint="eastAsia" w:ascii="宋体" w:hAnsi="宋体" w:eastAsia="宋体" w:cs="宋体"/>
          <w:color w:val="000000"/>
          <w:szCs w:val="21"/>
        </w:rPr>
        <w:t xml:space="preserve">3-2其他</w:t>
      </w:r>
      <w:r>
        <w:rPr>
          <w:rFonts w:hint="eastAsia" w:ascii="宋体" w:hAnsi="宋体" w:eastAsia="宋体" w:cs="宋体"/>
          <w:szCs w:val="21"/>
        </w:rPr>
        <w:t xml:space="preserve">特定资格要求</w:t>
      </w:r>
      <w:r>
        <w:rPr>
          <w:rFonts w:hint="eastAsia" w:ascii="宋体" w:hAnsi="宋体" w:eastAsia="宋体" w:cs="宋体"/>
          <w:szCs w:val="21"/>
        </w:rPr>
      </w:r>
      <w:r/>
    </w:p>
    <w:p>
      <w:pPr>
        <w:pStyle w:val="1030"/>
        <w:spacing w:line="588" w:lineRule="exact"/>
        <w:rPr>
          <w:rFonts w:hint="eastAsia" w:ascii="宋体" w:hAnsi="宋体" w:eastAsia="宋体" w:cs="宋体"/>
          <w:szCs w:val="21"/>
        </w:rPr>
        <w:outlineLvl w:val="2"/>
      </w:pPr>
      <w:r>
        <w:rPr>
          <w:rFonts w:hint="eastAsia" w:ascii="宋体" w:hAnsi="宋体" w:eastAsia="宋体" w:cs="Times New Roman"/>
          <w:szCs w:val="21"/>
          <w:lang w:val="en-US" w:eastAsia="zh-CN"/>
        </w:rPr>
        <w:t xml:space="preserve">投标人</w:t>
      </w:r>
      <w:r>
        <w:rPr>
          <w:rFonts w:hint="eastAsia" w:ascii="宋体" w:hAnsi="宋体" w:eastAsia="宋体" w:cs="Times New Roman"/>
          <w:szCs w:val="21"/>
        </w:rPr>
        <w:t xml:space="preserve">具有有效期内测绘乙级及以上资质证书</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专业范围含界线及不动产测绘</w:t>
      </w:r>
      <w:r>
        <w:rPr>
          <w:rFonts w:hint="eastAsia" w:ascii="宋体" w:hAnsi="宋体" w:eastAsia="宋体" w:cs="Times New Roman"/>
          <w:szCs w:val="21"/>
          <w:lang w:eastAsia="zh-CN"/>
        </w:rPr>
        <w:t xml:space="preserve">）。</w:t>
      </w:r>
      <w:r>
        <w:rPr>
          <w:rFonts w:hint="eastAsia" w:ascii="宋体" w:hAnsi="宋体" w:eastAsia="宋体" w:cs="宋体"/>
          <w:szCs w:val="21"/>
        </w:rPr>
      </w:r>
      <w:r/>
    </w:p>
    <w:p>
      <w:pPr>
        <w:pStyle w:val="1030"/>
        <w:jc w:val="both"/>
        <w:keepLines w:val="0"/>
        <w:keepNext w:val="0"/>
        <w:pageBreakBefore w:val="0"/>
        <w:spacing w:line="360" w:lineRule="auto"/>
        <w:widowControl/>
        <w:rPr>
          <w:rFonts w:hint="eastAsia" w:ascii="Times New Roman" w:hAnsi="Times New Roman" w:eastAsia="宋体" w:cs="Times New Roman"/>
          <w:b/>
          <w:sz w:val="24"/>
        </w:rPr>
      </w:pPr>
      <w:r>
        <w:rPr>
          <w:rFonts w:hint="eastAsia" w:ascii="Times New Roman" w:hAnsi="Times New Roman" w:eastAsia="宋体" w:cs="Times New Roman"/>
          <w:b/>
          <w:sz w:val="24"/>
        </w:rPr>
        <w:t xml:space="preserve">注：</w:t>
      </w:r>
      <w:r>
        <w:rPr>
          <w:rFonts w:hint="eastAsia" w:ascii="Times New Roman" w:hAnsi="Times New Roman" w:eastAsia="宋体" w:cs="Times New Roman"/>
          <w:szCs w:val="21"/>
        </w:rPr>
        <w:t xml:space="preserve">上述资料为响应人资格后审审查材料的必要材料，</w:t>
      </w:r>
      <w:r>
        <w:rPr>
          <w:rFonts w:hint="eastAsia" w:ascii="Times New Roman" w:hAnsi="Times New Roman" w:eastAsia="宋体" w:cs="Times New Roman"/>
          <w:b/>
          <w:bCs/>
          <w:szCs w:val="21"/>
        </w:rPr>
        <w:t xml:space="preserve">必须按要求提供证明文件的电子件或电子证照</w:t>
      </w:r>
      <w:r>
        <w:rPr>
          <w:rFonts w:hint="eastAsia" w:ascii="Times New Roman" w:hAnsi="Times New Roman" w:eastAsia="宋体" w:cs="Times New Roman"/>
          <w:szCs w:val="21"/>
        </w:rPr>
        <w:t xml:space="preserve">，否则视作无效响应，资料不全或不符合要求的作资格审查不合格处理，资格审查不合格的响应人不再进入后续评审。</w:t>
      </w:r>
      <w:r>
        <w:rPr>
          <w:rFonts w:hint="eastAsia" w:ascii="Times New Roman" w:hAnsi="Times New Roman" w:eastAsia="宋体" w:cs="Times New Roman"/>
          <w:b/>
          <w:sz w:val="24"/>
        </w:rPr>
      </w:r>
      <w:r/>
    </w:p>
    <w:p>
      <w:pPr>
        <w:pStyle w:val="1030"/>
        <w:jc w:val="center"/>
        <w:keepLines w:val="0"/>
        <w:keepNext w:val="0"/>
        <w:pageBreakBefore w:val="0"/>
        <w:spacing w:line="360" w:lineRule="auto"/>
        <w:widowControl/>
        <w:rPr>
          <w:rFonts w:hint="eastAsia" w:ascii="宋体" w:hAnsi="宋体"/>
          <w:b/>
          <w:sz w:val="32"/>
          <w:szCs w:val="32"/>
          <w:highlight w:val="none"/>
        </w:rPr>
      </w:pPr>
      <w:r>
        <w:rPr>
          <w:rFonts w:ascii="宋体" w:hAnsi="宋体"/>
          <w:b/>
          <w:sz w:val="32"/>
          <w:szCs w:val="32"/>
          <w:highlight w:val="none"/>
        </w:rPr>
        <w:br w:type="page" w:clear="all"/>
      </w:r>
      <w:r>
        <w:rPr>
          <w:rFonts w:ascii="宋体" w:hAnsi="宋体"/>
          <w:b/>
          <w:sz w:val="32"/>
          <w:szCs w:val="32"/>
          <w:highlight w:val="none"/>
        </w:rPr>
        <w:t xml:space="preserve">二、商务技术文件格式</w:t>
      </w:r>
      <w:bookmarkStart w:id="821" w:name="_Toc226965829"/>
      <w:r/>
      <w:bookmarkStart w:id="822" w:name="_Ref467988698"/>
      <w:r/>
      <w:bookmarkStart w:id="823" w:name="_Toc150774761"/>
      <w:r/>
      <w:bookmarkStart w:id="824" w:name="_Toc127151556"/>
      <w:r/>
      <w:bookmarkStart w:id="825" w:name="_Toc226309800"/>
      <w:r/>
      <w:bookmarkStart w:id="826" w:name="_Toc480942349"/>
      <w:r/>
      <w:bookmarkStart w:id="827" w:name="_Toc226337252"/>
      <w:r/>
      <w:bookmarkStart w:id="828" w:name="_Toc520356217"/>
      <w:r/>
      <w:bookmarkStart w:id="829" w:name="_Toc150480794"/>
      <w:r/>
      <w:bookmarkStart w:id="830" w:name="_Toc142311058"/>
      <w:r/>
      <w:bookmarkStart w:id="831" w:name="_Toc226965746"/>
      <w:r/>
      <w:bookmarkStart w:id="832" w:name="_Toc195842921"/>
      <w:r>
        <w:rPr>
          <w:rFonts w:hint="eastAsia" w:ascii="宋体" w:hAnsi="宋体"/>
          <w:b/>
          <w:sz w:val="32"/>
          <w:szCs w:val="32"/>
          <w:highlight w:val="none"/>
        </w:rPr>
      </w:r>
      <w:r/>
    </w:p>
    <w:p>
      <w:pPr>
        <w:pStyle w:val="1030"/>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cs="宋体"/>
          <w:color w:val="000000"/>
          <w:szCs w:val="21"/>
          <w:highlight w:val="none"/>
        </w:rPr>
        <w:t xml:space="preserve">函（实质性格式）</w:t>
      </w:r>
      <w:r>
        <w:rPr>
          <w:color w:val="000000"/>
          <w:sz w:val="24"/>
          <w:szCs w:val="20"/>
          <w:highlight w:val="none"/>
        </w:rPr>
      </w:r>
      <w:r/>
    </w:p>
    <w:p>
      <w:pPr>
        <w:pStyle w:val="1030"/>
        <w:spacing w:line="360" w:lineRule="auto"/>
        <w:tabs>
          <w:tab w:val="left" w:pos="5580" w:leader="none"/>
        </w:tabs>
        <w:rPr>
          <w:color w:val="000000"/>
          <w:sz w:val="24"/>
          <w:highlight w:val="none"/>
        </w:rPr>
      </w:pPr>
      <w:r>
        <w:rPr>
          <w:color w:val="000000"/>
          <w:sz w:val="24"/>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w:t>
      </w:r>
      <w:r>
        <w:rPr>
          <w:rFonts w:hint="eastAsia" w:ascii="宋体" w:hAnsi="宋体" w:cs="宋体"/>
          <w:color w:val="000000"/>
          <w:szCs w:val="21"/>
          <w:highlight w:val="none"/>
          <w:lang w:val="en-US" w:eastAsia="zh-CN"/>
        </w:rPr>
        <w:t xml:space="preserve">标的</w:t>
      </w:r>
      <w:r>
        <w:rPr>
          <w:rFonts w:hint="eastAsia" w:ascii="宋体" w:hAnsi="宋体" w:cs="宋体"/>
          <w:color w:val="000000"/>
          <w:szCs w:val="21"/>
          <w:highlight w:val="none"/>
        </w:rPr>
        <w:t xml:space="preserve">名称，项目编号/包号）组织的招标活动，并对此项目进行投标。</w:t>
      </w: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0"/>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0"/>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0"/>
        <w:jc w:val="left"/>
        <w:widowControl/>
        <w:rPr>
          <w:rFonts w:hint="eastAsia"/>
          <w:color w:val="000000"/>
          <w:sz w:val="24"/>
          <w:highlight w:val="none"/>
        </w:rPr>
      </w:pPr>
      <w:r/>
      <w:bookmarkStart w:id="833" w:name="_Hlt520355938"/>
      <w:r/>
      <w:bookmarkEnd w:id="833"/>
      <w:r/>
      <w:bookmarkStart w:id="834" w:name="_Hlt520356243"/>
      <w:r/>
      <w:bookmarkEnd w:id="834"/>
      <w:r>
        <w:rPr>
          <w:color w:val="000000"/>
          <w:sz w:val="24"/>
          <w:highlight w:val="none"/>
        </w:rPr>
        <w:br w:type="page" w:clear="all"/>
      </w:r>
      <w:r>
        <w:rPr>
          <w:rFonts w:hint="eastAsia"/>
          <w:color w:val="000000"/>
          <w:sz w:val="24"/>
          <w:highlight w:val="none"/>
        </w:rPr>
      </w:r>
      <w:r/>
    </w:p>
    <w:p>
      <w:pPr>
        <w:pStyle w:val="1030"/>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标的</w:t>
      </w:r>
      <w:r>
        <w:rPr>
          <w:rFonts w:hint="eastAsia" w:ascii="宋体" w:hAnsi="宋体"/>
          <w:szCs w:val="21"/>
          <w:highlight w:val="none"/>
          <w:u w:val="single"/>
        </w:rPr>
        <w:t xml:space="preserve">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0"/>
        <w:spacing w:line="560" w:lineRule="exact"/>
        <w:rPr>
          <w:rFonts w:ascii="宋体" w:hAnsi="宋体"/>
          <w:szCs w:val="21"/>
          <w:highlight w:val="none"/>
        </w:rPr>
      </w:pPr>
      <w:r>
        <w:rPr>
          <w:rFonts w:ascii="宋体" w:hAnsi="宋体"/>
          <w:szCs w:val="21"/>
          <w:highlight w:val="none"/>
        </w:rPr>
      </w:r>
      <w:r/>
    </w:p>
    <w:p>
      <w:pPr>
        <w:pStyle w:val="1062"/>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0"/>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0"/>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0"/>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0"/>
        <w:ind w:firstLine="420"/>
        <w:spacing w:line="360" w:lineRule="exact"/>
        <w:rPr>
          <w:rFonts w:ascii="宋体" w:hAnsi="宋体" w:cs="宋体"/>
          <w:szCs w:val="21"/>
          <w:highlight w:val="none"/>
        </w:rPr>
      </w:pP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0"/>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0"/>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0"/>
        <w:ind w:firstLine="640"/>
        <w:rPr>
          <w:highlight w:val="none"/>
        </w:rPr>
      </w:pPr>
      <w:r>
        <w:rPr>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0"/>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jc w:val="left"/>
        <w:widowControl/>
        <w:rPr>
          <w:color w:val="000000"/>
          <w:sz w:val="24"/>
          <w:szCs w:val="20"/>
          <w:highlight w:val="none"/>
        </w:rPr>
      </w:pPr>
      <w:r/>
      <w:bookmarkStart w:id="835" w:name="_Hlt520273711"/>
      <w:r/>
      <w:bookmarkEnd w:id="835"/>
      <w:r/>
      <w:bookmarkStart w:id="836" w:name="_Hlt520343392"/>
      <w:r/>
      <w:bookmarkEnd w:id="836"/>
      <w:r/>
      <w:bookmarkStart w:id="837" w:name="_Hlt520274407"/>
      <w:r/>
      <w:bookmarkEnd w:id="837"/>
      <w:r/>
      <w:bookmarkStart w:id="838" w:name="_Hlt520350918"/>
      <w:r/>
      <w:bookmarkEnd w:id="838"/>
      <w:r/>
      <w:bookmarkStart w:id="839" w:name="_Hlt520274121"/>
      <w:r/>
      <w:bookmarkEnd w:id="839"/>
      <w:r/>
      <w:bookmarkStart w:id="840" w:name="_Hlt520343000"/>
      <w:r/>
      <w:bookmarkEnd w:id="840"/>
      <w:r/>
      <w:bookmarkStart w:id="841" w:name="_Hlt520355504"/>
      <w:r/>
      <w:bookmarkEnd w:id="841"/>
      <w:r/>
      <w:bookmarkStart w:id="842" w:name="_Hlt520274065"/>
      <w:r/>
      <w:bookmarkEnd w:id="842"/>
      <w:r/>
      <w:bookmarkStart w:id="843" w:name="_Hlt520274393"/>
      <w:r/>
      <w:bookmarkEnd w:id="843"/>
      <w:r/>
      <w:bookmarkStart w:id="844" w:name="_Hlt520271212"/>
      <w:r/>
      <w:bookmarkEnd w:id="844"/>
      <w:r/>
      <w:bookmarkStart w:id="845" w:name="_Toc265228395"/>
      <w:r/>
      <w:bookmarkStart w:id="846" w:name="_Toc226337253"/>
      <w:r/>
      <w:bookmarkStart w:id="847" w:name="_Toc195842922"/>
      <w:r/>
      <w:bookmarkStart w:id="848" w:name="_Toc150480795"/>
      <w:r/>
      <w:bookmarkStart w:id="849" w:name="_Toc305158825"/>
      <w:r/>
      <w:bookmarkStart w:id="850" w:name="_Toc226965747"/>
      <w:r/>
      <w:bookmarkStart w:id="851" w:name="_Toc226965830"/>
      <w:r/>
      <w:bookmarkStart w:id="852" w:name="_Toc305158899"/>
      <w:r/>
      <w:bookmarkStart w:id="853" w:name="_Toc150774762"/>
      <w:r/>
      <w:bookmarkStart w:id="854" w:name="_Toc226309801"/>
      <w:r/>
      <w:bookmarkStart w:id="855" w:name="_Toc127151557"/>
      <w:r/>
      <w:bookmarkStart w:id="856" w:name="_Toc480942350"/>
      <w:r/>
      <w:bookmarkStart w:id="857" w:name="_Toc520356218"/>
      <w:r/>
      <w:bookmarkStart w:id="858" w:name="_Toc264969247"/>
      <w:r/>
      <w:bookmarkStart w:id="859" w:name="_Toc142311059"/>
      <w:r/>
      <w:bookmarkStart w:id="860" w:name="_Ref467988705"/>
      <w:r>
        <w:rPr>
          <w:color w:val="000000"/>
          <w:sz w:val="24"/>
          <w:szCs w:val="20"/>
          <w:highlight w:val="none"/>
        </w:rPr>
        <w:br w:type="page" w:clear="all"/>
      </w:r>
      <w:r>
        <w:rPr>
          <w:color w:val="000000"/>
          <w:sz w:val="24"/>
          <w:szCs w:val="20"/>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Cs w:val="21"/>
          <w:highlight w:val="none"/>
        </w:rPr>
        <w:t xml:space="preserve">（实质性格式）</w:t>
      </w:r>
      <w:r>
        <w:rPr>
          <w:color w:val="000000"/>
          <w:sz w:val="24"/>
          <w:szCs w:val="20"/>
          <w:highlight w:val="none"/>
        </w:rPr>
      </w:r>
      <w:r/>
    </w:p>
    <w:p>
      <w:pPr>
        <w:pStyle w:val="1030"/>
        <w:jc w:val="center"/>
        <w:spacing w:line="360" w:lineRule="exact"/>
        <w:rPr>
          <w:b/>
          <w:color w:val="000000"/>
          <w:sz w:val="36"/>
          <w:szCs w:val="36"/>
          <w:highlight w:val="none"/>
        </w:rPr>
      </w:pPr>
      <w:r/>
      <w:bookmarkStart w:id="861" w:name="_Toc226965748"/>
      <w:r/>
      <w:bookmarkStart w:id="862" w:name="_Toc305158826"/>
      <w:r/>
      <w:bookmarkStart w:id="863" w:name="_Toc226309802"/>
      <w:r/>
      <w:bookmarkStart w:id="864" w:name="_Toc164608827"/>
      <w:r/>
      <w:bookmarkStart w:id="865" w:name="_Toc226965831"/>
      <w:r/>
      <w:bookmarkStart w:id="866" w:name="_Toc265228396"/>
      <w:r/>
      <w:bookmarkStart w:id="867" w:name="_Toc226337254"/>
      <w:r/>
      <w:bookmarkStart w:id="868" w:name="_Toc305158900"/>
      <w:r/>
      <w:bookmarkStart w:id="869" w:name="_Toc195842923"/>
      <w:r/>
      <w:bookmarkStart w:id="870" w:name="_Toc264969248"/>
      <w:r/>
      <w:bookmarkStart w:id="871" w:name="_Toc164608672"/>
      <w:r>
        <w:rPr>
          <w:rFonts w:hint="eastAsia"/>
          <w:b/>
          <w:color w:val="000000"/>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b/>
          <w:color w:val="000000"/>
          <w:sz w:val="36"/>
          <w:szCs w:val="36"/>
          <w:highlight w:val="none"/>
        </w:rPr>
      </w:r>
      <w:r/>
    </w:p>
    <w:p>
      <w:pPr>
        <w:pStyle w:val="1030"/>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800"/>
        </w:trPr>
        <w:tc>
          <w:tcPr>
            <w:tcW w:w="2130" w:type="dxa"/>
            <w:vAlign w:val="center"/>
            <w:textDirection w:val="lrTb"/>
            <w:noWrap w:val="false"/>
          </w:tcPr>
          <w:p>
            <w:pPr>
              <w:pStyle w:val="1030"/>
              <w:spacing w:line="400" w:lineRule="exact"/>
              <w:rPr>
                <w:rFonts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采购项目名称</w:t>
            </w:r>
            <w:r>
              <w:rPr>
                <w:rFonts w:ascii="宋体" w:hAnsi="宋体" w:eastAsia="宋体" w:cs="宋体"/>
                <w:bCs/>
                <w:szCs w:val="21"/>
                <w:highlight w:val="none"/>
                <w:lang w:val="en-US" w:eastAsia="zh-CN"/>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w:t>
            </w:r>
            <w:r>
              <w:rPr>
                <w:rFonts w:hint="eastAsia" w:ascii="宋体" w:hAnsi="宋体" w:cs="宋体"/>
                <w:bCs/>
                <w:szCs w:val="21"/>
                <w:highlight w:val="none"/>
                <w:lang w:val="en-US" w:eastAsia="zh-CN"/>
              </w:rPr>
              <w:t xml:space="preserve">标的</w:t>
            </w:r>
            <w:r>
              <w:rPr>
                <w:rFonts w:hint="eastAsia" w:ascii="宋体" w:hAnsi="宋体" w:cs="宋体"/>
                <w:bCs/>
                <w:szCs w:val="21"/>
                <w:highlight w:val="none"/>
              </w:rPr>
              <w:t xml:space="preserve">名称</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投标报价</w:t>
            </w:r>
            <w:r>
              <w:rPr>
                <w:rFonts w:hint="eastAsia" w:ascii="宋体" w:hAnsi="宋体" w:cs="宋体"/>
                <w:bCs/>
                <w:szCs w:val="21"/>
                <w:highlight w:val="none"/>
              </w:rPr>
            </w:r>
            <w:r/>
          </w:p>
        </w:tc>
        <w:tc>
          <w:tcPr>
            <w:tcW w:w="4006" w:type="dxa"/>
            <w:vAlign w:val="center"/>
            <w:textDirection w:val="lrTb"/>
            <w:noWrap w:val="false"/>
          </w:tcPr>
          <w:p>
            <w:pPr>
              <w:pStyle w:val="1030"/>
              <w:spacing w:line="400" w:lineRule="exact"/>
              <w:rPr>
                <w:rFonts w:ascii="宋体" w:hAnsi="宋体" w:eastAsia="宋体" w:cs="宋体"/>
                <w:szCs w:val="21"/>
                <w:highlight w:val="none"/>
                <w:lang w:val="en-US" w:eastAsia="zh-CN"/>
              </w:rPr>
            </w:pPr>
            <w:r>
              <w:rPr>
                <w:rFonts w:hint="eastAsia" w:ascii="宋体" w:hAnsi="宋体" w:cs="宋体"/>
                <w:szCs w:val="21"/>
                <w:highlight w:val="none"/>
              </w:rPr>
              <w:t xml:space="preserve">                  元</w:t>
            </w:r>
            <w:r>
              <w:rPr>
                <w:rFonts w:ascii="宋体" w:hAnsi="宋体" w:eastAsia="宋体" w:cs="宋体"/>
                <w:szCs w:val="21"/>
                <w:highlight w:val="none"/>
                <w:lang w:val="en-US" w:eastAsia="zh-CN"/>
              </w:rPr>
            </w:r>
            <w:r/>
          </w:p>
        </w:tc>
        <w:tc>
          <w:tcPr>
            <w:tcW w:w="1404"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bl>
    <w:p>
      <w:pPr>
        <w:pStyle w:val="1030"/>
        <w:tabs>
          <w:tab w:val="left" w:pos="5580" w:leader="none"/>
        </w:tabs>
        <w:rPr>
          <w:rFonts w:hint="eastAsia" w:ascii="宋体" w:hAnsi="宋体" w:cs="宋体"/>
          <w:bCs/>
          <w:szCs w:val="21"/>
          <w:highlight w:val="none"/>
        </w:rPr>
      </w:pPr>
      <w:r>
        <w:rPr>
          <w:rFonts w:hint="eastAsia" w:ascii="宋体" w:hAnsi="宋体" w:cs="宋体"/>
          <w:bCs/>
          <w:szCs w:val="21"/>
          <w:highlight w:val="none"/>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0"/>
        <w:jc w:val="left"/>
        <w:widowControl/>
        <w:rPr>
          <w:rFonts w:hint="eastAsia" w:ascii="宋体" w:hAnsi="宋体" w:cs="宋体"/>
          <w:color w:val="000000"/>
          <w:szCs w:val="21"/>
          <w:highlight w:val="none"/>
        </w:rPr>
      </w:pPr>
      <w:r/>
      <w:bookmarkStart w:id="872" w:name="_Toc127151562"/>
      <w:r/>
      <w:bookmarkStart w:id="873" w:name="_Toc265228400"/>
      <w:r/>
      <w:bookmarkStart w:id="874" w:name="_Toc150480798"/>
      <w:r/>
      <w:bookmarkStart w:id="875" w:name="_Toc226965835"/>
      <w:r/>
      <w:bookmarkStart w:id="876" w:name="_Toc142311062"/>
      <w:r/>
      <w:bookmarkStart w:id="877" w:name="_Toc226965752"/>
      <w:r/>
      <w:bookmarkStart w:id="878" w:name="_Toc226309806"/>
      <w:r/>
      <w:bookmarkStart w:id="879" w:name="_Toc226337258"/>
      <w:r/>
      <w:bookmarkStart w:id="880" w:name="_Toc305158830"/>
      <w:r/>
      <w:bookmarkStart w:id="881" w:name="_Toc150774765"/>
      <w:r/>
      <w:bookmarkStart w:id="882" w:name="_Toc305158904"/>
      <w:r/>
      <w:bookmarkStart w:id="883" w:name="_Toc195842927"/>
      <w:r/>
      <w:bookmarkStart w:id="884" w:name="_Toc264969252"/>
      <w:r/>
      <w:bookmarkStart w:id="885" w:name="_Toc226965751"/>
      <w:r/>
      <w:bookmarkStart w:id="886" w:name="_Toc150774764"/>
      <w:r/>
      <w:bookmarkStart w:id="887" w:name="_Toc142311061"/>
      <w:r/>
      <w:bookmarkStart w:id="888" w:name="_Toc265228399"/>
      <w:r/>
      <w:bookmarkStart w:id="889" w:name="_Toc305158829"/>
      <w:r/>
      <w:bookmarkStart w:id="890" w:name="_Toc226309805"/>
      <w:r/>
      <w:bookmarkStart w:id="891" w:name="_Toc150480797"/>
      <w:r/>
      <w:bookmarkStart w:id="892" w:name="_Toc127151561"/>
      <w:r/>
      <w:bookmarkStart w:id="893" w:name="_Toc305158903"/>
      <w:r/>
      <w:bookmarkStart w:id="894" w:name="_Toc226337257"/>
      <w:r/>
      <w:bookmarkStart w:id="895" w:name="_Toc226965834"/>
      <w:r/>
      <w:bookmarkStart w:id="896" w:name="_Toc195842926"/>
      <w:r/>
      <w:bookmarkStart w:id="897" w:name="_Toc264969251"/>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shd w:val="nil"/>
        <w:rPr>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Cs w:val="21"/>
          <w:highlight w:val="none"/>
        </w:rPr>
        <w:t xml:space="preserve">（实质性格式）</w:t>
      </w:r>
      <w:r>
        <w:rPr>
          <w:color w:val="000000"/>
          <w:sz w:val="24"/>
          <w:szCs w:val="20"/>
          <w:highlight w:val="none"/>
        </w:rPr>
      </w:r>
      <w:r/>
    </w:p>
    <w:p>
      <w:pPr>
        <w:pStyle w:val="1030"/>
        <w:spacing w:line="360" w:lineRule="auto"/>
        <w:rPr>
          <w:color w:val="000000"/>
          <w:sz w:val="24"/>
          <w:szCs w:val="20"/>
          <w:highlight w:val="none"/>
        </w:rPr>
      </w:pPr>
      <w:r>
        <w:rPr>
          <w:color w:val="000000"/>
          <w:sz w:val="24"/>
          <w:szCs w:val="20"/>
          <w:highlight w:val="none"/>
        </w:rPr>
      </w:r>
      <w:r/>
    </w:p>
    <w:p>
      <w:pPr>
        <w:pStyle w:val="1030"/>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0"/>
        <w:spacing w:line="360" w:lineRule="auto"/>
        <w:rPr>
          <w:color w:val="000000"/>
          <w:sz w:val="24"/>
          <w:szCs w:val="20"/>
          <w:highlight w:val="none"/>
        </w:rPr>
      </w:pPr>
      <w:r>
        <w:rPr>
          <w:color w:val="000000"/>
          <w:sz w:val="24"/>
          <w:szCs w:val="20"/>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898" w:name="OLE_LINK4"/>
      <w:r>
        <w:rPr>
          <w:rFonts w:hint="eastAsia" w:ascii="宋体" w:hAnsi="宋体" w:cs="宋体"/>
          <w:szCs w:val="21"/>
          <w:lang w:eastAsia="zh-CN"/>
        </w:rPr>
        <w:t xml:space="preserve">“不完全响应”或“不响应”</w:t>
      </w:r>
      <w:bookmarkEnd w:id="898"/>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tabs>
          <w:tab w:val="left" w:pos="5580" w:leader="none"/>
        </w:tabs>
        <w:rPr>
          <w:rFonts w:hint="eastAsia" w:ascii="宋体" w:hAnsi="宋体" w:eastAsia="宋体" w:cs="宋体"/>
          <w:color w:val="000000"/>
          <w:szCs w:val="21"/>
        </w:rPr>
      </w:pPr>
      <w:r>
        <w:rPr>
          <w:color w:val="000000"/>
          <w:sz w:val="24"/>
          <w:szCs w:val="20"/>
          <w:highlight w:val="none"/>
        </w:rPr>
        <w:br w:type="page" w:clear="all"/>
      </w:r>
      <w:r>
        <w:rPr>
          <w:rFonts w:hint="eastAsia" w:ascii="Times New Roman" w:hAnsi="Times New Roman" w:eastAsia="宋体" w:cs="Times New Roman"/>
          <w:color w:val="000000"/>
          <w:szCs w:val="21"/>
          <w:lang w:val="en-US" w:eastAsia="zh-CN"/>
        </w:rPr>
        <w:t xml:space="preserve">8</w:t>
      </w:r>
      <w:r>
        <w:rPr>
          <w:rFonts w:hint="eastAsia" w:ascii="Times New Roman" w:hAnsi="Times New Roman" w:eastAsia="宋体" w:cs="Times New Roman"/>
          <w:color w:val="000000"/>
          <w:szCs w:val="21"/>
        </w:rPr>
        <w:t xml:space="preserve">  </w:t>
      </w:r>
      <w:bookmarkStart w:id="899" w:name="OLE_LINK51"/>
      <w:r>
        <w:rPr>
          <w:rFonts w:hint="eastAsia" w:ascii="宋体" w:hAnsi="宋体" w:eastAsia="宋体" w:cs="宋体"/>
          <w:color w:val="000000"/>
          <w:szCs w:val="21"/>
        </w:rPr>
        <w:t xml:space="preserve">中小企业声明函</w:t>
      </w:r>
      <w:bookmarkEnd w:id="899"/>
      <w:r>
        <w:rPr>
          <w:rFonts w:hint="eastAsia" w:ascii="宋体" w:hAnsi="宋体" w:eastAsia="宋体" w:cs="宋体"/>
          <w:color w:val="000000"/>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说明：</w:t>
      </w:r>
      <w:r>
        <w:rPr>
          <w:rFonts w:ascii="Times New Roman" w:hAnsi="Times New Roman" w:eastAsia="宋体" w:cs="Times New Roman"/>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Times New Roman" w:hAnsi="Times New Roman" w:eastAsia="宋体" w:cs="Times New Roman"/>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Cs w:val="21"/>
        </w:rPr>
      </w:r>
      <w:r/>
    </w:p>
    <w:p>
      <w:pPr>
        <w:pStyle w:val="1030"/>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3）对于多标的的采购项目，供应商应充分、准确地了解所投产品制造企业信息。对相关情况了解不清楚的，不建议填报本声明函。</w:t>
      </w:r>
      <w:r>
        <w:rPr>
          <w:rFonts w:hint="eastAsia" w:ascii="Times New Roman" w:hAnsi="Times New Roman" w:eastAsia="宋体" w:cs="Times New Roman"/>
          <w:szCs w:val="21"/>
        </w:rPr>
      </w:r>
      <w:r/>
    </w:p>
    <w:p>
      <w:pPr>
        <w:pStyle w:val="1030"/>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4）中小企业认定标准以《关于印发中小企业划型标准规定的通知》（工信部联企业〔2011〕300号）文件规定为准。</w:t>
      </w:r>
      <w:r>
        <w:rPr>
          <w:rFonts w:ascii="Times New Roman" w:hAnsi="Times New Roman" w:eastAsia="宋体" w:cs="Times New Roman"/>
          <w:szCs w:val="21"/>
        </w:rPr>
      </w:r>
      <w:r/>
    </w:p>
    <w:p>
      <w:pPr>
        <w:pStyle w:val="1030"/>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"http://202.106.120.146/baosong/appweb/orgScale.html" </w:instrText>
      </w:r>
      <w:r>
        <w:rPr>
          <w:rFonts w:ascii="Times New Roman" w:hAnsi="Times New Roman" w:eastAsia="宋体" w:cs="Times New Roman"/>
          <w:szCs w:val="21"/>
        </w:rPr>
        <w:fldChar w:fldCharType="separate"/>
      </w:r>
      <w:r>
        <w:rPr>
          <w:rStyle w:val="1108"/>
          <w:rFonts w:ascii="Times New Roman" w:hAnsi="Times New Roman" w:eastAsia="宋体" w:cs="Times New Roman"/>
          <w:szCs w:val="21"/>
        </w:rPr>
        <w:t xml:space="preserve">http://202.106.120.146/baosong/appweb/orgScale.html</w:t>
      </w:r>
      <w:r>
        <w:rPr>
          <w:rFonts w:ascii="Times New Roman" w:hAnsi="Times New Roman" w:eastAsia="宋体" w:cs="Times New Roman"/>
          <w:szCs w:val="21"/>
        </w:rPr>
        <w:fldChar w:fldCharType="end"/>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r>
      <w:r/>
    </w:p>
    <w:p>
      <w:pPr>
        <w:pStyle w:val="1030"/>
        <w:spacing w:line="360" w:lineRule="auto"/>
        <w:tabs>
          <w:tab w:val="left" w:pos="5580" w:leader="none"/>
        </w:tabs>
        <w:rPr>
          <w:rFonts w:hint="eastAsia" w:ascii="宋体" w:hAnsi="宋体" w:eastAsia="宋体" w:cs="Times New Roman"/>
          <w:b/>
          <w:szCs w:val="21"/>
        </w:rPr>
      </w:pPr>
      <w:r>
        <w:rPr>
          <w:rFonts w:hint="eastAsia" w:ascii="Times New Roman" w:hAnsi="Times New Roman" w:eastAsia="宋体" w:cs="Times New Roman"/>
          <w:szCs w:val="21"/>
        </w:rPr>
        <w:t xml:space="preserve">6）</w:t>
      </w:r>
      <w:r>
        <w:rPr>
          <w:rFonts w:ascii="宋体" w:hAnsi="宋体" w:eastAsia="宋体" w:cs="Times New Roman"/>
          <w:b/>
          <w:szCs w:val="21"/>
        </w:rPr>
        <w:t xml:space="preserve">在货物采购项目中，供应商提供的货物既有中</w:t>
      </w:r>
      <w:r>
        <w:rPr>
          <w:rFonts w:hint="eastAsia" w:ascii="宋体" w:hAnsi="宋体" w:eastAsia="宋体" w:cs="Times New Roman"/>
          <w:b/>
          <w:szCs w:val="21"/>
        </w:rPr>
        <w:t xml:space="preserve">型</w:t>
      </w:r>
      <w:r>
        <w:rPr>
          <w:rFonts w:ascii="宋体" w:hAnsi="宋体" w:eastAsia="宋体" w:cs="Times New Roman"/>
          <w:b/>
          <w:szCs w:val="21"/>
        </w:rPr>
        <w:t xml:space="preserve">企业制造货物，也有</w:t>
      </w:r>
      <w:r>
        <w:rPr>
          <w:rFonts w:hint="eastAsia" w:ascii="宋体" w:hAnsi="宋体" w:eastAsia="宋体" w:cs="Times New Roman"/>
          <w:b/>
          <w:szCs w:val="21"/>
        </w:rPr>
        <w:t xml:space="preserve">小微</w:t>
      </w:r>
      <w:r>
        <w:rPr>
          <w:rFonts w:ascii="宋体" w:hAnsi="宋体" w:eastAsia="宋体" w:cs="Times New Roman"/>
          <w:b/>
          <w:szCs w:val="21"/>
        </w:rPr>
        <w:t xml:space="preserve">企业制造货物的，不享受</w:t>
      </w:r>
      <w:r>
        <w:rPr>
          <w:rFonts w:hint="eastAsia" w:ascii="宋体" w:hAnsi="宋体" w:eastAsia="宋体" w:cs="Times New Roman"/>
          <w:b/>
          <w:szCs w:val="21"/>
        </w:rPr>
        <w:t xml:space="preserve">小微</w:t>
      </w:r>
      <w:r>
        <w:rPr>
          <w:rFonts w:ascii="宋体" w:hAnsi="宋体" w:eastAsia="宋体" w:cs="Times New Roman"/>
          <w:b/>
          <w:szCs w:val="21"/>
        </w:rPr>
        <w:t xml:space="preserve">企业扶持政策</w:t>
      </w:r>
      <w:r>
        <w:rPr>
          <w:rFonts w:hint="eastAsia" w:ascii="宋体" w:hAnsi="宋体" w:eastAsia="宋体" w:cs="Times New Roman"/>
          <w:b/>
          <w:szCs w:val="21"/>
        </w:rPr>
        <w:t xml:space="preserve">，不予价格扣除</w:t>
      </w:r>
      <w:r>
        <w:rPr>
          <w:rFonts w:ascii="宋体" w:hAnsi="宋体" w:eastAsia="宋体" w:cs="Times New Roman"/>
          <w:b/>
          <w:szCs w:val="21"/>
        </w:rPr>
        <w:t xml:space="preserve">。</w:t>
      </w:r>
      <w:r>
        <w:rPr>
          <w:rFonts w:hint="eastAsia" w:ascii="宋体" w:hAnsi="宋体" w:eastAsia="宋体" w:cs="Times New Roman"/>
          <w:b/>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Times New Roman"/>
          <w:b/>
          <w:szCs w:val="21"/>
        </w:rPr>
        <w:t xml:space="preserve">7）小微企业未提供声明函的，价格分评审将不予价格扣除。</w:t>
      </w:r>
      <w:r>
        <w:rPr>
          <w:rFonts w:hint="eastAsia" w:ascii="宋体" w:hAnsi="宋体" w:eastAsia="宋体" w:cs="宋体"/>
          <w:szCs w:val="21"/>
        </w:rPr>
      </w:r>
      <w:r/>
    </w:p>
    <w:p>
      <w:pPr>
        <w:pStyle w:val="1030"/>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030"/>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宋体" w:hAnsi="宋体" w:eastAsia="宋体" w:cs="宋体"/>
          <w:b/>
          <w:sz w:val="28"/>
          <w:szCs w:val="28"/>
        </w:rPr>
        <w:t xml:space="preserve">中小企业声明函（工程、服务）</w:t>
      </w:r>
      <w:r>
        <w:rPr>
          <w:rFonts w:ascii="Times New Roman" w:hAnsi="Times New Roman" w:eastAsia="宋体" w:cs="Times New Roman"/>
          <w:b/>
          <w:bCs/>
          <w:color w:val="000000"/>
          <w:sz w:val="36"/>
          <w:szCs w:val="36"/>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hint="eastAsia" w:ascii="宋体" w:hAnsi="宋体" w:eastAsia="宋体" w:cs="宋体"/>
          <w:spacing w:val="6"/>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30"/>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30"/>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0"/>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30"/>
        <w:jc w:val="both"/>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shd w:val="nil"/>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p>
    <w:p>
      <w:pPr>
        <w:pStyle w:val="1030"/>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rPr>
        <w:t xml:space="preserve">残疾人福利性单位声明函 </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030"/>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30"/>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 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1030"/>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1030"/>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rPr>
      </w:r>
      <w:r/>
    </w:p>
    <w:p>
      <w:pPr>
        <w:pStyle w:val="1030"/>
        <w:spacing w:line="360" w:lineRule="auto"/>
        <w:rPr>
          <w:rFonts w:hint="eastAsia"/>
          <w:spacing w:val="6"/>
          <w:sz w:val="24"/>
          <w:highlight w:val="none"/>
        </w:rPr>
        <w:outlineLvl w:val="2"/>
      </w:pPr>
      <w:r>
        <w:rPr>
          <w:rFonts w:hint="eastAsia" w:ascii="宋体" w:hAnsi="宋体" w:eastAsia="宋体" w:cs="宋体"/>
          <w:spacing w:val="6"/>
          <w:szCs w:val="21"/>
        </w:rPr>
        <w:t xml:space="preserve">                                  </w:t>
      </w:r>
      <w:r>
        <w:rPr>
          <w:rFonts w:hint="eastAsia" w:ascii="宋体" w:hAnsi="宋体" w:eastAsia="宋体" w:cs="宋体"/>
          <w:spacing w:val="6"/>
          <w:szCs w:val="21"/>
          <w:lang w:val="en-US" w:eastAsia="zh-CN"/>
        </w:rPr>
        <w:t xml:space="preserve"> </w:t>
      </w:r>
      <w:r>
        <w:rPr>
          <w:rFonts w:hint="eastAsia" w:ascii="宋体" w:hAnsi="宋体" w:eastAsia="宋体" w:cs="宋体"/>
          <w:spacing w:val="6"/>
          <w:szCs w:val="21"/>
        </w:rPr>
        <w:t xml:space="preserve">日  期：</w:t>
      </w:r>
      <w:r>
        <w:rPr>
          <w:color w:val="000000"/>
          <w:sz w:val="24"/>
          <w:szCs w:val="20"/>
          <w:highlight w:val="none"/>
        </w:rPr>
        <w:br w:type="page" w:clear="all"/>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rPr>
          <w:rFonts w:hint="eastAsia"/>
          <w:sz w:val="22"/>
          <w:highlight w:val="none"/>
        </w:rPr>
      </w:pPr>
      <w:r/>
      <w:bookmarkStart w:id="900" w:name="_Toc288738397"/>
      <w:r/>
      <w:bookmarkStart w:id="901" w:name="_Toc288738839"/>
      <w:r>
        <w:rPr>
          <w:rFonts w:hint="eastAsia"/>
          <w:sz w:val="22"/>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highlight w:val="none"/>
        </w:rPr>
      </w:pPr>
      <w:r/>
      <w:bookmarkEnd w:id="900"/>
      <w:r/>
      <w:bookmarkEnd w:id="901"/>
      <w:r>
        <w:rPr>
          <w:highlight w:val="none"/>
        </w:rPr>
      </w:r>
      <w:r/>
    </w:p>
    <w:p>
      <w:pPr>
        <w:shd w:val="nil"/>
        <w:rPr>
          <w:rFonts w:ascii="Times New Roman" w:hAnsi="Times New Roman" w:eastAsia="宋体" w:cs="Times New Roman"/>
          <w:color w:val="000000"/>
        </w:rPr>
      </w:pPr>
      <w:r>
        <w:rPr>
          <w:rFonts w:hint="eastAsia" w:ascii="Times New Roman" w:hAnsi="Times New Roman" w:eastAsia="宋体" w:cs="Times New Roman"/>
          <w:color w:val="000000"/>
          <w:szCs w:val="21"/>
          <w:highlight w:val="none"/>
        </w:rPr>
        <w:br w:type="page" w:clear="all"/>
      </w:r>
      <w:r>
        <w:rPr>
          <w:rFonts w:hint="eastAsia" w:ascii="Times New Roman" w:hAnsi="Times New Roman" w:eastAsia="宋体" w:cs="Times New Roman"/>
          <w:color w:val="000000"/>
          <w:szCs w:val="21"/>
          <w:highlight w:val="none"/>
        </w:rPr>
      </w:r>
    </w:p>
    <w:p>
      <w:pPr>
        <w:pStyle w:val="1030"/>
        <w:rPr>
          <w:rFonts w:hint="eastAsia" w:ascii="Times New Roman" w:hAnsi="Times New Roman" w:eastAsia="宋体" w:cs="Times New Roman"/>
          <w:color w:val="000000"/>
          <w:highlight w:val="none"/>
        </w:rPr>
      </w:pPr>
      <w:r>
        <w:rPr>
          <w:rFonts w:hint="eastAsia" w:ascii="宋体" w:hAnsi="宋体" w:cs="宋体"/>
          <w:color w:val="000000"/>
          <w:szCs w:val="21"/>
          <w:highlight w:val="none"/>
          <w:lang w:val="en-US" w:eastAsia="zh-CN"/>
        </w:rPr>
        <w:t xml:space="preserve">10   </w:t>
      </w:r>
      <w:r>
        <w:rPr>
          <w:rFonts w:hint="eastAsia" w:ascii="Times New Roman" w:hAnsi="Times New Roman" w:eastAsia="宋体" w:cs="Times New Roman"/>
          <w:color w:val="000000"/>
          <w:szCs w:val="21"/>
        </w:rPr>
        <w:t xml:space="preserve">相关业绩案例一览表</w:t>
      </w:r>
      <w:r>
        <w:rPr>
          <w:rFonts w:ascii="Times New Roman" w:hAnsi="Times New Roman" w:eastAsia="宋体" w:cs="Times New Roman"/>
          <w:color w:val="000000"/>
          <w:szCs w:val="21"/>
        </w:rPr>
      </w:r>
      <w:r/>
    </w:p>
    <w:p>
      <w:pPr>
        <w:pStyle w:val="1030"/>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30"/>
        <w:jc w:val="center"/>
        <w:rPr>
          <w:rFonts w:ascii="宋体" w:hAnsi="宋体" w:eastAsia="宋体" w:cs="Times New Roman"/>
          <w:b/>
          <w:sz w:val="32"/>
          <w:szCs w:val="32"/>
        </w:rPr>
      </w:pPr>
      <w:r>
        <w:rPr>
          <w:rFonts w:hint="eastAsia" w:ascii="宋体" w:hAnsi="宋体" w:eastAsia="宋体" w:cs="Times New Roman"/>
          <w:b/>
          <w:sz w:val="32"/>
          <w:szCs w:val="32"/>
        </w:rPr>
        <w:t xml:space="preserve">相关业绩案例一览表</w:t>
      </w:r>
      <w:r>
        <w:rPr>
          <w:rFonts w:ascii="宋体" w:hAnsi="宋体" w:eastAsia="宋体" w:cs="Times New Roman"/>
          <w:b/>
          <w:sz w:val="32"/>
          <w:szCs w:val="32"/>
        </w:rPr>
      </w:r>
      <w:r/>
    </w:p>
    <w:p>
      <w:pPr>
        <w:pStyle w:val="1030"/>
        <w:jc w:val="center"/>
        <w:spacing w:line="360" w:lineRule="auto"/>
        <w:rPr>
          <w:rFonts w:ascii="宋体" w:hAnsi="宋体" w:eastAsia="宋体" w:cs="Times New Roman"/>
          <w:b/>
          <w:sz w:val="28"/>
          <w:szCs w:val="30"/>
        </w:rPr>
      </w:pPr>
      <w:r>
        <w:rPr>
          <w:rFonts w:ascii="宋体" w:hAnsi="宋体" w:eastAsia="宋体" w:cs="Times New Roman"/>
          <w:b/>
          <w:sz w:val="28"/>
          <w:szCs w:val="30"/>
        </w:rPr>
      </w:r>
      <w:r/>
    </w:p>
    <w:p>
      <w:pPr>
        <w:pStyle w:val="1030"/>
        <w:ind w:firstLine="420"/>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ascii="宋体" w:hAnsi="宋体" w:eastAsia="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0"/>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项目时间</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0"/>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项目甲方单位</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0"/>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项目名称</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0"/>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合同金额</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0"/>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单位地址</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0"/>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联系电话</w:t>
            </w:r>
            <w:r>
              <w:rPr>
                <w:rFonts w:ascii="宋体" w:hAnsi="宋体" w:eastAsia="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0"/>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0"/>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0"/>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0"/>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0"/>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0"/>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0"/>
              <w:spacing w:line="360" w:lineRule="auto"/>
              <w:tabs>
                <w:tab w:val="left" w:pos="9765" w:leader="none"/>
              </w:tabs>
              <w:rPr>
                <w:rFonts w:ascii="宋体" w:hAnsi="宋体" w:eastAsia="宋体" w:cs="宋体"/>
                <w:szCs w:val="21"/>
              </w:rPr>
            </w:pPr>
            <w:r>
              <w:rPr>
                <w:rFonts w:ascii="宋体" w:hAnsi="宋体" w:eastAsia="宋体" w:cs="宋体"/>
                <w:szCs w:val="21"/>
              </w:rPr>
            </w:r>
            <w:r/>
          </w:p>
        </w:tc>
      </w:tr>
    </w:tbl>
    <w:p>
      <w:pPr>
        <w:pStyle w:val="1030"/>
        <w:ind w:firstLine="422"/>
        <w:spacing w:line="360" w:lineRule="auto"/>
        <w:rPr>
          <w:rFonts w:ascii="宋体" w:hAnsi="宋体" w:eastAsia="宋体" w:cs="宋体"/>
          <w:szCs w:val="21"/>
          <w:lang w:val="zh-CN"/>
        </w:rPr>
      </w:pPr>
      <w:r>
        <w:rPr>
          <w:rFonts w:hint="eastAsia" w:ascii="宋体" w:hAnsi="宋体" w:eastAsia="宋体" w:cs="宋体"/>
          <w:b/>
          <w:bCs/>
          <w:szCs w:val="21"/>
        </w:rPr>
        <w:t xml:space="preserve">注：</w:t>
      </w:r>
      <w:r>
        <w:rPr>
          <w:rFonts w:hint="eastAsia" w:ascii="宋体" w:hAnsi="宋体" w:eastAsia="宋体" w:cs="宋体"/>
          <w:b/>
          <w:bCs/>
          <w:color w:val="000000"/>
          <w:szCs w:val="21"/>
        </w:rPr>
        <w:t xml:space="preserve">根据</w:t>
      </w:r>
      <w:r>
        <w:rPr>
          <w:rFonts w:hint="eastAsia" w:ascii="宋体" w:hAnsi="宋体" w:eastAsia="宋体" w:cs="宋体"/>
          <w:b/>
          <w:bCs/>
          <w:color w:val="000000"/>
          <w:szCs w:val="21"/>
          <w:lang w:val="en-US" w:eastAsia="zh-CN"/>
        </w:rPr>
        <w:t xml:space="preserve">采购</w:t>
      </w:r>
      <w:r>
        <w:rPr>
          <w:rFonts w:hint="eastAsia" w:ascii="宋体" w:hAnsi="宋体" w:eastAsia="宋体" w:cs="宋体"/>
          <w:b/>
          <w:bCs/>
          <w:color w:val="000000"/>
          <w:szCs w:val="21"/>
        </w:rPr>
        <w:t xml:space="preserve">文件评标方法和评标标准要求提供相关附件材料。</w:t>
      </w:r>
      <w:r>
        <w:rPr>
          <w:rFonts w:ascii="宋体" w:hAnsi="宋体" w:eastAsia="宋体" w:cs="宋体"/>
          <w:szCs w:val="21"/>
          <w:lang w:val="zh-CN"/>
        </w:rPr>
      </w:r>
      <w:r/>
    </w:p>
    <w:p>
      <w:pPr>
        <w:pStyle w:val="1030"/>
        <w:spacing w:line="360" w:lineRule="auto"/>
        <w:rPr>
          <w:rFonts w:ascii="宋体" w:hAnsi="宋体" w:eastAsia="宋体" w:cs="宋体"/>
          <w:szCs w:val="21"/>
        </w:rPr>
      </w:pPr>
      <w:r>
        <w:rPr>
          <w:rFonts w:ascii="宋体" w:hAnsi="宋体" w:eastAsia="宋体" w:cs="宋体"/>
          <w:szCs w:val="21"/>
        </w:rPr>
      </w:r>
      <w:r/>
    </w:p>
    <w:p>
      <w:pPr>
        <w:pStyle w:val="1030"/>
        <w:spacing w:before="25" w:after="25" w:line="360" w:lineRule="auto"/>
        <w:rPr>
          <w:rFonts w:ascii="Times New Roman" w:hAnsi="Times New Roman" w:eastAsia="宋体" w:cs="Times New Roman"/>
          <w:color w:val="000000"/>
          <w:szCs w:val="21"/>
          <w:lang w:val="zh-CN"/>
        </w:rPr>
      </w:pPr>
      <w:r>
        <w:rPr>
          <w:rFonts w:ascii="Times New Roman" w:hAnsi="Times New Roman" w:eastAsia="宋体" w:cs="Times New Roman"/>
          <w:color w:val="000000"/>
          <w:szCs w:val="21"/>
        </w:rPr>
        <w:t xml:space="preserve">供应商名称（加盖公章）</w:t>
      </w:r>
      <w:r>
        <w:rPr>
          <w:rFonts w:ascii="Times New Roman" w:hAnsi="Times New Roman" w:eastAsia="宋体" w:cs="Times New Roman"/>
          <w:color w:val="000000"/>
          <w:szCs w:val="21"/>
          <w:lang w:val="zh-CN"/>
        </w:rPr>
        <w:t xml:space="preserve">：____________</w:t>
      </w:r>
      <w:r>
        <w:rPr>
          <w:rFonts w:ascii="Times New Roman" w:hAnsi="Times New Roman" w:eastAsia="宋体" w:cs="Times New Roman"/>
          <w:color w:val="000000"/>
          <w:szCs w:val="21"/>
          <w:lang w:val="zh-CN"/>
        </w:rPr>
      </w:r>
      <w:r/>
    </w:p>
    <w:p>
      <w:pPr>
        <w:pStyle w:val="1030"/>
        <w:spacing w:line="360" w:lineRule="auto"/>
        <w:rPr>
          <w:color w:val="000000"/>
          <w:sz w:val="24"/>
          <w:highlight w:val="none"/>
          <w:lang w:val="zh-CN"/>
        </w:rPr>
        <w:outlineLvl w:val="2"/>
      </w:pPr>
      <w:r>
        <w:rPr>
          <w:rFonts w:ascii="Times New Roman" w:hAnsi="Times New Roman" w:eastAsia="宋体" w:cs="Times New Roman"/>
          <w:color w:val="000000"/>
          <w:szCs w:val="21"/>
        </w:rPr>
        <w:t xml:space="preserve">日期：_____年______月______日</w:t>
      </w:r>
      <w:r>
        <w:rPr>
          <w:rFonts w:hint="eastAsia" w:ascii="宋体" w:hAnsi="宋体" w:cs="宋体"/>
          <w:color w:val="000000"/>
          <w:szCs w:val="21"/>
          <w:highlight w:val="none"/>
          <w:lang w:val="en-US" w:eastAsia="zh-CN"/>
        </w:rPr>
        <w:br w:type="page" w:clear="all"/>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color w:val="000000"/>
          <w:szCs w:val="21"/>
          <w:highlight w:val="none"/>
        </w:rPr>
        <w:t xml:space="preserve">投标人认为需要提供的其它说明和资料</w:t>
      </w:r>
      <w:r>
        <w:rPr>
          <w:color w:val="000000"/>
          <w:sz w:val="24"/>
          <w:highlight w:val="none"/>
          <w:lang w:val="zh-CN"/>
        </w:rPr>
      </w:r>
      <w:r/>
    </w:p>
    <w:p>
      <w:pPr>
        <w:pStyle w:val="1030"/>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3"/>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等线 Light">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方正兰亭黑_GBK">
    <w:panose1 w:val="020B050302020202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rPr>
        <w:rStyle w:val="1105"/>
      </w:rPr>
    </w:pPr>
    <w:r>
      <w:rPr>
        <w:rStyle w:val="1105"/>
      </w:rPr>
    </w:r>
    <w:r/>
  </w:p>
  <w:p>
    <w:pPr>
      <w:pStyle w:val="108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center" w:y="1"/>
    </w:pPr>
    <w:r>
      <w:fldChar w:fldCharType="begin"/>
    </w:r>
    <w:r>
      <w:rPr>
        <w:rStyle w:val="1105"/>
      </w:rPr>
      <w:instrText xml:space="preserve">PAGE  </w:instrText>
    </w:r>
    <w:r>
      <w:fldChar w:fldCharType="end"/>
    </w:r>
    <w:r>
      <w:rPr>
        <w:rStyle w:val="1105"/>
      </w:rPr>
    </w:r>
    <w:r/>
  </w:p>
  <w:p>
    <w:pPr>
      <w:pStyle w:val="10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pPr>
    <w:r>
      <w:rPr>
        <w:rStyle w:val="1105"/>
      </w:rPr>
    </w:r>
    <w:r/>
  </w:p>
  <w:p>
    <w:pPr>
      <w:pStyle w:val="108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v:textbox>
            </v:shape>
          </w:pict>
        </mc:Fallback>
      </mc:AlternateContent>
    </w: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p>
    <w:pPr>
      <w:pStyle w:val="103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p>
    <w:pPr>
      <w:pStyle w:val="103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0"/>
        <w:ind w:left="4941" w:hanging="1140"/>
        <w:tabs>
          <w:tab w:val="num" w:pos="4941" w:leader="none"/>
        </w:tabs>
      </w:pPr>
      <w:rPr>
        <w:rFonts w:hint="eastAsia"/>
      </w:rPr>
    </w:lvl>
    <w:lvl w:ilvl="1">
      <w:start w:val="1"/>
      <w:numFmt w:val="lowerLetter"/>
      <w:isLgl w:val="false"/>
      <w:suff w:val="tab"/>
      <w:lvlText w:val="%2)"/>
      <w:lvlJc w:val="left"/>
      <w:pPr>
        <w:pStyle w:val="1030"/>
        <w:ind w:left="4641" w:hanging="420"/>
        <w:tabs>
          <w:tab w:val="num" w:pos="4641" w:leader="none"/>
        </w:tabs>
      </w:pPr>
    </w:lvl>
    <w:lvl w:ilvl="2">
      <w:start w:val="1"/>
      <w:numFmt w:val="lowerRoman"/>
      <w:isLgl w:val="false"/>
      <w:suff w:val="tab"/>
      <w:lvlText w:val="%3."/>
      <w:lvlJc w:val="right"/>
      <w:pPr>
        <w:pStyle w:val="1030"/>
        <w:ind w:left="5061" w:hanging="420"/>
        <w:tabs>
          <w:tab w:val="num" w:pos="5061" w:leader="none"/>
        </w:tabs>
      </w:pPr>
    </w:lvl>
    <w:lvl w:ilvl="3">
      <w:start w:val="1"/>
      <w:numFmt w:val="decimal"/>
      <w:isLgl w:val="false"/>
      <w:suff w:val="tab"/>
      <w:lvlText w:val="%4."/>
      <w:lvlJc w:val="left"/>
      <w:pPr>
        <w:pStyle w:val="1030"/>
        <w:ind w:left="5481" w:hanging="420"/>
        <w:tabs>
          <w:tab w:val="num" w:pos="5481" w:leader="none"/>
        </w:tabs>
      </w:pPr>
    </w:lvl>
    <w:lvl w:ilvl="4">
      <w:start w:val="1"/>
      <w:numFmt w:val="lowerLetter"/>
      <w:isLgl w:val="false"/>
      <w:suff w:val="tab"/>
      <w:lvlText w:val="%5)"/>
      <w:lvlJc w:val="left"/>
      <w:pPr>
        <w:pStyle w:val="1030"/>
        <w:ind w:left="5901" w:hanging="420"/>
        <w:tabs>
          <w:tab w:val="num" w:pos="5901" w:leader="none"/>
        </w:tabs>
      </w:pPr>
    </w:lvl>
    <w:lvl w:ilvl="5">
      <w:start w:val="1"/>
      <w:numFmt w:val="lowerRoman"/>
      <w:isLgl w:val="false"/>
      <w:suff w:val="tab"/>
      <w:lvlText w:val="%6."/>
      <w:lvlJc w:val="right"/>
      <w:pPr>
        <w:pStyle w:val="1030"/>
        <w:ind w:left="6321" w:hanging="420"/>
        <w:tabs>
          <w:tab w:val="num" w:pos="6321" w:leader="none"/>
        </w:tabs>
      </w:pPr>
    </w:lvl>
    <w:lvl w:ilvl="6">
      <w:start w:val="1"/>
      <w:numFmt w:val="decimal"/>
      <w:isLgl w:val="false"/>
      <w:suff w:val="tab"/>
      <w:lvlText w:val="%7."/>
      <w:lvlJc w:val="left"/>
      <w:pPr>
        <w:pStyle w:val="1030"/>
        <w:ind w:left="6741" w:hanging="420"/>
        <w:tabs>
          <w:tab w:val="num" w:pos="6741" w:leader="none"/>
        </w:tabs>
      </w:pPr>
    </w:lvl>
    <w:lvl w:ilvl="7">
      <w:start w:val="1"/>
      <w:numFmt w:val="lowerLetter"/>
      <w:isLgl w:val="false"/>
      <w:suff w:val="tab"/>
      <w:lvlText w:val="%8)"/>
      <w:lvlJc w:val="left"/>
      <w:pPr>
        <w:pStyle w:val="1030"/>
        <w:ind w:left="7161" w:hanging="420"/>
        <w:tabs>
          <w:tab w:val="num" w:pos="7161" w:leader="none"/>
        </w:tabs>
      </w:pPr>
    </w:lvl>
    <w:lvl w:ilvl="8">
      <w:start w:val="1"/>
      <w:numFmt w:val="lowerRoman"/>
      <w:isLgl w:val="false"/>
      <w:suff w:val="tab"/>
      <w:lvlText w:val="%9."/>
      <w:lvlJc w:val="right"/>
      <w:pPr>
        <w:pStyle w:val="1030"/>
        <w:ind w:left="7581" w:hanging="420"/>
        <w:tabs>
          <w:tab w:val="num" w:pos="7581" w:leader="none"/>
        </w:tabs>
      </w:pPr>
    </w:lvl>
  </w:abstractNum>
  <w:abstractNum w:abstractNumId="1">
    <w:multiLevelType w:val="hybridMultilevel"/>
    <w:lvl w:ilvl="0">
      <w:start w:val="1"/>
      <w:numFmt w:val="decimal"/>
      <w:pStyle w:val="1142"/>
      <w:isLgl w:val="false"/>
      <w:suff w:val="tab"/>
      <w:lvlText w:val="%1."/>
      <w:lvlJc w:val="left"/>
      <w:pPr>
        <w:pStyle w:val="1030"/>
        <w:ind w:left="420" w:hanging="420"/>
      </w:pPr>
    </w:lvl>
    <w:lvl w:ilvl="1">
      <w:start w:val="1"/>
      <w:numFmt w:val="decimal"/>
      <w:isLgl w:val="false"/>
      <w:suff w:val="tab"/>
      <w:lvlText w:val="（%2）"/>
      <w:lvlJc w:val="left"/>
      <w:pPr>
        <w:pStyle w:val="1030"/>
        <w:ind w:left="1140" w:hanging="720"/>
        <w:tabs>
          <w:tab w:val="num" w:pos="1140" w:leader="none"/>
        </w:tabs>
      </w:pPr>
      <w:rPr>
        <w:rFonts w:hint="eastAsia"/>
      </w:r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2">
    <w:multiLevelType w:val="hybridMultilevel"/>
    <w:lvl w:ilvl="0">
      <w:start w:val="1"/>
      <w:numFmt w:val="lowerLetter"/>
      <w:pStyle w:val="1216"/>
      <w:isLgl w:val="false"/>
      <w:suff w:val="tab"/>
      <w:lvlText w:val="%1)"/>
      <w:lvlJc w:val="left"/>
      <w:pPr>
        <w:pStyle w:val="1030"/>
        <w:ind w:left="902" w:hanging="420"/>
      </w:pPr>
      <w:rPr>
        <w:color w:val="000000"/>
      </w:rPr>
    </w:lvl>
    <w:lvl w:ilvl="1">
      <w:start w:val="1"/>
      <w:numFmt w:val="lowerLetter"/>
      <w:isLgl w:val="false"/>
      <w:suff w:val="tab"/>
      <w:lvlText w:val="%2)"/>
      <w:lvlJc w:val="left"/>
      <w:pPr>
        <w:pStyle w:val="1030"/>
        <w:ind w:left="1322" w:hanging="420"/>
      </w:pPr>
    </w:lvl>
    <w:lvl w:ilvl="2">
      <w:start w:val="1"/>
      <w:numFmt w:val="lowerRoman"/>
      <w:isLgl w:val="false"/>
      <w:suff w:val="tab"/>
      <w:lvlText w:val="%3."/>
      <w:lvlJc w:val="right"/>
      <w:pPr>
        <w:pStyle w:val="1030"/>
        <w:ind w:left="1742" w:hanging="420"/>
      </w:pPr>
    </w:lvl>
    <w:lvl w:ilvl="3">
      <w:start w:val="1"/>
      <w:numFmt w:val="decimal"/>
      <w:isLgl w:val="false"/>
      <w:suff w:val="tab"/>
      <w:lvlText w:val="%4."/>
      <w:lvlJc w:val="left"/>
      <w:pPr>
        <w:pStyle w:val="1030"/>
        <w:ind w:left="2162" w:hanging="420"/>
      </w:pPr>
    </w:lvl>
    <w:lvl w:ilvl="4">
      <w:start w:val="1"/>
      <w:numFmt w:val="lowerLetter"/>
      <w:isLgl w:val="false"/>
      <w:suff w:val="tab"/>
      <w:lvlText w:val="%5)"/>
      <w:lvlJc w:val="left"/>
      <w:pPr>
        <w:pStyle w:val="1030"/>
        <w:ind w:left="2582" w:hanging="420"/>
      </w:pPr>
    </w:lvl>
    <w:lvl w:ilvl="5">
      <w:start w:val="1"/>
      <w:numFmt w:val="lowerRoman"/>
      <w:isLgl w:val="false"/>
      <w:suff w:val="tab"/>
      <w:lvlText w:val="%6."/>
      <w:lvlJc w:val="right"/>
      <w:pPr>
        <w:pStyle w:val="1030"/>
        <w:ind w:left="3002" w:hanging="420"/>
      </w:pPr>
    </w:lvl>
    <w:lvl w:ilvl="6">
      <w:start w:val="1"/>
      <w:numFmt w:val="decimal"/>
      <w:isLgl w:val="false"/>
      <w:suff w:val="tab"/>
      <w:lvlText w:val="%7."/>
      <w:lvlJc w:val="left"/>
      <w:pPr>
        <w:pStyle w:val="1030"/>
        <w:ind w:left="3422" w:hanging="420"/>
      </w:pPr>
    </w:lvl>
    <w:lvl w:ilvl="7">
      <w:start w:val="1"/>
      <w:numFmt w:val="lowerLetter"/>
      <w:isLgl w:val="false"/>
      <w:suff w:val="tab"/>
      <w:lvlText w:val="%8)"/>
      <w:lvlJc w:val="left"/>
      <w:pPr>
        <w:pStyle w:val="1030"/>
        <w:ind w:left="3842" w:hanging="420"/>
      </w:pPr>
    </w:lvl>
    <w:lvl w:ilvl="8">
      <w:start w:val="1"/>
      <w:numFmt w:val="lowerRoman"/>
      <w:isLgl w:val="false"/>
      <w:suff w:val="tab"/>
      <w:lvlText w:val="%9."/>
      <w:lvlJc w:val="right"/>
      <w:pPr>
        <w:pStyle w:val="1030"/>
        <w:ind w:left="4262" w:hanging="420"/>
      </w:pPr>
    </w:lvl>
  </w:abstractNum>
  <w:abstractNum w:abstractNumId="3">
    <w:multiLevelType w:val="hybridMultilevel"/>
    <w:lvl w:ilvl="0">
      <w:start w:val="1"/>
      <w:numFmt w:val="decimal"/>
      <w:pStyle w:val="1187"/>
      <w:isLgl w:val="false"/>
      <w:suff w:val="tab"/>
      <w:lvlText w:val="%1."/>
      <w:lvlJc w:val="left"/>
      <w:pPr>
        <w:pStyle w:val="10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nothing"/>
      <w:lvlText w:val="%1　"/>
      <w:lvlJc w:val="left"/>
      <w:pPr>
        <w:pStyle w:val="10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0"/>
        <w:ind w:left="-25" w:firstLine="0"/>
      </w:pPr>
      <w:rPr>
        <w:rFonts w:ascii="Times New Roman" w:hAnsi="Times New Roman" w:eastAsia="黑体"/>
        <w:b/>
        <w:i w:val="0"/>
        <w:sz w:val="28"/>
      </w:rPr>
    </w:lvl>
    <w:lvl w:ilvl="3">
      <w:start w:val="1"/>
      <w:numFmt w:val="decimal"/>
      <w:pStyle w:val="1172"/>
      <w:isLgl w:val="false"/>
      <w:suff w:val="nothing"/>
      <w:lvlText w:val="%1.%2.%3.%4　"/>
      <w:lvlJc w:val="left"/>
      <w:pPr>
        <w:pStyle w:val="10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0"/>
        <w:ind w:left="-25" w:firstLine="0"/>
      </w:pPr>
      <w:rPr>
        <w:rFonts w:ascii="Times New Roman" w:hAnsi="Times New Roman" w:eastAsia="宋体"/>
        <w:b/>
        <w:i w:val="0"/>
        <w:sz w:val="28"/>
      </w:rPr>
    </w:lvl>
    <w:lvl w:ilvl="6">
      <w:start w:val="1"/>
      <w:numFmt w:val="lowerLetter"/>
      <w:pStyle w:val="1193"/>
      <w:isLgl w:val="false"/>
      <w:suff w:val="tab"/>
      <w:lvlText w:val="%7) "/>
      <w:lvlJc w:val="left"/>
      <w:pPr>
        <w:pStyle w:val="1030"/>
        <w:ind w:left="-125" w:firstLine="400"/>
        <w:tabs>
          <w:tab w:val="num" w:pos="635" w:leader="none"/>
        </w:tabs>
      </w:pPr>
      <w:rPr>
        <w:rFonts w:ascii="Times New Roman" w:hAnsi="Times New Roman" w:eastAsia="宋体"/>
        <w:b/>
        <w:i w:val="0"/>
        <w:color w:val="000000"/>
        <w:sz w:val="28"/>
        <w:u w:val="none"/>
      </w:rPr>
    </w:lvl>
    <w:lvl w:ilvl="7">
      <w:start w:val="1"/>
      <w:numFmt w:val="decimal"/>
      <w:pStyle w:val="1156"/>
      <w:isLgl w:val="false"/>
      <w:suff w:val="tab"/>
      <w:lvlText w:val="%8) "/>
      <w:lvlJc w:val="left"/>
      <w:pPr>
        <w:pStyle w:val="10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0"/>
        <w:ind w:left="768" w:hanging="360"/>
        <w:tabs>
          <w:tab w:val="num" w:pos="768" w:leader="none"/>
        </w:tabs>
      </w:pPr>
      <w:rPr>
        <w:rFonts w:hint="eastAsia"/>
      </w:rPr>
    </w:lvl>
    <w:lvl w:ilvl="1">
      <w:start w:val="1"/>
      <w:numFmt w:val="decimal"/>
      <w:pStyle w:val="1174"/>
      <w:isLgl w:val="false"/>
      <w:suff w:val="tab"/>
      <w:lvlText w:val="%2、"/>
      <w:lvlJc w:val="left"/>
      <w:pPr>
        <w:pStyle w:val="1030"/>
        <w:ind w:left="1188" w:hanging="360"/>
        <w:tabs>
          <w:tab w:val="num" w:pos="1188" w:leader="none"/>
        </w:tabs>
      </w:pPr>
      <w:rPr>
        <w:rFonts w:hint="eastAsia"/>
      </w:rPr>
    </w:lvl>
    <w:lvl w:ilvl="2">
      <w:start w:val="1"/>
      <w:numFmt w:val="decimal"/>
      <w:isLgl w:val="false"/>
      <w:suff w:val="tab"/>
      <w:lvlText w:val="（%3）"/>
      <w:lvlJc w:val="left"/>
      <w:pPr>
        <w:pStyle w:val="1030"/>
        <w:ind w:left="1968" w:hanging="720"/>
        <w:tabs>
          <w:tab w:val="num" w:pos="1968" w:leader="none"/>
        </w:tabs>
      </w:pPr>
      <w:rPr>
        <w:rFonts w:hint="eastAsia"/>
        <w:u w:val="none"/>
      </w:rPr>
    </w:lvl>
    <w:lvl w:ilvl="3">
      <w:start w:val="1"/>
      <w:numFmt w:val="decimal"/>
      <w:isLgl w:val="false"/>
      <w:suff w:val="tab"/>
      <w:lvlText w:val="%4."/>
      <w:lvlJc w:val="left"/>
      <w:pPr>
        <w:pStyle w:val="1030"/>
        <w:ind w:left="2088" w:hanging="420"/>
        <w:tabs>
          <w:tab w:val="num" w:pos="2088" w:leader="none"/>
        </w:tabs>
      </w:pPr>
    </w:lvl>
    <w:lvl w:ilvl="4">
      <w:start w:val="1"/>
      <w:numFmt w:val="lowerLetter"/>
      <w:isLgl w:val="false"/>
      <w:suff w:val="tab"/>
      <w:lvlText w:val="%5)"/>
      <w:lvlJc w:val="left"/>
      <w:pPr>
        <w:pStyle w:val="1030"/>
        <w:ind w:left="2508" w:hanging="420"/>
        <w:tabs>
          <w:tab w:val="num" w:pos="2508" w:leader="none"/>
        </w:tabs>
      </w:pPr>
    </w:lvl>
    <w:lvl w:ilvl="5">
      <w:start w:val="1"/>
      <w:numFmt w:val="lowerRoman"/>
      <w:isLgl w:val="false"/>
      <w:suff w:val="tab"/>
      <w:lvlText w:val="%6."/>
      <w:lvlJc w:val="right"/>
      <w:pPr>
        <w:pStyle w:val="1030"/>
        <w:ind w:left="2928" w:hanging="420"/>
        <w:tabs>
          <w:tab w:val="num" w:pos="2928" w:leader="none"/>
        </w:tabs>
      </w:pPr>
    </w:lvl>
    <w:lvl w:ilvl="6">
      <w:start w:val="1"/>
      <w:numFmt w:val="decimal"/>
      <w:isLgl w:val="false"/>
      <w:suff w:val="tab"/>
      <w:lvlText w:val="%7."/>
      <w:lvlJc w:val="left"/>
      <w:pPr>
        <w:pStyle w:val="1030"/>
        <w:ind w:left="3348" w:hanging="420"/>
        <w:tabs>
          <w:tab w:val="num" w:pos="3348" w:leader="none"/>
        </w:tabs>
      </w:pPr>
    </w:lvl>
    <w:lvl w:ilvl="7">
      <w:start w:val="1"/>
      <w:numFmt w:val="lowerLetter"/>
      <w:isLgl w:val="false"/>
      <w:suff w:val="tab"/>
      <w:lvlText w:val="%8)"/>
      <w:lvlJc w:val="left"/>
      <w:pPr>
        <w:pStyle w:val="1030"/>
        <w:ind w:left="3768" w:hanging="420"/>
        <w:tabs>
          <w:tab w:val="num" w:pos="3768" w:leader="none"/>
        </w:tabs>
      </w:pPr>
    </w:lvl>
    <w:lvl w:ilvl="8">
      <w:start w:val="1"/>
      <w:numFmt w:val="lowerRoman"/>
      <w:isLgl w:val="false"/>
      <w:suff w:val="tab"/>
      <w:lvlText w:val="%9."/>
      <w:lvlJc w:val="right"/>
      <w:pPr>
        <w:pStyle w:val="10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0"/>
        <w:ind w:left="900" w:hanging="900"/>
        <w:tabs>
          <w:tab w:val="num" w:pos="900" w:leader="none"/>
        </w:tabs>
      </w:pPr>
      <w:rPr>
        <w:b/>
        <w:bCs/>
        <w:sz w:val="24"/>
        <w:szCs w:val="24"/>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7">
    <w:multiLevelType w:val="hybridMultilevel"/>
    <w:lvl w:ilvl="0">
      <w:start w:val="1"/>
      <w:numFmt w:val="decimal"/>
      <w:pStyle w:val="1141"/>
      <w:isLgl w:val="false"/>
      <w:suff w:val="tab"/>
      <w:lvlText w:val="%1)"/>
      <w:lvlJc w:val="left"/>
      <w:pPr>
        <w:pStyle w:val="1030"/>
        <w:ind w:left="420" w:hanging="420"/>
      </w:p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8">
    <w:multiLevelType w:val="hybridMultilevel"/>
    <w:lvl w:ilvl="0">
      <w:start w:val="1"/>
      <w:numFmt w:val="decimal"/>
      <w:pStyle w:val="1241"/>
      <w:isLgl w:val="false"/>
      <w:suff w:val="tab"/>
      <w:lvlText w:val="%1"/>
      <w:lvlJc w:val="left"/>
      <w:pPr>
        <w:pStyle w:val="1030"/>
        <w:ind w:left="680" w:hanging="680"/>
      </w:pPr>
      <w:rPr>
        <w:rFonts w:hint="eastAsia" w:ascii="宋体" w:hAnsi="宋体" w:eastAsia="宋体"/>
      </w:rPr>
    </w:lvl>
    <w:lvl w:ilvl="1">
      <w:start w:val="1"/>
      <w:numFmt w:val="decimal"/>
      <w:pStyle w:val="1242"/>
      <w:isLgl w:val="false"/>
      <w:suff w:val="tab"/>
      <w:lvlText w:val="%1.%2"/>
      <w:lvlJc w:val="left"/>
      <w:pPr>
        <w:pStyle w:val="1030"/>
        <w:ind w:left="851" w:hanging="851"/>
      </w:pPr>
      <w:rPr>
        <w:rFonts w:hint="eastAsia" w:ascii="宋体" w:hAnsi="宋体" w:eastAsia="宋体"/>
        <w:color w:val="000000"/>
      </w:rPr>
    </w:lvl>
    <w:lvl w:ilvl="2">
      <w:start w:val="1"/>
      <w:numFmt w:val="decimal"/>
      <w:pStyle w:val="1243"/>
      <w:isLgl w:val="false"/>
      <w:suff w:val="tab"/>
      <w:lvlText w:val="%1.%2.%3"/>
      <w:lvlJc w:val="left"/>
      <w:pPr>
        <w:pStyle w:val="1030"/>
        <w:ind w:left="851" w:hanging="851"/>
      </w:pPr>
      <w:rPr>
        <w:rFonts w:hint="eastAsia"/>
      </w:rPr>
    </w:lvl>
    <w:lvl w:ilvl="3">
      <w:start w:val="1"/>
      <w:numFmt w:val="decimal"/>
      <w:isLgl w:val="false"/>
      <w:suff w:val="tab"/>
      <w:lvlText w:val="%1.%2.%3.%4"/>
      <w:lvlJc w:val="left"/>
      <w:pPr>
        <w:pStyle w:val="1030"/>
        <w:ind w:left="680" w:hanging="680"/>
      </w:pPr>
      <w:rPr>
        <w:rFonts w:hint="eastAsia"/>
      </w:rPr>
    </w:lvl>
    <w:lvl w:ilvl="4">
      <w:start w:val="1"/>
      <w:numFmt w:val="decimal"/>
      <w:isLgl w:val="false"/>
      <w:suff w:val="tab"/>
      <w:lvlText w:val="%1.%2.%3.%4.%5"/>
      <w:lvlJc w:val="left"/>
      <w:pPr>
        <w:pStyle w:val="1030"/>
        <w:ind w:left="680" w:hanging="680"/>
      </w:pPr>
      <w:rPr>
        <w:rFonts w:hint="eastAsia"/>
      </w:rPr>
    </w:lvl>
    <w:lvl w:ilvl="5">
      <w:start w:val="1"/>
      <w:numFmt w:val="decimal"/>
      <w:isLgl w:val="false"/>
      <w:suff w:val="tab"/>
      <w:lvlText w:val="%1.%2.%3.%4.%5.%6"/>
      <w:lvlJc w:val="left"/>
      <w:pPr>
        <w:pStyle w:val="1030"/>
        <w:ind w:left="680" w:hanging="680"/>
      </w:pPr>
      <w:rPr>
        <w:rFonts w:hint="eastAsia"/>
      </w:rPr>
    </w:lvl>
    <w:lvl w:ilvl="6">
      <w:start w:val="1"/>
      <w:numFmt w:val="decimal"/>
      <w:isLgl w:val="false"/>
      <w:suff w:val="tab"/>
      <w:lvlText w:val="%1.%2.%3.%4.%5.%6.%7"/>
      <w:lvlJc w:val="left"/>
      <w:pPr>
        <w:pStyle w:val="1030"/>
        <w:ind w:left="680" w:hanging="680"/>
      </w:pPr>
      <w:rPr>
        <w:rFonts w:hint="eastAsia"/>
      </w:rPr>
    </w:lvl>
    <w:lvl w:ilvl="7">
      <w:start w:val="1"/>
      <w:numFmt w:val="decimal"/>
      <w:isLgl w:val="false"/>
      <w:suff w:val="tab"/>
      <w:lvlText w:val="%1.%2.%3.%4.%5.%6.%7.%8"/>
      <w:lvlJc w:val="left"/>
      <w:pPr>
        <w:pStyle w:val="1030"/>
        <w:ind w:left="680" w:hanging="680"/>
      </w:pPr>
      <w:rPr>
        <w:rFonts w:hint="eastAsia"/>
      </w:rPr>
    </w:lvl>
    <w:lvl w:ilvl="8">
      <w:start w:val="1"/>
      <w:numFmt w:val="decimal"/>
      <w:isLgl w:val="false"/>
      <w:suff w:val="tab"/>
      <w:lvlText w:val="%1.%2.%3.%4.%5.%6.%7.%8.%9"/>
      <w:lvlJc w:val="left"/>
      <w:pPr>
        <w:pStyle w:val="1030"/>
        <w:ind w:left="680" w:hanging="680"/>
      </w:pPr>
      <w:rPr>
        <w:rFonts w:hint="eastAsia"/>
      </w:rPr>
    </w:lvl>
  </w:abstractNum>
  <w:abstractNum w:abstractNumId="9">
    <w:multiLevelType w:val="hybridMultilevel"/>
    <w:lvl w:ilvl="0">
      <w:start w:val="1"/>
      <w:numFmt w:val="decimal"/>
      <w:isLgl w:val="false"/>
      <w:suff w:val="tab"/>
      <w:lvlText w:val="%1"/>
      <w:lvlJc w:val="left"/>
      <w:pPr>
        <w:pStyle w:val="1030"/>
        <w:ind w:left="900" w:hanging="900"/>
        <w:tabs>
          <w:tab w:val="num" w:pos="900" w:leader="none"/>
        </w:tabs>
      </w:pPr>
      <w:rPr>
        <w:rFonts w:ascii="宋体" w:hAnsi="宋体" w:eastAsia="宋体" w:cs="宋体"/>
        <w:b/>
        <w:bCs/>
        <w:sz w:val="24"/>
        <w:szCs w:val="24"/>
      </w:rPr>
    </w:lvl>
    <w:lvl w:ilvl="1">
      <w:start w:val="1"/>
      <w:numFmt w:val="decimal"/>
      <w:isLgl w:val="false"/>
      <w:suff w:val="tab"/>
      <w:lvlText w:val="%1.%2"/>
      <w:lvlJc w:val="left"/>
      <w:pPr>
        <w:pStyle w:val="1030"/>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0"/>
        <w:ind w:left="900" w:hanging="900"/>
        <w:tabs>
          <w:tab w:val="num" w:pos="900" w:leader="none"/>
        </w:tabs>
      </w:pPr>
      <w:rPr>
        <w:b/>
        <w:bCs/>
        <w:sz w:val="24"/>
        <w:szCs w:val="24"/>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0"/>
    <w:next w:val="10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0"/>
    <w:next w:val="10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0"/>
    <w:next w:val="10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0"/>
    <w:next w:val="10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0"/>
    <w:next w:val="10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0"/>
    <w:next w:val="10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0"/>
    <w:next w:val="10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0"/>
    <w:next w:val="10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0"/>
    <w:next w:val="10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0"/>
    <w:next w:val="10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0"/>
    <w:next w:val="10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0"/>
    <w:next w:val="1030"/>
    <w:link w:val="38"/>
    <w:uiPriority w:val="29"/>
    <w:qFormat/>
    <w:pPr>
      <w:ind w:left="720" w:right="720"/>
    </w:pPr>
    <w:rPr>
      <w:i/>
    </w:rPr>
  </w:style>
  <w:style w:type="character" w:styleId="38">
    <w:name w:val="Quote Char"/>
    <w:link w:val="37"/>
    <w:uiPriority w:val="29"/>
    <w:rPr>
      <w:i/>
    </w:rPr>
  </w:style>
  <w:style w:type="paragraph" w:styleId="39">
    <w:name w:val="Intense Quote"/>
    <w:basedOn w:val="1030"/>
    <w:next w:val="10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0"/>
    <w:next w:val="10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0"/>
    <w:next w:val="1030"/>
    <w:uiPriority w:val="39"/>
    <w:unhideWhenUsed/>
    <w:pPr>
      <w:ind w:left="0" w:right="0" w:firstLine="0"/>
      <w:spacing w:after="57"/>
    </w:pPr>
  </w:style>
  <w:style w:type="paragraph" w:styleId="181">
    <w:name w:val="toc 2"/>
    <w:basedOn w:val="1030"/>
    <w:next w:val="1030"/>
    <w:uiPriority w:val="39"/>
    <w:unhideWhenUsed/>
    <w:pPr>
      <w:ind w:left="283" w:right="0" w:firstLine="0"/>
      <w:spacing w:after="57"/>
    </w:pPr>
  </w:style>
  <w:style w:type="paragraph" w:styleId="182">
    <w:name w:val="toc 3"/>
    <w:basedOn w:val="1030"/>
    <w:next w:val="1030"/>
    <w:uiPriority w:val="39"/>
    <w:unhideWhenUsed/>
    <w:pPr>
      <w:ind w:left="567" w:right="0" w:firstLine="0"/>
      <w:spacing w:after="57"/>
    </w:pPr>
  </w:style>
  <w:style w:type="paragraph" w:styleId="183">
    <w:name w:val="toc 4"/>
    <w:basedOn w:val="1030"/>
    <w:next w:val="1030"/>
    <w:uiPriority w:val="39"/>
    <w:unhideWhenUsed/>
    <w:pPr>
      <w:ind w:left="850" w:right="0" w:firstLine="0"/>
      <w:spacing w:after="57"/>
    </w:pPr>
  </w:style>
  <w:style w:type="paragraph" w:styleId="184">
    <w:name w:val="toc 5"/>
    <w:basedOn w:val="1030"/>
    <w:next w:val="1030"/>
    <w:uiPriority w:val="39"/>
    <w:unhideWhenUsed/>
    <w:pPr>
      <w:ind w:left="1134" w:right="0" w:firstLine="0"/>
      <w:spacing w:after="57"/>
    </w:pPr>
  </w:style>
  <w:style w:type="paragraph" w:styleId="185">
    <w:name w:val="toc 6"/>
    <w:basedOn w:val="1030"/>
    <w:next w:val="1030"/>
    <w:uiPriority w:val="39"/>
    <w:unhideWhenUsed/>
    <w:pPr>
      <w:ind w:left="1417" w:right="0" w:firstLine="0"/>
      <w:spacing w:after="57"/>
    </w:pPr>
  </w:style>
  <w:style w:type="paragraph" w:styleId="186">
    <w:name w:val="toc 7"/>
    <w:basedOn w:val="1030"/>
    <w:next w:val="1030"/>
    <w:uiPriority w:val="39"/>
    <w:unhideWhenUsed/>
    <w:pPr>
      <w:ind w:left="1701" w:right="0" w:firstLine="0"/>
      <w:spacing w:after="57"/>
    </w:pPr>
  </w:style>
  <w:style w:type="paragraph" w:styleId="187">
    <w:name w:val="toc 8"/>
    <w:basedOn w:val="1030"/>
    <w:next w:val="1030"/>
    <w:uiPriority w:val="39"/>
    <w:unhideWhenUsed/>
    <w:pPr>
      <w:ind w:left="1984" w:right="0" w:firstLine="0"/>
      <w:spacing w:after="57"/>
    </w:pPr>
  </w:style>
  <w:style w:type="paragraph" w:styleId="188">
    <w:name w:val="toc 9"/>
    <w:basedOn w:val="1030"/>
    <w:next w:val="10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0"/>
    <w:next w:val="1030"/>
    <w:uiPriority w:val="99"/>
    <w:unhideWhenUsed/>
    <w:pPr>
      <w:spacing w:after="0" w:afterAutospacing="0"/>
    </w:pPr>
  </w:style>
  <w:style w:type="paragraph" w:styleId="1030" w:default="1">
    <w:name w:val="Normal"/>
    <w:next w:val="1030"/>
    <w:link w:val="1030"/>
    <w:qFormat/>
    <w:pPr>
      <w:jc w:val="both"/>
      <w:widowControl w:val="off"/>
    </w:pPr>
    <w:rPr>
      <w:sz w:val="21"/>
      <w:szCs w:val="24"/>
      <w:lang w:val="en-US" w:eastAsia="zh-CN" w:bidi="ar-SA"/>
    </w:rPr>
  </w:style>
  <w:style w:type="paragraph" w:styleId="1031">
    <w:name w:val="标题 1"/>
    <w:basedOn w:val="1030"/>
    <w:next w:val="1030"/>
    <w:link w:val="1042"/>
    <w:qFormat/>
    <w:pPr>
      <w:jc w:val="center"/>
      <w:keepLines/>
      <w:keepNext/>
      <w:spacing w:before="240" w:after="120" w:line="300" w:lineRule="auto"/>
      <w:outlineLvl w:val="0"/>
    </w:pPr>
    <w:rPr>
      <w:rFonts w:ascii="宋体"/>
      <w:b/>
      <w:sz w:val="32"/>
      <w:szCs w:val="20"/>
    </w:rPr>
  </w:style>
  <w:style w:type="paragraph" w:styleId="1032">
    <w:name w:val="标题 2"/>
    <w:basedOn w:val="1030"/>
    <w:next w:val="1030"/>
    <w:link w:val="1043"/>
    <w:qFormat/>
    <w:pPr>
      <w:jc w:val="center"/>
      <w:keepLines/>
      <w:keepNext/>
      <w:spacing w:before="120" w:line="300" w:lineRule="auto"/>
      <w:outlineLvl w:val="1"/>
    </w:pPr>
    <w:rPr>
      <w:rFonts w:ascii="Arial" w:hAnsi="Arial" w:eastAsia="黑体"/>
      <w:b/>
      <w:sz w:val="30"/>
      <w:szCs w:val="20"/>
    </w:rPr>
  </w:style>
  <w:style w:type="paragraph" w:styleId="1033">
    <w:name w:val="标题 3"/>
    <w:basedOn w:val="1030"/>
    <w:next w:val="1030"/>
    <w:link w:val="1044"/>
    <w:qFormat/>
    <w:pPr>
      <w:jc w:val="left"/>
      <w:keepLines/>
      <w:keepNext/>
      <w:spacing w:before="360" w:after="120"/>
      <w:outlineLvl w:val="2"/>
    </w:pPr>
    <w:rPr>
      <w:rFonts w:ascii="宋体"/>
      <w:b/>
      <w:sz w:val="24"/>
      <w:szCs w:val="20"/>
      <w:u w:val="single"/>
    </w:rPr>
  </w:style>
  <w:style w:type="paragraph" w:styleId="1034">
    <w:name w:val="标题 4"/>
    <w:basedOn w:val="1030"/>
    <w:next w:val="1046"/>
    <w:link w:val="1045"/>
    <w:qFormat/>
    <w:pPr>
      <w:keepLines/>
      <w:keepNext/>
      <w:spacing w:before="280" w:after="290" w:line="376" w:lineRule="atLeast"/>
      <w:outlineLvl w:val="3"/>
    </w:pPr>
    <w:rPr>
      <w:rFonts w:ascii="Arial" w:hAnsi="Arial" w:eastAsia="黑体"/>
      <w:b/>
      <w:sz w:val="28"/>
      <w:szCs w:val="20"/>
    </w:rPr>
  </w:style>
  <w:style w:type="paragraph" w:styleId="1035">
    <w:name w:val="标题 5"/>
    <w:basedOn w:val="1030"/>
    <w:next w:val="1030"/>
    <w:link w:val="1048"/>
    <w:qFormat/>
    <w:pPr>
      <w:keepLines/>
      <w:keepNext/>
      <w:spacing w:before="280" w:after="290" w:line="376" w:lineRule="atLeast"/>
      <w:outlineLvl w:val="4"/>
    </w:pPr>
    <w:rPr>
      <w:b/>
      <w:sz w:val="28"/>
      <w:szCs w:val="20"/>
    </w:rPr>
  </w:style>
  <w:style w:type="paragraph" w:styleId="1036">
    <w:name w:val="标题 6"/>
    <w:basedOn w:val="1030"/>
    <w:next w:val="1030"/>
    <w:link w:val="1049"/>
    <w:qFormat/>
    <w:pPr>
      <w:keepLines/>
      <w:keepNext/>
      <w:spacing w:before="240" w:after="64" w:line="320" w:lineRule="atLeast"/>
      <w:outlineLvl w:val="5"/>
    </w:pPr>
    <w:rPr>
      <w:rFonts w:ascii="Arial" w:hAnsi="Arial" w:eastAsia="黑体"/>
      <w:b/>
      <w:sz w:val="24"/>
      <w:szCs w:val="20"/>
    </w:rPr>
  </w:style>
  <w:style w:type="paragraph" w:styleId="1037">
    <w:name w:val="标题 7"/>
    <w:basedOn w:val="1030"/>
    <w:next w:val="1030"/>
    <w:link w:val="1050"/>
    <w:qFormat/>
    <w:pPr>
      <w:keepLines/>
      <w:keepNext/>
      <w:spacing w:before="240" w:after="64" w:line="320" w:lineRule="atLeast"/>
      <w:outlineLvl w:val="6"/>
    </w:pPr>
    <w:rPr>
      <w:b/>
      <w:sz w:val="24"/>
      <w:szCs w:val="20"/>
    </w:rPr>
  </w:style>
  <w:style w:type="paragraph" w:styleId="1038">
    <w:name w:val="标题 8"/>
    <w:basedOn w:val="1030"/>
    <w:next w:val="1030"/>
    <w:link w:val="1051"/>
    <w:qFormat/>
    <w:pPr>
      <w:keepLines/>
      <w:keepNext/>
      <w:spacing w:before="240" w:after="64" w:line="320" w:lineRule="atLeast"/>
      <w:outlineLvl w:val="7"/>
    </w:pPr>
    <w:rPr>
      <w:rFonts w:ascii="Arial" w:hAnsi="Arial" w:eastAsia="黑体"/>
      <w:sz w:val="24"/>
      <w:szCs w:val="20"/>
    </w:rPr>
  </w:style>
  <w:style w:type="paragraph" w:styleId="1039">
    <w:name w:val="标题 9"/>
    <w:basedOn w:val="1030"/>
    <w:next w:val="1030"/>
    <w:link w:val="1052"/>
    <w:qFormat/>
    <w:pPr>
      <w:keepLines/>
      <w:keepNext/>
      <w:spacing w:before="240" w:after="64" w:line="320" w:lineRule="atLeast"/>
      <w:outlineLvl w:val="8"/>
    </w:pPr>
    <w:rPr>
      <w:rFonts w:ascii="Arial" w:hAnsi="Arial" w:eastAsia="黑体"/>
      <w:szCs w:val="20"/>
    </w:rPr>
  </w:style>
  <w:style w:type="character" w:styleId="1040">
    <w:name w:val="默认段落字体"/>
    <w:next w:val="1040"/>
    <w:link w:val="1030"/>
    <w:uiPriority w:val="1"/>
    <w:unhideWhenUsed/>
    <w:qFormat/>
  </w:style>
  <w:style w:type="table" w:styleId="1041">
    <w:name w:val="普通表格"/>
    <w:next w:val="1041"/>
    <w:link w:val="1030"/>
    <w:uiPriority w:val="99"/>
    <w:unhideWhenUsed/>
    <w:qFormat/>
    <w:tblPr/>
  </w:style>
  <w:style w:type="character" w:styleId="1042">
    <w:name w:val="标题 1 Char"/>
    <w:next w:val="1042"/>
    <w:link w:val="1031"/>
    <w:qFormat/>
    <w:rPr>
      <w:rFonts w:ascii="宋体"/>
      <w:b/>
      <w:sz w:val="32"/>
    </w:rPr>
  </w:style>
  <w:style w:type="character" w:styleId="1043">
    <w:name w:val="标题 2 Char1"/>
    <w:next w:val="1043"/>
    <w:link w:val="1032"/>
    <w:qFormat/>
    <w:rPr>
      <w:rFonts w:ascii="Arial" w:hAnsi="Arial" w:eastAsia="黑体"/>
      <w:b/>
      <w:sz w:val="30"/>
      <w:lang w:val="en-US" w:eastAsia="zh-CN" w:bidi="ar-SA"/>
    </w:rPr>
  </w:style>
  <w:style w:type="character" w:styleId="1044">
    <w:name w:val="标题 3 Char1"/>
    <w:next w:val="1044"/>
    <w:link w:val="1033"/>
    <w:qFormat/>
    <w:rPr>
      <w:rFonts w:ascii="宋体" w:eastAsia="宋体"/>
      <w:b/>
      <w:sz w:val="24"/>
      <w:u w:val="single"/>
      <w:lang w:val="en-US" w:eastAsia="zh-CN" w:bidi="ar-SA"/>
    </w:rPr>
  </w:style>
  <w:style w:type="character" w:styleId="1045">
    <w:name w:val="标题 4 Char"/>
    <w:next w:val="1045"/>
    <w:link w:val="1034"/>
    <w:qFormat/>
    <w:rPr>
      <w:rFonts w:ascii="Arial" w:hAnsi="Arial" w:eastAsia="黑体"/>
      <w:b/>
      <w:sz w:val="28"/>
    </w:rPr>
  </w:style>
  <w:style w:type="paragraph" w:styleId="1046">
    <w:name w:val="正文缩进"/>
    <w:basedOn w:val="1030"/>
    <w:next w:val="1030"/>
    <w:link w:val="1047"/>
    <w:qFormat/>
    <w:pPr>
      <w:ind w:firstLine="420"/>
      <w:jc w:val="left"/>
    </w:pPr>
    <w:rPr>
      <w:rFonts w:ascii="宋体"/>
      <w:sz w:val="24"/>
    </w:rPr>
  </w:style>
  <w:style w:type="character" w:styleId="1047">
    <w:name w:val="正文缩进 Char1"/>
    <w:next w:val="1047"/>
    <w:link w:val="1046"/>
    <w:qFormat/>
    <w:rPr>
      <w:rFonts w:ascii="宋体" w:eastAsia="宋体"/>
      <w:sz w:val="24"/>
      <w:szCs w:val="24"/>
      <w:lang w:val="en-US" w:eastAsia="zh-CN" w:bidi="ar-SA"/>
    </w:rPr>
  </w:style>
  <w:style w:type="character" w:styleId="1048">
    <w:name w:val="标题 5 Char"/>
    <w:next w:val="1048"/>
    <w:link w:val="1035"/>
    <w:qFormat/>
    <w:rPr>
      <w:b/>
      <w:sz w:val="28"/>
    </w:rPr>
  </w:style>
  <w:style w:type="character" w:styleId="1049">
    <w:name w:val="标题 6 Char"/>
    <w:next w:val="1049"/>
    <w:link w:val="1036"/>
    <w:qFormat/>
    <w:rPr>
      <w:rFonts w:ascii="Arial" w:hAnsi="Arial" w:eastAsia="黑体"/>
      <w:b/>
      <w:sz w:val="24"/>
    </w:rPr>
  </w:style>
  <w:style w:type="character" w:styleId="1050">
    <w:name w:val="标题 7 Char"/>
    <w:next w:val="1050"/>
    <w:link w:val="1037"/>
    <w:qFormat/>
    <w:rPr>
      <w:b/>
      <w:sz w:val="24"/>
    </w:rPr>
  </w:style>
  <w:style w:type="character" w:styleId="1051">
    <w:name w:val="标题 8 Char"/>
    <w:next w:val="1051"/>
    <w:link w:val="1038"/>
    <w:qFormat/>
    <w:rPr>
      <w:rFonts w:ascii="Arial" w:hAnsi="Arial" w:eastAsia="黑体"/>
      <w:sz w:val="24"/>
    </w:rPr>
  </w:style>
  <w:style w:type="character" w:styleId="1052">
    <w:name w:val="标题 9 Char"/>
    <w:next w:val="1052"/>
    <w:link w:val="1039"/>
    <w:qFormat/>
    <w:rPr>
      <w:rFonts w:ascii="Arial" w:hAnsi="Arial" w:eastAsia="黑体"/>
      <w:sz w:val="21"/>
    </w:rPr>
  </w:style>
  <w:style w:type="paragraph" w:styleId="1053">
    <w:name w:val="目录 7"/>
    <w:basedOn w:val="1030"/>
    <w:next w:val="1030"/>
    <w:link w:val="1030"/>
    <w:qFormat/>
    <w:pPr>
      <w:ind w:left="2520"/>
    </w:pPr>
  </w:style>
  <w:style w:type="paragraph" w:styleId="1054">
    <w:name w:val="引文目录"/>
    <w:basedOn w:val="1030"/>
    <w:next w:val="1030"/>
    <w:link w:val="1030"/>
    <w:qFormat/>
    <w:pPr>
      <w:ind w:left="420"/>
    </w:pPr>
  </w:style>
  <w:style w:type="paragraph" w:styleId="1055">
    <w:name w:val="题注"/>
    <w:basedOn w:val="1030"/>
    <w:next w:val="1030"/>
    <w:link w:val="1030"/>
    <w:qFormat/>
    <w:pPr>
      <w:spacing w:line="480" w:lineRule="auto"/>
    </w:pPr>
    <w:rPr>
      <w:rFonts w:ascii="华文中宋" w:hAnsi="华文中宋" w:eastAsia="华文中宋"/>
      <w:sz w:val="36"/>
      <w:szCs w:val="20"/>
    </w:rPr>
  </w:style>
  <w:style w:type="paragraph" w:styleId="1056">
    <w:name w:val="文档结构图"/>
    <w:basedOn w:val="1030"/>
    <w:next w:val="1030"/>
    <w:link w:val="1057"/>
    <w:qFormat/>
    <w:pPr>
      <w:shd w:val="clear" w:color="auto" w:fill="000080"/>
    </w:pPr>
  </w:style>
  <w:style w:type="character" w:styleId="1057">
    <w:name w:val="文档结构图 Char"/>
    <w:next w:val="1057"/>
    <w:link w:val="1056"/>
    <w:qFormat/>
    <w:rPr>
      <w:sz w:val="21"/>
      <w:szCs w:val="24"/>
      <w:shd w:val="clear" w:color="auto" w:fill="000080"/>
    </w:rPr>
  </w:style>
  <w:style w:type="paragraph" w:styleId="1058">
    <w:name w:val="批注文字"/>
    <w:basedOn w:val="1030"/>
    <w:next w:val="1058"/>
    <w:link w:val="1059"/>
    <w:uiPriority w:val="99"/>
    <w:qFormat/>
    <w:pPr>
      <w:jc w:val="left"/>
    </w:pPr>
  </w:style>
  <w:style w:type="character" w:styleId="1059">
    <w:name w:val="批注文字 Char1"/>
    <w:next w:val="1059"/>
    <w:link w:val="1058"/>
    <w:uiPriority w:val="99"/>
    <w:qFormat/>
    <w:rPr>
      <w:sz w:val="21"/>
      <w:szCs w:val="24"/>
    </w:rPr>
  </w:style>
  <w:style w:type="paragraph" w:styleId="1060">
    <w:name w:val="正文文本 3"/>
    <w:basedOn w:val="1030"/>
    <w:next w:val="1060"/>
    <w:link w:val="1061"/>
    <w:qFormat/>
    <w:pPr>
      <w:spacing w:after="120"/>
    </w:pPr>
    <w:rPr>
      <w:sz w:val="16"/>
      <w:szCs w:val="16"/>
    </w:rPr>
  </w:style>
  <w:style w:type="character" w:styleId="1061">
    <w:name w:val="正文文本 3 Char"/>
    <w:next w:val="1061"/>
    <w:link w:val="1060"/>
    <w:qFormat/>
    <w:rPr>
      <w:sz w:val="16"/>
      <w:szCs w:val="16"/>
    </w:rPr>
  </w:style>
  <w:style w:type="paragraph" w:styleId="1062">
    <w:name w:val="正文文本"/>
    <w:basedOn w:val="1030"/>
    <w:next w:val="1030"/>
    <w:link w:val="1063"/>
    <w:qFormat/>
    <w:pPr>
      <w:spacing w:before="120" w:line="22" w:lineRule="atLeast"/>
      <w:tabs>
        <w:tab w:val="left" w:pos="567" w:leader="none"/>
      </w:tabs>
    </w:pPr>
    <w:rPr>
      <w:rFonts w:ascii="宋体" w:hAnsi="宋体"/>
      <w:sz w:val="24"/>
    </w:rPr>
  </w:style>
  <w:style w:type="character" w:styleId="1063">
    <w:name w:val="正文文本 Char"/>
    <w:next w:val="1063"/>
    <w:link w:val="1062"/>
    <w:qFormat/>
    <w:rPr>
      <w:rFonts w:ascii="宋体" w:hAnsi="宋体"/>
      <w:sz w:val="24"/>
      <w:szCs w:val="24"/>
    </w:rPr>
  </w:style>
  <w:style w:type="paragraph" w:styleId="1064">
    <w:name w:val="正文文本缩进"/>
    <w:basedOn w:val="1030"/>
    <w:next w:val="1064"/>
    <w:link w:val="1065"/>
    <w:qFormat/>
    <w:pPr>
      <w:ind w:firstLine="570"/>
      <w:spacing w:line="360" w:lineRule="auto"/>
    </w:pPr>
    <w:rPr>
      <w:sz w:val="24"/>
    </w:rPr>
  </w:style>
  <w:style w:type="character" w:styleId="1065">
    <w:name w:val="正文文本缩进 Char2"/>
    <w:next w:val="1065"/>
    <w:link w:val="1064"/>
    <w:qFormat/>
    <w:rPr>
      <w:rFonts w:eastAsia="宋体"/>
      <w:sz w:val="24"/>
      <w:szCs w:val="24"/>
      <w:lang w:val="en-US" w:eastAsia="zh-CN" w:bidi="ar-SA"/>
    </w:rPr>
  </w:style>
  <w:style w:type="paragraph" w:styleId="1066">
    <w:name w:val="列表 2"/>
    <w:basedOn w:val="1030"/>
    <w:next w:val="1066"/>
    <w:link w:val="1030"/>
    <w:qFormat/>
    <w:pPr>
      <w:ind w:left="100" w:hanging="200"/>
    </w:pPr>
  </w:style>
  <w:style w:type="paragraph" w:styleId="1067">
    <w:name w:val="文本块"/>
    <w:basedOn w:val="1030"/>
    <w:next w:val="1067"/>
    <w:link w:val="1030"/>
    <w:qFormat/>
    <w:pPr>
      <w:ind w:left="480" w:right="-341" w:firstLine="513"/>
      <w:widowControl/>
    </w:pPr>
    <w:rPr>
      <w:sz w:val="24"/>
      <w:szCs w:val="20"/>
    </w:rPr>
  </w:style>
  <w:style w:type="paragraph" w:styleId="1068">
    <w:name w:val="索引 4"/>
    <w:basedOn w:val="1030"/>
    <w:next w:val="1030"/>
    <w:link w:val="1030"/>
    <w:uiPriority w:val="99"/>
    <w:unhideWhenUsed/>
    <w:qFormat/>
    <w:pPr>
      <w:ind w:left="600"/>
    </w:pPr>
  </w:style>
  <w:style w:type="paragraph" w:styleId="1069">
    <w:name w:val="目录 5"/>
    <w:basedOn w:val="1030"/>
    <w:next w:val="1030"/>
    <w:link w:val="1030"/>
    <w:qFormat/>
    <w:pPr>
      <w:ind w:left="1680"/>
    </w:pPr>
  </w:style>
  <w:style w:type="paragraph" w:styleId="1070">
    <w:name w:val="目录 3"/>
    <w:basedOn w:val="1030"/>
    <w:next w:val="1030"/>
    <w:link w:val="1030"/>
    <w:uiPriority w:val="39"/>
    <w:qFormat/>
    <w:pPr>
      <w:ind w:left="840"/>
    </w:pPr>
  </w:style>
  <w:style w:type="paragraph" w:styleId="1071">
    <w:name w:val="纯文本"/>
    <w:basedOn w:val="1030"/>
    <w:next w:val="1046"/>
    <w:link w:val="1072"/>
    <w:qFormat/>
    <w:rPr>
      <w:rFonts w:hint="eastAsia" w:ascii="宋体" w:hAnsi="Courier New"/>
      <w:szCs w:val="20"/>
    </w:rPr>
  </w:style>
  <w:style w:type="character" w:styleId="1072">
    <w:name w:val="纯文本 Char"/>
    <w:next w:val="1072"/>
    <w:link w:val="1071"/>
    <w:qFormat/>
    <w:rPr>
      <w:rFonts w:hint="eastAsia" w:ascii="宋体" w:hAnsi="Courier New" w:eastAsia="宋体" w:cs="宋体"/>
      <w:sz w:val="21"/>
    </w:rPr>
  </w:style>
  <w:style w:type="paragraph" w:styleId="1073">
    <w:name w:val="目录 8"/>
    <w:basedOn w:val="1030"/>
    <w:next w:val="1030"/>
    <w:link w:val="1030"/>
    <w:qFormat/>
    <w:pPr>
      <w:ind w:left="2940"/>
    </w:pPr>
  </w:style>
  <w:style w:type="paragraph" w:styleId="1074">
    <w:name w:val="日期"/>
    <w:basedOn w:val="1030"/>
    <w:next w:val="1030"/>
    <w:link w:val="1075"/>
    <w:qFormat/>
    <w:pPr>
      <w:ind w:left="100"/>
    </w:pPr>
    <w:rPr>
      <w:rFonts w:ascii="仿宋_GB2312" w:hAnsi="宋体" w:eastAsia="仿宋_GB2312"/>
      <w:color w:val="000000"/>
      <w:sz w:val="24"/>
    </w:rPr>
  </w:style>
  <w:style w:type="character" w:styleId="1075">
    <w:name w:val="日期 Char"/>
    <w:next w:val="1075"/>
    <w:link w:val="1074"/>
    <w:qFormat/>
    <w:rPr>
      <w:rFonts w:ascii="仿宋_GB2312" w:hAnsi="宋体" w:eastAsia="仿宋_GB2312"/>
      <w:color w:val="000000"/>
      <w:sz w:val="24"/>
      <w:szCs w:val="24"/>
    </w:rPr>
  </w:style>
  <w:style w:type="paragraph" w:styleId="1076">
    <w:name w:val="正文文本缩进 2"/>
    <w:basedOn w:val="1030"/>
    <w:next w:val="1076"/>
    <w:link w:val="1077"/>
    <w:qFormat/>
    <w:pPr>
      <w:ind w:firstLine="480"/>
    </w:pPr>
    <w:rPr>
      <w:rFonts w:ascii="仿宋_GB2312" w:eastAsia="仿宋_GB2312"/>
      <w:sz w:val="24"/>
    </w:rPr>
  </w:style>
  <w:style w:type="character" w:styleId="1077">
    <w:name w:val="正文文本缩进 2 Char"/>
    <w:next w:val="1077"/>
    <w:link w:val="1076"/>
    <w:qFormat/>
    <w:rPr>
      <w:rFonts w:ascii="仿宋_GB2312" w:eastAsia="仿宋_GB2312"/>
      <w:sz w:val="24"/>
      <w:szCs w:val="24"/>
    </w:rPr>
  </w:style>
  <w:style w:type="paragraph" w:styleId="1078">
    <w:name w:val="批注框文本"/>
    <w:basedOn w:val="1030"/>
    <w:next w:val="1078"/>
    <w:link w:val="1079"/>
    <w:qFormat/>
    <w:rPr>
      <w:sz w:val="18"/>
      <w:szCs w:val="18"/>
    </w:rPr>
  </w:style>
  <w:style w:type="character" w:styleId="1079">
    <w:name w:val="批注框文本 Char"/>
    <w:next w:val="1079"/>
    <w:link w:val="1078"/>
    <w:qFormat/>
    <w:rPr>
      <w:sz w:val="18"/>
      <w:szCs w:val="18"/>
    </w:rPr>
  </w:style>
  <w:style w:type="paragraph" w:styleId="1080">
    <w:name w:val="页脚"/>
    <w:basedOn w:val="1030"/>
    <w:next w:val="1080"/>
    <w:link w:val="1081"/>
    <w:uiPriority w:val="99"/>
    <w:qFormat/>
    <w:pPr>
      <w:jc w:val="left"/>
      <w:tabs>
        <w:tab w:val="center" w:pos="4153" w:leader="none"/>
        <w:tab w:val="right" w:pos="8306" w:leader="none"/>
      </w:tabs>
    </w:pPr>
    <w:rPr>
      <w:rFonts w:ascii="宋体"/>
      <w:sz w:val="18"/>
      <w:szCs w:val="20"/>
    </w:rPr>
  </w:style>
  <w:style w:type="character" w:styleId="1081">
    <w:name w:val="页脚 Char1"/>
    <w:next w:val="1081"/>
    <w:link w:val="1080"/>
    <w:uiPriority w:val="99"/>
    <w:qFormat/>
    <w:rPr>
      <w:rFonts w:ascii="宋体" w:eastAsia="宋体"/>
      <w:sz w:val="18"/>
      <w:lang w:val="en-US" w:eastAsia="zh-CN" w:bidi="ar-SA"/>
    </w:rPr>
  </w:style>
  <w:style w:type="paragraph" w:styleId="1082">
    <w:name w:val="页眉"/>
    <w:basedOn w:val="1030"/>
    <w:next w:val="1082"/>
    <w:link w:val="1083"/>
    <w:qFormat/>
    <w:pPr>
      <w:jc w:val="center"/>
      <w:tabs>
        <w:tab w:val="center" w:pos="4153" w:leader="none"/>
        <w:tab w:val="right" w:pos="8306" w:leader="none"/>
      </w:tabs>
      <w:pBdr>
        <w:bottom w:val="single" w:color="000000" w:sz="6" w:space="1"/>
      </w:pBdr>
    </w:pPr>
    <w:rPr>
      <w:sz w:val="18"/>
      <w:szCs w:val="18"/>
    </w:rPr>
  </w:style>
  <w:style w:type="character" w:styleId="1083">
    <w:name w:val="页眉 Char1"/>
    <w:next w:val="1083"/>
    <w:link w:val="1082"/>
    <w:qFormat/>
    <w:rPr>
      <w:rFonts w:eastAsia="宋体"/>
      <w:sz w:val="18"/>
      <w:szCs w:val="18"/>
      <w:lang w:val="en-US" w:eastAsia="zh-CN" w:bidi="ar-SA"/>
    </w:rPr>
  </w:style>
  <w:style w:type="paragraph" w:styleId="1084">
    <w:name w:val="目录 1"/>
    <w:basedOn w:val="1030"/>
    <w:next w:val="1030"/>
    <w:link w:val="1030"/>
    <w:uiPriority w:val="39"/>
    <w:qFormat/>
    <w:pPr>
      <w:spacing w:line="300" w:lineRule="auto"/>
      <w:tabs>
        <w:tab w:val="left" w:pos="1050" w:leader="none"/>
        <w:tab w:val="right" w:pos="8937" w:leader="dot"/>
      </w:tabs>
    </w:pPr>
    <w:rPr>
      <w:rFonts w:ascii="宋体" w:hAnsi="宋体"/>
      <w:b/>
      <w:sz w:val="24"/>
    </w:rPr>
  </w:style>
  <w:style w:type="paragraph" w:styleId="1085">
    <w:name w:val="目录 4"/>
    <w:basedOn w:val="1030"/>
    <w:next w:val="1030"/>
    <w:link w:val="1030"/>
    <w:qFormat/>
    <w:pPr>
      <w:ind w:left="1260"/>
    </w:pPr>
  </w:style>
  <w:style w:type="paragraph" w:styleId="1086">
    <w:name w:val="目录 6"/>
    <w:basedOn w:val="1030"/>
    <w:next w:val="1030"/>
    <w:link w:val="1030"/>
    <w:qFormat/>
    <w:pPr>
      <w:ind w:left="2100"/>
    </w:pPr>
  </w:style>
  <w:style w:type="paragraph" w:styleId="1087">
    <w:name w:val="正文文本缩进 3"/>
    <w:basedOn w:val="1030"/>
    <w:next w:val="1087"/>
    <w:link w:val="1088"/>
    <w:qFormat/>
    <w:pPr>
      <w:ind w:left="720" w:firstLine="480"/>
      <w:jc w:val="left"/>
      <w:spacing w:before="120" w:line="22" w:lineRule="atLeast"/>
    </w:pPr>
    <w:rPr>
      <w:rFonts w:ascii="宋体"/>
      <w:sz w:val="24"/>
      <w:szCs w:val="20"/>
    </w:rPr>
  </w:style>
  <w:style w:type="character" w:styleId="1088">
    <w:name w:val="正文文本缩进 3 Char"/>
    <w:next w:val="1088"/>
    <w:link w:val="1087"/>
    <w:qFormat/>
    <w:rPr>
      <w:rFonts w:ascii="宋体"/>
      <w:sz w:val="24"/>
    </w:rPr>
  </w:style>
  <w:style w:type="paragraph" w:styleId="1089">
    <w:name w:val="目录 2"/>
    <w:basedOn w:val="1030"/>
    <w:next w:val="1030"/>
    <w:link w:val="1030"/>
    <w:uiPriority w:val="39"/>
    <w:qFormat/>
    <w:pPr>
      <w:ind w:left="420"/>
      <w:spacing w:line="312" w:lineRule="auto"/>
      <w:tabs>
        <w:tab w:val="right" w:pos="8937" w:leader="dot"/>
      </w:tabs>
    </w:pPr>
  </w:style>
  <w:style w:type="paragraph" w:styleId="1090">
    <w:name w:val="目录 9"/>
    <w:basedOn w:val="1030"/>
    <w:next w:val="1030"/>
    <w:link w:val="1030"/>
    <w:qFormat/>
    <w:pPr>
      <w:ind w:left="3360"/>
    </w:pPr>
  </w:style>
  <w:style w:type="paragraph" w:styleId="1091">
    <w:name w:val="正文文本 2"/>
    <w:basedOn w:val="1030"/>
    <w:next w:val="1062"/>
    <w:link w:val="1030"/>
    <w:qFormat/>
    <w:pPr>
      <w:jc w:val="both"/>
      <w:spacing w:after="120" w:line="480" w:lineRule="auto"/>
      <w:widowControl w:val="off"/>
    </w:pPr>
    <w:rPr>
      <w:sz w:val="21"/>
    </w:rPr>
  </w:style>
  <w:style w:type="paragraph" w:styleId="1092">
    <w:name w:val="HTML 预设格式"/>
    <w:basedOn w:val="1030"/>
    <w:next w:val="1092"/>
    <w:link w:val="10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3">
    <w:name w:val="HTML 预设格式 Char"/>
    <w:next w:val="1093"/>
    <w:link w:val="1092"/>
    <w:qFormat/>
    <w:rPr>
      <w:rFonts w:ascii="宋体" w:hAnsi="宋体" w:cs="宋体"/>
      <w:sz w:val="24"/>
      <w:szCs w:val="24"/>
    </w:rPr>
  </w:style>
  <w:style w:type="paragraph" w:styleId="1094">
    <w:name w:val="普通(网站)"/>
    <w:basedOn w:val="1030"/>
    <w:next w:val="1094"/>
    <w:link w:val="1030"/>
    <w:uiPriority w:val="99"/>
    <w:unhideWhenUsed/>
    <w:qFormat/>
    <w:pPr>
      <w:jc w:val="left"/>
      <w:spacing w:before="100" w:beforeAutospacing="1" w:after="100" w:afterAutospacing="1"/>
      <w:widowControl/>
    </w:pPr>
    <w:rPr>
      <w:rFonts w:ascii="宋体" w:hAnsi="宋体" w:cs="宋体"/>
      <w:sz w:val="24"/>
    </w:rPr>
  </w:style>
  <w:style w:type="paragraph" w:styleId="1095">
    <w:name w:val="索引 1"/>
    <w:basedOn w:val="1030"/>
    <w:next w:val="1030"/>
    <w:link w:val="1030"/>
    <w:qFormat/>
    <w:rPr>
      <w:szCs w:val="20"/>
    </w:rPr>
  </w:style>
  <w:style w:type="paragraph" w:styleId="1096">
    <w:name w:val="标题"/>
    <w:basedOn w:val="1030"/>
    <w:next w:val="1030"/>
    <w:link w:val="1097"/>
    <w:qFormat/>
    <w:pPr>
      <w:jc w:val="center"/>
      <w:outlineLvl w:val="0"/>
    </w:pPr>
    <w:rPr>
      <w:b/>
      <w:sz w:val="32"/>
      <w:szCs w:val="20"/>
    </w:rPr>
  </w:style>
  <w:style w:type="character" w:styleId="1097">
    <w:name w:val="标题 Char1"/>
    <w:next w:val="1097"/>
    <w:link w:val="1096"/>
    <w:qFormat/>
    <w:rPr>
      <w:b/>
      <w:sz w:val="32"/>
    </w:rPr>
  </w:style>
  <w:style w:type="paragraph" w:styleId="1098">
    <w:name w:val="批注主题"/>
    <w:basedOn w:val="1058"/>
    <w:next w:val="1058"/>
    <w:link w:val="1099"/>
    <w:qFormat/>
    <w:rPr>
      <w:b/>
      <w:bCs/>
    </w:rPr>
  </w:style>
  <w:style w:type="character" w:styleId="1099">
    <w:name w:val="批注主题 Char"/>
    <w:next w:val="1099"/>
    <w:link w:val="1098"/>
    <w:qFormat/>
    <w:rPr>
      <w:rFonts w:ascii="Times New Roman" w:hAnsi="Times New Roman" w:eastAsia="宋体" w:cs="Times New Roman"/>
      <w:b/>
      <w:bCs/>
      <w:sz w:val="21"/>
      <w:szCs w:val="24"/>
      <w:lang w:val="en-US" w:eastAsia="zh-CN" w:bidi="ar-SA"/>
    </w:rPr>
  </w:style>
  <w:style w:type="paragraph" w:styleId="1100">
    <w:name w:val="正文首行缩进 2"/>
    <w:basedOn w:val="1030"/>
    <w:next w:val="1030"/>
    <w:link w:val="1101"/>
    <w:qFormat/>
    <w:pPr>
      <w:ind w:left="420" w:firstLine="420"/>
      <w:spacing w:after="120" w:line="480" w:lineRule="exact"/>
    </w:pPr>
    <w:rPr>
      <w:sz w:val="24"/>
    </w:rPr>
  </w:style>
  <w:style w:type="character" w:styleId="1101">
    <w:name w:val="正文首行缩进 2 Char"/>
    <w:next w:val="1101"/>
    <w:link w:val="1100"/>
    <w:qFormat/>
    <w:rPr>
      <w:rFonts w:eastAsia="宋体"/>
      <w:sz w:val="24"/>
      <w:szCs w:val="24"/>
      <w:lang w:val="en-US" w:eastAsia="zh-CN" w:bidi="ar-SA"/>
    </w:rPr>
  </w:style>
  <w:style w:type="table" w:styleId="1102">
    <w:name w:val="网格型"/>
    <w:basedOn w:val="1041"/>
    <w:next w:val="1102"/>
    <w:link w:val="1030"/>
    <w:qFormat/>
    <w:tblPr/>
  </w:style>
  <w:style w:type="table" w:styleId="1103">
    <w:name w:val="中等深浅网格 1 - 强调文字颜色 2"/>
    <w:basedOn w:val="1041"/>
    <w:next w:val="1103"/>
    <w:link w:val="1030"/>
    <w:qFormat/>
    <w:rPr>
      <w:sz w:val="21"/>
      <w:szCs w:val="24"/>
    </w:rPr>
    <w:tblPr/>
  </w:style>
  <w:style w:type="character" w:styleId="1104">
    <w:name w:val="要点"/>
    <w:next w:val="1104"/>
    <w:link w:val="1030"/>
    <w:qFormat/>
    <w:rPr>
      <w:b/>
      <w:bCs/>
    </w:rPr>
  </w:style>
  <w:style w:type="character" w:styleId="1105">
    <w:name w:val="页码"/>
    <w:next w:val="1105"/>
    <w:link w:val="1030"/>
    <w:qFormat/>
  </w:style>
  <w:style w:type="character" w:styleId="1106">
    <w:name w:val="已访问的超链接"/>
    <w:next w:val="1106"/>
    <w:link w:val="1030"/>
    <w:qFormat/>
    <w:rPr>
      <w:color w:val="800080"/>
      <w:u w:val="single"/>
    </w:rPr>
  </w:style>
  <w:style w:type="character" w:styleId="1107">
    <w:name w:val="强调"/>
    <w:next w:val="1107"/>
    <w:link w:val="1030"/>
    <w:qFormat/>
    <w:rPr>
      <w:color w:val="cc0033"/>
    </w:rPr>
  </w:style>
  <w:style w:type="character" w:styleId="1108">
    <w:name w:val="超链接"/>
    <w:next w:val="1108"/>
    <w:link w:val="1030"/>
    <w:uiPriority w:val="99"/>
    <w:qFormat/>
    <w:rPr>
      <w:color w:val="0000ff"/>
      <w:u w:val="single"/>
    </w:rPr>
  </w:style>
  <w:style w:type="character" w:styleId="1109">
    <w:name w:val="批注引用"/>
    <w:next w:val="1109"/>
    <w:link w:val="1030"/>
    <w:uiPriority w:val="99"/>
    <w:qFormat/>
    <w:rPr>
      <w:sz w:val="21"/>
      <w:szCs w:val="21"/>
    </w:rPr>
  </w:style>
  <w:style w:type="character" w:styleId="1110">
    <w:name w:val="HTML 引文"/>
    <w:next w:val="1110"/>
    <w:link w:val="1030"/>
    <w:qFormat/>
    <w:rPr>
      <w:i/>
      <w:iCs/>
    </w:rPr>
  </w:style>
  <w:style w:type="character" w:styleId="1111">
    <w:name w:val="批注文字 字符"/>
    <w:next w:val="1111"/>
    <w:link w:val="1030"/>
    <w:uiPriority w:val="99"/>
    <w:qFormat/>
    <w:rPr>
      <w:rFonts w:ascii="Times New Roman" w:hAnsi="Times New Roman" w:eastAsia="宋体" w:cs="Times New Roman"/>
      <w:sz w:val="24"/>
      <w:lang w:val="en-US" w:eastAsia="zh-CN" w:bidi="ar-SA"/>
    </w:rPr>
  </w:style>
  <w:style w:type="paragraph" w:styleId="1112">
    <w:name w:val="Default"/>
    <w:next w:val="1112"/>
    <w:link w:val="1030"/>
    <w:qFormat/>
    <w:pPr>
      <w:widowControl w:val="off"/>
    </w:pPr>
    <w:rPr>
      <w:rFonts w:ascii="Symbol" w:hAnsi="Symbol" w:cs="Symbol"/>
      <w:color w:val="000000"/>
      <w:sz w:val="24"/>
      <w:szCs w:val="24"/>
      <w:lang w:val="en-US" w:eastAsia="zh-CN" w:bidi="ar-SA"/>
    </w:rPr>
  </w:style>
  <w:style w:type="character" w:styleId="1113">
    <w:name w:val="c21"/>
    <w:next w:val="1113"/>
    <w:link w:val="1030"/>
    <w:qFormat/>
    <w:rPr>
      <w:rFonts w:ascii="ˎ̥" w:hAnsi="ˎ̥"/>
      <w:color w:val="000000"/>
      <w:sz w:val="20"/>
      <w:szCs w:val="20"/>
      <w:u w:val="none"/>
    </w:rPr>
  </w:style>
  <w:style w:type="character" w:styleId="1114">
    <w:name w:val="title4"/>
    <w:next w:val="1114"/>
    <w:link w:val="1030"/>
    <w:qFormat/>
    <w:rPr>
      <w:b/>
      <w:bCs/>
      <w:color w:val="1d87b3"/>
      <w:sz w:val="15"/>
      <w:szCs w:val="15"/>
    </w:rPr>
  </w:style>
  <w:style w:type="character" w:styleId="1115">
    <w:name w:val="标题 2 Char Char"/>
    <w:next w:val="1115"/>
    <w:link w:val="1030"/>
    <w:qFormat/>
    <w:rPr>
      <w:rFonts w:ascii="Arial" w:hAnsi="Arial" w:eastAsia="黑体"/>
      <w:b/>
      <w:bCs/>
      <w:sz w:val="32"/>
      <w:szCs w:val="32"/>
      <w:lang w:val="en-US" w:eastAsia="zh-CN" w:bidi="ar-SA"/>
    </w:rPr>
  </w:style>
  <w:style w:type="character" w:styleId="1116">
    <w:name w:val="black1"/>
    <w:next w:val="1116"/>
    <w:link w:val="1030"/>
    <w:qFormat/>
    <w:rPr>
      <w:color w:val="000000"/>
    </w:rPr>
  </w:style>
  <w:style w:type="character" w:styleId="1117">
    <w:name w:val="street-address"/>
    <w:next w:val="1117"/>
    <w:link w:val="1030"/>
    <w:qFormat/>
  </w:style>
  <w:style w:type="character" w:styleId="1118">
    <w:name w:val="locality"/>
    <w:next w:val="1118"/>
    <w:link w:val="1030"/>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30"/>
    <w:next w:val="1120"/>
    <w:link w:val="1119"/>
    <w:qFormat/>
    <w:pPr>
      <w:ind w:firstLine="480"/>
      <w:spacing w:line="480" w:lineRule="exact"/>
    </w:pPr>
    <w:rPr>
      <w:rFonts w:ascii="宋体" w:hAnsi="宋体"/>
      <w:sz w:val="24"/>
    </w:rPr>
  </w:style>
  <w:style w:type="character" w:styleId="1121">
    <w:name w:val="Char Char11"/>
    <w:next w:val="1121"/>
    <w:link w:val="1030"/>
    <w:qFormat/>
    <w:rPr>
      <w:rFonts w:ascii="宋体" w:eastAsia="宋体"/>
      <w:b/>
      <w:sz w:val="24"/>
      <w:u w:val="single"/>
      <w:lang w:val="en-US" w:eastAsia="zh-CN" w:bidi="ar-SA"/>
    </w:rPr>
  </w:style>
  <w:style w:type="character" w:styleId="1122">
    <w:name w:val="txt"/>
    <w:next w:val="1122"/>
    <w:link w:val="1030"/>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30"/>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30"/>
    <w:qFormat/>
    <w:rPr>
      <w:rFonts w:ascii="宋体" w:hAnsi="Courier New" w:eastAsia="宋体"/>
      <w:sz w:val="21"/>
      <w:lang w:val="en-US" w:eastAsia="zh-CN" w:bidi="ar-SA"/>
    </w:rPr>
  </w:style>
  <w:style w:type="character" w:styleId="1126">
    <w:name w:val="chanpin1"/>
    <w:next w:val="1126"/>
    <w:link w:val="1030"/>
    <w:qFormat/>
    <w:rPr>
      <w:rFonts w:ascii="ˎ̥" w:hAnsi="ˎ̥"/>
      <w:color w:val="000000"/>
      <w:sz w:val="20"/>
      <w:szCs w:val="20"/>
      <w:u w:val="none"/>
    </w:rPr>
  </w:style>
  <w:style w:type="character" w:styleId="1127">
    <w:name w:val="列出段落 Char1"/>
    <w:next w:val="1127"/>
    <w:link w:val="1128"/>
    <w:uiPriority w:val="34"/>
    <w:qFormat/>
    <w:rPr>
      <w:rFonts w:ascii="Calibri" w:hAnsi="Calibri" w:eastAsia="宋体"/>
      <w:sz w:val="21"/>
      <w:szCs w:val="22"/>
      <w:lang w:val="en-US" w:eastAsia="zh-CN" w:bidi="ar-SA"/>
    </w:rPr>
  </w:style>
  <w:style w:type="paragraph" w:styleId="1128">
    <w:name w:val="列出段落"/>
    <w:basedOn w:val="1030"/>
    <w:next w:val="1128"/>
    <w:link w:val="1127"/>
    <w:uiPriority w:val="34"/>
    <w:qFormat/>
    <w:pPr>
      <w:ind w:firstLine="420"/>
    </w:pPr>
    <w:rPr>
      <w:rFonts w:ascii="Calibri" w:hAnsi="Calibri"/>
      <w:szCs w:val="22"/>
    </w:rPr>
  </w:style>
  <w:style w:type="character" w:styleId="1129">
    <w:name w:val="标题 3 Char Char"/>
    <w:next w:val="1129"/>
    <w:link w:val="1030"/>
    <w:qFormat/>
    <w:rPr>
      <w:rFonts w:eastAsia="宋体"/>
      <w:b/>
      <w:bCs/>
      <w:sz w:val="32"/>
      <w:szCs w:val="32"/>
      <w:lang w:val="en-US" w:eastAsia="zh-CN" w:bidi="ar-SA"/>
    </w:rPr>
  </w:style>
  <w:style w:type="character" w:styleId="1130">
    <w:name w:val="段1 Char"/>
    <w:next w:val="1130"/>
    <w:link w:val="1030"/>
    <w:qFormat/>
    <w:rPr>
      <w:rFonts w:ascii="宋体" w:eastAsia="宋体"/>
      <w:sz w:val="24"/>
      <w:lang w:val="en-US" w:eastAsia="zh-CN" w:bidi="ar-SA"/>
    </w:rPr>
  </w:style>
  <w:style w:type="character" w:styleId="1131">
    <w:name w:val="chanpin拷贝"/>
    <w:next w:val="1131"/>
    <w:link w:val="1030"/>
    <w:qFormat/>
  </w:style>
  <w:style w:type="character" w:styleId="1132">
    <w:name w:val="纯文本 Char1"/>
    <w:next w:val="1132"/>
    <w:link w:val="1030"/>
    <w:qFormat/>
    <w:rPr>
      <w:rFonts w:ascii="宋体" w:hAnsi="Courier New" w:eastAsia="宋体"/>
      <w:sz w:val="21"/>
      <w:lang w:val="en-US" w:eastAsia="zh-CN" w:bidi="ar-SA"/>
    </w:rPr>
  </w:style>
  <w:style w:type="character" w:styleId="1133">
    <w:name w:val="apple-style-span"/>
    <w:next w:val="1133"/>
    <w:link w:val="1030"/>
    <w:qFormat/>
    <w:rPr>
      <w:rFonts w:cs="Times New Roman"/>
    </w:rPr>
  </w:style>
  <w:style w:type="paragraph" w:styleId="1134">
    <w:name w:val="二级条标题"/>
    <w:basedOn w:val="1135"/>
    <w:next w:val="1030"/>
    <w:link w:val="1030"/>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一级条标题"/>
    <w:basedOn w:val="1136"/>
    <w:next w:val="1030"/>
    <w:link w:val="1030"/>
    <w:qFormat/>
    <w:pPr>
      <w:numPr>
        <w:ilvl w:val="1"/>
      </w:numPr>
      <w:ind w:left="0" w:hanging="840"/>
      <w:tabs>
        <w:tab w:val="left" w:pos="360" w:leader="none"/>
        <w:tab w:val="left" w:pos="840" w:leader="none"/>
      </w:tabs>
      <w:outlineLvl w:val="1"/>
    </w:pPr>
  </w:style>
  <w:style w:type="paragraph" w:styleId="1136">
    <w:name w:val="章标题"/>
    <w:next w:val="1030"/>
    <w:link w:val="10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7">
    <w:name w:val="font7"/>
    <w:basedOn w:val="1030"/>
    <w:next w:val="1137"/>
    <w:link w:val="1030"/>
    <w:qFormat/>
    <w:pPr>
      <w:jc w:val="left"/>
      <w:spacing w:before="100" w:beforeAutospacing="1" w:after="100" w:afterAutospacing="1"/>
      <w:widowControl/>
    </w:pPr>
    <w:rPr>
      <w:rFonts w:eastAsia="Arial Unicode MS"/>
      <w:b/>
      <w:bCs/>
      <w:color w:val="000000"/>
      <w:sz w:val="20"/>
      <w:szCs w:val="20"/>
    </w:rPr>
  </w:style>
  <w:style w:type="paragraph" w:styleId="1138">
    <w:name w:val="字元 字元"/>
    <w:basedOn w:val="1030"/>
    <w:next w:val="1138"/>
    <w:link w:val="1030"/>
    <w:qFormat/>
    <w:rPr>
      <w:rFonts w:ascii="Tahoma" w:hAnsi="Tahoma"/>
      <w:sz w:val="24"/>
      <w:szCs w:val="20"/>
    </w:rPr>
  </w:style>
  <w:style w:type="paragraph" w:styleId="1139">
    <w:name w:val="Char3 Char Char Char"/>
    <w:basedOn w:val="1030"/>
    <w:next w:val="1139"/>
    <w:link w:val="1030"/>
    <w:qFormat/>
    <w:rPr>
      <w:rFonts w:ascii="Tahoma" w:hAnsi="Tahoma"/>
      <w:sz w:val="24"/>
      <w:szCs w:val="20"/>
    </w:rPr>
  </w:style>
  <w:style w:type="paragraph" w:styleId="1140">
    <w:name w:val="font6"/>
    <w:basedOn w:val="1030"/>
    <w:next w:val="1140"/>
    <w:link w:val="1030"/>
    <w:qFormat/>
    <w:pPr>
      <w:jc w:val="left"/>
      <w:spacing w:before="100" w:beforeAutospacing="1" w:after="100" w:afterAutospacing="1"/>
      <w:widowControl/>
    </w:pPr>
    <w:rPr>
      <w:rFonts w:ascii="宋体" w:hAnsi="宋体" w:cs="宋体"/>
      <w:sz w:val="20"/>
      <w:szCs w:val="20"/>
    </w:rPr>
  </w:style>
  <w:style w:type="paragraph" w:styleId="1141">
    <w:name w:val="项目编号2"/>
    <w:basedOn w:val="1142"/>
    <w:next w:val="1141"/>
    <w:link w:val="1030"/>
    <w:qFormat/>
    <w:pPr>
      <w:numPr>
        <w:numId w:val="3"/>
      </w:numPr>
    </w:pPr>
  </w:style>
  <w:style w:type="paragraph" w:styleId="1142">
    <w:name w:val="项目编号1"/>
    <w:basedOn w:val="1030"/>
    <w:next w:val="1142"/>
    <w:link w:val="1030"/>
    <w:qFormat/>
    <w:pPr>
      <w:numPr>
        <w:ilvl w:val="0"/>
        <w:numId w:val="2"/>
      </w:numPr>
      <w:spacing w:before="100" w:beforeAutospacing="1" w:after="100" w:afterAutospacing="1" w:line="360" w:lineRule="auto"/>
    </w:pPr>
    <w:rPr>
      <w:sz w:val="24"/>
    </w:rPr>
  </w:style>
  <w:style w:type="paragraph" w:styleId="1143">
    <w:name w:val="图中文字"/>
    <w:basedOn w:val="1030"/>
    <w:next w:val="1143"/>
    <w:link w:val="1030"/>
    <w:qFormat/>
    <w:pPr>
      <w:jc w:val="center"/>
      <w:spacing w:line="0" w:lineRule="atLeast"/>
    </w:pPr>
    <w:rPr>
      <w:sz w:val="24"/>
      <w:szCs w:val="20"/>
    </w:rPr>
  </w:style>
  <w:style w:type="paragraph" w:styleId="1144">
    <w:name w:val="xl46"/>
    <w:basedOn w:val="1030"/>
    <w:next w:val="1144"/>
    <w:link w:val="10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xl25"/>
    <w:basedOn w:val="1030"/>
    <w:next w:val="114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Char2"/>
    <w:basedOn w:val="1030"/>
    <w:next w:val="1146"/>
    <w:link w:val="1030"/>
    <w:qFormat/>
    <w:rPr>
      <w:rFonts w:ascii="Tahoma" w:hAnsi="Tahoma"/>
      <w:sz w:val="24"/>
      <w:szCs w:val="20"/>
    </w:rPr>
  </w:style>
  <w:style w:type="paragraph" w:styleId="1147">
    <w:name w:val="xl35"/>
    <w:basedOn w:val="1030"/>
    <w:next w:val="1147"/>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40"/>
    <w:basedOn w:val="1030"/>
    <w:next w:val="114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2"/>
    <w:basedOn w:val="1030"/>
    <w:next w:val="114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0">
    <w:name w:val="xl43"/>
    <w:basedOn w:val="1030"/>
    <w:next w:val="1150"/>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background1"/>
    <w:basedOn w:val="1030"/>
    <w:next w:val="1151"/>
    <w:link w:val="1030"/>
    <w:qFormat/>
    <w:pPr>
      <w:jc w:val="left"/>
      <w:spacing w:before="100" w:beforeAutospacing="1" w:after="100" w:afterAutospacing="1"/>
      <w:widowControl/>
    </w:pPr>
    <w:rPr>
      <w:rFonts w:ascii="宋体" w:hAnsi="宋体" w:cs="宋体"/>
      <w:sz w:val="24"/>
    </w:rPr>
  </w:style>
  <w:style w:type="paragraph" w:styleId="1152">
    <w:name w:val="Char Char Char Char Char Char Char"/>
    <w:basedOn w:val="1030"/>
    <w:next w:val="1152"/>
    <w:link w:val="1030"/>
    <w:qFormat/>
    <w:pPr>
      <w:ind w:firstLine="200"/>
      <w:spacing w:line="360" w:lineRule="auto"/>
    </w:pPr>
    <w:rPr>
      <w:rFonts w:eastAsia="仿宋_GB2312"/>
      <w:sz w:val="24"/>
    </w:rPr>
  </w:style>
  <w:style w:type="paragraph" w:styleId="1153">
    <w:name w:val="xl38"/>
    <w:basedOn w:val="1030"/>
    <w:next w:val="115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4">
    <w:name w:val="xl36"/>
    <w:basedOn w:val="1030"/>
    <w:next w:val="1154"/>
    <w:link w:val="10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正文 + 宋体"/>
    <w:basedOn w:val="1030"/>
    <w:next w:val="1155"/>
    <w:link w:val="1030"/>
    <w:qFormat/>
    <w:pPr>
      <w:ind w:left="360" w:hanging="360"/>
      <w:jc w:val="left"/>
      <w:widowControl/>
    </w:pPr>
    <w:rPr>
      <w:rFonts w:ascii="宋体" w:hAnsi="宋体" w:cs="宋体"/>
      <w:b/>
      <w:bCs/>
      <w:color w:val="000000"/>
      <w:sz w:val="18"/>
      <w:szCs w:val="18"/>
    </w:rPr>
  </w:style>
  <w:style w:type="paragraph" w:styleId="1156">
    <w:name w:val="正文列项_数字"/>
    <w:basedOn w:val="1030"/>
    <w:next w:val="1156"/>
    <w:link w:val="1030"/>
    <w:qFormat/>
    <w:pPr>
      <w:numPr>
        <w:ilvl w:val="7"/>
        <w:numId w:val="1"/>
      </w:numPr>
      <w:ind w:left="680" w:hanging="150"/>
      <w:spacing w:line="460" w:lineRule="exact"/>
      <w:tabs>
        <w:tab w:val="clear" w:pos="860" w:leader="none"/>
      </w:tabs>
      <w:outlineLvl w:val="7"/>
    </w:pPr>
    <w:rPr>
      <w:rFonts w:ascii="宋体"/>
      <w:sz w:val="28"/>
      <w:szCs w:val="20"/>
    </w:rPr>
  </w:style>
  <w:style w:type="paragraph" w:styleId="1157">
    <w:name w:val="xl39"/>
    <w:basedOn w:val="1030"/>
    <w:next w:val="115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37"/>
    <w:basedOn w:val="1030"/>
    <w:next w:val="1158"/>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32"/>
    <w:basedOn w:val="1030"/>
    <w:next w:val="115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font8"/>
    <w:basedOn w:val="1030"/>
    <w:next w:val="1160"/>
    <w:link w:val="1030"/>
    <w:qFormat/>
    <w:pPr>
      <w:jc w:val="left"/>
      <w:spacing w:before="100" w:beforeAutospacing="1" w:after="100" w:afterAutospacing="1"/>
      <w:widowControl/>
    </w:pPr>
    <w:rPr>
      <w:sz w:val="36"/>
      <w:szCs w:val="36"/>
    </w:rPr>
  </w:style>
  <w:style w:type="paragraph" w:styleId="1161">
    <w:name w:val="Char"/>
    <w:basedOn w:val="1030"/>
    <w:next w:val="1161"/>
    <w:link w:val="1030"/>
    <w:qFormat/>
    <w:pPr>
      <w:tabs>
        <w:tab w:val="left" w:pos="360" w:leader="none"/>
      </w:tabs>
    </w:pPr>
    <w:rPr>
      <w:sz w:val="24"/>
    </w:rPr>
  </w:style>
  <w:style w:type="paragraph" w:styleId="1162">
    <w:name w:val="Char Char Char Char Char Char Char Char Char Char Char Char Char Char Char Char"/>
    <w:basedOn w:val="1030"/>
    <w:next w:val="1162"/>
    <w:link w:val="1030"/>
    <w:qFormat/>
    <w:pPr>
      <w:jc w:val="center"/>
      <w:spacing w:after="160" w:line="240" w:lineRule="exact"/>
      <w:widowControl/>
    </w:pPr>
    <w:rPr>
      <w:rFonts w:ascii="宋体" w:hAnsi="宋体"/>
      <w:b/>
      <w:sz w:val="30"/>
      <w:szCs w:val="30"/>
      <w:lang w:eastAsia="en-US"/>
    </w:rPr>
  </w:style>
  <w:style w:type="paragraph" w:styleId="1163">
    <w:name w:val="xl45"/>
    <w:basedOn w:val="1030"/>
    <w:next w:val="1163"/>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Char Char1 Char Char Char Char Char Char"/>
    <w:basedOn w:val="1030"/>
    <w:next w:val="1164"/>
    <w:link w:val="1030"/>
    <w:qFormat/>
    <w:pPr>
      <w:jc w:val="left"/>
      <w:spacing w:after="160" w:line="240" w:lineRule="exact"/>
      <w:widowControl/>
    </w:pPr>
    <w:rPr>
      <w:rFonts w:ascii="Verdana" w:hAnsi="Verdana" w:eastAsia="仿宋_GB2312"/>
      <w:sz w:val="24"/>
      <w:szCs w:val="20"/>
      <w:lang w:eastAsia="en-US"/>
    </w:rPr>
  </w:style>
  <w:style w:type="paragraph" w:styleId="1165">
    <w:name w:val="Char Char1"/>
    <w:basedOn w:val="1056"/>
    <w:next w:val="1165"/>
    <w:link w:val="1030"/>
    <w:qFormat/>
    <w:rPr>
      <w:rFonts w:ascii="Tahoma" w:hAnsi="Tahoma"/>
      <w:sz w:val="24"/>
    </w:rPr>
  </w:style>
  <w:style w:type="paragraph" w:styleId="1166">
    <w:name w:val="xl26"/>
    <w:basedOn w:val="1030"/>
    <w:next w:val="1166"/>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30"/>
    <w:basedOn w:val="1030"/>
    <w:next w:val="116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1"/>
    <w:basedOn w:val="1030"/>
    <w:next w:val="1168"/>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name w:val="样式 宋体 五号 行距: 单倍行距"/>
    <w:basedOn w:val="1030"/>
    <w:next w:val="1169"/>
    <w:link w:val="1030"/>
    <w:qFormat/>
    <w:pPr>
      <w:jc w:val="left"/>
    </w:pPr>
    <w:rPr>
      <w:rFonts w:ascii="宋体" w:hAnsi="宋体"/>
      <w:szCs w:val="20"/>
    </w:rPr>
  </w:style>
  <w:style w:type="paragraph" w:styleId="1170">
    <w:name w:val="Char1 Char Char Char1"/>
    <w:basedOn w:val="1030"/>
    <w:next w:val="1170"/>
    <w:link w:val="1030"/>
    <w:qFormat/>
    <w:rPr>
      <w:rFonts w:ascii="Tahoma" w:hAnsi="Tahoma" w:cs="仿宋_GB2312"/>
      <w:sz w:val="24"/>
      <w:szCs w:val="28"/>
    </w:rPr>
  </w:style>
  <w:style w:type="paragraph" w:styleId="1171">
    <w:name w:val="四级条标题"/>
    <w:basedOn w:val="1172"/>
    <w:next w:val="1030"/>
    <w:link w:val="1030"/>
    <w:qFormat/>
    <w:pPr>
      <w:numPr>
        <w:ilvl w:val="4"/>
      </w:numPr>
      <w:ind w:left="0" w:hanging="840"/>
      <w:tabs>
        <w:tab w:val="left" w:pos="360" w:leader="none"/>
        <w:tab w:val="left" w:pos="840" w:leader="none"/>
      </w:tabs>
      <w:outlineLvl w:val="4"/>
    </w:pPr>
  </w:style>
  <w:style w:type="paragraph" w:styleId="1172">
    <w:name w:val="三级条标题"/>
    <w:basedOn w:val="1134"/>
    <w:next w:val="1030"/>
    <w:link w:val="1030"/>
    <w:qFormat/>
    <w:pPr>
      <w:numPr>
        <w:ilvl w:val="3"/>
        <w:numId w:val="1"/>
      </w:numPr>
      <w:ind w:left="0" w:hanging="840"/>
      <w:tabs>
        <w:tab w:val="left" w:pos="360" w:leader="none"/>
        <w:tab w:val="left" w:pos="840" w:leader="none"/>
      </w:tabs>
      <w:outlineLvl w:val="3"/>
    </w:pPr>
  </w:style>
  <w:style w:type="paragraph" w:styleId="1173">
    <w:name w:val="??"/>
    <w:next w:val="1173"/>
    <w:link w:val="1030"/>
    <w:qFormat/>
    <w:pPr>
      <w:jc w:val="both"/>
      <w:widowControl w:val="off"/>
    </w:pPr>
    <w:rPr>
      <w:sz w:val="21"/>
      <w:lang w:val="en-US" w:eastAsia="en-US" w:bidi="ar-SA"/>
    </w:rPr>
  </w:style>
  <w:style w:type="paragraph" w:styleId="1174">
    <w:name w:val="样式 标题 2 + 宋体 五号 行距: 单倍行距"/>
    <w:basedOn w:val="1032"/>
    <w:next w:val="1174"/>
    <w:link w:val="10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5">
    <w:name w:val="List Paragraph1"/>
    <w:basedOn w:val="1030"/>
    <w:next w:val="1175"/>
    <w:link w:val="1030"/>
    <w:qFormat/>
    <w:pPr>
      <w:ind w:firstLine="420"/>
    </w:pPr>
    <w:rPr>
      <w:rFonts w:ascii="Calibri" w:hAnsi="Calibri"/>
      <w:szCs w:val="22"/>
    </w:rPr>
  </w:style>
  <w:style w:type="paragraph" w:styleId="1176">
    <w:name w:val="项目符号1"/>
    <w:basedOn w:val="1177"/>
    <w:next w:val="1176"/>
    <w:link w:val="1030"/>
    <w:qFormat/>
    <w:pPr>
      <w:ind w:left="-25" w:firstLine="0"/>
    </w:pPr>
  </w:style>
  <w:style w:type="paragraph" w:styleId="1177">
    <w:name w:val="正文文本样式"/>
    <w:basedOn w:val="1030"/>
    <w:next w:val="1177"/>
    <w:link w:val="1030"/>
    <w:qFormat/>
    <w:pPr>
      <w:ind w:firstLine="482"/>
      <w:spacing w:line="360" w:lineRule="auto"/>
    </w:pPr>
    <w:rPr>
      <w:rFonts w:cs="宋体"/>
      <w:sz w:val="24"/>
      <w:szCs w:val="20"/>
    </w:rPr>
  </w:style>
  <w:style w:type="paragraph" w:styleId="1178">
    <w:name w:val="xl27"/>
    <w:basedOn w:val="1030"/>
    <w:next w:val="117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font5"/>
    <w:basedOn w:val="1030"/>
    <w:next w:val="1179"/>
    <w:link w:val="1030"/>
    <w:qFormat/>
    <w:pPr>
      <w:jc w:val="left"/>
      <w:spacing w:before="100" w:beforeAutospacing="1" w:after="100" w:afterAutospacing="1"/>
      <w:widowControl/>
    </w:pPr>
    <w:rPr>
      <w:rFonts w:ascii="宋体" w:hAnsi="宋体" w:cs="宋体"/>
      <w:sz w:val="18"/>
      <w:szCs w:val="18"/>
    </w:rPr>
  </w:style>
  <w:style w:type="paragraph" w:styleId="1180">
    <w:name w:val="五级条标题"/>
    <w:basedOn w:val="1171"/>
    <w:next w:val="1030"/>
    <w:link w:val="1030"/>
    <w:qFormat/>
    <w:pPr>
      <w:numPr>
        <w:ilvl w:val="5"/>
      </w:numPr>
      <w:ind w:left="0" w:hanging="840"/>
      <w:tabs>
        <w:tab w:val="left" w:pos="360" w:leader="none"/>
        <w:tab w:val="left" w:pos="840" w:leader="none"/>
      </w:tabs>
      <w:outlineLvl w:val="5"/>
    </w:pPr>
  </w:style>
  <w:style w:type="paragraph" w:styleId="1181">
    <w:name w:val="xl49"/>
    <w:basedOn w:val="1030"/>
    <w:next w:val="1181"/>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2">
    <w:name w:val="文档正文"/>
    <w:basedOn w:val="1030"/>
    <w:next w:val="1182"/>
    <w:link w:val="1030"/>
    <w:qFormat/>
    <w:pPr>
      <w:spacing w:before="120" w:after="120" w:line="180" w:lineRule="auto"/>
    </w:pPr>
    <w:rPr>
      <w:rFonts w:ascii="Arial" w:hAnsi="Arial"/>
      <w:szCs w:val="20"/>
    </w:rPr>
  </w:style>
  <w:style w:type="paragraph" w:styleId="1183">
    <w:name w:val="xl33"/>
    <w:basedOn w:val="1030"/>
    <w:next w:val="118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xl42"/>
    <w:basedOn w:val="1030"/>
    <w:next w:val="118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5">
    <w:name w:val="Char Char Char1 Char"/>
    <w:basedOn w:val="1030"/>
    <w:next w:val="1185"/>
    <w:link w:val="1030"/>
    <w:qFormat/>
    <w:rPr>
      <w:rFonts w:ascii="Tahoma" w:hAnsi="Tahoma"/>
      <w:sz w:val="24"/>
      <w:szCs w:val="20"/>
    </w:rPr>
  </w:style>
  <w:style w:type="paragraph" w:styleId="1186">
    <w:name w:val="xl44"/>
    <w:basedOn w:val="1030"/>
    <w:next w:val="1186"/>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7">
    <w:name w:val="1名"/>
    <w:basedOn w:val="1030"/>
    <w:next w:val="1187"/>
    <w:link w:val="1030"/>
    <w:qFormat/>
    <w:pPr>
      <w:numPr>
        <w:ilvl w:val="0"/>
        <w:numId w:val="5"/>
      </w:numPr>
      <w:spacing w:before="120"/>
      <w:tabs>
        <w:tab w:val="left" w:pos="360" w:leader="none"/>
      </w:tabs>
    </w:pPr>
    <w:rPr>
      <w:rFonts w:ascii="宋体"/>
      <w:sz w:val="28"/>
      <w:szCs w:val="20"/>
    </w:rPr>
  </w:style>
  <w:style w:type="paragraph" w:styleId="1188">
    <w:name w:val="font9"/>
    <w:basedOn w:val="1030"/>
    <w:next w:val="1188"/>
    <w:link w:val="1030"/>
    <w:qFormat/>
    <w:pPr>
      <w:jc w:val="left"/>
      <w:spacing w:before="100" w:beforeAutospacing="1" w:after="100" w:afterAutospacing="1"/>
      <w:widowControl/>
    </w:pPr>
    <w:rPr>
      <w:rFonts w:hint="eastAsia" w:ascii="宋体" w:hAnsi="宋体" w:cs="Arial Unicode MS"/>
      <w:color w:val="000000"/>
      <w:sz w:val="20"/>
      <w:szCs w:val="20"/>
    </w:rPr>
  </w:style>
  <w:style w:type="paragraph" w:styleId="1189">
    <w:name w:val="Char Char Char1 Char1"/>
    <w:basedOn w:val="1030"/>
    <w:next w:val="1189"/>
    <w:link w:val="1030"/>
    <w:qFormat/>
    <w:rPr>
      <w:rFonts w:ascii="Tahoma" w:hAnsi="Tahoma"/>
      <w:sz w:val="24"/>
      <w:szCs w:val="20"/>
    </w:rPr>
  </w:style>
  <w:style w:type="paragraph" w:styleId="1190">
    <w:name w:val="Char Char Char Char Char Char Char Char Char Char"/>
    <w:basedOn w:val="1030"/>
    <w:next w:val="1190"/>
    <w:link w:val="1030"/>
    <w:qFormat/>
  </w:style>
  <w:style w:type="paragraph" w:styleId="1191">
    <w:name w:val="Char Char1 Char Char Char Char Char Char Char Char"/>
    <w:basedOn w:val="1030"/>
    <w:next w:val="1191"/>
    <w:link w:val="1030"/>
    <w:qFormat/>
    <w:pPr>
      <w:jc w:val="left"/>
      <w:spacing w:after="160" w:line="240" w:lineRule="exact"/>
      <w:widowControl/>
    </w:pPr>
    <w:rPr>
      <w:rFonts w:ascii="Verdana" w:hAnsi="Verdana"/>
      <w:sz w:val="20"/>
      <w:szCs w:val="20"/>
      <w:lang w:eastAsia="en-US"/>
    </w:rPr>
  </w:style>
  <w:style w:type="paragraph" w:styleId="1192">
    <w:name w:val="Char1"/>
    <w:basedOn w:val="1030"/>
    <w:next w:val="1192"/>
    <w:link w:val="1030"/>
    <w:qFormat/>
    <w:pPr>
      <w:tabs>
        <w:tab w:val="left" w:pos="360" w:leader="none"/>
      </w:tabs>
    </w:pPr>
    <w:rPr>
      <w:sz w:val="24"/>
    </w:rPr>
  </w:style>
  <w:style w:type="paragraph" w:styleId="1193">
    <w:name w:val="正文列项_字母"/>
    <w:basedOn w:val="1030"/>
    <w:next w:val="1193"/>
    <w:link w:val="1030"/>
    <w:qFormat/>
    <w:pPr>
      <w:numPr>
        <w:ilvl w:val="6"/>
        <w:numId w:val="1"/>
      </w:numPr>
      <w:ind w:left="480" w:hanging="180"/>
      <w:spacing w:line="460" w:lineRule="exact"/>
      <w:tabs>
        <w:tab w:val="clear" w:pos="635" w:leader="none"/>
      </w:tabs>
      <w:outlineLvl w:val="6"/>
    </w:pPr>
    <w:rPr>
      <w:rFonts w:ascii="宋体"/>
      <w:sz w:val="28"/>
      <w:szCs w:val="20"/>
    </w:rPr>
  </w:style>
  <w:style w:type="paragraph" w:styleId="1194">
    <w:name w:val="xl28"/>
    <w:basedOn w:val="1030"/>
    <w:next w:val="119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47"/>
    <w:basedOn w:val="1030"/>
    <w:next w:val="1195"/>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默认段落字体 Para Char Char Char Char"/>
    <w:basedOn w:val="1030"/>
    <w:next w:val="1196"/>
    <w:link w:val="1030"/>
    <w:qFormat/>
    <w:rPr>
      <w:rFonts w:ascii="Arial" w:hAnsi="Arial" w:cs="Arial"/>
      <w:szCs w:val="21"/>
    </w:rPr>
  </w:style>
  <w:style w:type="paragraph" w:styleId="1197">
    <w:name w:val="xl48"/>
    <w:basedOn w:val="1030"/>
    <w:next w:val="119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8">
    <w:name w:val="xl31"/>
    <w:basedOn w:val="1030"/>
    <w:next w:val="1198"/>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name w:val="xl53"/>
    <w:basedOn w:val="1030"/>
    <w:next w:val="1199"/>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 Char Char"/>
    <w:basedOn w:val="1030"/>
    <w:next w:val="1200"/>
    <w:link w:val="1030"/>
    <w:qFormat/>
    <w:rPr>
      <w:rFonts w:ascii="Tahoma" w:hAnsi="Tahoma"/>
      <w:sz w:val="24"/>
      <w:szCs w:val="20"/>
    </w:rPr>
  </w:style>
  <w:style w:type="paragraph" w:styleId="1201">
    <w:name w:val="xl50"/>
    <w:basedOn w:val="1030"/>
    <w:next w:val="120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2">
    <w:name w:val="缺省文本"/>
    <w:basedOn w:val="1030"/>
    <w:next w:val="1202"/>
    <w:link w:val="1030"/>
    <w:qFormat/>
    <w:pPr>
      <w:jc w:val="left"/>
    </w:pPr>
    <w:rPr>
      <w:sz w:val="24"/>
    </w:rPr>
  </w:style>
  <w:style w:type="paragraph" w:styleId="1203">
    <w:name w:val="Char Char Char1"/>
    <w:basedOn w:val="1030"/>
    <w:next w:val="1203"/>
    <w:link w:val="1030"/>
    <w:qFormat/>
    <w:rPr>
      <w:rFonts w:ascii="Tahoma" w:hAnsi="Tahoma"/>
      <w:sz w:val="24"/>
      <w:szCs w:val="20"/>
    </w:rPr>
  </w:style>
  <w:style w:type="paragraph" w:styleId="1204">
    <w:name w:val="Char Char Char Char Char Char Char1"/>
    <w:basedOn w:val="1030"/>
    <w:next w:val="1204"/>
    <w:link w:val="1030"/>
    <w:qFormat/>
    <w:pPr>
      <w:ind w:firstLine="200"/>
      <w:spacing w:line="360" w:lineRule="auto"/>
    </w:pPr>
    <w:rPr>
      <w:rFonts w:eastAsia="仿宋_GB2312"/>
      <w:sz w:val="24"/>
    </w:rPr>
  </w:style>
  <w:style w:type="paragraph" w:styleId="1205">
    <w:name w:val="xl51"/>
    <w:basedOn w:val="1030"/>
    <w:next w:val="1205"/>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样式2"/>
    <w:basedOn w:val="1095"/>
    <w:next w:val="1206"/>
    <w:link w:val="1030"/>
    <w:qFormat/>
    <w:pPr>
      <w:jc w:val="center"/>
      <w:spacing w:line="360" w:lineRule="auto"/>
    </w:pPr>
    <w:rPr>
      <w:sz w:val="24"/>
    </w:rPr>
  </w:style>
  <w:style w:type="paragraph" w:styleId="1207">
    <w:name w:val="xl24"/>
    <w:basedOn w:val="1030"/>
    <w:next w:val="120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xl29"/>
    <w:basedOn w:val="1030"/>
    <w:next w:val="120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正文 + 楷体_GB2312"/>
    <w:basedOn w:val="1030"/>
    <w:next w:val="1209"/>
    <w:link w:val="1030"/>
    <w:qFormat/>
    <w:pPr>
      <w:jc w:val="left"/>
      <w:widowControl/>
    </w:pPr>
    <w:rPr>
      <w:rFonts w:ascii="楷体_GB2312" w:eastAsia="楷体_GB2312" w:cs="Arial"/>
      <w:sz w:val="24"/>
    </w:rPr>
  </w:style>
  <w:style w:type="paragraph" w:styleId="1210">
    <w:name w:val="xl34"/>
    <w:basedOn w:val="1030"/>
    <w:next w:val="1210"/>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1">
    <w:name w:val="1 Char Char Char Char"/>
    <w:basedOn w:val="1030"/>
    <w:next w:val="1211"/>
    <w:link w:val="1030"/>
    <w:qFormat/>
    <w:rPr>
      <w:rFonts w:ascii="Tahoma" w:hAnsi="Tahoma"/>
      <w:sz w:val="24"/>
      <w:szCs w:val="20"/>
    </w:rPr>
  </w:style>
  <w:style w:type="paragraph" w:styleId="1212">
    <w:name w:val="列出段落1"/>
    <w:basedOn w:val="1030"/>
    <w:next w:val="1212"/>
    <w:link w:val="1030"/>
    <w:qFormat/>
    <w:pPr>
      <w:ind w:firstLine="420"/>
    </w:pPr>
    <w:rPr>
      <w:rFonts w:ascii="Calibri" w:hAnsi="Calibri"/>
      <w:szCs w:val="22"/>
    </w:rPr>
  </w:style>
  <w:style w:type="paragraph" w:styleId="1213">
    <w:name w:val="default"/>
    <w:basedOn w:val="1030"/>
    <w:next w:val="1213"/>
    <w:link w:val="1030"/>
    <w:qFormat/>
    <w:pPr>
      <w:jc w:val="left"/>
      <w:spacing w:before="100" w:beforeAutospacing="1" w:after="100" w:afterAutospacing="1"/>
      <w:widowControl/>
    </w:pPr>
    <w:rPr>
      <w:rFonts w:ascii="宋体" w:hAnsi="宋体" w:cs="宋体"/>
      <w:sz w:val="24"/>
    </w:rPr>
  </w:style>
  <w:style w:type="paragraph" w:styleId="1214">
    <w:name w:val="字元 字元1"/>
    <w:basedOn w:val="1030"/>
    <w:next w:val="1214"/>
    <w:link w:val="1030"/>
    <w:qFormat/>
    <w:rPr>
      <w:rFonts w:ascii="Tahoma" w:hAnsi="Tahoma"/>
      <w:sz w:val="24"/>
      <w:szCs w:val="20"/>
    </w:rPr>
  </w:style>
  <w:style w:type="paragraph" w:styleId="1215">
    <w:name w:val="_Style 160"/>
    <w:next w:val="1215"/>
    <w:link w:val="1030"/>
    <w:qFormat/>
    <w:rPr>
      <w:sz w:val="21"/>
      <w:szCs w:val="24"/>
      <w:lang w:val="en-US" w:eastAsia="zh-CN" w:bidi="ar-SA"/>
    </w:rPr>
  </w:style>
  <w:style w:type="paragraph" w:styleId="1216">
    <w:name w:val="项目编号3"/>
    <w:basedOn w:val="1177"/>
    <w:next w:val="1216"/>
    <w:link w:val="1030"/>
    <w:qFormat/>
    <w:pPr>
      <w:numPr>
        <w:ilvl w:val="0"/>
        <w:numId w:val="6"/>
      </w:numPr>
    </w:pPr>
  </w:style>
  <w:style w:type="paragraph" w:styleId="1217">
    <w:name w:val="Char21"/>
    <w:basedOn w:val="1030"/>
    <w:next w:val="1217"/>
    <w:link w:val="1030"/>
    <w:qFormat/>
    <w:rPr>
      <w:rFonts w:ascii="Tahoma" w:hAnsi="Tahoma"/>
      <w:sz w:val="24"/>
      <w:szCs w:val="20"/>
    </w:rPr>
  </w:style>
  <w:style w:type="paragraph" w:styleId="1218">
    <w:name w:val="表格文字"/>
    <w:basedOn w:val="1064"/>
    <w:next w:val="1218"/>
    <w:link w:val="1030"/>
    <w:qFormat/>
    <w:pPr>
      <w:ind w:firstLine="0"/>
      <w:spacing w:before="20" w:after="20" w:line="240" w:lineRule="auto"/>
    </w:pPr>
    <w:rPr>
      <w:rFonts w:ascii="Century Gothic" w:hAnsi="Century Gothic"/>
      <w:sz w:val="20"/>
      <w:szCs w:val="20"/>
    </w:rPr>
  </w:style>
  <w:style w:type="paragraph" w:styleId="1219">
    <w:name w:val="Char Char Char Char Char Char Char Char Char Char1"/>
    <w:basedOn w:val="1030"/>
    <w:next w:val="1219"/>
    <w:link w:val="1030"/>
    <w:qFormat/>
    <w:rPr>
      <w:rFonts w:ascii="宋体" w:hAnsi="宋体" w:cs="Courier New"/>
      <w:sz w:val="32"/>
      <w:szCs w:val="32"/>
    </w:rPr>
  </w:style>
  <w:style w:type="paragraph" w:styleId="1220">
    <w:name w:val="正文文本样式 加粗"/>
    <w:basedOn w:val="1177"/>
    <w:next w:val="1220"/>
    <w:link w:val="1030"/>
    <w:qFormat/>
    <w:rPr>
      <w:b/>
    </w:rPr>
  </w:style>
  <w:style w:type="paragraph" w:styleId="1221">
    <w:name w:val="Char2 Char Char Char Char Char Char"/>
    <w:basedOn w:val="1030"/>
    <w:next w:val="1221"/>
    <w:link w:val="1030"/>
    <w:qFormat/>
    <w:pPr>
      <w:jc w:val="center"/>
      <w:spacing w:line="400" w:lineRule="exact"/>
      <w:widowControl/>
    </w:pPr>
  </w:style>
  <w:style w:type="paragraph" w:styleId="1222">
    <w:name w:val="Char Char4"/>
    <w:basedOn w:val="1030"/>
    <w:next w:val="1222"/>
    <w:link w:val="1030"/>
    <w:qFormat/>
    <w:pPr>
      <w:jc w:val="center"/>
      <w:spacing w:line="400" w:lineRule="exact"/>
      <w:widowControl/>
    </w:pPr>
  </w:style>
  <w:style w:type="paragraph" w:styleId="1223">
    <w:name w:val="Char3 Char Char Char1"/>
    <w:basedOn w:val="1030"/>
    <w:next w:val="1223"/>
    <w:link w:val="1030"/>
    <w:qFormat/>
    <w:rPr>
      <w:rFonts w:ascii="Tahoma" w:hAnsi="Tahoma"/>
      <w:sz w:val="24"/>
      <w:szCs w:val="20"/>
    </w:rPr>
  </w:style>
  <w:style w:type="paragraph" w:styleId="1224">
    <w:name w:val="无间隔"/>
    <w:next w:val="1224"/>
    <w:link w:val="1030"/>
    <w:qFormat/>
    <w:pPr>
      <w:jc w:val="both"/>
      <w:widowControl w:val="off"/>
    </w:pPr>
    <w:rPr>
      <w:sz w:val="21"/>
      <w:szCs w:val="24"/>
      <w:lang w:val="en-US" w:eastAsia="zh-CN" w:bidi="ar-SA"/>
    </w:rPr>
  </w:style>
  <w:style w:type="paragraph" w:styleId="1225">
    <w:name w:val="22222222222222"/>
    <w:basedOn w:val="1030"/>
    <w:next w:val="1225"/>
    <w:link w:val="1030"/>
    <w:qFormat/>
    <w:pPr>
      <w:ind w:firstLine="480"/>
      <w:jc w:val="left"/>
      <w:spacing w:line="360" w:lineRule="auto"/>
      <w:widowControl/>
    </w:pPr>
    <w:rPr>
      <w:color w:val="ff0000"/>
      <w:sz w:val="24"/>
      <w:szCs w:val="20"/>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paragraph" w:styleId="1228">
    <w:name w:val="图文"/>
    <w:basedOn w:val="1030"/>
    <w:next w:val="1228"/>
    <w:link w:val="1030"/>
    <w:qFormat/>
    <w:pPr>
      <w:spacing w:after="50" w:line="360" w:lineRule="auto"/>
    </w:pPr>
    <w:rPr>
      <w:sz w:val="24"/>
    </w:rPr>
  </w:style>
  <w:style w:type="paragraph" w:styleId="1229">
    <w:name w:val="xl23"/>
    <w:basedOn w:val="1030"/>
    <w:next w:val="1229"/>
    <w:link w:val="1030"/>
    <w:qFormat/>
    <w:pPr>
      <w:spacing w:before="100" w:beforeAutospacing="1" w:after="100" w:afterAutospacing="1" w:line="360" w:lineRule="auto"/>
      <w:widowControl/>
    </w:pPr>
    <w:rPr>
      <w:sz w:val="24"/>
      <w:szCs w:val="20"/>
    </w:rPr>
  </w:style>
  <w:style w:type="paragraph" w:styleId="1230">
    <w:name w:val="正文表格"/>
    <w:basedOn w:val="1030"/>
    <w:next w:val="1230"/>
    <w:link w:val="1231"/>
    <w:qFormat/>
    <w:pPr>
      <w:jc w:val="left"/>
    </w:pPr>
    <w:rPr>
      <w:rFonts w:ascii="宋体" w:hAnsi="宋体"/>
      <w:color w:val="000000"/>
      <w:szCs w:val="21"/>
    </w:rPr>
  </w:style>
  <w:style w:type="character" w:styleId="1231">
    <w:name w:val="正文表格 Char"/>
    <w:next w:val="1231"/>
    <w:link w:val="1230"/>
    <w:qFormat/>
    <w:rPr>
      <w:rFonts w:ascii="宋体" w:hAnsi="宋体"/>
      <w:color w:val="000000"/>
      <w:sz w:val="21"/>
      <w:szCs w:val="21"/>
    </w:rPr>
  </w:style>
  <w:style w:type="paragraph" w:styleId="1232">
    <w:name w:val="正文重点"/>
    <w:basedOn w:val="1030"/>
    <w:next w:val="1232"/>
    <w:link w:val="1233"/>
    <w:qFormat/>
    <w:pPr>
      <w:ind w:firstLine="482"/>
      <w:jc w:val="left"/>
      <w:spacing w:line="360" w:lineRule="auto"/>
    </w:pPr>
    <w:rPr>
      <w:b/>
      <w:sz w:val="24"/>
      <w:szCs w:val="20"/>
    </w:rPr>
  </w:style>
  <w:style w:type="character" w:styleId="1233">
    <w:name w:val="正文重点 Char"/>
    <w:next w:val="1233"/>
    <w:link w:val="1232"/>
    <w:qFormat/>
    <w:rPr>
      <w:b/>
      <w:sz w:val="24"/>
    </w:rPr>
  </w:style>
  <w:style w:type="paragraph" w:styleId="1234">
    <w:name w:val="标题1-附件"/>
    <w:basedOn w:val="1031"/>
    <w:next w:val="1234"/>
    <w:link w:val="1030"/>
    <w:qFormat/>
    <w:pPr>
      <w:jc w:val="left"/>
    </w:pPr>
    <w:rPr>
      <w:sz w:val="24"/>
      <w:szCs w:val="24"/>
    </w:rPr>
  </w:style>
  <w:style w:type="paragraph" w:styleId="1235">
    <w:name w:val="正文小标题"/>
    <w:basedOn w:val="1030"/>
    <w:next w:val="1046"/>
    <w:link w:val="1236"/>
    <w:qFormat/>
    <w:pPr>
      <w:ind w:firstLine="482"/>
      <w:jc w:val="left"/>
      <w:spacing w:before="312" w:after="312"/>
    </w:pPr>
    <w:rPr>
      <w:rFonts w:ascii="宋体" w:hAnsi="宋体"/>
      <w:b/>
      <w:i/>
      <w:color w:val="ff0000"/>
      <w:sz w:val="24"/>
      <w:szCs w:val="20"/>
    </w:rPr>
  </w:style>
  <w:style w:type="character" w:styleId="1236">
    <w:name w:val="正文小标题 Char"/>
    <w:next w:val="1236"/>
    <w:link w:val="1235"/>
    <w:qFormat/>
    <w:rPr>
      <w:rFonts w:ascii="宋体" w:hAnsi="宋体"/>
      <w:b/>
      <w:i/>
      <w:color w:val="ff0000"/>
      <w:sz w:val="24"/>
    </w:rPr>
  </w:style>
  <w:style w:type="paragraph" w:styleId="1237">
    <w:name w:val="正文大标题"/>
    <w:basedOn w:val="1235"/>
    <w:next w:val="1046"/>
    <w:link w:val="1238"/>
    <w:qFormat/>
    <w:pPr>
      <w:jc w:val="center"/>
    </w:pPr>
    <w:rPr>
      <w:i w:val="0"/>
      <w:color w:val="000000"/>
      <w:sz w:val="28"/>
      <w:szCs w:val="21"/>
    </w:rPr>
  </w:style>
  <w:style w:type="character" w:styleId="1238">
    <w:name w:val="正文大标题 Char"/>
    <w:next w:val="1238"/>
    <w:link w:val="1237"/>
    <w:qFormat/>
    <w:rPr>
      <w:rFonts w:ascii="宋体" w:hAnsi="宋体"/>
      <w:b/>
      <w:color w:val="000000"/>
      <w:sz w:val="28"/>
      <w:szCs w:val="21"/>
    </w:rPr>
  </w:style>
  <w:style w:type="paragraph" w:styleId="1239">
    <w:name w:val="注释"/>
    <w:basedOn w:val="1030"/>
    <w:next w:val="1239"/>
    <w:link w:val="1240"/>
    <w:qFormat/>
    <w:pPr>
      <w:ind w:left="420" w:hanging="420"/>
      <w:jc w:val="left"/>
    </w:pPr>
    <w:rPr>
      <w:rFonts w:ascii="宋体" w:hAnsi="宋体"/>
      <w:szCs w:val="21"/>
    </w:rPr>
  </w:style>
  <w:style w:type="character" w:styleId="1240">
    <w:name w:val="注释 Char"/>
    <w:next w:val="1240"/>
    <w:link w:val="1239"/>
    <w:qFormat/>
    <w:rPr>
      <w:rFonts w:ascii="宋体" w:hAnsi="宋体"/>
      <w:sz w:val="21"/>
      <w:szCs w:val="21"/>
    </w:rPr>
  </w:style>
  <w:style w:type="paragraph" w:styleId="1241">
    <w:name w:val="正文须知-1级"/>
    <w:basedOn w:val="1030"/>
    <w:next w:val="1030"/>
    <w:link w:val="1030"/>
    <w:qFormat/>
    <w:pPr>
      <w:numPr>
        <w:ilvl w:val="0"/>
        <w:numId w:val="7"/>
      </w:numPr>
      <w:spacing w:line="300" w:lineRule="auto"/>
    </w:pPr>
    <w:rPr>
      <w:rFonts w:ascii="宋体" w:hAnsi="Calibri"/>
      <w:sz w:val="24"/>
      <w:szCs w:val="21"/>
    </w:rPr>
  </w:style>
  <w:style w:type="paragraph" w:styleId="1242">
    <w:name w:val="正文须知-2级"/>
    <w:basedOn w:val="1030"/>
    <w:next w:val="1242"/>
    <w:link w:val="1030"/>
    <w:qFormat/>
    <w:pPr>
      <w:numPr>
        <w:ilvl w:val="1"/>
        <w:numId w:val="7"/>
      </w:numPr>
      <w:spacing w:line="300" w:lineRule="auto"/>
    </w:pPr>
    <w:rPr>
      <w:rFonts w:ascii="宋体" w:hAnsi="Calibri"/>
      <w:sz w:val="24"/>
      <w:szCs w:val="21"/>
    </w:rPr>
  </w:style>
  <w:style w:type="paragraph" w:styleId="1243">
    <w:name w:val="正文须知-3级"/>
    <w:basedOn w:val="1030"/>
    <w:next w:val="1243"/>
    <w:link w:val="1030"/>
    <w:qFormat/>
    <w:pPr>
      <w:numPr>
        <w:ilvl w:val="2"/>
        <w:numId w:val="7"/>
      </w:numPr>
      <w:ind w:hanging="355"/>
      <w:spacing w:line="300" w:lineRule="auto"/>
    </w:pPr>
    <w:rPr>
      <w:rFonts w:ascii="宋体" w:hAnsi="Calibri"/>
      <w:sz w:val="24"/>
      <w:szCs w:val="21"/>
    </w:rPr>
  </w:style>
  <w:style w:type="character" w:styleId="1244">
    <w:name w:val="纯文本 字符"/>
    <w:next w:val="1244"/>
    <w:link w:val="1030"/>
    <w:uiPriority w:val="99"/>
    <w:qFormat/>
    <w:rPr>
      <w:rFonts w:ascii="宋体" w:hAnsi="Courier New" w:eastAsia="宋体" w:cs="Times New Roman"/>
      <w:sz w:val="21"/>
      <w:szCs w:val="21"/>
      <w:lang w:val="en-US" w:eastAsia="zh-CN" w:bidi="ar-SA"/>
    </w:rPr>
  </w:style>
  <w:style w:type="paragraph" w:styleId="1245">
    <w:name w:val="表格1"/>
    <w:basedOn w:val="1030"/>
    <w:next w:val="1245"/>
    <w:link w:val="1030"/>
    <w:qFormat/>
    <w:pPr>
      <w:ind w:firstLine="480"/>
      <w:jc w:val="center"/>
    </w:pPr>
    <w:rPr>
      <w:sz w:val="24"/>
      <w:szCs w:val="20"/>
    </w:rPr>
  </w:style>
  <w:style w:type="character" w:styleId="1246">
    <w:name w:val="纯文本 字符1"/>
    <w:next w:val="1246"/>
    <w:link w:val="1030"/>
    <w:qFormat/>
    <w:rPr>
      <w:rFonts w:ascii="宋体" w:hAnsi="Courier New"/>
    </w:rPr>
  </w:style>
  <w:style w:type="character" w:styleId="1247">
    <w:name w:val="bjh-p"/>
    <w:next w:val="1247"/>
    <w:link w:val="1030"/>
    <w:qFormat/>
  </w:style>
  <w:style w:type="paragraph" w:styleId="1248">
    <w:name w:val="无标题条"/>
    <w:next w:val="1030"/>
    <w:link w:val="1030"/>
    <w:qFormat/>
    <w:pPr>
      <w:jc w:val="both"/>
    </w:pPr>
    <w:rPr>
      <w:sz w:val="21"/>
      <w:lang w:val="en-US" w:eastAsia="zh-CN" w:bidi="ar-SA"/>
    </w:rPr>
  </w:style>
  <w:style w:type="character" w:styleId="1249">
    <w:name w:val="正文格式 Char"/>
    <w:next w:val="1249"/>
    <w:link w:val="1250"/>
    <w:qFormat/>
    <w:rPr>
      <w:rFonts w:ascii="宋体" w:hAnsi="宋体"/>
      <w:sz w:val="24"/>
      <w:szCs w:val="24"/>
      <w:lang w:val="en-GB"/>
    </w:rPr>
  </w:style>
  <w:style w:type="paragraph" w:styleId="1250">
    <w:name w:val="正文格式"/>
    <w:basedOn w:val="1030"/>
    <w:next w:val="1250"/>
    <w:link w:val="1249"/>
    <w:qFormat/>
    <w:pPr>
      <w:ind w:firstLine="480"/>
      <w:spacing w:line="360" w:lineRule="auto"/>
    </w:pPr>
    <w:rPr>
      <w:rFonts w:ascii="宋体" w:hAnsi="宋体"/>
      <w:sz w:val="24"/>
      <w:lang w:val="en-GB"/>
    </w:rPr>
  </w:style>
  <w:style w:type="character" w:styleId="1251">
    <w:name w:val="标题 3 Char"/>
    <w:next w:val="1251"/>
    <w:link w:val="1030"/>
    <w:qFormat/>
    <w:rPr>
      <w:rFonts w:ascii="宋体" w:eastAsia="宋体"/>
      <w:b/>
      <w:sz w:val="24"/>
      <w:u w:val="single"/>
      <w:lang w:val="en-US" w:eastAsia="zh-CN" w:bidi="ar-SA"/>
    </w:rPr>
  </w:style>
  <w:style w:type="character" w:styleId="1252">
    <w:name w:val="正文缩进 Char"/>
    <w:next w:val="1252"/>
    <w:link w:val="1030"/>
    <w:qFormat/>
    <w:rPr>
      <w:rFonts w:ascii="宋体" w:eastAsia="宋体"/>
      <w:sz w:val="24"/>
      <w:szCs w:val="24"/>
      <w:lang w:val="en-US" w:eastAsia="zh-CN" w:bidi="ar-SA"/>
    </w:rPr>
  </w:style>
  <w:style w:type="character" w:styleId="1253">
    <w:name w:val="Char Char111"/>
    <w:next w:val="1253"/>
    <w:link w:val="1030"/>
    <w:qFormat/>
    <w:rPr>
      <w:rFonts w:ascii="宋体" w:eastAsia="宋体"/>
      <w:b/>
      <w:sz w:val="24"/>
      <w:u w:val="single"/>
      <w:lang w:val="en-US" w:eastAsia="zh-CN" w:bidi="ar-SA"/>
    </w:rPr>
  </w:style>
  <w:style w:type="character" w:styleId="1254">
    <w:name w:val="正文文本缩进 Char"/>
    <w:next w:val="1254"/>
    <w:link w:val="1030"/>
    <w:qFormat/>
    <w:rPr>
      <w:rFonts w:eastAsia="宋体"/>
      <w:sz w:val="24"/>
      <w:szCs w:val="24"/>
      <w:lang w:val="en-US" w:eastAsia="zh-CN" w:bidi="ar-SA"/>
    </w:rPr>
  </w:style>
  <w:style w:type="character" w:styleId="1255">
    <w:name w:val="列出段落 Char"/>
    <w:next w:val="1255"/>
    <w:link w:val="1030"/>
    <w:qFormat/>
    <w:rPr>
      <w:rFonts w:ascii="Calibri" w:hAnsi="Calibri" w:eastAsia="宋体"/>
      <w:sz w:val="21"/>
      <w:szCs w:val="22"/>
      <w:lang w:val="en-US" w:eastAsia="zh-CN" w:bidi="ar-SA"/>
    </w:rPr>
  </w:style>
  <w:style w:type="character" w:styleId="1256">
    <w:name w:val="页眉 Char"/>
    <w:next w:val="1256"/>
    <w:link w:val="1030"/>
    <w:qFormat/>
    <w:rPr>
      <w:rFonts w:eastAsia="宋体"/>
      <w:sz w:val="18"/>
      <w:szCs w:val="18"/>
      <w:lang w:val="en-US" w:eastAsia="zh-CN" w:bidi="ar-SA"/>
    </w:rPr>
  </w:style>
  <w:style w:type="character" w:styleId="1257">
    <w:name w:val="标题 2 Char"/>
    <w:next w:val="1257"/>
    <w:link w:val="1030"/>
    <w:qFormat/>
    <w:rPr>
      <w:rFonts w:ascii="Arial" w:hAnsi="Arial" w:eastAsia="黑体"/>
      <w:b/>
      <w:sz w:val="30"/>
      <w:lang w:val="en-US" w:eastAsia="zh-CN" w:bidi="ar-SA"/>
    </w:rPr>
  </w:style>
  <w:style w:type="paragraph" w:styleId="1258">
    <w:name w:val="字元 字元2"/>
    <w:basedOn w:val="1030"/>
    <w:next w:val="1258"/>
    <w:link w:val="1030"/>
    <w:qFormat/>
    <w:rPr>
      <w:rFonts w:ascii="Tahoma" w:hAnsi="Tahoma"/>
      <w:sz w:val="24"/>
      <w:szCs w:val="20"/>
    </w:rPr>
  </w:style>
  <w:style w:type="paragraph" w:styleId="1259">
    <w:name w:val="Char3 Char Char Char2"/>
    <w:basedOn w:val="1030"/>
    <w:next w:val="1259"/>
    <w:link w:val="1030"/>
    <w:qFormat/>
    <w:rPr>
      <w:rFonts w:ascii="Tahoma" w:hAnsi="Tahoma"/>
      <w:sz w:val="24"/>
      <w:szCs w:val="20"/>
    </w:rPr>
  </w:style>
  <w:style w:type="paragraph" w:styleId="1260">
    <w:name w:val="正文文本缩进2"/>
    <w:basedOn w:val="1030"/>
    <w:next w:val="1260"/>
    <w:link w:val="1030"/>
    <w:qFormat/>
    <w:pPr>
      <w:ind w:firstLine="480"/>
      <w:spacing w:line="480" w:lineRule="exact"/>
    </w:pPr>
    <w:rPr>
      <w:rFonts w:ascii="宋体" w:hAnsi="宋体"/>
      <w:sz w:val="24"/>
      <w:lang w:val="zh-CN" w:eastAsia="zh-CN"/>
    </w:rPr>
  </w:style>
  <w:style w:type="paragraph" w:styleId="1261">
    <w:name w:val="Char3"/>
    <w:basedOn w:val="1030"/>
    <w:next w:val="1261"/>
    <w:link w:val="1030"/>
    <w:qFormat/>
    <w:pPr>
      <w:tabs>
        <w:tab w:val="left" w:pos="360" w:leader="none"/>
      </w:tabs>
    </w:pPr>
    <w:rPr>
      <w:sz w:val="24"/>
    </w:rPr>
  </w:style>
  <w:style w:type="paragraph" w:styleId="1262">
    <w:name w:val="Char Char Char Char Char Char Char Char Char Char Char Char Char Char Char Char1"/>
    <w:basedOn w:val="1030"/>
    <w:next w:val="1262"/>
    <w:link w:val="1030"/>
    <w:qFormat/>
    <w:pPr>
      <w:jc w:val="center"/>
      <w:spacing w:after="160" w:line="240" w:lineRule="exact"/>
      <w:widowControl/>
    </w:pPr>
    <w:rPr>
      <w:rFonts w:ascii="宋体" w:hAnsi="宋体"/>
      <w:b/>
      <w:sz w:val="30"/>
      <w:szCs w:val="30"/>
      <w:lang w:eastAsia="en-US"/>
    </w:rPr>
  </w:style>
  <w:style w:type="paragraph" w:styleId="1263">
    <w:name w:val="Char Char1 Char Char Char Char Char Char1"/>
    <w:basedOn w:val="1030"/>
    <w:next w:val="1263"/>
    <w:link w:val="1030"/>
    <w:qFormat/>
    <w:pPr>
      <w:jc w:val="left"/>
      <w:spacing w:after="160" w:line="240" w:lineRule="exact"/>
      <w:widowControl/>
    </w:pPr>
    <w:rPr>
      <w:rFonts w:ascii="Verdana" w:hAnsi="Verdana" w:eastAsia="仿宋_GB2312"/>
      <w:sz w:val="24"/>
      <w:szCs w:val="20"/>
      <w:lang w:eastAsia="en-US"/>
    </w:rPr>
  </w:style>
  <w:style w:type="paragraph" w:styleId="1264">
    <w:name w:val="列出段落2"/>
    <w:basedOn w:val="1030"/>
    <w:next w:val="1264"/>
    <w:link w:val="1030"/>
    <w:qFormat/>
    <w:pPr>
      <w:ind w:firstLine="420"/>
    </w:pPr>
    <w:rPr>
      <w:rFonts w:ascii="Calibri" w:hAnsi="Calibri"/>
      <w:szCs w:val="22"/>
    </w:rPr>
  </w:style>
  <w:style w:type="paragraph" w:styleId="1265">
    <w:name w:val="Char Char Char1 Char2"/>
    <w:basedOn w:val="1030"/>
    <w:next w:val="1265"/>
    <w:link w:val="1030"/>
    <w:qFormat/>
    <w:rPr>
      <w:rFonts w:ascii="Tahoma" w:hAnsi="Tahoma"/>
      <w:sz w:val="24"/>
      <w:szCs w:val="20"/>
    </w:rPr>
  </w:style>
  <w:style w:type="paragraph" w:styleId="1266">
    <w:name w:val="Char Char Char2"/>
    <w:basedOn w:val="1030"/>
    <w:next w:val="1266"/>
    <w:link w:val="1030"/>
    <w:qFormat/>
    <w:rPr>
      <w:rFonts w:ascii="Tahoma" w:hAnsi="Tahoma"/>
      <w:sz w:val="24"/>
      <w:szCs w:val="20"/>
    </w:rPr>
  </w:style>
  <w:style w:type="paragraph" w:styleId="1267">
    <w:name w:val="Char Char Char Char Char Char Char2"/>
    <w:basedOn w:val="1030"/>
    <w:next w:val="1267"/>
    <w:link w:val="1030"/>
    <w:qFormat/>
    <w:pPr>
      <w:ind w:firstLine="200"/>
      <w:spacing w:line="360" w:lineRule="auto"/>
    </w:pPr>
    <w:rPr>
      <w:rFonts w:eastAsia="仿宋_GB2312"/>
      <w:sz w:val="24"/>
    </w:rPr>
  </w:style>
  <w:style w:type="paragraph" w:styleId="1268">
    <w:name w:val="正文缩进2"/>
    <w:basedOn w:val="1030"/>
    <w:next w:val="1268"/>
    <w:link w:val="1030"/>
    <w:qFormat/>
    <w:pPr>
      <w:ind w:firstLine="567"/>
      <w:spacing w:line="480" w:lineRule="exact"/>
      <w:widowControl/>
    </w:pPr>
    <w:rPr>
      <w:rFonts w:ascii="宋体"/>
      <w:color w:val="000000"/>
      <w:sz w:val="28"/>
      <w:szCs w:val="20"/>
      <w:lang w:val="zh-CN" w:eastAsia="zh-CN"/>
    </w:rPr>
  </w:style>
  <w:style w:type="paragraph" w:styleId="1269">
    <w:name w:val="Revision"/>
    <w:next w:val="1269"/>
    <w:link w:val="1030"/>
    <w:qFormat/>
    <w:rPr>
      <w:sz w:val="21"/>
      <w:szCs w:val="24"/>
      <w:lang w:val="en-US" w:eastAsia="zh-CN" w:bidi="ar-SA"/>
    </w:rPr>
  </w:style>
  <w:style w:type="paragraph" w:styleId="1270">
    <w:name w:val="Char22"/>
    <w:basedOn w:val="1030"/>
    <w:next w:val="1270"/>
    <w:link w:val="1030"/>
    <w:qFormat/>
    <w:rPr>
      <w:rFonts w:ascii="Tahoma" w:hAnsi="Tahoma"/>
      <w:sz w:val="24"/>
      <w:szCs w:val="20"/>
    </w:rPr>
  </w:style>
  <w:style w:type="paragraph" w:styleId="1271">
    <w:name w:val="Char Char Char Char Char Char Char Char Char Char2"/>
    <w:basedOn w:val="1030"/>
    <w:next w:val="1271"/>
    <w:link w:val="1030"/>
    <w:qFormat/>
    <w:rPr>
      <w:rFonts w:ascii="宋体" w:hAnsi="宋体" w:cs="Courier New"/>
      <w:sz w:val="32"/>
      <w:szCs w:val="32"/>
    </w:rPr>
  </w:style>
  <w:style w:type="paragraph" w:styleId="1272">
    <w:name w:val="Char2 Char Char Char Char Char Char1"/>
    <w:basedOn w:val="1030"/>
    <w:next w:val="1272"/>
    <w:link w:val="1030"/>
    <w:qFormat/>
    <w:pPr>
      <w:jc w:val="center"/>
      <w:spacing w:line="400" w:lineRule="exact"/>
      <w:widowControl/>
    </w:pPr>
  </w:style>
  <w:style w:type="character" w:styleId="1273">
    <w:name w:val="页脚 Char"/>
    <w:next w:val="1273"/>
    <w:link w:val="1030"/>
    <w:qFormat/>
    <w:rPr>
      <w:rFonts w:ascii="宋体" w:eastAsia="宋体"/>
      <w:sz w:val="18"/>
      <w:lang w:val="en-US" w:eastAsia="zh-CN" w:bidi="ar-SA"/>
    </w:rPr>
  </w:style>
  <w:style w:type="paragraph" w:styleId="1274">
    <w:name w:val="Char Char41"/>
    <w:basedOn w:val="1030"/>
    <w:next w:val="1274"/>
    <w:link w:val="1030"/>
    <w:qFormat/>
    <w:pPr>
      <w:jc w:val="center"/>
      <w:spacing w:line="400" w:lineRule="exact"/>
      <w:widowControl/>
    </w:pPr>
  </w:style>
  <w:style w:type="character" w:styleId="1275">
    <w:name w:val="批注文字 Char"/>
    <w:next w:val="1275"/>
    <w:link w:val="1030"/>
    <w:uiPriority w:val="99"/>
    <w:qFormat/>
    <w:rPr>
      <w:sz w:val="21"/>
      <w:szCs w:val="24"/>
    </w:rPr>
  </w:style>
  <w:style w:type="character" w:styleId="1276">
    <w:name w:val="标题 Char"/>
    <w:next w:val="1276"/>
    <w:link w:val="1030"/>
    <w:qFormat/>
    <w:rPr>
      <w:b/>
      <w:sz w:val="32"/>
    </w:rPr>
  </w:style>
  <w:style w:type="paragraph" w:styleId="1277">
    <w:name w:val="图例"/>
    <w:basedOn w:val="1030"/>
    <w:next w:val="1277"/>
    <w:link w:val="1030"/>
    <w:qFormat/>
    <w:pPr>
      <w:jc w:val="center"/>
      <w:spacing w:before="120" w:after="120" w:line="360" w:lineRule="auto"/>
    </w:pPr>
    <w:rPr>
      <w:rFonts w:eastAsia="仿宋_GB2312"/>
      <w:b/>
      <w:sz w:val="24"/>
      <w:szCs w:val="20"/>
    </w:rPr>
  </w:style>
  <w:style w:type="table" w:styleId="1278">
    <w:name w:val="Table Normal"/>
    <w:next w:val="1278"/>
    <w:link w:val="1030"/>
    <w:uiPriority w:val="2"/>
    <w:unhideWhenUsed/>
    <w:qFormat/>
    <w:pPr>
      <w:widowControl w:val="off"/>
    </w:pPr>
    <w:rPr>
      <w:rFonts w:ascii="Calibri" w:hAnsi="Calibri"/>
      <w:sz w:val="22"/>
      <w:szCs w:val="22"/>
      <w:lang w:val="en-US" w:eastAsia="en-US" w:bidi="ar-SA"/>
    </w:rPr>
    <w:tblPr/>
  </w:style>
  <w:style w:type="paragraph" w:styleId="1279">
    <w:name w:val="Table Paragraph"/>
    <w:basedOn w:val="1030"/>
    <w:next w:val="1279"/>
    <w:link w:val="1030"/>
    <w:uiPriority w:val="1"/>
    <w:qFormat/>
    <w:pPr>
      <w:jc w:val="left"/>
    </w:pPr>
    <w:rPr>
      <w:rFonts w:ascii="宋体" w:hAnsi="宋体" w:cs="宋体"/>
      <w:sz w:val="22"/>
      <w:szCs w:val="22"/>
      <w:lang w:eastAsia="en-US"/>
    </w:rPr>
  </w:style>
  <w:style w:type="paragraph" w:styleId="1280">
    <w:name w:val="成文日期"/>
    <w:basedOn w:val="1030"/>
    <w:next w:val="1280"/>
    <w:link w:val="1281"/>
    <w:qFormat/>
    <w:pPr>
      <w:ind w:right="400" w:firstLine="200"/>
      <w:jc w:val="right"/>
      <w:spacing w:line="570" w:lineRule="exact"/>
    </w:pPr>
    <w:rPr>
      <w:rFonts w:ascii="仿宋_GB2312" w:eastAsia="仿宋_GB2312"/>
      <w:sz w:val="32"/>
      <w:szCs w:val="20"/>
    </w:rPr>
  </w:style>
  <w:style w:type="character" w:styleId="1281">
    <w:name w:val="成文日期 Char"/>
    <w:next w:val="1281"/>
    <w:link w:val="1280"/>
    <w:rPr>
      <w:rFonts w:ascii="仿宋_GB2312" w:eastAsia="仿宋_GB2312"/>
      <w:sz w:val="32"/>
    </w:rPr>
  </w:style>
  <w:style w:type="paragraph" w:styleId="1282">
    <w:name w:val="修订"/>
    <w:next w:val="1282"/>
    <w:link w:val="1030"/>
    <w:uiPriority w:val="99"/>
    <w:unhideWhenUsed/>
    <w:rPr>
      <w:sz w:val="21"/>
      <w:szCs w:val="24"/>
      <w:lang w:val="en-US" w:eastAsia="zh-CN" w:bidi="ar-SA"/>
    </w:rPr>
  </w:style>
  <w:style w:type="paragraph" w:styleId="1283">
    <w:name w:val="正文字缩2字"/>
    <w:basedOn w:val="1030"/>
    <w:next w:val="1283"/>
    <w:link w:val="1030"/>
    <w:qFormat/>
    <w:pPr>
      <w:ind w:left="200" w:firstLine="200"/>
      <w:spacing w:before="60" w:after="60" w:line="360" w:lineRule="auto"/>
    </w:pPr>
    <w:rPr>
      <w:szCs w:val="24"/>
    </w:rPr>
  </w:style>
  <w:style w:type="paragraph" w:styleId="1284">
    <w:name w:val="列出段落11"/>
    <w:basedOn w:val="1030"/>
    <w:next w:val="1284"/>
    <w:link w:val="1030"/>
    <w:uiPriority w:val="34"/>
    <w:qFormat/>
    <w:pPr>
      <w:ind w:firstLine="420"/>
    </w:pPr>
    <w:rPr>
      <w:szCs w:val="22"/>
    </w:rPr>
  </w:style>
  <w:style w:type="paragraph" w:styleId="1285">
    <w:name w:val="正文缩进2格"/>
    <w:basedOn w:val="1030"/>
    <w:next w:val="1030"/>
    <w:link w:val="1030"/>
    <w:qFormat/>
    <w:pPr>
      <w:ind w:firstLine="639"/>
      <w:spacing w:line="600" w:lineRule="exact"/>
    </w:pPr>
    <w:rPr>
      <w:rFonts w:ascii="仿宋_GB2312" w:hAnsi="宋体" w:eastAsia="仿宋_GB2312"/>
      <w:sz w:val="31"/>
      <w:szCs w:val="28"/>
    </w:rPr>
  </w:style>
  <w:style w:type="paragraph" w:styleId="1286">
    <w:name w:val="_Style 9"/>
    <w:basedOn w:val="1030"/>
    <w:next w:val="1128"/>
    <w:link w:val="1030"/>
    <w:uiPriority w:val="34"/>
    <w:qFormat/>
    <w:pPr>
      <w:ind w:firstLine="420"/>
    </w:pPr>
    <w:rPr>
      <w:rFonts w:ascii="Calibri" w:hAnsi="Calibri"/>
      <w:szCs w:val="22"/>
    </w:rPr>
  </w:style>
  <w:style w:type="paragraph" w:styleId="1287">
    <w:name w:val="首行缩进"/>
    <w:basedOn w:val="1030"/>
    <w:next w:val="1287"/>
    <w:link w:val="1030"/>
    <w:qFormat/>
    <w:pPr>
      <w:ind w:firstLine="480"/>
    </w:pPr>
    <w:rPr>
      <w:lang w:val="zh-CN"/>
    </w:rPr>
  </w:style>
  <w:style w:type="paragraph" w:styleId="1288">
    <w:name w:val="投标文件正文"/>
    <w:basedOn w:val="1030"/>
    <w:next w:val="1288"/>
    <w:link w:val="1030"/>
    <w:qFormat/>
    <w:pPr>
      <w:ind w:firstLine="560"/>
      <w:spacing w:line="440" w:lineRule="exact"/>
    </w:pPr>
    <w:rPr>
      <w:rFonts w:ascii="仿宋_GB2312" w:eastAsia="仿宋_GB2312"/>
      <w:bCs/>
      <w:sz w:val="28"/>
      <w:szCs w:val="28"/>
    </w:rPr>
  </w:style>
  <w:style w:type="paragraph" w:styleId="1289">
    <w:name w:val="Table Text"/>
    <w:basedOn w:val="1030"/>
    <w:next w:val="1289"/>
    <w:link w:val="1030"/>
    <w:semiHidden/>
    <w:qFormat/>
    <w:rPr>
      <w:rFonts w:ascii="宋体" w:hAnsi="宋体" w:eastAsia="宋体" w:cs="宋体"/>
      <w:sz w:val="19"/>
      <w:szCs w:val="19"/>
      <w:lang w:val="en-US" w:eastAsia="en-US" w:bidi="ar-SA"/>
    </w:rPr>
  </w:style>
  <w:style w:type="paragraph" w:styleId="1290">
    <w:name w:val="段标题"/>
    <w:basedOn w:val="1030"/>
    <w:next w:val="1046"/>
    <w:link w:val="1030"/>
    <w:qFormat/>
    <w:pPr>
      <w:jc w:val="left"/>
    </w:pPr>
    <w:rPr>
      <w:rFonts w:ascii="黑体" w:hAnsi="宋体" w:eastAsia="黑体"/>
    </w:rPr>
  </w:style>
  <w:style w:type="paragraph" w:styleId="1291">
    <w:name w:val="附件栏"/>
    <w:next w:val="1291"/>
    <w:link w:val="1030"/>
    <w:qFormat/>
    <w:pPr>
      <w:ind w:firstLine="624"/>
      <w:jc w:val="both"/>
      <w:spacing w:line="590" w:lineRule="atLeast"/>
      <w:widowControl w:val="off"/>
    </w:pPr>
    <w:rPr>
      <w:rFonts w:eastAsia="仿宋"/>
      <w:sz w:val="32"/>
      <w:lang w:val="en-US" w:eastAsia="zh-CN" w:bidi="ar-SA"/>
    </w:rPr>
  </w:style>
  <w:style w:type="character" w:styleId="1292">
    <w:name w:val="font51"/>
    <w:next w:val="1292"/>
    <w:link w:val="1030"/>
    <w:qFormat/>
    <w:rPr>
      <w:rFonts w:hint="eastAsia" w:ascii="宋体" w:hAnsi="宋体" w:eastAsia="宋体" w:cs="宋体"/>
      <w:color w:val="000000"/>
      <w:sz w:val="24"/>
      <w:szCs w:val="24"/>
      <w:u w:val="none"/>
    </w:rPr>
  </w:style>
  <w:style w:type="character" w:styleId="1293">
    <w:name w:val="font11"/>
    <w:next w:val="1293"/>
    <w:link w:val="1030"/>
    <w:qFormat/>
    <w:rPr>
      <w:rFonts w:ascii="Calibri" w:hAnsi="Calibri" w:cs="Calibri"/>
      <w:color w:val="000000"/>
      <w:sz w:val="24"/>
      <w:szCs w:val="24"/>
      <w:u w:val="none"/>
    </w:rPr>
  </w:style>
  <w:style w:type="paragraph" w:styleId="1294">
    <w:name w:val="段"/>
    <w:next w:val="1030"/>
    <w:link w:val="1030"/>
    <w:qFormat/>
    <w:pPr>
      <w:ind w:firstLine="200"/>
      <w:jc w:val="both"/>
    </w:pPr>
    <w:rPr>
      <w:rFonts w:ascii="宋体"/>
      <w:sz w:val="21"/>
      <w:lang w:val="en-US" w:eastAsia="zh-CN" w:bidi="ar-SA"/>
    </w:rPr>
  </w:style>
  <w:style w:type="character" w:styleId="1295">
    <w:name w:val="font61"/>
    <w:basedOn w:val="1040"/>
    <w:next w:val="1295"/>
    <w:link w:val="1030"/>
    <w:rPr>
      <w:rFonts w:hint="eastAsia" w:ascii="宋体" w:hAnsi="宋体" w:eastAsia="宋体" w:cs="宋体"/>
      <w:i w:val="0"/>
      <w:iCs w:val="0"/>
      <w:color w:val="000000"/>
      <w:sz w:val="21"/>
      <w:szCs w:val="21"/>
      <w:u w:val="none"/>
      <w:vertAlign w:val="superscript"/>
    </w:rPr>
  </w:style>
  <w:style w:type="character" w:styleId="1296">
    <w:name w:val="font21"/>
    <w:basedOn w:val="1040"/>
    <w:next w:val="1296"/>
    <w:link w:val="1030"/>
    <w:rPr>
      <w:rFonts w:hint="eastAsia" w:ascii="宋体" w:hAnsi="宋体" w:eastAsia="宋体" w:cs="宋体"/>
      <w:b/>
      <w:bCs/>
      <w:i w:val="0"/>
      <w:iCs w:val="0"/>
      <w:color w:val="000000"/>
      <w:sz w:val="21"/>
      <w:szCs w:val="21"/>
      <w:u w:val="none"/>
    </w:rPr>
  </w:style>
  <w:style w:type="character" w:styleId="1297">
    <w:name w:val="font31"/>
    <w:basedOn w:val="1040"/>
    <w:next w:val="1297"/>
    <w:link w:val="1030"/>
    <w:rPr>
      <w:rFonts w:hint="eastAsia" w:ascii="宋体" w:hAnsi="宋体" w:eastAsia="宋体" w:cs="宋体"/>
      <w:i w:val="0"/>
      <w:iCs w:val="0"/>
      <w:color w:val="000000"/>
      <w:sz w:val="24"/>
      <w:szCs w:val="24"/>
      <w:u w:val="none"/>
    </w:rPr>
  </w:style>
  <w:style w:type="character" w:styleId="1298">
    <w:name w:val="font41"/>
    <w:basedOn w:val="1040"/>
    <w:next w:val="1298"/>
    <w:link w:val="1030"/>
    <w:rPr>
      <w:rFonts w:ascii="Times New Roman" w:hAnsi="Times New Roman" w:cs="Times New Roman"/>
      <w:i w:val="0"/>
      <w:iCs w:val="0"/>
      <w:color w:val="000000"/>
      <w:sz w:val="21"/>
      <w:szCs w:val="21"/>
      <w:u w:val="none"/>
    </w:rPr>
  </w:style>
  <w:style w:type="paragraph" w:styleId="1299">
    <w:name w:val="Plain Text"/>
    <w:basedOn w:val="1030"/>
    <w:next w:val="1299"/>
    <w:link w:val="1030"/>
    <w:qFormat/>
    <w:rPr>
      <w:rFonts w:ascii="宋体" w:hAnsi="Courier New" w:eastAsia="楷体_GB2312"/>
      <w:sz w:val="28"/>
    </w:rPr>
  </w:style>
  <w:style w:type="paragraph" w:styleId="1300">
    <w:name w:val="纯文本1"/>
    <w:basedOn w:val="1030"/>
    <w:next w:val="1300"/>
    <w:link w:val="1030"/>
    <w:qFormat/>
    <w:rPr>
      <w:rFonts w:ascii="宋体" w:hAnsi="Courier New" w:eastAsia="楷体_GB2312"/>
      <w:sz w:val="28"/>
    </w:rPr>
  </w:style>
  <w:style w:type="paragraph" w:styleId="1301">
    <w:name w:val="一、"/>
    <w:next w:val="1301"/>
    <w:link w:val="1030"/>
    <w:qFormat/>
    <w:pPr>
      <w:ind w:firstLine="640"/>
      <w:jc w:val="both"/>
      <w:widowControl w:val="off"/>
    </w:pPr>
    <w:rPr>
      <w:rFonts w:ascii="Times New Roman" w:hAnsi="Times New Roman" w:eastAsia="黑体" w:cs="Times New Roman"/>
      <w:sz w:val="21"/>
      <w:szCs w:val="32"/>
      <w:lang w:val="en-US" w:eastAsia="zh-CN" w:bidi="ar-SA"/>
    </w:rPr>
  </w:style>
  <w:style w:type="character" w:styleId="16064" w:default="1">
    <w:name w:val="Default Paragraph Font"/>
    <w:uiPriority w:val="1"/>
    <w:semiHidden/>
    <w:unhideWhenUsed/>
  </w:style>
  <w:style w:type="numbering" w:styleId="16065" w:default="1">
    <w:name w:val="No List"/>
    <w:uiPriority w:val="99"/>
    <w:semiHidden/>
    <w:unhideWhenUsed/>
  </w:style>
  <w:style w:type="table" w:styleId="16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3</cp:revision>
  <dcterms:created xsi:type="dcterms:W3CDTF">2024-07-31T08:33:00Z</dcterms:created>
  <dcterms:modified xsi:type="dcterms:W3CDTF">2026-10-24T08:12:39Z</dcterms:modified>
</cp:coreProperties>
</file>