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widowControl/>
        <w:rPr>
          <w:rFonts w:eastAsia="宋体"/>
          <w:b/>
          <w:bCs/>
          <w:color w:val="auto"/>
          <w:sz w:val="116"/>
          <w:szCs w:val="24"/>
          <w:highlight w:val="none"/>
        </w:rPr>
      </w:pPr>
      <w:r>
        <w:rPr>
          <w:rFonts w:eastAsia="宋体"/>
          <w:b/>
          <w:bCs/>
          <w:color w:val="auto"/>
          <w:sz w:val="116"/>
          <w:szCs w:val="24"/>
          <w:highlight w:val="none"/>
        </w:rPr>
      </w:r>
      <w:r/>
    </w:p>
    <w:p>
      <w:pPr>
        <w:jc w:val="center"/>
        <w:shd w:val="clear" w:color="auto"/>
        <w:widowControl/>
        <w:rPr>
          <w:rFonts w:eastAsia="宋体"/>
          <w:b/>
          <w:bCs/>
          <w:color w:val="auto"/>
          <w:sz w:val="116"/>
          <w:szCs w:val="24"/>
          <w:highlight w:val="none"/>
        </w:rPr>
        <w:outlineLvl w:val="0"/>
      </w:pPr>
      <w:r/>
      <w:bookmarkStart w:id="0" w:name="_Toc7425"/>
      <w:r/>
      <w:bookmarkStart w:id="1" w:name="_Toc19594"/>
      <w:r/>
      <w:bookmarkStart w:id="2" w:name="_Toc2364"/>
      <w:r/>
      <w:bookmarkStart w:id="3" w:name="_Toc3039"/>
      <w:r>
        <w:rPr>
          <w:rFonts w:hint="eastAsia" w:eastAsia="宋体"/>
          <w:b/>
          <w:bCs/>
          <w:color w:val="auto"/>
          <w:sz w:val="116"/>
          <w:szCs w:val="24"/>
          <w:highlight w:val="none"/>
        </w:rPr>
        <w:t xml:space="preserve">苏州市政府采购</w:t>
      </w:r>
      <w:bookmarkEnd w:id="0"/>
      <w:r/>
      <w:bookmarkEnd w:id="1"/>
      <w:r/>
      <w:bookmarkEnd w:id="2"/>
      <w:r/>
      <w:bookmarkEnd w:id="3"/>
      <w:r/>
      <w:r/>
    </w:p>
    <w:p>
      <w:pPr>
        <w:jc w:val="center"/>
        <w:shd w:val="clear" w:color="auto"/>
        <w:rPr>
          <w:b/>
          <w:bCs/>
          <w:color w:val="auto"/>
          <w:sz w:val="48"/>
          <w:szCs w:val="96"/>
          <w:highlight w:val="none"/>
        </w:rPr>
      </w:pPr>
      <w:r>
        <w:rPr>
          <w:rFonts w:hint="eastAsia"/>
          <w:b/>
          <w:bCs/>
          <w:color w:val="auto"/>
          <w:sz w:val="48"/>
          <w:szCs w:val="96"/>
          <w:highlight w:val="none"/>
        </w:rPr>
        <w:t xml:space="preserve"> </w:t>
      </w:r>
      <w:r/>
    </w:p>
    <w:p>
      <w:pPr>
        <w:jc w:val="center"/>
        <w:shd w:val="clear" w:color="auto"/>
        <w:rPr>
          <w:rFonts w:eastAsia="黑体"/>
          <w:b/>
          <w:color w:val="auto"/>
          <w:sz w:val="21"/>
          <w:szCs w:val="21"/>
          <w:highlight w:val="none"/>
        </w:rPr>
      </w:pPr>
      <w:r>
        <w:rPr>
          <w:rFonts w:hint="eastAsia" w:eastAsia="宋体"/>
          <w:b/>
          <w:bCs/>
          <w:color w:val="auto"/>
          <w:sz w:val="116"/>
          <w:szCs w:val="24"/>
          <w:highlight w:val="none"/>
        </w:rPr>
        <w:t xml:space="preserve">招 标 文 件</w:t>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ind w:firstLine="2250"/>
        <w:jc w:val="center"/>
        <w:spacing w:line="360" w:lineRule="auto"/>
        <w:shd w:val="clear" w:color="auto"/>
        <w:rPr>
          <w:rFonts w:eastAsia="宋体"/>
          <w:color w:val="auto"/>
          <w:sz w:val="30"/>
          <w:szCs w:val="24"/>
          <w:highlight w:val="none"/>
        </w:rPr>
      </w:pPr>
      <w:r>
        <w:rPr>
          <w:rFonts w:eastAsia="宋体"/>
          <w:color w:val="auto"/>
          <w:sz w:val="30"/>
          <w:szCs w:val="24"/>
          <w:highlight w:val="none"/>
        </w:rPr>
      </w:r>
      <w:r/>
    </w:p>
    <w:p>
      <w:pPr>
        <w:ind w:firstLine="1285"/>
        <w:spacing w:line="360" w:lineRule="auto"/>
        <w:shd w:val="clear" w:color="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JSZC-320508-ZCZX-G2026-0061</w:t>
      </w:r>
      <w:r>
        <w:rPr>
          <w:rFonts w:hint="eastAsia" w:hAnsi="宋体" w:eastAsia="宋体"/>
          <w:b/>
          <w:color w:val="auto"/>
          <w:sz w:val="32"/>
          <w:szCs w:val="32"/>
          <w:highlight w:val="none"/>
        </w:rPr>
        <w:t xml:space="preserve">号</w:t>
      </w:r>
      <w:r/>
    </w:p>
    <w:p>
      <w:pPr>
        <w:ind w:firstLine="1285"/>
        <w:spacing w:line="360" w:lineRule="auto"/>
        <w:shd w:val="clear" w:color="auto"/>
        <w:rPr>
          <w:rFonts w:hint="eastAsia" w:hAnsi="宋体" w:eastAsia="宋体"/>
          <w:b/>
          <w:color w:val="auto"/>
          <w:sz w:val="32"/>
          <w:szCs w:val="32"/>
          <w:highlight w:val="none"/>
          <w:lang w:eastAsia="zh-CN"/>
        </w:rPr>
        <w:outlineLvl w:val="0"/>
      </w:pPr>
      <w:r/>
      <w:bookmarkStart w:id="4" w:name="_Toc15975"/>
      <w:r/>
      <w:bookmarkStart w:id="5" w:name="_Toc10555"/>
      <w:r/>
      <w:bookmarkStart w:id="6" w:name="_Toc14430"/>
      <w:r/>
      <w:bookmarkStart w:id="7" w:name="_Toc16948"/>
      <w:r>
        <w:rPr>
          <w:rFonts w:hAnsi="宋体" w:eastAsia="宋体"/>
          <w:b/>
          <w:color w:val="auto"/>
          <w:sz w:val="32"/>
          <w:szCs w:val="32"/>
          <w:highlight w:val="none"/>
        </w:rPr>
        <w:t xml:space="preserve">采购项目：</w:t>
      </w:r>
      <w:bookmarkEnd w:id="4"/>
      <w:r/>
      <w:bookmarkEnd w:id="5"/>
      <w:r/>
      <w:bookmarkEnd w:id="6"/>
      <w:r/>
      <w:bookmarkEnd w:id="7"/>
      <w:r>
        <w:rPr>
          <w:rFonts w:hint="eastAsia" w:hAnsi="宋体" w:eastAsia="宋体"/>
          <w:b/>
          <w:color w:val="auto"/>
          <w:sz w:val="32"/>
          <w:szCs w:val="32"/>
          <w:highlight w:val="none"/>
          <w:lang w:eastAsia="zh-CN"/>
        </w:rPr>
        <w:t xml:space="preserve">姑苏法院融合法庭建设项目</w:t>
      </w:r>
      <w:r/>
    </w:p>
    <w:p>
      <w:pPr>
        <w:ind w:firstLine="1285"/>
        <w:spacing w:line="360" w:lineRule="auto"/>
        <w:shd w:val="clear" w:color="auto"/>
        <w:rPr>
          <w:rFonts w:hAnsi="宋体" w:eastAsia="宋体"/>
          <w:b/>
          <w:color w:val="auto"/>
          <w:sz w:val="32"/>
          <w:szCs w:val="32"/>
          <w:highlight w:val="none"/>
        </w:rPr>
      </w:pPr>
      <w:r>
        <w:rPr>
          <w:rFonts w:hint="eastAsia" w:hAnsi="宋体" w:eastAsia="宋体"/>
          <w:b/>
          <w:color w:val="auto"/>
          <w:sz w:val="32"/>
          <w:szCs w:val="32"/>
          <w:highlight w:val="none"/>
        </w:rPr>
        <w:t xml:space="preserve">采购类别：货物类</w:t>
      </w:r>
      <w:r/>
    </w:p>
    <w:p>
      <w:pPr>
        <w:ind w:firstLine="1285"/>
        <w:spacing w:line="360" w:lineRule="auto"/>
        <w:shd w:val="clear" w:color="auto"/>
        <w:rPr>
          <w:rFonts w:hint="eastAsia" w:hAnsi="宋体" w:eastAsia="宋体"/>
          <w:b/>
          <w:color w:val="auto"/>
          <w:sz w:val="32"/>
          <w:szCs w:val="32"/>
          <w:highlight w:val="none"/>
          <w:lang w:eastAsia="zh-CN"/>
        </w:rPr>
      </w:pPr>
      <w:r/>
      <w:bookmarkStart w:id="8" w:name="_Toc5030"/>
      <w:r/>
      <w:bookmarkStart w:id="9" w:name="_Toc5380"/>
      <w:r/>
      <w:bookmarkStart w:id="10" w:name="_Toc22500"/>
      <w:r>
        <w:rPr>
          <w:rFonts w:hAnsi="宋体" w:eastAsia="宋体"/>
          <w:b/>
          <w:color w:val="auto"/>
          <w:sz w:val="32"/>
          <w:szCs w:val="32"/>
          <w:highlight w:val="none"/>
        </w:rPr>
        <w:t xml:space="preserve">采购单位：</w:t>
      </w:r>
      <w:bookmarkEnd w:id="8"/>
      <w:r/>
      <w:bookmarkEnd w:id="9"/>
      <w:r/>
      <w:bookmarkEnd w:id="10"/>
      <w:r>
        <w:rPr>
          <w:rFonts w:hint="eastAsia" w:hAnsi="宋体" w:eastAsia="宋体"/>
          <w:b/>
          <w:color w:val="auto"/>
          <w:sz w:val="32"/>
          <w:szCs w:val="32"/>
          <w:highlight w:val="none"/>
          <w:lang w:eastAsia="zh-CN"/>
        </w:rPr>
        <w:t xml:space="preserve">苏州市姑苏区人民法院（机关）</w:t>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pacing w:line="360" w:lineRule="auto"/>
        <w:shd w:val="clear" w:color="auto"/>
        <w:rPr>
          <w:rFonts w:eastAsia="黑体"/>
          <w:b/>
          <w:color w:val="auto"/>
          <w:sz w:val="36"/>
          <w:highlight w:val="none"/>
        </w:rPr>
      </w:pPr>
      <w:r>
        <w:rPr>
          <w:rFonts w:eastAsia="黑体"/>
          <w:b/>
          <w:color w:val="auto"/>
          <w:sz w:val="36"/>
          <w:highlight w:val="none"/>
        </w:rPr>
      </w:r>
      <w:r/>
    </w:p>
    <w:p>
      <w:pPr>
        <w:jc w:val="center"/>
        <w:shd w:val="clear" w:color="auto"/>
        <w:rPr>
          <w:rFonts w:ascii="宋体" w:hAnsi="宋体" w:eastAsia="宋体"/>
          <w:b/>
          <w:color w:val="auto"/>
          <w:sz w:val="32"/>
          <w:highlight w:val="none"/>
        </w:rPr>
        <w:outlineLvl w:val="0"/>
      </w:pPr>
      <w:r/>
      <w:bookmarkStart w:id="11" w:name="_Toc31200"/>
      <w:r/>
      <w:bookmarkStart w:id="12" w:name="_Toc32228"/>
      <w:r/>
      <w:bookmarkStart w:id="13" w:name="_Toc26476"/>
      <w:r/>
      <w:bookmarkStart w:id="14" w:name="_Toc28138"/>
      <w:r>
        <w:rPr>
          <w:rFonts w:hint="eastAsia" w:ascii="宋体" w:hAnsi="宋体" w:eastAsia="宋体"/>
          <w:b/>
          <w:color w:val="auto"/>
          <w:sz w:val="32"/>
          <w:highlight w:val="none"/>
        </w:rPr>
        <w:t xml:space="preserve">中诚智信工程咨询集团股份有限公司</w:t>
      </w:r>
      <w:bookmarkEnd w:id="11"/>
      <w:r/>
      <w:bookmarkEnd w:id="12"/>
      <w:r/>
      <w:bookmarkEnd w:id="13"/>
      <w:r/>
      <w:bookmarkEnd w:id="14"/>
      <w:r/>
      <w:r/>
    </w:p>
    <w:p>
      <w:pPr>
        <w:jc w:val="center"/>
        <w:shd w:val="clear" w:color="auto"/>
        <w:rPr>
          <w:rFonts w:ascii="宋体" w:hAnsi="宋体" w:eastAsia="宋体"/>
          <w:b/>
          <w:color w:val="auto"/>
          <w:sz w:val="32"/>
          <w:highlight w:val="none"/>
        </w:rPr>
      </w:pPr>
      <w:r>
        <w:rPr>
          <w:rFonts w:ascii="宋体" w:hAnsi="宋体" w:eastAsia="宋体"/>
          <w:b/>
          <w:color w:val="auto"/>
          <w:sz w:val="32"/>
          <w:highlight w:val="none"/>
        </w:rPr>
        <w:t xml:space="preserve">二○</w:t>
      </w:r>
      <w:r>
        <w:rPr>
          <w:rFonts w:hint="eastAsia" w:ascii="宋体" w:hAnsi="宋体" w:eastAsia="宋体"/>
          <w:b/>
          <w:color w:val="auto"/>
          <w:sz w:val="32"/>
          <w:highlight w:val="none"/>
        </w:rPr>
        <w:t xml:space="preserve">二</w:t>
      </w:r>
      <w:r>
        <w:rPr>
          <w:rFonts w:hint="eastAsia" w:ascii="宋体" w:hAnsi="宋体" w:eastAsia="宋体"/>
          <w:b/>
          <w:color w:val="auto"/>
          <w:sz w:val="32"/>
          <w:highlight w:val="none"/>
          <w:lang w:val="en-US" w:eastAsia="zh-CN"/>
        </w:rPr>
        <w:t xml:space="preserve">六</w:t>
      </w:r>
      <w:r>
        <w:rPr>
          <w:rFonts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十</w:t>
      </w:r>
      <w:r>
        <w:rPr>
          <w:rFonts w:ascii="宋体" w:hAnsi="宋体" w:eastAsia="宋体"/>
          <w:b/>
          <w:color w:val="auto"/>
          <w:sz w:val="32"/>
          <w:highlight w:val="none"/>
        </w:rPr>
        <w:t xml:space="preserve">月</w:t>
      </w:r>
      <w:r/>
    </w:p>
    <w:p>
      <w:pPr>
        <w:jc w:val="center"/>
        <w:shd w:val="clear" w:color="auto"/>
        <w:rPr>
          <w:rFonts w:ascii="黑体" w:eastAsia="黑体"/>
          <w:b/>
          <w:bCs/>
          <w:color w:val="auto"/>
          <w:spacing w:val="20"/>
          <w:sz w:val="30"/>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800" w:bottom="1440" w:left="1800" w:header="850" w:footer="964" w:gutter="0"/>
          <w:cols w:num="1" w:sep="0" w:space="1701" w:equalWidth="1"/>
          <w:docGrid w:linePitch="360"/>
          <w:titlePg/>
        </w:sectPr>
      </w:pPr>
      <w:r>
        <w:rPr>
          <w:rFonts w:ascii="黑体" w:eastAsia="黑体"/>
          <w:b/>
          <w:bCs/>
          <w:color w:val="auto"/>
          <w:spacing w:val="20"/>
          <w:sz w:val="30"/>
          <w:highlight w:val="none"/>
        </w:rPr>
      </w:r>
      <w:r/>
    </w:p>
    <w:p>
      <w:pPr>
        <w:jc w:val="center"/>
        <w:shd w:val="clear" w:color="auto"/>
        <w:rPr>
          <w:rFonts w:ascii="黑体" w:eastAsia="黑体"/>
          <w:b/>
          <w:bCs/>
          <w:color w:val="auto"/>
          <w:spacing w:val="20"/>
          <w:sz w:val="30"/>
          <w:highlight w:val="none"/>
        </w:rPr>
      </w:pPr>
      <w:r>
        <w:rPr>
          <w:rFonts w:hint="eastAsia" w:ascii="黑体" w:eastAsia="黑体"/>
          <w:b/>
          <w:bCs/>
          <w:color w:val="auto"/>
          <w:spacing w:val="20"/>
          <w:sz w:val="30"/>
          <w:highlight w:val="none"/>
        </w:rPr>
        <w:t xml:space="preserve">前 附 表</w:t>
      </w:r>
      <w:r/>
    </w:p>
    <w:tbl>
      <w:tblPr>
        <w:tblStyle w:val="832"/>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381"/>
        <w:gridCol w:w="6644"/>
      </w:tblGrid>
      <w:tr>
        <w:trPr>
          <w:jc w:val="center"/>
          <w:trHeight w:val="90"/>
        </w:trPr>
        <w:tc>
          <w:tcPr>
            <w:tcW w:w="396" w:type="pct"/>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项号</w:t>
            </w:r>
            <w:r/>
          </w:p>
        </w:tc>
        <w:tc>
          <w:tcPr>
            <w:tcW w:w="792" w:type="pct"/>
            <w:vAlign w:val="center"/>
            <w:textDirection w:val="lrTb"/>
            <w:noWrap w:val="false"/>
          </w:tcPr>
          <w:p>
            <w:pPr>
              <w:jc w:val="center"/>
              <w:spacing w:line="400" w:lineRule="exact"/>
              <w:shd w:val="clear" w:color="auto"/>
              <w:rPr>
                <w:rFonts w:ascii="宋体" w:hAnsi="宋体" w:eastAsia="宋体"/>
                <w:b/>
                <w:bCs/>
                <w:color w:val="auto"/>
                <w:sz w:val="21"/>
                <w:szCs w:val="21"/>
                <w:highlight w:val="none"/>
                <w:lang w:val="zh-CN"/>
              </w:rPr>
            </w:pPr>
            <w:r>
              <w:rPr>
                <w:rFonts w:ascii="宋体" w:hAnsi="宋体" w:eastAsia="宋体"/>
                <w:b/>
                <w:bCs/>
                <w:color w:val="auto"/>
                <w:sz w:val="21"/>
                <w:szCs w:val="21"/>
                <w:highlight w:val="none"/>
                <w:lang w:val="zh-CN"/>
              </w:rPr>
              <w:t xml:space="preserve">名称</w:t>
            </w:r>
            <w:r/>
          </w:p>
        </w:tc>
        <w:tc>
          <w:tcPr>
            <w:tcW w:w="3811" w:type="pct"/>
            <w:vAlign w:val="center"/>
            <w:textDirection w:val="lrTb"/>
            <w:noWrap w:val="false"/>
          </w:tcPr>
          <w:p>
            <w:pPr>
              <w:jc w:val="center"/>
              <w:spacing w:line="400" w:lineRule="exact"/>
              <w:shd w:val="clear" w:color="auto"/>
              <w:rPr>
                <w:rFonts w:ascii="宋体" w:hAnsi="宋体" w:eastAsia="宋体"/>
                <w:b/>
                <w:bCs/>
                <w:color w:val="auto"/>
                <w:sz w:val="21"/>
                <w:szCs w:val="21"/>
                <w:highlight w:val="none"/>
              </w:rPr>
            </w:pPr>
            <w:r>
              <w:rPr>
                <w:rFonts w:ascii="宋体" w:hAnsi="宋体" w:eastAsia="宋体"/>
                <w:b/>
                <w:bCs/>
                <w:color w:val="auto"/>
                <w:sz w:val="21"/>
                <w:szCs w:val="21"/>
                <w:highlight w:val="none"/>
                <w:lang w:val="zh-CN"/>
              </w:rPr>
              <w:t xml:space="preserve">内      容</w:t>
            </w:r>
            <w:r/>
          </w:p>
        </w:tc>
      </w:tr>
      <w:tr>
        <w:trPr>
          <w:jc w:val="center"/>
          <w:trHeight w:val="271"/>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采购</w:t>
            </w:r>
            <w:r>
              <w:rPr>
                <w:rFonts w:ascii="宋体" w:hAnsi="宋体" w:eastAsia="宋体"/>
                <w:color w:val="auto"/>
                <w:sz w:val="21"/>
                <w:szCs w:val="21"/>
                <w:highlight w:val="none"/>
                <w:lang w:val="zh-CN"/>
              </w:rPr>
              <w:t xml:space="preserve">编号</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JSZC-320508-ZCZX-G2026-0061</w:t>
            </w:r>
            <w:r>
              <w:rPr>
                <w:rFonts w:ascii="宋体" w:hAnsi="宋体" w:eastAsia="宋体"/>
                <w:color w:val="auto"/>
                <w:sz w:val="21"/>
                <w:szCs w:val="21"/>
                <w:highlight w:val="none"/>
                <w:lang w:val="zh-CN"/>
              </w:rPr>
              <w:t xml:space="preserve">号</w:t>
            </w:r>
            <w:r/>
          </w:p>
        </w:tc>
      </w:tr>
      <w:tr>
        <w:trPr>
          <w:jc w:val="center"/>
          <w:trHeight w:val="244"/>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2</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采购</w:t>
            </w:r>
            <w:r>
              <w:rPr>
                <w:rFonts w:ascii="宋体" w:hAnsi="宋体" w:eastAsia="宋体"/>
                <w:color w:val="auto"/>
                <w:sz w:val="21"/>
                <w:szCs w:val="21"/>
                <w:highlight w:val="none"/>
                <w:lang w:val="zh-CN"/>
              </w:rPr>
              <w:t xml:space="preserve">内容</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姑苏法院融合法庭建设项目</w:t>
            </w:r>
            <w:r/>
          </w:p>
        </w:tc>
      </w:tr>
      <w:tr>
        <w:trPr>
          <w:jc w:val="center"/>
          <w:trHeight w:val="323"/>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3</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投标有效期</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六十天（日历日）</w:t>
            </w:r>
            <w:r/>
          </w:p>
        </w:tc>
      </w:tr>
      <w:tr>
        <w:trPr>
          <w:jc w:val="center"/>
          <w:trHeight w:val="378"/>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4</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投标保证金</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b/>
                <w:bCs/>
                <w:color w:val="auto"/>
                <w:sz w:val="21"/>
                <w:szCs w:val="21"/>
                <w:highlight w:val="none"/>
                <w:lang w:val="zh-CN"/>
              </w:rPr>
              <w:t xml:space="preserve">金额：无，本项目无需投标保证金，相关条款不适用。</w:t>
            </w:r>
            <w:r/>
          </w:p>
        </w:tc>
      </w:tr>
      <w:tr>
        <w:trPr>
          <w:jc w:val="center"/>
          <w:trHeight w:val="1434"/>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5</w:t>
            </w:r>
            <w:r/>
          </w:p>
        </w:tc>
        <w:tc>
          <w:tcPr>
            <w:tcW w:w="792" w:type="pct"/>
            <w:vAlign w:val="center"/>
            <w:textDirection w:val="lrTb"/>
            <w:noWrap w:val="false"/>
          </w:tcPr>
          <w:p>
            <w:pPr>
              <w:jc w:val="left"/>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询问和质疑</w:t>
            </w:r>
            <w:r/>
          </w:p>
        </w:tc>
        <w:tc>
          <w:tcPr>
            <w:tcW w:w="3811" w:type="pct"/>
            <w:vAlign w:val="bottom"/>
            <w:textDirection w:val="lrTb"/>
            <w:noWrap w:val="false"/>
          </w:tcPr>
          <w:p>
            <w:pPr>
              <w:numPr>
                <w:ilvl w:val="0"/>
                <w:numId w:val="5"/>
              </w:numPr>
              <w:spacing w:line="360" w:lineRule="auto"/>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招标文件的询问：投标人在收到招标文件后，若有问题需要询问，应于下载招标文件后，可通过公告中的联系方式及时提出，采购人或采购代理机构将予以解答。</w:t>
            </w:r>
            <w:r/>
          </w:p>
          <w:p>
            <w:pPr>
              <w:spacing w:line="360" w:lineRule="auto"/>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（2）供应商认为招标文件、采购过程和中标结果使自己的权益受到损害的，可以在知道或者应知其权益受到损害之日起七个工作日内，以</w:t>
            </w:r>
            <w:r>
              <w:rPr>
                <w:rFonts w:hint="eastAsia" w:ascii="宋体" w:hAnsi="宋体" w:eastAsia="宋体"/>
                <w:color w:val="auto"/>
                <w:sz w:val="21"/>
                <w:szCs w:val="21"/>
                <w:highlight w:val="none"/>
              </w:rPr>
              <w:t xml:space="preserve">法定</w:t>
            </w:r>
            <w:r>
              <w:rPr>
                <w:rFonts w:hint="eastAsia" w:ascii="宋体" w:hAnsi="宋体" w:eastAsia="宋体"/>
                <w:color w:val="auto"/>
                <w:sz w:val="21"/>
                <w:szCs w:val="21"/>
                <w:highlight w:val="none"/>
                <w:lang w:val="zh-CN"/>
              </w:rPr>
              <w:t xml:space="preserve">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联系部门：中诚智信工程咨询集团股份有限公司代理部</w:t>
            </w:r>
            <w:r/>
          </w:p>
          <w:p>
            <w:pPr>
              <w:spacing w:line="360" w:lineRule="auto"/>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通讯地址：</w:t>
            </w:r>
            <w:r>
              <w:rPr>
                <w:rFonts w:hint="eastAsia" w:ascii="宋体" w:hAnsi="宋体" w:eastAsia="宋体"/>
                <w:color w:val="auto"/>
                <w:sz w:val="21"/>
                <w:szCs w:val="21"/>
                <w:highlight w:val="none"/>
              </w:rPr>
              <w:t xml:space="preserve">苏州高新区潇湘路99号诚来智研发大楼5楼</w:t>
            </w:r>
            <w:r/>
          </w:p>
          <w:p>
            <w:pP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联系人：王道玉、吴伟；联系方式：0512-</w:t>
            </w:r>
            <w:r>
              <w:rPr>
                <w:rFonts w:hint="eastAsia" w:ascii="宋体" w:hAnsi="宋体" w:eastAsia="宋体"/>
                <w:color w:val="auto"/>
                <w:sz w:val="21"/>
                <w:szCs w:val="21"/>
                <w:highlight w:val="none"/>
                <w:lang w:val="en-US" w:eastAsia="zh-CN"/>
              </w:rPr>
              <w:t xml:space="preserve">68303271，</w:t>
            </w:r>
            <w:r>
              <w:rPr>
                <w:rFonts w:hint="eastAsia" w:ascii="宋体" w:hAnsi="宋体" w:eastAsia="宋体"/>
                <w:color w:val="auto"/>
                <w:sz w:val="21"/>
                <w:szCs w:val="21"/>
                <w:highlight w:val="none"/>
                <w:lang w:val="zh-CN"/>
              </w:rPr>
              <w:t xml:space="preserve">68320471</w:t>
            </w:r>
            <w:r/>
          </w:p>
        </w:tc>
      </w:tr>
      <w:tr>
        <w:trPr>
          <w:jc w:val="center"/>
          <w:trHeight w:val="1434"/>
        </w:trPr>
        <w:tc>
          <w:tcPr>
            <w:tcW w:w="396" w:type="pct"/>
            <w:vAlign w:val="center"/>
            <w:textDirection w:val="lrTb"/>
            <w:noWrap w:val="false"/>
          </w:tcPr>
          <w:p>
            <w:pPr>
              <w:jc w:val="center"/>
              <w:spacing w:line="400" w:lineRule="exact"/>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w:t>
            </w:r>
            <w:r/>
          </w:p>
        </w:tc>
        <w:tc>
          <w:tcPr>
            <w:tcW w:w="792" w:type="pct"/>
            <w:vAlign w:val="center"/>
            <w:textDirection w:val="lrTb"/>
            <w:noWrap w:val="false"/>
          </w:tcPr>
          <w:p>
            <w:pPr>
              <w:jc w:val="left"/>
              <w:spacing w:line="400" w:lineRule="exact"/>
              <w:shd w:val="clear" w:color="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zh-CN"/>
              </w:rPr>
              <w:t xml:space="preserve">现场</w:t>
            </w:r>
            <w:r>
              <w:rPr>
                <w:rFonts w:hint="eastAsia" w:ascii="宋体" w:hAnsi="宋体" w:eastAsia="宋体"/>
                <w:color w:val="auto"/>
                <w:sz w:val="21"/>
                <w:szCs w:val="21"/>
                <w:highlight w:val="none"/>
                <w:lang w:val="en-US" w:eastAsia="zh-CN"/>
              </w:rPr>
              <w:t xml:space="preserve">踏勘</w:t>
            </w:r>
            <w:r/>
          </w:p>
        </w:tc>
        <w:tc>
          <w:tcPr>
            <w:tcW w:w="3811" w:type="pct"/>
            <w:vAlign w:val="bottom"/>
            <w:textDirection w:val="lrTb"/>
            <w:noWrap w:val="false"/>
          </w:tcPr>
          <w:p>
            <w:pPr>
              <w:spacing w:line="360" w:lineRule="auto"/>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根据自身投标需要，投标人可对有关现场和周围环境进行勘察，以获取编制投标文件和签署合同所需的信息。勘察现场所发生的费用由投标人自己承担。</w:t>
            </w:r>
            <w:r/>
          </w:p>
          <w:p>
            <w:pPr>
              <w:spacing w:line="360" w:lineRule="auto"/>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勘查地点：苏州市姑苏区人民法院。</w:t>
            </w:r>
            <w:r/>
          </w:p>
          <w:p>
            <w:pPr>
              <w:spacing w:line="360" w:lineRule="auto"/>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联系人：周滢滢</w:t>
            </w:r>
            <w:r/>
          </w:p>
          <w:p>
            <w:pPr>
              <w:spacing w:line="360" w:lineRule="auto"/>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联系电话：0512-68262132</w:t>
            </w:r>
            <w:r/>
          </w:p>
        </w:tc>
      </w:tr>
      <w:tr>
        <w:trPr>
          <w:jc w:val="center"/>
          <w:trHeight w:val="599"/>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6</w:t>
            </w:r>
            <w:r/>
          </w:p>
        </w:tc>
        <w:tc>
          <w:tcPr>
            <w:tcW w:w="792" w:type="pct"/>
            <w:vAlign w:val="center"/>
            <w:textDirection w:val="lrTb"/>
            <w:noWrap w:val="false"/>
          </w:tcPr>
          <w:p>
            <w:pPr>
              <w:spacing w:line="400" w:lineRule="exact"/>
              <w:shd w:val="clear" w:color="auto"/>
              <w:tabs>
                <w:tab w:val="left" w:pos="3600" w:leader="none"/>
              </w:tabs>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采购人</w:t>
            </w:r>
            <w:r/>
          </w:p>
        </w:tc>
        <w:tc>
          <w:tcPr>
            <w:tcW w:w="3811" w:type="pct"/>
            <w:vAlign w:val="center"/>
            <w:textDirection w:val="lrTb"/>
            <w:noWrap w:val="false"/>
          </w:tcPr>
          <w:p>
            <w:pPr>
              <w:spacing w:line="400" w:lineRule="exact"/>
              <w:shd w:val="clear" w:color="auto"/>
              <w:tabs>
                <w:tab w:val="left" w:pos="3600" w:leader="none"/>
              </w:tabs>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zh-CN"/>
              </w:rPr>
              <w:t xml:space="preserve">苏州市姑苏区人民法院（机关）</w:t>
            </w:r>
            <w:r/>
          </w:p>
        </w:tc>
      </w:tr>
      <w:tr>
        <w:trPr>
          <w:jc w:val="center"/>
          <w:trHeight w:val="272"/>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7</w:t>
            </w:r>
            <w:r/>
          </w:p>
        </w:tc>
        <w:tc>
          <w:tcPr>
            <w:tcW w:w="792" w:type="pct"/>
            <w:vAlign w:val="center"/>
            <w:textDirection w:val="lrTb"/>
            <w:noWrap w:val="false"/>
          </w:tcPr>
          <w:p>
            <w:pPr>
              <w:spacing w:line="400" w:lineRule="exact"/>
              <w:shd w:val="clear" w:color="auto"/>
              <w:tabs>
                <w:tab w:val="left" w:pos="3600" w:leader="none"/>
              </w:tabs>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en-US" w:eastAsia="zh-CN"/>
              </w:rPr>
              <w:t xml:space="preserve">电子</w:t>
            </w:r>
            <w:r>
              <w:rPr>
                <w:rFonts w:ascii="宋体" w:hAnsi="宋体" w:eastAsia="宋体"/>
                <w:color w:val="auto"/>
                <w:sz w:val="21"/>
                <w:szCs w:val="21"/>
                <w:highlight w:val="none"/>
                <w:lang w:val="zh-CN"/>
              </w:rPr>
              <w:t xml:space="preserve">投标文件</w:t>
            </w:r>
            <w:r/>
          </w:p>
        </w:tc>
        <w:tc>
          <w:tcPr>
            <w:tcW w:w="3811" w:type="pct"/>
            <w:vAlign w:val="center"/>
            <w:textDirection w:val="lrTb"/>
            <w:noWrap w:val="false"/>
          </w:tcPr>
          <w:p>
            <w:pPr>
              <w:spacing w:line="400" w:lineRule="exact"/>
              <w:shd w:val="clear" w:color="auto"/>
              <w:tabs>
                <w:tab w:val="left" w:pos="3600" w:leader="none"/>
              </w:tabs>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本项目须制作电子投标文件；电子投标文件按照制作要求在投标文件提交截止时间前上传系统提交。</w:t>
            </w:r>
            <w:r/>
          </w:p>
        </w:tc>
      </w:tr>
      <w:tr>
        <w:trPr>
          <w:jc w:val="center"/>
          <w:trHeight w:val="1135"/>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8</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投标开标</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投标截止时间：202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年11月10日13</w:t>
            </w:r>
            <w:r>
              <w:rPr>
                <w:rFonts w:hint="eastAsia" w:ascii="宋体" w:hAnsi="宋体" w:eastAsia="宋体"/>
                <w:color w:val="auto"/>
                <w:sz w:val="21"/>
                <w:szCs w:val="21"/>
                <w:highlight w:val="none"/>
              </w:rPr>
              <w:t xml:space="preserve">：30 </w:t>
            </w:r>
            <w:r>
              <w:rPr>
                <w:rFonts w:hint="eastAsia" w:ascii="宋体" w:hAnsi="宋体" w:eastAsia="宋体"/>
                <w:color w:val="auto"/>
                <w:sz w:val="21"/>
                <w:szCs w:val="21"/>
                <w:highlight w:val="none"/>
                <w:lang w:val="zh-CN"/>
              </w:rPr>
              <w:t xml:space="preserve">时整</w:t>
            </w:r>
            <w:r>
              <w:rPr>
                <w:rFonts w:hint="eastAsia" w:ascii="宋体" w:hAnsi="宋体" w:eastAsia="宋体"/>
                <w:color w:val="auto"/>
                <w:sz w:val="21"/>
                <w:szCs w:val="21"/>
                <w:highlight w:val="none"/>
              </w:rPr>
              <w:t xml:space="preserve">（北京时间）</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开标时间：202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年11月10日13</w:t>
            </w:r>
            <w:r>
              <w:rPr>
                <w:rFonts w:hint="eastAsia" w:ascii="宋体" w:hAnsi="宋体" w:eastAsia="宋体"/>
                <w:color w:val="auto"/>
                <w:sz w:val="21"/>
                <w:szCs w:val="21"/>
                <w:highlight w:val="none"/>
              </w:rPr>
              <w:t xml:space="preserve">：30 </w:t>
            </w:r>
            <w:r>
              <w:rPr>
                <w:rFonts w:hint="eastAsia" w:ascii="宋体" w:hAnsi="宋体" w:eastAsia="宋体"/>
                <w:color w:val="auto"/>
                <w:sz w:val="21"/>
                <w:szCs w:val="21"/>
                <w:highlight w:val="none"/>
                <w:lang w:val="zh-CN"/>
              </w:rPr>
              <w:t xml:space="preserve">时整</w:t>
            </w:r>
            <w:r>
              <w:rPr>
                <w:rFonts w:hint="eastAsia" w:ascii="宋体" w:hAnsi="宋体" w:eastAsia="宋体"/>
                <w:color w:val="auto"/>
                <w:sz w:val="21"/>
                <w:szCs w:val="21"/>
                <w:highlight w:val="none"/>
              </w:rPr>
              <w:t xml:space="preserve">（北京时间）</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投标</w:t>
            </w:r>
            <w:r>
              <w:rPr>
                <w:rFonts w:hint="eastAsia" w:ascii="宋体" w:hAnsi="宋体" w:eastAsia="宋体"/>
                <w:color w:val="auto"/>
                <w:sz w:val="21"/>
                <w:szCs w:val="21"/>
                <w:highlight w:val="none"/>
                <w:lang w:val="zh-CN"/>
              </w:rPr>
              <w:t xml:space="preserve">开标地点：江苏省政府采购一体化平台“苏采云”系统</w:t>
            </w:r>
            <w:r/>
          </w:p>
        </w:tc>
      </w:tr>
      <w:tr>
        <w:trPr>
          <w:jc w:val="center"/>
          <w:trHeight w:val="744"/>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9</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中标服务费</w:t>
            </w:r>
            <w:r/>
          </w:p>
        </w:tc>
        <w:tc>
          <w:tcPr>
            <w:tcW w:w="3811" w:type="pct"/>
            <w:vAlign w:val="center"/>
            <w:textDirection w:val="lrTb"/>
            <w:noWrap w:val="false"/>
          </w:tcPr>
          <w:p>
            <w:pPr>
              <w:spacing w:line="400" w:lineRule="exact"/>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依据《关于进一步规范政府采购活动相关费用管理的通知》（苏财规〔2026〕1号）相关规定，本项目收取代理服务费的要求如下：</w:t>
            </w:r>
            <w:r/>
          </w:p>
          <w:p>
            <w:pPr>
              <w:spacing w:line="400" w:lineRule="exact"/>
              <w:shd w:val="clear" w:color="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（1）支付主体：本项目代理服务费由</w:t>
            </w:r>
            <w:r>
              <w:rPr>
                <w:rFonts w:hint="eastAsia" w:ascii="宋体" w:hAnsi="宋体" w:eastAsia="宋体"/>
                <w:color w:val="auto"/>
                <w:sz w:val="21"/>
                <w:szCs w:val="21"/>
                <w:highlight w:val="none"/>
                <w:lang w:val="en-US" w:eastAsia="zh-CN"/>
              </w:rPr>
              <w:t xml:space="preserve">采购人</w:t>
            </w:r>
            <w:r>
              <w:rPr>
                <w:rFonts w:hint="eastAsia" w:ascii="宋体" w:hAnsi="宋体" w:eastAsia="宋体"/>
                <w:color w:val="auto"/>
                <w:sz w:val="21"/>
                <w:szCs w:val="21"/>
                <w:highlight w:val="none"/>
                <w:lang w:val="zh-CN"/>
              </w:rPr>
              <w:t xml:space="preserve">支付。</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（2）收费标准：以如下比例按差额定率累进法进行计算：</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预算金额除代理费后预算金额100万元以下部分按该部分预算金额的1.5%计算；</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预算金额除代理费后预算金额100（含）～500万元部分按该部分预算金额的1.1%计算；</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如按上述方法计算的金额低于人民币3000元整的，则中标服务费按人民币3000元整计取。</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公司名称：中诚智信工程咨询集团股份有限公司姑苏区分公司</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开户行：中国工商银行股份有限公司苏州科技城支行</w:t>
            </w:r>
            <w:r/>
          </w:p>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账号：1102181009100067340</w:t>
            </w:r>
            <w:r/>
          </w:p>
        </w:tc>
      </w:tr>
      <w:tr>
        <w:trPr>
          <w:jc w:val="center"/>
          <w:trHeight w:val="262"/>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zh-CN"/>
              </w:rPr>
              <w:t xml:space="preserve">0</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评标方法</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见招标文件</w:t>
            </w:r>
            <w:r/>
          </w:p>
        </w:tc>
      </w:tr>
      <w:tr>
        <w:trPr>
          <w:jc w:val="center"/>
          <w:trHeight w:val="262"/>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1</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导致废标因素</w:t>
            </w:r>
            <w:r/>
          </w:p>
        </w:tc>
        <w:tc>
          <w:tcPr>
            <w:tcW w:w="3811"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出现下列情形之一的，为废标： </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（一）符合专业条件的投标人或者对招标文件作实质响应的投标人不足三家的；</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（二）出现影响采购公正的违法、违规行为的；</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（三）投标人的报价均超过了采购预算，采购人不能支付的；</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（四）因重大变故，采购任务取消的。</w:t>
            </w:r>
            <w:r/>
          </w:p>
        </w:tc>
      </w:tr>
      <w:tr>
        <w:trPr>
          <w:jc w:val="center"/>
          <w:trHeight w:val="785"/>
        </w:trPr>
        <w:tc>
          <w:tcPr>
            <w:tcW w:w="396" w:type="pct"/>
            <w:vAlign w:val="center"/>
            <w:textDirection w:val="lrTb"/>
            <w:noWrap w:val="false"/>
          </w:tcPr>
          <w:p>
            <w:pPr>
              <w:jc w:val="center"/>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2</w:t>
            </w:r>
            <w:r/>
          </w:p>
        </w:tc>
        <w:tc>
          <w:tcPr>
            <w:tcW w:w="792" w:type="pct"/>
            <w:vAlign w:val="center"/>
            <w:textDirection w:val="lrTb"/>
            <w:noWrap w:val="false"/>
          </w:tcPr>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导致无效标</w:t>
            </w:r>
            <w:r/>
          </w:p>
          <w:p>
            <w:pPr>
              <w:spacing w:line="400" w:lineRule="exact"/>
              <w:shd w:val="clear" w:color="auto"/>
              <w:rPr>
                <w:rFonts w:ascii="宋体" w:hAnsi="宋体" w:eastAsia="宋体"/>
                <w:color w:val="auto"/>
                <w:sz w:val="21"/>
                <w:szCs w:val="21"/>
                <w:highlight w:val="none"/>
                <w:lang w:val="zh-CN"/>
              </w:rPr>
            </w:pPr>
            <w:r>
              <w:rPr>
                <w:rFonts w:ascii="宋体" w:hAnsi="宋体" w:eastAsia="宋体"/>
                <w:color w:val="auto"/>
                <w:sz w:val="21"/>
                <w:szCs w:val="21"/>
                <w:highlight w:val="none"/>
                <w:lang w:val="zh-CN"/>
              </w:rPr>
              <w:t xml:space="preserve">因素</w:t>
            </w:r>
            <w:r/>
          </w:p>
        </w:tc>
        <w:tc>
          <w:tcPr>
            <w:tcW w:w="3811" w:type="pct"/>
            <w:vAlign w:val="center"/>
            <w:textDirection w:val="lrTb"/>
            <w:noWrap w:val="false"/>
          </w:tcPr>
          <w:p>
            <w:pPr>
              <w:spacing w:line="360" w:lineRule="auto"/>
              <w:rPr>
                <w:rFonts w:hint="default" w:eastAsia="宋体"/>
                <w:sz w:val="21"/>
                <w:szCs w:val="21"/>
                <w:lang w:val="zh-CN"/>
              </w:rPr>
            </w:pPr>
            <w:r>
              <w:rPr>
                <w:rFonts w:hint="default" w:hAnsi="宋体" w:eastAsia="宋体"/>
                <w:sz w:val="21"/>
                <w:szCs w:val="21"/>
                <w:lang w:val="zh-CN"/>
              </w:rPr>
              <w:t xml:space="preserve">投标文件属下列情况之一的，在资格性、符合性检查时按照无效投标处理：</w:t>
            </w:r>
            <w:r/>
          </w:p>
          <w:p>
            <w:pPr>
              <w:spacing w:line="360" w:lineRule="auto"/>
              <w:rPr>
                <w:rFonts w:hint="default" w:eastAsia="宋体"/>
                <w:sz w:val="21"/>
                <w:szCs w:val="21"/>
                <w:lang w:val="zh-CN"/>
              </w:rPr>
            </w:pPr>
            <w:r>
              <w:rPr>
                <w:rFonts w:hint="default" w:hAnsi="宋体" w:eastAsia="宋体"/>
                <w:sz w:val="21"/>
                <w:szCs w:val="21"/>
                <w:lang w:val="zh-CN"/>
              </w:rPr>
              <w:t xml:space="preserve">（一）</w:t>
            </w:r>
            <w:r>
              <w:rPr>
                <w:rFonts w:hint="eastAsia" w:ascii="宋体" w:hAnsi="宋体" w:eastAsia="宋体" w:cs="宋体"/>
                <w:sz w:val="21"/>
                <w:szCs w:val="21"/>
              </w:rPr>
              <w:t xml:space="preserve">未网上报名或</w:t>
            </w:r>
            <w:r>
              <w:rPr>
                <w:rFonts w:hint="default" w:hAnsi="宋体" w:eastAsia="宋体"/>
                <w:sz w:val="21"/>
                <w:szCs w:val="21"/>
                <w:lang w:val="zh-CN"/>
              </w:rPr>
              <w:t xml:space="preserve">应交未交投标保证金的；</w:t>
            </w:r>
            <w:r/>
          </w:p>
          <w:p>
            <w:pPr>
              <w:spacing w:line="360" w:lineRule="auto"/>
              <w:rPr>
                <w:rFonts w:hint="default" w:eastAsia="宋体"/>
                <w:sz w:val="21"/>
                <w:szCs w:val="21"/>
                <w:lang w:val="zh-CN"/>
              </w:rPr>
            </w:pPr>
            <w:r>
              <w:rPr>
                <w:rFonts w:hint="default" w:hAnsi="宋体" w:eastAsia="宋体"/>
                <w:sz w:val="21"/>
                <w:szCs w:val="21"/>
                <w:lang w:val="zh-CN"/>
              </w:rPr>
              <w:t xml:space="preserve">（二）</w:t>
            </w:r>
            <w:r>
              <w:rPr>
                <w:rFonts w:hint="eastAsia" w:hAnsi="宋体" w:eastAsia="宋体"/>
                <w:sz w:val="21"/>
                <w:szCs w:val="21"/>
                <w:lang w:val="zh-CN"/>
              </w:rPr>
              <w:t xml:space="preserve">电子投标文件</w:t>
            </w:r>
            <w:r>
              <w:rPr>
                <w:rFonts w:hint="default" w:hAnsi="宋体" w:eastAsia="宋体"/>
                <w:sz w:val="21"/>
                <w:szCs w:val="21"/>
                <w:lang w:val="zh-CN"/>
              </w:rPr>
              <w:t xml:space="preserve">未按照招标文件规定要求</w:t>
            </w:r>
            <w:r>
              <w:rPr>
                <w:rFonts w:hint="eastAsia" w:hAnsi="宋体" w:eastAsia="宋体"/>
                <w:sz w:val="21"/>
                <w:szCs w:val="21"/>
                <w:lang w:val="zh-CN"/>
              </w:rPr>
              <w:t xml:space="preserve">上传、</w:t>
            </w:r>
            <w:r>
              <w:rPr>
                <w:rFonts w:hint="default" w:hAnsi="宋体" w:eastAsia="宋体"/>
                <w:sz w:val="21"/>
                <w:szCs w:val="21"/>
                <w:lang w:val="zh-CN"/>
              </w:rPr>
              <w:t xml:space="preserve">签署、盖章的；</w:t>
            </w:r>
            <w:r/>
          </w:p>
          <w:p>
            <w:pPr>
              <w:spacing w:line="360" w:lineRule="auto"/>
              <w:rPr>
                <w:rFonts w:hint="default" w:hAnsi="宋体" w:eastAsia="宋体"/>
                <w:sz w:val="21"/>
                <w:szCs w:val="21"/>
                <w:lang w:val="zh-CN"/>
              </w:rPr>
            </w:pPr>
            <w:r>
              <w:rPr>
                <w:rFonts w:hint="default" w:hAnsi="宋体" w:eastAsia="宋体"/>
                <w:sz w:val="21"/>
                <w:szCs w:val="21"/>
                <w:lang w:val="zh-CN"/>
              </w:rPr>
              <w:t xml:space="preserve">（三）</w:t>
            </w:r>
            <w:r>
              <w:rPr>
                <w:rFonts w:hint="eastAsia" w:hAnsi="宋体" w:eastAsia="宋体"/>
                <w:sz w:val="21"/>
                <w:szCs w:val="21"/>
                <w:lang w:val="zh-CN"/>
              </w:rPr>
              <w:t xml:space="preserve">不同投标（响应）文件制作机器码一致，表明各投标（响应）文件在同台电脑上制作，各供应商之间涉嫌串通投标。如开标时，苏采云系统中显示供应商机器码一致情形，相关供应商将被视为无效投标；</w:t>
            </w:r>
            <w:r/>
          </w:p>
          <w:p>
            <w:pPr>
              <w:spacing w:line="360" w:lineRule="auto"/>
              <w:rPr>
                <w:rFonts w:hint="default" w:eastAsia="宋体"/>
                <w:sz w:val="21"/>
                <w:szCs w:val="21"/>
                <w:lang w:val="zh-CN"/>
              </w:rPr>
            </w:pPr>
            <w:r>
              <w:rPr>
                <w:rFonts w:hint="eastAsia" w:hAnsi="宋体" w:eastAsia="宋体"/>
                <w:sz w:val="21"/>
                <w:szCs w:val="21"/>
                <w:lang w:val="zh-CN"/>
              </w:rPr>
              <w:t xml:space="preserve">（四）</w:t>
            </w:r>
            <w:r>
              <w:rPr>
                <w:rFonts w:hint="default" w:hAnsi="宋体" w:eastAsia="宋体"/>
                <w:sz w:val="21"/>
                <w:szCs w:val="21"/>
                <w:lang w:val="zh-CN"/>
              </w:rPr>
              <w:t xml:space="preserve">不具备招标文件中规定资格要求的；</w:t>
            </w:r>
            <w:r/>
          </w:p>
          <w:p>
            <w:pPr>
              <w:spacing w:line="360" w:lineRule="auto"/>
              <w:rPr>
                <w:rFonts w:hint="default" w:ascii="宋体" w:hAnsi="宋体" w:eastAsia="宋体" w:cs="宋体"/>
                <w:b/>
                <w:bCs/>
                <w:sz w:val="21"/>
                <w:szCs w:val="21"/>
                <w:highlight w:val="cyan"/>
                <w:lang w:val="zh-CN"/>
              </w:rPr>
            </w:pPr>
            <w:r>
              <w:rPr>
                <w:rFonts w:hint="default" w:hAnsi="宋体" w:eastAsia="宋体"/>
                <w:sz w:val="21"/>
                <w:szCs w:val="21"/>
                <w:lang w:val="zh-CN"/>
              </w:rPr>
              <w:t xml:space="preserve">（</w:t>
            </w:r>
            <w:r>
              <w:rPr>
                <w:rFonts w:hint="eastAsia" w:hAnsi="宋体" w:eastAsia="宋体"/>
                <w:sz w:val="21"/>
                <w:szCs w:val="21"/>
                <w:lang w:val="zh-CN"/>
              </w:rPr>
              <w:t xml:space="preserve">五</w:t>
            </w:r>
            <w:r>
              <w:rPr>
                <w:rFonts w:hint="default" w:hAnsi="宋体" w:eastAsia="宋体"/>
                <w:sz w:val="21"/>
                <w:szCs w:val="21"/>
                <w:lang w:val="zh-CN"/>
              </w:rPr>
              <w:t xml:space="preserve">）不符合法律、法规和招标文件中规定的其他实质性要求的</w:t>
            </w:r>
            <w:r>
              <w:rPr>
                <w:rFonts w:hint="eastAsia" w:hAnsi="宋体" w:eastAsia="宋体"/>
                <w:sz w:val="21"/>
                <w:szCs w:val="21"/>
                <w:lang w:val="zh-CN"/>
              </w:rPr>
              <w:t xml:space="preserve">；</w:t>
            </w:r>
            <w:r/>
          </w:p>
          <w:p>
            <w:pPr>
              <w:spacing w:line="360" w:lineRule="auto"/>
              <w:rPr>
                <w:rFonts w:hint="default" w:hAnsi="宋体" w:eastAsia="宋体"/>
                <w:sz w:val="21"/>
                <w:szCs w:val="21"/>
                <w:lang w:val="zh-CN"/>
              </w:rPr>
            </w:pPr>
            <w:r>
              <w:rPr>
                <w:rFonts w:hint="default" w:hAnsi="宋体" w:eastAsia="宋体"/>
                <w:sz w:val="21"/>
                <w:szCs w:val="21"/>
                <w:lang w:val="zh-CN"/>
              </w:rPr>
              <w:t xml:space="preserve">（</w:t>
            </w:r>
            <w:r>
              <w:rPr>
                <w:rFonts w:hint="eastAsia" w:hAnsi="宋体" w:eastAsia="宋体"/>
                <w:sz w:val="21"/>
                <w:szCs w:val="21"/>
                <w:lang w:val="zh-CN"/>
              </w:rPr>
              <w:t xml:space="preserve">六</w:t>
            </w:r>
            <w:r>
              <w:rPr>
                <w:rFonts w:hint="default" w:hAnsi="宋体" w:eastAsia="宋体"/>
                <w:sz w:val="21"/>
                <w:szCs w:val="21"/>
                <w:lang w:val="zh-CN"/>
              </w:rPr>
              <w:t xml:space="preserve">）其它在招标文件中已明确为无效标的；</w:t>
            </w:r>
            <w:r/>
          </w:p>
          <w:p>
            <w:pPr>
              <w:spacing w:line="360" w:lineRule="auto"/>
              <w:rPr>
                <w:rFonts w:ascii="宋体" w:hAnsi="宋体" w:eastAsia="宋体"/>
                <w:color w:val="auto"/>
                <w:sz w:val="21"/>
                <w:szCs w:val="21"/>
                <w:highlight w:val="none"/>
                <w:lang w:val="zh-CN"/>
              </w:rPr>
            </w:pPr>
            <w:r>
              <w:rPr>
                <w:rFonts w:hint="default" w:hAnsi="宋体" w:eastAsia="宋体"/>
                <w:sz w:val="21"/>
                <w:szCs w:val="21"/>
                <w:lang w:val="zh-CN"/>
              </w:rPr>
              <w:t xml:space="preserve">（</w:t>
            </w:r>
            <w:r>
              <w:rPr>
                <w:rFonts w:hint="eastAsia" w:hAnsi="宋体" w:eastAsia="宋体"/>
                <w:sz w:val="21"/>
                <w:szCs w:val="21"/>
                <w:lang w:val="zh-CN"/>
              </w:rPr>
              <w:t xml:space="preserve">七</w:t>
            </w:r>
            <w:r>
              <w:rPr>
                <w:rFonts w:hint="default" w:hAnsi="宋体" w:eastAsia="宋体"/>
                <w:sz w:val="21"/>
                <w:szCs w:val="21"/>
                <w:lang w:val="zh-CN"/>
              </w:rPr>
              <w:t xml:space="preserve">）投标报价超过采购预算</w:t>
            </w:r>
            <w:r>
              <w:rPr>
                <w:rFonts w:hint="eastAsia" w:hAnsi="宋体" w:eastAsia="宋体"/>
                <w:sz w:val="21"/>
                <w:szCs w:val="21"/>
                <w:lang w:val="zh-CN"/>
              </w:rPr>
              <w:t xml:space="preserve">或采购最高限价</w:t>
            </w:r>
            <w:r>
              <w:rPr>
                <w:rFonts w:hint="default" w:hAnsi="宋体" w:eastAsia="宋体"/>
                <w:sz w:val="21"/>
                <w:szCs w:val="21"/>
                <w:lang w:val="zh-CN"/>
              </w:rPr>
              <w:t xml:space="preserve">的。</w:t>
            </w:r>
            <w:r/>
          </w:p>
        </w:tc>
      </w:tr>
    </w:tbl>
    <w:p>
      <w:pPr>
        <w:jc w:val="center"/>
        <w:shd w:val="clear" w:color="auto"/>
        <w:rPr>
          <w:rFonts w:ascii="宋体" w:hAnsi="宋体" w:eastAsia="宋体" w:cs="宋体"/>
          <w:color w:val="auto"/>
          <w:sz w:val="48"/>
          <w:szCs w:val="32"/>
          <w:highlight w:val="none"/>
        </w:rPr>
      </w:pPr>
      <w:r>
        <w:rPr>
          <w:rFonts w:hint="eastAsia" w:ascii="黑体" w:hAnsi="黑体" w:eastAsia="黑体" w:cs="黑体"/>
          <w:color w:val="auto"/>
          <w:sz w:val="36"/>
          <w:szCs w:val="36"/>
          <w:highlight w:val="none"/>
        </w:rPr>
        <w:br w:type="page" w:clear="all"/>
      </w:r>
      <w:bookmarkStart w:id="15" w:name="_Toc9557"/>
      <w:r/>
      <w:bookmarkStart w:id="16" w:name="_Toc12480"/>
      <w:r/>
      <w:bookmarkStart w:id="17" w:name="_Toc500740667"/>
      <w:r/>
      <w:bookmarkStart w:id="18" w:name="_Toc59044746"/>
      <w:r/>
      <w:bookmarkStart w:id="19" w:name="_Toc13642112"/>
      <w:r/>
      <w:bookmarkStart w:id="20" w:name="_Toc13642220"/>
      <w:r>
        <w:rPr>
          <w:rFonts w:hint="eastAsia" w:ascii="宋体" w:hAnsi="宋体" w:eastAsia="宋体" w:cs="宋体"/>
          <w:color w:val="auto"/>
          <w:sz w:val="36"/>
          <w:szCs w:val="32"/>
          <w:highlight w:val="none"/>
        </w:rPr>
        <w:t xml:space="preserve">目录</w:t>
      </w:r>
      <w:r/>
    </w:p>
    <w:p>
      <w:pPr>
        <w:pStyle w:val="1243"/>
        <w:shd w:val="clear" w:color="auto"/>
        <w:tabs>
          <w:tab w:val="right" w:pos="8312"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"_Toc24766" </w:instrText>
      </w:r>
      <w:r>
        <w:rPr>
          <w:color w:val="auto"/>
          <w:highlight w:val="none"/>
        </w:rPr>
        <w:fldChar w:fldCharType="separate"/>
      </w:r>
      <w:r>
        <w:rPr>
          <w:rFonts w:hint="eastAsia" w:ascii="宋体" w:hAnsi="宋体" w:cs="宋体"/>
          <w:color w:val="auto"/>
          <w:sz w:val="32"/>
          <w:szCs w:val="32"/>
          <w:highlight w:val="none"/>
        </w:rPr>
        <w:t xml:space="preserve">第一章 招标公告</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_Toc24766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"_Toc3791" </w:instrText>
      </w:r>
      <w:r>
        <w:rPr>
          <w:color w:val="auto"/>
          <w:highlight w:val="none"/>
        </w:rPr>
        <w:fldChar w:fldCharType="separate"/>
      </w:r>
      <w:r>
        <w:rPr>
          <w:rFonts w:hint="eastAsia" w:ascii="宋体" w:hAnsi="宋体" w:cs="宋体"/>
          <w:color w:val="auto"/>
          <w:sz w:val="32"/>
          <w:szCs w:val="52"/>
          <w:highlight w:val="none"/>
        </w:rPr>
        <w:t xml:space="preserve">第二章 投标人须知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_Toc3791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9</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"_Toc25288" </w:instrText>
      </w:r>
      <w:r>
        <w:rPr>
          <w:color w:val="auto"/>
          <w:highlight w:val="none"/>
        </w:rPr>
        <w:fldChar w:fldCharType="separate"/>
      </w:r>
      <w:r>
        <w:rPr>
          <w:rFonts w:hint="eastAsia" w:ascii="宋体" w:hAnsi="宋体" w:cs="宋体"/>
          <w:color w:val="auto"/>
          <w:sz w:val="32"/>
          <w:szCs w:val="32"/>
          <w:highlight w:val="none"/>
        </w:rPr>
        <w:t xml:space="preserve">第三章 投标文件格式</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_Toc25288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24</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"_Toc3004" </w:instrText>
      </w:r>
      <w:r>
        <w:rPr>
          <w:color w:val="auto"/>
          <w:highlight w:val="none"/>
        </w:rPr>
        <w:fldChar w:fldCharType="separate"/>
      </w:r>
      <w:r>
        <w:rPr>
          <w:rFonts w:hint="eastAsia" w:ascii="宋体" w:hAnsi="宋体" w:cs="宋体"/>
          <w:color w:val="auto"/>
          <w:sz w:val="32"/>
          <w:szCs w:val="52"/>
          <w:highlight w:val="none"/>
        </w:rPr>
        <w:t xml:space="preserve">第四章 招标书</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_Toc3004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43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"_Toc15753" </w:instrText>
      </w:r>
      <w:r>
        <w:rPr>
          <w:color w:val="auto"/>
          <w:highlight w:val="none"/>
        </w:rPr>
        <w:fldChar w:fldCharType="separate"/>
      </w:r>
      <w:r>
        <w:rPr>
          <w:rFonts w:hint="eastAsia" w:ascii="宋体" w:hAnsi="宋体" w:cs="宋体"/>
          <w:color w:val="auto"/>
          <w:sz w:val="32"/>
          <w:szCs w:val="52"/>
          <w:highlight w:val="none"/>
        </w:rPr>
        <w:t xml:space="preserve">第五章 合同主要条款</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_Toc15753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64</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243"/>
        <w:shd w:val="clear" w:color="auto"/>
        <w:tabs>
          <w:tab w:val="right" w:pos="8312"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"_Toc26735" </w:instrText>
      </w:r>
      <w:r>
        <w:rPr>
          <w:color w:val="auto"/>
          <w:highlight w:val="none"/>
        </w:rPr>
        <w:fldChar w:fldCharType="separate"/>
      </w:r>
      <w:r>
        <w:rPr>
          <w:rFonts w:hint="eastAsia" w:ascii="宋体" w:hAnsi="宋体" w:cs="宋体"/>
          <w:color w:val="auto"/>
          <w:sz w:val="32"/>
          <w:szCs w:val="52"/>
          <w:highlight w:val="none"/>
        </w:rPr>
        <w:t xml:space="preserve">第六章 评标办法、评分标准</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_Toc26735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71</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shd w:val="clear" w:color="auto"/>
        <w:rPr>
          <w:rFonts w:ascii="宋体" w:hAnsi="宋体" w:eastAsia="宋体" w:cs="宋体"/>
          <w:color w:val="auto"/>
          <w:sz w:val="32"/>
          <w:szCs w:val="32"/>
          <w:highlight w:val="none"/>
        </w:rPr>
        <w:sectPr>
          <w:footerReference w:type="default" r:id="rId16"/>
          <w:footerReference w:type="first" r:id="rId17"/>
          <w:footnotePr/>
          <w:endnotePr/>
          <w:type w:val="nextPage"/>
          <w:pgSz w:w="11906" w:h="16838" w:orient="portrait"/>
          <w:pgMar w:top="1440" w:right="1800" w:bottom="1440" w:left="1800" w:header="851" w:footer="992" w:gutter="0"/>
          <w:pgNumType w:start="2"/>
          <w:cols w:num="1" w:sep="0" w:space="1701" w:equalWidth="1"/>
          <w:docGrid w:linePitch="360"/>
          <w:titlePg/>
        </w:sectPr>
      </w:pPr>
      <w:r>
        <w:rPr>
          <w:rFonts w:hint="eastAsia" w:ascii="宋体" w:hAnsi="宋体" w:eastAsia="宋体" w:cs="宋体"/>
          <w:color w:val="auto"/>
          <w:sz w:val="32"/>
          <w:szCs w:val="32"/>
          <w:highlight w:val="none"/>
        </w:rPr>
        <w:fldChar w:fldCharType="end"/>
      </w:r>
      <w:r/>
    </w:p>
    <w:p>
      <w:pPr>
        <w:jc w:val="center"/>
        <w:shd w:val="clear" w:color="auto"/>
        <w:rPr>
          <w:rFonts w:ascii="黑体" w:eastAsia="黑体"/>
          <w:color w:val="auto"/>
          <w:sz w:val="36"/>
          <w:szCs w:val="22"/>
          <w:highlight w:val="none"/>
        </w:rPr>
        <w:outlineLvl w:val="0"/>
      </w:pPr>
      <w:r/>
      <w:bookmarkStart w:id="21" w:name="_Toc24766"/>
      <w:r/>
      <w:bookmarkStart w:id="22" w:name="_Toc25419"/>
      <w:r/>
      <w:bookmarkStart w:id="23" w:name="_Toc13684"/>
      <w:r/>
      <w:bookmarkStart w:id="24" w:name="_Toc20482"/>
      <w:r>
        <w:rPr>
          <w:rFonts w:ascii="黑体" w:eastAsia="黑体"/>
          <w:color w:val="auto"/>
          <w:sz w:val="36"/>
          <w:szCs w:val="22"/>
          <w:highlight w:val="none"/>
        </w:rPr>
        <w:t xml:space="preserve">第一章 </w:t>
      </w:r>
      <w:r>
        <w:rPr>
          <w:rFonts w:hint="eastAsia" w:ascii="黑体" w:eastAsia="黑体"/>
          <w:color w:val="auto"/>
          <w:sz w:val="36"/>
          <w:szCs w:val="22"/>
          <w:highlight w:val="none"/>
        </w:rPr>
        <w:t xml:space="preserve">招标公告</w:t>
      </w:r>
      <w:bookmarkEnd w:id="15"/>
      <w:r/>
      <w:bookmarkEnd w:id="16"/>
      <w:r/>
      <w:bookmarkEnd w:id="17"/>
      <w:r/>
      <w:bookmarkEnd w:id="18"/>
      <w:r/>
      <w:bookmarkEnd w:id="21"/>
      <w:r/>
      <w:bookmarkEnd w:id="22"/>
      <w:r/>
      <w:bookmarkEnd w:id="23"/>
      <w:r/>
      <w:bookmarkEnd w:id="24"/>
      <w:r/>
      <w:r/>
    </w:p>
    <w:p>
      <w:pPr>
        <w:jc w:val="center"/>
        <w:shd w:val="clear" w:color="auto"/>
        <w:rPr>
          <w:rFonts w:ascii="华文中宋" w:hAnsi="华文中宋" w:eastAsia="华文中宋"/>
          <w:b/>
          <w:bCs/>
          <w:color w:val="auto"/>
          <w:sz w:val="32"/>
          <w:szCs w:val="32"/>
          <w:highlight w:val="none"/>
        </w:rPr>
      </w:pPr>
      <w:r/>
      <w:bookmarkStart w:id="25" w:name="_Toc11248441"/>
      <w:r/>
      <w:bookmarkStart w:id="26" w:name="_Toc492478283"/>
      <w:r/>
      <w:bookmarkStart w:id="27" w:name="_Toc387680518"/>
      <w:r>
        <w:rPr>
          <w:rFonts w:hint="eastAsia" w:ascii="华文中宋" w:hAnsi="华文中宋" w:eastAsia="华文中宋"/>
          <w:b/>
          <w:bCs/>
          <w:color w:val="auto"/>
          <w:sz w:val="32"/>
          <w:szCs w:val="32"/>
          <w:highlight w:val="none"/>
          <w:lang w:eastAsia="zh-CN"/>
        </w:rPr>
        <w:t xml:space="preserve">苏州市姑苏区人民法院（机关）</w:t>
      </w:r>
      <w:r>
        <w:rPr>
          <w:rFonts w:hint="eastAsia" w:ascii="华文中宋" w:hAnsi="华文中宋" w:eastAsia="华文中宋"/>
          <w:b/>
          <w:bCs/>
          <w:color w:val="auto"/>
          <w:sz w:val="32"/>
          <w:szCs w:val="32"/>
          <w:highlight w:val="none"/>
        </w:rPr>
        <w:t xml:space="preserve">关于</w:t>
      </w:r>
      <w:r>
        <w:rPr>
          <w:rFonts w:hint="eastAsia" w:ascii="华文中宋" w:hAnsi="华文中宋" w:eastAsia="华文中宋"/>
          <w:b/>
          <w:bCs/>
          <w:color w:val="auto"/>
          <w:sz w:val="32"/>
          <w:szCs w:val="32"/>
          <w:highlight w:val="none"/>
          <w:lang w:eastAsia="zh-CN"/>
        </w:rPr>
        <w:t xml:space="preserve">姑苏法院融合法庭建设项目</w:t>
      </w:r>
      <w:r>
        <w:rPr>
          <w:rFonts w:hint="eastAsia" w:ascii="华文中宋" w:hAnsi="华文中宋" w:eastAsia="华文中宋"/>
          <w:b/>
          <w:bCs/>
          <w:color w:val="auto"/>
          <w:sz w:val="32"/>
          <w:szCs w:val="32"/>
          <w:highlight w:val="none"/>
        </w:rPr>
        <w:t xml:space="preserve">的招标公告</w:t>
      </w:r>
      <w:r/>
    </w:p>
    <w:tbl>
      <w:tblPr>
        <w:tblStyle w:val="8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shd w:val="clear" w:color="auto" w:fill="auto"/>
            <w:tcW w:w="8528" w:type="dxa"/>
            <w:textDirection w:val="lrTb"/>
            <w:noWrap w:val="false"/>
          </w:tcPr>
          <w:p>
            <w:pPr>
              <w:jc w:val="left"/>
              <w:spacing w:line="360" w:lineRule="auto"/>
              <w:shd w:val="clear" w:color="auto"/>
              <w:widowControl/>
              <w:rPr>
                <w:rFonts w:ascii="宋体" w:hAnsi="宋体" w:eastAsia="宋体" w:cs="宋体"/>
                <w:color w:val="auto"/>
                <w:sz w:val="21"/>
                <w:szCs w:val="21"/>
                <w:highlight w:val="none"/>
              </w:rPr>
            </w:pPr>
            <w:r/>
            <w:bookmarkStart w:id="28" w:name="_Toc28359012"/>
            <w:r/>
            <w:bookmarkStart w:id="29" w:name="_Toc35393798"/>
            <w:r/>
            <w:bookmarkStart w:id="30" w:name="_Toc28359089"/>
            <w:r/>
            <w:bookmarkStart w:id="31" w:name="_Toc35393629"/>
            <w:r/>
            <w:bookmarkStart w:id="32" w:name="_Hlk99457438"/>
            <w:r>
              <w:rPr>
                <w:rFonts w:hint="eastAsia" w:ascii="宋体" w:hAnsi="宋体" w:eastAsia="宋体" w:cs="宋体"/>
                <w:color w:val="auto"/>
                <w:sz w:val="21"/>
                <w:szCs w:val="21"/>
                <w:highlight w:val="none"/>
              </w:rPr>
              <w:t xml:space="preserve">项目概况</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2"/>
                <w:highlight w:val="none"/>
                <w:lang w:eastAsia="zh-CN"/>
              </w:rPr>
              <w:t xml:space="preserve">姑苏法院融合法庭建设项目</w:t>
            </w:r>
            <w:r>
              <w:rPr>
                <w:rFonts w:ascii="宋体" w:hAnsi="宋体" w:eastAsia="宋体" w:cs="宋体"/>
                <w:color w:val="auto"/>
                <w:sz w:val="21"/>
                <w:szCs w:val="22"/>
                <w:highlight w:val="none"/>
              </w:rPr>
              <w:t xml:space="preserve"> </w:t>
            </w:r>
            <w:r>
              <w:rPr>
                <w:rFonts w:hint="eastAsia" w:ascii="宋体" w:hAnsi="宋体" w:eastAsia="宋体" w:cs="宋体"/>
                <w:color w:val="auto"/>
                <w:sz w:val="21"/>
                <w:szCs w:val="22"/>
                <w:highlight w:val="none"/>
                <w:lang w:eastAsia="zh-CN"/>
              </w:rPr>
              <w:t xml:space="preserve">JSZC-320508-ZCZX-G2026-0061</w:t>
            </w:r>
            <w:r>
              <w:rPr>
                <w:rFonts w:ascii="宋体" w:hAnsi="宋体" w:eastAsia="宋体" w:cs="宋体"/>
                <w:color w:val="auto"/>
                <w:sz w:val="21"/>
                <w:szCs w:val="22"/>
                <w:highlight w:val="none"/>
              </w:rPr>
              <w:t xml:space="preserve"> 招标项目的潜在投标人应在江苏省政府采购一体化平台“苏采云”系统自行免费下载获取招标文件，并于202</w:t>
            </w:r>
            <w:r>
              <w:rPr>
                <w:rFonts w:hint="eastAsia" w:ascii="宋体" w:hAnsi="宋体" w:eastAsia="宋体" w:cs="宋体"/>
                <w:color w:val="auto"/>
                <w:sz w:val="21"/>
                <w:szCs w:val="22"/>
                <w:highlight w:val="none"/>
                <w:lang w:val="en-US" w:eastAsia="zh-CN"/>
              </w:rPr>
              <w:t xml:space="preserve">6</w:t>
            </w:r>
            <w:r>
              <w:rPr>
                <w:rFonts w:ascii="宋体" w:hAnsi="宋体" w:eastAsia="宋体" w:cs="宋体"/>
                <w:color w:val="auto"/>
                <w:sz w:val="21"/>
                <w:szCs w:val="22"/>
                <w:highlight w:val="none"/>
              </w:rPr>
              <w:t xml:space="preserve">-11</w:t>
            </w:r>
            <w:r>
              <w:rPr>
                <w:rFonts w:ascii="宋体" w:hAnsi="宋体" w:eastAsia="宋体" w:cs="宋体"/>
                <w:color w:val="auto"/>
                <w:sz w:val="21"/>
                <w:szCs w:val="22"/>
                <w:highlight w:val="none"/>
              </w:rPr>
              <w:t xml:space="preserve">-10</w:t>
            </w:r>
            <w:r>
              <w:rPr>
                <w:rFonts w:ascii="宋体" w:hAnsi="宋体" w:eastAsia="宋体" w:cs="宋体"/>
                <w:color w:val="auto"/>
                <w:sz w:val="21"/>
                <w:szCs w:val="22"/>
                <w:highlight w:val="none"/>
              </w:rPr>
              <w:t xml:space="preserve"> 13:30（北京时间）前递交投标文件</w:t>
            </w:r>
            <w:r>
              <w:rPr>
                <w:rFonts w:hint="eastAsia" w:ascii="宋体" w:hAnsi="宋体" w:eastAsia="宋体" w:cs="宋体"/>
                <w:color w:val="auto"/>
                <w:sz w:val="21"/>
                <w:szCs w:val="21"/>
                <w:highlight w:val="none"/>
              </w:rPr>
              <w:t xml:space="preserve">。</w:t>
            </w:r>
            <w:r/>
          </w:p>
        </w:tc>
      </w:tr>
    </w:tbl>
    <w:p>
      <w:pPr>
        <w:keepLines w:val="0"/>
        <w:keepNext w:val="0"/>
        <w:pageBreakBefore w:val="0"/>
        <w:spacing w:line="400" w:lineRule="exact"/>
        <w:shd w:val="clear" w:color="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bookmarkEnd w:id="28"/>
      <w:r/>
      <w:bookmarkEnd w:id="29"/>
      <w:r/>
      <w:bookmarkEnd w:id="30"/>
      <w:r/>
      <w:bookmarkEnd w:id="31"/>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JSZC-320508-ZCZX-G2026-0061</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姑苏法院融合法庭建设项目</w:t>
      </w:r>
      <w:r/>
    </w:p>
    <w:p>
      <w:pPr>
        <w:ind w:left="0" w:right="0" w:firstLine="420"/>
        <w:keepLines w:val="0"/>
        <w:keepNext w:val="0"/>
        <w:pageBreakBefore w:val="0"/>
        <w:spacing w:before="0" w:after="0"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w:t>
      </w:r>
      <w:r>
        <w:rPr>
          <w:rFonts w:hint="eastAsia" w:ascii="宋体" w:hAnsi="宋体" w:eastAsia="宋体" w:cs="宋体"/>
          <w:color w:val="000000"/>
          <w:sz w:val="21"/>
          <w:highlight w:val="none"/>
          <w:lang w:val="en-US" w:eastAsia="zh-CN"/>
        </w:rPr>
        <w:t xml:space="preserve">232.000000</w:t>
      </w:r>
      <w:r>
        <w:rPr>
          <w:rFonts w:ascii="宋体" w:hAnsi="宋体" w:eastAsia="宋体" w:cs="宋体"/>
          <w:color w:val="000000"/>
          <w:sz w:val="21"/>
          <w:highlight w:val="none"/>
        </w:rPr>
        <w:t xml:space="preserve">万元 </w:t>
      </w:r>
      <w:r/>
    </w:p>
    <w:p>
      <w:pPr>
        <w:ind w:left="0" w:right="0" w:firstLine="420"/>
        <w:jc w:val="both"/>
        <w:keepLines w:val="0"/>
        <w:keepNext w:val="0"/>
        <w:pageBreakBefore w:val="0"/>
        <w:spacing w:before="0" w:after="0"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最高限价（如有）：</w:t>
      </w:r>
      <w:r>
        <w:rPr>
          <w:rFonts w:hint="eastAsia" w:ascii="宋体" w:hAnsi="宋体" w:eastAsia="宋体" w:cs="宋体"/>
          <w:color w:val="000000"/>
          <w:sz w:val="21"/>
          <w:highlight w:val="none"/>
          <w:lang w:val="en-US" w:eastAsia="zh-CN"/>
        </w:rPr>
        <w:t xml:space="preserve">232</w:t>
      </w:r>
      <w:r>
        <w:rPr>
          <w:rFonts w:ascii="宋体" w:hAnsi="宋体" w:eastAsia="宋体" w:cs="宋体"/>
          <w:color w:val="000000"/>
          <w:sz w:val="21"/>
          <w:highlight w:val="none"/>
        </w:rPr>
        <w:t xml:space="preserve">.000000万元</w:t>
      </w:r>
      <w:r/>
    </w:p>
    <w:p>
      <w:pPr>
        <w:ind w:firstLine="420"/>
        <w:keepLines w:val="0"/>
        <w:keepNext w:val="0"/>
        <w:pageBreakBefore w:val="0"/>
        <w:spacing w:line="400" w:lineRule="exact"/>
        <w:shd w:val="clear" w:color="auto"/>
        <w:rPr>
          <w:rFonts w:hint="default"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rPr>
        <w:t xml:space="preserve">采购需求：</w:t>
      </w:r>
      <w:bookmarkStart w:id="33" w:name="_Toc28359013"/>
      <w:r/>
      <w:bookmarkStart w:id="34" w:name="_Toc35393630"/>
      <w:r/>
      <w:bookmarkStart w:id="35" w:name="_Toc35393799"/>
      <w:r/>
      <w:bookmarkStart w:id="36" w:name="_Toc28359090"/>
      <w:r>
        <w:rPr>
          <w:rFonts w:hint="eastAsia" w:ascii="宋体" w:hAnsi="宋体" w:eastAsia="宋体" w:cs="宋体"/>
          <w:color w:val="auto"/>
          <w:sz w:val="21"/>
          <w:szCs w:val="21"/>
          <w:highlight w:val="none"/>
        </w:rPr>
        <w:t xml:space="preserve">本次</w:t>
      </w:r>
      <w:r>
        <w:rPr>
          <w:rFonts w:hint="eastAsia" w:ascii="宋体" w:hAnsi="宋体" w:eastAsia="宋体" w:cs="宋体"/>
          <w:color w:val="auto"/>
          <w:sz w:val="21"/>
          <w:szCs w:val="21"/>
          <w:highlight w:val="none"/>
          <w:lang w:eastAsia="zh-CN"/>
        </w:rPr>
        <w:t xml:space="preserve">姑苏法院融合法庭建设项目</w:t>
      </w:r>
      <w:r>
        <w:rPr>
          <w:rFonts w:hint="eastAsia" w:ascii="宋体" w:hAnsi="宋体" w:eastAsia="宋体" w:cs="宋体"/>
          <w:color w:val="auto"/>
          <w:sz w:val="21"/>
          <w:szCs w:val="21"/>
          <w:highlight w:val="none"/>
        </w:rPr>
        <w:t xml:space="preserve">，新增建设互联网庭审、语音转写等全套能力，同时实现无主机庭审、全栈国产化适配，延续原有全流程无纸化办案能力，充分利旧现有法庭前端外设，避免重复投资。</w:t>
      </w:r>
      <w:r>
        <w:rPr>
          <w:rFonts w:hint="eastAsia" w:ascii="宋体" w:hAnsi="宋体" w:eastAsia="宋体" w:cs="宋体"/>
          <w:color w:val="auto"/>
          <w:sz w:val="21"/>
          <w:szCs w:val="21"/>
          <w:highlight w:val="none"/>
          <w:lang w:val="en-US" w:eastAsia="zh-CN"/>
        </w:rPr>
        <w:t xml:space="preserve">具体详见采购清单。</w:t>
      </w:r>
      <w:r/>
    </w:p>
    <w:p>
      <w:pPr>
        <w:ind w:firstLine="420"/>
        <w:keepLines w:val="0"/>
        <w:keepNext w:val="0"/>
        <w:pageBreakBefore w:val="0"/>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合同履行期限：合同签订后15个工作日内完成交付使用。</w:t>
      </w:r>
      <w:r/>
    </w:p>
    <w:p>
      <w:pPr>
        <w:ind w:firstLine="420"/>
        <w:keepLines w:val="0"/>
        <w:keepNext w:val="0"/>
        <w:pageBreakBefore w:val="0"/>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本项目（是/否）接受联合体投标：否</w:t>
      </w:r>
      <w:r/>
    </w:p>
    <w:p>
      <w:pPr>
        <w:ind w:firstLine="420"/>
        <w:keepLines w:val="0"/>
        <w:keepNext w:val="0"/>
        <w:pageBreakBefore w:val="0"/>
        <w:spacing w:line="400" w:lineRule="exact"/>
        <w:shd w:val="clear" w:color="auto"/>
        <w:rPr>
          <w:rFonts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二、申请人的资格要求：</w:t>
      </w:r>
      <w:bookmarkEnd w:id="33"/>
      <w:r/>
      <w:bookmarkEnd w:id="34"/>
      <w:r/>
      <w:bookmarkEnd w:id="35"/>
      <w:r/>
      <w:bookmarkEnd w:id="36"/>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（一）满足《中华人民共和国政府采购法》第二十二条规定；</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的设备和专业技术能力；</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6.符合法律</w:t>
      </w:r>
      <w:bookmarkStart w:id="199" w:name="_GoBack"/>
      <w:r/>
      <w:bookmarkEnd w:id="199"/>
      <w:r>
        <w:rPr>
          <w:rFonts w:hint="eastAsia" w:ascii="宋体" w:hAnsi="宋体" w:eastAsia="宋体" w:cs="宋体"/>
          <w:color w:val="auto"/>
          <w:sz w:val="21"/>
          <w:szCs w:val="21"/>
          <w:highlight w:val="none"/>
        </w:rPr>
        <w:t xml:space="preserve">、行政法规规定的其他条件。</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color w:val="auto"/>
          <w:sz w:val="21"/>
          <w:szCs w:val="21"/>
          <w:highlight w:val="none"/>
          <w:lang w:val="en-US" w:eastAsia="zh-CN"/>
        </w:rPr>
        <w:t xml:space="preserve">无</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（三）本项目的特定要求：</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rPr>
      </w:pPr>
      <w:r/>
      <w:bookmarkStart w:id="37" w:name="_Toc35393800"/>
      <w:r/>
      <w:bookmarkStart w:id="38" w:name="_Toc35393631"/>
      <w:r>
        <w:rPr>
          <w:rFonts w:hint="eastAsia" w:cs="宋体" w:asciiTheme="minorEastAsia" w:hAnsiTheme="minorEastAsia" w:eastAsiaTheme="minorEastAsia"/>
          <w:sz w:val="21"/>
          <w:szCs w:val="21"/>
          <w:lang w:val="en-US" w:eastAsia="zh-CN"/>
        </w:rPr>
        <w:t xml:space="preserve">1.</w:t>
      </w:r>
      <w:r>
        <w:rPr>
          <w:rFonts w:hint="eastAsia" w:cs="宋体" w:asciiTheme="minorEastAsia" w:hAnsiTheme="minorEastAsia" w:eastAsiaTheme="minorEastAsia"/>
          <w:sz w:val="21"/>
          <w:szCs w:val="21"/>
        </w:rPr>
        <w:t xml:space="preserve">本项目不接受进口产品投标；</w:t>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400" w:lineRule="exact"/>
        <w:widowControl/>
        <w:rPr>
          <w:rFonts w:hint="default" w:cs="宋体" w:asciiTheme="minorEastAsia" w:hAnsiTheme="minorEastAsia" w:eastAsiaTheme="minorEastAsia"/>
          <w:sz w:val="21"/>
          <w:szCs w:val="21"/>
          <w:lang w:val="en-US" w:eastAsia="zh-CN"/>
        </w:rPr>
      </w:pPr>
      <w:r>
        <w:rPr>
          <w:rFonts w:hint="eastAsia" w:cs="宋体" w:asciiTheme="minorEastAsia" w:hAnsiTheme="minorEastAsia" w:eastAsiaTheme="minorEastAsia"/>
          <w:sz w:val="21"/>
          <w:szCs w:val="21"/>
          <w:lang w:val="en-US" w:eastAsia="zh-CN"/>
        </w:rPr>
        <w:t xml:space="preserve">3.</w:t>
      </w:r>
      <w:r>
        <w:rPr>
          <w:rFonts w:hint="eastAsia" w:cs="宋体" w:asciiTheme="minorEastAsia" w:hAnsiTheme="minorEastAsia" w:eastAsiaTheme="minorEastAsia"/>
          <w:sz w:val="21"/>
          <w:szCs w:val="21"/>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三、获取招标文件</w:t>
      </w:r>
      <w:bookmarkEnd w:id="37"/>
      <w:r/>
      <w:bookmarkEnd w:id="38"/>
      <w:r/>
      <w:r/>
    </w:p>
    <w:p>
      <w:pPr>
        <w:ind w:firstLine="420"/>
        <w:keepLines w:val="0"/>
        <w:keepNext w:val="0"/>
        <w:pageBreakBefore w:val="0"/>
        <w:spacing w:line="400" w:lineRule="exact"/>
        <w:shd w:val="clear" w:color="auto"/>
        <w:rPr>
          <w:rFonts w:ascii="宋体" w:hAnsi="宋体" w:cs="宋体"/>
          <w:color w:val="auto"/>
          <w:sz w:val="21"/>
          <w:szCs w:val="21"/>
          <w:highlight w:val="none"/>
        </w:rPr>
      </w:pPr>
      <w:r/>
      <w:bookmarkStart w:id="39" w:name="_Toc28359093"/>
      <w:r/>
      <w:bookmarkStart w:id="40" w:name="_Toc35393633"/>
      <w:r/>
      <w:bookmarkStart w:id="41" w:name="_Toc35393802"/>
      <w:r/>
      <w:bookmarkStart w:id="42" w:name="_Toc28359016"/>
      <w:r>
        <w:rPr>
          <w:rFonts w:hint="eastAsia" w:ascii="宋体" w:hAnsi="宋体" w:eastAsia="宋体" w:cs="宋体"/>
          <w:color w:val="auto"/>
          <w:sz w:val="21"/>
          <w:szCs w:val="21"/>
          <w:highlight w:val="none"/>
        </w:rPr>
        <w:t xml:space="preserve">1.时间：自招标文件公告发布之日起5个工作日。</w:t>
      </w:r>
      <w:r/>
    </w:p>
    <w:p>
      <w:pPr>
        <w:ind w:firstLine="420"/>
        <w:keepLines w:val="0"/>
        <w:keepNext w:val="0"/>
        <w:pageBreakBefore w:val="0"/>
        <w:spacing w:line="400" w:lineRule="exact"/>
        <w:shd w:val="clear" w:color="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2.地点：江苏省政府采购一体化平台“苏采云”系统自行免费</w:t>
      </w:r>
      <w:r>
        <w:rPr>
          <w:rFonts w:ascii="宋体" w:hAnsi="宋体" w:eastAsia="宋体" w:cs="宋体"/>
          <w:color w:val="auto"/>
          <w:sz w:val="21"/>
          <w:szCs w:val="21"/>
          <w:highlight w:val="none"/>
        </w:rPr>
        <w:t xml:space="preserve">下载。</w:t>
      </w:r>
      <w:r/>
    </w:p>
    <w:p>
      <w:pPr>
        <w:ind w:left="0" w:right="0" w:firstLine="0"/>
        <w:jc w:val="both"/>
        <w:keepLines w:val="0"/>
        <w:keepNext w:val="0"/>
        <w:pageBreakBefore w:val="0"/>
        <w:spacing w:before="0" w:after="0" w:line="400" w:lineRule="exac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Arial" w:cs="宋体"/>
          <w:color w:val="auto"/>
          <w:sz w:val="21"/>
          <w:szCs w:val="21"/>
          <w:highlight w:val="none"/>
        </w:rPr>
        <w:t xml:space="preserve">    3</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方式：</w:t>
      </w:r>
      <w:r>
        <w:rPr>
          <w:rFonts w:ascii="宋体" w:hAnsi="宋体" w:eastAsia="宋体" w:cs="宋体"/>
          <w:color w:val="000000"/>
          <w:sz w:val="21"/>
        </w:rPr>
        <w:t xml:space="preserve">江苏省政府采购一体化平台“苏采云”系统自行免费下载</w:t>
      </w:r>
      <w:r>
        <w:rPr>
          <w:rFonts w:ascii="宋体" w:hAnsi="宋体" w:eastAsia="宋体" w:cs="宋体"/>
          <w:color w:val="auto"/>
          <w:sz w:val="21"/>
          <w:szCs w:val="21"/>
          <w:highlight w:val="none"/>
        </w:rPr>
        <w:t xml:space="preserve">。</w:t>
      </w:r>
      <w:r/>
    </w:p>
    <w:p>
      <w:pPr>
        <w:ind w:firstLine="420"/>
        <w:keepLines w:val="0"/>
        <w:keepNext w:val="0"/>
        <w:pageBreakBefore w:val="0"/>
        <w:spacing w:line="400" w:lineRule="exact"/>
        <w:shd w:val="clear" w:color="auto"/>
        <w:rPr>
          <w:rFonts w:ascii="宋体" w:hAnsi="宋体" w:cs="宋体"/>
          <w:color w:val="auto"/>
          <w:sz w:val="21"/>
          <w:szCs w:val="21"/>
          <w:highlight w:val="none"/>
        </w:rPr>
        <w:outlineLvl w:val="2"/>
      </w:pPr>
      <w:r>
        <w:rPr>
          <w:rFonts w:ascii="宋体" w:hAnsi="宋体" w:eastAsia="Arial" w:cs="宋体"/>
          <w:color w:val="auto"/>
          <w:sz w:val="21"/>
          <w:szCs w:val="21"/>
          <w:highlight w:val="none"/>
        </w:rPr>
        <w:t xml:space="preserve">4</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售价：0.00元。</w:t>
      </w:r>
      <w:r/>
    </w:p>
    <w:p>
      <w:pPr>
        <w:keepLines w:val="0"/>
        <w:keepNext w:val="0"/>
        <w:pageBreakBefore w:val="0"/>
        <w:spacing w:line="400" w:lineRule="exact"/>
        <w:shd w:val="clear" w:color="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四、提交投标文件截止时间、开标时间和地点</w:t>
      </w:r>
      <w:r/>
    </w:p>
    <w:p>
      <w:pPr>
        <w:ind w:left="0" w:right="0" w:firstLine="420"/>
        <w:jc w:val="both"/>
        <w:keepLines w:val="0"/>
        <w:keepNext w:val="0"/>
        <w:pageBreakBefore w:val="0"/>
        <w:spacing w:before="0" w:after="0" w:line="4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w:t>
      </w:r>
      <w:r>
        <w:rPr>
          <w:rFonts w:hint="eastAsia" w:ascii="宋体" w:hAnsi="宋体" w:eastAsia="宋体" w:cs="宋体"/>
          <w:color w:val="000000"/>
          <w:sz w:val="21"/>
          <w:lang w:val="en-US" w:eastAsia="zh-CN"/>
        </w:rPr>
        <w:t xml:space="preserve">6</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11</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10</w:t>
      </w:r>
      <w:r>
        <w:rPr>
          <w:rFonts w:ascii="宋体" w:hAnsi="宋体" w:eastAsia="宋体" w:cs="宋体"/>
          <w:color w:val="000000"/>
          <w:sz w:val="21"/>
        </w:rPr>
        <w:t xml:space="preserve"> 13:30 （北京时间）</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shd w:val="clear" w:color="auto" w:fill="ffffff"/>
        </w:rPr>
        <w:outlineLvl w:val="2"/>
      </w:pPr>
      <w:r>
        <w:rPr>
          <w:rFonts w:hint="eastAsia" w:ascii="宋体" w:hAnsi="宋体" w:eastAsia="宋体" w:cs="宋体"/>
          <w:color w:val="auto"/>
          <w:sz w:val="21"/>
          <w:szCs w:val="21"/>
          <w:highlight w:val="none"/>
        </w:rPr>
        <w:t xml:space="preserve">地点：“苏采云”系统（网址：http://jszfcg.jsczt.cn/）</w:t>
      </w:r>
      <w:r/>
    </w:p>
    <w:p>
      <w:pPr>
        <w:keepLines w:val="0"/>
        <w:keepNext w:val="0"/>
        <w:pageBreakBefore w:val="0"/>
        <w:spacing w:line="400" w:lineRule="exact"/>
        <w:shd w:val="clear" w:color="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w:t>
      </w:r>
      <w:bookmarkEnd w:id="39"/>
      <w:r/>
      <w:bookmarkEnd w:id="40"/>
      <w:r/>
      <w:bookmarkEnd w:id="41"/>
      <w:r/>
      <w:bookmarkEnd w:id="42"/>
      <w:r>
        <w:rPr>
          <w:rFonts w:hint="eastAsia" w:ascii="宋体" w:hAnsi="宋体" w:eastAsia="宋体" w:cs="宋体"/>
          <w:b/>
          <w:bCs/>
          <w:color w:val="auto"/>
          <w:sz w:val="21"/>
          <w:szCs w:val="21"/>
          <w:highlight w:val="none"/>
        </w:rPr>
        <w:t xml:space="preserve">公告期限</w:t>
      </w:r>
      <w:r/>
    </w:p>
    <w:p>
      <w:pPr>
        <w:ind w:firstLine="420"/>
        <w:keepLines w:val="0"/>
        <w:keepNext w:val="0"/>
        <w:pageBreakBefore w:val="0"/>
        <w:spacing w:line="400" w:lineRule="exact"/>
        <w:shd w:val="clear" w:color="auto"/>
        <w:widowControl/>
        <w:rPr>
          <w:rFonts w:ascii="宋体" w:hAnsi="宋体" w:eastAsia="宋体" w:cs="宋体"/>
          <w:color w:val="auto"/>
          <w:sz w:val="21"/>
          <w:szCs w:val="21"/>
          <w:highlight w:val="none"/>
        </w:rPr>
      </w:pPr>
      <w:r/>
      <w:bookmarkStart w:id="43" w:name="_Toc28359094"/>
      <w:r/>
      <w:bookmarkStart w:id="44" w:name="_Toc35393634"/>
      <w:r/>
      <w:bookmarkStart w:id="45" w:name="_Toc28359017"/>
      <w:r/>
      <w:bookmarkStart w:id="46" w:name="_Toc35393803"/>
      <w:r>
        <w:rPr>
          <w:rFonts w:hint="eastAsia" w:ascii="宋体" w:hAnsi="宋体" w:eastAsia="宋体" w:cs="宋体"/>
          <w:color w:val="auto"/>
          <w:sz w:val="21"/>
          <w:szCs w:val="21"/>
          <w:highlight w:val="none"/>
        </w:rPr>
        <w:t xml:space="preserve">自本公告发布之日起5个工作日。</w:t>
      </w:r>
      <w:bookmarkEnd w:id="43"/>
      <w:r/>
      <w:bookmarkEnd w:id="44"/>
      <w:r/>
      <w:bookmarkEnd w:id="45"/>
      <w:r/>
      <w:bookmarkEnd w:id="46"/>
      <w:r/>
      <w:r/>
    </w:p>
    <w:p>
      <w:pPr>
        <w:keepLines w:val="0"/>
        <w:keepNext w:val="0"/>
        <w:pageBreakBefore w:val="0"/>
        <w:spacing w:line="400" w:lineRule="exact"/>
        <w:shd w:val="clear" w:color="auto"/>
        <w:rPr>
          <w:rFonts w:ascii="宋体" w:hAnsi="宋体" w:eastAsia="宋体" w:cs="宋体"/>
          <w:b/>
          <w:bCs/>
          <w:color w:val="auto"/>
          <w:sz w:val="21"/>
          <w:szCs w:val="21"/>
          <w:highlight w:val="none"/>
        </w:rPr>
        <w:outlineLvl w:val="1"/>
      </w:pPr>
      <w:r/>
      <w:bookmarkStart w:id="47" w:name="_Toc35393804"/>
      <w:r/>
      <w:bookmarkStart w:id="48" w:name="_Toc35393635"/>
      <w:r>
        <w:rPr>
          <w:rFonts w:hint="eastAsia" w:ascii="宋体" w:hAnsi="宋体" w:eastAsia="宋体" w:cs="宋体"/>
          <w:b/>
          <w:bCs/>
          <w:color w:val="auto"/>
          <w:sz w:val="21"/>
          <w:szCs w:val="21"/>
          <w:highlight w:val="none"/>
        </w:rPr>
        <w:t xml:space="preserve">六、其他补充事宜</w:t>
      </w:r>
      <w:bookmarkEnd w:id="47"/>
      <w:r/>
      <w:bookmarkEnd w:id="48"/>
      <w:r/>
      <w:bookmarkStart w:id="49" w:name="_Toc35393636"/>
      <w:r/>
      <w:bookmarkEnd w:id="49"/>
      <w:r/>
      <w:bookmarkStart w:id="50" w:name="_Toc28359018"/>
      <w:r/>
      <w:bookmarkEnd w:id="50"/>
      <w:r/>
      <w:bookmarkStart w:id="51" w:name="_Toc28359095"/>
      <w:r/>
      <w:bookmarkEnd w:id="51"/>
      <w:r/>
      <w:bookmarkStart w:id="52" w:name="_Toc35393805"/>
      <w:r/>
      <w:bookmarkEnd w:id="52"/>
      <w:r/>
      <w:r/>
    </w:p>
    <w:p>
      <w:pPr>
        <w:ind w:firstLine="420"/>
        <w:spacing w:line="400" w:lineRule="exact"/>
        <w:widowControl w:val="off"/>
        <w:rPr>
          <w:rFonts w:ascii="宋体" w:hAnsi="宋体" w:eastAsia="宋体" w:cs="宋体"/>
          <w:color w:val="000000"/>
          <w:sz w:val="21"/>
          <w:szCs w:val="21"/>
          <w:lang w:val="en-US" w:eastAsia="zh-CN" w:bidi="ar-SA"/>
        </w:rPr>
      </w:pPr>
      <w:r/>
      <w:bookmarkStart w:id="53" w:name="_Toc35393806"/>
      <w:r/>
      <w:bookmarkStart w:id="54" w:name="_Toc28359096"/>
      <w:r/>
      <w:bookmarkStart w:id="55" w:name="_Toc35393637"/>
      <w:r/>
      <w:bookmarkStart w:id="56" w:name="_Toc28359019"/>
      <w:r>
        <w:rPr>
          <w:rFonts w:hint="eastAsia" w:ascii="宋体" w:hAnsi="宋体" w:eastAsia="宋体" w:cs="宋体"/>
          <w:color w:val="000000"/>
          <w:sz w:val="21"/>
          <w:szCs w:val="21"/>
          <w:lang w:val="en-US" w:eastAsia="zh-CN" w:bidi="ar-SA"/>
        </w:rPr>
        <w:t xml:space="preserve">1.报名方式（网上报名）：</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1.1申领CA证书</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1.2登录报名：</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2.采购文件获取方式：江苏省政府采购一体化平台“苏采云”系统自行免费下载。</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3.制作、提交电子投标文件：</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在系统操作过程中如有疑问，请按以下方式联系：</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注册咨询：18261002950；</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CA技术咨询电话：400-608-6099；</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签章使用问题：025-83633811、025-83633812、15380932027、15371015030；</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系统使用指导与咨询：联系电话：18261002950、13914088964；QQ：3048755361、1315179389、895706745。</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 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5.政府采购监管部门监督电话：0512-68728409。</w:t>
      </w:r>
      <w:r/>
    </w:p>
    <w:p>
      <w:pPr>
        <w:ind w:firstLine="420"/>
        <w:spacing w:line="40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6.根据苏州市财政局《关于深入开展苏州市政府采购合同信用融资业务的通知》相关要求，本项目支持政府采购合同信用融资。</w:t>
      </w:r>
      <w:r/>
    </w:p>
    <w:p>
      <w:pPr>
        <w:ind w:firstLine="420"/>
        <w:jc w:val="left"/>
        <w:keepLines w:val="0"/>
        <w:keepNext w:val="0"/>
        <w:pageBreakBefore w:val="0"/>
        <w:spacing w:line="400" w:lineRule="exact"/>
        <w:shd w:val="clear" w:color="auto"/>
        <w:widowControl/>
        <w:rPr>
          <w:rFonts w:ascii="宋体" w:hAnsi="宋体" w:eastAsia="宋体" w:cs="宋体"/>
          <w:color w:val="auto"/>
          <w:sz w:val="21"/>
          <w:szCs w:val="21"/>
          <w:highlight w:val="none"/>
        </w:rPr>
      </w:pPr>
      <w:r>
        <w:rPr>
          <w:rFonts w:hint="eastAsia" w:ascii="宋体" w:hAnsi="宋体" w:eastAsia="宋体" w:cs="宋体"/>
          <w:sz w:val="21"/>
          <w:szCs w:val="21"/>
        </w:rPr>
        <w:t xml:space="preserve">7.本次采购的有关信息将在中国政府采购网、江苏省政府采购网、苏州政府采购网上发布，敬请留意；有关该采购项目的澄清、修正及成交等信息亦在以上网站发布，敬请留意。</w:t>
      </w:r>
      <w:r/>
    </w:p>
    <w:p>
      <w:pPr>
        <w:keepLines w:val="0"/>
        <w:keepNext w:val="0"/>
        <w:pageBreakBefore w:val="0"/>
        <w:spacing w:line="400" w:lineRule="exact"/>
        <w:shd w:val="clear" w:color="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七、对本次招标提出询问，请按以下方式联系：</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1.采购人信息</w:t>
      </w:r>
      <w:bookmarkEnd w:id="53"/>
      <w:r/>
      <w:bookmarkEnd w:id="54"/>
      <w:r/>
      <w:bookmarkEnd w:id="55"/>
      <w:r/>
      <w:bookmarkEnd w:id="56"/>
      <w:r/>
      <w:r/>
    </w:p>
    <w:p>
      <w:pPr>
        <w:ind w:firstLine="420"/>
        <w:keepLines w:val="0"/>
        <w:keepNext w:val="0"/>
        <w:pageBreakBefore w:val="0"/>
        <w:spacing w:line="40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lang w:eastAsia="zh-CN"/>
        </w:rPr>
        <w:t xml:space="preserve">苏州市姑苏区人民法院（机关）</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单位地址：苏州市金阊新城金储街298号</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bookmarkStart w:id="57" w:name="_Toc28359020"/>
      <w:r/>
      <w:bookmarkStart w:id="58" w:name="_Toc35393638"/>
      <w:r/>
      <w:bookmarkStart w:id="59" w:name="_Toc35393807"/>
      <w:r/>
      <w:bookmarkStart w:id="60" w:name="_Toc28359097"/>
      <w:r>
        <w:rPr>
          <w:rFonts w:hint="eastAsia" w:ascii="宋体" w:hAnsi="宋体" w:eastAsia="宋体" w:cs="宋体"/>
          <w:color w:val="auto"/>
          <w:sz w:val="21"/>
          <w:szCs w:val="21"/>
          <w:highlight w:val="none"/>
        </w:rPr>
        <w:t xml:space="preserve">联系人：周滢滢</w:t>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0512-68262132</w:t>
      </w:r>
      <w:bookmarkEnd w:id="32"/>
      <w:r/>
      <w:bookmarkEnd w:id="57"/>
      <w:r/>
      <w:bookmarkEnd w:id="58"/>
      <w:r/>
      <w:bookmarkEnd w:id="59"/>
      <w:r/>
      <w:bookmarkEnd w:id="60"/>
      <w:r/>
      <w:r/>
    </w:p>
    <w:p>
      <w:pPr>
        <w:ind w:firstLine="420"/>
        <w:spacing w:line="400" w:lineRule="exact"/>
        <w:rPr>
          <w:rFonts w:hint="default" w:ascii="宋体" w:hAnsi="宋体" w:eastAsia="宋体" w:cs="宋体"/>
          <w:sz w:val="21"/>
          <w:szCs w:val="21"/>
        </w:rPr>
        <w:outlineLvl w:val="2"/>
      </w:pPr>
      <w:r>
        <w:rPr>
          <w:rFonts w:hint="eastAsia" w:ascii="宋体" w:hAnsi="宋体" w:eastAsia="宋体" w:cs="宋体"/>
          <w:sz w:val="21"/>
          <w:szCs w:val="21"/>
        </w:rPr>
        <w:t xml:space="preserve">2.采购代理机构信息（如有）</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单位名称：中诚智信工程咨询集团股份有限公司</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单位地址：苏州高新区科技城潇湘路99号诚来智研发大楼5楼</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联系人：王道玉、吴伟</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联系电话：0512-68303271，68320471</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3.项目联系方式</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项目联系人：王道玉、吴伟</w:t>
      </w:r>
      <w:r/>
    </w:p>
    <w:p>
      <w:pPr>
        <w:ind w:firstLine="420"/>
        <w:jc w:val="left"/>
        <w:spacing w:line="400" w:lineRule="exact"/>
        <w:widowControl/>
        <w:rPr>
          <w:rFonts w:hint="default" w:ascii="宋体" w:hAnsi="宋体" w:eastAsia="宋体" w:cs="宋体"/>
          <w:sz w:val="21"/>
          <w:szCs w:val="21"/>
        </w:rPr>
      </w:pPr>
      <w:r>
        <w:rPr>
          <w:rFonts w:hint="eastAsia" w:ascii="宋体" w:hAnsi="宋体" w:eastAsia="宋体" w:cs="宋体"/>
          <w:sz w:val="21"/>
          <w:szCs w:val="21"/>
        </w:rPr>
        <w:t xml:space="preserve">电话：0512-68303271，68320471</w:t>
      </w:r>
      <w:r/>
    </w:p>
    <w:p>
      <w:pPr>
        <w:jc w:val="center"/>
        <w:spacing w:line="360" w:lineRule="auto"/>
        <w:shd w:val="clear" w:color="auto"/>
        <w:tabs>
          <w:tab w:val="left" w:pos="3600" w:leader="none"/>
        </w:tabs>
        <w:rPr>
          <w:rStyle w:val="1082"/>
          <w:rFonts w:ascii="黑体" w:eastAsia="黑体"/>
          <w:color w:val="auto"/>
          <w:sz w:val="32"/>
          <w:szCs w:val="32"/>
          <w:highlight w:val="none"/>
        </w:rPr>
        <w:outlineLvl w:val="0"/>
      </w:pPr>
      <w:r>
        <w:rPr>
          <w:color w:val="auto"/>
          <w:sz w:val="21"/>
          <w:highlight w:val="none"/>
        </w:rPr>
        <w:br w:type="page" w:clear="all"/>
      </w:r>
      <w:bookmarkEnd w:id="19"/>
      <w:r/>
      <w:bookmarkEnd w:id="20"/>
      <w:r/>
      <w:bookmarkEnd w:id="25"/>
      <w:r/>
      <w:bookmarkEnd w:id="26"/>
      <w:r/>
      <w:bookmarkEnd w:id="27"/>
      <w:r/>
      <w:bookmarkStart w:id="61" w:name="_Toc22492"/>
      <w:r/>
      <w:bookmarkStart w:id="62" w:name="_Toc13642221"/>
      <w:r/>
      <w:bookmarkStart w:id="63" w:name="_Toc31564"/>
      <w:r/>
      <w:bookmarkStart w:id="64" w:name="_Toc3791"/>
      <w:r/>
      <w:bookmarkStart w:id="65" w:name="_Toc59044748"/>
      <w:r/>
      <w:bookmarkStart w:id="66" w:name="_Toc19008"/>
      <w:r/>
      <w:bookmarkStart w:id="67" w:name="_Toc13642113"/>
      <w:r/>
      <w:bookmarkStart w:id="68" w:name="_Toc492478284"/>
      <w:r/>
      <w:bookmarkStart w:id="69" w:name="_Toc6338"/>
      <w:r/>
      <w:bookmarkStart w:id="70" w:name="_Toc22496"/>
      <w:r>
        <w:rPr>
          <w:rStyle w:val="1082"/>
          <w:rFonts w:hint="eastAsia" w:ascii="黑体" w:eastAsia="黑体"/>
          <w:color w:val="auto"/>
          <w:sz w:val="32"/>
          <w:szCs w:val="32"/>
          <w:highlight w:val="none"/>
        </w:rPr>
        <w:t xml:space="preserve">第二章 投标人须知</w:t>
      </w:r>
      <w:bookmarkEnd w:id="61"/>
      <w:r/>
      <w:bookmarkEnd w:id="62"/>
      <w:r/>
      <w:bookmarkEnd w:id="63"/>
      <w:r/>
      <w:bookmarkEnd w:id="64"/>
      <w:r/>
      <w:bookmarkEnd w:id="65"/>
      <w:r/>
      <w:bookmarkEnd w:id="66"/>
      <w:r/>
      <w:bookmarkEnd w:id="67"/>
      <w:r/>
      <w:bookmarkEnd w:id="68"/>
      <w:r/>
      <w:bookmarkEnd w:id="69"/>
      <w:r/>
      <w:bookmarkEnd w:id="70"/>
      <w:r/>
      <w:r/>
    </w:p>
    <w:p>
      <w:pPr>
        <w:pStyle w:val="851"/>
        <w:spacing w:line="360" w:lineRule="auto"/>
        <w:shd w:val="clear" w:color="auto"/>
        <w:rPr>
          <w:rFonts w:eastAsia="宋体"/>
          <w:b/>
          <w:bCs/>
          <w:color w:val="auto"/>
          <w:sz w:val="21"/>
          <w:szCs w:val="21"/>
          <w:highlight w:val="none"/>
        </w:rPr>
        <w:outlineLvl w:val="1"/>
      </w:pPr>
      <w:r>
        <w:rPr>
          <w:rFonts w:eastAsia="宋体"/>
          <w:b/>
          <w:bCs/>
          <w:color w:val="auto"/>
          <w:sz w:val="21"/>
          <w:szCs w:val="21"/>
          <w:highlight w:val="none"/>
        </w:rPr>
        <w:t xml:space="preserve">一、说明和释义</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1. 说明</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1.1本招标文件仅适用于中诚智信工程咨询集团股份有限公司组织的招标活动。</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1.2</w:t>
      </w:r>
      <w:r>
        <w:rPr>
          <w:rFonts w:hint="eastAsia" w:ascii="宋体" w:hAnsi="宋体"/>
          <w:color w:val="auto"/>
          <w:sz w:val="21"/>
          <w:szCs w:val="21"/>
          <w:highlight w:val="none"/>
        </w:rPr>
        <w:t xml:space="preserve">本次招标活动及因本次招标产生的合同受中华人民共和国有关的法律法规制约和保护</w:t>
      </w:r>
      <w:r>
        <w:rPr>
          <w:rFonts w:ascii="宋体" w:hAnsi="宋体"/>
          <w:color w:val="auto"/>
          <w:sz w:val="21"/>
          <w:szCs w:val="21"/>
          <w:highlight w:val="none"/>
        </w:rPr>
        <w:t xml:space="preserve">。</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1.3本招标文件的解释权属于中诚智信工程咨询集团股份有限公司。</w:t>
      </w:r>
      <w:r/>
    </w:p>
    <w:p>
      <w:pPr>
        <w:pStyle w:val="865"/>
        <w:ind w:left="0" w:firstLine="422"/>
        <w:spacing w:after="0" w:line="360" w:lineRule="auto"/>
        <w:shd w:val="clear" w:color="auto"/>
        <w:rPr>
          <w:rFonts w:ascii="宋体" w:hAnsi="宋体"/>
          <w:b/>
          <w:bCs/>
          <w:color w:val="auto"/>
          <w:sz w:val="21"/>
          <w:szCs w:val="21"/>
          <w:highlight w:val="none"/>
        </w:rPr>
      </w:pPr>
      <w:r>
        <w:rPr>
          <w:rFonts w:hint="eastAsia" w:ascii="宋体" w:hAnsi="宋体"/>
          <w:b/>
          <w:bCs/>
          <w:color w:val="auto"/>
          <w:sz w:val="21"/>
          <w:szCs w:val="21"/>
          <w:highlight w:val="none"/>
        </w:rPr>
        <w:t xml:space="preserve">1.4投标人应详细阅读招标文件的全部内容，不按招标文件的要求提供的投标文件和资料，其风险由投标人自行承担，并根据有关条款规定，可能导致投标无效。</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 词语释义</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w:t>
      </w:r>
      <w:r>
        <w:rPr>
          <w:rFonts w:hint="eastAsia" w:ascii="宋体" w:hAnsi="宋体"/>
          <w:color w:val="auto"/>
          <w:sz w:val="21"/>
          <w:szCs w:val="21"/>
          <w:highlight w:val="none"/>
        </w:rPr>
        <w:t xml:space="preserve">采购人：指依法进行政府采购的国家机关、事业单位、团体组织。</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2.2采购代理机构：指依法接受采购人委托，从事货物、工程和服务等政府采购代理业务的社会中介机构。</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2.3投标人：响应招标</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参加投标竞争的法人</w:t>
      </w:r>
      <w:r>
        <w:rPr>
          <w:rFonts w:hint="eastAsia" w:ascii="宋体" w:hAnsi="宋体"/>
          <w:color w:val="auto"/>
          <w:sz w:val="21"/>
          <w:szCs w:val="21"/>
          <w:highlight w:val="none"/>
        </w:rPr>
        <w:t xml:space="preserve">、</w:t>
      </w:r>
      <w:r>
        <w:rPr>
          <w:rFonts w:ascii="宋体" w:hAnsi="宋体"/>
          <w:color w:val="auto"/>
          <w:sz w:val="21"/>
          <w:szCs w:val="21"/>
          <w:highlight w:val="none"/>
        </w:rPr>
        <w:t xml:space="preserve">其他组织</w:t>
      </w:r>
      <w:r>
        <w:rPr>
          <w:rFonts w:hint="eastAsia" w:ascii="宋体" w:hAnsi="宋体"/>
          <w:color w:val="auto"/>
          <w:sz w:val="21"/>
          <w:szCs w:val="21"/>
          <w:highlight w:val="none"/>
        </w:rPr>
        <w:t xml:space="preserve">或者</w:t>
      </w:r>
      <w:r>
        <w:rPr>
          <w:rFonts w:ascii="宋体" w:hAnsi="宋体"/>
          <w:color w:val="auto"/>
          <w:sz w:val="21"/>
          <w:szCs w:val="21"/>
          <w:highlight w:val="none"/>
        </w:rPr>
        <w:t xml:space="preserve">自然人。</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2.4响应：</w:t>
      </w:r>
      <w:r>
        <w:rPr>
          <w:rFonts w:hint="eastAsia" w:ascii="宋体" w:hAnsi="宋体"/>
          <w:color w:val="auto"/>
          <w:sz w:val="21"/>
          <w:szCs w:val="21"/>
          <w:highlight w:val="none"/>
        </w:rPr>
        <w:t xml:space="preserve">投标人根据采购人或采购代理机构发布的招标文件，编制投标文件并按规定投标的行为。</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2.5合同：</w:t>
      </w:r>
      <w:r>
        <w:rPr>
          <w:rFonts w:hint="eastAsia" w:ascii="宋体" w:hAnsi="宋体"/>
          <w:color w:val="auto"/>
          <w:sz w:val="21"/>
          <w:szCs w:val="21"/>
          <w:highlight w:val="none"/>
        </w:rPr>
        <w:t xml:space="preserve">采供双方根据招标文件和中标的投标文件及中标通知书规定的内容签署的以书面形式所达成的协议，包括所有的附件、附录和构成协议的所有文件。</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2.6</w:t>
      </w:r>
      <w:r>
        <w:rPr>
          <w:rFonts w:hint="eastAsia" w:ascii="宋体" w:hAnsi="宋体"/>
          <w:color w:val="auto"/>
          <w:sz w:val="21"/>
          <w:szCs w:val="21"/>
          <w:highlight w:val="none"/>
        </w:rPr>
        <w:t xml:space="preserve">甲方</w:t>
      </w:r>
      <w:r>
        <w:rPr>
          <w:rFonts w:ascii="宋体" w:hAnsi="宋体"/>
          <w:color w:val="auto"/>
          <w:sz w:val="21"/>
          <w:szCs w:val="21"/>
          <w:highlight w:val="none"/>
        </w:rPr>
        <w:t xml:space="preserve">（采购人）：</w:t>
      </w:r>
      <w:r>
        <w:rPr>
          <w:rFonts w:hint="eastAsia" w:ascii="宋体" w:hAnsi="宋体"/>
          <w:color w:val="auto"/>
          <w:sz w:val="21"/>
          <w:szCs w:val="21"/>
          <w:highlight w:val="none"/>
        </w:rPr>
        <w:t xml:space="preserve">合同中明确规定的实际购买货物和服务的法人或其他组织和自然人。</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2.7</w:t>
      </w:r>
      <w:r>
        <w:rPr>
          <w:rFonts w:hint="eastAsia" w:ascii="宋体" w:hAnsi="宋体"/>
          <w:color w:val="auto"/>
          <w:sz w:val="21"/>
          <w:szCs w:val="21"/>
          <w:highlight w:val="none"/>
        </w:rPr>
        <w:t xml:space="preserve">乙方</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合同中规定的向采购人提供货物和服务的法人或其他组织和自然人。</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2.8货物：</w:t>
      </w:r>
      <w:r>
        <w:rPr>
          <w:rFonts w:hint="eastAsia" w:ascii="宋体" w:hAnsi="宋体"/>
          <w:color w:val="auto"/>
          <w:sz w:val="21"/>
          <w:szCs w:val="21"/>
          <w:highlight w:val="none"/>
        </w:rPr>
        <w:t xml:space="preserve">系指乙方按招标采购文件规定，应向甲方提供的一切设备、备品、备件、工具、手册及其它有关技术资料和材料。</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2.9服务：</w:t>
      </w:r>
      <w:r>
        <w:rPr>
          <w:rFonts w:hint="eastAsia" w:ascii="宋体" w:hAnsi="宋体"/>
          <w:color w:val="auto"/>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2.10知识产权：</w:t>
      </w:r>
      <w:r>
        <w:rPr>
          <w:rFonts w:hint="eastAsia" w:ascii="宋体" w:hAnsi="宋体"/>
          <w:color w:val="auto"/>
          <w:sz w:val="21"/>
          <w:szCs w:val="21"/>
          <w:highlight w:val="none"/>
        </w:rPr>
        <w:t xml:space="preserve">指专利权、商标权、著作权等无形财产专有权的统称。</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2.11天：日历日。</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时间</w:t>
      </w:r>
      <w:r>
        <w:rPr>
          <w:rFonts w:ascii="宋体" w:hAnsi="宋体"/>
          <w:color w:val="auto"/>
          <w:sz w:val="21"/>
          <w:szCs w:val="21"/>
          <w:highlight w:val="none"/>
        </w:rPr>
        <w:t xml:space="preserve">：</w:t>
      </w:r>
      <w:r>
        <w:rPr>
          <w:rFonts w:hint="eastAsia" w:ascii="宋体" w:hAnsi="宋体"/>
          <w:color w:val="auto"/>
          <w:sz w:val="21"/>
          <w:szCs w:val="21"/>
          <w:highlight w:val="none"/>
        </w:rPr>
        <w:t xml:space="preserve">除</w:t>
      </w:r>
      <w:r>
        <w:rPr>
          <w:rFonts w:ascii="宋体" w:hAnsi="宋体"/>
          <w:color w:val="auto"/>
          <w:sz w:val="21"/>
          <w:szCs w:val="21"/>
          <w:highlight w:val="none"/>
        </w:rPr>
        <w:t xml:space="preserve">特别说明，</w:t>
      </w:r>
      <w:r>
        <w:rPr>
          <w:rFonts w:hint="eastAsia" w:ascii="宋体" w:hAnsi="宋体"/>
          <w:color w:val="auto"/>
          <w:sz w:val="21"/>
          <w:szCs w:val="21"/>
          <w:highlight w:val="none"/>
        </w:rPr>
        <w:t xml:space="preserve">均指北京时间</w:t>
      </w:r>
      <w:r>
        <w:rPr>
          <w:rFonts w:ascii="宋体" w:hAnsi="宋体"/>
          <w:color w:val="auto"/>
          <w:sz w:val="21"/>
          <w:szCs w:val="21"/>
          <w:highlight w:val="none"/>
        </w:rPr>
        <w:t xml:space="preserve">。</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2.13交货地点：</w:t>
      </w:r>
      <w:r>
        <w:rPr>
          <w:rFonts w:hint="eastAsia" w:ascii="宋体" w:hAnsi="宋体"/>
          <w:color w:val="auto"/>
          <w:sz w:val="21"/>
          <w:szCs w:val="21"/>
          <w:highlight w:val="none"/>
        </w:rPr>
        <w:t xml:space="preserve">合同中明确约定的乙方提交的货物和服务最终到达地点。</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2.14合同价款：</w:t>
      </w:r>
      <w:r>
        <w:rPr>
          <w:rFonts w:hint="eastAsia" w:ascii="宋体" w:hAnsi="宋体"/>
          <w:color w:val="auto"/>
          <w:sz w:val="21"/>
          <w:szCs w:val="21"/>
          <w:highlight w:val="none"/>
        </w:rPr>
        <w:t xml:space="preserve">根据合同规定，乙方在正确地履行合同义务后甲方应支付乙方的价款。</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2.15产地：</w:t>
      </w:r>
      <w:r>
        <w:rPr>
          <w:rFonts w:hint="eastAsia" w:ascii="宋体" w:hAnsi="宋体"/>
          <w:color w:val="auto"/>
          <w:sz w:val="21"/>
          <w:szCs w:val="21"/>
          <w:highlight w:val="none"/>
        </w:rPr>
        <w:t xml:space="preserve">货物开采、生长、生产、最终制造、加工或提供服务的来源地。</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2.16不可抗力：</w:t>
      </w:r>
      <w:r>
        <w:rPr>
          <w:rFonts w:hint="eastAsia" w:ascii="宋体" w:hAnsi="宋体"/>
          <w:color w:val="auto"/>
          <w:sz w:val="21"/>
          <w:szCs w:val="21"/>
          <w:highlight w:val="none"/>
        </w:rPr>
        <w:t xml:space="preserve">不能预见、不能避免并且不能克服的客观情况。</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实质响应：满足有关本次采购标的、数量、质量、价款或者报酬、履行期限、履行地点和方式、违约责任和解决争议方法等要求。</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8</w:t>
      </w:r>
      <w:r>
        <w:rPr>
          <w:rFonts w:hint="eastAsia" w:ascii="宋体" w:hAnsi="宋体"/>
          <w:color w:val="auto"/>
          <w:sz w:val="21"/>
          <w:szCs w:val="21"/>
          <w:highlight w:val="none"/>
        </w:rPr>
        <w:t xml:space="preserve">进口产品：通过中国海关报关验放进入中国境内且产自关境外的产品。</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9</w:t>
      </w:r>
      <w:r>
        <w:rPr>
          <w:rFonts w:hint="eastAsia" w:ascii="宋体" w:hAnsi="宋体"/>
          <w:color w:val="auto"/>
          <w:sz w:val="21"/>
          <w:szCs w:val="21"/>
          <w:highlight w:val="none"/>
        </w:rPr>
        <w:t xml:space="preserve">书面形式：指书面文字、合同书、信件和传真等可以有形地表现所载内容的形式。</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二、 投标人</w:t>
      </w:r>
      <w:r/>
    </w:p>
    <w:p>
      <w:pPr>
        <w:spacing w:line="360" w:lineRule="auto"/>
        <w:shd w:val="clear" w:color="auto"/>
        <w:rPr>
          <w:b/>
          <w:color w:val="auto"/>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w:t>
      </w:r>
      <w:r>
        <w:rPr>
          <w:rFonts w:hint="eastAsia" w:hAnsi="宋体" w:eastAsia="宋体"/>
          <w:b/>
          <w:color w:val="auto"/>
          <w:sz w:val="21"/>
          <w:highlight w:val="none"/>
        </w:rPr>
        <w:t xml:space="preserve">投标人一般资格要求</w:t>
      </w:r>
      <w:r/>
    </w:p>
    <w:p>
      <w:pPr>
        <w:ind w:firstLine="420"/>
        <w:spacing w:line="360" w:lineRule="auto"/>
        <w:shd w:val="clear" w:color="auto"/>
        <w:rPr>
          <w:color w:val="auto"/>
          <w:highlight w:val="none"/>
        </w:rPr>
      </w:pPr>
      <w:r>
        <w:rPr>
          <w:rFonts w:hint="eastAsia" w:ascii="宋体" w:hAnsi="宋体" w:eastAsia="宋体"/>
          <w:color w:val="auto"/>
          <w:sz w:val="21"/>
          <w:szCs w:val="21"/>
          <w:highlight w:val="none"/>
        </w:rPr>
        <w:t xml:space="preserve">见招标公告</w:t>
      </w:r>
      <w:r>
        <w:rPr>
          <w:rFonts w:hint="eastAsia" w:ascii="宋体" w:hAnsi="宋体" w:eastAsia="宋体"/>
          <w:color w:val="auto"/>
          <w:sz w:val="21"/>
          <w:highlight w:val="none"/>
        </w:rPr>
        <w:t xml:space="preserve">。</w:t>
      </w:r>
      <w:r/>
    </w:p>
    <w:p>
      <w:pPr>
        <w:spacing w:line="360" w:lineRule="auto"/>
        <w:shd w:val="clear" w:color="auto"/>
        <w:rPr>
          <w:b/>
          <w:color w:val="auto"/>
          <w:highlight w:val="none"/>
        </w:rPr>
        <w:outlineLvl w:val="2"/>
      </w:pPr>
      <w:r/>
      <w:bookmarkStart w:id="71" w:name="_Toc492394286"/>
      <w:r>
        <w:rPr>
          <w:rFonts w:hint="eastAsia" w:ascii="宋体" w:hAnsi="宋体" w:eastAsia="宋体"/>
          <w:b/>
          <w:color w:val="auto"/>
          <w:sz w:val="21"/>
          <w:szCs w:val="21"/>
          <w:highlight w:val="none"/>
        </w:rPr>
        <w:t xml:space="preserve">4、</w:t>
      </w:r>
      <w:bookmarkEnd w:id="71"/>
      <w:r>
        <w:rPr>
          <w:rFonts w:hint="eastAsia" w:hAnsi="宋体" w:eastAsia="宋体"/>
          <w:b/>
          <w:color w:val="auto"/>
          <w:sz w:val="21"/>
          <w:highlight w:val="none"/>
        </w:rPr>
        <w:t xml:space="preserve">投标人特殊资格要求</w:t>
      </w:r>
      <w:r/>
    </w:p>
    <w:p>
      <w:pPr>
        <w:ind w:firstLine="420"/>
        <w:spacing w:line="360" w:lineRule="auto"/>
        <w:shd w:val="clear" w:color="auto"/>
        <w:rPr>
          <w:rFonts w:eastAsia="宋体"/>
          <w:color w:val="auto"/>
          <w:highlight w:val="none"/>
        </w:rPr>
      </w:pPr>
      <w:r>
        <w:rPr>
          <w:rFonts w:hint="eastAsia" w:ascii="宋体" w:hAnsi="宋体" w:eastAsia="宋体"/>
          <w:color w:val="auto"/>
          <w:sz w:val="21"/>
          <w:szCs w:val="21"/>
          <w:highlight w:val="none"/>
        </w:rPr>
        <w:t xml:space="preserve">见招标公告。</w:t>
      </w:r>
      <w:r/>
    </w:p>
    <w:p>
      <w:pPr>
        <w:ind w:firstLine="422"/>
        <w:spacing w:line="360" w:lineRule="auto"/>
        <w:shd w:val="clear" w:color="auto"/>
        <w:rPr>
          <w:rFonts w:ascii="宋体" w:hAnsi="宋体" w:eastAsia="宋体"/>
          <w:color w:val="auto"/>
          <w:sz w:val="21"/>
          <w:szCs w:val="24"/>
          <w:highlight w:val="none"/>
        </w:rPr>
      </w:pPr>
      <w:r>
        <w:rPr>
          <w:rFonts w:hint="eastAsia" w:ascii="宋体" w:hAnsi="宋体" w:eastAsia="宋体"/>
          <w:b/>
          <w:color w:val="auto"/>
          <w:sz w:val="21"/>
          <w:szCs w:val="24"/>
          <w:highlight w:val="none"/>
        </w:rPr>
        <w:t xml:space="preserve">注：</w:t>
      </w:r>
      <w:r>
        <w:rPr>
          <w:rFonts w:hint="eastAsia" w:ascii="宋体" w:hAnsi="宋体" w:eastAsia="宋体"/>
          <w:b/>
          <w:color w:val="auto"/>
          <w:sz w:val="21"/>
          <w:szCs w:val="21"/>
          <w:highlight w:val="none"/>
        </w:rPr>
        <w:t xml:space="preserve">已经报名的投标人不代表具备本项目的投标资格，所有满足资格条件的证明文件须放入投标文件技术部分中，开标结束后由采购人</w:t>
      </w:r>
      <w:r>
        <w:rPr>
          <w:rFonts w:ascii="宋体" w:hAnsi="宋体" w:eastAsia="宋体"/>
          <w:b/>
          <w:color w:val="auto"/>
          <w:sz w:val="21"/>
          <w:szCs w:val="21"/>
          <w:highlight w:val="none"/>
        </w:rPr>
        <w:t xml:space="preserve">进行资格审查</w:t>
      </w:r>
      <w:r>
        <w:rPr>
          <w:rFonts w:hint="eastAsia" w:ascii="宋体" w:hAnsi="宋体" w:eastAsia="宋体"/>
          <w:b/>
          <w:color w:val="auto"/>
          <w:sz w:val="21"/>
          <w:szCs w:val="21"/>
          <w:highlight w:val="none"/>
        </w:rPr>
        <w:t xml:space="preserve">。</w:t>
      </w:r>
      <w:r/>
    </w:p>
    <w:p>
      <w:pPr>
        <w:spacing w:line="360" w:lineRule="auto"/>
        <w:shd w:val="clear" w:color="auto"/>
        <w:rPr>
          <w:rFonts w:ascii="宋体" w:hAnsi="宋体" w:eastAsia="宋体"/>
          <w:b/>
          <w:color w:val="auto"/>
          <w:sz w:val="21"/>
          <w:szCs w:val="21"/>
          <w:highlight w:val="none"/>
        </w:rPr>
        <w:outlineLvl w:val="2"/>
      </w:pPr>
      <w:r/>
      <w:bookmarkStart w:id="72" w:name="_Toc492294170"/>
      <w:r>
        <w:rPr>
          <w:rFonts w:ascii="宋体" w:hAnsi="宋体" w:eastAsia="宋体"/>
          <w:b/>
          <w:color w:val="auto"/>
          <w:sz w:val="21"/>
          <w:szCs w:val="21"/>
          <w:highlight w:val="none"/>
        </w:rPr>
        <w:t xml:space="preserve">5、投标人代表</w:t>
      </w:r>
      <w:bookmarkEnd w:id="72"/>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5.1</w:t>
      </w:r>
      <w:r>
        <w:rPr>
          <w:rFonts w:hint="eastAsia" w:ascii="宋体" w:hAnsi="宋体"/>
          <w:color w:val="auto"/>
          <w:sz w:val="21"/>
          <w:szCs w:val="21"/>
          <w:highlight w:val="none"/>
        </w:rPr>
        <w:t xml:space="preserve">指全权代表投标人参加投标活动并签署投标文件的人，如果投标人代表不是法人代表，须持有《法人代表授权委托书》（详见格式）</w:t>
      </w:r>
      <w:r>
        <w:rPr>
          <w:rFonts w:ascii="宋体" w:hAnsi="宋体"/>
          <w:color w:val="auto"/>
          <w:sz w:val="21"/>
          <w:szCs w:val="21"/>
          <w:highlight w:val="none"/>
        </w:rPr>
        <w:t xml:space="preserve">。</w:t>
      </w:r>
      <w:r/>
    </w:p>
    <w:p>
      <w:pPr>
        <w:spacing w:line="360" w:lineRule="auto"/>
        <w:shd w:val="clear" w:color="auto"/>
        <w:rPr>
          <w:rFonts w:ascii="宋体" w:hAnsi="宋体" w:eastAsia="宋体"/>
          <w:b/>
          <w:color w:val="auto"/>
          <w:sz w:val="21"/>
          <w:szCs w:val="21"/>
          <w:highlight w:val="none"/>
        </w:rPr>
        <w:outlineLvl w:val="2"/>
      </w:pPr>
      <w:r/>
      <w:bookmarkStart w:id="73" w:name="_Toc492294171"/>
      <w:r>
        <w:rPr>
          <w:rFonts w:ascii="宋体" w:hAnsi="宋体" w:eastAsia="宋体"/>
          <w:b/>
          <w:color w:val="auto"/>
          <w:sz w:val="21"/>
          <w:szCs w:val="21"/>
          <w:highlight w:val="none"/>
        </w:rPr>
        <w:t xml:space="preserve">6、投标费用</w:t>
      </w:r>
      <w:bookmarkEnd w:id="73"/>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6.1无论投标过程中的做法和结果如何，投标人自行承担所有与参加投标有关的全部费用。</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7、联合投标</w:t>
      </w:r>
      <w:r/>
    </w:p>
    <w:p>
      <w:pPr>
        <w:ind w:firstLine="420"/>
        <w:spacing w:line="360" w:lineRule="auto"/>
        <w:shd w:val="clear" w:color="auto"/>
        <w:rPr>
          <w:rFonts w:eastAsia="宋体"/>
          <w:color w:val="auto"/>
          <w:sz w:val="21"/>
          <w:szCs w:val="21"/>
          <w:highlight w:val="none"/>
        </w:rPr>
      </w:pPr>
      <w:r>
        <w:rPr>
          <w:rFonts w:ascii="宋体" w:hAnsi="宋体" w:eastAsia="宋体"/>
          <w:color w:val="auto"/>
          <w:sz w:val="21"/>
          <w:szCs w:val="21"/>
          <w:highlight w:val="none"/>
        </w:rPr>
        <w:t xml:space="preserve">本</w:t>
      </w:r>
      <w:r>
        <w:rPr>
          <w:rFonts w:hint="eastAsia" w:ascii="宋体" w:hAnsi="宋体" w:eastAsia="宋体"/>
          <w:color w:val="auto"/>
          <w:sz w:val="21"/>
          <w:szCs w:val="21"/>
          <w:highlight w:val="none"/>
        </w:rPr>
        <w:t xml:space="preserve">项目</w:t>
      </w:r>
      <w:r>
        <w:rPr>
          <w:rFonts w:ascii="宋体" w:hAnsi="宋体" w:eastAsia="宋体"/>
          <w:color w:val="auto"/>
          <w:sz w:val="21"/>
          <w:szCs w:val="21"/>
          <w:highlight w:val="none"/>
        </w:rPr>
        <w:t xml:space="preserve">不接受联合投标。</w:t>
      </w:r>
      <w:r/>
    </w:p>
    <w:p>
      <w:pPr>
        <w:spacing w:line="360" w:lineRule="auto"/>
        <w:shd w:val="clear" w:color="auto"/>
        <w:rPr>
          <w:rFonts w:ascii="宋体" w:hAnsi="宋体" w:eastAsia="宋体"/>
          <w:b/>
          <w:color w:val="auto"/>
          <w:sz w:val="21"/>
          <w:szCs w:val="21"/>
          <w:highlight w:val="none"/>
        </w:rPr>
        <w:outlineLvl w:val="1"/>
      </w:pPr>
      <w:r/>
      <w:bookmarkStart w:id="74" w:name="_Toc492294172"/>
      <w:r>
        <w:rPr>
          <w:rFonts w:ascii="宋体" w:hAnsi="宋体" w:eastAsia="宋体"/>
          <w:b/>
          <w:color w:val="auto"/>
          <w:sz w:val="21"/>
          <w:szCs w:val="21"/>
          <w:highlight w:val="none"/>
        </w:rPr>
        <w:t xml:space="preserve">三、招标文件的说明</w:t>
      </w:r>
      <w:bookmarkEnd w:id="74"/>
      <w:r/>
      <w:r/>
    </w:p>
    <w:p>
      <w:pPr>
        <w:spacing w:line="360" w:lineRule="auto"/>
        <w:shd w:val="clear" w:color="auto"/>
        <w:rPr>
          <w:rFonts w:ascii="宋体" w:hAnsi="宋体" w:eastAsia="宋体"/>
          <w:b/>
          <w:color w:val="auto"/>
          <w:sz w:val="21"/>
          <w:szCs w:val="21"/>
          <w:highlight w:val="none"/>
        </w:rPr>
        <w:outlineLvl w:val="2"/>
      </w:pPr>
      <w:r/>
      <w:bookmarkStart w:id="75" w:name="_Toc492294173"/>
      <w:r>
        <w:rPr>
          <w:rFonts w:ascii="宋体" w:hAnsi="宋体" w:eastAsia="宋体"/>
          <w:b/>
          <w:color w:val="auto"/>
          <w:sz w:val="21"/>
          <w:szCs w:val="21"/>
          <w:highlight w:val="none"/>
        </w:rPr>
        <w:t xml:space="preserve">8、招标文件</w:t>
      </w:r>
      <w:bookmarkEnd w:id="75"/>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8.1招标文件由招标文件总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8.2招标文件及其补充文件未按招标文件规定方式获得的，采购代理机构对招标文件及其补遗的真实性、完整性不承担任何责任。</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9、</w:t>
      </w:r>
      <w:r>
        <w:rPr>
          <w:rFonts w:ascii="宋体" w:hAnsi="宋体" w:eastAsia="宋体"/>
          <w:b/>
          <w:color w:val="auto"/>
          <w:sz w:val="21"/>
          <w:szCs w:val="21"/>
          <w:highlight w:val="none"/>
        </w:rPr>
        <w:t xml:space="preserve">招标文件的</w:t>
      </w:r>
      <w:r>
        <w:rPr>
          <w:rFonts w:hint="eastAsia" w:ascii="宋体" w:hAnsi="宋体" w:eastAsia="宋体"/>
          <w:b/>
          <w:color w:val="auto"/>
          <w:sz w:val="21"/>
          <w:szCs w:val="21"/>
          <w:highlight w:val="none"/>
        </w:rPr>
        <w:t xml:space="preserve">澄清和</w:t>
      </w:r>
      <w:r>
        <w:rPr>
          <w:rFonts w:ascii="宋体" w:hAnsi="宋体" w:eastAsia="宋体"/>
          <w:b/>
          <w:color w:val="auto"/>
          <w:sz w:val="21"/>
          <w:szCs w:val="21"/>
          <w:highlight w:val="none"/>
        </w:rPr>
        <w:t xml:space="preserve">修改</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9.1</w:t>
      </w:r>
      <w:r>
        <w:rPr>
          <w:rFonts w:eastAsia="Arial"/>
          <w:color w:val="auto"/>
          <w:sz w:val="21"/>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9.2</w:t>
      </w:r>
      <w:r>
        <w:rPr>
          <w:rFonts w:eastAsia="Arial"/>
          <w:color w:val="auto"/>
          <w:sz w:val="21"/>
          <w:szCs w:val="21"/>
          <w:highlight w:val="none"/>
        </w:rPr>
        <w:t xml:space="preserve">为保证投标人有足够时间修正投标文件，或出于其他合理原因，采购代理机构可依法顺延投标截止时间和开标时间。</w:t>
      </w:r>
      <w:r/>
    </w:p>
    <w:p>
      <w:pPr>
        <w:ind w:firstLine="424"/>
        <w:spacing w:line="360" w:lineRule="auto"/>
        <w:shd w:val="clear" w:color="auto"/>
        <w:tabs>
          <w:tab w:val="left" w:pos="0" w:leader="none"/>
        </w:tabs>
        <w:rPr>
          <w:rFonts w:eastAsia="Arial"/>
          <w:color w:val="auto"/>
          <w:sz w:val="21"/>
          <w:szCs w:val="21"/>
          <w:highlight w:val="none"/>
        </w:rPr>
      </w:pPr>
      <w:r>
        <w:rPr>
          <w:rFonts w:hint="eastAsia" w:eastAsia="宋体"/>
          <w:color w:val="auto"/>
          <w:sz w:val="21"/>
          <w:szCs w:val="21"/>
          <w:highlight w:val="none"/>
        </w:rPr>
        <w:t xml:space="preserve">9.3</w:t>
      </w:r>
      <w:r>
        <w:rPr>
          <w:rFonts w:eastAsia="Arial"/>
          <w:color w:val="auto"/>
          <w:sz w:val="21"/>
          <w:szCs w:val="21"/>
          <w:highlight w:val="none"/>
        </w:rPr>
        <w:t xml:space="preserve">投标人应及时关注政府采购信息发布媒体上发布的更正（补充）公告，同时在“苏采云”系统中下载更正（补充）资料，</w:t>
      </w:r>
      <w:r>
        <w:rPr>
          <w:rFonts w:eastAsia="Arial"/>
          <w:b/>
          <w:color w:val="auto"/>
          <w:sz w:val="21"/>
          <w:szCs w:val="21"/>
          <w:highlight w:val="none"/>
        </w:rPr>
        <w:t xml:space="preserve">如有遗漏（包括但不限于文件未下载或下载不完整），可能无法解密投标（响应）文件，由此所造成的投标失败或损失由投标人自行负责。</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1</w:t>
      </w:r>
      <w:r>
        <w:rPr>
          <w:rFonts w:hint="eastAsia" w:ascii="宋体" w:hAnsi="宋体" w:eastAsia="宋体"/>
          <w:b/>
          <w:color w:val="auto"/>
          <w:sz w:val="21"/>
          <w:szCs w:val="21"/>
          <w:highlight w:val="none"/>
        </w:rPr>
        <w:t xml:space="preserve">0、</w:t>
      </w:r>
      <w:r>
        <w:rPr>
          <w:rFonts w:ascii="宋体" w:hAnsi="宋体" w:eastAsia="宋体"/>
          <w:b/>
          <w:color w:val="auto"/>
          <w:sz w:val="21"/>
          <w:szCs w:val="21"/>
          <w:highlight w:val="none"/>
        </w:rPr>
        <w:t xml:space="preserve">投标答疑</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.1投标人在</w:t>
      </w:r>
      <w:r>
        <w:rPr>
          <w:rFonts w:hint="eastAsia" w:ascii="宋体" w:hAnsi="宋体" w:eastAsia="宋体"/>
          <w:color w:val="auto"/>
          <w:sz w:val="21"/>
          <w:szCs w:val="21"/>
          <w:highlight w:val="none"/>
        </w:rPr>
        <w:t xml:space="preserve">获取</w:t>
      </w:r>
      <w:r>
        <w:rPr>
          <w:rFonts w:ascii="宋体" w:hAnsi="宋体" w:eastAsia="宋体"/>
          <w:color w:val="auto"/>
          <w:sz w:val="21"/>
          <w:szCs w:val="21"/>
          <w:highlight w:val="none"/>
        </w:rPr>
        <w:t xml:space="preserve">招标文件后，若有问题需要询问，应于下载招标文件后，可通过公告中的联系方式及时提出，采购人或采购代理机构将予以解答，但答复内容不得涉及商业秘密。</w:t>
      </w:r>
      <w:r/>
    </w:p>
    <w:p>
      <w:pPr>
        <w:ind w:firstLine="420"/>
        <w:spacing w:line="360" w:lineRule="auto"/>
        <w:shd w:val="clear" w:color="auto"/>
        <w:rPr>
          <w:rFonts w:ascii="宋体" w:hAnsi="宋体" w:eastAsia="宋体"/>
          <w:color w:val="auto"/>
          <w:sz w:val="21"/>
          <w:szCs w:val="21"/>
          <w:highlight w:val="none"/>
        </w:rPr>
        <w:outlineLvl w:val="3"/>
      </w:pPr>
      <w:r>
        <w:rPr>
          <w:rFonts w:hint="eastAsia" w:ascii="宋体" w:hAnsi="宋体" w:eastAsia="宋体"/>
          <w:color w:val="auto"/>
          <w:sz w:val="21"/>
          <w:szCs w:val="21"/>
          <w:highlight w:val="none"/>
        </w:rPr>
        <w:t xml:space="preserve">10.2勘察现场：</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.2.1</w:t>
      </w:r>
      <w:r>
        <w:rPr>
          <w:rFonts w:hint="eastAsia" w:ascii="宋体" w:hAnsi="宋体" w:eastAsia="宋体"/>
          <w:color w:val="auto"/>
          <w:sz w:val="21"/>
          <w:szCs w:val="21"/>
          <w:highlight w:val="none"/>
        </w:rPr>
        <w:t xml:space="preserve">根据自身投标需要，投标人可对有关现场和周围环境进行勘察，以获取编制投标文件和签署合同所需的信息。勘察现场所发生的费用由投标人自己承担。</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.2.2</w:t>
      </w:r>
      <w:r>
        <w:rPr>
          <w:rFonts w:hint="eastAsia" w:ascii="宋体" w:hAnsi="宋体" w:eastAsia="宋体"/>
          <w:color w:val="auto"/>
          <w:sz w:val="21"/>
          <w:szCs w:val="21"/>
          <w:highlight w:val="none"/>
        </w:rPr>
        <w:t xml:space="preserve">采购单位向投标人提供的有关现场的资料和数据，是采购单位现有的并认为能使投标人可利用的资料。采购单位对投标人由此而做出的推论、理解和结论概不负责。</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w:t>
      </w:r>
      <w:r>
        <w:rPr>
          <w:rFonts w:ascii="宋体" w:hAnsi="宋体" w:eastAsia="宋体"/>
          <w:color w:val="auto"/>
          <w:sz w:val="21"/>
          <w:szCs w:val="21"/>
          <w:highlight w:val="none"/>
        </w:rPr>
        <w:t xml:space="preserve">.3 经采购单位允许，投标人可为</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目的进入采购单位的项目现场，但投标人不得因此使采购单位承担有关的责任和蒙受损失。投标人应承担</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现场的责任和风险。</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10.2.4</w:t>
      </w:r>
      <w:r>
        <w:rPr>
          <w:rFonts w:ascii="宋体" w:hAnsi="宋体" w:eastAsia="宋体"/>
          <w:color w:val="auto"/>
          <w:sz w:val="21"/>
          <w:szCs w:val="21"/>
          <w:highlight w:val="none"/>
        </w:rPr>
        <w:t xml:space="preserve">投标人应在现场</w:t>
      </w:r>
      <w:r>
        <w:rPr>
          <w:rFonts w:hint="eastAsia" w:ascii="宋体" w:hAnsi="宋体" w:eastAsia="宋体"/>
          <w:color w:val="auto"/>
          <w:sz w:val="21"/>
          <w:szCs w:val="21"/>
          <w:highlight w:val="none"/>
        </w:rPr>
        <w:t xml:space="preserve">勘察</w:t>
      </w:r>
      <w:r>
        <w:rPr>
          <w:rFonts w:ascii="宋体" w:hAnsi="宋体" w:eastAsia="宋体"/>
          <w:color w:val="auto"/>
          <w:sz w:val="21"/>
          <w:szCs w:val="21"/>
          <w:highlight w:val="none"/>
        </w:rPr>
        <w:t xml:space="preserve">时，熟悉现场及周围交通道路等情况，以获得一切可能影响其投标的直接资料。投标人中标后，不得以不完全了解现场情况为理由而向采购单位提出任何索赔的要求</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对此采购单位不承担任何责任并将不作任何答复与考虑。</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投标答疑包括采购代理机构认为可以回答且不会引起投标人误解的相关问题和答复。由于投标答疑而产生的对招标文件内容的</w:t>
      </w:r>
      <w:r>
        <w:rPr>
          <w:rFonts w:hint="eastAsia" w:ascii="宋体" w:hAnsi="宋体" w:eastAsia="宋体"/>
          <w:color w:val="auto"/>
          <w:sz w:val="21"/>
          <w:szCs w:val="21"/>
          <w:highlight w:val="none"/>
        </w:rPr>
        <w:t xml:space="preserve">澄清或</w:t>
      </w:r>
      <w:r>
        <w:rPr>
          <w:rFonts w:ascii="宋体" w:hAnsi="宋体" w:eastAsia="宋体"/>
          <w:color w:val="auto"/>
          <w:sz w:val="21"/>
          <w:szCs w:val="21"/>
          <w:highlight w:val="none"/>
        </w:rPr>
        <w:t xml:space="preserve">修改，由采购代理机构按照本须知有关规定，以补充</w:t>
      </w:r>
      <w:r>
        <w:rPr>
          <w:rFonts w:hint="eastAsia" w:ascii="宋体" w:hAnsi="宋体" w:eastAsia="宋体"/>
          <w:color w:val="auto"/>
          <w:sz w:val="21"/>
          <w:szCs w:val="21"/>
          <w:highlight w:val="none"/>
        </w:rPr>
        <w:t xml:space="preserve">文件</w:t>
      </w:r>
      <w:r>
        <w:rPr>
          <w:rFonts w:ascii="宋体" w:hAnsi="宋体" w:eastAsia="宋体"/>
          <w:color w:val="auto"/>
          <w:sz w:val="21"/>
          <w:szCs w:val="21"/>
          <w:highlight w:val="none"/>
        </w:rPr>
        <w:t xml:space="preserve">的方式发出。</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四、投标文件说明</w:t>
      </w:r>
      <w:r/>
    </w:p>
    <w:p>
      <w:pPr>
        <w:ind w:left="459" w:hanging="459"/>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11、</w:t>
      </w:r>
      <w:r>
        <w:rPr>
          <w:rFonts w:ascii="宋体" w:hAnsi="宋体" w:eastAsia="宋体"/>
          <w:b/>
          <w:color w:val="auto"/>
          <w:sz w:val="21"/>
          <w:szCs w:val="21"/>
          <w:highlight w:val="none"/>
        </w:rPr>
        <w:t xml:space="preserve">提示与要求</w:t>
      </w:r>
      <w:r/>
    </w:p>
    <w:p>
      <w:pPr>
        <w:ind w:firstLine="502"/>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.2无论是否递交投标文件，投标人都应将招标文件及以后的所有通知、文件等视为保密文件。</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12、</w:t>
      </w:r>
      <w:r>
        <w:rPr>
          <w:rFonts w:ascii="宋体" w:hAnsi="宋体" w:eastAsia="宋体"/>
          <w:b/>
          <w:color w:val="auto"/>
          <w:sz w:val="21"/>
          <w:szCs w:val="21"/>
          <w:highlight w:val="none"/>
        </w:rPr>
        <w:t xml:space="preserve">投标文件计量单位和使用文字</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.1投标文件中所使用的计量单位，除招标文件中有特殊要求外，均应使用中华人民共和国法定计量单位。</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.2投标文件应使用中文编制，投标文件中必须使用其他文字的，必须附有中文译本。对于未附有中文译本和中文译本不准确的投标文件可能引起的对投标人不利的后果，</w:t>
      </w:r>
      <w:r>
        <w:rPr>
          <w:rFonts w:hint="eastAsia" w:ascii="宋体" w:hAnsi="宋体" w:eastAsia="宋体"/>
          <w:color w:val="auto"/>
          <w:sz w:val="21"/>
          <w:szCs w:val="21"/>
          <w:highlight w:val="none"/>
        </w:rPr>
        <w:t xml:space="preserve">由相应投标人自行承担</w:t>
      </w:r>
      <w:r>
        <w:rPr>
          <w:rFonts w:ascii="宋体" w:hAnsi="宋体" w:eastAsia="宋体"/>
          <w:color w:val="auto"/>
          <w:sz w:val="21"/>
          <w:szCs w:val="21"/>
          <w:highlight w:val="none"/>
        </w:rPr>
        <w:t xml:space="preserve">。</w:t>
      </w:r>
      <w:r/>
    </w:p>
    <w:p>
      <w:pPr>
        <w:spacing w:line="360" w:lineRule="auto"/>
        <w:shd w:val="clear" w:color="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13、</w:t>
      </w:r>
      <w:r>
        <w:rPr>
          <w:rFonts w:ascii="宋体" w:hAnsi="宋体" w:eastAsia="宋体"/>
          <w:b/>
          <w:bCs/>
          <w:color w:val="auto"/>
          <w:sz w:val="21"/>
          <w:szCs w:val="21"/>
          <w:highlight w:val="none"/>
        </w:rPr>
        <w:t xml:space="preserve">投标文件的组成</w:t>
      </w:r>
      <w:r>
        <w:rPr>
          <w:rFonts w:hint="eastAsia" w:ascii="宋体" w:hAnsi="宋体" w:eastAsia="宋体"/>
          <w:b/>
          <w:bCs/>
          <w:color w:val="auto"/>
          <w:sz w:val="21"/>
          <w:szCs w:val="21"/>
          <w:highlight w:val="none"/>
        </w:rPr>
        <w:t xml:space="preserve">：</w:t>
      </w:r>
      <w:bookmarkStart w:id="76" w:name="_Hlk158107909"/>
      <w:r/>
      <w:bookmarkStart w:id="77" w:name="_Hlk99457338"/>
      <w:r>
        <w:rPr>
          <w:rFonts w:hint="eastAsia" w:ascii="宋体" w:hAnsi="宋体" w:eastAsia="宋体"/>
          <w:b/>
          <w:bCs/>
          <w:sz w:val="21"/>
          <w:szCs w:val="21"/>
        </w:rPr>
        <w:t xml:space="preserve">（部分文件见格式）</w:t>
      </w:r>
      <w:r/>
    </w:p>
    <w:p>
      <w:pPr>
        <w:ind w:firstLine="422"/>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13.1开标一览表；</w:t>
      </w:r>
      <w:r/>
    </w:p>
    <w:p>
      <w:pPr>
        <w:ind w:firstLine="422"/>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13.2分项报价表；</w:t>
      </w:r>
      <w:r/>
    </w:p>
    <w:p>
      <w:pPr>
        <w:ind w:firstLine="422"/>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13.3资格性审查文件</w:t>
      </w:r>
      <w:r/>
    </w:p>
    <w:p>
      <w:pPr>
        <w:ind w:firstLine="420"/>
        <w:spacing w:line="360" w:lineRule="auto"/>
        <w:rPr>
          <w:rFonts w:hint="default" w:ascii="宋体" w:hAnsi="宋体" w:eastAsia="宋体" w:cs="宋体"/>
          <w:sz w:val="21"/>
          <w:szCs w:val="21"/>
        </w:rPr>
      </w:pPr>
      <w:r/>
      <w:bookmarkStart w:id="78" w:name="_Hlk158127728"/>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.1具有独立承担民事责任的能力的材料：包括法人或者其他组织的营业执照等证明文件，自然人的身份证明；</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.3具有履行合同所必需的设备和专业技术能力的证明材料或声明函；</w:t>
      </w:r>
      <w:r/>
    </w:p>
    <w:p>
      <w:pPr>
        <w:ind w:firstLine="420"/>
        <w:spacing w:line="360" w:lineRule="auto"/>
        <w:rPr>
          <w:rFonts w:hint="default" w:ascii="宋体" w:hAnsi="宋体" w:eastAsia="宋体" w:cs="宋体"/>
          <w:b/>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.5参加政府采购活动前三年内在经营活动中没有重大违法记录的书面声明函；</w:t>
      </w:r>
      <w:r/>
    </w:p>
    <w:p>
      <w:pPr>
        <w:ind w:firstLine="420"/>
        <w:spacing w:line="360" w:lineRule="auto"/>
        <w:rPr>
          <w:rFonts w:hint="default" w:ascii="宋体" w:hAnsi="宋体" w:eastAsia="宋体" w:cs="宋体"/>
          <w:b/>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.6中小企业声明函（如有），</w:t>
      </w:r>
      <w:r>
        <w:rPr>
          <w:rFonts w:hint="eastAsia" w:ascii="宋体" w:hAnsi="宋体" w:eastAsia="宋体" w:cs="宋体"/>
          <w:b/>
          <w:bCs/>
          <w:sz w:val="21"/>
          <w:szCs w:val="21"/>
        </w:rPr>
        <w:t xml:space="preserve">未提供</w:t>
      </w:r>
      <w:r>
        <w:rPr>
          <w:rFonts w:hint="eastAsia" w:ascii="宋体" w:hAnsi="宋体" w:eastAsia="宋体" w:cs="宋体"/>
          <w:b/>
          <w:sz w:val="21"/>
          <w:szCs w:val="21"/>
        </w:rPr>
        <w:t xml:space="preserve">不享受中小企业扶持政策；</w:t>
      </w:r>
      <w:r/>
    </w:p>
    <w:p>
      <w:pPr>
        <w:ind w:firstLine="420"/>
        <w:spacing w:line="360" w:lineRule="auto"/>
        <w:rPr>
          <w:rFonts w:hint="default" w:ascii="宋体" w:hAnsi="宋体" w:eastAsia="宋体" w:cs="宋体"/>
          <w:b/>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残疾人福利性单位声明函（如有），</w:t>
      </w:r>
      <w:r>
        <w:rPr>
          <w:rFonts w:hint="eastAsia" w:ascii="宋体" w:hAnsi="宋体" w:eastAsia="宋体" w:cs="宋体"/>
          <w:b/>
          <w:sz w:val="21"/>
          <w:szCs w:val="21"/>
        </w:rPr>
        <w:t xml:space="preserve">未提供视为非残疾人福利性单位，不视同小微企业，不享受残疾人福利性单位政策；</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sz w:val="21"/>
          <w:szCs w:val="21"/>
        </w:rPr>
        <w:t xml:space="preserve">13.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监狱企业证明文件（如有），由省级以上监狱管理局、戒毒管理局（含新疆生产建设兵团）出具，</w:t>
      </w:r>
      <w:r>
        <w:rPr>
          <w:rFonts w:hint="eastAsia" w:ascii="宋体" w:hAnsi="宋体" w:eastAsia="宋体" w:cs="宋体"/>
          <w:b/>
          <w:sz w:val="21"/>
          <w:szCs w:val="21"/>
        </w:rPr>
        <w:t xml:space="preserve">未提供视为非监狱企业，不视同小微企业，不享受监狱企业政策</w:t>
      </w:r>
      <w:r>
        <w:rPr>
          <w:rFonts w:hint="eastAsia" w:ascii="宋体" w:hAnsi="宋体" w:eastAsia="宋体" w:cs="宋体"/>
          <w:sz w:val="21"/>
          <w:szCs w:val="21"/>
        </w:rPr>
        <w:t xml:space="preserve">；</w:t>
      </w:r>
      <w:r/>
    </w:p>
    <w:p>
      <w:pPr>
        <w:ind w:firstLine="422"/>
        <w:spacing w:line="360" w:lineRule="auto"/>
        <w:shd w:val="clear" w:color="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以上13.3.1—13.3.5项是资格审查要求必须提供的材料，如专门面向中小企业的项目还必须提供13.3.6或13.3.7或13.3.8项资料，否则投标无效。</w:t>
      </w:r>
      <w:bookmarkEnd w:id="76"/>
      <w:r/>
      <w:bookmarkEnd w:id="78"/>
      <w:r/>
      <w:bookmarkStart w:id="79" w:name="_Hlk158111583"/>
      <w:r/>
      <w:r/>
    </w:p>
    <w:p>
      <w:pPr>
        <w:ind w:firstLine="422"/>
        <w:spacing w:line="360" w:lineRule="auto"/>
        <w:shd w:val="clear" w:color="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13.4符合性审查文件</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13.4.1投标函；</w:t>
      </w:r>
      <w:r/>
    </w:p>
    <w:p>
      <w:pPr>
        <w:ind w:firstLine="42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13.4.2投标货物和服务数量、品牌、规格、生产厂家明细表</w:t>
      </w:r>
      <w:r>
        <w:rPr>
          <w:rFonts w:hint="eastAsia" w:ascii="宋体" w:hAnsi="宋体" w:eastAsia="宋体" w:cs="宋体"/>
          <w:color w:val="auto"/>
          <w:sz w:val="21"/>
          <w:szCs w:val="21"/>
          <w:highlight w:val="none"/>
          <w:lang w:eastAsia="zh-CN"/>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13.4.3偏离表（</w:t>
      </w:r>
      <w:r>
        <w:rPr>
          <w:rFonts w:hint="eastAsia" w:ascii="宋体" w:hAnsi="宋体" w:eastAsia="宋体" w:cs="宋体"/>
          <w:color w:val="auto"/>
          <w:sz w:val="21"/>
          <w:szCs w:val="21"/>
          <w:highlight w:val="none"/>
          <w:lang w:val="zh-CN"/>
        </w:rPr>
        <w:t xml:space="preserve">技术要求偏离表、商务偏离表</w:t>
      </w:r>
      <w:r>
        <w:rPr>
          <w:rFonts w:hint="eastAsia" w:ascii="宋体" w:hAnsi="宋体" w:eastAsia="宋体" w:cs="宋体"/>
          <w:color w:val="auto"/>
          <w:sz w:val="21"/>
          <w:szCs w:val="21"/>
          <w:highlight w:val="none"/>
        </w:rPr>
        <w:t xml:space="preserve">）；</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13.4.4对如属于《节能产品政府采购品目清单》政府强制采购产品的，需提供该产品有效期内的认证等相关证明材料；</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13.4.5采购需求中所涉及到的或投标单位认为需加以说明或证明的其他有关符合性证明材料、证明（如有）；</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13.4.6法定代表人身份证；</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13.4.7</w:t>
      </w:r>
      <w:bookmarkStart w:id="80" w:name="_Hlk158130894"/>
      <w:r>
        <w:rPr>
          <w:rFonts w:hint="eastAsia" w:ascii="宋体" w:hAnsi="宋体" w:eastAsia="宋体" w:cs="宋体"/>
          <w:sz w:val="21"/>
          <w:szCs w:val="21"/>
        </w:rPr>
        <w:t xml:space="preserve">法</w:t>
      </w:r>
      <w:r>
        <w:rPr>
          <w:rFonts w:hint="eastAsia" w:ascii="宋体" w:hAnsi="宋体" w:eastAsia="宋体" w:cs="宋体"/>
          <w:sz w:val="21"/>
          <w:szCs w:val="21"/>
          <w:lang w:val="en-US" w:eastAsia="zh-CN"/>
        </w:rPr>
        <w:t xml:space="preserve">定代表</w:t>
      </w:r>
      <w:r>
        <w:rPr>
          <w:rFonts w:hint="eastAsia" w:ascii="宋体" w:hAnsi="宋体" w:eastAsia="宋体" w:cs="宋体"/>
          <w:sz w:val="21"/>
          <w:szCs w:val="21"/>
        </w:rPr>
        <w:t xml:space="preserve">人授权委托书和代理人身份证（如有授权委托）；</w:t>
      </w:r>
      <w:r/>
    </w:p>
    <w:p>
      <w:pPr>
        <w:ind w:firstLine="422"/>
        <w:spacing w:line="360" w:lineRule="auto"/>
        <w:shd w:val="clear" w:color="auto"/>
        <w:rPr>
          <w:rFonts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以上13.4.1—13.4.6为符合性审查必须提供的资料，如有授权委托，还必须提供13.4.7项材料，否则投标无效。</w:t>
      </w:r>
      <w:bookmarkEnd w:id="79"/>
      <w:r/>
      <w:bookmarkEnd w:id="80"/>
      <w:r/>
      <w:bookmarkStart w:id="81" w:name="_Hlk158128239"/>
      <w:r/>
      <w:r/>
    </w:p>
    <w:p>
      <w:pPr>
        <w:ind w:firstLine="422"/>
        <w:spacing w:line="360" w:lineRule="auto"/>
        <w:shd w:val="clear" w:color="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13.5综合评审文件</w:t>
      </w:r>
      <w:bookmarkEnd w:id="81"/>
      <w:r/>
      <w:r/>
    </w:p>
    <w:p>
      <w:pPr>
        <w:ind w:firstLine="420"/>
        <w:keepLines w:val="0"/>
        <w:keepNext w:val="0"/>
        <w:pageBreakBefore w:val="0"/>
        <w:spacing w:line="400" w:lineRule="exact"/>
        <w:shd w:val="clear" w:color="auto"/>
        <w:rPr>
          <w:rFonts w:ascii="宋体" w:hAnsi="宋体" w:eastAsia="宋体" w:cs="宋体"/>
          <w:color w:val="auto"/>
          <w:sz w:val="21"/>
          <w:szCs w:val="21"/>
          <w:highlight w:val="none"/>
        </w:rPr>
      </w:pPr>
      <w:r/>
      <w:bookmarkStart w:id="82" w:name="_Hlk158130956"/>
      <w:r/>
      <w:bookmarkStart w:id="83" w:name="_Hlk75809093"/>
      <w:r/>
      <w:bookmarkStart w:id="84" w:name="_Hlk73984846"/>
      <w:r>
        <w:rPr>
          <w:rFonts w:hint="eastAsia" w:ascii="宋体" w:hAnsi="宋体" w:eastAsia="宋体" w:cs="宋体"/>
          <w:color w:val="auto"/>
          <w:sz w:val="21"/>
          <w:szCs w:val="21"/>
          <w:highlight w:val="none"/>
        </w:rPr>
        <w:t xml:space="preserve">13.5.1评分标准中所涉及到针对本项目的各项实施、</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方案、相关制度、证书、业绩、承诺函及其他材料、证明等。</w:t>
      </w:r>
      <w:bookmarkEnd w:id="82"/>
      <w:r/>
      <w:r/>
    </w:p>
    <w:p>
      <w:pPr>
        <w:ind w:firstLine="420"/>
        <w:keepLines w:val="0"/>
        <w:keepNext w:val="0"/>
        <w:pageBreakBefore w:val="0"/>
        <w:spacing w:line="400" w:lineRule="exact"/>
        <w:shd w:val="clear" w:color="auto"/>
        <w:rPr>
          <w:rFonts w:hint="eastAsia" w:ascii="宋体" w:hAnsi="宋体" w:eastAsia="宋体" w:cs="宋体"/>
          <w:bCs/>
          <w:color w:val="auto"/>
          <w:sz w:val="21"/>
          <w:szCs w:val="21"/>
          <w:highlight w:val="none"/>
          <w:lang w:eastAsia="zh-CN"/>
        </w:rPr>
        <w:outlineLvl w:val="3"/>
      </w:pPr>
      <w:r>
        <w:rPr>
          <w:rFonts w:hint="eastAsia" w:ascii="宋体" w:hAnsi="宋体" w:eastAsia="宋体" w:cs="宋体"/>
          <w:bCs/>
          <w:color w:val="auto"/>
          <w:sz w:val="21"/>
          <w:szCs w:val="21"/>
          <w:highlight w:val="none"/>
        </w:rPr>
        <w:t xml:space="preserve">13.6价格折扣文件（如有）</w:t>
      </w:r>
      <w:bookmarkEnd w:id="83"/>
      <w:r/>
      <w:bookmarkEnd w:id="84"/>
      <w:r/>
      <w:bookmarkStart w:id="85" w:name="_Hlk158131259"/>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400" w:lineRule="exact"/>
        <w:shd w:val="clear" w:color="auto"/>
        <w:rPr>
          <w:rFonts w:ascii="宋体" w:hAnsi="宋体" w:eastAsia="宋体" w:cs="宋体"/>
          <w:b/>
          <w:color w:val="auto"/>
          <w:sz w:val="21"/>
          <w:szCs w:val="21"/>
          <w:highlight w:val="none"/>
        </w:rPr>
        <w:outlineLvl w:val="3"/>
      </w:pPr>
      <w:r>
        <w:rPr>
          <w:rFonts w:hint="eastAsia" w:ascii="宋体" w:hAnsi="宋体" w:eastAsia="宋体" w:cs="宋体"/>
          <w:b/>
          <w:color w:val="auto"/>
          <w:sz w:val="21"/>
          <w:szCs w:val="21"/>
          <w:highlight w:val="none"/>
        </w:rPr>
        <w:t xml:space="preserve">注1：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keepLines w:val="0"/>
        <w:keepNext w:val="0"/>
        <w:pageBreakBefore w:val="0"/>
        <w:spacing w:line="400" w:lineRule="exact"/>
        <w:shd w:val="clear" w:color="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13"/>
        <w:keepLines w:val="0"/>
        <w:keepNext w:val="0"/>
        <w:pageBreakBefore w:val="0"/>
        <w:spacing w:line="400" w:lineRule="exact"/>
        <w:shd w:val="clear" w:color="auto"/>
        <w:tabs>
          <w:tab w:val="left" w:pos="540" w:leader="none"/>
          <w:tab w:val="left" w:pos="851"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w:t>
      </w:r>
      <w:r>
        <w:rPr>
          <w:rFonts w:hint="eastAsia" w:ascii="宋体" w:hAnsi="宋体" w:eastAsia="宋体" w:cs="宋体"/>
          <w:b/>
          <w:color w:val="auto"/>
          <w:sz w:val="21"/>
          <w:szCs w:val="21"/>
          <w:highlight w:val="none"/>
        </w:rPr>
        <w:t xml:space="preserve">投标人</w:t>
      </w:r>
      <w:r>
        <w:rPr>
          <w:rFonts w:hint="eastAsia" w:ascii="宋体" w:hAnsi="宋体" w:eastAsia="宋体" w:cs="宋体"/>
          <w:b/>
          <w:bCs/>
          <w:color w:val="auto"/>
          <w:sz w:val="21"/>
          <w:szCs w:val="21"/>
          <w:highlight w:val="none"/>
        </w:rPr>
        <w:t xml:space="preserve">投标文件中某些条款不响应招标文件提出的全部服务内容与要求，须在偏离表中逐条列出，未列出的视同响应。</w:t>
      </w:r>
      <w:bookmarkEnd w:id="77"/>
      <w:r/>
      <w:bookmarkEnd w:id="85"/>
      <w:r/>
      <w:bookmarkStart w:id="86" w:name="_Toc27834"/>
      <w:r/>
      <w:bookmarkStart w:id="87" w:name="_Toc3725"/>
      <w:r/>
      <w:r/>
    </w:p>
    <w:p>
      <w:pPr>
        <w:ind w:firstLine="413"/>
        <w:keepLines w:val="0"/>
        <w:keepNext w:val="0"/>
        <w:pageBreakBefore w:val="0"/>
        <w:spacing w:line="400" w:lineRule="exact"/>
        <w:shd w:val="clear" w:color="auto"/>
        <w:tabs>
          <w:tab w:val="left" w:pos="540" w:leader="none"/>
          <w:tab w:val="left" w:pos="851"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注2：除上传电子投标文件外，投标单位需另行提交纸质投标文件，要求如下：</w:t>
      </w:r>
      <w:bookmarkEnd w:id="86"/>
      <w:r/>
      <w:bookmarkEnd w:id="87"/>
      <w:r/>
      <w:r/>
    </w:p>
    <w:p>
      <w:pPr>
        <w:ind w:firstLine="420"/>
        <w:jc w:val="left"/>
        <w:spacing w:line="400" w:lineRule="exact"/>
        <w:shd w:val="clear" w:color="auto"/>
        <w:widowControl/>
        <w:rPr>
          <w:rFonts w:ascii="宋体" w:hAnsi="宋体" w:eastAsia="宋体" w:cs="宋体"/>
          <w:color w:val="auto"/>
          <w:sz w:val="21"/>
          <w:szCs w:val="21"/>
          <w:highlight w:val="none"/>
        </w:rPr>
        <w:outlineLvl w:val="0"/>
      </w:pPr>
      <w:r/>
      <w:bookmarkStart w:id="88" w:name="_Toc15974"/>
      <w:r/>
      <w:bookmarkStart w:id="89" w:name="_Toc6239"/>
      <w:r/>
      <w:bookmarkStart w:id="90" w:name="_Toc31582"/>
      <w:r/>
      <w:bookmarkStart w:id="91" w:name="_Toc11534"/>
      <w:r/>
      <w:bookmarkStart w:id="92" w:name="_Toc21855"/>
      <w:r/>
      <w:bookmarkStart w:id="93" w:name="_Toc3566"/>
      <w:r/>
      <w:bookmarkStart w:id="94" w:name="_Toc11926"/>
      <w:r>
        <w:rPr>
          <w:rFonts w:hint="eastAsia" w:ascii="宋体" w:hAnsi="宋体" w:eastAsia="宋体" w:cs="宋体"/>
          <w:color w:val="auto"/>
          <w:sz w:val="21"/>
          <w:szCs w:val="21"/>
          <w:highlight w:val="none"/>
        </w:rPr>
        <w:t xml:space="preserve">（1）本项目采用电子投标文件，投标单位按照招标文件要求制作上传电子投标文件。投标单位另需提供纸质投标文件一正二副（正、副本内容须一致），纸质投标文件须与上传的电子投标文件一致，评审以电子投标文件为准。纸质投标文件请在开标后2日内邮寄至代理公司（苏州高新区潇湘路99号诚来智研发大楼5楼，采购公告上载明的联系人收取），</w:t>
      </w:r>
      <w:r>
        <w:rPr>
          <w:rFonts w:hint="eastAsia" w:ascii="宋体" w:hAnsi="宋体" w:eastAsia="宋体" w:cs="宋体"/>
          <w:color w:val="auto"/>
          <w:sz w:val="21"/>
          <w:szCs w:val="21"/>
          <w:highlight w:val="none"/>
          <w:lang w:val="zh-CN"/>
        </w:rPr>
        <w:t xml:space="preserve">纸质</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文件与电子投标文件不一致的以电子投标文件为准</w:t>
      </w:r>
      <w:r>
        <w:rPr>
          <w:rFonts w:hint="eastAsia" w:ascii="宋体" w:hAnsi="宋体" w:eastAsia="宋体" w:cs="宋体"/>
          <w:color w:val="auto"/>
          <w:sz w:val="21"/>
          <w:szCs w:val="21"/>
          <w:highlight w:val="none"/>
        </w:rPr>
        <w:t xml:space="preserve">。</w:t>
      </w:r>
      <w:bookmarkEnd w:id="88"/>
      <w:r/>
      <w:bookmarkEnd w:id="89"/>
      <w:r/>
      <w:bookmarkEnd w:id="90"/>
      <w:r/>
      <w:bookmarkEnd w:id="91"/>
      <w:r/>
      <w:bookmarkEnd w:id="92"/>
      <w:r/>
      <w:bookmarkEnd w:id="93"/>
      <w:r/>
      <w:bookmarkEnd w:id="94"/>
      <w:r/>
      <w:r/>
    </w:p>
    <w:p>
      <w:pPr>
        <w:ind w:firstLine="420"/>
        <w:jc w:val="left"/>
        <w:spacing w:line="400" w:lineRule="exact"/>
        <w:shd w:val="clear" w:color="auto"/>
        <w:widowControl/>
        <w:rPr>
          <w:rFonts w:ascii="宋体" w:hAnsi="宋体" w:eastAsia="宋体" w:cs="宋体"/>
          <w:color w:val="auto"/>
          <w:sz w:val="21"/>
          <w:szCs w:val="21"/>
          <w:highlight w:val="none"/>
        </w:rPr>
        <w:outlineLvl w:val="0"/>
      </w:pPr>
      <w:r/>
      <w:bookmarkStart w:id="95" w:name="_Toc6286"/>
      <w:r/>
      <w:bookmarkStart w:id="96" w:name="_Toc31943"/>
      <w:r/>
      <w:bookmarkStart w:id="97" w:name="_Toc1662"/>
      <w:r/>
      <w:bookmarkStart w:id="98" w:name="_Toc17801"/>
      <w:r/>
      <w:bookmarkStart w:id="99" w:name="_Toc28121"/>
      <w:r/>
      <w:bookmarkStart w:id="100" w:name="_Toc5778"/>
      <w:r/>
      <w:bookmarkStart w:id="101" w:name="_Toc8721"/>
      <w:r>
        <w:rPr>
          <w:rFonts w:hint="eastAsia" w:ascii="宋体" w:hAnsi="宋体" w:eastAsia="宋体" w:cs="宋体"/>
          <w:color w:val="auto"/>
          <w:sz w:val="21"/>
          <w:szCs w:val="21"/>
          <w:highlight w:val="none"/>
        </w:rPr>
        <w:t xml:space="preserve">（2）全套投标文件应无修改和行间插字，如有修改，须在修改处加盖供应商法定代表人或其委托代理人印鉴。</w:t>
      </w:r>
      <w:bookmarkEnd w:id="95"/>
      <w:r/>
      <w:bookmarkEnd w:id="96"/>
      <w:r/>
      <w:bookmarkEnd w:id="97"/>
      <w:r/>
      <w:bookmarkEnd w:id="98"/>
      <w:r/>
      <w:bookmarkEnd w:id="99"/>
      <w:r/>
      <w:bookmarkEnd w:id="100"/>
      <w:r/>
      <w:bookmarkEnd w:id="101"/>
      <w:r/>
      <w:r/>
    </w:p>
    <w:p>
      <w:pPr>
        <w:spacing w:line="360" w:lineRule="auto"/>
        <w:shd w:val="clear" w:color="auto"/>
        <w:rPr>
          <w:rFonts w:eastAsia="Arial"/>
          <w:b/>
          <w:bCs/>
          <w:color w:val="auto"/>
          <w:sz w:val="21"/>
          <w:szCs w:val="21"/>
          <w:highlight w:val="none"/>
        </w:rPr>
        <w:outlineLvl w:val="2"/>
      </w:pPr>
      <w:r>
        <w:rPr>
          <w:rFonts w:ascii="宋体" w:hAnsi="宋体" w:eastAsia="宋体"/>
          <w:b/>
          <w:color w:val="auto"/>
          <w:sz w:val="21"/>
          <w:szCs w:val="21"/>
          <w:highlight w:val="none"/>
        </w:rPr>
        <w:t xml:space="preserve">14</w:t>
      </w:r>
      <w:r>
        <w:rPr>
          <w:rFonts w:hint="eastAsia" w:ascii="宋体" w:hAnsi="宋体" w:eastAsia="宋体"/>
          <w:b/>
          <w:color w:val="auto"/>
          <w:sz w:val="21"/>
          <w:szCs w:val="21"/>
          <w:highlight w:val="none"/>
        </w:rPr>
        <w:t xml:space="preserve">、</w:t>
      </w:r>
      <w:r>
        <w:rPr>
          <w:rFonts w:eastAsia="Arial"/>
          <w:b/>
          <w:bCs/>
          <w:color w:val="auto"/>
          <w:sz w:val="21"/>
          <w:szCs w:val="21"/>
          <w:highlight w:val="none"/>
        </w:rPr>
        <w:t xml:space="preserve">电子投标文件的编制与</w:t>
      </w:r>
      <w:bookmarkStart w:id="102" w:name="_Hlk158131382"/>
      <w:r>
        <w:rPr>
          <w:rFonts w:eastAsia="Arial"/>
          <w:b/>
          <w:bCs/>
          <w:color w:val="auto"/>
          <w:sz w:val="21"/>
          <w:szCs w:val="21"/>
          <w:highlight w:val="none"/>
        </w:rPr>
        <w:t xml:space="preserve">递交</w:t>
      </w:r>
      <w:bookmarkEnd w:id="102"/>
      <w:r/>
      <w:bookmarkStart w:id="103" w:name="_Hlk140247794"/>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rPr>
        <w:t xml:space="preserve">电子投标（响应）文件制作：本项目为网上招投标项目，请投标人插入CA证书登陆“苏采云”系统下载客户端（参与项目页面可下载客户端及客户端使用说明），在客户端编制电子投标（响应）文件并进行CA加密。操作步骤详见“苏采云”系统页面提示和《操作手册》。</w:t>
      </w:r>
      <w:r/>
    </w:p>
    <w:p>
      <w:pPr>
        <w:ind w:firstLine="422"/>
        <w:spacing w:line="360" w:lineRule="auto"/>
        <w:shd w:val="clear" w:color="auto"/>
        <w:rPr>
          <w:rFonts w:ascii="Arial" w:hAnsi="Arial" w:eastAsia="Arial"/>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rPr>
        <w:t xml:space="preserve">电子投标（响应)文件递交：投标人应当按照《操作手册》指引，在投标（响应）文件提交截止时间前完成电子投标（响应）文件的上传，未按要求成功上传的投标（响应）文件视为未递交。</w:t>
      </w:r>
      <w:r>
        <w:rPr>
          <w:rFonts w:hint="eastAsia" w:ascii="Arial" w:hAnsi="Arial" w:eastAsia="Arial"/>
          <w:color w:val="auto"/>
          <w:sz w:val="21"/>
          <w:szCs w:val="21"/>
          <w:highlight w:val="none"/>
        </w:rPr>
        <w:t xml:space="preserve">投标人应充分考虑到网络环境、网络带宽等风险因素，如因投标人自身原因造成的电子投标（响应）文件上传不成功由投标人自行承担全部责任。</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rPr>
        <w:t xml:space="preserve">投标文件未按照招标文件要求加盖CA电子公章的，投标无效。</w:t>
      </w:r>
      <w:r/>
    </w:p>
    <w:p>
      <w:pPr>
        <w:ind w:firstLine="420"/>
        <w:spacing w:line="360" w:lineRule="auto"/>
        <w:shd w:val="clear" w:color="auto"/>
        <w:rPr>
          <w:rFonts w:ascii="宋体" w:hAnsi="宋体" w:eastAsia="宋体" w:cs="宋体"/>
          <w:color w:val="auto"/>
          <w:sz w:val="21"/>
          <w:szCs w:val="21"/>
          <w:highlight w:val="none"/>
        </w:rPr>
      </w:pPr>
      <w:r/>
      <w:bookmarkStart w:id="104" w:name="_Hlk158134955"/>
      <w:r>
        <w:rPr>
          <w:rFonts w:hint="eastAsia" w:ascii="宋体" w:hAnsi="宋体" w:eastAsia="宋体" w:cs="宋体"/>
          <w:color w:val="auto"/>
          <w:sz w:val="21"/>
          <w:szCs w:val="21"/>
          <w:highlight w:val="none"/>
        </w:rPr>
        <w:t xml:space="preserve">14</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联合体投标：如招标（采购）公告中允许联合体投标，联合体投标的投标（响应）文件制作上传操作如下：</w:t>
      </w:r>
      <w:r/>
    </w:p>
    <w:p>
      <w:pPr>
        <w:ind w:left="567"/>
        <w:spacing w:line="360" w:lineRule="auto"/>
        <w:shd w:val="clear" w:color="auto"/>
        <w:tabs>
          <w:tab w:val="left" w:pos="142" w:leader="none"/>
          <w:tab w:val="left" w:pos="600" w:leader="none"/>
        </w:tabs>
        <w:rPr>
          <w:rFonts w:ascii="Arial" w:hAnsi="Arial" w:eastAsia="Arial"/>
          <w:color w:val="auto"/>
          <w:sz w:val="21"/>
          <w:szCs w:val="21"/>
          <w:highlight w:val="none"/>
        </w:rPr>
      </w:pPr>
      <w:r>
        <w:rPr>
          <w:rFonts w:hint="eastAsia" w:ascii="Arial" w:hAnsi="Arial" w:eastAsia="Arial"/>
          <w:color w:val="auto"/>
          <w:sz w:val="21"/>
          <w:szCs w:val="21"/>
          <w:highlight w:val="none"/>
        </w:rPr>
        <w:t xml:space="preserve">第一步：在投标（响应）文件中上传联合体投标协议书。</w:t>
      </w:r>
      <w:r/>
    </w:p>
    <w:p>
      <w:pPr>
        <w:ind w:left="567"/>
        <w:spacing w:line="360" w:lineRule="auto"/>
        <w:shd w:val="clear" w:color="auto"/>
        <w:tabs>
          <w:tab w:val="left" w:pos="142" w:leader="none"/>
          <w:tab w:val="left" w:pos="600" w:leader="none"/>
        </w:tabs>
        <w:rPr>
          <w:rFonts w:ascii="Arial" w:hAnsi="Arial" w:eastAsia="Arial"/>
          <w:color w:val="auto"/>
          <w:sz w:val="21"/>
          <w:szCs w:val="21"/>
          <w:highlight w:val="none"/>
        </w:rPr>
      </w:pPr>
      <w:r>
        <w:rPr>
          <w:rFonts w:hint="eastAsia" w:ascii="Arial" w:hAnsi="Arial" w:eastAsia="Arial"/>
          <w:color w:val="auto"/>
          <w:sz w:val="21"/>
          <w:szCs w:val="21"/>
          <w:highlight w:val="none"/>
        </w:rPr>
        <w:t xml:space="preserve">第二步；在投标（响应）文件中，由联合体中的牵头人制作投标（响应）文件。</w:t>
      </w:r>
      <w:bookmarkEnd w:id="104"/>
      <w:r/>
      <w:r/>
    </w:p>
    <w:p>
      <w:pPr>
        <w:ind w:firstLine="422"/>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rPr>
          <w:rFonts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rPr>
        <w:t xml:space="preserve">如投标（响应）文件制作机器码信息一致，视为不同投标供应商使用同一台电脑编制投标（响应）文件，投标（响应）无效。</w:t>
      </w:r>
      <w:bookmarkEnd w:id="103"/>
      <w:r/>
      <w:r/>
    </w:p>
    <w:p>
      <w:pPr>
        <w:ind w:firstLine="420"/>
        <w:spacing w:line="360" w:lineRule="auto"/>
        <w:shd w:val="clear" w:color="auto"/>
        <w:rPr>
          <w:rFonts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14.6网络中断故障技术支持：园区公共资源交易中心</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服务时间及方式：8:00-21:00 X7天</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电话：0512-66605052；手机：17315885859</w:t>
      </w:r>
      <w:r/>
    </w:p>
    <w:p>
      <w:pPr>
        <w:ind w:firstLine="422"/>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14</w:t>
      </w:r>
      <w:r>
        <w:rPr>
          <w:rFonts w:hint="eastAsia" w:ascii="宋体" w:hAnsi="宋体" w:eastAsia="宋体"/>
          <w:b/>
          <w:color w:val="auto"/>
          <w:sz w:val="21"/>
          <w:szCs w:val="21"/>
          <w:highlight w:val="none"/>
        </w:rPr>
        <w:t xml:space="preserve">.7</w:t>
      </w:r>
      <w:r>
        <w:rPr>
          <w:rFonts w:ascii="宋体" w:hAnsi="宋体" w:eastAsia="宋体"/>
          <w:b/>
          <w:color w:val="auto"/>
          <w:sz w:val="21"/>
          <w:szCs w:val="21"/>
          <w:highlight w:val="none"/>
        </w:rPr>
        <w:t xml:space="preserve">投标报价（编制）要求的说明</w:t>
      </w:r>
      <w:r/>
    </w:p>
    <w:p>
      <w:pPr>
        <w:ind w:firstLine="420"/>
        <w:spacing w:line="400" w:lineRule="exact"/>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14.7.1除非合同</w:t>
      </w:r>
      <w:r>
        <w:rPr>
          <w:rFonts w:hint="eastAsia" w:ascii="宋体" w:hAnsi="宋体" w:eastAsia="宋体"/>
          <w:color w:val="auto"/>
          <w:sz w:val="21"/>
          <w:szCs w:val="21"/>
          <w:highlight w:val="none"/>
        </w:rPr>
        <w:t xml:space="preserve">中另有规定，投标人对开标一览表中的全部货物</w:t>
      </w:r>
      <w:r>
        <w:rPr>
          <w:rFonts w:hint="eastAsia" w:ascii="宋体" w:hAnsi="宋体" w:eastAsia="宋体"/>
          <w:color w:val="auto"/>
          <w:sz w:val="21"/>
          <w:szCs w:val="21"/>
          <w:highlight w:val="none"/>
        </w:rPr>
        <w:t xml:space="preserve">和服务的报价应包括但不限于为实施和完成本合同项下全部内容所需的全部费用和要求获得的利润，包括所投货物及其备品备件和专用工具费用、相关知识产权费、 保险、税费及包装、运至最终目的地的运输、存储、现场吊装、搬运、安装调试、检测验收、甲方指定部门的检验检测费、技术支持与培训、伴随服务、质保和售后服务及相关劳务支出等工作所发生的全部费用，以及企业利润、税金和政策性文件规定及采购文件提出的、合同包含的所有风险、责任等各项应有费用。同时，除非合同条款中另有规定，否则，投标人所报价格在合同实施期间不因市场变化因素而变动。</w:t>
      </w:r>
      <w:r/>
    </w:p>
    <w:p>
      <w:pPr>
        <w:pStyle w:val="833"/>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.7.2</w:t>
      </w:r>
      <w:r>
        <w:rPr>
          <w:rFonts w:ascii="宋体" w:hAnsi="宋体" w:eastAsia="宋体" w:cs="宋体"/>
          <w:color w:val="auto"/>
          <w:sz w:val="21"/>
          <w:szCs w:val="21"/>
          <w:highlight w:val="none"/>
          <w:lang w:val="zh-TW" w:eastAsia="zh-TW"/>
        </w:rPr>
        <w:t xml:space="preserve">《开标一览表》，按</w:t>
      </w:r>
      <w:r>
        <w:rPr>
          <w:rFonts w:hint="eastAsia" w:ascii="宋体" w:hAnsi="宋体" w:eastAsia="宋体" w:cs="宋体"/>
          <w:color w:val="auto"/>
          <w:sz w:val="21"/>
          <w:szCs w:val="21"/>
          <w:highlight w:val="none"/>
          <w:lang w:val="zh-TW" w:eastAsia="zh-TW"/>
        </w:rPr>
        <w:t xml:space="preserve">系统</w:t>
      </w:r>
      <w:r>
        <w:rPr>
          <w:rFonts w:ascii="宋体" w:hAnsi="宋体" w:eastAsia="宋体" w:cs="宋体"/>
          <w:color w:val="auto"/>
          <w:sz w:val="21"/>
          <w:szCs w:val="21"/>
          <w:highlight w:val="none"/>
          <w:lang w:val="zh-TW" w:eastAsia="zh-TW"/>
        </w:rPr>
        <w:t xml:space="preserve">格式填写。</w:t>
      </w:r>
      <w:r/>
    </w:p>
    <w:p>
      <w:pPr>
        <w:pStyle w:val="833"/>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.7.3</w:t>
      </w:r>
      <w:r>
        <w:rPr>
          <w:rFonts w:ascii="宋体" w:hAnsi="宋体" w:eastAsia="宋体" w:cs="宋体"/>
          <w:color w:val="auto"/>
          <w:sz w:val="21"/>
          <w:szCs w:val="21"/>
          <w:highlight w:val="none"/>
          <w:lang w:val="zh-TW" w:eastAsia="zh-TW"/>
        </w:rPr>
        <w:t xml:space="preserve">投标人应按《投标报价明细表》中的全部货物和服务计算单价和总价。《投标报价</w:t>
      </w:r>
      <w:r>
        <w:rPr>
          <w:rFonts w:hint="eastAsia" w:ascii="宋体" w:hAnsi="宋体" w:eastAsia="宋体" w:cs="宋体"/>
          <w:color w:val="auto"/>
          <w:sz w:val="21"/>
          <w:szCs w:val="21"/>
          <w:highlight w:val="none"/>
          <w:lang w:val="zh-TW"/>
        </w:rPr>
        <w:t xml:space="preserve">明细</w:t>
      </w:r>
      <w:r>
        <w:rPr>
          <w:rFonts w:ascii="宋体" w:hAnsi="宋体" w:eastAsia="宋体" w:cs="宋体"/>
          <w:color w:val="auto"/>
          <w:sz w:val="21"/>
          <w:szCs w:val="21"/>
          <w:highlight w:val="none"/>
          <w:lang w:val="zh-TW" w:eastAsia="zh-TW"/>
        </w:rPr>
        <w:t xml:space="preserve">表》中的每一单项均应计算并填写单价和总价，并由法定代表人或代理人签署。投标人未填单价或合价的项目，在实施后，采购</w:t>
      </w:r>
      <w:r>
        <w:rPr>
          <w:rFonts w:hint="eastAsia" w:ascii="宋体" w:hAnsi="宋体" w:eastAsia="宋体" w:cs="宋体"/>
          <w:color w:val="auto"/>
          <w:sz w:val="21"/>
          <w:szCs w:val="21"/>
          <w:highlight w:val="none"/>
          <w:lang w:val="zh-TW"/>
        </w:rPr>
        <w:t xml:space="preserve">人</w:t>
      </w:r>
      <w:r>
        <w:rPr>
          <w:rFonts w:ascii="宋体" w:hAnsi="宋体" w:eastAsia="宋体" w:cs="宋体"/>
          <w:color w:val="auto"/>
          <w:sz w:val="21"/>
          <w:szCs w:val="21"/>
          <w:highlight w:val="none"/>
          <w:lang w:val="zh-TW" w:eastAsia="zh-TW"/>
        </w:rPr>
        <w:t xml:space="preserve">将不予支付，并视为该项费用已包括在其它有价款的单价或合价内。</w:t>
      </w:r>
      <w:r/>
    </w:p>
    <w:p>
      <w:pPr>
        <w:pStyle w:val="833"/>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.7.4</w:t>
      </w:r>
      <w:r>
        <w:rPr>
          <w:rFonts w:ascii="宋体" w:hAnsi="宋体" w:eastAsia="宋体" w:cs="宋体"/>
          <w:b/>
          <w:bCs/>
          <w:color w:val="auto"/>
          <w:sz w:val="21"/>
          <w:szCs w:val="21"/>
          <w:highlight w:val="none"/>
          <w:lang w:val="zh-TW" w:eastAsia="zh-TW"/>
        </w:rPr>
        <w:t xml:space="preserve">投标人应对招标文件内所要采购的全部内容进行报价，只投其中部分内容者，其</w:t>
      </w:r>
      <w:r>
        <w:rPr>
          <w:rFonts w:hint="eastAsia" w:ascii="宋体" w:hAnsi="宋体" w:eastAsia="宋体" w:cs="宋体"/>
          <w:b/>
          <w:bCs/>
          <w:color w:val="auto"/>
          <w:sz w:val="21"/>
          <w:szCs w:val="21"/>
          <w:highlight w:val="none"/>
          <w:lang w:val="zh-TW"/>
        </w:rPr>
        <w:t xml:space="preserve">投标文件</w:t>
      </w:r>
      <w:r>
        <w:rPr>
          <w:rFonts w:ascii="宋体" w:hAnsi="宋体" w:eastAsia="宋体" w:cs="宋体"/>
          <w:b/>
          <w:bCs/>
          <w:color w:val="auto"/>
          <w:sz w:val="21"/>
          <w:szCs w:val="21"/>
          <w:highlight w:val="none"/>
          <w:lang w:val="zh-TW" w:eastAsia="zh-TW"/>
        </w:rPr>
        <w:t xml:space="preserve">将被拒绝</w:t>
      </w:r>
      <w:r>
        <w:rPr>
          <w:rFonts w:ascii="宋体" w:hAnsi="宋体" w:eastAsia="宋体" w:cs="宋体"/>
          <w:color w:val="auto"/>
          <w:sz w:val="21"/>
          <w:szCs w:val="21"/>
          <w:highlight w:val="none"/>
          <w:lang w:val="zh-TW" w:eastAsia="zh-TW"/>
        </w:rPr>
        <w:t xml:space="preserve">。但如果招标文件要求分标段投标的，则投标人可以按招标文件要求选择只投其中一个或几个标段，也可以投全部标段，但各标段应分别计算填写单价和总价。</w:t>
      </w:r>
      <w:r/>
    </w:p>
    <w:p>
      <w:pPr>
        <w:pStyle w:val="833"/>
        <w:jc w:val="both"/>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TW" w:eastAsia="zh-TW"/>
        </w:rPr>
        <w:t xml:space="preserve">1</w:t>
      </w:r>
      <w:r>
        <w:rPr>
          <w:rFonts w:ascii="宋体" w:hAnsi="宋体" w:eastAsia="宋体" w:cs="宋体"/>
          <w:b/>
          <w:bCs/>
          <w:color w:val="auto"/>
          <w:sz w:val="21"/>
          <w:szCs w:val="21"/>
          <w:highlight w:val="none"/>
          <w:lang w:val="zh-TW" w:eastAsia="zh-TW"/>
        </w:rPr>
        <w:t xml:space="preserve">4</w:t>
      </w:r>
      <w:r>
        <w:rPr>
          <w:rFonts w:hint="eastAsia" w:ascii="宋体" w:hAnsi="宋体" w:eastAsia="宋体" w:cs="宋体"/>
          <w:b/>
          <w:bCs/>
          <w:color w:val="auto"/>
          <w:sz w:val="21"/>
          <w:szCs w:val="21"/>
          <w:highlight w:val="none"/>
          <w:lang w:val="zh-TW" w:eastAsia="zh-TW"/>
        </w:rPr>
        <w:t xml:space="preserve">.</w:t>
      </w: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zh-TW" w:eastAsia="zh-TW"/>
        </w:rPr>
        <w:t xml:space="preserve">.5</w:t>
      </w:r>
      <w:r>
        <w:rPr>
          <w:rFonts w:ascii="宋体" w:hAnsi="宋体" w:eastAsia="宋体" w:cs="宋体"/>
          <w:b/>
          <w:bCs/>
          <w:color w:val="auto"/>
          <w:sz w:val="21"/>
          <w:szCs w:val="21"/>
          <w:highlight w:val="none"/>
          <w:lang w:val="zh-TW" w:eastAsia="zh-TW"/>
        </w:rPr>
        <w:t xml:space="preserve">一项投标内容只允许一个报价，任何有选择性投标报价的，其投标无效</w:t>
      </w:r>
      <w:r>
        <w:rPr>
          <w:rFonts w:hint="eastAsia" w:ascii="宋体" w:hAnsi="宋体" w:eastAsia="宋体" w:cs="宋体"/>
          <w:b/>
          <w:bCs/>
          <w:color w:val="auto"/>
          <w:sz w:val="21"/>
          <w:szCs w:val="21"/>
          <w:highlight w:val="none"/>
          <w:lang w:val="zh-TW" w:eastAsia="zh-TW"/>
        </w:rPr>
        <w:t xml:space="preserve">。投标报价超过招标文件中规定的预算金额或者最高限价的，或者各标的物的单价超过该项预算单价的（针对采购文件标明预算单价的项目），其投标无效。</w:t>
      </w:r>
      <w:r/>
    </w:p>
    <w:p>
      <w:pPr>
        <w:pStyle w:val="833"/>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14.7.6</w:t>
      </w:r>
      <w:r>
        <w:rPr>
          <w:rFonts w:hint="eastAsia" w:ascii="宋体" w:hAnsi="宋体" w:eastAsia="宋体" w:cs="宋体"/>
          <w:color w:val="auto"/>
          <w:sz w:val="21"/>
          <w:szCs w:val="21"/>
          <w:highlight w:val="none"/>
          <w:lang w:val="zh-TW" w:eastAsia="zh-TW"/>
        </w:rPr>
        <w:t xml:space="preserve">投标文件报价中的单价和总价全部采用人民币表示，除非合同的特殊条款另有规定。</w:t>
      </w:r>
      <w:r/>
    </w:p>
    <w:p>
      <w:pPr>
        <w:pStyle w:val="833"/>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TW" w:eastAsia="zh-TW"/>
        </w:rPr>
        <w:t xml:space="preserve">.</w:t>
      </w:r>
      <w:r>
        <w:rPr>
          <w:rFonts w:hint="eastAsia" w:ascii="宋体" w:hAnsi="宋体" w:eastAsia="宋体" w:cs="宋体"/>
          <w:color w:val="auto"/>
          <w:sz w:val="21"/>
          <w:szCs w:val="21"/>
          <w:highlight w:val="none"/>
        </w:rPr>
        <w:t xml:space="preserve">7</w:t>
      </w:r>
      <w:r>
        <w:rPr>
          <w:rFonts w:hint="eastAsia" w:ascii="宋体" w:hAnsi="宋体" w:eastAsia="宋体" w:cs="宋体"/>
          <w:b/>
          <w:bCs/>
          <w:color w:val="auto"/>
          <w:sz w:val="21"/>
          <w:szCs w:val="21"/>
          <w:highlight w:val="none"/>
          <w:lang w:val="zh-TW" w:eastAsia="zh-TW"/>
        </w:rPr>
        <w:t xml:space="preserve">最低报价不能作为中标的保证。</w:t>
      </w:r>
      <w:r>
        <w:rPr>
          <w:rFonts w:hint="eastAsia" w:ascii="宋体" w:hAnsi="宋体" w:eastAsia="宋体" w:cs="宋体"/>
          <w:color w:val="auto"/>
          <w:sz w:val="21"/>
          <w:szCs w:val="21"/>
          <w:highlight w:val="none"/>
          <w:lang w:val="zh-TW" w:eastAsia="zh-TW"/>
        </w:rPr>
        <w:t xml:space="preserve">且所有报价应完全符合政策法律法规的规定。</w:t>
      </w:r>
      <w:r/>
    </w:p>
    <w:p>
      <w:pPr>
        <w:pStyle w:val="878"/>
        <w:spacing w:line="360" w:lineRule="auto"/>
        <w:shd w:val="clear" w:color="auto"/>
        <w:rPr>
          <w:color w:val="auto"/>
          <w:highlight w:val="none"/>
        </w:rPr>
        <w:outlineLvl w:val="3"/>
      </w:pPr>
      <w:r>
        <w:rPr>
          <w:rFonts w:hint="eastAsia" w:hAnsi="宋体" w:eastAsia="宋体"/>
          <w:color w:val="auto"/>
          <w:sz w:val="21"/>
          <w:szCs w:val="21"/>
          <w:highlight w:val="none"/>
        </w:rPr>
        <w:t xml:space="preserve">1</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.8</w:t>
      </w:r>
      <w:r>
        <w:rPr>
          <w:rFonts w:hint="eastAsia" w:hAnsi="宋体" w:eastAsia="宋体"/>
          <w:b/>
          <w:color w:val="auto"/>
          <w:sz w:val="21"/>
          <w:szCs w:val="21"/>
          <w:highlight w:val="none"/>
          <w:u w:val="single"/>
        </w:rPr>
        <w:t xml:space="preserve">未按要求制作的投标文件招标人有权拒绝。</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15</w:t>
      </w:r>
      <w:r>
        <w:rPr>
          <w:rFonts w:hint="eastAsia" w:ascii="宋体" w:hAnsi="宋体" w:eastAsia="宋体"/>
          <w:b/>
          <w:color w:val="auto"/>
          <w:sz w:val="21"/>
          <w:szCs w:val="21"/>
          <w:highlight w:val="none"/>
        </w:rPr>
        <w:t xml:space="preserve">、纸质</w:t>
      </w:r>
      <w:r>
        <w:rPr>
          <w:rFonts w:ascii="宋体" w:hAnsi="宋体" w:eastAsia="宋体"/>
          <w:b/>
          <w:color w:val="auto"/>
          <w:sz w:val="21"/>
          <w:szCs w:val="21"/>
          <w:highlight w:val="none"/>
        </w:rPr>
        <w:t xml:space="preserve">投标文件的份数和签署</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.1纸质投标文件的正本应使用不能擦去的墨水清楚地书写或打印，由投标人的企业法人或其授权的代理人签署，并将授权书附在其中。评标以电子投标文件为准。</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.2完整的投标文件不应有其他版本，全套投标文件应无修改和行间插字。如有修改，须在修改处加盖投标单位企业法人印签或由其委托代理人签署。</w:t>
      </w:r>
      <w:r/>
    </w:p>
    <w:p>
      <w:pPr>
        <w:spacing w:line="360" w:lineRule="auto"/>
        <w:shd w:val="clear" w:color="auto"/>
        <w:rPr>
          <w:rFonts w:ascii="宋体" w:hAnsi="宋体" w:eastAsia="宋体"/>
          <w:color w:val="auto"/>
          <w:sz w:val="21"/>
          <w:szCs w:val="21"/>
          <w:highlight w:val="none"/>
        </w:rPr>
        <w:outlineLvl w:val="2"/>
      </w:pPr>
      <w:r>
        <w:rPr>
          <w:rFonts w:ascii="宋体" w:hAnsi="宋体" w:eastAsia="宋体"/>
          <w:b/>
          <w:color w:val="auto"/>
          <w:sz w:val="21"/>
          <w:szCs w:val="21"/>
          <w:highlight w:val="none"/>
        </w:rPr>
        <w:t xml:space="preserve">16</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投标文件的有效期</w:t>
      </w:r>
      <w:r/>
    </w:p>
    <w:p>
      <w:pPr>
        <w:ind w:firstLine="50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16.1自开标日起</w:t>
      </w:r>
      <w:r>
        <w:rPr>
          <w:rFonts w:ascii="宋体" w:hAnsi="宋体" w:eastAsia="宋体"/>
          <w:b/>
          <w:bCs/>
          <w:color w:val="auto"/>
          <w:sz w:val="21"/>
          <w:szCs w:val="21"/>
          <w:highlight w:val="none"/>
        </w:rPr>
        <w:t xml:space="preserve">60天</w:t>
      </w:r>
      <w:r>
        <w:rPr>
          <w:rFonts w:ascii="宋体" w:hAnsi="宋体" w:eastAsia="宋体"/>
          <w:color w:val="auto"/>
          <w:sz w:val="21"/>
          <w:szCs w:val="21"/>
          <w:highlight w:val="none"/>
        </w:rPr>
        <w:t xml:space="preserve">内，投标书应保持有效。有效期短于这个规定期限的投标，将被拒绝。</w:t>
      </w:r>
      <w:r/>
    </w:p>
    <w:p>
      <w:pPr>
        <w:ind w:firstLine="50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16.2在特殊情况下，</w:t>
      </w:r>
      <w:r>
        <w:rPr>
          <w:rFonts w:hint="eastAsia" w:ascii="宋体" w:hAnsi="宋体" w:eastAsia="宋体"/>
          <w:color w:val="auto"/>
          <w:sz w:val="21"/>
          <w:szCs w:val="21"/>
          <w:highlight w:val="none"/>
        </w:rPr>
        <w:t xml:space="preserve">采购人或</w:t>
      </w:r>
      <w:r>
        <w:rPr>
          <w:rFonts w:ascii="宋体" w:hAnsi="宋体" w:eastAsia="宋体"/>
          <w:color w:val="auto"/>
          <w:sz w:val="21"/>
          <w:szCs w:val="21"/>
          <w:highlight w:val="none"/>
        </w:rPr>
        <w:t xml:space="preserve">采购代理机构可与投标人协商延长投标</w:t>
      </w:r>
      <w:r>
        <w:rPr>
          <w:rFonts w:hint="eastAsia" w:ascii="宋体" w:hAnsi="宋体" w:eastAsia="宋体"/>
          <w:color w:val="auto"/>
          <w:sz w:val="21"/>
          <w:szCs w:val="21"/>
          <w:highlight w:val="none"/>
        </w:rPr>
        <w:t xml:space="preserve">文件</w:t>
      </w:r>
      <w:r>
        <w:rPr>
          <w:rFonts w:ascii="宋体" w:hAnsi="宋体" w:eastAsia="宋体"/>
          <w:color w:val="auto"/>
          <w:sz w:val="21"/>
          <w:szCs w:val="21"/>
          <w:highlight w:val="none"/>
        </w:rPr>
        <w:t xml:space="preserve">的有效期。这种要求和答复都应以书面形式进行。同意延长有效期的投标人不能修改投标文件。</w:t>
      </w:r>
      <w:r>
        <w:rPr>
          <w:rFonts w:hint="eastAsia" w:ascii="宋体" w:hAnsi="宋体" w:eastAsia="宋体"/>
          <w:color w:val="auto"/>
          <w:sz w:val="21"/>
          <w:szCs w:val="21"/>
          <w:highlight w:val="none"/>
        </w:rPr>
        <w:t xml:space="preserve">拒绝接受延期要求的投标人的投标将被拒绝。</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五、投标文件的递交</w:t>
      </w:r>
      <w:r/>
    </w:p>
    <w:p>
      <w:pPr>
        <w:jc w:val="left"/>
        <w:spacing w:line="400" w:lineRule="exact"/>
        <w:shd w:val="clear" w:color="auto"/>
        <w:widowControl/>
        <w:rPr>
          <w:rFonts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17.1投标截止时间</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rPr>
        <w:t xml:space="preserve">电子投标（响应）文件制作完成后必须于投标</w:t>
      </w:r>
      <w:r>
        <w:rPr>
          <w:rFonts w:hint="eastAsia" w:ascii="宋体" w:hAnsi="宋体" w:eastAsia="宋体"/>
          <w:color w:val="auto"/>
          <w:sz w:val="21"/>
          <w:szCs w:val="21"/>
          <w:highlight w:val="none"/>
          <w:lang w:val="zh-CN"/>
        </w:rPr>
        <w:t xml:space="preserve">截止时间</w:t>
      </w:r>
      <w:r>
        <w:rPr>
          <w:rFonts w:hint="eastAsia" w:ascii="宋体" w:hAnsi="宋体" w:eastAsia="宋体"/>
          <w:color w:val="auto"/>
          <w:sz w:val="21"/>
          <w:szCs w:val="21"/>
          <w:highlight w:val="none"/>
        </w:rPr>
        <w:t xml:space="preserve">前成功上传，未按要求线上递交电子投标（响应）文件将被拒收</w:t>
      </w:r>
      <w:r>
        <w:rPr>
          <w:rFonts w:hint="eastAsia" w:ascii="宋体" w:hAnsi="宋体" w:eastAsia="宋体"/>
          <w:color w:val="auto"/>
          <w:sz w:val="21"/>
          <w:szCs w:val="21"/>
          <w:highlight w:val="none"/>
          <w:lang w:val="zh-CN"/>
        </w:rPr>
        <w:t xml:space="preserve">。采购人或采购代理机构推迟投标截止时间时，将以补充通知形式在政府采购信息发布媒体上公告。在这种情况下，采购人或采购代理机构和投标人的权利和义务将受到新的截止期的约束。</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w:t>
      </w:r>
      <w:r>
        <w:rPr>
          <w:rFonts w:hint="eastAsia" w:ascii="宋体" w:hAnsi="宋体" w:eastAsia="宋体"/>
          <w:color w:val="auto"/>
          <w:sz w:val="21"/>
          <w:szCs w:val="21"/>
          <w:highlight w:val="none"/>
          <w:lang w:val="zh-CN"/>
        </w:rPr>
        <w:t xml:space="preserve">.2在投标截止时间以后</w:t>
      </w:r>
      <w:r>
        <w:rPr>
          <w:rFonts w:hint="eastAsia" w:ascii="宋体" w:hAnsi="宋体" w:eastAsia="宋体"/>
          <w:color w:val="auto"/>
          <w:sz w:val="21"/>
          <w:szCs w:val="21"/>
          <w:highlight w:val="none"/>
        </w:rPr>
        <w:t xml:space="preserve">递交成功</w:t>
      </w:r>
      <w:r>
        <w:rPr>
          <w:rFonts w:hint="eastAsia" w:ascii="宋体" w:hAnsi="宋体" w:eastAsia="宋体"/>
          <w:color w:val="auto"/>
          <w:sz w:val="21"/>
          <w:szCs w:val="21"/>
          <w:highlight w:val="none"/>
          <w:lang w:val="zh-CN"/>
        </w:rPr>
        <w:t xml:space="preserve">的投标文件，采购人或采购代理机构将拒绝接收。</w:t>
      </w:r>
      <w:r/>
    </w:p>
    <w:p>
      <w:pPr>
        <w:ind w:firstLine="420"/>
        <w:jc w:val="left"/>
        <w:spacing w:line="400" w:lineRule="exact"/>
        <w:shd w:val="clear" w:color="auto"/>
        <w:widowControl/>
        <w:rPr>
          <w:rFonts w:ascii="宋体" w:hAnsi="宋体" w:eastAsia="宋体"/>
          <w:color w:val="auto"/>
          <w:sz w:val="21"/>
          <w:szCs w:val="21"/>
          <w:highlight w:val="none"/>
        </w:rPr>
        <w:outlineLvl w:val="2"/>
      </w:pPr>
      <w:r>
        <w:rPr>
          <w:rFonts w:hint="eastAsia" w:ascii="宋体" w:hAnsi="宋体" w:eastAsia="宋体"/>
          <w:color w:val="auto"/>
          <w:sz w:val="21"/>
          <w:szCs w:val="21"/>
          <w:highlight w:val="none"/>
        </w:rPr>
        <w:t xml:space="preserve">17.1.3在投标截止时间止采购人或采购代理机构收到的投标文件少于三份，采购人或采购代理机构有权宣布本次招标失败。</w:t>
      </w:r>
      <w:r/>
    </w:p>
    <w:p>
      <w:pPr>
        <w:jc w:val="left"/>
        <w:spacing w:line="400" w:lineRule="exact"/>
        <w:shd w:val="clear" w:color="auto"/>
        <w:widowControl/>
        <w:rPr>
          <w:rFonts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t xml:space="preserve">18、投标文件的修改和撤回、撤销</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lang w:val="zh-CN"/>
        </w:rPr>
        <w:t xml:space="preserve">投标人在投标截止时间前，</w:t>
      </w:r>
      <w:r>
        <w:rPr>
          <w:rFonts w:ascii="宋体" w:hAnsi="宋体"/>
          <w:color w:val="auto"/>
          <w:sz w:val="21"/>
          <w:szCs w:val="21"/>
          <w:highlight w:val="none"/>
        </w:rPr>
        <w:t xml:space="preserve">可以对所递交的</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文件进行补充、修改或者撤回</w:t>
      </w:r>
      <w:r>
        <w:rPr>
          <w:rFonts w:hint="eastAsia" w:ascii="宋体" w:hAnsi="宋体"/>
          <w:color w:val="auto"/>
          <w:sz w:val="21"/>
          <w:szCs w:val="21"/>
          <w:highlight w:val="none"/>
        </w:rPr>
        <w:t xml:space="preserve">，具体操作方法见《操作手册》。</w:t>
      </w:r>
      <w:r>
        <w:rPr>
          <w:rFonts w:ascii="宋体" w:hAnsi="宋体"/>
          <w:color w:val="auto"/>
          <w:sz w:val="21"/>
          <w:szCs w:val="21"/>
          <w:highlight w:val="none"/>
        </w:rPr>
        <w:t xml:space="preserve">提交</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文件截止时间后供应商不得撤回</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w:t>
      </w:r>
      <w:r>
        <w:rPr>
          <w:rFonts w:hint="eastAsia" w:ascii="宋体" w:hAnsi="宋体"/>
          <w:color w:val="auto"/>
          <w:sz w:val="21"/>
          <w:szCs w:val="21"/>
          <w:highlight w:val="none"/>
        </w:rPr>
        <w:t xml:space="preserve">供应商撤回投标（</w:t>
      </w:r>
      <w:r>
        <w:rPr>
          <w:rFonts w:ascii="宋体" w:hAnsi="宋体"/>
          <w:color w:val="auto"/>
          <w:sz w:val="21"/>
          <w:szCs w:val="21"/>
          <w:highlight w:val="none"/>
        </w:rPr>
        <w:t xml:space="preserve">响应</w:t>
      </w:r>
      <w:r>
        <w:rPr>
          <w:rFonts w:hint="eastAsia" w:ascii="宋体" w:hAnsi="宋体"/>
          <w:color w:val="auto"/>
          <w:sz w:val="21"/>
          <w:szCs w:val="21"/>
          <w:highlight w:val="none"/>
        </w:rPr>
        <w:t xml:space="preserve">）</w:t>
      </w:r>
      <w:r>
        <w:rPr>
          <w:rFonts w:ascii="宋体" w:hAnsi="宋体"/>
          <w:color w:val="auto"/>
          <w:sz w:val="21"/>
          <w:szCs w:val="21"/>
          <w:highlight w:val="none"/>
        </w:rPr>
        <w:t xml:space="preserve">文件</w:t>
      </w:r>
      <w:r>
        <w:rPr>
          <w:rFonts w:hint="eastAsia" w:ascii="宋体" w:hAnsi="宋体"/>
          <w:color w:val="auto"/>
          <w:sz w:val="21"/>
          <w:szCs w:val="21"/>
          <w:highlight w:val="none"/>
        </w:rPr>
        <w:t xml:space="preserve">，则认为其不再参与本项目采购活动</w:t>
      </w:r>
      <w:r>
        <w:rPr>
          <w:rFonts w:ascii="宋体" w:hAnsi="宋体"/>
          <w:color w:val="auto"/>
          <w:sz w:val="21"/>
          <w:szCs w:val="21"/>
          <w:highlight w:val="none"/>
          <w:lang w:val="zh-CN"/>
        </w:rPr>
        <w:t xml:space="preserve">。</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六</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开标和评标</w:t>
      </w:r>
      <w:r/>
    </w:p>
    <w:p>
      <w:pPr>
        <w:spacing w:line="360" w:lineRule="auto"/>
        <w:shd w:val="clear" w:color="auto"/>
        <w:rPr>
          <w:rFonts w:ascii="宋体" w:hAnsi="宋体" w:eastAsia="宋体" w:cs="宋体"/>
          <w:b/>
          <w:color w:val="auto"/>
          <w:sz w:val="21"/>
          <w:szCs w:val="21"/>
          <w:highlight w:val="none"/>
        </w:rPr>
        <w:outlineLvl w:val="2"/>
      </w:pPr>
      <w:r>
        <w:rPr>
          <w:rFonts w:hint="eastAsia" w:ascii="宋体" w:hAnsi="宋体" w:eastAsia="宋体"/>
          <w:b/>
          <w:color w:val="auto"/>
          <w:sz w:val="21"/>
          <w:szCs w:val="21"/>
          <w:highlight w:val="none"/>
        </w:rPr>
        <w:t xml:space="preserve">19.1、</w:t>
      </w:r>
      <w:r>
        <w:rPr>
          <w:rFonts w:ascii="宋体" w:hAnsi="宋体" w:eastAsia="宋体"/>
          <w:b/>
          <w:color w:val="auto"/>
          <w:sz w:val="21"/>
          <w:szCs w:val="21"/>
          <w:highlight w:val="none"/>
        </w:rPr>
        <w:t xml:space="preserve">开标</w:t>
      </w:r>
      <w:bookmarkStart w:id="105" w:name="_Hlk92794076"/>
      <w:r/>
      <w:r/>
    </w:p>
    <w:p>
      <w:pPr>
        <w:ind w:firstLine="420"/>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19.1.1本项目为不见面开标（开启）项目，</w:t>
      </w:r>
      <w:r>
        <w:rPr>
          <w:rFonts w:hint="eastAsia" w:ascii="宋体" w:hAnsi="宋体" w:eastAsia="宋体" w:cs="宋体"/>
          <w:b/>
          <w:color w:val="auto"/>
          <w:sz w:val="21"/>
          <w:szCs w:val="21"/>
          <w:highlight w:val="none"/>
        </w:rPr>
        <w:t xml:space="preserve">开标阶段供应商在【解密环节】必须使用CA证书解密电子投标（响应）文件，请供应商确保电脑、系统及其他设备（视频输入输出设备等）无误，且开启直至项目结束始终保持系统在线状态。</w:t>
      </w:r>
      <w:bookmarkStart w:id="106" w:name="_Hlk90652960"/>
      <w:r/>
      <w:r/>
    </w:p>
    <w:p>
      <w:pPr>
        <w:ind w:firstLine="420"/>
        <w:spacing w:line="360" w:lineRule="auto"/>
        <w:shd w:val="clear" w:color="auto"/>
        <w:rPr>
          <w:rFonts w:ascii="Arial" w:hAnsi="Arial" w:eastAsia="Arial"/>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w:t>
      </w:r>
      <w:r>
        <w:rPr>
          <w:rFonts w:hint="eastAsia" w:eastAsia="宋体"/>
          <w:color w:val="auto"/>
          <w:sz w:val="21"/>
          <w:szCs w:val="21"/>
          <w:highlight w:val="none"/>
        </w:rPr>
        <w:t xml:space="preserve">1.</w:t>
      </w:r>
      <w:r>
        <w:rPr>
          <w:rFonts w:eastAsia="Arial"/>
          <w:color w:val="auto"/>
          <w:sz w:val="21"/>
          <w:szCs w:val="21"/>
          <w:highlight w:val="none"/>
        </w:rPr>
        <w:t xml:space="preserve">2</w:t>
      </w:r>
      <w:r>
        <w:rPr>
          <w:rFonts w:hint="eastAsia" w:ascii="Arial" w:hAnsi="Arial" w:eastAsia="Arial"/>
          <w:color w:val="auto"/>
          <w:sz w:val="21"/>
          <w:szCs w:val="21"/>
          <w:highlight w:val="none"/>
        </w:rPr>
        <w:t xml:space="preserve">线上参加（观看）开标（开启）会方式：登录“苏采云”系统，点击“开标大厅”，选择对应项目，点击进入不见面开标系统。</w:t>
      </w:r>
      <w:r/>
    </w:p>
    <w:p>
      <w:pPr>
        <w:ind w:firstLine="420"/>
        <w:spacing w:line="360" w:lineRule="auto"/>
        <w:shd w:val="clear" w:color="auto"/>
        <w:rPr>
          <w:rFonts w:ascii="Arial" w:hAnsi="Arial" w:eastAsia="Arial"/>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w:t>
      </w:r>
      <w:r>
        <w:rPr>
          <w:rFonts w:hint="eastAsia" w:eastAsia="宋体"/>
          <w:color w:val="auto"/>
          <w:sz w:val="21"/>
          <w:szCs w:val="21"/>
          <w:highlight w:val="none"/>
        </w:rPr>
        <w:t xml:space="preserve">1.</w:t>
      </w:r>
      <w:r>
        <w:rPr>
          <w:rFonts w:eastAsia="Arial"/>
          <w:color w:val="auto"/>
          <w:sz w:val="21"/>
          <w:szCs w:val="21"/>
          <w:highlight w:val="none"/>
        </w:rPr>
        <w:t xml:space="preserve">3</w:t>
      </w:r>
      <w:r>
        <w:rPr>
          <w:rFonts w:hint="eastAsia" w:ascii="Arial" w:hAnsi="Arial" w:eastAsia="Arial"/>
          <w:color w:val="auto"/>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06"/>
      <w:r/>
      <w:bookmarkStart w:id="107" w:name="_Hlk158135485"/>
      <w:r/>
      <w:r/>
    </w:p>
    <w:p>
      <w:pPr>
        <w:ind w:firstLine="420"/>
        <w:spacing w:line="360" w:lineRule="auto"/>
        <w:shd w:val="clear" w:color="auto"/>
        <w:rPr>
          <w:rFonts w:ascii="Arial" w:hAnsi="Arial" w:eastAsia="Arial"/>
          <w:b/>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w:t>
      </w:r>
      <w:r>
        <w:rPr>
          <w:rFonts w:hint="eastAsia" w:eastAsia="宋体"/>
          <w:color w:val="auto"/>
          <w:sz w:val="21"/>
          <w:szCs w:val="21"/>
          <w:highlight w:val="none"/>
        </w:rPr>
        <w:t xml:space="preserve">1.</w:t>
      </w:r>
      <w:r>
        <w:rPr>
          <w:rFonts w:eastAsia="Arial"/>
          <w:color w:val="auto"/>
          <w:sz w:val="21"/>
          <w:szCs w:val="21"/>
          <w:highlight w:val="none"/>
        </w:rPr>
        <w:t xml:space="preserve">4</w:t>
      </w:r>
      <w:r>
        <w:rPr>
          <w:rFonts w:hint="eastAsia" w:ascii="Arial" w:hAnsi="Arial" w:eastAsia="Arial"/>
          <w:color w:val="auto"/>
          <w:sz w:val="21"/>
          <w:szCs w:val="21"/>
          <w:highlight w:val="none"/>
        </w:rPr>
        <w:t xml:space="preserve">开标时，投标人应当按照《操作手册》规定，</w:t>
      </w:r>
      <w:r>
        <w:rPr>
          <w:rFonts w:hint="eastAsia" w:ascii="Arial" w:hAnsi="Arial" w:eastAsia="Arial"/>
          <w:color w:val="auto"/>
          <w:sz w:val="21"/>
          <w:szCs w:val="21"/>
          <w:highlight w:val="none"/>
          <w:u w:val="single"/>
        </w:rPr>
        <w:t xml:space="preserve">在“苏采云”系统规定的时间内对投标文件进行解密</w:t>
      </w:r>
      <w:r>
        <w:rPr>
          <w:rFonts w:hint="eastAsia" w:ascii="Arial" w:hAnsi="Arial" w:eastAsia="Arial"/>
          <w:color w:val="auto"/>
          <w:sz w:val="21"/>
          <w:szCs w:val="21"/>
          <w:highlight w:val="none"/>
        </w:rPr>
        <w:t xml:space="preserve">。等待开标流程进入“解锁环境”，点击“点击立即解密”进行标书解密，解锁完成后及时关注开标大厅，等待答疑澄清等提示，</w:t>
      </w:r>
      <w:r>
        <w:rPr>
          <w:rFonts w:hint="eastAsia" w:ascii="Arial" w:hAnsi="Arial" w:eastAsia="Arial"/>
          <w:b/>
          <w:color w:val="auto"/>
          <w:sz w:val="21"/>
          <w:szCs w:val="21"/>
          <w:highlight w:val="none"/>
        </w:rPr>
        <w:t xml:space="preserve">否则导致的对投标人不利的后果由供应商自行承担</w:t>
      </w:r>
      <w:bookmarkEnd w:id="107"/>
      <w:r>
        <w:rPr>
          <w:rFonts w:hint="eastAsia" w:ascii="Arial" w:hAnsi="Arial" w:eastAsia="Arial"/>
          <w:b/>
          <w:color w:val="auto"/>
          <w:sz w:val="21"/>
          <w:szCs w:val="21"/>
          <w:highlight w:val="none"/>
        </w:rPr>
        <w:t xml:space="preserve">。</w:t>
      </w:r>
      <w:r/>
    </w:p>
    <w:p>
      <w:pPr>
        <w:ind w:firstLine="420"/>
        <w:spacing w:line="360" w:lineRule="auto"/>
        <w:shd w:val="clear" w:color="auto"/>
        <w:rPr>
          <w:rFonts w:hAnsi="Arial" w:eastAsia="Arial"/>
          <w:b/>
          <w:color w:val="auto"/>
          <w:sz w:val="21"/>
          <w:szCs w:val="21"/>
          <w:highlight w:val="none"/>
        </w:rPr>
      </w:pPr>
      <w:r>
        <w:rPr>
          <w:rFonts w:eastAsia="Arial"/>
          <w:color w:val="auto"/>
          <w:sz w:val="21"/>
          <w:szCs w:val="21"/>
          <w:highlight w:val="none"/>
        </w:rPr>
        <w:t xml:space="preserve">19.</w:t>
      </w:r>
      <w:r>
        <w:rPr>
          <w:rFonts w:hint="eastAsia" w:eastAsia="宋体"/>
          <w:color w:val="auto"/>
          <w:sz w:val="21"/>
          <w:szCs w:val="21"/>
          <w:highlight w:val="none"/>
        </w:rPr>
        <w:t xml:space="preserve">1.</w:t>
      </w:r>
      <w:r>
        <w:rPr>
          <w:rFonts w:eastAsia="Arial"/>
          <w:color w:val="auto"/>
          <w:sz w:val="21"/>
          <w:szCs w:val="21"/>
          <w:highlight w:val="none"/>
        </w:rPr>
        <w:t xml:space="preserve">5</w:t>
      </w:r>
      <w:r>
        <w:rPr>
          <w:rFonts w:hAnsi="Arial" w:eastAsia="Arial"/>
          <w:color w:val="auto"/>
          <w:sz w:val="21"/>
          <w:szCs w:val="21"/>
          <w:highlight w:val="none"/>
        </w:rPr>
        <w:t xml:space="preserve">投标人在</w:t>
      </w:r>
      <w:r>
        <w:rPr>
          <w:rFonts w:eastAsia="Arial"/>
          <w:color w:val="auto"/>
          <w:sz w:val="21"/>
          <w:szCs w:val="21"/>
          <w:highlight w:val="none"/>
        </w:rPr>
        <w:t xml:space="preserve">“</w:t>
      </w:r>
      <w:r>
        <w:rPr>
          <w:rFonts w:hAnsi="Arial" w:eastAsia="Arial"/>
          <w:color w:val="auto"/>
          <w:sz w:val="21"/>
          <w:szCs w:val="21"/>
          <w:highlight w:val="none"/>
        </w:rPr>
        <w:t xml:space="preserve">苏采云</w:t>
      </w:r>
      <w:r>
        <w:rPr>
          <w:rFonts w:eastAsia="Arial"/>
          <w:color w:val="auto"/>
          <w:sz w:val="21"/>
          <w:szCs w:val="21"/>
          <w:highlight w:val="none"/>
        </w:rPr>
        <w:t xml:space="preserve">”</w:t>
      </w:r>
      <w:r>
        <w:rPr>
          <w:rFonts w:hAnsi="Arial" w:eastAsia="Arial"/>
          <w:color w:val="auto"/>
          <w:sz w:val="21"/>
          <w:szCs w:val="21"/>
          <w:highlight w:val="none"/>
        </w:rPr>
        <w:t xml:space="preserve">系统规定的时间内未成功解密电子投标文件的，</w:t>
      </w:r>
      <w:r>
        <w:rPr>
          <w:rFonts w:hAnsi="Arial" w:eastAsia="Arial"/>
          <w:b/>
          <w:color w:val="auto"/>
          <w:sz w:val="21"/>
          <w:szCs w:val="21"/>
          <w:highlight w:val="none"/>
        </w:rPr>
        <w:t xml:space="preserve">投标无效。</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19.</w:t>
      </w:r>
      <w:r>
        <w:rPr>
          <w:rFonts w:hint="eastAsia" w:eastAsia="宋体"/>
          <w:color w:val="auto"/>
          <w:sz w:val="21"/>
          <w:szCs w:val="21"/>
          <w:highlight w:val="none"/>
        </w:rPr>
        <w:t xml:space="preserve">1.</w:t>
      </w:r>
      <w:r>
        <w:rPr>
          <w:rFonts w:eastAsia="Arial"/>
          <w:color w:val="auto"/>
          <w:sz w:val="21"/>
          <w:szCs w:val="21"/>
          <w:highlight w:val="none"/>
        </w:rPr>
        <w:t xml:space="preserve">6</w:t>
      </w:r>
      <w:r>
        <w:rPr>
          <w:rFonts w:hAnsi="Arial" w:eastAsia="Arial"/>
          <w:color w:val="auto"/>
          <w:sz w:val="21"/>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Arial"/>
          <w:color w:val="auto"/>
          <w:sz w:val="21"/>
          <w:szCs w:val="21"/>
          <w:highlight w:val="none"/>
        </w:rPr>
        <w:t xml:space="preserve">。</w:t>
      </w:r>
      <w:bookmarkStart w:id="108" w:name="_Hlk90653182"/>
      <w:r/>
      <w:bookmarkEnd w:id="108"/>
      <w:r/>
      <w:r/>
    </w:p>
    <w:p>
      <w:pPr>
        <w:ind w:firstLine="420"/>
        <w:spacing w:line="360" w:lineRule="auto"/>
        <w:shd w:val="clear" w:color="auto"/>
        <w:rPr>
          <w:rFonts w:eastAsia="Arial"/>
          <w:b/>
          <w:color w:val="auto"/>
          <w:sz w:val="21"/>
          <w:szCs w:val="21"/>
          <w:highlight w:val="none"/>
        </w:rPr>
      </w:pPr>
      <w:r>
        <w:rPr>
          <w:rFonts w:eastAsia="Arial"/>
          <w:color w:val="auto"/>
          <w:sz w:val="21"/>
          <w:szCs w:val="21"/>
          <w:highlight w:val="none"/>
        </w:rPr>
        <w:t xml:space="preserve">19.</w:t>
      </w:r>
      <w:r>
        <w:rPr>
          <w:rFonts w:hint="eastAsia" w:eastAsia="宋体"/>
          <w:color w:val="auto"/>
          <w:sz w:val="21"/>
          <w:szCs w:val="21"/>
          <w:highlight w:val="none"/>
        </w:rPr>
        <w:t xml:space="preserve">1.</w:t>
      </w:r>
      <w:r>
        <w:rPr>
          <w:rFonts w:hint="eastAsia" w:eastAsia="宋体"/>
          <w:color w:val="auto"/>
          <w:sz w:val="21"/>
          <w:szCs w:val="21"/>
          <w:highlight w:val="none"/>
          <w:lang w:val="en-US" w:eastAsia="zh-CN"/>
        </w:rPr>
        <w:t xml:space="preserve">7</w:t>
      </w:r>
      <w:r>
        <w:rPr>
          <w:rFonts w:eastAsia="Arial"/>
          <w:color w:val="auto"/>
          <w:sz w:val="21"/>
          <w:szCs w:val="21"/>
          <w:highlight w:val="none"/>
        </w:rPr>
        <w:t xml:space="preserve">至投标文件提交截止时间，</w:t>
      </w:r>
      <w:r>
        <w:rPr>
          <w:rFonts w:eastAsia="Arial"/>
          <w:b/>
          <w:color w:val="auto"/>
          <w:sz w:val="21"/>
          <w:szCs w:val="21"/>
          <w:highlight w:val="none"/>
        </w:rPr>
        <w:t xml:space="preserve">递交投标文件的投标人不足</w:t>
      </w:r>
      <w:r>
        <w:rPr>
          <w:rFonts w:hint="eastAsia" w:eastAsia="宋体"/>
          <w:b/>
          <w:color w:val="auto"/>
          <w:sz w:val="21"/>
          <w:szCs w:val="21"/>
          <w:highlight w:val="none"/>
        </w:rPr>
        <w:t xml:space="preserve">3</w:t>
      </w:r>
      <w:r>
        <w:rPr>
          <w:rFonts w:eastAsia="Arial"/>
          <w:b/>
          <w:color w:val="auto"/>
          <w:sz w:val="21"/>
          <w:szCs w:val="21"/>
          <w:highlight w:val="none"/>
        </w:rPr>
        <w:t xml:space="preserve">家的，不得开标。</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19.</w:t>
      </w:r>
      <w:r>
        <w:rPr>
          <w:rFonts w:hint="eastAsia" w:eastAsia="宋体"/>
          <w:color w:val="auto"/>
          <w:sz w:val="21"/>
          <w:szCs w:val="21"/>
          <w:highlight w:val="none"/>
        </w:rPr>
        <w:t xml:space="preserve">1.</w:t>
      </w:r>
      <w:r>
        <w:rPr>
          <w:rFonts w:hint="eastAsia" w:eastAsia="宋体"/>
          <w:color w:val="auto"/>
          <w:sz w:val="21"/>
          <w:szCs w:val="21"/>
          <w:highlight w:val="none"/>
          <w:lang w:val="en-US" w:eastAsia="zh-CN"/>
        </w:rPr>
        <w:t xml:space="preserve">8</w:t>
      </w:r>
      <w:r>
        <w:rPr>
          <w:rFonts w:eastAsia="Arial"/>
          <w:color w:val="auto"/>
          <w:sz w:val="21"/>
          <w:szCs w:val="21"/>
          <w:highlight w:val="none"/>
        </w:rPr>
        <w:t xml:space="preserve">开标在招标文件规定的时间、地点进行，由采购人或采购代理机构主持，投标人参加（观看），评标委员会成员不得参加开标活动。</w:t>
      </w:r>
      <w:bookmarkEnd w:id="105"/>
      <w:r/>
      <w:r/>
    </w:p>
    <w:p>
      <w:pPr>
        <w:ind w:firstLine="420"/>
        <w:jc w:val="left"/>
        <w:spacing w:line="360" w:lineRule="auto"/>
        <w:shd w:val="clear" w:color="auto"/>
        <w:widowControl/>
        <w:rPr>
          <w:rFonts w:eastAsia="Arial"/>
          <w:color w:val="auto"/>
          <w:sz w:val="21"/>
          <w:szCs w:val="21"/>
          <w:highlight w:val="none"/>
        </w:rPr>
      </w:pPr>
      <w:r>
        <w:rPr>
          <w:rFonts w:hint="eastAsia" w:eastAsia="宋体"/>
          <w:color w:val="auto"/>
          <w:sz w:val="21"/>
          <w:szCs w:val="21"/>
          <w:highlight w:val="none"/>
        </w:rPr>
        <w:t xml:space="preserve">19.1.</w:t>
      </w:r>
      <w:r>
        <w:rPr>
          <w:rFonts w:hint="eastAsia" w:eastAsia="宋体"/>
          <w:color w:val="auto"/>
          <w:sz w:val="21"/>
          <w:szCs w:val="21"/>
          <w:highlight w:val="none"/>
          <w:lang w:val="en-US" w:eastAsia="zh-CN"/>
        </w:rPr>
        <w:t xml:space="preserve">9</w:t>
      </w:r>
      <w:r>
        <w:rPr>
          <w:rFonts w:eastAsia="Arial"/>
          <w:color w:val="auto"/>
          <w:sz w:val="21"/>
          <w:szCs w:val="21"/>
          <w:highlight w:val="none"/>
        </w:rPr>
        <w:t xml:space="preserve">技术支持</w:t>
      </w:r>
      <w:r/>
    </w:p>
    <w:p>
      <w:pPr>
        <w:ind w:firstLine="420"/>
        <w:jc w:val="left"/>
        <w:spacing w:line="360" w:lineRule="auto"/>
        <w:shd w:val="clear" w:color="auto"/>
        <w:widowControl/>
        <w:rPr>
          <w:rFonts w:eastAsia="Arial"/>
          <w:color w:val="auto"/>
          <w:sz w:val="21"/>
          <w:szCs w:val="21"/>
          <w:highlight w:val="none"/>
        </w:rPr>
      </w:pPr>
      <w:r/>
      <w:bookmarkStart w:id="109" w:name="_Hlk154590236"/>
      <w:r>
        <w:rPr>
          <w:rFonts w:eastAsia="Arial"/>
          <w:color w:val="auto"/>
          <w:sz w:val="21"/>
          <w:szCs w:val="21"/>
          <w:highlight w:val="none"/>
        </w:rPr>
        <w:t xml:space="preserve">（1） CA技术咨询服务电话：400-608-6099</w:t>
      </w:r>
      <w:r/>
    </w:p>
    <w:p>
      <w:pPr>
        <w:ind w:firstLine="420"/>
        <w:jc w:val="left"/>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电子签章技术咨询服务电话：15380932027、15371015030、13675197356、13675197221</w:t>
      </w:r>
      <w:bookmarkEnd w:id="109"/>
      <w:r/>
      <w:r/>
    </w:p>
    <w:p>
      <w:pPr>
        <w:ind w:firstLine="420"/>
        <w:jc w:val="left"/>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“苏采云”平台技术咨询电话：0512-69820854、0519-86722802、13914088964、18261002950</w:t>
      </w:r>
      <w:r/>
    </w:p>
    <w:p>
      <w:pPr>
        <w:ind w:firstLine="420"/>
        <w:jc w:val="left"/>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（2） 网络中断故障技术支持：园区公共资源交易中心</w:t>
      </w:r>
      <w:r/>
    </w:p>
    <w:p>
      <w:pPr>
        <w:ind w:firstLine="420"/>
        <w:jc w:val="left"/>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服务时间及方式：8:00-21:00 X7天</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电话：0512-66605052；手机：17315885859</w:t>
      </w:r>
      <w:r/>
    </w:p>
    <w:p>
      <w:pPr>
        <w:spacing w:line="360" w:lineRule="auto"/>
        <w:shd w:val="clear" w:color="auto"/>
        <w:rPr>
          <w:rFonts w:eastAsia="Arial"/>
          <w:b/>
          <w:color w:val="auto"/>
          <w:sz w:val="21"/>
          <w:szCs w:val="21"/>
          <w:highlight w:val="none"/>
        </w:rPr>
        <w:outlineLvl w:val="2"/>
      </w:pPr>
      <w:r>
        <w:rPr>
          <w:rFonts w:hint="eastAsia" w:eastAsia="宋体"/>
          <w:b/>
          <w:color w:val="auto"/>
          <w:sz w:val="21"/>
          <w:szCs w:val="21"/>
          <w:highlight w:val="none"/>
        </w:rPr>
        <w:t xml:space="preserve">19</w:t>
      </w:r>
      <w:r>
        <w:rPr>
          <w:rFonts w:eastAsia="Arial"/>
          <w:b/>
          <w:color w:val="auto"/>
          <w:sz w:val="21"/>
          <w:szCs w:val="21"/>
          <w:highlight w:val="none"/>
        </w:rPr>
        <w:t xml:space="preserve">.2</w:t>
      </w:r>
      <w:r>
        <w:rPr>
          <w:rFonts w:hint="eastAsia" w:eastAsia="宋体"/>
          <w:b/>
          <w:color w:val="auto"/>
          <w:sz w:val="21"/>
          <w:szCs w:val="21"/>
          <w:highlight w:val="none"/>
        </w:rPr>
        <w:t xml:space="preserve">、</w:t>
      </w:r>
      <w:r>
        <w:rPr>
          <w:rFonts w:eastAsia="Arial"/>
          <w:b/>
          <w:color w:val="auto"/>
          <w:sz w:val="21"/>
          <w:szCs w:val="21"/>
          <w:highlight w:val="none"/>
        </w:rPr>
        <w:t xml:space="preserve">资格审查</w:t>
      </w:r>
      <w:r/>
    </w:p>
    <w:p>
      <w:pPr>
        <w:ind w:firstLine="420"/>
        <w:spacing w:line="360" w:lineRule="auto"/>
        <w:shd w:val="clear" w:color="auto"/>
        <w:rPr>
          <w:rFonts w:eastAsia="Arial"/>
          <w:b/>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.2.1开标结束后，采购人应当依法对投标人的资格进行审查，</w:t>
      </w:r>
      <w:r>
        <w:rPr>
          <w:rFonts w:eastAsia="Arial"/>
          <w:b/>
          <w:color w:val="auto"/>
          <w:sz w:val="21"/>
          <w:szCs w:val="21"/>
          <w:highlight w:val="none"/>
        </w:rPr>
        <w:t xml:space="preserve">未通过资格审查的投标无效。合格投标人不足3家的，不得评标。</w:t>
      </w:r>
      <w:r/>
    </w:p>
    <w:p>
      <w:pPr>
        <w:ind w:firstLine="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.2.2信用查询：根据</w:t>
      </w:r>
      <w:r>
        <w:rPr>
          <w:rFonts w:hAnsi="Arial" w:eastAsia="Arial"/>
          <w:color w:val="auto"/>
          <w:sz w:val="21"/>
          <w:szCs w:val="21"/>
          <w:highlight w:val="none"/>
        </w:rPr>
        <w:t xml:space="preserve">政府采购法及相关法规，以及</w:t>
      </w:r>
      <w:r>
        <w:rPr>
          <w:rFonts w:eastAsia="Arial"/>
          <w:color w:val="auto"/>
          <w:sz w:val="21"/>
          <w:szCs w:val="21"/>
          <w:highlight w:val="none"/>
        </w:rPr>
        <w:t xml:space="preserve">苏州市财政局《关于印发苏州市市级政府采购信用记录查询和使用工作试行办法的通知》（苏财购（2017）11号）文件的规定，采购人、采购代理机构对供应商进行信用查询。</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19.2.2.1查询时间：投标文件提交截止时间。</w:t>
      </w:r>
      <w:r/>
    </w:p>
    <w:p>
      <w:pPr>
        <w:ind w:firstLine="420"/>
        <w:spacing w:line="360" w:lineRule="auto"/>
        <w:shd w:val="clear" w:color="auto"/>
        <w:rPr>
          <w:rFonts w:hAnsi="Arial" w:eastAsia="Arial"/>
          <w:color w:val="auto"/>
          <w:sz w:val="21"/>
          <w:szCs w:val="21"/>
          <w:highlight w:val="none"/>
        </w:rPr>
      </w:pPr>
      <w:r>
        <w:rPr>
          <w:rFonts w:eastAsia="Arial"/>
          <w:color w:val="auto"/>
          <w:sz w:val="21"/>
          <w:szCs w:val="21"/>
          <w:highlight w:val="none"/>
        </w:rPr>
        <w:t xml:space="preserve">19.2.2.2查询渠道：</w:t>
      </w:r>
      <w:r>
        <w:rPr>
          <w:rFonts w:hAnsi="Arial" w:eastAsia="Arial"/>
          <w:color w:val="auto"/>
          <w:sz w:val="21"/>
          <w:szCs w:val="21"/>
          <w:highlight w:val="none"/>
        </w:rPr>
        <w:t xml:space="preserve">评标系统“信用核查”模块。</w:t>
      </w:r>
      <w:bookmarkStart w:id="110" w:name="_Hlk92794284"/>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19.2.2.3查询证据留存方式：对存在失信信息的供应商，评审小组应填写《苏州市级政府采购供应商失信信息确认函》，由失信供应商签名（</w:t>
      </w:r>
      <w:r>
        <w:rPr>
          <w:rFonts w:eastAsia="宋体"/>
          <w:color w:val="auto"/>
          <w:sz w:val="21"/>
          <w:szCs w:val="22"/>
          <w:highlight w:val="none"/>
        </w:rPr>
        <w:t xml:space="preserve">章</w:t>
      </w:r>
      <w:r>
        <w:rPr>
          <w:rFonts w:eastAsia="Arial"/>
          <w:color w:val="auto"/>
          <w:sz w:val="21"/>
          <w:szCs w:val="21"/>
          <w:highlight w:val="none"/>
        </w:rPr>
        <w:t xml:space="preserve">）确认。</w:t>
      </w:r>
      <w:r>
        <w:rPr>
          <w:rFonts w:eastAsia="Arial"/>
          <w:color w:val="auto"/>
          <w:sz w:val="21"/>
          <w:szCs w:val="21"/>
          <w:highlight w:val="none"/>
          <w:lang w:val="zh-CN"/>
        </w:rPr>
        <w:t xml:space="preserve">采购代理机构工作人员应登陆到来源网站页面进行复核并打印，</w:t>
      </w:r>
      <w:r>
        <w:rPr>
          <w:rFonts w:eastAsia="Arial"/>
          <w:color w:val="auto"/>
          <w:sz w:val="21"/>
          <w:szCs w:val="21"/>
          <w:highlight w:val="none"/>
        </w:rPr>
        <w:t xml:space="preserve">作为证据留存。</w:t>
      </w:r>
      <w:bookmarkEnd w:id="110"/>
      <w:r/>
      <w:r/>
    </w:p>
    <w:p>
      <w:pPr>
        <w:ind w:firstLine="420"/>
        <w:spacing w:line="360" w:lineRule="auto"/>
        <w:shd w:val="clear" w:color="auto"/>
        <w:rPr>
          <w:rFonts w:eastAsia="Arial"/>
          <w:b/>
          <w:color w:val="auto"/>
          <w:sz w:val="21"/>
          <w:szCs w:val="21"/>
          <w:highlight w:val="none"/>
        </w:rPr>
      </w:pPr>
      <w:r>
        <w:rPr>
          <w:rFonts w:eastAsia="Arial"/>
          <w:color w:val="auto"/>
          <w:sz w:val="21"/>
          <w:szCs w:val="21"/>
          <w:highlight w:val="none"/>
        </w:rPr>
        <w:t xml:space="preserve">19.2.2.4信用记录使用规则：评审小组在对供应商进行资格性审查时，应根据查询结果对供应商的不良信用记录逐项甄别确认。按照《中华人民共和国政府采购法》第二十二条规定，</w:t>
      </w:r>
      <w:r>
        <w:rPr>
          <w:rFonts w:eastAsia="Arial"/>
          <w:b/>
          <w:color w:val="auto"/>
          <w:sz w:val="21"/>
          <w:szCs w:val="21"/>
          <w:highlight w:val="none"/>
        </w:rPr>
        <w:t xml:space="preserve">下列信用记录属于应依法拒绝供应商参加政府采购的失信信息，存在此类失信信息的投标人的投标无效：</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（二）财政部门与法院、工商、税务等部门联合惩戒的失信信息，包括：</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（1）被列入失信被执行人名单；</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（2）被列入重大税收违法案件当事人名单；</w:t>
      </w:r>
      <w:r/>
    </w:p>
    <w:p>
      <w:pPr>
        <w:ind w:firstLine="420"/>
        <w:spacing w:line="360" w:lineRule="auto"/>
        <w:shd w:val="clear" w:color="auto"/>
        <w:rPr>
          <w:rFonts w:eastAsia="Arial"/>
          <w:color w:val="auto"/>
          <w:sz w:val="21"/>
          <w:szCs w:val="21"/>
          <w:highlight w:val="none"/>
        </w:rPr>
      </w:pPr>
      <w:r/>
      <w:bookmarkStart w:id="111" w:name="_Hlk92794378"/>
      <w:r>
        <w:rPr>
          <w:rFonts w:eastAsia="Arial"/>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19</w:t>
      </w:r>
      <w:r>
        <w:rPr>
          <w:rFonts w:eastAsia="Arial"/>
          <w:color w:val="auto"/>
          <w:sz w:val="21"/>
          <w:szCs w:val="21"/>
          <w:highlight w:val="none"/>
        </w:rPr>
        <w:t xml:space="preserve">.2.2.5接受联合体的项目，两个以上的自然人、法人或者其他组织组成一个联合体，以一个投标人的身份共同参加政府采购活动的，联合体成员其中一名成员存在失信信息的，视同联合体存在失信信息。</w:t>
      </w:r>
      <w:bookmarkEnd w:id="111"/>
      <w:r/>
      <w:r/>
    </w:p>
    <w:p>
      <w:pPr>
        <w:ind w:firstLine="422"/>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供应商若在经营活动中受到罚款的，请提供相关地方、部门对较大数额认定标准的证明材料，与响应文件一并提交。若无法提供，则可能承担响应无效等相应不利后果。</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0、</w:t>
      </w:r>
      <w:r>
        <w:rPr>
          <w:rFonts w:ascii="宋体" w:hAnsi="宋体" w:eastAsia="宋体"/>
          <w:b/>
          <w:color w:val="auto"/>
          <w:sz w:val="21"/>
          <w:szCs w:val="21"/>
          <w:highlight w:val="none"/>
        </w:rPr>
        <w:t xml:space="preserve">评标委员会或评标小组</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.1评标委员会或评标小组（以下简称评标委员会）由</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或采购代理机构</w:t>
      </w:r>
      <w:r>
        <w:rPr>
          <w:rFonts w:hint="eastAsia" w:ascii="宋体" w:hAnsi="宋体"/>
          <w:color w:val="auto"/>
          <w:sz w:val="21"/>
          <w:szCs w:val="21"/>
          <w:highlight w:val="none"/>
        </w:rPr>
        <w:t xml:space="preserve">依法组建</w:t>
      </w:r>
      <w:r>
        <w:rPr>
          <w:rFonts w:ascii="宋体" w:hAnsi="宋体"/>
          <w:color w:val="auto"/>
          <w:sz w:val="21"/>
          <w:szCs w:val="21"/>
          <w:highlight w:val="none"/>
        </w:rPr>
        <w:t xml:space="preserve">；</w:t>
      </w:r>
      <w:r/>
    </w:p>
    <w:p>
      <w:pPr>
        <w:pStyle w:val="865"/>
        <w:ind w:left="0" w:firstLine="420"/>
        <w:spacing w:after="0" w:line="360" w:lineRule="auto"/>
        <w:shd w:val="clear" w:color="auto"/>
        <w:rPr>
          <w:rFonts w:ascii="宋体" w:hAnsi="宋体"/>
          <w:color w:val="auto"/>
          <w:sz w:val="21"/>
          <w:szCs w:val="21"/>
          <w:highlight w:val="none"/>
        </w:rPr>
        <w:outlineLvl w:val="2"/>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w:t>
      </w:r>
      <w:r>
        <w:rPr>
          <w:rFonts w:hint="eastAsia" w:ascii="宋体" w:hAnsi="宋体"/>
          <w:color w:val="auto"/>
          <w:sz w:val="21"/>
          <w:szCs w:val="21"/>
          <w:highlight w:val="none"/>
        </w:rPr>
        <w:t xml:space="preserve">评标委员会</w:t>
      </w:r>
      <w:r>
        <w:rPr>
          <w:rFonts w:ascii="宋体" w:hAnsi="宋体"/>
          <w:color w:val="auto"/>
          <w:sz w:val="21"/>
          <w:szCs w:val="21"/>
          <w:highlight w:val="none"/>
        </w:rPr>
        <w:t xml:space="preserve">负责具体的评标事务，并独立履行以下职责：</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20.2.1审查、评价投标文件是否符合招标文件的商务、技术等实质性要求；</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20.2.2要求投标人对投标文件有关事项作出澄清或者说明；</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20.2.3对投标文件进行比较和评价；</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20.2.4确定中标候选人名单，以及根据采购人委托直接确定中标人；</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20.2.5向采购人、采购代理机构或者有关部门报告评标中发现的违法行为。</w:t>
      </w:r>
      <w:r/>
    </w:p>
    <w:p>
      <w:pPr>
        <w:pStyle w:val="865"/>
        <w:ind w:left="0" w:firstLine="420"/>
        <w:spacing w:after="0" w:line="360" w:lineRule="auto"/>
        <w:shd w:val="clear" w:color="auto"/>
        <w:rPr>
          <w:rFonts w:ascii="宋体" w:hAnsi="宋体"/>
          <w:color w:val="auto"/>
          <w:sz w:val="21"/>
          <w:szCs w:val="21"/>
          <w:highlight w:val="none"/>
        </w:rPr>
        <w:outlineLvl w:val="2"/>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.3评标委员会成员应当履行下列义务</w:t>
      </w:r>
      <w:r>
        <w:rPr>
          <w:rFonts w:hint="eastAsia" w:ascii="宋体" w:hAnsi="宋体"/>
          <w:color w:val="auto"/>
          <w:sz w:val="21"/>
          <w:szCs w:val="21"/>
          <w:highlight w:val="none"/>
        </w:rPr>
        <w:t xml:space="preserve">：</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.3.1遵纪守法，客观、公正、廉洁地履行职责；</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.3.2按照招标文件规定的评标办法和评标标准进行评标，对评审意见承担个人责任；</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.3.3对评标过程和结果，以及投标人的商业秘密保密；</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.3.4参与评标报告的起草；</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.3.5配合</w:t>
      </w:r>
      <w:r>
        <w:rPr>
          <w:rFonts w:hint="eastAsia" w:ascii="宋体" w:hAnsi="宋体"/>
          <w:color w:val="auto"/>
          <w:sz w:val="21"/>
          <w:szCs w:val="21"/>
          <w:highlight w:val="none"/>
        </w:rPr>
        <w:t xml:space="preserve">采购人或</w:t>
      </w:r>
      <w:r>
        <w:rPr>
          <w:rFonts w:ascii="宋体" w:hAnsi="宋体"/>
          <w:color w:val="auto"/>
          <w:sz w:val="21"/>
          <w:szCs w:val="21"/>
          <w:highlight w:val="none"/>
        </w:rPr>
        <w:t xml:space="preserve">采购代理机构答复投标人提出的质疑，配合财政部门处理供应商的投诉等事宜</w:t>
      </w:r>
      <w:r>
        <w:rPr>
          <w:rFonts w:hint="eastAsia" w:ascii="宋体" w:hAnsi="宋体"/>
          <w:color w:val="auto"/>
          <w:sz w:val="21"/>
          <w:szCs w:val="21"/>
          <w:highlight w:val="none"/>
        </w:rPr>
        <w:t xml:space="preserve">；</w:t>
      </w:r>
      <w:r/>
    </w:p>
    <w:p>
      <w:pPr>
        <w:pStyle w:val="865"/>
        <w:ind w:left="0" w:firstLine="420"/>
        <w:spacing w:after="0" w:line="360" w:lineRule="auto"/>
        <w:shd w:val="clear" w:color="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w:t>
      </w:r>
      <w:r>
        <w:rPr>
          <w:rFonts w:hint="eastAsia" w:ascii="宋体" w:hAnsi="宋体"/>
          <w:color w:val="auto"/>
          <w:sz w:val="21"/>
          <w:szCs w:val="21"/>
          <w:highlight w:val="none"/>
        </w:rPr>
        <w:t xml:space="preserve">6</w:t>
      </w:r>
      <w:r>
        <w:rPr>
          <w:rFonts w:ascii="宋体" w:hAnsi="宋体"/>
          <w:color w:val="auto"/>
          <w:sz w:val="21"/>
          <w:szCs w:val="21"/>
          <w:highlight w:val="none"/>
        </w:rPr>
        <w:t xml:space="preserve">法律、法规规定的其他义务。</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1、</w:t>
      </w:r>
      <w:r>
        <w:rPr>
          <w:rFonts w:ascii="宋体" w:hAnsi="宋体" w:eastAsia="宋体"/>
          <w:b/>
          <w:color w:val="auto"/>
          <w:sz w:val="21"/>
          <w:szCs w:val="21"/>
          <w:highlight w:val="none"/>
        </w:rPr>
        <w:t xml:space="preserve">评标内容的保密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.1公开开标后，直到宣布授予中标人合同为止，凡属于审查、澄清、评价和比较投标的所有资料，有关授予合同的信息都不应向投标人或与评标无关的其他人泄露。</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.2在投标文件的审查、澄清、评价和比较以及授予合同的过程中，投标人对采购代理机构和评标委员会成员施加影响的任何行为，都将取消其中标资格。</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.3在评标期间，采购代理机构将通过指定联络人与投标人进行联系。</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2、</w:t>
      </w:r>
      <w:r>
        <w:rPr>
          <w:rFonts w:ascii="宋体" w:hAnsi="宋体" w:eastAsia="宋体"/>
          <w:b/>
          <w:color w:val="auto"/>
          <w:sz w:val="21"/>
          <w:szCs w:val="21"/>
          <w:highlight w:val="none"/>
        </w:rPr>
        <w:t xml:space="preserve">对投标文件初审</w:t>
      </w:r>
      <w:r/>
    </w:p>
    <w:p>
      <w:pPr>
        <w:pStyle w:val="833"/>
        <w:jc w:val="both"/>
        <w:spacing w:line="360" w:lineRule="auto"/>
        <w:shd w:val="clear" w:color="auto"/>
        <w:rPr>
          <w:rFonts w:ascii="宋体" w:hAnsi="宋体" w:eastAsia="宋体"/>
          <w:color w:val="auto"/>
          <w:sz w:val="21"/>
          <w:szCs w:val="21"/>
          <w:highlight w:val="none"/>
        </w:rPr>
        <w:outlineLvl w:val="2"/>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.1投标文件初审</w:t>
      </w:r>
      <w:r>
        <w:rPr>
          <w:rFonts w:hint="eastAsia" w:ascii="宋体" w:hAnsi="宋体" w:eastAsia="宋体"/>
          <w:color w:val="auto"/>
          <w:sz w:val="21"/>
          <w:szCs w:val="21"/>
          <w:highlight w:val="none"/>
        </w:rPr>
        <w:t xml:space="preserve">分为资格性检查和符合性检查。</w:t>
      </w:r>
      <w:r/>
    </w:p>
    <w:p>
      <w:pPr>
        <w:pStyle w:val="833"/>
        <w:jc w:val="both"/>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资格性检查。由采购人依据法律法规和招标文件的规定，对投标文件中的资格证明等进行审查，以确定投标供应商是否具备投标资格。</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2符合性检查。</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评标委员会应当对符合资格的投标人的投标文件进行符合性审查，以确定其是否满足招标文件的实质性要求。</w:t>
      </w:r>
      <w:r>
        <w:rPr>
          <w:rFonts w:hint="eastAsia" w:ascii="宋体" w:hAnsi="宋体" w:eastAsia="宋体"/>
          <w:b/>
          <w:bCs/>
          <w:color w:val="auto"/>
          <w:sz w:val="21"/>
          <w:szCs w:val="21"/>
          <w:highlight w:val="none"/>
        </w:rPr>
        <w:t xml:space="preserve">未满足本项目实质性要求的认定为无效投标。</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开标后，评标委员会将审查投标文件是否实质性响应招标文件的要求、内容是否完整、价格构成有无计算错误、文件签署是否齐全等，投标文件有下列情况之一者将</w:t>
      </w:r>
      <w:r>
        <w:rPr>
          <w:rFonts w:hint="eastAsia" w:ascii="宋体" w:hAnsi="宋体" w:eastAsia="宋体"/>
          <w:color w:val="auto"/>
          <w:sz w:val="21"/>
          <w:szCs w:val="21"/>
          <w:highlight w:val="none"/>
        </w:rPr>
        <w:t xml:space="preserve">按无效标处理</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应交未交投标保证金（如需）；</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2投标文件</w:t>
      </w:r>
      <w:r>
        <w:rPr>
          <w:rFonts w:ascii="宋体" w:hAnsi="宋体" w:eastAsia="宋体"/>
          <w:color w:val="auto"/>
          <w:sz w:val="21"/>
          <w:szCs w:val="21"/>
          <w:highlight w:val="none"/>
        </w:rPr>
        <w:t xml:space="preserve">未按照本须知规定签署和盖章；</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未按本须知规定提交资格</w:t>
      </w:r>
      <w:r>
        <w:rPr>
          <w:rFonts w:hint="eastAsia" w:ascii="宋体" w:hAnsi="宋体" w:eastAsia="宋体"/>
          <w:color w:val="auto"/>
          <w:sz w:val="21"/>
          <w:szCs w:val="21"/>
          <w:highlight w:val="none"/>
        </w:rPr>
        <w:t xml:space="preserve">证明</w:t>
      </w:r>
      <w:r>
        <w:rPr>
          <w:rFonts w:ascii="宋体" w:hAnsi="宋体" w:eastAsia="宋体"/>
          <w:color w:val="auto"/>
          <w:sz w:val="21"/>
          <w:szCs w:val="21"/>
          <w:highlight w:val="none"/>
        </w:rPr>
        <w:t xml:space="preserve">文件；</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与招标文件有重大偏离；</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投标人拒绝修正错误；</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投标人的报价是选择性的；</w:t>
      </w:r>
      <w:r/>
    </w:p>
    <w:p>
      <w:pPr>
        <w:ind w:firstLine="438"/>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投标人的报价只投了部分内容；</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22.2.8投标人的投标文件出现了评标委员会认为不应当雷同的情况；</w:t>
      </w:r>
      <w:r/>
    </w:p>
    <w:p>
      <w:pPr>
        <w:ind w:firstLine="441"/>
        <w:spacing w:line="360" w:lineRule="auto"/>
        <w:shd w:val="clear" w:color="auto"/>
        <w:rPr>
          <w:rFonts w:ascii="宋体" w:hAnsi="宋体" w:eastAsia="宋体"/>
          <w:b/>
          <w:bCs/>
          <w:color w:val="auto"/>
          <w:sz w:val="21"/>
          <w:szCs w:val="21"/>
          <w:highlight w:val="none"/>
          <w:u w:val="single"/>
        </w:rPr>
      </w:pPr>
      <w:r>
        <w:rPr>
          <w:rFonts w:hint="eastAsia" w:ascii="宋体" w:hAnsi="宋体" w:eastAsia="宋体"/>
          <w:b/>
          <w:bCs/>
          <w:color w:val="auto"/>
          <w:sz w:val="21"/>
          <w:szCs w:val="21"/>
          <w:highlight w:val="none"/>
          <w:u w:val="single"/>
        </w:rPr>
        <w:t xml:space="preserve">22.2.9如投标（响应）文件制作机器码信息一致，视为不同投标供应商使用同一台电脑编制投标（响应）文件，投标（响应）无效；</w:t>
      </w:r>
      <w:r/>
    </w:p>
    <w:p>
      <w:pPr>
        <w:ind w:firstLine="438"/>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22.2.10其他被评标委员会认定无效的情况。</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w:t>
      </w:r>
      <w:r>
        <w:rPr>
          <w:rFonts w:ascii="宋体" w:hAnsi="宋体" w:eastAsia="宋体"/>
          <w:color w:val="auto"/>
          <w:sz w:val="21"/>
          <w:szCs w:val="21"/>
          <w:highlight w:val="none"/>
        </w:rPr>
        <w:t xml:space="preserve">实质上响应的投标应该是与招标文件的全部条款、条件和规格没有重大偏离或保留。所谓重大偏离或保留是指影响合同的供货</w:t>
      </w:r>
      <w:r>
        <w:rPr>
          <w:rFonts w:hint="eastAsia" w:ascii="宋体" w:hAnsi="宋体" w:eastAsia="宋体"/>
          <w:color w:val="auto"/>
          <w:sz w:val="21"/>
          <w:szCs w:val="21"/>
          <w:highlight w:val="none"/>
        </w:rPr>
        <w:t xml:space="preserve">或服务</w:t>
      </w:r>
      <w:r>
        <w:rPr>
          <w:rFonts w:ascii="宋体" w:hAnsi="宋体" w:eastAsia="宋体"/>
          <w:color w:val="auto"/>
          <w:sz w:val="21"/>
          <w:szCs w:val="21"/>
          <w:highlight w:val="none"/>
        </w:rPr>
        <w:t xml:space="preserve">范围、质量和性能等；或者在实质上与招标文件不一致〔如货物</w:t>
      </w:r>
      <w:r>
        <w:rPr>
          <w:rFonts w:hint="eastAsia" w:ascii="宋体" w:hAnsi="宋体" w:eastAsia="宋体"/>
          <w:color w:val="auto"/>
          <w:sz w:val="21"/>
          <w:szCs w:val="21"/>
          <w:highlight w:val="none"/>
        </w:rPr>
        <w:t xml:space="preserve">或</w:t>
      </w:r>
      <w:r>
        <w:rPr>
          <w:rFonts w:ascii="宋体" w:hAnsi="宋体" w:eastAsia="宋体"/>
          <w:color w:val="auto"/>
          <w:sz w:val="21"/>
          <w:szCs w:val="21"/>
          <w:highlight w:val="none"/>
        </w:rPr>
        <w:t xml:space="preserve">服务的质量、数量及交货期明显不能满足招标文件的要求〕，而且限制了合同中买方的权利或投标人的义务。这些偏离或保留将会对其他实质上响应要求的投标人的竞争地位产生不公正的影响。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在详细评标之前，评委会将首先审查每份投标书是否实质响应了招标文件的要求。实质上响应的投标应该是与招标文件的全部条款、条件和规格没有重大偏离或保留。所谓重大偏离或保留是指影响合同的供货范围、质量和性能等；或者在实质上与招标文件不一致〔如货物和服务的质量、数量及交付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招标文件提供的工艺、材料、货物、参考的商标或样本目录号码等仅作为说明并没有限制性，投标人在投标中可以选用替代标准，但这些替代标准要优于或相当于技术规格中要求的标准，以满足采购人的需要。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采购代理机构将允许修改投标中不构成重大偏离的微小的、非正规、不一致或不规则的地方，但这些修改不能影响任何投标人的名次相应排列。投标人不得对招标文件进行实质性修改。</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评委会将对确定为实质上响应的投标进行审核，看其是否有计算上或累加上的算术错误，修正错误的原则如下：</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.1开标时，投标文件中开标一览表（报价表）内容与投标文件中明细内容不一致时的，以开标一览表（报价表）为准；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.2投标文件的大写金额与小写金额不一致的，以大写金额为准；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.4对不同文字文本投标文件的解释发生异议的，以中文文本为准；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.5投标人不同意以上修正，则其投标将被拒绝。</w:t>
      </w:r>
      <w:r/>
    </w:p>
    <w:p>
      <w:pPr>
        <w:ind w:firstLine="426"/>
        <w:spacing w:line="360" w:lineRule="auto"/>
        <w:shd w:val="clear" w:color="auto"/>
        <w:tabs>
          <w:tab w:val="left" w:pos="540" w:leader="none"/>
        </w:tabs>
        <w:rPr>
          <w:rFonts w:eastAsia="Arial"/>
          <w:b/>
          <w:color w:val="auto"/>
          <w:sz w:val="21"/>
          <w:szCs w:val="21"/>
          <w:highlight w:val="none"/>
        </w:rPr>
      </w:pPr>
      <w:r>
        <w:rPr>
          <w:rFonts w:eastAsia="Arial"/>
          <w:b/>
          <w:color w:val="auto"/>
          <w:sz w:val="21"/>
          <w:szCs w:val="21"/>
          <w:highlight w:val="none"/>
        </w:rPr>
        <w:t xml:space="preserve">修正后的报价按照《中华人民共和国财政部令第87号》第五十一条第二款的规定经投标人确认后产生约束力，投标人不确认的，其投标无效。</w:t>
      </w:r>
      <w:r/>
    </w:p>
    <w:p>
      <w:pPr>
        <w:ind w:firstLine="426"/>
        <w:spacing w:line="360" w:lineRule="auto"/>
        <w:shd w:val="clear" w:color="auto"/>
        <w:tabs>
          <w:tab w:val="left" w:pos="540" w:leader="none"/>
        </w:tabs>
        <w:rPr>
          <w:color w:val="auto"/>
          <w:highlight w:val="none"/>
        </w:rPr>
      </w:pPr>
      <w:r>
        <w:rPr>
          <w:rFonts w:eastAsia="Arial"/>
          <w:b/>
          <w:color w:val="auto"/>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w:t>
      </w:r>
      <w:bookmarkStart w:id="112" w:name="_Hlk158140341"/>
      <w:r>
        <w:rPr>
          <w:rFonts w:eastAsia="Arial"/>
          <w:b/>
          <w:color w:val="auto"/>
          <w:sz w:val="21"/>
          <w:szCs w:val="21"/>
          <w:highlight w:val="none"/>
        </w:rPr>
        <w:t xml:space="preserve">（</w:t>
      </w:r>
      <w:r>
        <w:rPr>
          <w:rFonts w:eastAsia="Arial"/>
          <w:b/>
          <w:bCs/>
          <w:color w:val="auto"/>
          <w:sz w:val="21"/>
          <w:szCs w:val="21"/>
          <w:highlight w:val="none"/>
        </w:rPr>
        <w:t xml:space="preserve">线上开评标项目可通过“苏采云”系统要求其提供</w:t>
      </w:r>
      <w:r>
        <w:rPr>
          <w:rFonts w:eastAsia="Arial"/>
          <w:b/>
          <w:color w:val="auto"/>
          <w:sz w:val="21"/>
          <w:szCs w:val="21"/>
          <w:highlight w:val="none"/>
        </w:rPr>
        <w:t xml:space="preserve">）</w:t>
      </w:r>
      <w:bookmarkEnd w:id="112"/>
      <w:r>
        <w:rPr>
          <w:rFonts w:eastAsia="Arial"/>
          <w:b/>
          <w:color w:val="auto"/>
          <w:sz w:val="21"/>
          <w:szCs w:val="21"/>
          <w:highlight w:val="none"/>
        </w:rPr>
        <w:t xml:space="preserve">，必要时提交相关证明材料；投标人不能证明其报价合理性的，评标委员会将其作为无效投标处理。</w:t>
      </w:r>
      <w:r/>
    </w:p>
    <w:p>
      <w:pPr>
        <w:ind w:firstLine="438"/>
        <w:spacing w:line="360" w:lineRule="auto"/>
        <w:shd w:val="clear" w:color="auto"/>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7评标委员会</w:t>
      </w:r>
      <w:r>
        <w:rPr>
          <w:rFonts w:ascii="宋体" w:hAnsi="宋体" w:eastAsia="宋体"/>
          <w:color w:val="auto"/>
          <w:sz w:val="21"/>
          <w:szCs w:val="21"/>
          <w:highlight w:val="none"/>
        </w:rPr>
        <w:t xml:space="preserve">对投标文件的判定，只依据投标内容本身，不依靠开标后的任何外来证明。</w:t>
      </w:r>
      <w:r/>
    </w:p>
    <w:p>
      <w:pPr>
        <w:ind w:firstLine="438"/>
        <w:spacing w:line="360" w:lineRule="auto"/>
        <w:shd w:val="clear" w:color="auto"/>
        <w:tabs>
          <w:tab w:val="left" w:pos="0" w:leader="none"/>
        </w:tabs>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采购代理机构将拒绝被确定为非实质性响应的投标，投标人不能通过修正或撤销不符之处而使其投标成为实质性响应的投标。</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3、</w:t>
      </w:r>
      <w:r>
        <w:rPr>
          <w:rFonts w:ascii="宋体" w:hAnsi="宋体" w:eastAsia="宋体"/>
          <w:b/>
          <w:color w:val="auto"/>
          <w:sz w:val="21"/>
          <w:szCs w:val="21"/>
          <w:highlight w:val="none"/>
        </w:rPr>
        <w:t xml:space="preserve">投标的澄清</w:t>
      </w:r>
      <w:bookmarkStart w:id="113" w:name="_Hlk91004008"/>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113"/>
      <w:r/>
      <w:bookmarkStart w:id="114" w:name="_Hlk158140503"/>
      <w:r/>
      <w:bookmarkStart w:id="115" w:name="_Hlk158140452"/>
      <w:r/>
      <w:bookmarkStart w:id="116" w:name="_Hlk90656398"/>
      <w:r/>
      <w:r/>
    </w:p>
    <w:p>
      <w:pPr>
        <w:ind w:firstLine="420"/>
        <w:spacing w:line="360" w:lineRule="auto"/>
        <w:shd w:val="clear" w:color="auto"/>
        <w:rPr>
          <w:rFonts w:eastAsia="Arial"/>
          <w:color w:val="auto"/>
          <w:sz w:val="21"/>
          <w:szCs w:val="21"/>
          <w:highlight w:val="none"/>
        </w:rPr>
        <w:outlineLvl w:val="2"/>
      </w:pPr>
      <w:r>
        <w:rPr>
          <w:rFonts w:hint="eastAsia" w:eastAsia="宋体"/>
          <w:color w:val="auto"/>
          <w:sz w:val="21"/>
          <w:szCs w:val="21"/>
          <w:highlight w:val="none"/>
        </w:rPr>
        <w:t xml:space="preserve">23</w:t>
      </w:r>
      <w:r>
        <w:rPr>
          <w:rFonts w:eastAsia="Arial"/>
          <w:color w:val="auto"/>
          <w:sz w:val="21"/>
          <w:szCs w:val="21"/>
          <w:highlight w:val="none"/>
        </w:rPr>
        <w:t xml:space="preserve">.1本项目采用</w:t>
      </w:r>
      <w:r>
        <w:rPr>
          <w:rFonts w:eastAsia="Arial"/>
          <w:b/>
          <w:color w:val="auto"/>
          <w:sz w:val="21"/>
          <w:szCs w:val="21"/>
          <w:highlight w:val="none"/>
        </w:rPr>
        <w:t xml:space="preserve">线上澄清</w:t>
      </w:r>
      <w:bookmarkEnd w:id="114"/>
      <w:r>
        <w:rPr>
          <w:rFonts w:eastAsia="Arial"/>
          <w:color w:val="auto"/>
          <w:sz w:val="21"/>
          <w:szCs w:val="21"/>
          <w:highlight w:val="none"/>
        </w:rPr>
        <w:t xml:space="preserve">。</w:t>
      </w:r>
      <w:bookmarkEnd w:id="115"/>
      <w:r/>
      <w:r/>
    </w:p>
    <w:p>
      <w:pPr>
        <w:ind w:firstLine="420"/>
        <w:spacing w:line="360" w:lineRule="auto"/>
        <w:shd w:val="clear" w:color="auto"/>
        <w:rPr>
          <w:rFonts w:eastAsia="Arial"/>
          <w:b/>
          <w:color w:val="auto"/>
          <w:sz w:val="21"/>
          <w:szCs w:val="21"/>
          <w:highlight w:val="none"/>
          <w:u w:val="single"/>
        </w:rPr>
      </w:pPr>
      <w:r>
        <w:rPr>
          <w:rFonts w:hint="eastAsia" w:eastAsia="宋体"/>
          <w:color w:val="auto"/>
          <w:sz w:val="21"/>
          <w:szCs w:val="21"/>
          <w:highlight w:val="none"/>
        </w:rPr>
        <w:t xml:space="preserve">23</w:t>
      </w:r>
      <w:r>
        <w:rPr>
          <w:rFonts w:eastAsia="Arial"/>
          <w:color w:val="auto"/>
          <w:sz w:val="21"/>
          <w:szCs w:val="21"/>
          <w:highlight w:val="none"/>
        </w:rPr>
        <w:t xml:space="preserve">.2线上澄清答复的方式：</w:t>
      </w:r>
      <w:r>
        <w:rPr>
          <w:rFonts w:hint="eastAsia" w:eastAsia="Arial"/>
          <w:color w:val="auto"/>
          <w:sz w:val="21"/>
          <w:szCs w:val="21"/>
          <w:highlight w:val="none"/>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auto"/>
          <w:sz w:val="21"/>
          <w:szCs w:val="21"/>
          <w:highlight w:val="none"/>
          <w:u w:val="single"/>
        </w:rPr>
        <w:t xml:space="preserve">未加盖CA电子公章的澄清无效。</w:t>
      </w:r>
      <w:r>
        <w:rPr>
          <w:rFonts w:hint="eastAsia" w:ascii="宋体" w:hAnsi="宋体" w:eastAsia="宋体" w:cs="宋体"/>
          <w:b/>
          <w:color w:val="auto"/>
          <w:sz w:val="21"/>
          <w:szCs w:val="21"/>
          <w:highlight w:val="none"/>
          <w:u w:val="single"/>
          <w:lang w:val="zh-CN"/>
        </w:rPr>
        <w:t xml:space="preserve">（时间的计算以系统中的倒计时间为准，供应商应随时保持系统在线，如因供应商自身原因未在规定时间内提交澄清确认资料的，导致的不利后果由供应商自行承担）。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23</w:t>
      </w:r>
      <w:r>
        <w:rPr>
          <w:rFonts w:eastAsia="Arial"/>
          <w:color w:val="auto"/>
          <w:sz w:val="21"/>
          <w:szCs w:val="21"/>
          <w:highlight w:val="none"/>
        </w:rPr>
        <w:t xml:space="preserve">.3接到评标委员会澄清、说明和更正要求的投标人如未按规定做出澄清、说明和更正，其风险由投标人自行承担。</w:t>
      </w:r>
      <w:bookmarkEnd w:id="116"/>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4、</w:t>
      </w:r>
      <w:r>
        <w:rPr>
          <w:rFonts w:ascii="宋体" w:hAnsi="宋体" w:eastAsia="宋体"/>
          <w:b/>
          <w:color w:val="auto"/>
          <w:sz w:val="21"/>
          <w:szCs w:val="21"/>
          <w:highlight w:val="none"/>
        </w:rPr>
        <w:t xml:space="preserve">废标</w:t>
      </w:r>
      <w:r/>
    </w:p>
    <w:p>
      <w:pPr>
        <w:ind w:firstLine="420"/>
        <w:spacing w:line="360" w:lineRule="auto"/>
        <w:shd w:val="clear" w:color="auto"/>
        <w:rPr>
          <w:rFonts w:ascii="宋体" w:hAnsi="宋体" w:eastAsia="宋体"/>
          <w:color w:val="auto"/>
          <w:sz w:val="21"/>
          <w:szCs w:val="21"/>
          <w:highlight w:val="none"/>
        </w:rPr>
        <w:outlineLvl w:val="2"/>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 在招标过程中，出现下列情况之一的，应予废标：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符合专业条件的投标人或者对招标文件作实质响应的投标人不足三家的；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.1.2出现影响采购公正的违法、违规行为的；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投标人的报价均超过了采购预算，采购人不能支付的；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.1.4因重大变故，采购任务取消的；</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 废标后，招标代理机构将把废标的理由通知所有投标人 。</w:t>
      </w:r>
      <w:r/>
    </w:p>
    <w:p>
      <w:pPr>
        <w:spacing w:line="360" w:lineRule="auto"/>
        <w:shd w:val="clear" w:color="auto"/>
        <w:rPr>
          <w:rFonts w:ascii="宋体" w:hAnsi="宋体" w:eastAsia="宋体"/>
          <w:b/>
          <w:color w:val="auto"/>
          <w:sz w:val="21"/>
          <w:szCs w:val="21"/>
          <w:highlight w:val="none"/>
        </w:rPr>
        <w:outlineLvl w:val="3"/>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5、</w:t>
      </w:r>
      <w:r>
        <w:rPr>
          <w:rFonts w:ascii="宋体" w:hAnsi="宋体" w:eastAsia="宋体"/>
          <w:b/>
          <w:color w:val="auto"/>
          <w:sz w:val="21"/>
          <w:szCs w:val="21"/>
          <w:highlight w:val="none"/>
        </w:rPr>
        <w:t xml:space="preserve">投标文件的评价和比较</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.1评标委员会将仅对按照本须知有关规定确定为实质上响应招标文件要求的投标文件进行评价和比较。</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.2评价和比较采用</w:t>
      </w:r>
      <w:r>
        <w:rPr>
          <w:rFonts w:ascii="宋体" w:hAnsi="宋体" w:eastAsia="宋体"/>
          <w:b/>
          <w:color w:val="auto"/>
          <w:sz w:val="21"/>
          <w:szCs w:val="21"/>
          <w:highlight w:val="none"/>
          <w:u w:val="single"/>
        </w:rPr>
        <w:t xml:space="preserve">综合评分法</w:t>
      </w:r>
      <w:r>
        <w:rPr>
          <w:rFonts w:ascii="宋体" w:hAnsi="宋体" w:eastAsia="宋体"/>
          <w:color w:val="auto"/>
          <w:sz w:val="21"/>
          <w:szCs w:val="21"/>
          <w:highlight w:val="none"/>
        </w:rPr>
        <w:t xml:space="preserve">，</w:t>
      </w:r>
      <w:r>
        <w:rPr>
          <w:rFonts w:hint="eastAsia" w:eastAsia="宋体"/>
          <w:color w:val="auto"/>
          <w:sz w:val="21"/>
          <w:szCs w:val="21"/>
          <w:highlight w:val="none"/>
        </w:rPr>
        <w:t xml:space="preserve">即指在满足招标文件实质性要求的前提下，按照本招标文件中规定的评标办法和评分标准及其他各项因素进行综合评审后，以评标总得分最高的投标人作为中标候选人或中标单位的评标方法。</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 最低的投标报价或最高的折扣比例是中标的重要条件，但不是唯一条件。</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七</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授予合同</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6、</w:t>
      </w:r>
      <w:r>
        <w:rPr>
          <w:rFonts w:ascii="宋体" w:hAnsi="宋体" w:eastAsia="宋体"/>
          <w:b/>
          <w:color w:val="auto"/>
          <w:sz w:val="21"/>
          <w:szCs w:val="21"/>
          <w:highlight w:val="none"/>
        </w:rPr>
        <w:t xml:space="preserve">中标人的确认</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.1评标委员会根据投标人资格审查情况，对投标文件进行评价和比较，按照评标办法和标准进行评标，并按招标采购单位的委托向招标采购单位推荐中标候选人</w:t>
      </w:r>
      <w:r>
        <w:rPr>
          <w:rFonts w:hint="eastAsia" w:ascii="宋体" w:hAnsi="宋体" w:eastAsia="宋体"/>
          <w:color w:val="auto"/>
          <w:sz w:val="21"/>
          <w:szCs w:val="21"/>
          <w:highlight w:val="none"/>
        </w:rPr>
        <w:t xml:space="preserve">或根据授权直接确定中标供应商</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.2经评标委员会评审并确定中标供应商后，招标代理机构将在规定的时间内将中标结果在政府采购管理部门指定媒体上予以公示。</w:t>
      </w:r>
      <w:r>
        <w:rPr>
          <w:rFonts w:hint="eastAsia" w:ascii="宋体" w:hAnsi="宋体" w:eastAsia="宋体"/>
          <w:color w:val="auto"/>
          <w:sz w:val="21"/>
          <w:szCs w:val="21"/>
          <w:highlight w:val="none"/>
        </w:rPr>
        <w:t xml:space="preserve">中标公告期为中标公告发布之日起一个工作日。</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w:t>
      </w:r>
      <w:r>
        <w:rPr>
          <w:rFonts w:ascii="宋体" w:hAnsi="宋体" w:eastAsia="宋体"/>
          <w:color w:val="auto"/>
          <w:sz w:val="21"/>
          <w:szCs w:val="21"/>
          <w:highlight w:val="none"/>
        </w:rPr>
        <w:t xml:space="preserve">各投标人如对公示结果有异议，应在中标公告</w:t>
      </w:r>
      <w:r>
        <w:rPr>
          <w:rFonts w:hint="eastAsia" w:ascii="宋体" w:hAnsi="宋体" w:eastAsia="宋体"/>
          <w:color w:val="auto"/>
          <w:sz w:val="21"/>
          <w:szCs w:val="21"/>
          <w:highlight w:val="none"/>
        </w:rPr>
        <w:t xml:space="preserve">期限届满之日</w:t>
      </w:r>
      <w:r>
        <w:rPr>
          <w:rFonts w:ascii="宋体" w:hAnsi="宋体" w:eastAsia="宋体"/>
          <w:color w:val="auto"/>
          <w:sz w:val="21"/>
          <w:szCs w:val="21"/>
          <w:highlight w:val="none"/>
        </w:rPr>
        <w:t xml:space="preserve">起七个工作日内，以书面形式向招标代理机构提出质疑</w:t>
      </w:r>
      <w:r>
        <w:rPr>
          <w:rFonts w:hint="eastAsia" w:ascii="宋体" w:hAnsi="宋体" w:eastAsia="宋体"/>
          <w:color w:val="auto"/>
          <w:sz w:val="21"/>
          <w:szCs w:val="21"/>
          <w:highlight w:val="none"/>
        </w:rPr>
        <w:t xml:space="preserve">，该质疑应当有明确的请求和必要的证明材料</w:t>
      </w:r>
      <w:r>
        <w:rPr>
          <w:rFonts w:ascii="宋体" w:hAnsi="宋体" w:eastAsia="宋体"/>
          <w:color w:val="auto"/>
          <w:sz w:val="21"/>
          <w:szCs w:val="21"/>
          <w:highlight w:val="none"/>
        </w:rPr>
        <w:t xml:space="preserve">，同时该质疑应有投标人法定代表人或参加投标的授权委托人签署</w:t>
      </w:r>
      <w:r>
        <w:rPr>
          <w:rFonts w:hint="eastAsia" w:ascii="宋体" w:hAnsi="宋体" w:eastAsia="宋体"/>
          <w:color w:val="auto"/>
          <w:sz w:val="21"/>
          <w:szCs w:val="21"/>
          <w:highlight w:val="none"/>
        </w:rPr>
        <w:t xml:space="preserve">并加</w:t>
      </w:r>
      <w:r>
        <w:rPr>
          <w:rFonts w:ascii="宋体" w:hAnsi="宋体" w:eastAsia="宋体"/>
          <w:color w:val="auto"/>
          <w:sz w:val="21"/>
          <w:szCs w:val="21"/>
          <w:highlight w:val="none"/>
        </w:rPr>
        <w:t xml:space="preserve">盖公章(原件)。招标代理机构将在收到经投标人法定代表人或参加投标的授权委托人签署和盖公章(原件)的书面质疑后七个工作日内，对质疑内容做出答复。如投标人在中标公告</w:t>
      </w:r>
      <w:r>
        <w:rPr>
          <w:rFonts w:hint="eastAsia" w:ascii="宋体" w:hAnsi="宋体" w:eastAsia="宋体"/>
          <w:color w:val="auto"/>
          <w:sz w:val="21"/>
          <w:szCs w:val="21"/>
          <w:highlight w:val="none"/>
        </w:rPr>
        <w:t xml:space="preserve">期限届满之日</w:t>
      </w:r>
      <w:r>
        <w:rPr>
          <w:rFonts w:ascii="宋体" w:hAnsi="宋体" w:eastAsia="宋体"/>
          <w:color w:val="auto"/>
          <w:sz w:val="21"/>
          <w:szCs w:val="21"/>
          <w:highlight w:val="none"/>
        </w:rPr>
        <w:t xml:space="preserve">起七个工作日后向招标代理机构提出质疑或质疑未经投标人法定代表人或参加投标的授权委托人签署</w:t>
      </w:r>
      <w:r>
        <w:rPr>
          <w:rFonts w:hint="eastAsia" w:ascii="宋体" w:hAnsi="宋体" w:eastAsia="宋体"/>
          <w:color w:val="auto"/>
          <w:sz w:val="21"/>
          <w:szCs w:val="21"/>
          <w:highlight w:val="none"/>
        </w:rPr>
        <w:t xml:space="preserve">或加</w:t>
      </w:r>
      <w:r>
        <w:rPr>
          <w:rFonts w:ascii="宋体" w:hAnsi="宋体" w:eastAsia="宋体"/>
          <w:color w:val="auto"/>
          <w:sz w:val="21"/>
          <w:szCs w:val="21"/>
          <w:highlight w:val="none"/>
        </w:rPr>
        <w:t xml:space="preserve">盖公章(原件)</w:t>
      </w:r>
      <w:r>
        <w:rPr>
          <w:rFonts w:hint="eastAsia" w:ascii="宋体" w:hAnsi="宋体" w:eastAsia="宋体"/>
          <w:color w:val="auto"/>
          <w:sz w:val="21"/>
          <w:szCs w:val="21"/>
          <w:highlight w:val="none"/>
        </w:rPr>
        <w:t xml:space="preserve">或未提供明确的请求和必要的证明材料的</w:t>
      </w:r>
      <w:r>
        <w:rPr>
          <w:rFonts w:ascii="宋体" w:hAnsi="宋体" w:eastAsia="宋体"/>
          <w:color w:val="auto"/>
          <w:sz w:val="21"/>
          <w:szCs w:val="21"/>
          <w:highlight w:val="none"/>
        </w:rPr>
        <w:t xml:space="preserve">，招标代理机构有权对该质疑不予答复</w:t>
      </w:r>
      <w:r>
        <w:rPr>
          <w:rFonts w:hint="eastAsia" w:ascii="宋体" w:hAnsi="宋体" w:eastAsia="宋体"/>
          <w:color w:val="auto"/>
          <w:sz w:val="21"/>
          <w:szCs w:val="21"/>
          <w:highlight w:val="none"/>
        </w:rPr>
        <w:t xml:space="preserve">（法律法规另有其他规定的除外）</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26.4供应商有违反政府采购法律法规规定的中标无效情形的，中标无效。</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27、</w:t>
      </w:r>
      <w:r>
        <w:rPr>
          <w:rFonts w:ascii="宋体" w:hAnsi="宋体" w:eastAsia="宋体"/>
          <w:b/>
          <w:color w:val="auto"/>
          <w:sz w:val="21"/>
          <w:szCs w:val="21"/>
          <w:highlight w:val="none"/>
        </w:rPr>
        <w:t xml:space="preserve">合同授予标准</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w:t>
      </w:r>
      <w:r>
        <w:rPr>
          <w:rFonts w:ascii="宋体" w:hAnsi="宋体" w:eastAsia="宋体"/>
          <w:color w:val="auto"/>
          <w:sz w:val="21"/>
          <w:szCs w:val="21"/>
          <w:highlight w:val="none"/>
        </w:rPr>
        <w:t xml:space="preserve">将把合同授予其投标文件在实质上响应招标文件要求和按本须知规定评选出的中标供应商。确定为中标供应商的必须具有实施本合同的能力和资源。</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27</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2在</w:t>
      </w:r>
      <w:r>
        <w:rPr>
          <w:rFonts w:ascii="宋体" w:hAnsi="宋体" w:eastAsia="宋体"/>
          <w:color w:val="auto"/>
          <w:sz w:val="21"/>
          <w:szCs w:val="21"/>
          <w:highlight w:val="none"/>
        </w:rPr>
        <w:t xml:space="preserve">政府采购合同履行中，采购人需追加与合同标的相同的货物</w:t>
      </w:r>
      <w:r>
        <w:rPr>
          <w:rFonts w:hint="eastAsia" w:ascii="宋体" w:hAnsi="宋体" w:eastAsia="宋体"/>
          <w:color w:val="auto"/>
          <w:sz w:val="21"/>
          <w:szCs w:val="21"/>
          <w:highlight w:val="none"/>
        </w:rPr>
        <w:t xml:space="preserve">、工程</w:t>
      </w:r>
      <w:r>
        <w:rPr>
          <w:rFonts w:ascii="宋体" w:hAnsi="宋体" w:eastAsia="宋体"/>
          <w:color w:val="auto"/>
          <w:sz w:val="21"/>
          <w:szCs w:val="21"/>
          <w:highlight w:val="none"/>
        </w:rPr>
        <w:t xml:space="preserve">或者服务的，在不改变合同其他条款的前提下，可以与供应商协商签订补充合同，但所有补充合同的采购金额不得超过原合同采购金额的百分之十。</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2</w:t>
      </w:r>
      <w:r>
        <w:rPr>
          <w:rFonts w:hint="eastAsia" w:ascii="宋体" w:hAnsi="宋体" w:eastAsia="宋体"/>
          <w:b/>
          <w:color w:val="auto"/>
          <w:sz w:val="21"/>
          <w:szCs w:val="21"/>
          <w:highlight w:val="none"/>
        </w:rPr>
        <w:t xml:space="preserve">8、</w:t>
      </w:r>
      <w:r>
        <w:rPr>
          <w:rFonts w:ascii="宋体" w:hAnsi="宋体" w:eastAsia="宋体"/>
          <w:b/>
          <w:color w:val="auto"/>
          <w:sz w:val="21"/>
          <w:szCs w:val="21"/>
          <w:highlight w:val="none"/>
        </w:rPr>
        <w:t xml:space="preserve">中标通知书</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28.1</w:t>
      </w:r>
      <w:r>
        <w:rPr>
          <w:rFonts w:ascii="宋体" w:hAnsi="宋体" w:eastAsia="宋体"/>
          <w:color w:val="auto"/>
          <w:sz w:val="21"/>
          <w:szCs w:val="21"/>
          <w:highlight w:val="none"/>
        </w:rPr>
        <w:t xml:space="preserve">在公告中标结果的同时，采购人或者采购代理机构应当向中标人发出中标通知书</w:t>
      </w:r>
      <w:r>
        <w:rPr>
          <w:rFonts w:hint="eastAsia" w:ascii="宋体" w:hAnsi="宋体" w:eastAsia="宋体"/>
          <w:color w:val="auto"/>
          <w:sz w:val="21"/>
          <w:szCs w:val="21"/>
          <w:highlight w:val="none"/>
        </w:rPr>
        <w:t xml:space="preserve">（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28.2中标通知书发出后，采购人不得违法改变中标结果，中标人无正当理由不得放弃中标，否则应当承担相应的法律责任。</w:t>
      </w:r>
      <w:r/>
    </w:p>
    <w:p>
      <w:pPr>
        <w:pStyle w:val="833"/>
        <w:ind w:firstLine="502"/>
        <w:jc w:val="both"/>
        <w:spacing w:line="360" w:lineRule="auto"/>
        <w:shd w:val="clear" w:color="auto"/>
        <w:rPr>
          <w:rFonts w:ascii="宋体" w:hAnsi="宋体" w:eastAsia="宋体"/>
          <w:color w:val="auto"/>
          <w:sz w:val="21"/>
          <w:szCs w:val="21"/>
          <w:highlight w:val="none"/>
        </w:rPr>
        <w:outlineLvl w:val="3"/>
      </w:pPr>
      <w:r>
        <w:rPr>
          <w:rFonts w:hint="eastAsia" w:ascii="宋体" w:hAnsi="宋体" w:eastAsia="宋体"/>
          <w:color w:val="auto"/>
          <w:sz w:val="21"/>
          <w:szCs w:val="21"/>
          <w:highlight w:val="none"/>
        </w:rPr>
        <w:t xml:space="preserve">28.3中标通知书将成为合同的组成部分。</w:t>
      </w:r>
      <w:r/>
    </w:p>
    <w:p>
      <w:pPr>
        <w:pStyle w:val="833"/>
        <w:ind w:firstLine="502"/>
        <w:jc w:val="both"/>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8.4采购代理机构对未中标供应商不承担解释未中标原因的义务。</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29、未中标通知书</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参与项目评审的未中标供应商应在中标公告发布之日起2个工作日内告知采购代理机构发放《未中标通知书》的方式（如电子邮件、纸质寄送等），以书面告知该未中标的评审得分与排名，未中标供应商未按约定的时间和方式获取告知信息的，视为自动放弃并自行承担相应后果。</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0、</w:t>
      </w:r>
      <w:r>
        <w:rPr>
          <w:rFonts w:ascii="宋体" w:hAnsi="宋体" w:eastAsia="宋体"/>
          <w:b/>
          <w:color w:val="auto"/>
          <w:sz w:val="21"/>
          <w:szCs w:val="21"/>
          <w:highlight w:val="none"/>
        </w:rPr>
        <w:t xml:space="preserve">合同的签订</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.1中标供应商应</w:t>
      </w:r>
      <w:r>
        <w:rPr>
          <w:rFonts w:hint="eastAsia" w:ascii="宋体" w:hAnsi="宋体" w:eastAsia="宋体"/>
          <w:color w:val="auto"/>
          <w:sz w:val="21"/>
          <w:szCs w:val="21"/>
          <w:highlight w:val="none"/>
        </w:rPr>
        <w:t xml:space="preserve">在中标通知书发出之日起30日内</w:t>
      </w:r>
      <w:r>
        <w:rPr>
          <w:rFonts w:ascii="宋体" w:hAnsi="宋体" w:eastAsia="宋体"/>
          <w:color w:val="auto"/>
          <w:sz w:val="21"/>
          <w:szCs w:val="21"/>
          <w:highlight w:val="none"/>
        </w:rPr>
        <w:t xml:space="preserve">，由法定代表人或授权委托人与采购人代表签订合同</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否则按放弃中标权处理。</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0</w:t>
      </w:r>
      <w:r>
        <w:rPr>
          <w:rFonts w:ascii="宋体" w:hAnsi="宋体" w:eastAsia="宋体"/>
          <w:color w:val="auto"/>
          <w:sz w:val="21"/>
          <w:szCs w:val="21"/>
          <w:highlight w:val="none"/>
        </w:rPr>
        <w:t xml:space="preserve">.2签订合同及合同条款应以招标文件和中标供应商的投标文件及其澄清文件为依据。</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30.3</w:t>
      </w:r>
      <w:r>
        <w:rPr>
          <w:rFonts w:ascii="宋体" w:hAnsi="宋体" w:eastAsia="宋体"/>
          <w:color w:val="auto"/>
          <w:sz w:val="21"/>
          <w:szCs w:val="21"/>
          <w:highlight w:val="none"/>
        </w:rPr>
        <w:t xml:space="preserve">中标供应商拒绝与采购人签订合同的，采购人可以按照评审报告推荐的中标候选人名单排序，确定下一候选人为中标供应商，也可以重新开展政府采购活动。</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30.4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shd w:val="clear" w:color="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30.5采购合同履行中，采购人需追加与合同标的相同的服务或货物的，在不改变合同其他条款的前提下，可以与供应商协商签订补充合同，但所有补充合同的采购金额不得超过原合同采购金额的百分之十。</w:t>
      </w:r>
      <w:r/>
    </w:p>
    <w:p>
      <w:pPr>
        <w:spacing w:line="360" w:lineRule="auto"/>
        <w:shd w:val="clear" w:color="auto"/>
        <w:tabs>
          <w:tab w:val="left" w:pos="142" w:leader="none"/>
          <w:tab w:val="left" w:pos="600" w:leader="none"/>
        </w:tabs>
        <w:rPr>
          <w:rFonts w:eastAsia="Arial"/>
          <w:b/>
          <w:bCs/>
          <w:color w:val="auto"/>
          <w:sz w:val="21"/>
          <w:szCs w:val="21"/>
          <w:highlight w:val="none"/>
        </w:rPr>
        <w:outlineLvl w:val="2"/>
      </w:pPr>
      <w:r>
        <w:rPr>
          <w:rFonts w:hint="eastAsia" w:eastAsia="宋体"/>
          <w:b/>
          <w:bCs/>
          <w:color w:val="auto"/>
          <w:sz w:val="21"/>
          <w:szCs w:val="21"/>
          <w:highlight w:val="none"/>
        </w:rPr>
        <w:t xml:space="preserve">31、</w:t>
      </w:r>
      <w:r>
        <w:rPr>
          <w:rFonts w:eastAsia="Arial"/>
          <w:b/>
          <w:bCs/>
          <w:color w:val="auto"/>
          <w:sz w:val="21"/>
          <w:szCs w:val="21"/>
          <w:highlight w:val="none"/>
        </w:rPr>
        <w:t xml:space="preserve">质疑</w:t>
      </w:r>
      <w:r/>
    </w:p>
    <w:p>
      <w:pPr>
        <w:ind w:firstLine="420"/>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.1质疑及答复遵守《政府采购质疑和投诉办法》（中华人民共和国财政部令第94号）规定。</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eastAsia="宋体"/>
          <w:color w:val="auto"/>
          <w:sz w:val="21"/>
          <w:szCs w:val="21"/>
          <w:highlight w:val="none"/>
        </w:rPr>
        <w:t xml:space="preserve">采购代理机构</w:t>
      </w:r>
      <w:r>
        <w:rPr>
          <w:rFonts w:eastAsia="Arial"/>
          <w:color w:val="auto"/>
          <w:sz w:val="21"/>
          <w:szCs w:val="21"/>
          <w:highlight w:val="none"/>
        </w:rPr>
        <w:t xml:space="preserve">提出质疑。上述应知其权益受到损害之日，是指：</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①</w:t>
      </w:r>
      <w:r>
        <w:rPr>
          <w:rFonts w:eastAsia="宋体"/>
          <w:color w:val="auto"/>
          <w:sz w:val="21"/>
          <w:szCs w:val="21"/>
          <w:highlight w:val="none"/>
        </w:rPr>
        <w:t xml:space="preserve">对可以质疑的采购文件提出质疑的，为收到采购文件之日或者采购文件公告期限届满之日；</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②</w:t>
      </w:r>
      <w:r>
        <w:rPr>
          <w:rFonts w:eastAsia="宋体"/>
          <w:color w:val="auto"/>
          <w:sz w:val="21"/>
          <w:szCs w:val="21"/>
          <w:highlight w:val="none"/>
        </w:rPr>
        <w:t xml:space="preserve">对采购过程提出质疑的，为各采购程序环节结束之日；</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Ansi="宋体" w:eastAsia="宋体"/>
          <w:color w:val="auto"/>
          <w:sz w:val="21"/>
          <w:szCs w:val="21"/>
          <w:highlight w:val="none"/>
        </w:rPr>
        <w:t xml:space="preserve">③</w:t>
      </w:r>
      <w:r>
        <w:rPr>
          <w:rFonts w:eastAsia="宋体"/>
          <w:color w:val="auto"/>
          <w:sz w:val="21"/>
          <w:szCs w:val="21"/>
          <w:highlight w:val="none"/>
        </w:rPr>
        <w:t xml:space="preserve">对中标或者成交结果提出质疑的，为中标或者成交结果公告期限届满之日。</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.3供应商应当在法定质疑期内一次性提出针对同一采购程序环节的质疑。供应商如在法定期限内对同一采购程序环节提出多次质疑的，</w:t>
      </w:r>
      <w:r>
        <w:rPr>
          <w:rFonts w:hint="eastAsia" w:eastAsia="宋体"/>
          <w:color w:val="auto"/>
          <w:sz w:val="21"/>
          <w:szCs w:val="21"/>
          <w:highlight w:val="none"/>
        </w:rPr>
        <w:t xml:space="preserve">代理机构</w:t>
      </w:r>
      <w:r>
        <w:rPr>
          <w:rFonts w:eastAsia="Arial"/>
          <w:color w:val="auto"/>
          <w:sz w:val="21"/>
          <w:szCs w:val="21"/>
          <w:highlight w:val="none"/>
        </w:rPr>
        <w:t xml:space="preserve">、采购人将只对供应商第一次质疑作出答复。</w:t>
      </w:r>
      <w:r/>
    </w:p>
    <w:p>
      <w:pPr>
        <w:numPr>
          <w:ilvl w:val="1"/>
          <w:numId w:val="0"/>
        </w:numPr>
        <w:ind w:firstLine="567"/>
        <w:spacing w:line="360" w:lineRule="auto"/>
        <w:shd w:val="clear" w:color="auto"/>
        <w:tabs>
          <w:tab w:val="left" w:pos="142" w:leader="none"/>
          <w:tab w:val="left" w:pos="600" w:leader="none"/>
        </w:tabs>
        <w:rPr>
          <w:rFonts w:eastAsia="Arial"/>
          <w:color w:val="auto"/>
          <w:sz w:val="21"/>
          <w:szCs w:val="21"/>
          <w:highlight w:val="none"/>
        </w:rPr>
      </w:pPr>
      <w:r>
        <w:rPr>
          <w:rFonts w:hint="eastAsia" w:eastAsia="宋体"/>
          <w:color w:val="auto"/>
          <w:sz w:val="21"/>
          <w:szCs w:val="21"/>
          <w:highlight w:val="none"/>
        </w:rPr>
        <w:t xml:space="preserve">31</w:t>
      </w:r>
      <w:r>
        <w:rPr>
          <w:rFonts w:eastAsia="Arial"/>
          <w:color w:val="auto"/>
          <w:sz w:val="21"/>
          <w:szCs w:val="21"/>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eastAsia="Arial"/>
          <w:b/>
          <w:color w:val="auto"/>
          <w:sz w:val="21"/>
          <w:szCs w:val="21"/>
          <w:highlight w:val="none"/>
        </w:rPr>
      </w:pPr>
      <w:r>
        <w:rPr>
          <w:rFonts w:eastAsia="Arial"/>
          <w:b/>
          <w:color w:val="auto"/>
          <w:sz w:val="21"/>
          <w:szCs w:val="21"/>
          <w:highlight w:val="none"/>
        </w:rPr>
        <w:t xml:space="preserve">对采购文件内容质疑时，需提供在</w:t>
      </w:r>
      <w:r>
        <w:rPr>
          <w:rFonts w:eastAsia="宋体"/>
          <w:b/>
          <w:color w:val="auto"/>
          <w:sz w:val="21"/>
          <w:szCs w:val="22"/>
          <w:highlight w:val="none"/>
        </w:rPr>
        <w:t xml:space="preserve">“苏采云”</w:t>
      </w:r>
      <w:r>
        <w:rPr>
          <w:rFonts w:eastAsia="Arial"/>
          <w:b/>
          <w:color w:val="auto"/>
          <w:sz w:val="21"/>
          <w:szCs w:val="21"/>
          <w:highlight w:val="none"/>
        </w:rPr>
        <w:t xml:space="preserve">系统中下载本项目招标文件的</w:t>
      </w:r>
      <w:r>
        <w:rPr>
          <w:rFonts w:eastAsia="宋体"/>
          <w:b/>
          <w:color w:val="auto"/>
          <w:sz w:val="21"/>
          <w:szCs w:val="22"/>
          <w:highlight w:val="none"/>
        </w:rPr>
        <w:t xml:space="preserve">《投标供应商确认函》</w:t>
      </w:r>
      <w:r>
        <w:rPr>
          <w:rFonts w:eastAsia="Arial"/>
          <w:b/>
          <w:color w:val="auto"/>
          <w:sz w:val="21"/>
          <w:szCs w:val="21"/>
          <w:highlight w:val="none"/>
        </w:rPr>
        <w:t xml:space="preserve">，未提供的视为未依照采购公告要求获取招标文件的供应商，不具备对该政府采购项目提出质疑的法定权利。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int="eastAsia" w:eastAsia="宋体"/>
          <w:color w:val="auto"/>
          <w:sz w:val="21"/>
          <w:szCs w:val="21"/>
          <w:highlight w:val="none"/>
        </w:rPr>
        <w:t xml:space="preserve">31.5</w:t>
      </w:r>
      <w:r>
        <w:rPr>
          <w:rFonts w:eastAsia="Arial"/>
          <w:color w:val="auto"/>
          <w:sz w:val="21"/>
          <w:szCs w:val="21"/>
          <w:highlight w:val="none"/>
        </w:rPr>
        <w:t xml:space="preserve">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\o "政府采购供应商质疑函范本" </w:instrText>
      </w:r>
      <w:r>
        <w:rPr>
          <w:color w:val="auto"/>
          <w:highlight w:val="none"/>
        </w:rPr>
        <w:fldChar w:fldCharType="separate"/>
      </w:r>
      <w:r>
        <w:rPr>
          <w:rFonts w:eastAsia="Arial"/>
          <w:color w:val="auto"/>
          <w:sz w:val="21"/>
          <w:szCs w:val="21"/>
          <w:highlight w:val="none"/>
        </w:rPr>
        <w:t xml:space="preserve">政府采购供应商质疑函范本</w:t>
      </w:r>
      <w:r>
        <w:rPr>
          <w:rFonts w:eastAsia="Arial"/>
          <w:color w:val="auto"/>
          <w:sz w:val="21"/>
          <w:szCs w:val="21"/>
          <w:highlight w:val="none"/>
        </w:rPr>
        <w:fldChar w:fldCharType="end"/>
      </w:r>
      <w:r>
        <w:rPr>
          <w:rFonts w:eastAsia="Arial"/>
          <w:color w:val="auto"/>
          <w:sz w:val="21"/>
          <w:szCs w:val="21"/>
          <w:highlight w:val="none"/>
        </w:rPr>
        <w:t xml:space="preserve">”。供应商如组成联合体参加投标，则《质疑函范本》中要求签字、盖章、加盖公章之处，联合体各方均须</w:t>
      </w:r>
      <w:r>
        <w:rPr>
          <w:rFonts w:eastAsia="宋体"/>
          <w:color w:val="auto"/>
          <w:sz w:val="21"/>
          <w:szCs w:val="21"/>
          <w:highlight w:val="none"/>
        </w:rPr>
        <w:t xml:space="preserve">按要求签字、盖章、加盖公章。</w:t>
      </w:r>
      <w:r/>
    </w:p>
    <w:p>
      <w:pPr>
        <w:numPr>
          <w:ilvl w:val="1"/>
          <w:numId w:val="0"/>
        </w:numPr>
        <w:ind w:firstLine="567"/>
        <w:spacing w:line="360" w:lineRule="auto"/>
        <w:tabs>
          <w:tab w:val="left" w:pos="142" w:leader="none"/>
          <w:tab w:val="left" w:pos="600" w:leader="none"/>
        </w:tabs>
        <w:rPr>
          <w:rFonts w:hint="default" w:ascii="宋体" w:hAnsi="宋体" w:eastAsia="宋体" w:cs="宋体"/>
          <w:sz w:val="21"/>
          <w:szCs w:val="21"/>
        </w:rPr>
      </w:pPr>
      <w:r>
        <w:rPr>
          <w:rFonts w:hint="eastAsia" w:eastAsia="宋体"/>
          <w:sz w:val="21"/>
          <w:szCs w:val="21"/>
          <w:lang w:val="zh-CN"/>
        </w:rPr>
        <w:t xml:space="preserve">联系部门：中诚智信工程咨询集团</w:t>
      </w:r>
      <w:r>
        <w:rPr>
          <w:rFonts w:hint="eastAsia" w:ascii="宋体" w:hAnsi="宋体" w:eastAsia="宋体" w:cs="宋体"/>
          <w:sz w:val="21"/>
          <w:szCs w:val="21"/>
          <w:lang w:val="zh-CN"/>
        </w:rPr>
        <w:t xml:space="preserve">股份有限公司</w:t>
      </w:r>
      <w:r/>
    </w:p>
    <w:p>
      <w:pPr>
        <w:numPr>
          <w:ilvl w:val="1"/>
          <w:numId w:val="0"/>
        </w:numPr>
        <w:ind w:firstLine="567"/>
        <w:spacing w:line="360" w:lineRule="auto"/>
        <w:tabs>
          <w:tab w:val="left" w:pos="142" w:leader="none"/>
          <w:tab w:val="left" w:pos="600" w:leader="none"/>
        </w:tabs>
        <w:rPr>
          <w:rFonts w:hint="default" w:ascii="宋体" w:hAnsi="宋体" w:eastAsia="宋体" w:cs="宋体"/>
          <w:sz w:val="21"/>
          <w:szCs w:val="21"/>
        </w:rPr>
      </w:pPr>
      <w:r>
        <w:rPr>
          <w:rFonts w:hint="eastAsia" w:ascii="宋体" w:hAnsi="宋体" w:eastAsia="宋体" w:cs="宋体"/>
          <w:sz w:val="21"/>
          <w:szCs w:val="21"/>
          <w:lang w:val="zh-CN"/>
        </w:rPr>
        <w:t xml:space="preserve">通讯地址：</w:t>
      </w:r>
      <w:r>
        <w:rPr>
          <w:rFonts w:hint="eastAsia" w:ascii="宋体" w:hAnsi="宋体" w:eastAsia="宋体" w:cs="宋体"/>
          <w:sz w:val="21"/>
          <w:szCs w:val="21"/>
        </w:rPr>
        <w:t xml:space="preserve">苏州高新区潇湘路99号诚来智研发大楼5楼代理部</w:t>
      </w:r>
      <w:r/>
    </w:p>
    <w:p>
      <w:pPr>
        <w:numPr>
          <w:ilvl w:val="1"/>
          <w:numId w:val="0"/>
        </w:numPr>
        <w:ind w:firstLine="567"/>
        <w:spacing w:line="360" w:lineRule="auto"/>
        <w:shd w:val="clear" w:color="auto"/>
        <w:tabs>
          <w:tab w:val="left" w:pos="142" w:leader="none"/>
          <w:tab w:val="left" w:pos="600" w:leader="none"/>
        </w:tabs>
        <w:rPr>
          <w:rFonts w:eastAsia="宋体"/>
          <w:color w:val="auto"/>
          <w:sz w:val="21"/>
          <w:szCs w:val="21"/>
          <w:highlight w:val="none"/>
        </w:rPr>
      </w:pPr>
      <w:r>
        <w:rPr>
          <w:rFonts w:hint="eastAsia" w:ascii="宋体" w:hAnsi="宋体" w:eastAsia="宋体" w:cs="宋体"/>
          <w:sz w:val="21"/>
          <w:szCs w:val="21"/>
          <w:lang w:val="zh-CN"/>
        </w:rPr>
        <w:t xml:space="preserve">联系人：</w:t>
      </w:r>
      <w:r>
        <w:rPr>
          <w:rFonts w:hint="eastAsia" w:ascii="宋体" w:hAnsi="宋体" w:eastAsia="宋体" w:cs="宋体"/>
          <w:sz w:val="21"/>
          <w:szCs w:val="21"/>
        </w:rPr>
        <w:t xml:space="preserve">王道玉</w:t>
      </w:r>
      <w:r>
        <w:rPr>
          <w:rFonts w:hint="eastAsia" w:ascii="宋体" w:hAnsi="宋体" w:eastAsia="宋体" w:cs="宋体"/>
          <w:sz w:val="21"/>
          <w:szCs w:val="21"/>
          <w:lang w:val="zh-CN"/>
        </w:rPr>
        <w:t xml:space="preserve">、吴伟；联系方式：0512-68303271、68320471</w:t>
      </w:r>
      <w:r/>
    </w:p>
    <w:p>
      <w:pPr>
        <w:numPr>
          <w:ilvl w:val="1"/>
          <w:numId w:val="0"/>
        </w:numPr>
        <w:ind w:firstLine="567"/>
        <w:spacing w:line="360" w:lineRule="auto"/>
        <w:shd w:val="clear" w:color="auto"/>
        <w:tabs>
          <w:tab w:val="left" w:pos="142" w:leader="none"/>
          <w:tab w:val="left" w:pos="600" w:leader="none"/>
        </w:tabs>
        <w:rPr>
          <w:rFonts w:eastAsia="Arial"/>
          <w:bCs/>
          <w:color w:val="auto"/>
          <w:sz w:val="21"/>
          <w:szCs w:val="21"/>
          <w:highlight w:val="none"/>
        </w:rPr>
      </w:pPr>
      <w:r>
        <w:rPr>
          <w:rFonts w:hint="eastAsia" w:eastAsia="宋体"/>
          <w:bCs/>
          <w:color w:val="auto"/>
          <w:sz w:val="21"/>
          <w:szCs w:val="21"/>
          <w:highlight w:val="none"/>
        </w:rPr>
        <w:t xml:space="preserve">31.6</w:t>
      </w:r>
      <w:r>
        <w:rPr>
          <w:rFonts w:eastAsia="宋体"/>
          <w:color w:val="auto"/>
          <w:sz w:val="21"/>
          <w:szCs w:val="21"/>
          <w:highlight w:val="none"/>
        </w:rPr>
        <w:t xml:space="preserve">供应商提出书面质疑必须有理、有据，不得捏造事实、提供虚假材料进行恶意质疑。否则，一经查实，</w:t>
      </w:r>
      <w:r>
        <w:rPr>
          <w:rFonts w:hint="eastAsia" w:eastAsia="宋体"/>
          <w:color w:val="auto"/>
          <w:sz w:val="21"/>
          <w:szCs w:val="21"/>
          <w:highlight w:val="none"/>
        </w:rPr>
        <w:t xml:space="preserve">代理机构</w:t>
      </w:r>
      <w:r>
        <w:rPr>
          <w:rFonts w:eastAsia="宋体"/>
          <w:color w:val="auto"/>
          <w:sz w:val="21"/>
          <w:szCs w:val="21"/>
          <w:highlight w:val="none"/>
        </w:rPr>
        <w:t xml:space="preserve">有权依据政府采购的有关规定，报请政府采购监管部门对该供应商进行相应的行政处罚和记录该供应商的失信信息。</w:t>
      </w:r>
      <w:r/>
    </w:p>
    <w:p>
      <w:pPr>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其他事项</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32、</w:t>
      </w:r>
      <w:r>
        <w:rPr>
          <w:rFonts w:ascii="宋体" w:hAnsi="宋体" w:eastAsia="宋体"/>
          <w:b/>
          <w:color w:val="auto"/>
          <w:sz w:val="21"/>
          <w:szCs w:val="21"/>
          <w:highlight w:val="none"/>
        </w:rPr>
        <w:t xml:space="preserve">中标服务费</w:t>
      </w:r>
      <w:r/>
    </w:p>
    <w:p>
      <w:pPr>
        <w:ind w:firstLine="420"/>
        <w:spacing w:line="360" w:lineRule="auto"/>
        <w:shd w:val="clear" w:color="auto"/>
        <w:rPr>
          <w:rFonts w:ascii="宋体" w:hAnsi="宋体" w:eastAsia="宋体"/>
          <w:color w:val="auto"/>
          <w:sz w:val="21"/>
          <w:szCs w:val="21"/>
          <w:highlight w:val="none"/>
        </w:rPr>
        <w:outlineLvl w:val="3"/>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本项目</w:t>
      </w:r>
      <w:r>
        <w:rPr>
          <w:rFonts w:ascii="宋体" w:hAnsi="宋体" w:eastAsia="宋体"/>
          <w:color w:val="auto"/>
          <w:sz w:val="21"/>
          <w:szCs w:val="21"/>
          <w:highlight w:val="none"/>
        </w:rPr>
        <w:t xml:space="preserve">中标服务费</w:t>
      </w:r>
      <w:r>
        <w:rPr>
          <w:rFonts w:hint="eastAsia" w:ascii="宋体" w:hAnsi="宋体" w:eastAsia="宋体"/>
          <w:color w:val="auto"/>
          <w:sz w:val="21"/>
          <w:szCs w:val="21"/>
          <w:highlight w:val="none"/>
          <w:lang w:val="en-US" w:eastAsia="zh-CN"/>
        </w:rPr>
        <w:t xml:space="preserve">由采购人支付</w:t>
      </w:r>
      <w:r>
        <w:rPr>
          <w:rFonts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.2如果未按规定缴纳中标服务费，采购代理机构有权</w:t>
      </w:r>
      <w:r>
        <w:rPr>
          <w:rFonts w:hint="eastAsia" w:ascii="宋体" w:hAnsi="宋体" w:eastAsia="宋体"/>
          <w:color w:val="auto"/>
          <w:sz w:val="21"/>
          <w:szCs w:val="21"/>
          <w:highlight w:val="none"/>
        </w:rPr>
        <w:t xml:space="preserve">要求</w:t>
      </w:r>
      <w:r>
        <w:rPr>
          <w:rFonts w:ascii="宋体" w:hAnsi="宋体" w:eastAsia="宋体"/>
          <w:color w:val="auto"/>
          <w:sz w:val="21"/>
          <w:szCs w:val="21"/>
          <w:highlight w:val="none"/>
        </w:rPr>
        <w:t xml:space="preserve">其赔付，并保留诉讼的权利。</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33、保密</w:t>
      </w:r>
      <w:r/>
    </w:p>
    <w:p>
      <w:pPr>
        <w:pStyle w:val="865"/>
        <w:ind w:left="0" w:firstLine="420"/>
        <w:spacing w:after="0" w:line="360" w:lineRule="auto"/>
        <w:shd w:val="clear" w:color="auto"/>
        <w:rPr>
          <w:rFonts w:ascii="宋体" w:hAnsi="宋体"/>
          <w:color w:val="auto"/>
          <w:sz w:val="21"/>
          <w:szCs w:val="21"/>
          <w:highlight w:val="none"/>
        </w:rPr>
      </w:pPr>
      <w:r>
        <w:rPr>
          <w:rFonts w:hint="eastAsia" w:ascii="宋体" w:hAnsi="宋体"/>
          <w:color w:val="auto"/>
          <w:sz w:val="21"/>
          <w:szCs w:val="21"/>
          <w:highlight w:val="none"/>
        </w:rPr>
        <w:t xml:space="preserve">参与采购活动的各方应对招标文件和投标文件中的商业和技术等秘密保密，否则应承担相应的法律责任。</w:t>
      </w:r>
      <w:r/>
    </w:p>
    <w:p>
      <w:pPr>
        <w:spacing w:line="360" w:lineRule="auto"/>
        <w:shd w:val="clear" w:color="auto"/>
        <w:rPr>
          <w:rFonts w:ascii="宋体" w:hAnsi="宋体" w:eastAsia="宋体"/>
          <w:b/>
          <w:color w:val="auto"/>
          <w:sz w:val="21"/>
          <w:szCs w:val="21"/>
          <w:highlight w:val="none"/>
        </w:rPr>
        <w:outlineLvl w:val="2"/>
      </w:pPr>
      <w:r>
        <w:rPr>
          <w:rFonts w:hint="eastAsia" w:ascii="宋体" w:hAnsi="宋体" w:eastAsia="宋体"/>
          <w:b/>
          <w:color w:val="auto"/>
          <w:sz w:val="21"/>
          <w:szCs w:val="21"/>
          <w:highlight w:val="none"/>
        </w:rPr>
        <w:t xml:space="preserve">34、知识产权</w:t>
      </w:r>
      <w:r/>
    </w:p>
    <w:p>
      <w:pPr>
        <w:ind w:firstLine="502"/>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shd w:val="clear" w:color="auto"/>
        <w:rPr>
          <w:rFonts w:eastAsia="Arial"/>
          <w:b/>
          <w:color w:val="auto"/>
          <w:sz w:val="21"/>
          <w:szCs w:val="21"/>
          <w:highlight w:val="none"/>
        </w:rPr>
        <w:outlineLvl w:val="2"/>
      </w:pPr>
      <w:r>
        <w:rPr>
          <w:rFonts w:hint="eastAsia" w:eastAsia="宋体"/>
          <w:b/>
          <w:color w:val="auto"/>
          <w:sz w:val="21"/>
          <w:szCs w:val="21"/>
          <w:highlight w:val="none"/>
        </w:rPr>
        <w:t xml:space="preserve">35、</w:t>
      </w:r>
      <w:r>
        <w:rPr>
          <w:rFonts w:eastAsia="Arial"/>
          <w:b/>
          <w:color w:val="auto"/>
          <w:sz w:val="21"/>
          <w:szCs w:val="21"/>
          <w:highlight w:val="none"/>
        </w:rPr>
        <w:t xml:space="preserve">招标文件的约束力</w:t>
      </w:r>
      <w:r/>
    </w:p>
    <w:p>
      <w:pPr>
        <w:ind w:left="420"/>
        <w:spacing w:line="360" w:lineRule="auto"/>
        <w:shd w:val="clear" w:color="auto"/>
        <w:rPr>
          <w:rFonts w:eastAsia="Arial"/>
          <w:color w:val="auto"/>
          <w:sz w:val="21"/>
          <w:szCs w:val="21"/>
          <w:highlight w:val="none"/>
        </w:rPr>
      </w:pPr>
      <w:r>
        <w:rPr>
          <w:rFonts w:hint="eastAsia" w:eastAsia="宋体"/>
          <w:color w:val="auto"/>
          <w:sz w:val="21"/>
          <w:szCs w:val="21"/>
          <w:highlight w:val="none"/>
        </w:rPr>
        <w:t xml:space="preserve">35.1</w:t>
      </w:r>
      <w:r>
        <w:rPr>
          <w:rFonts w:eastAsia="Arial"/>
          <w:color w:val="auto"/>
          <w:sz w:val="21"/>
          <w:szCs w:val="21"/>
          <w:highlight w:val="none"/>
        </w:rPr>
        <w:t xml:space="preserve">投标人一旦参加本项目采购活动，即被认为接受了本招标文件的规定和约束。</w:t>
      </w:r>
      <w:r/>
    </w:p>
    <w:p>
      <w:pPr>
        <w:ind w:firstLine="420"/>
        <w:spacing w:line="360" w:lineRule="auto"/>
        <w:shd w:val="clear" w:color="auto"/>
        <w:rPr>
          <w:rFonts w:ascii="宋体" w:hAnsi="宋体" w:eastAsia="宋体"/>
          <w:b/>
          <w:color w:val="auto"/>
          <w:sz w:val="21"/>
          <w:szCs w:val="21"/>
          <w:highlight w:val="none"/>
        </w:rPr>
      </w:pPr>
      <w:r>
        <w:rPr>
          <w:rFonts w:hint="eastAsia" w:eastAsia="宋体"/>
          <w:color w:val="auto"/>
          <w:sz w:val="21"/>
          <w:szCs w:val="21"/>
          <w:highlight w:val="none"/>
        </w:rPr>
        <w:t xml:space="preserve">35.2</w:t>
      </w:r>
      <w:r>
        <w:rPr>
          <w:rFonts w:eastAsia="Arial"/>
          <w:color w:val="auto"/>
          <w:sz w:val="21"/>
          <w:szCs w:val="21"/>
          <w:highlight w:val="none"/>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spacing w:line="360" w:lineRule="auto"/>
        <w:shd w:val="clear" w:color="auto"/>
        <w:rPr>
          <w:rFonts w:ascii="宋体" w:hAnsi="宋体" w:eastAsia="宋体"/>
          <w:b/>
          <w:color w:val="auto"/>
          <w:sz w:val="21"/>
          <w:szCs w:val="21"/>
          <w:highlight w:val="none"/>
        </w:rPr>
        <w:outlineLvl w:val="2"/>
      </w:pPr>
      <w:r>
        <w:rPr>
          <w:rFonts w:ascii="宋体" w:hAnsi="宋体" w:eastAsia="宋体"/>
          <w:b/>
          <w:color w:val="auto"/>
          <w:sz w:val="21"/>
          <w:szCs w:val="21"/>
          <w:highlight w:val="none"/>
        </w:rPr>
        <w:t xml:space="preserve">3</w:t>
      </w:r>
      <w:r>
        <w:rPr>
          <w:rFonts w:hint="eastAsia" w:ascii="宋体" w:hAnsi="宋体" w:eastAsia="宋体"/>
          <w:b/>
          <w:color w:val="auto"/>
          <w:sz w:val="21"/>
          <w:szCs w:val="21"/>
          <w:highlight w:val="none"/>
        </w:rPr>
        <w:t xml:space="preserve">6、</w:t>
      </w:r>
      <w:r>
        <w:rPr>
          <w:rFonts w:ascii="宋体" w:hAnsi="宋体" w:eastAsia="宋体"/>
          <w:b/>
          <w:color w:val="auto"/>
          <w:sz w:val="21"/>
          <w:szCs w:val="21"/>
          <w:highlight w:val="none"/>
        </w:rPr>
        <w:t xml:space="preserve">未尽事宜</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按《中华人民共和国政府采购法》及其他有关政府采购的法律法规的规定执行。</w:t>
      </w:r>
      <w:r/>
    </w:p>
    <w:p>
      <w:pPr>
        <w:ind w:firstLine="560"/>
        <w:jc w:val="center"/>
        <w:shd w:val="clear" w:color="auto"/>
        <w:rPr>
          <w:rFonts w:ascii="黑体" w:eastAsia="黑体"/>
          <w:color w:val="auto"/>
          <w:sz w:val="32"/>
          <w:szCs w:val="32"/>
          <w:highlight w:val="none"/>
        </w:rPr>
        <w:outlineLvl w:val="0"/>
      </w:pPr>
      <w:r>
        <w:rPr>
          <w:color w:val="auto"/>
          <w:highlight w:val="none"/>
        </w:rPr>
        <w:br w:type="page" w:clear="all"/>
      </w:r>
      <w:bookmarkStart w:id="117" w:name="_Toc492478285"/>
      <w:r/>
      <w:bookmarkStart w:id="118" w:name="_Toc59044749"/>
      <w:r/>
      <w:bookmarkStart w:id="119" w:name="_Toc17163"/>
      <w:r/>
      <w:bookmarkStart w:id="120" w:name="_Toc10139"/>
      <w:r/>
      <w:bookmarkStart w:id="121" w:name="_Toc17949"/>
      <w:r/>
      <w:bookmarkStart w:id="122" w:name="_Toc25288"/>
      <w:r/>
      <w:bookmarkStart w:id="123" w:name="_Toc6621"/>
      <w:r/>
      <w:bookmarkStart w:id="124" w:name="_Toc387680519"/>
      <w:r/>
      <w:bookmarkStart w:id="125" w:name="_Toc17653"/>
      <w:r>
        <w:rPr>
          <w:rStyle w:val="1082"/>
          <w:rFonts w:hint="eastAsia" w:ascii="黑体" w:eastAsia="黑体"/>
          <w:color w:val="auto"/>
          <w:sz w:val="32"/>
          <w:highlight w:val="none"/>
        </w:rPr>
        <w:t xml:space="preserve">第三章  投标文件格式</w:t>
      </w:r>
      <w:bookmarkEnd w:id="117"/>
      <w:r/>
      <w:bookmarkEnd w:id="118"/>
      <w:r/>
      <w:bookmarkEnd w:id="119"/>
      <w:r/>
      <w:bookmarkEnd w:id="120"/>
      <w:r/>
      <w:bookmarkEnd w:id="121"/>
      <w:r/>
      <w:bookmarkEnd w:id="122"/>
      <w:r/>
      <w:bookmarkEnd w:id="123"/>
      <w:r/>
      <w:bookmarkEnd w:id="124"/>
      <w:r/>
      <w:bookmarkEnd w:id="125"/>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t xml:space="preserve">说明：</w:t>
      </w:r>
      <w:r/>
    </w:p>
    <w:p>
      <w:pPr>
        <w:pStyle w:val="833"/>
        <w:ind w:firstLine="48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t xml:space="preserve">对本章所有的投标书格式，投标人可根据自身情况进行补充和修改，但补充和修改不得造成与本格式内容有实质性的违背。</w:t>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ascii="楷体" w:hAnsi="楷体" w:eastAsia="楷体" w:cs="楷体"/>
          <w:b/>
          <w:color w:val="auto"/>
          <w:sz w:val="21"/>
          <w:szCs w:val="21"/>
          <w:highlight w:val="none"/>
        </w:rPr>
      </w:pPr>
      <w:r>
        <w:rPr>
          <w:rFonts w:hint="eastAsia" w:ascii="楷体" w:hAnsi="楷体" w:eastAsia="楷体" w:cs="楷体"/>
          <w:b/>
          <w:color w:val="auto"/>
          <w:sz w:val="21"/>
          <w:szCs w:val="21"/>
          <w:highlight w:val="none"/>
        </w:rPr>
        <w:t xml:space="preserve">（招标文件所提供的投标文件格式如与电子投标文件制作软件中不一致的，以电子投标文件制作软件为准。）</w:t>
      </w:r>
      <w:r/>
    </w:p>
    <w:p>
      <w:pPr>
        <w:pStyle w:val="833"/>
        <w:ind w:firstLine="0"/>
        <w:spacing w:line="360" w:lineRule="auto"/>
        <w:shd w:val="clear" w:color="auto"/>
        <w:rPr>
          <w:rFonts w:ascii="楷体" w:hAnsi="楷体" w:eastAsia="楷体" w:cs="楷体"/>
          <w:b/>
          <w:color w:val="auto"/>
          <w:sz w:val="21"/>
          <w:szCs w:val="21"/>
          <w:highlight w:val="none"/>
        </w:rPr>
      </w:pPr>
      <w:r>
        <w:rPr>
          <w:rFonts w:ascii="楷体" w:hAnsi="楷体" w:eastAsia="楷体" w:cs="楷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hAnsi="宋体" w:eastAsia="宋体"/>
          <w:b/>
          <w:color w:val="auto"/>
          <w:sz w:val="21"/>
          <w:szCs w:val="21"/>
          <w:highlight w:val="none"/>
        </w:rPr>
      </w:pPr>
      <w:r>
        <w:rPr>
          <w:rFonts w:hAnsi="宋体"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pStyle w:val="833"/>
        <w:ind w:firstLine="0"/>
        <w:spacing w:line="360" w:lineRule="auto"/>
        <w:shd w:val="clear" w:color="auto"/>
        <w:rPr>
          <w:rFonts w:eastAsia="宋体"/>
          <w:b/>
          <w:color w:val="auto"/>
          <w:sz w:val="21"/>
          <w:szCs w:val="21"/>
          <w:highlight w:val="none"/>
        </w:rPr>
      </w:pPr>
      <w:r>
        <w:rPr>
          <w:rFonts w:eastAsia="宋体"/>
          <w:b/>
          <w:color w:val="auto"/>
          <w:sz w:val="21"/>
          <w:szCs w:val="21"/>
          <w:highlight w:val="none"/>
        </w:rPr>
      </w:r>
      <w:r/>
    </w:p>
    <w:p>
      <w:pPr>
        <w:shd w:val="clear" w:color="auto"/>
        <w:rPr>
          <w:rFonts w:hAnsi="宋体" w:eastAsia="宋体"/>
          <w:b/>
          <w:color w:val="auto"/>
          <w:sz w:val="21"/>
          <w:szCs w:val="21"/>
          <w:highlight w:val="none"/>
        </w:rPr>
      </w:pPr>
      <w:r/>
      <w:bookmarkStart w:id="126" w:name="_Toc11248378"/>
      <w:r/>
      <w:bookmarkStart w:id="127" w:name="_Toc11248444"/>
      <w:r/>
      <w:bookmarkStart w:id="128" w:name="_Toc59044750"/>
      <w:r/>
      <w:bookmarkStart w:id="129" w:name="_Toc387680431"/>
      <w:r>
        <w:rPr>
          <w:rFonts w:hAnsi="宋体" w:eastAsia="宋体"/>
          <w:b/>
          <w:color w:val="auto"/>
          <w:sz w:val="21"/>
          <w:szCs w:val="21"/>
          <w:highlight w:val="none"/>
        </w:rPr>
        <w:br w:type="page" w:clear="all"/>
      </w:r>
      <w:r/>
    </w:p>
    <w:p>
      <w:pPr>
        <w:pStyle w:val="847"/>
        <w:spacing w:line="360" w:lineRule="auto"/>
        <w:shd w:val="clear" w:color="auto"/>
        <w:rPr>
          <w:rFonts w:hAnsi="宋体" w:eastAsia="宋体"/>
          <w:b/>
          <w:color w:val="auto"/>
          <w:sz w:val="21"/>
          <w:szCs w:val="21"/>
          <w:highlight w:val="none"/>
        </w:rPr>
        <w:outlineLvl w:val="1"/>
      </w:pPr>
      <w:r>
        <w:rPr>
          <w:rFonts w:hAnsi="宋体" w:eastAsia="宋体"/>
          <w:b/>
          <w:color w:val="auto"/>
          <w:sz w:val="21"/>
          <w:szCs w:val="21"/>
          <w:highlight w:val="none"/>
        </w:rPr>
        <w:t xml:space="preserve">格式1、投标函</w:t>
      </w:r>
      <w:bookmarkEnd w:id="126"/>
      <w:r/>
      <w:bookmarkEnd w:id="127"/>
      <w:r/>
      <w:bookmarkEnd w:id="128"/>
      <w:r/>
      <w:bookmarkEnd w:id="129"/>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投标函</w:t>
      </w:r>
      <w:r/>
    </w:p>
    <w:p>
      <w:pPr>
        <w:pStyle w:val="1256"/>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u w:val="single"/>
        </w:rPr>
        <w:t xml:space="preserve">中诚智信工程咨询集团股份有限公司 </w:t>
      </w:r>
      <w:r>
        <w:rPr>
          <w:rFonts w:hAnsi="宋体" w:eastAsia="宋体"/>
          <w:color w:val="auto"/>
          <w:sz w:val="21"/>
          <w:szCs w:val="21"/>
          <w:highlight w:val="none"/>
        </w:rPr>
        <w:t xml:space="preserve">：</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号招标文件，我公司认为本项目的招标采购坚持了公开、公平、公正的原则，经仔细阅读和研究，我们决定参加投标。</w:t>
      </w:r>
      <w:r/>
    </w:p>
    <w:p>
      <w:pPr>
        <w:ind w:firstLine="42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1、我方愿意按提供满足招标文件全部要求的货物及服务工作，提供招标文件要求的所有资料，投标总报价</w:t>
      </w:r>
      <w:r>
        <w:rPr>
          <w:rFonts w:hint="eastAsia" w:ascii="宋体" w:hAnsi="宋体" w:eastAsia="宋体"/>
          <w:color w:val="auto"/>
          <w:sz w:val="21"/>
          <w:szCs w:val="21"/>
          <w:highlight w:val="none"/>
        </w:rPr>
        <w:t xml:space="preserve">包括但不限于为实施和完成本合同项下全部内容所需的全部费用和要求获得的利润，包括</w:t>
      </w:r>
      <w:r>
        <w:rPr>
          <w:rFonts w:hint="eastAsia" w:ascii="宋体" w:hAnsi="宋体" w:eastAsia="宋体"/>
          <w:color w:val="auto"/>
          <w:sz w:val="21"/>
          <w:szCs w:val="21"/>
          <w:highlight w:val="none"/>
          <w:lang w:val="en-US" w:eastAsia="zh-CN"/>
        </w:rPr>
        <w:t xml:space="preserve">所投</w:t>
      </w:r>
      <w:r>
        <w:rPr>
          <w:rFonts w:hint="eastAsia" w:ascii="宋体" w:hAnsi="宋体" w:eastAsia="宋体"/>
          <w:color w:val="auto"/>
          <w:sz w:val="21"/>
          <w:szCs w:val="21"/>
          <w:highlight w:val="none"/>
        </w:rPr>
        <w:t xml:space="preserve">货物及其备品备件和专用工具费用、相关知识产权费、 保险、税费及包装、运至最终目的地的运输、存储、现场吊装、搬运、安装调试、检测验收、甲方指定部门的检验检测费、技术支持与培训、伴随服务、质保和售后服务及相关劳务支出等工作所发生的全部费用，以及企业利润、税金和政策性文件规定及采购文件提出的、合同包含的所有风险、责任等各项应有费用。</w:t>
      </w:r>
      <w:r/>
    </w:p>
    <w:p>
      <w:pPr>
        <w:pStyle w:val="833"/>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color w:val="auto"/>
          <w:sz w:val="21"/>
          <w:szCs w:val="21"/>
          <w:highlight w:val="none"/>
        </w:rPr>
        <w:t xml:space="preserve">。</w:t>
      </w:r>
      <w:r/>
    </w:p>
    <w:p>
      <w:pPr>
        <w:ind w:firstLine="420"/>
        <w:spacing w:line="360" w:lineRule="auto"/>
        <w:shd w:val="clear" w:color="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3、我们已</w:t>
      </w:r>
      <w:r>
        <w:rPr>
          <w:rFonts w:ascii="宋体" w:hAnsi="宋体" w:eastAsia="宋体"/>
          <w:color w:val="auto"/>
          <w:sz w:val="21"/>
          <w:szCs w:val="21"/>
          <w:highlight w:val="none"/>
        </w:rPr>
        <w:t xml:space="preserve">详细审查全部招标文件，包括</w:t>
      </w:r>
      <w:r>
        <w:rPr>
          <w:rFonts w:hint="eastAsia" w:ascii="宋体" w:hAnsi="宋体" w:eastAsia="宋体"/>
          <w:color w:val="auto"/>
          <w:sz w:val="21"/>
          <w:szCs w:val="21"/>
          <w:highlight w:val="none"/>
        </w:rPr>
        <w:t xml:space="preserve">补充通知</w:t>
      </w:r>
      <w:r>
        <w:rPr>
          <w:rFonts w:ascii="宋体" w:hAnsi="宋体" w:eastAsia="宋体"/>
          <w:color w:val="auto"/>
          <w:sz w:val="21"/>
          <w:szCs w:val="21"/>
          <w:highlight w:val="none"/>
        </w:rPr>
        <w:t xml:space="preserve">(如果有的话)。</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4、我公司承诺在本项目开标后，我们不会再对招标文件及补充通知向招标采购人、财政局等进行恶意质疑或投诉。</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、我们同意按招标文件中的规定，本投标书的有效期限为开标后</w:t>
      </w:r>
      <w:r>
        <w:rPr>
          <w:rFonts w:ascii="宋体" w:hAnsi="宋体" w:eastAsia="宋体"/>
          <w:b/>
          <w:bCs/>
          <w:color w:val="auto"/>
          <w:sz w:val="21"/>
          <w:szCs w:val="21"/>
          <w:highlight w:val="none"/>
        </w:rPr>
        <w:t xml:space="preserve">60日</w:t>
      </w:r>
      <w:r>
        <w:rPr>
          <w:rFonts w:hint="eastAsia" w:ascii="宋体" w:hAnsi="宋体" w:eastAsia="宋体"/>
          <w:color w:val="auto"/>
          <w:sz w:val="21"/>
          <w:szCs w:val="21"/>
          <w:highlight w:val="none"/>
        </w:rPr>
        <w:t xml:space="preserve">（从提交投标文件截止时间当日起算）</w:t>
      </w:r>
      <w:r>
        <w:rPr>
          <w:rFonts w:ascii="宋体" w:hAnsi="宋体" w:eastAsia="宋体"/>
          <w:color w:val="auto"/>
          <w:sz w:val="21"/>
          <w:szCs w:val="21"/>
          <w:highlight w:val="none"/>
        </w:rPr>
        <w:t xml:space="preserve">。</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6、我们愿意提供招标方在招标文件中要求的所有资料。也同意向贵方提供贵方可能另外要求的与其投标有关的任何证据或资料。并保证所提供的资料全部是真实的、有效的，若有虚假，我们愿承担一切责任。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33"/>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、我们认为你们有权决定中标者，还认为你们有权接受或拒绝所有的投标者。</w:t>
      </w:r>
      <w:r/>
    </w:p>
    <w:p>
      <w:pPr>
        <w:pStyle w:val="1256"/>
        <w:ind w:firstLine="420"/>
        <w:spacing w:line="360" w:lineRule="auto"/>
        <w:shd w:val="clear" w:color="auto"/>
        <w:rPr>
          <w:rFonts w:hint="default" w:hAnsi="宋体" w:eastAsia="宋体"/>
          <w:color w:val="auto"/>
          <w:sz w:val="21"/>
          <w:szCs w:val="21"/>
          <w:highlight w:val="none"/>
        </w:rPr>
        <w:outlineLvl w:val="1"/>
      </w:pPr>
      <w:r>
        <w:rPr>
          <w:rFonts w:hAnsi="宋体" w:eastAsia="宋体"/>
          <w:color w:val="auto"/>
          <w:sz w:val="21"/>
          <w:szCs w:val="21"/>
          <w:highlight w:val="none"/>
        </w:rPr>
        <w:t xml:space="preserve">8、我们愿意遵守招标公告及招标文件中所列的收费标准。</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10、我们同意中标人若无法按约定条款履行义务等行为，招标方有权取消其中标资格。</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11、我们愿意按招标文件的规定交纳投标保证金，并同意投标人须知中关于没收投标保证金的规定。</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12、我们承诺我公司符合</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1</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具有独立承担民事责任的能力；</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2</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具有良好的商业信誉和健全的财务会计制度；</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3</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具有履行合同所必需的设备和专业技术能力；</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4</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有依法缴纳税收和社会保障资金的良好记录；</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5</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参加政府采购活动前三年内,在经营活动中没有重大违法记录；</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6</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符合法律、行政法规规定的其他条件</w:t>
      </w:r>
      <w:r>
        <w:rPr>
          <w:rFonts w:hint="eastAsia" w:hAnsi="宋体" w:eastAsia="宋体"/>
          <w:color w:val="auto"/>
          <w:sz w:val="21"/>
          <w:szCs w:val="21"/>
          <w:highlight w:val="none"/>
          <w:lang w:eastAsia="zh-CN"/>
        </w:rPr>
        <w:t xml:space="preserve">；</w:t>
      </w:r>
      <w:r>
        <w:rPr>
          <w:rFonts w:hAnsi="宋体" w:eastAsia="宋体"/>
          <w:color w:val="auto"/>
          <w:sz w:val="21"/>
          <w:szCs w:val="21"/>
          <w:highlight w:val="none"/>
        </w:rPr>
        <w:t xml:space="preserve">若与真实情况不符，本公司愿意承担由此而产生的一切后果。</w:t>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3</w:t>
      </w:r>
      <w:r>
        <w:rPr>
          <w:rFonts w:hAnsi="宋体" w:eastAsia="宋体"/>
          <w:color w:val="auto"/>
          <w:sz w:val="21"/>
          <w:szCs w:val="21"/>
          <w:highlight w:val="none"/>
        </w:rPr>
        <w:t xml:space="preserve">、本函填写的电子邮箱为我方此次采购活动中的授权邮箱，该邮箱发至采购人或代理机构的函件无论是否签字或盖章，均视为我方的意思表示，我方均予以承认并承担相应后果。</w:t>
      </w:r>
      <w:r/>
    </w:p>
    <w:p>
      <w:pPr>
        <w:pStyle w:val="1256"/>
        <w:ind w:firstLine="420"/>
        <w:spacing w:line="360" w:lineRule="auto"/>
        <w:shd w:val="clear" w:color="auto"/>
        <w:rPr>
          <w:rFonts w:hint="default" w:hAnsi="宋体" w:eastAsia="宋体"/>
          <w:color w:val="auto"/>
          <w:sz w:val="21"/>
          <w:szCs w:val="21"/>
          <w:highlight w:val="none"/>
        </w:rPr>
        <w:outlineLvl w:val="1"/>
      </w:pPr>
      <w:r>
        <w:rPr>
          <w:rFonts w:hAnsi="宋体" w:eastAsia="宋体"/>
          <w:color w:val="auto"/>
          <w:sz w:val="21"/>
          <w:szCs w:val="21"/>
          <w:highlight w:val="none"/>
        </w:rPr>
        <w:t xml:space="preserve">1</w:t>
      </w:r>
      <w:r>
        <w:rPr>
          <w:rFonts w:hint="eastAsia" w:hAnsi="宋体" w:eastAsia="宋体"/>
          <w:color w:val="auto"/>
          <w:sz w:val="21"/>
          <w:szCs w:val="21"/>
          <w:highlight w:val="none"/>
          <w:lang w:val="en-US" w:eastAsia="zh-CN"/>
        </w:rPr>
        <w:t xml:space="preserve">4</w:t>
      </w:r>
      <w:r>
        <w:rPr>
          <w:rFonts w:hAnsi="宋体" w:eastAsia="宋体"/>
          <w:color w:val="auto"/>
          <w:sz w:val="21"/>
          <w:szCs w:val="21"/>
          <w:highlight w:val="none"/>
        </w:rPr>
        <w:t xml:space="preserve">、与本投标有关的通讯地址：</w:t>
      </w:r>
      <w:r/>
    </w:p>
    <w:p>
      <w:pPr>
        <w:pStyle w:val="1256"/>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单    位（加盖公章）：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联 系 人：</w:t>
      </w:r>
      <w:r>
        <w:rPr>
          <w:rFonts w:hAnsi="宋体" w:eastAsia="宋体"/>
          <w:color w:val="auto"/>
          <w:sz w:val="21"/>
          <w:szCs w:val="21"/>
          <w:highlight w:val="none"/>
          <w:u w:val="single"/>
        </w:rPr>
        <w:t xml:space="preserve">                   </w:t>
      </w:r>
      <w:r/>
    </w:p>
    <w:p>
      <w:pPr>
        <w:pStyle w:val="1256"/>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地    址：</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邮政编码：</w:t>
      </w:r>
      <w:r>
        <w:rPr>
          <w:rFonts w:hAnsi="宋体" w:eastAsia="宋体"/>
          <w:color w:val="auto"/>
          <w:sz w:val="21"/>
          <w:szCs w:val="21"/>
          <w:highlight w:val="none"/>
          <w:u w:val="single"/>
        </w:rPr>
        <w:t xml:space="preserve">                </w:t>
      </w:r>
      <w:r/>
    </w:p>
    <w:p>
      <w:pPr>
        <w:pStyle w:val="1256"/>
        <w:ind w:firstLine="420"/>
        <w:spacing w:line="360" w:lineRule="auto"/>
        <w:shd w:val="clear" w:color="auto"/>
        <w:rPr>
          <w:rFonts w:hint="default" w:hAnsi="宋体" w:eastAsia="宋体"/>
          <w:color w:val="auto"/>
          <w:sz w:val="21"/>
          <w:szCs w:val="21"/>
          <w:highlight w:val="none"/>
          <w:u w:val="single"/>
        </w:rPr>
      </w:pPr>
      <w:r>
        <w:rPr>
          <w:rFonts w:hAnsi="宋体" w:eastAsia="宋体"/>
          <w:color w:val="auto"/>
          <w:sz w:val="21"/>
          <w:szCs w:val="21"/>
          <w:highlight w:val="none"/>
        </w:rPr>
        <w:t xml:space="preserve">联系电话（手机号）：</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传    真：</w:t>
      </w:r>
      <w:r>
        <w:rPr>
          <w:rFonts w:hAnsi="宋体" w:eastAsia="宋体"/>
          <w:color w:val="auto"/>
          <w:sz w:val="21"/>
          <w:szCs w:val="21"/>
          <w:highlight w:val="none"/>
          <w:u w:val="single"/>
        </w:rPr>
        <w:t xml:space="preserve">                    </w:t>
      </w:r>
      <w:r/>
    </w:p>
    <w:p>
      <w:pPr>
        <w:pStyle w:val="1256"/>
        <w:ind w:firstLine="420"/>
        <w:spacing w:line="360" w:lineRule="auto"/>
        <w:shd w:val="clear" w:color="auto"/>
        <w:rPr>
          <w:rFonts w:hAnsi="宋体" w:eastAsia="宋体"/>
          <w:color w:val="auto"/>
          <w:sz w:val="21"/>
          <w:szCs w:val="21"/>
          <w:highlight w:val="none"/>
          <w:u w:val="single"/>
        </w:rPr>
      </w:pPr>
      <w:r>
        <w:rPr>
          <w:rFonts w:hAnsi="宋体" w:eastAsia="宋体"/>
          <w:color w:val="auto"/>
          <w:sz w:val="21"/>
          <w:szCs w:val="21"/>
          <w:highlight w:val="none"/>
        </w:rPr>
        <w:t xml:space="preserve">电子邮箱：</w:t>
      </w:r>
      <w:r>
        <w:rPr>
          <w:rFonts w:hAnsi="宋体" w:eastAsia="宋体"/>
          <w:color w:val="auto"/>
          <w:sz w:val="21"/>
          <w:szCs w:val="21"/>
          <w:highlight w:val="none"/>
          <w:u w:val="single"/>
        </w:rPr>
        <w:t xml:space="preserve">                                </w:t>
      </w:r>
      <w:bookmarkStart w:id="130" w:name="_Hlk157962510"/>
      <w:r/>
      <w:bookmarkStart w:id="131" w:name="_Toc387680432"/>
      <w:r/>
      <w:bookmarkStart w:id="132" w:name="_Toc142194267"/>
      <w:r/>
      <w:r/>
    </w:p>
    <w:p>
      <w:pPr>
        <w:pStyle w:val="1256"/>
        <w:ind w:firstLine="420"/>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bookmarkEnd w:id="130"/>
      <w:r/>
      <w:r/>
    </w:p>
    <w:p>
      <w:pPr>
        <w:pStyle w:val="1256"/>
        <w:spacing w:line="360" w:lineRule="auto"/>
        <w:shd w:val="clear" w:color="auto"/>
        <w:rPr>
          <w:rFonts w:hint="default" w:hAnsi="宋体" w:eastAsia="宋体"/>
          <w:color w:val="auto"/>
          <w:sz w:val="21"/>
          <w:szCs w:val="21"/>
          <w:highlight w:val="none"/>
        </w:rPr>
      </w:pPr>
      <w:r>
        <w:rPr>
          <w:rFonts w:hint="default" w:hAnsi="宋体" w:eastAsia="宋体"/>
          <w:color w:val="auto"/>
          <w:sz w:val="21"/>
          <w:szCs w:val="21"/>
          <w:highlight w:val="none"/>
        </w:rPr>
      </w:r>
      <w:r/>
    </w:p>
    <w:p>
      <w:pPr>
        <w:shd w:val="clear" w:color="auto"/>
        <w:rPr>
          <w:rFonts w:hAnsi="宋体" w:eastAsia="宋体"/>
          <w:b/>
          <w:color w:val="auto"/>
          <w:sz w:val="21"/>
          <w:szCs w:val="21"/>
          <w:highlight w:val="none"/>
        </w:rPr>
      </w:pPr>
      <w:r>
        <w:rPr>
          <w:rFonts w:hAnsi="宋体" w:eastAsia="宋体"/>
          <w:b/>
          <w:color w:val="auto"/>
          <w:sz w:val="21"/>
          <w:szCs w:val="21"/>
          <w:highlight w:val="none"/>
        </w:rPr>
        <w:br w:type="page" w:clear="all"/>
      </w:r>
      <w:r/>
    </w:p>
    <w:p>
      <w:pPr>
        <w:pStyle w:val="847"/>
        <w:spacing w:line="360" w:lineRule="auto"/>
        <w:shd w:val="clear" w:color="auto"/>
        <w:rPr>
          <w:rFonts w:hAnsi="宋体" w:eastAsia="宋体"/>
          <w:b/>
          <w:color w:val="auto"/>
          <w:sz w:val="21"/>
          <w:szCs w:val="21"/>
          <w:highlight w:val="none"/>
        </w:rPr>
        <w:outlineLvl w:val="2"/>
      </w:pPr>
      <w:r>
        <w:rPr>
          <w:rFonts w:hAnsi="宋体" w:eastAsia="宋体"/>
          <w:b/>
          <w:color w:val="auto"/>
          <w:sz w:val="21"/>
          <w:szCs w:val="21"/>
          <w:highlight w:val="none"/>
        </w:rPr>
        <w:t xml:space="preserve">格式2、投标人法定代表人授权委托书</w:t>
      </w:r>
      <w:bookmarkEnd w:id="131"/>
      <w:r/>
      <w:bookmarkEnd w:id="132"/>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法定代表人授权委托书</w:t>
      </w:r>
      <w:r/>
    </w:p>
    <w:p>
      <w:pPr>
        <w:pStyle w:val="833"/>
        <w:spacing w:line="360" w:lineRule="auto"/>
        <w:shd w:val="clear" w:color="auto"/>
        <w:rPr>
          <w:rFonts w:eastAsia="宋体"/>
          <w:color w:val="auto"/>
          <w:sz w:val="21"/>
          <w:szCs w:val="21"/>
          <w:highlight w:val="none"/>
        </w:rPr>
      </w:pPr>
      <w:r>
        <w:rPr>
          <w:rFonts w:eastAsia="宋体"/>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本授权委托书声明：我</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（姓名）系</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（投标人名称）的法定代表人，现授权委托，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（姓名）为我公司授权代表（即代理人），以本公司的名义参加</w:t>
      </w:r>
      <w:r>
        <w:rPr>
          <w:rFonts w:hint="eastAsia" w:ascii="宋体" w:hAnsi="宋体" w:eastAsia="宋体" w:cs="宋体"/>
          <w:bCs/>
          <w:color w:val="auto"/>
          <w:sz w:val="21"/>
          <w:szCs w:val="21"/>
          <w:highlight w:val="none"/>
          <w:u w:val="single"/>
          <w:lang w:eastAsia="zh-CN"/>
        </w:rPr>
        <w:t xml:space="preserve">苏州市姑苏区人民法院（机关）</w:t>
      </w:r>
      <w:r>
        <w:rPr>
          <w:rFonts w:hint="eastAsia" w:ascii="宋体" w:hAnsi="宋体" w:eastAsia="宋体" w:cs="宋体"/>
          <w:bCs/>
          <w:color w:val="auto"/>
          <w:sz w:val="21"/>
          <w:szCs w:val="21"/>
          <w:highlight w:val="none"/>
        </w:rPr>
        <w:t xml:space="preserve">（采购人名称）组织实施的编号为</w:t>
      </w:r>
      <w:r>
        <w:rPr>
          <w:rFonts w:hint="eastAsia" w:ascii="宋体" w:hAnsi="宋体" w:eastAsia="宋体" w:cs="宋体"/>
          <w:bCs/>
          <w:color w:val="auto"/>
          <w:sz w:val="21"/>
          <w:szCs w:val="21"/>
          <w:highlight w:val="none"/>
          <w:u w:val="single"/>
          <w:lang w:eastAsia="zh-CN"/>
        </w:rPr>
        <w:t xml:space="preserve">JSZC-320508-ZCZX-G2026-0061</w:t>
      </w:r>
      <w:r>
        <w:rPr>
          <w:rFonts w:hint="eastAsia" w:ascii="宋体" w:hAnsi="宋体" w:eastAsia="宋体" w:cs="宋体"/>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代理人无转委托权。</w:t>
      </w:r>
      <w:r/>
    </w:p>
    <w:p>
      <w:pPr>
        <w:ind w:firstLine="420"/>
        <w:spacing w:line="360" w:lineRule="auto"/>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被授权人（代理人）身份证号码：</w:t>
      </w:r>
      <w:r/>
    </w:p>
    <w:p>
      <w:pPr>
        <w:ind w:firstLine="420"/>
        <w:spacing w:line="360" w:lineRule="auto"/>
        <w:shd w:val="clear" w:color="auto"/>
        <w:rPr>
          <w:rFonts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被授权人（代理人）联系电话：</w:t>
      </w:r>
      <w:r>
        <w:rPr>
          <w:rFonts w:hint="eastAsia" w:ascii="宋体" w:hAnsi="宋体" w:eastAsia="宋体" w:cs="宋体"/>
          <w:bCs/>
          <w:color w:val="auto"/>
          <w:sz w:val="21"/>
          <w:szCs w:val="21"/>
          <w:highlight w:val="none"/>
          <w:u w:val="single"/>
        </w:rPr>
        <w:t xml:space="preserve">（手机）</w:t>
      </w:r>
      <w:r/>
    </w:p>
    <w:p>
      <w:pPr>
        <w:pStyle w:val="842"/>
        <w:shd w:val="clear" w:color="auto"/>
        <w:rPr>
          <w:color w:val="auto"/>
          <w:highlight w:val="none"/>
        </w:rPr>
      </w:pPr>
      <w:r>
        <w:rPr>
          <w:color w:val="auto"/>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供应商名称：（加盖公章）：</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 期：</w:t>
      </w:r>
      <w:r/>
    </w:p>
    <w:p>
      <w:pPr>
        <w:ind w:firstLine="420"/>
        <w:spacing w:line="360" w:lineRule="auto"/>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后附：代理人身份证扫描件</w:t>
      </w:r>
      <w:r/>
    </w:p>
    <w:p>
      <w:pPr>
        <w:ind w:firstLine="480"/>
        <w:spacing w:line="360" w:lineRule="auto"/>
        <w:shd w:val="clear" w:color="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hd w:val="clear" w:color="auto"/>
        <w:widowControl/>
        <w:rPr>
          <w:rFonts w:eastAsia="宋体"/>
          <w:color w:val="auto"/>
          <w:sz w:val="21"/>
          <w:szCs w:val="21"/>
          <w:highlight w:val="none"/>
        </w:rPr>
      </w:pPr>
      <w:r>
        <w:rPr>
          <w:rFonts w:eastAsia="宋体"/>
          <w:color w:val="auto"/>
          <w:sz w:val="21"/>
          <w:szCs w:val="21"/>
          <w:highlight w:val="none"/>
        </w:rPr>
      </w:r>
      <w:r/>
    </w:p>
    <w:p>
      <w:pPr>
        <w:jc w:val="left"/>
        <w:shd w:val="clear" w:color="auto"/>
        <w:widowControl/>
        <w:rPr>
          <w:rFonts w:eastAsia="宋体"/>
          <w:color w:val="auto"/>
          <w:sz w:val="21"/>
          <w:szCs w:val="21"/>
          <w:highlight w:val="none"/>
        </w:rPr>
      </w:pPr>
      <w:r>
        <w:rPr>
          <w:rFonts w:eastAsia="宋体"/>
          <w:color w:val="auto"/>
          <w:sz w:val="21"/>
          <w:szCs w:val="21"/>
          <w:highlight w:val="none"/>
        </w:rPr>
      </w:r>
      <w:r/>
    </w:p>
    <w:p>
      <w:pPr>
        <w:jc w:val="left"/>
        <w:shd w:val="clear" w:color="auto"/>
        <w:widowControl/>
        <w:rPr>
          <w:rFonts w:eastAsia="宋体"/>
          <w:b/>
          <w:color w:val="auto"/>
          <w:sz w:val="21"/>
          <w:szCs w:val="21"/>
          <w:highlight w:val="none"/>
        </w:rPr>
      </w:pPr>
      <w:r>
        <w:rPr>
          <w:rFonts w:hAnsi="宋体" w:eastAsia="宋体"/>
          <w:b/>
          <w:color w:val="auto"/>
          <w:sz w:val="21"/>
          <w:szCs w:val="21"/>
          <w:highlight w:val="none"/>
        </w:rPr>
        <w:t xml:space="preserve">备注：供应商如有授权委托，必须提供该法人授权委托书及代理人身份证，否则投标无效；</w:t>
      </w:r>
      <w:r/>
    </w:p>
    <w:p>
      <w:pPr>
        <w:ind w:left="420" w:firstLine="211"/>
        <w:spacing w:after="120"/>
        <w:shd w:val="clear" w:color="auto"/>
        <w:rPr>
          <w:rFonts w:eastAsia="Arial"/>
          <w:color w:val="auto"/>
          <w:sz w:val="21"/>
          <w:szCs w:val="22"/>
          <w:highlight w:val="none"/>
        </w:rPr>
      </w:pPr>
      <w:r>
        <w:rPr>
          <w:rFonts w:hAnsi="宋体" w:eastAsia="宋体"/>
          <w:b/>
          <w:color w:val="auto"/>
          <w:sz w:val="21"/>
          <w:szCs w:val="21"/>
          <w:highlight w:val="none"/>
        </w:rPr>
        <w:t xml:space="preserve">供应商无授权委托的情况下，必须提供法定代表人身份证，否则投标无效。</w:t>
      </w:r>
      <w:r/>
    </w:p>
    <w:p>
      <w:pPr>
        <w:pStyle w:val="833"/>
        <w:ind w:firstLine="0"/>
        <w:spacing w:line="360" w:lineRule="auto"/>
        <w:shd w:val="clear" w:color="auto"/>
        <w:rPr>
          <w:rFonts w:eastAsia="宋体"/>
          <w:color w:val="auto"/>
          <w:sz w:val="21"/>
          <w:szCs w:val="21"/>
          <w:highlight w:val="none"/>
        </w:rPr>
      </w:pPr>
      <w:r>
        <w:rPr>
          <w:rFonts w:eastAsia="宋体"/>
          <w:color w:val="auto"/>
          <w:sz w:val="21"/>
          <w:szCs w:val="21"/>
          <w:highlight w:val="none"/>
        </w:rPr>
      </w:r>
      <w:r/>
    </w:p>
    <w:p>
      <w:pPr>
        <w:pStyle w:val="833"/>
        <w:ind w:firstLine="0"/>
        <w:spacing w:line="360" w:lineRule="auto"/>
        <w:shd w:val="clear" w:color="auto"/>
        <w:rPr>
          <w:rFonts w:eastAsia="宋体"/>
          <w:color w:val="auto"/>
          <w:sz w:val="21"/>
          <w:szCs w:val="21"/>
          <w:highlight w:val="none"/>
        </w:rPr>
      </w:pPr>
      <w:r>
        <w:rPr>
          <w:rFonts w:eastAsia="宋体"/>
          <w:color w:val="auto"/>
          <w:sz w:val="21"/>
          <w:szCs w:val="21"/>
          <w:highlight w:val="none"/>
        </w:rPr>
      </w:r>
      <w:r/>
    </w:p>
    <w:p>
      <w:pPr>
        <w:pStyle w:val="824"/>
        <w:spacing w:line="360" w:lineRule="auto"/>
        <w:shd w:val="clear" w:color="auto"/>
        <w:rPr>
          <w:rFonts w:ascii="宋体" w:hAnsi="宋体" w:eastAsia="宋体"/>
          <w:b w:val="0"/>
          <w:color w:val="auto"/>
          <w:sz w:val="18"/>
          <w:szCs w:val="18"/>
          <w:highlight w:val="none"/>
        </w:rPr>
        <w:sectPr>
          <w:footnotePr/>
          <w:endnotePr/>
          <w:type w:val="nextPage"/>
          <w:pgSz w:w="11906" w:h="16838" w:orient="portrait"/>
          <w:pgMar w:top="1440" w:right="1800" w:bottom="1440" w:left="1800" w:header="851" w:footer="992" w:gutter="0"/>
          <w:pgNumType w:start="2"/>
          <w:cols w:num="1" w:sep="0" w:space="1701" w:equalWidth="1"/>
          <w:docGrid w:linePitch="360"/>
          <w:titlePg/>
        </w:sectPr>
      </w:pPr>
      <w:r/>
      <w:bookmarkStart w:id="133" w:name="_Toc387680433"/>
      <w:r/>
      <w:r/>
    </w:p>
    <w:p>
      <w:pPr>
        <w:pStyle w:val="847"/>
        <w:spacing w:line="360" w:lineRule="auto"/>
        <w:shd w:val="clear" w:color="auto"/>
        <w:rPr>
          <w:rFonts w:hAnsi="宋体" w:eastAsia="宋体"/>
          <w:b/>
          <w:color w:val="auto"/>
          <w:sz w:val="21"/>
          <w:szCs w:val="21"/>
          <w:highlight w:val="none"/>
        </w:rPr>
        <w:outlineLvl w:val="1"/>
      </w:pPr>
      <w:r/>
      <w:bookmarkStart w:id="134" w:name="_Toc59044751"/>
      <w:r/>
      <w:bookmarkStart w:id="135" w:name="_Toc11248445"/>
      <w:r/>
      <w:bookmarkStart w:id="136" w:name="_Toc11248379"/>
      <w:r>
        <w:rPr>
          <w:rFonts w:hint="eastAsia" w:hAnsi="宋体" w:eastAsia="宋体"/>
          <w:b/>
          <w:color w:val="auto"/>
          <w:sz w:val="21"/>
          <w:szCs w:val="21"/>
          <w:highlight w:val="none"/>
        </w:rPr>
        <w:t xml:space="preserve">格式3、</w:t>
      </w:r>
      <w:bookmarkStart w:id="137" w:name="_Toc142194268"/>
      <w:r>
        <w:rPr>
          <w:rFonts w:hAnsi="宋体" w:eastAsia="宋体"/>
          <w:b/>
          <w:color w:val="auto"/>
          <w:sz w:val="21"/>
          <w:szCs w:val="21"/>
          <w:highlight w:val="none"/>
        </w:rPr>
        <w:t xml:space="preserve">开标一览表</w:t>
      </w:r>
      <w:bookmarkEnd w:id="133"/>
      <w:r/>
      <w:bookmarkEnd w:id="134"/>
      <w:r/>
      <w:bookmarkEnd w:id="135"/>
      <w:r/>
      <w:bookmarkEnd w:id="136"/>
      <w:r/>
      <w:bookmarkEnd w:id="137"/>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开标一览表</w:t>
      </w:r>
      <w:r/>
    </w:p>
    <w:p>
      <w:pPr>
        <w:spacing w:line="360" w:lineRule="auto"/>
        <w:shd w:val="clear" w:color="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投标人全称（加盖公章）：</w:t>
      </w:r>
      <w:r/>
    </w:p>
    <w:p>
      <w:pPr>
        <w:spacing w:line="360" w:lineRule="auto"/>
        <w:shd w:val="clear" w:color="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项目编号：</w:t>
      </w:r>
      <w:r>
        <w:rPr>
          <w:rFonts w:hint="eastAsia" w:ascii="宋体" w:hAnsi="宋体" w:eastAsia="宋体" w:cs="宋体"/>
          <w:bCs/>
          <w:color w:val="auto"/>
          <w:sz w:val="21"/>
          <w:szCs w:val="21"/>
          <w:highlight w:val="none"/>
          <w:lang w:eastAsia="zh-CN"/>
        </w:rPr>
        <w:t xml:space="preserve">JSZC-320508-ZCZX-G2026-0061</w:t>
      </w:r>
      <w:r/>
    </w:p>
    <w:p>
      <w:pPr>
        <w:pStyle w:val="878"/>
        <w:ind w:left="0" w:firstLine="0"/>
        <w:rPr>
          <w:rFonts w:hint="eastAsia" w:hAnsi="宋体" w:eastAsia="宋体" w:cs="宋体"/>
          <w:bCs/>
          <w:sz w:val="21"/>
          <w:szCs w:val="21"/>
        </w:rPr>
      </w:pPr>
      <w:r>
        <w:rPr>
          <w:rFonts w:hint="eastAsia" w:hAnsi="宋体" w:eastAsia="宋体" w:cs="宋体"/>
          <w:bCs/>
          <w:sz w:val="21"/>
          <w:szCs w:val="21"/>
        </w:rPr>
        <w:t xml:space="preserve">分包号：</w:t>
      </w:r>
      <w:r/>
    </w:p>
    <w:p>
      <w:pPr>
        <w:pStyle w:val="833"/>
        <w:rPr>
          <w:rFonts w:hint="eastAsia"/>
          <w:lang w:eastAsia="zh-CN"/>
        </w:rPr>
      </w:pPr>
      <w:r>
        <w:rPr>
          <w:rFonts w:hint="eastAsia"/>
          <w:lang w:eastAsia="zh-CN"/>
        </w:rPr>
      </w:r>
      <w:r/>
    </w:p>
    <w:tbl>
      <w:tblPr>
        <w:tblStyle w:val="832"/>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91"/>
        <w:gridCol w:w="5765"/>
      </w:tblGrid>
      <w:tr>
        <w:trPr>
          <w:jc w:val="center"/>
          <w:trHeight w:val="1033"/>
        </w:trPr>
        <w:tc>
          <w:tcPr>
            <w:tcW w:w="3291" w:type="dxa"/>
            <w:vAlign w:val="center"/>
            <w:textDirection w:val="lrTb"/>
            <w:noWrap w:val="false"/>
          </w:tcPr>
          <w:p>
            <w:pPr>
              <w:jc w:val="both"/>
              <w:spacing w:line="360" w:lineRule="auto"/>
              <w:shd w:val="clear" w:color="auto"/>
              <w:rPr>
                <w:rFonts w:eastAsia="Arial"/>
                <w:b w:val="0"/>
                <w:bCs/>
                <w:color w:val="auto"/>
                <w:sz w:val="21"/>
                <w:szCs w:val="21"/>
                <w:highlight w:val="none"/>
              </w:rPr>
            </w:pPr>
            <w:r>
              <w:rPr>
                <w:rFonts w:eastAsia="Arial"/>
                <w:b w:val="0"/>
                <w:bCs/>
                <w:color w:val="auto"/>
                <w:sz w:val="21"/>
                <w:szCs w:val="21"/>
                <w:highlight w:val="none"/>
              </w:rPr>
              <w:t xml:space="preserve">项目名称</w:t>
            </w:r>
            <w:r/>
          </w:p>
        </w:tc>
        <w:tc>
          <w:tcPr>
            <w:tcW w:w="5765" w:type="dxa"/>
            <w:vAlign w:val="center"/>
            <w:textDirection w:val="lrTb"/>
            <w:noWrap w:val="false"/>
          </w:tcPr>
          <w:p>
            <w:pPr>
              <w:jc w:val="both"/>
              <w:spacing w:line="360" w:lineRule="auto"/>
              <w:shd w:val="clear" w:color="auto"/>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 xml:space="preserve">投标总报价</w:t>
            </w:r>
            <w:r/>
          </w:p>
        </w:tc>
      </w:tr>
      <w:tr>
        <w:trPr>
          <w:jc w:val="center"/>
          <w:trHeight w:val="1057"/>
        </w:trPr>
        <w:tc>
          <w:tcPr>
            <w:tcW w:w="3291" w:type="dxa"/>
            <w:vAlign w:val="center"/>
            <w:textDirection w:val="lrTb"/>
            <w:noWrap w:val="false"/>
          </w:tcPr>
          <w:p>
            <w:pPr>
              <w:jc w:val="both"/>
              <w:spacing w:line="360" w:lineRule="auto"/>
              <w:shd w:val="clear" w:color="auto"/>
              <w:rPr>
                <w:rFonts w:hint="eastAsia" w:eastAsia="宋体"/>
                <w:b w:val="0"/>
                <w:bCs/>
                <w:color w:val="auto"/>
                <w:sz w:val="21"/>
                <w:szCs w:val="21"/>
                <w:highlight w:val="none"/>
                <w:lang w:eastAsia="zh-CN"/>
              </w:rPr>
            </w:pPr>
            <w:r>
              <w:rPr>
                <w:rFonts w:hint="eastAsia" w:eastAsia="宋体"/>
                <w:b w:val="0"/>
                <w:bCs/>
                <w:color w:val="auto"/>
                <w:sz w:val="21"/>
                <w:szCs w:val="21"/>
                <w:highlight w:val="none"/>
                <w:lang w:eastAsia="zh-CN"/>
              </w:rPr>
              <w:t xml:space="preserve">姑苏法院融合法庭建设项目</w:t>
            </w:r>
            <w:r/>
          </w:p>
        </w:tc>
        <w:tc>
          <w:tcPr>
            <w:tcW w:w="5765" w:type="dxa"/>
            <w:vAlign w:val="center"/>
            <w:textDirection w:val="lrTb"/>
            <w:noWrap w:val="false"/>
          </w:tcPr>
          <w:p>
            <w:pPr>
              <w:jc w:val="both"/>
              <w:spacing w:line="360" w:lineRule="auto"/>
              <w:shd w:val="clear" w:color="auto"/>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 xml:space="preserve">小写：</w:t>
            </w:r>
            <w:r/>
          </w:p>
        </w:tc>
      </w:tr>
      <w:tr>
        <w:trPr>
          <w:jc w:val="center"/>
          <w:trHeight w:val="1070"/>
        </w:trPr>
        <w:tc>
          <w:tcPr>
            <w:tcW w:w="3291" w:type="dxa"/>
            <w:vAlign w:val="center"/>
            <w:textDirection w:val="lrTb"/>
            <w:noWrap w:val="false"/>
          </w:tcPr>
          <w:p>
            <w:pPr>
              <w:jc w:val="both"/>
              <w:spacing w:after="120"/>
              <w:shd w:val="clear" w:color="auto"/>
              <w:rPr>
                <w:rFonts w:hint="default" w:eastAsia="宋体"/>
                <w:b w:val="0"/>
                <w:bCs/>
                <w:color w:val="auto"/>
                <w:sz w:val="21"/>
                <w:szCs w:val="22"/>
                <w:highlight w:val="none"/>
                <w:lang w:val="en-US" w:eastAsia="zh-CN"/>
              </w:rPr>
            </w:pPr>
            <w:r>
              <w:rPr>
                <w:rFonts w:eastAsia="Arial"/>
                <w:b w:val="0"/>
                <w:bCs/>
                <w:color w:val="auto"/>
                <w:sz w:val="21"/>
                <w:szCs w:val="21"/>
                <w:highlight w:val="none"/>
              </w:rPr>
              <w:t xml:space="preserve">投标</w:t>
            </w:r>
            <w:r>
              <w:rPr>
                <w:rFonts w:hint="eastAsia" w:eastAsia="宋体"/>
                <w:b w:val="0"/>
                <w:bCs/>
                <w:color w:val="auto"/>
                <w:sz w:val="21"/>
                <w:szCs w:val="21"/>
                <w:highlight w:val="none"/>
                <w:lang w:val="en-US" w:eastAsia="zh-CN"/>
              </w:rPr>
              <w:t xml:space="preserve">报价大写金额</w:t>
            </w:r>
            <w:r/>
          </w:p>
        </w:tc>
        <w:tc>
          <w:tcPr>
            <w:tcW w:w="5765" w:type="dxa"/>
            <w:vAlign w:val="center"/>
            <w:textDirection w:val="lrTb"/>
            <w:noWrap w:val="false"/>
          </w:tcPr>
          <w:p>
            <w:pPr>
              <w:jc w:val="left"/>
              <w:spacing w:line="360" w:lineRule="auto"/>
              <w:shd w:val="clear" w:color="auto"/>
              <w:rPr>
                <w:rFonts w:eastAsia="Arial"/>
                <w:color w:val="auto"/>
                <w:sz w:val="21"/>
                <w:szCs w:val="21"/>
                <w:highlight w:val="none"/>
              </w:rPr>
            </w:pPr>
            <w:r>
              <w:rPr>
                <w:rFonts w:eastAsia="Arial"/>
                <w:color w:val="auto"/>
                <w:sz w:val="21"/>
                <w:szCs w:val="21"/>
                <w:highlight w:val="none"/>
              </w:rPr>
            </w:r>
            <w:r/>
          </w:p>
        </w:tc>
      </w:tr>
    </w:tbl>
    <w:p>
      <w:pPr>
        <w:pStyle w:val="842"/>
        <w:shd w:val="clear" w:color="auto"/>
        <w:rPr>
          <w:rFonts w:hAnsi="宋体" w:cs="宋体"/>
          <w:bCs/>
          <w:color w:val="auto"/>
          <w:sz w:val="21"/>
          <w:szCs w:val="21"/>
          <w:highlight w:val="none"/>
        </w:rPr>
      </w:pPr>
      <w:r>
        <w:rPr>
          <w:rFonts w:hAnsi="宋体" w:cs="宋体"/>
          <w:bCs/>
          <w:color w:val="auto"/>
          <w:sz w:val="21"/>
          <w:szCs w:val="21"/>
          <w:highlight w:val="none"/>
        </w:rPr>
      </w:r>
      <w:r/>
    </w:p>
    <w:p>
      <w:pPr>
        <w:pStyle w:val="847"/>
        <w:jc w:val="right"/>
        <w:spacing w:line="360" w:lineRule="auto"/>
        <w:shd w:val="clear" w:color="auto"/>
        <w:rPr>
          <w:rFonts w:ascii="Times New Roman" w:hAnsi="宋体" w:eastAsia="宋体"/>
          <w:bCs/>
          <w:color w:val="auto"/>
          <w:sz w:val="21"/>
          <w:szCs w:val="21"/>
          <w:highlight w:val="none"/>
        </w:rPr>
        <w:outlineLvl w:val="1"/>
      </w:pPr>
      <w:r>
        <w:rPr>
          <w:rFonts w:hint="eastAsia" w:ascii="Times New Roman" w:hAnsi="宋体" w:eastAsia="宋体"/>
          <w:bCs/>
          <w:color w:val="auto"/>
          <w:sz w:val="21"/>
          <w:szCs w:val="21"/>
          <w:highlight w:val="none"/>
        </w:rPr>
        <w:t xml:space="preserve">                            </w:t>
      </w:r>
      <w:r/>
    </w:p>
    <w:p>
      <w:pPr>
        <w:pStyle w:val="847"/>
        <w:jc w:val="right"/>
        <w:spacing w:line="360" w:lineRule="auto"/>
        <w:shd w:val="clear" w:color="auto"/>
        <w:rPr>
          <w:rFonts w:ascii="Times New Roman" w:hAnsi="宋体" w:eastAsia="宋体"/>
          <w:bCs/>
          <w:color w:val="auto"/>
          <w:sz w:val="21"/>
          <w:szCs w:val="21"/>
          <w:highlight w:val="none"/>
        </w:rPr>
        <w:outlineLvl w:val="1"/>
      </w:pPr>
      <w:r>
        <w:rPr>
          <w:rFonts w:hint="eastAsia" w:ascii="Times New Roman" w:hAnsi="宋体" w:eastAsia="宋体"/>
          <w:bCs/>
          <w:color w:val="auto"/>
          <w:sz w:val="21"/>
          <w:szCs w:val="21"/>
          <w:highlight w:val="none"/>
        </w:rPr>
        <w:t xml:space="preserve">日期：　　　　年　　  月　　  日</w:t>
      </w:r>
      <w:r/>
    </w:p>
    <w:p>
      <w:pPr>
        <w:pStyle w:val="847"/>
        <w:spacing w:line="360" w:lineRule="auto"/>
        <w:shd w:val="clear" w:color="auto"/>
        <w:rPr>
          <w:rFonts w:hAnsi="宋体" w:eastAsia="宋体"/>
          <w:b/>
          <w:color w:val="auto"/>
          <w:sz w:val="21"/>
          <w:szCs w:val="21"/>
          <w:highlight w:val="none"/>
        </w:rPr>
        <w:outlineLvl w:val="1"/>
      </w:pPr>
      <w:r>
        <w:rPr>
          <w:rFonts w:ascii="Times New Roman" w:hAnsi="宋体" w:eastAsia="宋体"/>
          <w:bCs/>
          <w:color w:val="auto"/>
          <w:sz w:val="21"/>
          <w:szCs w:val="21"/>
          <w:highlight w:val="none"/>
        </w:rPr>
        <w:br w:type="page" w:clear="all"/>
      </w:r>
      <w:r>
        <w:rPr>
          <w:rFonts w:hint="eastAsia" w:hAnsi="宋体" w:eastAsia="宋体"/>
          <w:b/>
          <w:color w:val="auto"/>
          <w:sz w:val="21"/>
          <w:szCs w:val="21"/>
          <w:highlight w:val="none"/>
        </w:rPr>
        <w:t xml:space="preserve">格式4、分项报价表</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rPr>
        <w:t xml:space="preserve">分项报价表</w:t>
      </w:r>
      <w:r/>
    </w:p>
    <w:p>
      <w:pPr>
        <w:shd w:val="clear" w:color="auto"/>
        <w:rPr>
          <w:rFonts w:eastAsia="宋体"/>
          <w:color w:val="auto"/>
          <w:sz w:val="24"/>
          <w:szCs w:val="24"/>
          <w:highlight w:val="none"/>
        </w:rPr>
      </w:pPr>
      <w:r>
        <w:rPr>
          <w:rFonts w:eastAsia="宋体"/>
          <w:color w:val="auto"/>
          <w:sz w:val="24"/>
          <w:szCs w:val="24"/>
          <w:highlight w:val="none"/>
        </w:rPr>
      </w:r>
      <w:r/>
    </w:p>
    <w:p>
      <w:pPr>
        <w:spacing w:line="360" w:lineRule="auto"/>
        <w:shd w:val="clear" w:color="auto"/>
        <w:tabs>
          <w:tab w:val="left" w:pos="7635" w:leader="none"/>
        </w:tabs>
        <w:rPr>
          <w:rFonts w:eastAsia="宋体"/>
          <w:color w:val="auto"/>
          <w:sz w:val="21"/>
          <w:szCs w:val="21"/>
          <w:highlight w:val="none"/>
        </w:rPr>
      </w:pPr>
      <w:r>
        <w:rPr>
          <w:rFonts w:eastAsia="宋体"/>
          <w:color w:val="auto"/>
          <w:sz w:val="21"/>
          <w:szCs w:val="21"/>
          <w:highlight w:val="none"/>
          <w:lang w:val="zh-CN"/>
        </w:rPr>
        <w:t xml:space="preserve">项目编号：</w:t>
      </w:r>
      <w:r>
        <w:rPr>
          <w:rFonts w:hint="eastAsia" w:eastAsia="宋体"/>
          <w:color w:val="auto"/>
          <w:sz w:val="21"/>
          <w:szCs w:val="21"/>
          <w:highlight w:val="none"/>
          <w:lang w:val="zh-CN"/>
        </w:rPr>
        <w:t xml:space="preserve">JSZC-320508-ZCZX-G2026-0061</w:t>
      </w:r>
      <w:r>
        <w:rPr>
          <w:rFonts w:hint="eastAsia" w:eastAsia="宋体"/>
          <w:color w:val="auto"/>
          <w:sz w:val="21"/>
          <w:szCs w:val="21"/>
          <w:highlight w:val="none"/>
        </w:rPr>
        <w:t xml:space="preserve">                                   </w:t>
      </w:r>
      <w:r/>
    </w:p>
    <w:tbl>
      <w:tblPr>
        <w:tblStyle w:val="832"/>
        <w:tblW w:w="45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827"/>
        <w:gridCol w:w="1574"/>
        <w:gridCol w:w="1452"/>
        <w:gridCol w:w="1066"/>
        <w:gridCol w:w="930"/>
      </w:tblGrid>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019"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w:t>
            </w:r>
            <w:r>
              <w:rPr>
                <w:rFonts w:hint="eastAsia" w:ascii="宋体" w:hAnsi="宋体" w:eastAsia="宋体" w:cs="宋体"/>
                <w:color w:val="auto"/>
                <w:sz w:val="21"/>
                <w:szCs w:val="21"/>
                <w:highlight w:val="none"/>
              </w:rPr>
              <w:t xml:space="preserve">价（元）</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ind w:firstLine="420"/>
              <w:jc w:val="center"/>
              <w:spacing w:line="36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hd w:val="clear" w:color="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19"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trPr>
        <w:tc>
          <w:tcPr>
            <w:gridSpan w:val="5"/>
            <w:shd w:val="clear" w:color="auto" w:fill="auto"/>
            <w:tcBorders>
              <w:top w:val="single" w:color="auto" w:sz="4" w:space="0"/>
              <w:left w:val="single" w:color="auto" w:sz="4" w:space="0"/>
              <w:bottom w:val="single" w:color="auto" w:sz="4" w:space="0"/>
              <w:right w:val="single" w:color="auto" w:sz="4" w:space="0"/>
            </w:tcBorders>
            <w:tcW w:w="4397" w:type="pct"/>
            <w:vAlign w:val="center"/>
            <w:textDirection w:val="lrTb"/>
            <w:noWrap w:val="false"/>
          </w:tcPr>
          <w:p>
            <w:pPr>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rPr>
                <w:rFonts w:hint="eastAsia" w:ascii="宋体" w:hAnsi="宋体" w:eastAsia="宋体" w:cs="宋体"/>
                <w:color w:val="auto"/>
                <w:sz w:val="21"/>
                <w:szCs w:val="21"/>
                <w:highlight w:val="none"/>
              </w:rPr>
              <w:t xml:space="preserve">投标总报价</w:t>
            </w:r>
            <w:r/>
          </w:p>
        </w:tc>
        <w:tc>
          <w:tcPr>
            <w:shd w:val="clear" w:color="auto" w:fill="auto"/>
            <w:tcBorders>
              <w:top w:val="single" w:color="auto" w:sz="4" w:space="0"/>
              <w:left w:val="single" w:color="auto" w:sz="4" w:space="0"/>
              <w:bottom w:val="single" w:color="auto" w:sz="4" w:space="0"/>
              <w:right w:val="single" w:color="auto" w:sz="4" w:space="0"/>
            </w:tcBorders>
            <w:tcW w:w="602" w:type="pct"/>
            <w:textDirection w:val="lrTb"/>
            <w:noWrap w:val="false"/>
          </w:tcPr>
          <w:p>
            <w:pPr>
              <w:jc w:val="cente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center"/>
        <w:spacing w:line="360" w:lineRule="auto"/>
        <w:shd w:val="clear" w:color="auto"/>
        <w:rPr>
          <w:rFonts w:eastAsia="Arial"/>
          <w:color w:val="auto"/>
          <w:sz w:val="21"/>
          <w:szCs w:val="21"/>
          <w:highlight w:val="none"/>
        </w:rPr>
      </w:pPr>
      <w:r>
        <w:rPr>
          <w:rFonts w:eastAsia="Arial"/>
          <w:color w:val="auto"/>
          <w:sz w:val="21"/>
          <w:szCs w:val="21"/>
          <w:highlight w:val="none"/>
        </w:rPr>
      </w:r>
      <w:r/>
    </w:p>
    <w:p>
      <w:pPr>
        <w:spacing w:line="400" w:lineRule="exact"/>
        <w:shd w:val="clear" w:color="auto"/>
        <w:rPr>
          <w:rFonts w:ascii="宋体" w:hAnsi="宋体" w:eastAsia="宋体" w:cs="宋体"/>
          <w:color w:val="auto"/>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合计</w:t>
      </w:r>
      <w:r>
        <w:rPr>
          <w:rFonts w:hint="eastAsia" w:ascii="宋体" w:hAnsi="宋体" w:eastAsia="宋体" w:cs="宋体"/>
          <w:color w:val="auto"/>
          <w:sz w:val="21"/>
          <w:szCs w:val="21"/>
          <w:highlight w:val="none"/>
        </w:rPr>
        <w:t xml:space="preserve">投标总报价应与开标一览表</w:t>
      </w:r>
      <w:r>
        <w:rPr>
          <w:rFonts w:hint="eastAsia" w:ascii="宋体" w:hAnsi="宋体" w:eastAsia="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一致，否则以开标一览表为准。</w:t>
      </w:r>
      <w:r/>
    </w:p>
    <w:p>
      <w:pPr>
        <w:pStyle w:val="833"/>
        <w:ind w:firstLine="0"/>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3"/>
        <w:ind w:firstLine="0"/>
        <w:spacing w:line="360" w:lineRule="auto"/>
        <w:shd w:val="clear" w:color="auto"/>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单位名称：（加盖公章）                                    </w:t>
      </w:r>
      <w:r/>
    </w:p>
    <w:p>
      <w:pPr>
        <w:pStyle w:val="833"/>
        <w:ind w:firstLine="0"/>
        <w:spacing w:line="360" w:lineRule="auto"/>
        <w:shd w:val="clear" w:color="auto"/>
        <w:rPr>
          <w:rFonts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日期：　　　　年　　  月　　  日</w:t>
      </w:r>
      <w:r/>
    </w:p>
    <w:p>
      <w:pPr>
        <w:pStyle w:val="833"/>
        <w:ind w:firstLine="0"/>
        <w:spacing w:line="360" w:lineRule="auto"/>
        <w:shd w:val="clear" w:color="auto"/>
        <w:rPr>
          <w:rFonts w:ascii="宋体" w:hAnsi="宋体" w:eastAsia="宋体"/>
          <w:b/>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b/>
          <w:color w:val="auto"/>
          <w:sz w:val="21"/>
          <w:szCs w:val="21"/>
          <w:highlight w:val="none"/>
        </w:rPr>
        <w:t xml:space="preserve">格式5、商务偏离表</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商务偏离表</w:t>
      </w:r>
      <w:r/>
    </w:p>
    <w:p>
      <w:pPr>
        <w:jc w:val="center"/>
        <w:shd w:val="clear" w:color="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tbl>
      <w:tblPr>
        <w:tblStyle w:val="8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833"/>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项      目</w:t>
            </w:r>
            <w:r/>
          </w:p>
        </w:tc>
        <w:tc>
          <w:tcPr>
            <w:tcW w:w="2130" w:type="dxa"/>
            <w:vAlign w:val="center"/>
            <w:textDirection w:val="lrTb"/>
            <w:noWrap w:val="false"/>
          </w:tcPr>
          <w:p>
            <w:pPr>
              <w:pStyle w:val="833"/>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131" w:type="dxa"/>
            <w:vAlign w:val="center"/>
            <w:textDirection w:val="lrTb"/>
            <w:noWrap w:val="false"/>
          </w:tcPr>
          <w:p>
            <w:pPr>
              <w:pStyle w:val="833"/>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投标内容</w:t>
            </w:r>
            <w:r/>
          </w:p>
        </w:tc>
        <w:tc>
          <w:tcPr>
            <w:tcW w:w="2131" w:type="dxa"/>
            <w:vAlign w:val="center"/>
            <w:textDirection w:val="lrTb"/>
            <w:noWrap w:val="false"/>
          </w:tcPr>
          <w:p>
            <w:pPr>
              <w:pStyle w:val="833"/>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lang w:val="zh-CN"/>
              </w:rPr>
              <w:t xml:space="preserve">期限</w:t>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付款方式</w:t>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其他商务要求</w:t>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2130" w:type="dxa"/>
            <w:textDirection w:val="lrTb"/>
            <w:noWrap w:val="false"/>
          </w:tcPr>
          <w:p>
            <w:pPr>
              <w:pStyle w:val="833"/>
              <w:ind w:firstLine="0"/>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1" w:type="dxa"/>
            <w:textDirection w:val="lrTb"/>
            <w:noWrap w:val="false"/>
          </w:tcPr>
          <w:p>
            <w:pPr>
              <w:pStyle w:val="833"/>
              <w:ind w:firstLine="0"/>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33"/>
        <w:ind w:firstLine="0"/>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供应商的投标响应文件（除技术要求部分）与招标采购文件规定的有偏离的，应在此表中说明。未在上表中说明的，如在投标响应文件其他内容中已有文字说明的，则以已有文字说明为准，否则，将被认为完全响应招标采购文件的规定。</w:t>
      </w:r>
      <w:r/>
    </w:p>
    <w:p>
      <w:pPr>
        <w:pStyle w:val="833"/>
        <w:ind w:firstLine="0"/>
        <w:spacing w:line="360" w:lineRule="auto"/>
        <w:shd w:val="clear" w:color="auto"/>
        <w:rPr>
          <w:rFonts w:ascii="宋体" w:hAnsi="宋体" w:eastAsia="宋体"/>
          <w:b/>
          <w:color w:val="auto"/>
          <w:sz w:val="21"/>
          <w:szCs w:val="16"/>
          <w:highlight w:val="none"/>
        </w:rPr>
      </w:pPr>
      <w:r>
        <w:rPr>
          <w:rFonts w:ascii="宋体" w:hAnsi="宋体" w:eastAsia="宋体"/>
          <w:b/>
          <w:color w:val="auto"/>
          <w:sz w:val="21"/>
          <w:szCs w:val="16"/>
          <w:highlight w:val="none"/>
        </w:rPr>
      </w:r>
      <w:r/>
    </w:p>
    <w:p>
      <w:pPr>
        <w:pStyle w:val="833"/>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单位名称：（加盖公章）                                    </w:t>
      </w:r>
      <w:r/>
    </w:p>
    <w:p>
      <w:pPr>
        <w:pStyle w:val="833"/>
        <w:ind w:firstLine="0"/>
        <w:spacing w:line="360" w:lineRule="auto"/>
        <w:shd w:val="clear" w:color="auto"/>
        <w:rPr>
          <w:rFonts w:ascii="宋体" w:hAnsi="宋体" w:eastAsia="宋体"/>
          <w:b/>
          <w:color w:val="auto"/>
          <w:sz w:val="21"/>
          <w:szCs w:val="16"/>
          <w:highlight w:val="none"/>
        </w:rPr>
        <w:outlineLvl w:val="1"/>
      </w:pPr>
      <w:r>
        <w:rPr>
          <w:rFonts w:hint="eastAsia" w:ascii="宋体" w:hAnsi="宋体" w:eastAsia="宋体"/>
          <w:b/>
          <w:color w:val="auto"/>
          <w:sz w:val="21"/>
          <w:szCs w:val="16"/>
          <w:highlight w:val="none"/>
        </w:rPr>
        <w:t xml:space="preserve">日期：　　　　年　　  月　　  日</w:t>
      </w:r>
      <w:r/>
    </w:p>
    <w:p>
      <w:pPr>
        <w:pStyle w:val="833"/>
        <w:ind w:firstLine="0"/>
        <w:spacing w:line="360" w:lineRule="auto"/>
        <w:shd w:val="clear" w:color="auto"/>
        <w:rPr>
          <w:rFonts w:ascii="宋体" w:hAnsi="宋体" w:eastAsia="宋体"/>
          <w:b/>
          <w:color w:val="auto"/>
          <w:sz w:val="21"/>
          <w:szCs w:val="21"/>
          <w:highlight w:val="none"/>
        </w:rPr>
        <w:outlineLvl w:val="1"/>
      </w:pPr>
      <w:r>
        <w:rPr>
          <w:rFonts w:ascii="宋体" w:hAnsi="宋体" w:eastAsia="宋体"/>
          <w:b/>
          <w:color w:val="auto"/>
          <w:highlight w:val="none"/>
        </w:rPr>
        <w:br w:type="page" w:clear="all"/>
      </w:r>
      <w:r>
        <w:rPr>
          <w:rFonts w:hint="eastAsia" w:ascii="宋体" w:hAnsi="宋体" w:eastAsia="宋体"/>
          <w:b/>
          <w:color w:val="auto"/>
          <w:sz w:val="21"/>
          <w:szCs w:val="21"/>
          <w:highlight w:val="none"/>
        </w:rPr>
        <w:t xml:space="preserve">格式6、典型项目一览表</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类似项目一览表</w:t>
      </w:r>
      <w:r/>
    </w:p>
    <w:tbl>
      <w:tblPr>
        <w:tblStyle w:val="832"/>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66"/>
        <w:gridCol w:w="1308"/>
        <w:gridCol w:w="1817"/>
        <w:gridCol w:w="1447"/>
        <w:gridCol w:w="1704"/>
      </w:tblGrid>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w:t>
            </w:r>
            <w:r/>
          </w:p>
        </w:tc>
        <w:tc>
          <w:tcPr>
            <w:tcW w:w="789"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项目时间</w:t>
            </w:r>
            <w:r/>
          </w:p>
        </w:tc>
        <w:tc>
          <w:tcPr>
            <w:tcW w:w="1096"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合同金额</w:t>
            </w:r>
            <w:r/>
          </w:p>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（人民币）</w:t>
            </w:r>
            <w:r/>
          </w:p>
        </w:tc>
        <w:tc>
          <w:tcPr>
            <w:tcW w:w="873" w:type="dxa"/>
            <w:vAlign w:val="center"/>
            <w:textDirection w:val="lrTb"/>
            <w:noWrap w:val="false"/>
          </w:tcPr>
          <w:p>
            <w:pPr>
              <w:jc w:val="center"/>
              <w:spacing w:line="360" w:lineRule="auto"/>
              <w:shd w:val="clear" w:color="auto"/>
              <w:tabs>
                <w:tab w:val="left" w:pos="6252"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业主单位</w:t>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385"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24"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9" w:type="dxa"/>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96"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73"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028" w:type="dxa"/>
            <w:vAlign w:val="center"/>
            <w:textDirection w:val="lrTb"/>
            <w:noWrap w:val="false"/>
          </w:tcPr>
          <w:p>
            <w:pPr>
              <w:jc w:val="cente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单位名称：（加盖公章）                                    </w:t>
      </w:r>
      <w:r/>
    </w:p>
    <w:p>
      <w:pPr>
        <w:spacing w:line="360" w:lineRule="auto"/>
        <w:shd w:val="clear" w:color="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日期：　　　　年　　  月　　  日</w:t>
      </w:r>
      <w:r/>
    </w:p>
    <w:p>
      <w:pP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48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 </w:t>
      </w:r>
      <w:r/>
    </w:p>
    <w:p>
      <w:pPr>
        <w:jc w:val="left"/>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pacing w:line="360" w:lineRule="auto"/>
        <w:shd w:val="clear" w:color="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78"/>
        <w:ind w:firstLine="560"/>
        <w:shd w:val="clear" w:color="auto"/>
        <w:rPr>
          <w:color w:val="auto"/>
          <w:highlight w:val="none"/>
        </w:rPr>
      </w:pPr>
      <w:r>
        <w:rPr>
          <w:color w:val="auto"/>
          <w:highlight w:val="none"/>
        </w:rPr>
      </w:r>
      <w:r/>
    </w:p>
    <w:p>
      <w:pPr>
        <w:pStyle w:val="1256"/>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br w:type="page" w:clear="all"/>
      </w:r>
      <w:r>
        <w:rPr>
          <w:rFonts w:hAnsi="宋体" w:eastAsia="宋体"/>
          <w:b/>
          <w:color w:val="auto"/>
          <w:sz w:val="21"/>
          <w:szCs w:val="21"/>
          <w:highlight w:val="none"/>
        </w:rPr>
        <w:t xml:space="preserve">格式7、</w:t>
      </w:r>
      <w:r>
        <w:rPr>
          <w:rFonts w:hAnsi="宋体" w:eastAsia="宋体"/>
          <w:b/>
          <w:color w:val="auto"/>
          <w:sz w:val="21"/>
          <w:szCs w:val="21"/>
          <w:highlight w:val="none"/>
          <w:lang w:val="zh-CN"/>
        </w:rPr>
        <w:t xml:space="preserve">技术要求偏离表</w:t>
      </w:r>
      <w:r/>
    </w:p>
    <w:p>
      <w:pPr>
        <w:ind w:firstLine="420"/>
        <w:shd w:val="clear" w:color="auto"/>
        <w:rPr>
          <w:rFonts w:eastAsia="宋体"/>
          <w:color w:val="auto"/>
          <w:sz w:val="21"/>
          <w:szCs w:val="21"/>
          <w:highlight w:val="none"/>
        </w:rPr>
      </w:pPr>
      <w:r>
        <w:rPr>
          <w:rFonts w:eastAsia="宋体"/>
          <w:color w:val="auto"/>
          <w:sz w:val="21"/>
          <w:szCs w:val="21"/>
          <w:highlight w:val="none"/>
        </w:rPr>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技术要求偏离表</w:t>
      </w:r>
      <w:r/>
    </w:p>
    <w:p>
      <w:pP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p>
    <w:tbl>
      <w:tblPr>
        <w:tblStyle w:val="832"/>
        <w:tblW w:w="4997"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4"/>
        <w:gridCol w:w="1637"/>
      </w:tblGrid>
      <w:tr>
        <w:trPr>
          <w:jc w:val="center"/>
        </w:trPr>
        <w:tc>
          <w:tcPr>
            <w:tcW w:w="452" w:type="dxa"/>
            <w:vAlign w:val="center"/>
            <w:textDirection w:val="lrTb"/>
            <w:noWrap w:val="false"/>
          </w:tcPr>
          <w:p>
            <w:pPr>
              <w:jc w:val="center"/>
              <w:spacing w:before="240" w:after="240"/>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984"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885"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787"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投标要求</w:t>
            </w:r>
            <w:r/>
          </w:p>
        </w:tc>
        <w:tc>
          <w:tcPr>
            <w:tcW w:w="929"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偏离/响应</w:t>
            </w:r>
            <w:r/>
          </w:p>
        </w:tc>
        <w:tc>
          <w:tcPr>
            <w:tcW w:w="960" w:type="dxa"/>
            <w:vAlign w:val="center"/>
            <w:textDirection w:val="lrTb"/>
            <w:noWrap w:val="false"/>
          </w:tcPr>
          <w:p>
            <w:pPr>
              <w:jc w:val="center"/>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w:t>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452" w:type="dxa"/>
            <w:textDirection w:val="lrTb"/>
            <w:noWrap w:val="false"/>
          </w:tcPr>
          <w:p>
            <w:pPr>
              <w:spacing w:before="240" w:after="240"/>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84"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885"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787"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29"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960" w:type="dxa"/>
            <w:textDirection w:val="lrTb"/>
            <w:noWrap w:val="false"/>
          </w:tcPr>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ind w:right="451"/>
        <w:shd w:val="clear" w:color="auto"/>
        <w:rPr>
          <w:rFonts w:eastAsia="宋体"/>
          <w:b/>
          <w:color w:val="auto"/>
          <w:sz w:val="21"/>
          <w:szCs w:val="22"/>
          <w:highlight w:val="none"/>
        </w:rPr>
      </w:pPr>
      <w:r>
        <w:rPr>
          <w:rFonts w:eastAsia="宋体"/>
          <w:color w:val="auto"/>
          <w:sz w:val="21"/>
          <w:szCs w:val="22"/>
          <w:highlight w:val="none"/>
        </w:rPr>
        <w:br w:type="textWrapping" w:clear="all"/>
      </w:r>
      <w:r>
        <w:rPr>
          <w:rFonts w:eastAsia="宋体"/>
          <w:color w:val="auto"/>
          <w:sz w:val="21"/>
          <w:szCs w:val="22"/>
          <w:highlight w:val="none"/>
        </w:rPr>
        <w:br w:type="textWrapping" w:clear="all"/>
      </w:r>
      <w:r/>
    </w:p>
    <w:p>
      <w:pPr>
        <w:pStyle w:val="843"/>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43"/>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256"/>
        <w:spacing w:line="360" w:lineRule="auto"/>
        <w:shd w:val="clear" w:color="auto"/>
        <w:rPr>
          <w:rFonts w:hint="default" w:ascii="Times New Roman" w:hAnsi="宋体" w:eastAsia="宋体"/>
          <w:bCs/>
          <w:color w:val="auto"/>
          <w:sz w:val="21"/>
          <w:szCs w:val="21"/>
          <w:highlight w:val="none"/>
        </w:rPr>
      </w:pPr>
      <w:r>
        <w:rPr>
          <w:rFonts w:ascii="Times New Roman" w:hAnsi="宋体" w:eastAsia="宋体"/>
          <w:bCs/>
          <w:color w:val="auto"/>
          <w:sz w:val="21"/>
          <w:szCs w:val="21"/>
          <w:highlight w:val="none"/>
        </w:rPr>
        <w:t xml:space="preserve">单位名称：（加盖公章）                                    </w:t>
      </w:r>
      <w:r/>
    </w:p>
    <w:p>
      <w:pPr>
        <w:pStyle w:val="1256"/>
        <w:spacing w:line="360" w:lineRule="auto"/>
        <w:shd w:val="clear" w:color="auto"/>
        <w:rPr>
          <w:rFonts w:hint="default" w:ascii="Times New Roman" w:hAnsi="宋体" w:eastAsia="宋体"/>
          <w:bCs/>
          <w:color w:val="auto"/>
          <w:sz w:val="21"/>
          <w:szCs w:val="21"/>
          <w:highlight w:val="none"/>
        </w:rPr>
      </w:pPr>
      <w:r>
        <w:rPr>
          <w:rFonts w:ascii="Times New Roman" w:hAnsi="宋体" w:eastAsia="宋体"/>
          <w:bCs/>
          <w:color w:val="auto"/>
          <w:sz w:val="21"/>
          <w:szCs w:val="21"/>
          <w:highlight w:val="none"/>
        </w:rPr>
        <w:t xml:space="preserve">日期：　　　　年　　  月　　  日</w:t>
      </w:r>
      <w:r/>
    </w:p>
    <w:p>
      <w:pPr>
        <w:pStyle w:val="1256"/>
        <w:spacing w:line="360" w:lineRule="auto"/>
        <w:shd w:val="clear" w:color="auto"/>
        <w:rPr>
          <w:rFonts w:hint="default" w:hAnsi="宋体" w:eastAsia="宋体" w:cs="宋体"/>
          <w:bCs/>
          <w:color w:val="auto"/>
          <w:sz w:val="21"/>
          <w:szCs w:val="21"/>
          <w:highlight w:val="none"/>
        </w:rPr>
      </w:pPr>
      <w:r>
        <w:rPr>
          <w:rFonts w:hint="default" w:hAnsi="宋体" w:eastAsia="宋体" w:cs="宋体"/>
          <w:bCs/>
          <w:color w:val="auto"/>
          <w:sz w:val="21"/>
          <w:szCs w:val="21"/>
          <w:highlight w:val="none"/>
        </w:rPr>
      </w:r>
      <w:r/>
    </w:p>
    <w:p>
      <w:pPr>
        <w:pStyle w:val="842"/>
        <w:ind w:firstLine="0"/>
        <w:jc w:val="left"/>
        <w:spacing w:after="360"/>
        <w:shd w:val="clear" w:color="auto"/>
        <w:rPr>
          <w:rFonts w:hAnsi="宋体"/>
          <w:b/>
          <w:color w:val="auto"/>
          <w:sz w:val="21"/>
          <w:szCs w:val="21"/>
          <w:highlight w:val="none"/>
        </w:rPr>
      </w:pPr>
      <w:r>
        <w:rPr>
          <w:rFonts w:hAnsi="宋体"/>
          <w:bCs/>
          <w:color w:val="auto"/>
          <w:sz w:val="21"/>
          <w:szCs w:val="21"/>
          <w:highlight w:val="none"/>
        </w:rPr>
        <w:br w:type="page" w:clear="all"/>
      </w:r>
      <w:r>
        <w:rPr>
          <w:rFonts w:hint="eastAsia" w:hAnsi="宋体"/>
          <w:b/>
          <w:color w:val="auto"/>
          <w:sz w:val="21"/>
          <w:szCs w:val="21"/>
          <w:highlight w:val="none"/>
        </w:rPr>
        <w:t xml:space="preserve">格式8、投标货物和服务数量、品牌、规格、生产厂家明细表</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投标货物和服务数量、品牌、规格、生产厂家明细表</w:t>
      </w:r>
      <w:r/>
    </w:p>
    <w:p>
      <w:pPr>
        <w:jc w:val="left"/>
        <w:spacing w:after="360"/>
        <w:shd w:val="clear" w:color="auto"/>
        <w:rPr>
          <w:rFonts w:eastAsia="Arial"/>
          <w:b/>
          <w:color w:val="auto"/>
          <w:sz w:val="21"/>
          <w:szCs w:val="21"/>
          <w:highlight w:val="none"/>
        </w:rPr>
      </w:pPr>
      <w:r>
        <w:rPr>
          <w:rFonts w:hint="eastAsia" w:ascii="宋体" w:hAnsi="宋体" w:eastAsia="宋体" w:cs="宋体"/>
          <w:color w:val="auto"/>
          <w:sz w:val="21"/>
          <w:szCs w:val="21"/>
          <w:highlight w:val="none"/>
          <w:lang w:val="zh-CN"/>
        </w:rPr>
        <w:t xml:space="preserve">项目编号：JSZC-320508-ZCZX-G2026-0061</w:t>
      </w:r>
      <w:r/>
    </w:p>
    <w:tbl>
      <w:tblPr>
        <w:tblStyle w:val="832"/>
        <w:tblW w:w="8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W w:w="672"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序号</w:t>
            </w:r>
            <w:r/>
          </w:p>
        </w:tc>
        <w:tc>
          <w:tcPr>
            <w:tcW w:w="998"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标的物名称</w:t>
            </w:r>
            <w:r/>
          </w:p>
        </w:tc>
        <w:tc>
          <w:tcPr>
            <w:tcW w:w="1696"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规格/型号</w:t>
            </w:r>
            <w:r/>
          </w:p>
        </w:tc>
        <w:tc>
          <w:tcPr>
            <w:tcW w:w="1276"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品牌</w:t>
            </w:r>
            <w:r/>
          </w:p>
        </w:tc>
        <w:tc>
          <w:tcPr>
            <w:tcW w:w="1984"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生产厂家</w:t>
            </w:r>
            <w:r/>
          </w:p>
        </w:tc>
        <w:tc>
          <w:tcPr>
            <w:tcW w:w="851"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单位</w:t>
            </w:r>
            <w:r/>
          </w:p>
        </w:tc>
        <w:tc>
          <w:tcPr>
            <w:tcW w:w="850" w:type="dxa"/>
            <w:vAlign w:val="center"/>
            <w:textDirection w:val="lrTb"/>
            <w:noWrap w:val="false"/>
          </w:tcPr>
          <w:p>
            <w:pPr>
              <w:jc w:val="center"/>
              <w:shd w:val="clear" w:color="auto"/>
              <w:rPr>
                <w:rFonts w:eastAsia="宋体"/>
                <w:color w:val="auto"/>
                <w:spacing w:val="20"/>
                <w:sz w:val="21"/>
                <w:szCs w:val="24"/>
                <w:highlight w:val="none"/>
              </w:rPr>
            </w:pPr>
            <w:r>
              <w:rPr>
                <w:rFonts w:eastAsia="宋体"/>
                <w:color w:val="auto"/>
                <w:spacing w:val="20"/>
                <w:sz w:val="21"/>
                <w:szCs w:val="24"/>
                <w:highlight w:val="none"/>
              </w:rPr>
              <w:t xml:space="preserve">数量</w:t>
            </w:r>
            <w:r/>
          </w:p>
        </w:tc>
      </w:tr>
      <w:tr>
        <w:trPr>
          <w:jc w:val="center"/>
          <w:trHeight w:val="361"/>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316"/>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316"/>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r>
        <w:trPr>
          <w:jc w:val="center"/>
          <w:trHeight w:val="222"/>
        </w:trPr>
        <w:tc>
          <w:tcPr>
            <w:tcW w:w="672"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998"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696" w:type="dxa"/>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276"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1984"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1"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c>
          <w:tcPr>
            <w:tcW w:w="850" w:type="dxa"/>
            <w:vAlign w:val="center"/>
            <w:textDirection w:val="lrTb"/>
            <w:noWrap w:val="false"/>
          </w:tcPr>
          <w:p>
            <w:pPr>
              <w:jc w:val="center"/>
              <w:spacing w:line="360" w:lineRule="auto"/>
              <w:shd w:val="clear" w:color="auto"/>
              <w:rPr>
                <w:rFonts w:eastAsia="宋体"/>
                <w:color w:val="auto"/>
                <w:spacing w:val="20"/>
                <w:sz w:val="21"/>
                <w:szCs w:val="24"/>
                <w:highlight w:val="none"/>
              </w:rPr>
            </w:pPr>
            <w:r>
              <w:rPr>
                <w:rFonts w:eastAsia="宋体"/>
                <w:color w:val="auto"/>
                <w:spacing w:val="20"/>
                <w:sz w:val="21"/>
                <w:szCs w:val="24"/>
                <w:highlight w:val="none"/>
              </w:rPr>
            </w:r>
            <w:r/>
          </w:p>
        </w:tc>
      </w:tr>
    </w:tbl>
    <w:p>
      <w:pPr>
        <w:spacing w:line="400" w:lineRule="exact"/>
        <w:shd w:val="clear" w:color="auto"/>
        <w:rPr>
          <w:rFonts w:eastAsia="宋体"/>
          <w:b/>
          <w:color w:val="auto"/>
          <w:sz w:val="21"/>
          <w:szCs w:val="21"/>
          <w:highlight w:val="none"/>
        </w:rPr>
      </w:pPr>
      <w:r>
        <w:rPr>
          <w:rFonts w:eastAsia="宋体"/>
          <w:b/>
          <w:color w:val="auto"/>
          <w:sz w:val="21"/>
          <w:szCs w:val="21"/>
          <w:highlight w:val="none"/>
        </w:rPr>
      </w:r>
      <w:r/>
    </w:p>
    <w:p>
      <w:pPr>
        <w:shd w:val="clear" w:color="auto"/>
        <w:rPr>
          <w:rFonts w:eastAsia="宋体"/>
          <w:b/>
          <w:bCs/>
          <w:color w:val="auto"/>
          <w:sz w:val="32"/>
          <w:szCs w:val="32"/>
          <w:highlight w:val="none"/>
        </w:rPr>
      </w:pPr>
      <w:r>
        <w:rPr>
          <w:rFonts w:eastAsia="宋体"/>
          <w:b/>
          <w:bCs/>
          <w:color w:val="auto"/>
          <w:sz w:val="32"/>
          <w:szCs w:val="32"/>
          <w:highlight w:val="none"/>
        </w:rPr>
      </w:r>
      <w:r/>
    </w:p>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hAnsi="宋体" w:eastAsia="宋体"/>
          <w:bCs/>
          <w:color w:val="auto"/>
          <w:sz w:val="21"/>
          <w:szCs w:val="21"/>
          <w:highlight w:val="none"/>
        </w:rPr>
      </w:pPr>
      <w:r>
        <w:rPr>
          <w:rFonts w:hint="eastAsia" w:hAnsi="宋体" w:eastAsia="宋体"/>
          <w:bCs/>
          <w:color w:val="auto"/>
          <w:sz w:val="21"/>
          <w:szCs w:val="21"/>
          <w:highlight w:val="none"/>
        </w:rPr>
        <w:t xml:space="preserve">单位名称：（加盖公章）                                    </w:t>
      </w:r>
      <w:r/>
    </w:p>
    <w:p>
      <w:pPr>
        <w:spacing w:line="360" w:lineRule="auto"/>
        <w:shd w:val="clear" w:color="auto"/>
        <w:rPr>
          <w:rFonts w:hAnsi="宋体" w:eastAsia="宋体"/>
          <w:bCs/>
          <w:color w:val="auto"/>
          <w:sz w:val="21"/>
          <w:szCs w:val="21"/>
          <w:highlight w:val="none"/>
        </w:rPr>
      </w:pPr>
      <w:r>
        <w:rPr>
          <w:rFonts w:hint="eastAsia" w:hAnsi="宋体" w:eastAsia="宋体"/>
          <w:bCs/>
          <w:color w:val="auto"/>
          <w:sz w:val="21"/>
          <w:szCs w:val="21"/>
          <w:highlight w:val="none"/>
        </w:rPr>
        <w:t xml:space="preserve">日期：　　　　年　　  月　　  日</w:t>
      </w:r>
      <w:r/>
    </w:p>
    <w:p>
      <w:pPr>
        <w:pStyle w:val="1256"/>
        <w:spacing w:line="360" w:lineRule="auto"/>
        <w:shd w:val="clear" w:color="auto"/>
        <w:rPr>
          <w:rFonts w:hint="default" w:hAnsi="宋体" w:eastAsia="宋体"/>
          <w:bCs/>
          <w:color w:val="auto"/>
          <w:sz w:val="21"/>
          <w:szCs w:val="21"/>
          <w:highlight w:val="none"/>
        </w:rPr>
        <w:sectPr>
          <w:headerReference w:type="default" r:id="rId11"/>
          <w:headerReference w:type="even" r:id="rId12"/>
          <w:headerReference w:type="first" r:id="rId13"/>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titlePg/>
        </w:sectPr>
      </w:pPr>
      <w:r>
        <w:rPr>
          <w:rFonts w:hint="default" w:hAnsi="宋体" w:eastAsia="宋体"/>
          <w:bCs/>
          <w:color w:val="auto"/>
          <w:sz w:val="21"/>
          <w:szCs w:val="21"/>
          <w:highlight w:val="none"/>
        </w:rPr>
      </w:r>
      <w:r/>
    </w:p>
    <w:p>
      <w:pPr>
        <w:pStyle w:val="1256"/>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t xml:space="preserve">格式9、资格证明文件</w:t>
      </w:r>
      <w:r/>
    </w:p>
    <w:p>
      <w:pPr>
        <w:spacing w:line="360" w:lineRule="auto"/>
        <w:shd w:val="clear" w:color="auto"/>
        <w:rPr>
          <w:rFonts w:ascii="宋体" w:hAnsi="宋体" w:eastAsia="宋体"/>
          <w:bCs/>
          <w:color w:val="auto"/>
          <w:sz w:val="21"/>
          <w:szCs w:val="21"/>
          <w:highlight w:val="none"/>
        </w:rPr>
        <w:outlineLvl w:val="2"/>
      </w:pPr>
      <w:r>
        <w:rPr>
          <w:rFonts w:ascii="宋体" w:hAnsi="宋体" w:eastAsia="宋体" w:cs="宋体"/>
          <w:bCs/>
          <w:color w:val="auto"/>
          <w:sz w:val="21"/>
          <w:szCs w:val="21"/>
          <w:highlight w:val="none"/>
          <w:lang w:val="zh-CN"/>
        </w:rPr>
        <w:t xml:space="preserve"> (1)</w:t>
      </w:r>
      <w:r>
        <w:rPr>
          <w:rFonts w:hint="eastAsia" w:ascii="宋体" w:hAnsi="宋体" w:eastAsia="宋体" w:cs="宋体"/>
          <w:bCs/>
          <w:color w:val="auto"/>
          <w:sz w:val="21"/>
          <w:szCs w:val="21"/>
          <w:highlight w:val="none"/>
          <w:lang w:val="zh-CN"/>
        </w:rPr>
        <w:t xml:space="preserve">关于资格文件的声明函</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关于资格文件的声明函</w:t>
      </w:r>
      <w:r/>
    </w:p>
    <w:p>
      <w:pPr>
        <w:ind w:firstLine="425"/>
        <w:jc w:val="center"/>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shd w:val="clear" w:color="auto"/>
        <w:rPr>
          <w:rFonts w:ascii="宋体" w:hAnsi="宋体" w:eastAsia="宋体"/>
          <w:color w:val="auto"/>
          <w:sz w:val="21"/>
          <w:szCs w:val="21"/>
          <w:highlight w:val="none"/>
        </w:rPr>
      </w:pP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shd w:val="clear" w:color="auto"/>
        <w:rPr>
          <w:rFonts w:ascii="宋体" w:hAnsi="宋体" w:eastAsia="宋体"/>
          <w:color w:val="auto"/>
          <w:sz w:val="21"/>
          <w:szCs w:val="21"/>
          <w:highlight w:val="none"/>
        </w:rPr>
      </w:pPr>
      <w:r>
        <w:rPr>
          <w:rFonts w:hint="eastAsia" w:ascii="宋体" w:hAnsi="宋体" w:eastAsia="宋体" w:cs="宋体"/>
          <w:color w:val="auto"/>
          <w:sz w:val="21"/>
          <w:szCs w:val="21"/>
          <w:highlight w:val="none"/>
          <w:lang w:val="zh-CN"/>
        </w:rPr>
        <w:t xml:space="preserve">本公司愿就由贵公司组织实施的编号为</w:t>
      </w: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zh-CN"/>
        </w:rPr>
        <w:t xml:space="preserve">JSZC-320508-ZCZX-G2026-0061</w:t>
      </w:r>
      <w:r>
        <w:rPr>
          <w:rFonts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单位名称：（加盖公章）                                    </w:t>
      </w:r>
      <w:r/>
    </w:p>
    <w:p>
      <w:pPr>
        <w:ind w:firstLine="425"/>
        <w:spacing w:line="360" w:lineRule="auto"/>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5"/>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p>
    <w:p>
      <w:pPr>
        <w:ind w:firstLine="3675"/>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33"/>
        <w:ind w:firstLine="0"/>
        <w:spacing w:line="360" w:lineRule="auto"/>
        <w:shd w:val="clear" w:color="auto"/>
        <w:rPr>
          <w:rFonts w:ascii="宋体" w:hAnsi="宋体" w:eastAsia="宋体" w:cs="宋体"/>
          <w:bCs/>
          <w:color w:val="auto"/>
          <w:sz w:val="21"/>
          <w:szCs w:val="21"/>
          <w:highlight w:val="none"/>
        </w:rPr>
        <w:outlineLvl w:val="2"/>
      </w:pPr>
      <w:r>
        <w:rPr>
          <w:rFonts w:ascii="宋体" w:hAnsi="宋体" w:eastAsia="宋体" w:cs="宋体"/>
          <w:color w:val="auto"/>
          <w:sz w:val="21"/>
          <w:szCs w:val="21"/>
          <w:highlight w:val="none"/>
        </w:rPr>
        <w:br w:type="page" w:clear="all"/>
      </w:r>
      <w:r>
        <w:rPr>
          <w:rFonts w:ascii="宋体" w:hAnsi="宋体" w:eastAsia="宋体" w:cs="宋体"/>
          <w:bCs/>
          <w:color w:val="auto"/>
          <w:sz w:val="21"/>
          <w:szCs w:val="21"/>
          <w:highlight w:val="none"/>
          <w:lang w:val="zh-CN"/>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投标单位情况表</w:t>
      </w:r>
      <w:r/>
    </w:p>
    <w:p>
      <w:pPr>
        <w:pStyle w:val="1256"/>
        <w:jc w:val="center"/>
        <w:spacing w:line="360" w:lineRule="auto"/>
        <w:shd w:val="clear" w:color="auto"/>
        <w:rPr>
          <w:rFonts w:hint="default" w:ascii="黑体" w:hAnsi="Times New Roman" w:eastAsia="黑体"/>
          <w:b/>
          <w:color w:val="auto"/>
          <w:sz w:val="30"/>
          <w:szCs w:val="30"/>
          <w:highlight w:val="none"/>
        </w:rPr>
      </w:pPr>
      <w:r>
        <w:rPr>
          <w:rFonts w:ascii="黑体" w:hAnsi="Times New Roman" w:eastAsia="黑体"/>
          <w:b/>
          <w:color w:val="auto"/>
          <w:sz w:val="30"/>
          <w:szCs w:val="30"/>
          <w:highlight w:val="none"/>
          <w:lang w:val="zh-CN"/>
        </w:rPr>
        <w:t xml:space="preserve">投标单位情况表</w:t>
      </w:r>
      <w:r/>
    </w:p>
    <w:tbl>
      <w:tblPr>
        <w:tblStyle w:val="83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694"/>
        <w:gridCol w:w="570"/>
        <w:gridCol w:w="1905"/>
      </w:tblGrid>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3"/>
            <w:tcW w:w="2071"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15"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475"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W w:w="5961"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81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本地代表处地址</w:t>
            </w:r>
            <w:r/>
          </w:p>
        </w:tc>
        <w:tc>
          <w:tcPr>
            <w:gridSpan w:val="7"/>
            <w:tcW w:w="5961"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W w:w="316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W w:w="316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819"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注册地</w:t>
            </w:r>
            <w:r/>
          </w:p>
        </w:tc>
        <w:tc>
          <w:tcPr>
            <w:gridSpan w:val="2"/>
            <w:tcW w:w="163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注册年份</w:t>
            </w:r>
            <w:r/>
          </w:p>
        </w:tc>
        <w:tc>
          <w:tcPr>
            <w:gridSpan w:val="3"/>
            <w:tcW w:w="3169" w:type="dxa"/>
            <w:vAlign w:val="center"/>
            <w:textDirection w:val="lrTb"/>
            <w:noWrap w:val="false"/>
          </w:tcPr>
          <w:p>
            <w:pPr>
              <w:ind w:left="437"/>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819"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单位职工人数</w:t>
            </w:r>
            <w:r/>
          </w:p>
        </w:tc>
        <w:tc>
          <w:tcPr>
            <w:gridSpan w:val="2"/>
            <w:tcW w:w="1638" w:type="dxa"/>
            <w:vAlign w:val="center"/>
            <w:textDirection w:val="lrTb"/>
            <w:noWrap w:val="false"/>
          </w:tcPr>
          <w:p>
            <w:pPr>
              <w:ind w:firstLine="2160"/>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W w:w="2418"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W w:w="1905" w:type="dxa"/>
            <w:vAlign w:val="center"/>
            <w:textDirection w:val="lrTb"/>
            <w:noWrap w:val="false"/>
          </w:tcPr>
          <w:p>
            <w:pPr>
              <w:ind w:left="1112"/>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cantSplit/>
          <w:trHeight w:val="645"/>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办公场所的面积：</w:t>
            </w:r>
            <w:r/>
          </w:p>
        </w:tc>
      </w:tr>
      <w:tr>
        <w:trPr>
          <w:trHeight w:val="1767"/>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w:t>
            </w:r>
            <w:r/>
          </w:p>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w:t>
            </w:r>
            <w:r/>
          </w:p>
        </w:tc>
      </w:tr>
      <w:tr>
        <w:trPr>
          <w:trHeight w:val="593"/>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189"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最近</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年内在经营过程中受到何种奖励或处分</w:t>
            </w:r>
            <w:r/>
          </w:p>
        </w:tc>
        <w:tc>
          <w:tcPr>
            <w:gridSpan w:val="6"/>
            <w:tcW w:w="5591"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189"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5591" w:type="dxa"/>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8"/>
            <w:tcW w:w="7780" w:type="dxa"/>
            <w:vAlign w:val="center"/>
            <w:textDirection w:val="lrTb"/>
            <w:noWrap w:val="false"/>
          </w:tcPr>
          <w:p>
            <w:pPr>
              <w:spacing w:line="320" w:lineRule="exact"/>
              <w:shd w:val="clear" w:color="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842"/>
        <w:shd w:val="clear" w:color="auto"/>
        <w:rPr>
          <w:rFonts w:hAnsi="宋体"/>
          <w:color w:val="auto"/>
          <w:sz w:val="21"/>
          <w:szCs w:val="21"/>
          <w:highlight w:val="none"/>
          <w:u w:val="single"/>
        </w:rPr>
      </w:pPr>
      <w:r>
        <w:rPr>
          <w:rFonts w:hAnsi="宋体"/>
          <w:color w:val="auto"/>
          <w:sz w:val="21"/>
          <w:szCs w:val="21"/>
          <w:highlight w:val="none"/>
          <w:u w:val="singl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单位名称：（加盖公章）                                    </w:t>
      </w:r>
      <w:r/>
    </w:p>
    <w:p>
      <w:pPr>
        <w:jc w:val="lef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年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lang w:val="zh-CN"/>
        </w:rPr>
        <w:br w:type="page" w:clear="all"/>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参加政府采购活动前3年内在经营活动中没有重大违法记录的声明</w:t>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参加政府采购活动前3年内在经营活动中没有重大违法记录的声明</w:t>
      </w:r>
      <w:r/>
    </w:p>
    <w:p>
      <w:pPr>
        <w:jc w:val="center"/>
        <w:spacing w:line="360" w:lineRule="auto"/>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我单位</w:t>
      </w:r>
      <w:r>
        <w:rPr>
          <w:rFonts w:eastAsia="Arial"/>
          <w:color w:val="auto"/>
          <w:sz w:val="21"/>
          <w:szCs w:val="21"/>
          <w:highlight w:val="none"/>
          <w:u w:val="single"/>
        </w:rPr>
        <w:t xml:space="preserve">（投标人名称）</w:t>
      </w:r>
      <w:r>
        <w:rPr>
          <w:rFonts w:eastAsia="Arial"/>
          <w:color w:val="auto"/>
          <w:sz w:val="21"/>
          <w:szCs w:val="21"/>
          <w:highlight w:val="none"/>
        </w:rPr>
        <w:t xml:space="preserve">在参加政府采购活动前三年内，没有重大违法记录，特此声明。</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若采购代理机构在本项目采购过程中发现我单位近三年内在经营活动中有重大违法记录，我单位将无条件退出本项目的投标，并承担因此引起的一起后果。</w:t>
      </w:r>
      <w:r/>
    </w:p>
    <w:p>
      <w:pPr>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单位名称：（加盖公章）  </w:t>
      </w:r>
      <w:r/>
    </w:p>
    <w:p>
      <w:pPr>
        <w:jc w:val="center"/>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hd w:val="clear" w:color="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jc w:val="righ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年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righ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(4)具有履行合同所必须的设备和专业技术能力的声明函</w:t>
      </w:r>
      <w:r/>
    </w:p>
    <w:p>
      <w:pPr>
        <w:jc w:val="center"/>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400" w:lineRule="exact"/>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具有履行合同所必须的设备和专业技术能力的声明函</w:t>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w:t>
      </w:r>
      <w:r/>
    </w:p>
    <w:p>
      <w:pPr>
        <w:ind w:firstLine="44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w:t>
      </w:r>
      <w:r/>
    </w:p>
    <w:p>
      <w:pPr>
        <w:ind w:firstLine="44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单位名称：（加盖公章）  </w:t>
      </w:r>
      <w:r/>
    </w:p>
    <w:p>
      <w:pPr>
        <w:jc w:val="center"/>
        <w:spacing w:line="360" w:lineRule="auto"/>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cente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jc w:val="right"/>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　　　　年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right"/>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42"/>
        <w:shd w:val="clear" w:color="auto"/>
        <w:rPr>
          <w:color w:val="auto"/>
          <w:highlight w:val="none"/>
        </w:rPr>
      </w:pPr>
      <w:r>
        <w:rPr>
          <w:color w:val="auto"/>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hd w:val="clear" w:color="auto"/>
        <w:widowControl/>
        <w:rPr>
          <w:rFonts w:ascii="宋体" w:hAnsi="宋体" w:eastAsia="宋体"/>
          <w:color w:val="auto"/>
          <w:sz w:val="21"/>
          <w:szCs w:val="21"/>
          <w:highlight w:val="none"/>
        </w:rPr>
        <w:outlineLvl w:val="2"/>
      </w:pPr>
      <w:r>
        <w:rPr>
          <w:rFonts w:ascii="宋体" w:hAnsi="宋体" w:eastAsia="宋体" w:cs="宋体"/>
          <w:color w:val="auto"/>
          <w:sz w:val="21"/>
          <w:szCs w:val="21"/>
          <w:highlight w:val="none"/>
        </w:rPr>
        <w:br w:type="page" w:clear="all"/>
      </w:r>
      <w:r>
        <w:rPr>
          <w:rFonts w:ascii="宋体" w:hAnsi="宋体" w:eastAsia="宋体" w:cs="宋体"/>
          <w:bCs/>
          <w:color w:val="auto"/>
          <w:sz w:val="21"/>
          <w:szCs w:val="21"/>
          <w:highlight w:val="none"/>
          <w:lang w:val="zh-CN"/>
        </w:rPr>
        <w:t xml:space="preserve">(</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投标人与其他单位存在控股、管理关系情况表</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投标人与其他单位存在控股、管理关系情况表</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bl>
      <w:tblPr>
        <w:tblStyle w:val="8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594" w:type="dxa"/>
            <w:vAlign w:val="center"/>
            <w:textDirection w:val="lrTb"/>
            <w:noWrap w:val="false"/>
          </w:tcPr>
          <w:p>
            <w:pPr>
              <w:jc w:val="center"/>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jc w:val="left"/>
        <w:shd w:val="clear" w:color="auto"/>
        <w:widowControl/>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rPr>
        <w:t xml:space="preserve">注：投标单位应当按实填写所有与之有控股、管理关系的情况</w:t>
      </w:r>
      <w:r>
        <w:rPr>
          <w:rFonts w:hint="eastAsia" w:ascii="宋体" w:hAnsi="宋体" w:eastAsia="宋体"/>
          <w:b/>
          <w:color w:val="auto"/>
          <w:sz w:val="21"/>
          <w:szCs w:val="21"/>
          <w:highlight w:val="none"/>
          <w:lang w:eastAsia="zh-CN"/>
        </w:rPr>
        <w:t xml:space="preserve">。</w:t>
      </w:r>
      <w:r/>
    </w:p>
    <w:p>
      <w:pPr>
        <w:jc w:val="left"/>
        <w:shd w:val="clear" w:color="auto"/>
        <w:widowControl/>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1256"/>
        <w:spacing w:line="360" w:lineRule="auto"/>
        <w:shd w:val="clear" w:color="auto"/>
        <w:rPr>
          <w:rFonts w:hint="default" w:hAnsi="宋体" w:eastAsia="宋体"/>
          <w:b/>
          <w:bCs/>
          <w:color w:val="auto"/>
          <w:sz w:val="21"/>
          <w:szCs w:val="21"/>
          <w:highlight w:val="none"/>
        </w:rPr>
      </w:pPr>
      <w:r>
        <w:rPr>
          <w:rFonts w:hint="default" w:hAnsi="宋体" w:eastAsia="宋体"/>
          <w:b/>
          <w:bCs/>
          <w:color w:val="auto"/>
          <w:sz w:val="21"/>
          <w:szCs w:val="21"/>
          <w:highlight w:val="none"/>
        </w:rPr>
      </w:r>
      <w:r/>
    </w:p>
    <w:p>
      <w:pPr>
        <w:pStyle w:val="1256"/>
        <w:spacing w:line="360" w:lineRule="auto"/>
        <w:shd w:val="clear" w:color="auto"/>
        <w:rPr>
          <w:rFonts w:hint="default" w:hAnsi="宋体" w:eastAsia="宋体" w:cs="宋体"/>
          <w:color w:val="auto"/>
          <w:sz w:val="21"/>
          <w:szCs w:val="21"/>
          <w:highlight w:val="none"/>
        </w:rPr>
      </w:pPr>
      <w:r>
        <w:rPr>
          <w:rFonts w:hint="default" w:hAnsi="宋体" w:eastAsia="宋体" w:cs="宋体"/>
          <w:color w:val="auto"/>
          <w:sz w:val="21"/>
          <w:szCs w:val="21"/>
          <w:highlight w:val="none"/>
        </w:rPr>
      </w:r>
      <w:r/>
    </w:p>
    <w:p>
      <w:pPr>
        <w:pStyle w:val="1256"/>
        <w:spacing w:line="360" w:lineRule="auto"/>
        <w:shd w:val="clear" w:color="auto"/>
        <w:rPr>
          <w:rFonts w:hint="default" w:hAnsi="宋体" w:eastAsia="宋体"/>
          <w:color w:val="auto"/>
          <w:sz w:val="21"/>
          <w:szCs w:val="21"/>
          <w:highlight w:val="none"/>
        </w:rPr>
      </w:pPr>
      <w:r/>
      <w:bookmarkStart w:id="138" w:name="_Toc59044752"/>
      <w:r/>
      <w:bookmarkStart w:id="139" w:name="_Toc11248446"/>
      <w:r/>
      <w:bookmarkStart w:id="140" w:name="_Toc11248380"/>
      <w:r>
        <w:rPr>
          <w:rFonts w:hAnsi="宋体" w:eastAsia="宋体"/>
          <w:color w:val="auto"/>
          <w:sz w:val="21"/>
          <w:szCs w:val="21"/>
          <w:highlight w:val="none"/>
        </w:rPr>
        <w:t xml:space="preserve">单位名称：（加盖公章）                                    </w:t>
      </w:r>
      <w:r/>
    </w:p>
    <w:p>
      <w:pPr>
        <w:pStyle w:val="1256"/>
        <w:spacing w:line="360" w:lineRule="auto"/>
        <w:shd w:val="clear" w:color="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256"/>
        <w:spacing w:line="360" w:lineRule="auto"/>
        <w:shd w:val="clear" w:color="auto"/>
        <w:rPr>
          <w:rFonts w:hint="default" w:hAnsi="宋体" w:eastAsia="宋体"/>
          <w:b/>
          <w:color w:val="auto"/>
          <w:sz w:val="21"/>
          <w:szCs w:val="21"/>
          <w:highlight w:val="none"/>
        </w:rPr>
        <w:outlineLvl w:val="1"/>
      </w:pPr>
      <w:r>
        <w:rPr>
          <w:rFonts w:hAnsi="宋体" w:eastAsia="宋体"/>
          <w:b/>
          <w:color w:val="auto"/>
          <w:sz w:val="21"/>
          <w:szCs w:val="21"/>
          <w:highlight w:val="none"/>
        </w:rPr>
        <w:br w:type="page" w:clear="all"/>
      </w:r>
      <w:bookmarkEnd w:id="138"/>
      <w:r/>
      <w:bookmarkEnd w:id="139"/>
      <w:r/>
      <w:bookmarkEnd w:id="140"/>
      <w:r/>
      <w:bookmarkStart w:id="141" w:name="_Toc11248381"/>
      <w:r/>
      <w:bookmarkStart w:id="142" w:name="_Toc11248447"/>
      <w:r/>
      <w:bookmarkStart w:id="143" w:name="_Toc59044753"/>
      <w:r>
        <w:rPr>
          <w:rFonts w:hAnsi="宋体" w:eastAsia="宋体"/>
          <w:b/>
          <w:color w:val="auto"/>
          <w:sz w:val="21"/>
          <w:szCs w:val="21"/>
          <w:highlight w:val="none"/>
        </w:rPr>
        <w:t xml:space="preserve">格式10、中小企业声明函</w:t>
      </w:r>
      <w:bookmarkEnd w:id="141"/>
      <w:r/>
      <w:bookmarkEnd w:id="142"/>
      <w:r/>
      <w:bookmarkEnd w:id="143"/>
      <w:r>
        <w:rPr>
          <w:rFonts w:hAnsi="宋体" w:eastAsia="宋体"/>
          <w:b/>
          <w:color w:val="auto"/>
          <w:sz w:val="21"/>
          <w:szCs w:val="21"/>
          <w:highlight w:val="none"/>
        </w:rPr>
        <w:t xml:space="preserve">（如属）</w:t>
      </w:r>
      <w:r/>
    </w:p>
    <w:p>
      <w:pPr>
        <w:jc w:val="center"/>
        <w:rPr>
          <w:rFonts w:hint="default" w:asciiTheme="minorEastAsia" w:hAnsiTheme="minorEastAsia" w:eastAsiaTheme="minorEastAsia"/>
          <w:b/>
          <w:sz w:val="30"/>
          <w:szCs w:val="30"/>
          <w:highlight w:val="none"/>
        </w:rPr>
        <w:outlineLvl w:val="3"/>
      </w:pPr>
      <w:r>
        <w:rPr>
          <w:rFonts w:hint="eastAsia" w:ascii="黑体" w:eastAsia="黑体"/>
          <w:b/>
          <w:color w:val="auto"/>
          <w:sz w:val="30"/>
          <w:szCs w:val="30"/>
          <w:highlight w:val="none"/>
          <w:lang w:val="zh-CN"/>
        </w:rPr>
        <w:t xml:space="preserve">  </w:t>
      </w:r>
      <w:r>
        <w:rPr>
          <w:rFonts w:hint="eastAsia" w:asciiTheme="minorEastAsia" w:hAnsiTheme="minorEastAsia" w:eastAsiaTheme="minorEastAsia"/>
          <w:b/>
          <w:sz w:val="30"/>
          <w:szCs w:val="30"/>
          <w:highlight w:val="none"/>
          <w:lang w:val="zh-CN"/>
        </w:rPr>
        <w:t xml:space="preserve">中小企业声明函</w:t>
      </w:r>
      <w:r/>
    </w:p>
    <w:p>
      <w:pPr>
        <w:jc w:val="both"/>
        <w:spacing w:line="400" w:lineRule="exact"/>
        <w:widowControl w:val="off"/>
        <w:rPr>
          <w:rFonts w:hint="eastAsia" w:cs="宋体" w:asciiTheme="minorEastAsia" w:hAnsiTheme="minorEastAsia" w:eastAsiaTheme="minorEastAsia"/>
          <w:sz w:val="21"/>
          <w:szCs w:val="21"/>
          <w:highlight w:val="none"/>
          <w:lang w:val="en-US" w:eastAsia="zh-CN" w:bidi="ar-SA"/>
        </w:rPr>
      </w:pPr>
      <w:r>
        <w:rPr>
          <w:rFonts w:hint="eastAsia" w:cs="宋体" w:asciiTheme="minorEastAsia" w:hAnsiTheme="minorEastAsia" w:eastAsiaTheme="minorEastAsia"/>
          <w:sz w:val="21"/>
          <w:szCs w:val="21"/>
          <w:highlight w:val="none"/>
          <w:lang w:val="en-US" w:eastAsia="zh-CN" w:bidi="ar-SA"/>
        </w:rPr>
        <w:t xml:space="preserve"> </w:t>
      </w:r>
      <w:r/>
    </w:p>
    <w:p>
      <w:pPr>
        <w:ind w:firstLine="630"/>
        <w:spacing w:line="360" w:lineRule="auto"/>
        <w:rPr>
          <w:rFonts w:hint="default"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zh-CN"/>
        </w:rPr>
        <w:t xml:space="preserve">本公司郑重声明，根据《政府采购促进中小企业发展管理办法》（财库﹝</w:t>
      </w:r>
      <w:r>
        <w:rPr>
          <w:rFonts w:hint="default" w:asciiTheme="minorEastAsia" w:hAnsiTheme="minorEastAsia" w:eastAsiaTheme="minorEastAsia"/>
          <w:sz w:val="21"/>
          <w:szCs w:val="21"/>
          <w:highlight w:val="none"/>
          <w:lang w:val="zh-CN"/>
        </w:rPr>
        <w:t xml:space="preserve">2020</w:t>
      </w:r>
      <w:r>
        <w:rPr>
          <w:rFonts w:hint="eastAsia" w:asciiTheme="minorEastAsia" w:hAnsiTheme="minorEastAsia" w:eastAsiaTheme="minorEastAsia"/>
          <w:sz w:val="21"/>
          <w:szCs w:val="21"/>
          <w:highlight w:val="none"/>
          <w:lang w:val="zh-CN"/>
        </w:rPr>
        <w:t xml:space="preserve">﹞</w:t>
      </w:r>
      <w:r>
        <w:rPr>
          <w:rFonts w:hint="default" w:asciiTheme="minorEastAsia" w:hAnsiTheme="minorEastAsia" w:eastAsiaTheme="minorEastAsia"/>
          <w:sz w:val="21"/>
          <w:szCs w:val="21"/>
          <w:highlight w:val="none"/>
          <w:lang w:val="zh-CN"/>
        </w:rPr>
        <w:t xml:space="preserve">46 </w:t>
      </w:r>
      <w:r>
        <w:rPr>
          <w:rFonts w:hint="eastAsia" w:asciiTheme="minorEastAsia" w:hAnsiTheme="minorEastAsia" w:eastAsiaTheme="minorEastAsia"/>
          <w:sz w:val="21"/>
          <w:szCs w:val="21"/>
          <w:highlight w:val="none"/>
          <w:lang w:val="zh-CN"/>
        </w:rPr>
        <w:t xml:space="preserve">号）的规定，本公司参加</w:t>
      </w:r>
      <w:r>
        <w:rPr>
          <w:rFonts w:hint="eastAsia" w:asciiTheme="minorEastAsia" w:hAnsiTheme="minorEastAsia" w:eastAsiaTheme="minorEastAsia"/>
          <w:sz w:val="21"/>
          <w:szCs w:val="21"/>
          <w:highlight w:val="none"/>
          <w:u w:val="single"/>
          <w:lang w:val="zh-CN"/>
        </w:rPr>
        <w:t xml:space="preserve">（单位名称）</w:t>
      </w:r>
      <w:r>
        <w:rPr>
          <w:rFonts w:hint="eastAsia" w:asciiTheme="minorEastAsia" w:hAnsiTheme="minorEastAsia" w:eastAsiaTheme="minorEastAsia"/>
          <w:sz w:val="21"/>
          <w:szCs w:val="21"/>
          <w:highlight w:val="none"/>
          <w:lang w:val="zh-CN"/>
        </w:rPr>
        <w:t xml:space="preserve">的</w:t>
      </w:r>
      <w:r>
        <w:rPr>
          <w:rFonts w:hint="eastAsia" w:asciiTheme="minorEastAsia" w:hAnsiTheme="minorEastAsia" w:eastAsiaTheme="minorEastAsia"/>
          <w:bCs/>
          <w:sz w:val="21"/>
          <w:szCs w:val="21"/>
          <w:highlight w:val="none"/>
          <w:u w:val="single"/>
        </w:rPr>
        <w:t xml:space="preserve">（项目名称）</w:t>
      </w:r>
      <w:r>
        <w:rPr>
          <w:rFonts w:hint="eastAsia" w:asciiTheme="minorEastAsia" w:hAnsiTheme="minorEastAsia" w:eastAsiaTheme="minorEastAsia"/>
          <w:sz w:val="21"/>
          <w:szCs w:val="21"/>
          <w:highlight w:val="none"/>
          <w:lang w:val="zh-CN"/>
        </w:rPr>
        <w:t xml:space="preserve">采购活动，</w:t>
      </w:r>
      <w:r>
        <w:rPr>
          <w:rFonts w:hint="eastAsia" w:asciiTheme="minorEastAsia" w:hAnsiTheme="minorEastAsia" w:eastAsiaTheme="minorEastAsia"/>
          <w:sz w:val="21"/>
          <w:szCs w:val="21"/>
          <w:highlight w:val="none"/>
        </w:rPr>
        <w:t xml:space="preserve">提供的货物</w:t>
      </w:r>
      <w:r>
        <w:rPr>
          <w:rFonts w:hint="eastAsia" w:asciiTheme="minorEastAsia" w:hAnsiTheme="minorEastAsia" w:eastAsiaTheme="minorEastAsia"/>
          <w:b/>
          <w:bCs/>
          <w:sz w:val="21"/>
          <w:szCs w:val="21"/>
          <w:highlight w:val="none"/>
          <w:shd w:val="clear" w:color="ffffff" w:fill="d9d9d9"/>
        </w:rPr>
        <w:t xml:space="preserve">全部由</w:t>
      </w:r>
      <w:r>
        <w:rPr>
          <w:rFonts w:hint="eastAsia" w:asciiTheme="minorEastAsia" w:hAnsiTheme="minorEastAsia" w:eastAsiaTheme="minorEastAsia"/>
          <w:sz w:val="21"/>
          <w:szCs w:val="21"/>
          <w:highlight w:val="none"/>
        </w:rPr>
        <w:t xml:space="preserve">符合政策要求的中小企业</w:t>
      </w:r>
      <w:r>
        <w:rPr>
          <w:rFonts w:hint="eastAsia" w:asciiTheme="minorEastAsia" w:hAnsiTheme="minorEastAsia" w:eastAsiaTheme="minorEastAsia"/>
          <w:b/>
          <w:bCs/>
          <w:sz w:val="21"/>
          <w:szCs w:val="21"/>
          <w:highlight w:val="none"/>
          <w:shd w:val="clear" w:color="ffffff" w:fill="d9d9d9"/>
        </w:rPr>
        <w:t xml:space="preserve">制造</w:t>
      </w:r>
      <w:r>
        <w:rPr>
          <w:rFonts w:hint="eastAsia"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lang w:val="zh-CN"/>
        </w:rPr>
        <w:t xml:space="preserve">相关企业（含联合体中的中小企业、签订分包意向协议的中小企业）的具体情况如下：</w:t>
      </w:r>
      <w:r/>
    </w:p>
    <w:p>
      <w:pPr>
        <w:ind w:firstLine="630"/>
        <w:spacing w:line="360" w:lineRule="auto"/>
        <w:rPr>
          <w:rFonts w:hint="default" w:asciiTheme="minorEastAsia" w:hAnsiTheme="minorEastAsia" w:eastAsiaTheme="minorEastAsia"/>
          <w:sz w:val="21"/>
          <w:szCs w:val="21"/>
          <w:highlight w:val="none"/>
        </w:rPr>
      </w:pPr>
      <w:r>
        <w:rPr>
          <w:rFonts w:hint="default" w:asciiTheme="minorEastAsia" w:hAnsiTheme="minorEastAsia" w:eastAsiaTheme="minorEastAsia"/>
          <w:sz w:val="21"/>
          <w:szCs w:val="21"/>
          <w:highlight w:val="none"/>
          <w:lang w:val="zh-CN"/>
        </w:rPr>
        <w:t xml:space="preserve">1. </w:t>
      </w:r>
      <w:r>
        <w:rPr>
          <w:rFonts w:hint="eastAsia" w:asciiTheme="minorEastAsia" w:hAnsiTheme="minorEastAsia" w:eastAsiaTheme="minorEastAsia"/>
          <w:sz w:val="21"/>
          <w:szCs w:val="21"/>
          <w:highlight w:val="none"/>
          <w:u w:val="single"/>
          <w:lang w:val="zh-CN"/>
        </w:rPr>
        <w:t xml:space="preserve">（标的名称）</w:t>
      </w:r>
      <w:r>
        <w:rPr>
          <w:rFonts w:hint="eastAsia" w:asciiTheme="minorEastAsia" w:hAnsiTheme="minorEastAsia" w:eastAsiaTheme="minorEastAsia"/>
          <w:sz w:val="21"/>
          <w:szCs w:val="21"/>
          <w:highlight w:val="none"/>
          <w:lang w:val="zh-CN"/>
        </w:rPr>
        <w:t xml:space="preserve">，属于</w:t>
      </w:r>
      <w:r>
        <w:rPr>
          <w:rFonts w:hint="eastAsia" w:asciiTheme="minorEastAsia" w:hAnsiTheme="minorEastAsia" w:eastAsiaTheme="minorEastAsia"/>
          <w:sz w:val="21"/>
          <w:szCs w:val="21"/>
          <w:highlight w:val="none"/>
          <w:u w:val="single"/>
          <w:lang w:val="zh-CN"/>
        </w:rPr>
        <w:t xml:space="preserve">工业</w:t>
      </w:r>
      <w:r>
        <w:rPr>
          <w:rFonts w:hint="eastAsia" w:asciiTheme="minorEastAsia" w:hAnsiTheme="minorEastAsia" w:eastAsiaTheme="minorEastAsia"/>
          <w:sz w:val="21"/>
          <w:szCs w:val="21"/>
          <w:highlight w:val="none"/>
          <w:lang w:val="zh-CN"/>
        </w:rPr>
        <w:t xml:space="preserve">；</w:t>
      </w:r>
      <w:r>
        <w:rPr>
          <w:rFonts w:hint="eastAsia" w:asciiTheme="minorEastAsia" w:hAnsiTheme="minorEastAsia" w:eastAsiaTheme="minorEastAsia"/>
          <w:b/>
          <w:bCs/>
          <w:sz w:val="21"/>
          <w:szCs w:val="21"/>
          <w:highlight w:val="none"/>
          <w:shd w:val="clear" w:color="ffffff" w:fill="d9d9d9"/>
          <w:lang w:val="zh-CN"/>
        </w:rPr>
        <w:t xml:space="preserve">制造商为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u w:val="single"/>
          <w:lang w:val="zh-CN"/>
        </w:rPr>
        <w:t xml:space="preserve">（企业名称）</w:t>
      </w:r>
      <w:r>
        <w:rPr>
          <w:rFonts w:hint="eastAsia" w:asciiTheme="minorEastAsia" w:hAnsiTheme="minorEastAsia" w:eastAsiaTheme="minorEastAsia"/>
          <w:sz w:val="21"/>
          <w:szCs w:val="21"/>
          <w:highlight w:val="none"/>
          <w:lang w:val="zh-CN"/>
        </w:rPr>
        <w:t xml:space="preserve">，从业人员</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人，营业收入为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万元，资产总额为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万元，属于</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（中型企业、小型企业、微型企业，</w:t>
      </w:r>
      <w:r>
        <w:rPr>
          <w:rFonts w:hint="eastAsia" w:asciiTheme="minorEastAsia" w:hAnsiTheme="minorEastAsia" w:eastAsiaTheme="minorEastAsia"/>
          <w:b/>
          <w:bCs/>
          <w:sz w:val="21"/>
          <w:szCs w:val="21"/>
          <w:highlight w:val="none"/>
          <w:lang w:val="zh-CN"/>
        </w:rPr>
        <w:t xml:space="preserve">三者选一填写</w:t>
      </w:r>
      <w:r>
        <w:rPr>
          <w:rFonts w:hint="eastAsia" w:asciiTheme="minorEastAsia" w:hAnsiTheme="minorEastAsia" w:eastAsiaTheme="minorEastAsia"/>
          <w:sz w:val="21"/>
          <w:szCs w:val="21"/>
          <w:highlight w:val="none"/>
          <w:lang w:val="zh-CN"/>
        </w:rPr>
        <w:t xml:space="preserve">）；</w:t>
      </w:r>
      <w:r/>
    </w:p>
    <w:p>
      <w:pPr>
        <w:ind w:firstLine="630"/>
        <w:spacing w:line="360" w:lineRule="auto"/>
        <w:rPr>
          <w:rFonts w:hint="default" w:asciiTheme="minorEastAsia" w:hAnsiTheme="minorEastAsia" w:eastAsiaTheme="minorEastAsia"/>
          <w:sz w:val="21"/>
          <w:szCs w:val="21"/>
          <w:highlight w:val="none"/>
        </w:rPr>
      </w:pPr>
      <w:r>
        <w:rPr>
          <w:rFonts w:hint="default" w:asciiTheme="minorEastAsia" w:hAnsiTheme="minorEastAsia" w:eastAsiaTheme="minorEastAsia"/>
          <w:sz w:val="21"/>
          <w:szCs w:val="21"/>
          <w:highlight w:val="none"/>
          <w:lang w:val="zh-CN"/>
        </w:rPr>
        <w:t xml:space="preserve">2. </w:t>
      </w:r>
      <w:r>
        <w:rPr>
          <w:rFonts w:hint="eastAsia" w:asciiTheme="minorEastAsia" w:hAnsiTheme="minorEastAsia" w:eastAsiaTheme="minorEastAsia"/>
          <w:sz w:val="21"/>
          <w:szCs w:val="21"/>
          <w:highlight w:val="none"/>
          <w:u w:val="single"/>
          <w:lang w:val="zh-CN"/>
        </w:rPr>
        <w:t xml:space="preserve">（标的名称）</w:t>
      </w:r>
      <w:r>
        <w:rPr>
          <w:rFonts w:hint="eastAsia" w:asciiTheme="minorEastAsia" w:hAnsiTheme="minorEastAsia" w:eastAsiaTheme="minorEastAsia"/>
          <w:sz w:val="21"/>
          <w:szCs w:val="21"/>
          <w:highlight w:val="none"/>
          <w:lang w:val="zh-CN"/>
        </w:rPr>
        <w:t xml:space="preserve">，属于</w:t>
      </w:r>
      <w:r>
        <w:rPr>
          <w:rFonts w:hint="eastAsia" w:asciiTheme="minorEastAsia" w:hAnsiTheme="minorEastAsia" w:eastAsiaTheme="minorEastAsia"/>
          <w:sz w:val="21"/>
          <w:szCs w:val="21"/>
          <w:highlight w:val="none"/>
          <w:u w:val="single"/>
          <w:lang w:val="zh-CN"/>
        </w:rPr>
        <w:t xml:space="preserve">工业</w:t>
      </w:r>
      <w:r>
        <w:rPr>
          <w:rFonts w:hint="eastAsia" w:asciiTheme="minorEastAsia" w:hAnsiTheme="minorEastAsia" w:eastAsiaTheme="minorEastAsia"/>
          <w:sz w:val="21"/>
          <w:szCs w:val="21"/>
          <w:highlight w:val="none"/>
          <w:lang w:val="zh-CN"/>
        </w:rPr>
        <w:t xml:space="preserve">；制造商为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u w:val="single"/>
          <w:lang w:val="zh-CN"/>
        </w:rPr>
        <w:t xml:space="preserve">（企业名称）</w:t>
      </w:r>
      <w:r>
        <w:rPr>
          <w:rFonts w:hint="eastAsia" w:asciiTheme="minorEastAsia" w:hAnsiTheme="minorEastAsia" w:eastAsiaTheme="minorEastAsia"/>
          <w:sz w:val="21"/>
          <w:szCs w:val="21"/>
          <w:highlight w:val="none"/>
          <w:lang w:val="zh-CN"/>
        </w:rPr>
        <w:t xml:space="preserve">，从业人员</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人，营业收入为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万元，资产总额为</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万元，属于</w:t>
      </w:r>
      <w:r>
        <w:rPr>
          <w:rFonts w:hint="default"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 xml:space="preserve">（中型企业、小型企业、微型企业，三者选一填写）；</w:t>
      </w:r>
      <w:r/>
    </w:p>
    <w:p>
      <w:pPr>
        <w:ind w:firstLine="630"/>
        <w:spacing w:line="360" w:lineRule="auto"/>
        <w:rPr>
          <w:rFonts w:hint="default" w:asciiTheme="minorEastAsia" w:hAnsiTheme="minorEastAsia" w:eastAsiaTheme="minorEastAsia"/>
          <w:sz w:val="21"/>
          <w:szCs w:val="21"/>
          <w:highlight w:val="none"/>
        </w:rPr>
      </w:pPr>
      <w:r>
        <w:rPr>
          <w:rFonts w:hint="default" w:asciiTheme="minorEastAsia" w:hAnsiTheme="minorEastAsia" w:eastAsiaTheme="minorEastAsia"/>
          <w:sz w:val="21"/>
          <w:szCs w:val="21"/>
          <w:highlight w:val="none"/>
          <w:lang w:val="zh-CN"/>
        </w:rPr>
        <w:t xml:space="preserve">……</w:t>
      </w:r>
      <w:r/>
    </w:p>
    <w:p>
      <w:pPr>
        <w:ind w:firstLine="630"/>
        <w:spacing w:line="360" w:lineRule="auto"/>
        <w:rPr>
          <w:rFonts w:hint="default"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hint="default"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zh-CN"/>
        </w:rPr>
        <w:t xml:space="preserve">本企业对上述声明内容的真实性负责。如有虚假，将依法承担相应责任。</w:t>
      </w:r>
      <w:r/>
    </w:p>
    <w:p>
      <w:pPr>
        <w:ind w:firstLine="5880"/>
        <w:spacing w:line="360" w:lineRule="auto"/>
        <w:rPr>
          <w:rFonts w:hint="default" w:asciiTheme="minorEastAsia" w:hAnsiTheme="minorEastAsia" w:eastAsiaTheme="minorEastAsia"/>
          <w:sz w:val="21"/>
          <w:szCs w:val="24"/>
          <w:highlight w:val="none"/>
        </w:rPr>
      </w:pPr>
      <w:r>
        <w:rPr>
          <w:rFonts w:hint="eastAsia" w:asciiTheme="minorEastAsia" w:hAnsiTheme="minorEastAsia" w:eastAsiaTheme="minorEastAsia"/>
          <w:sz w:val="21"/>
          <w:szCs w:val="21"/>
          <w:highlight w:val="none"/>
          <w:lang w:val="zh-CN"/>
        </w:rPr>
        <w:t xml:space="preserve">企业名称（盖章）：</w:t>
      </w:r>
      <w:r/>
    </w:p>
    <w:p>
      <w:pPr>
        <w:ind w:firstLine="5880"/>
        <w:spacing w:line="360" w:lineRule="auto"/>
        <w:rPr>
          <w:rFonts w:hint="default"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zh-CN"/>
        </w:rPr>
        <w:t xml:space="preserve">日期：</w:t>
      </w:r>
      <w:r>
        <w:rPr>
          <w:rFonts w:hint="eastAsia" w:asciiTheme="minorEastAsia" w:hAnsiTheme="minorEastAsia" w:eastAsiaTheme="minorEastAsia"/>
          <w:sz w:val="21"/>
          <w:szCs w:val="24"/>
          <w:highlight w:val="none"/>
        </w:rPr>
        <w:t xml:space="preserve">（填写）</w:t>
      </w:r>
      <w:r/>
    </w:p>
    <w:p>
      <w:pPr>
        <w:jc w:val="center"/>
        <w:widowControl/>
        <w:rPr>
          <w:rFonts w:hint="default" w:asciiTheme="minorEastAsia" w:hAnsiTheme="minorEastAsia" w:eastAsiaTheme="minorEastAsia"/>
          <w:sz w:val="21"/>
          <w:szCs w:val="22"/>
          <w:highlight w:val="none"/>
        </w:rPr>
      </w:pPr>
      <w:r>
        <w:rPr>
          <w:rFonts w:hint="default" w:asciiTheme="minorEastAsia" w:hAnsiTheme="minorEastAsia" w:eastAsiaTheme="minorEastAsia"/>
          <w:sz w:val="21"/>
          <w:szCs w:val="22"/>
          <w:highlight w:val="none"/>
        </w:rPr>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备注：1、中小企业划分标准详见“工信部联企业〔2011〕300号通知中的《中小企业划型标准规定》；</w:t>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2、本项目所属行业：工业；</w:t>
      </w:r>
      <w:r/>
    </w:p>
    <w:p>
      <w:pPr>
        <w:ind w:firstLine="422"/>
        <w:rPr>
          <w:rFonts w:hint="eastAsia"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 xml:space="preserve">依据工信部联企业〔</w:t>
      </w:r>
      <w:r>
        <w:rPr>
          <w:rFonts w:hint="default" w:asciiTheme="minorEastAsia" w:hAnsiTheme="minorEastAsia" w:eastAsiaTheme="minorEastAsia"/>
          <w:sz w:val="21"/>
          <w:szCs w:val="21"/>
          <w:highlight w:val="none"/>
          <w:lang w:val="zh-CN"/>
        </w:rPr>
        <w:t xml:space="preserve">2011</w:t>
      </w:r>
      <w:r>
        <w:rPr>
          <w:rFonts w:hint="eastAsia" w:asciiTheme="minorEastAsia" w:hAnsiTheme="minorEastAsia" w:eastAsiaTheme="minorEastAsia"/>
          <w:sz w:val="21"/>
          <w:szCs w:val="21"/>
          <w:highlight w:val="none"/>
          <w:lang w:val="zh-CN"/>
        </w:rPr>
        <w:t xml:space="preserve">〕</w:t>
      </w:r>
      <w:r>
        <w:rPr>
          <w:rFonts w:hint="default" w:asciiTheme="minorEastAsia" w:hAnsiTheme="minorEastAsia" w:eastAsiaTheme="minorEastAsia"/>
          <w:sz w:val="21"/>
          <w:szCs w:val="21"/>
          <w:highlight w:val="none"/>
          <w:lang w:val="zh-CN"/>
        </w:rPr>
        <w:t xml:space="preserve">300</w:t>
      </w:r>
      <w:r>
        <w:rPr>
          <w:rFonts w:hint="eastAsia" w:asciiTheme="minorEastAsia" w:hAnsiTheme="minorEastAsia" w:eastAsiaTheme="minorEastAsia"/>
          <w:sz w:val="21"/>
          <w:szCs w:val="21"/>
          <w:highlight w:val="none"/>
          <w:lang w:val="zh-CN"/>
        </w:rPr>
        <w:t xml:space="preserve">号文，工业的行业划分标准如下：</w:t>
      </w:r>
      <w:r/>
    </w:p>
    <w:p>
      <w:pPr>
        <w:ind w:firstLine="422"/>
        <w:rPr>
          <w:rFonts w:hint="default"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 xml:space="preserve">工业。从业人员</w:t>
      </w:r>
      <w:r>
        <w:rPr>
          <w:rFonts w:hint="default" w:asciiTheme="minorEastAsia" w:hAnsiTheme="minorEastAsia" w:eastAsiaTheme="minorEastAsia"/>
          <w:sz w:val="21"/>
          <w:szCs w:val="21"/>
          <w:highlight w:val="none"/>
          <w:lang w:val="zh-CN"/>
        </w:rPr>
        <w:t xml:space="preserve">1000</w:t>
      </w:r>
      <w:r>
        <w:rPr>
          <w:rFonts w:hint="eastAsia" w:asciiTheme="minorEastAsia" w:hAnsiTheme="minorEastAsia" w:eastAsiaTheme="minorEastAsia"/>
          <w:sz w:val="21"/>
          <w:szCs w:val="21"/>
          <w:highlight w:val="none"/>
          <w:lang w:val="zh-CN"/>
        </w:rPr>
        <w:t xml:space="preserve">人以下或营业收入</w:t>
      </w:r>
      <w:r>
        <w:rPr>
          <w:rFonts w:hint="default" w:asciiTheme="minorEastAsia" w:hAnsiTheme="minorEastAsia" w:eastAsiaTheme="minorEastAsia"/>
          <w:sz w:val="21"/>
          <w:szCs w:val="21"/>
          <w:highlight w:val="none"/>
          <w:lang w:val="zh-CN"/>
        </w:rPr>
        <w:t xml:space="preserve">40000</w:t>
      </w:r>
      <w:r>
        <w:rPr>
          <w:rFonts w:hint="eastAsia" w:asciiTheme="minorEastAsia" w:hAnsiTheme="minorEastAsia" w:eastAsiaTheme="minorEastAsia"/>
          <w:sz w:val="21"/>
          <w:szCs w:val="21"/>
          <w:highlight w:val="none"/>
          <w:lang w:val="zh-CN"/>
        </w:rPr>
        <w:t xml:space="preserve">万元以下的为中小微型企业。其中，从业人员</w:t>
      </w:r>
      <w:r>
        <w:rPr>
          <w:rFonts w:hint="default" w:asciiTheme="minorEastAsia" w:hAnsiTheme="minorEastAsia" w:eastAsiaTheme="minorEastAsia"/>
          <w:sz w:val="21"/>
          <w:szCs w:val="21"/>
          <w:highlight w:val="none"/>
          <w:lang w:val="zh-CN"/>
        </w:rPr>
        <w:t xml:space="preserve">300</w:t>
      </w:r>
      <w:r>
        <w:rPr>
          <w:rFonts w:hint="eastAsia" w:asciiTheme="minorEastAsia" w:hAnsiTheme="minorEastAsia" w:eastAsiaTheme="minorEastAsia"/>
          <w:sz w:val="21"/>
          <w:szCs w:val="21"/>
          <w:highlight w:val="none"/>
          <w:lang w:val="zh-CN"/>
        </w:rPr>
        <w:t xml:space="preserve">人及以上，且营业收入</w:t>
      </w:r>
      <w:r>
        <w:rPr>
          <w:rFonts w:hint="default" w:asciiTheme="minorEastAsia" w:hAnsiTheme="minorEastAsia" w:eastAsiaTheme="minorEastAsia"/>
          <w:sz w:val="21"/>
          <w:szCs w:val="21"/>
          <w:highlight w:val="none"/>
          <w:lang w:val="zh-CN"/>
        </w:rPr>
        <w:t xml:space="preserve">2000</w:t>
      </w:r>
      <w:r>
        <w:rPr>
          <w:rFonts w:hint="eastAsia" w:asciiTheme="minorEastAsia" w:hAnsiTheme="minorEastAsia" w:eastAsiaTheme="minorEastAsia"/>
          <w:sz w:val="21"/>
          <w:szCs w:val="21"/>
          <w:highlight w:val="none"/>
          <w:lang w:val="zh-CN"/>
        </w:rPr>
        <w:t xml:space="preserve">万元及以上的为中型企业</w:t>
      </w:r>
      <w:r>
        <w:rPr>
          <w:rFonts w:hint="default" w:asciiTheme="minorEastAsia" w:hAnsiTheme="minorEastAsia" w:eastAsiaTheme="minorEastAsia"/>
          <w:sz w:val="21"/>
          <w:szCs w:val="21"/>
          <w:highlight w:val="none"/>
          <w:lang w:val="zh-CN"/>
        </w:rPr>
        <w:t xml:space="preserve">;</w:t>
      </w:r>
      <w:r>
        <w:rPr>
          <w:rFonts w:hint="eastAsia" w:asciiTheme="minorEastAsia" w:hAnsiTheme="minorEastAsia" w:eastAsiaTheme="minorEastAsia"/>
          <w:sz w:val="21"/>
          <w:szCs w:val="21"/>
          <w:highlight w:val="none"/>
          <w:lang w:val="zh-CN"/>
        </w:rPr>
        <w:t xml:space="preserve">从业人员</w:t>
      </w:r>
      <w:r>
        <w:rPr>
          <w:rFonts w:hint="default" w:asciiTheme="minorEastAsia" w:hAnsiTheme="minorEastAsia" w:eastAsiaTheme="minorEastAsia"/>
          <w:sz w:val="21"/>
          <w:szCs w:val="21"/>
          <w:highlight w:val="none"/>
          <w:lang w:val="zh-CN"/>
        </w:rPr>
        <w:t xml:space="preserve">20</w:t>
      </w:r>
      <w:r>
        <w:rPr>
          <w:rFonts w:hint="eastAsia" w:asciiTheme="minorEastAsia" w:hAnsiTheme="minorEastAsia" w:eastAsiaTheme="minorEastAsia"/>
          <w:sz w:val="21"/>
          <w:szCs w:val="21"/>
          <w:highlight w:val="none"/>
          <w:lang w:val="zh-CN"/>
        </w:rPr>
        <w:t xml:space="preserve">人及以上，且营业收入</w:t>
      </w:r>
      <w:r>
        <w:rPr>
          <w:rFonts w:hint="default" w:asciiTheme="minorEastAsia" w:hAnsiTheme="minorEastAsia" w:eastAsiaTheme="minorEastAsia"/>
          <w:sz w:val="21"/>
          <w:szCs w:val="21"/>
          <w:highlight w:val="none"/>
          <w:lang w:val="zh-CN"/>
        </w:rPr>
        <w:t xml:space="preserve">300</w:t>
      </w:r>
      <w:r>
        <w:rPr>
          <w:rFonts w:hint="eastAsia" w:asciiTheme="minorEastAsia" w:hAnsiTheme="minorEastAsia" w:eastAsiaTheme="minorEastAsia"/>
          <w:sz w:val="21"/>
          <w:szCs w:val="21"/>
          <w:highlight w:val="none"/>
          <w:lang w:val="zh-CN"/>
        </w:rPr>
        <w:t xml:space="preserve">万元及以上的为小型企业</w:t>
      </w:r>
      <w:r>
        <w:rPr>
          <w:rFonts w:hint="default" w:asciiTheme="minorEastAsia" w:hAnsiTheme="minorEastAsia" w:eastAsiaTheme="minorEastAsia"/>
          <w:sz w:val="21"/>
          <w:szCs w:val="21"/>
          <w:highlight w:val="none"/>
          <w:lang w:val="zh-CN"/>
        </w:rPr>
        <w:t xml:space="preserve">;</w:t>
      </w:r>
      <w:r>
        <w:rPr>
          <w:rFonts w:hint="eastAsia" w:asciiTheme="minorEastAsia" w:hAnsiTheme="minorEastAsia" w:eastAsiaTheme="minorEastAsia"/>
          <w:sz w:val="21"/>
          <w:szCs w:val="21"/>
          <w:highlight w:val="none"/>
          <w:lang w:val="zh-CN"/>
        </w:rPr>
        <w:t xml:space="preserve">从业人员</w:t>
      </w:r>
      <w:r>
        <w:rPr>
          <w:rFonts w:hint="default" w:asciiTheme="minorEastAsia" w:hAnsiTheme="minorEastAsia" w:eastAsiaTheme="minorEastAsia"/>
          <w:sz w:val="21"/>
          <w:szCs w:val="21"/>
          <w:highlight w:val="none"/>
          <w:lang w:val="zh-CN"/>
        </w:rPr>
        <w:t xml:space="preserve">20</w:t>
      </w:r>
      <w:r>
        <w:rPr>
          <w:rFonts w:hint="eastAsia" w:asciiTheme="minorEastAsia" w:hAnsiTheme="minorEastAsia" w:eastAsiaTheme="minorEastAsia"/>
          <w:sz w:val="21"/>
          <w:szCs w:val="21"/>
          <w:highlight w:val="none"/>
          <w:lang w:val="zh-CN"/>
        </w:rPr>
        <w:t xml:space="preserve">人以下或营业收入</w:t>
      </w:r>
      <w:r>
        <w:rPr>
          <w:rFonts w:hint="default" w:asciiTheme="minorEastAsia" w:hAnsiTheme="minorEastAsia" w:eastAsiaTheme="minorEastAsia"/>
          <w:sz w:val="21"/>
          <w:szCs w:val="21"/>
          <w:highlight w:val="none"/>
          <w:lang w:val="zh-CN"/>
        </w:rPr>
        <w:t xml:space="preserve">300</w:t>
      </w:r>
      <w:r>
        <w:rPr>
          <w:rFonts w:hint="eastAsia" w:asciiTheme="minorEastAsia" w:hAnsiTheme="minorEastAsia" w:eastAsiaTheme="minorEastAsia"/>
          <w:sz w:val="21"/>
          <w:szCs w:val="21"/>
          <w:highlight w:val="none"/>
          <w:lang w:val="zh-CN"/>
        </w:rPr>
        <w:t xml:space="preserve">万元以下的为微型企业。</w:t>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3、从业人员、营业收入、资产总额填报上一-年度数据，无上一年度数据的新成立企业可不填报；</w:t>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lang w:val="zh-CN"/>
        </w:rPr>
        <w:t xml:space="preserve">4、若一个采购项目或采购包中含有多个货物采购标的，则</w:t>
      </w:r>
      <w:r>
        <w:rPr>
          <w:rFonts w:hint="eastAsia" w:cs="宋体" w:asciiTheme="minorEastAsia" w:hAnsiTheme="minorEastAsia" w:eastAsiaTheme="minorEastAsia"/>
          <w:b/>
          <w:bCs/>
          <w:sz w:val="21"/>
          <w:szCs w:val="21"/>
          <w:highlight w:val="none"/>
          <w:u w:val="single"/>
          <w:lang w:val="zh-CN"/>
        </w:rPr>
        <w:t xml:space="preserve">每个采购标的均应由中小企业制造</w:t>
      </w:r>
      <w:r>
        <w:rPr>
          <w:rFonts w:hint="eastAsia" w:cs="宋体" w:asciiTheme="minorEastAsia" w:hAnsiTheme="minorEastAsia" w:eastAsiaTheme="minorEastAsia"/>
          <w:b/>
          <w:bCs/>
          <w:sz w:val="21"/>
          <w:szCs w:val="21"/>
          <w:highlight w:val="none"/>
          <w:lang w:val="zh-CN"/>
        </w:rPr>
        <w:t xml:space="preserve">。声明函中未包含采购的所有货物的制造商的，视为未提供中小企业声明函，不享受中小企业扶持政策；</w:t>
      </w:r>
      <w:r/>
    </w:p>
    <w:p>
      <w:pPr>
        <w:ind w:firstLine="422"/>
        <w:rPr>
          <w:rFonts w:hint="eastAsia" w:cs="宋体" w:asciiTheme="minorEastAsia" w:hAnsiTheme="minorEastAsia" w:eastAsiaTheme="minorEastAsia"/>
          <w:b/>
          <w:bCs/>
          <w:sz w:val="21"/>
          <w:szCs w:val="21"/>
          <w:highlight w:val="none"/>
          <w:u w:val="single"/>
        </w:rPr>
      </w:pPr>
      <w:r>
        <w:rPr>
          <w:rFonts w:hint="eastAsia" w:cs="宋体" w:asciiTheme="minorEastAsia" w:hAnsiTheme="minorEastAsia" w:eastAsiaTheme="minorEastAsia"/>
          <w:b/>
          <w:bCs/>
          <w:sz w:val="21"/>
          <w:szCs w:val="21"/>
          <w:highlight w:val="none"/>
          <w:u w:val="single"/>
        </w:rPr>
        <w:t xml:space="preserve">5、</w:t>
      </w:r>
      <w:r>
        <w:rPr>
          <w:rFonts w:hint="eastAsia" w:cs="宋体" w:asciiTheme="minorEastAsia" w:hAnsiTheme="minorEastAsia" w:eastAsiaTheme="minorEastAsia"/>
          <w:b/>
          <w:bCs/>
          <w:sz w:val="21"/>
          <w:szCs w:val="21"/>
          <w:highlight w:val="none"/>
          <w:u w:val="single"/>
          <w:lang w:val="zh-CN"/>
        </w:rPr>
        <w:t xml:space="preserve">如未对（中型企业、小型企业、微型企业）进行勾选，视同非中小微企业，不可享受相应扶持政策；</w:t>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6</w:t>
      </w:r>
      <w:r>
        <w:rPr>
          <w:rFonts w:hint="eastAsia" w:cs="宋体" w:asciiTheme="minorEastAsia" w:hAnsiTheme="minorEastAsia" w:eastAsiaTheme="minorEastAsia"/>
          <w:b/>
          <w:bCs/>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2"/>
        <w:rPr>
          <w:rFonts w:hint="eastAsia"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7</w:t>
      </w:r>
      <w:r>
        <w:rPr>
          <w:rFonts w:hint="eastAsia" w:cs="宋体" w:asciiTheme="minorEastAsia" w:hAnsiTheme="minorEastAsia" w:eastAsiaTheme="minorEastAsia"/>
          <w:b/>
          <w:bCs/>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44" w:name="_Hlk72923453"/>
      <w:r>
        <w:rPr>
          <w:rFonts w:hint="eastAsia" w:cs="宋体" w:asciiTheme="minorEastAsia" w:hAnsiTheme="minorEastAsia" w:eastAsiaTheme="minorEastAsia"/>
          <w:b/>
          <w:bCs/>
          <w:sz w:val="21"/>
          <w:szCs w:val="21"/>
          <w:highlight w:val="none"/>
          <w:lang w:val="zh-CN"/>
        </w:rPr>
        <w:t xml:space="preserve">符合中小企业划分标准的个体工商户，在政府采购活动中视同中小企业</w:t>
      </w:r>
      <w:bookmarkEnd w:id="144"/>
      <w:r>
        <w:rPr>
          <w:rFonts w:hint="eastAsia" w:cs="宋体" w:asciiTheme="minorEastAsia" w:hAnsiTheme="minorEastAsia" w:eastAsiaTheme="minorEastAsia"/>
          <w:b/>
          <w:bCs/>
          <w:sz w:val="21"/>
          <w:szCs w:val="21"/>
          <w:highlight w:val="none"/>
          <w:lang w:val="zh-CN"/>
        </w:rPr>
        <w:t xml:space="preserve">；</w:t>
      </w:r>
      <w:r/>
    </w:p>
    <w:p>
      <w:pPr>
        <w:ind w:firstLine="422"/>
        <w:rPr>
          <w:rFonts w:hint="eastAsia" w:cs="宋体" w:asciiTheme="minorEastAsia" w:hAnsiTheme="minorEastAsia" w:eastAsiaTheme="minorEastAsia"/>
          <w:b/>
          <w:bCs/>
          <w:sz w:val="21"/>
          <w:szCs w:val="21"/>
          <w:highlight w:val="none"/>
        </w:rPr>
      </w:pPr>
      <w:r>
        <w:rPr>
          <w:highlight w:val="none"/>
        </w:rPr>
      </w:r>
      <w:bookmarkStart w:id="145" w:name="_Hlk94450593"/>
      <w:r>
        <w:rPr>
          <w:rFonts w:hint="eastAsia" w:cs="宋体" w:asciiTheme="minorEastAsia" w:hAnsiTheme="minorEastAsia" w:eastAsiaTheme="minorEastAsia"/>
          <w:b/>
          <w:bCs/>
          <w:sz w:val="21"/>
          <w:szCs w:val="21"/>
          <w:highlight w:val="none"/>
        </w:rPr>
        <w:t xml:space="preserve">8</w:t>
      </w:r>
      <w:r>
        <w:rPr>
          <w:rFonts w:hint="eastAsia" w:cs="宋体" w:asciiTheme="minorEastAsia" w:hAnsiTheme="minorEastAsia" w:eastAsiaTheme="minorEastAsia"/>
          <w:b/>
          <w:bCs/>
          <w:sz w:val="21"/>
          <w:szCs w:val="21"/>
          <w:highlight w:val="none"/>
          <w:lang w:val="zh-CN"/>
        </w:rPr>
        <w:t xml:space="preserve">、</w:t>
      </w:r>
      <w:r>
        <w:rPr>
          <w:rFonts w:hint="eastAsia" w:cs="宋体" w:asciiTheme="minorEastAsia" w:hAnsiTheme="minorEastAsia" w:eastAsiaTheme="minorEastAsia"/>
          <w:b/>
          <w:bCs/>
          <w:sz w:val="21"/>
          <w:szCs w:val="21"/>
          <w:highlight w:val="none"/>
        </w:rPr>
        <w:t xml:space="preserve">投标文件中的电子签章视为投标人对本声明进行了签署盖章并承担相应责任</w:t>
      </w:r>
      <w:bookmarkEnd w:id="145"/>
      <w:r>
        <w:rPr>
          <w:rFonts w:hint="eastAsia" w:cs="宋体" w:asciiTheme="minorEastAsia" w:hAnsiTheme="minorEastAsia" w:eastAsiaTheme="minorEastAsia"/>
          <w:b/>
          <w:bCs/>
          <w:sz w:val="21"/>
          <w:szCs w:val="21"/>
          <w:highlight w:val="none"/>
        </w:rPr>
        <w:t xml:space="preserve">；</w:t>
      </w:r>
      <w:r>
        <w:rPr>
          <w:highlight w:val="none"/>
        </w:rPr>
      </w:r>
      <w:r/>
    </w:p>
    <w:p>
      <w:pPr>
        <w:ind w:firstLine="422"/>
        <w:shd w:val="clear" w:color="auto"/>
        <w:rPr>
          <w:rFonts w:ascii="宋体" w:hAnsi="宋体" w:eastAsia="宋体" w:cs="宋体"/>
          <w:b/>
          <w:bCs/>
          <w:color w:val="auto"/>
          <w:sz w:val="21"/>
          <w:szCs w:val="21"/>
          <w:highlight w:val="none"/>
        </w:rPr>
      </w:pPr>
      <w:r>
        <w:rPr>
          <w:rFonts w:hint="eastAsia" w:cs="宋体" w:asciiTheme="minorEastAsia" w:hAnsiTheme="minorEastAsia" w:eastAsiaTheme="minorEastAsia"/>
          <w:b/>
          <w:bCs/>
          <w:sz w:val="21"/>
          <w:szCs w:val="21"/>
          <w:highlight w:val="none"/>
        </w:rPr>
        <w:t xml:space="preserve">9、中标单位享受中小企业扶持政策的，《中小企业声明函》将随中标结果同时公告。</w:t>
      </w:r>
      <w:r/>
    </w:p>
    <w:p>
      <w:pPr>
        <w:pStyle w:val="1256"/>
        <w:spacing w:line="360" w:lineRule="auto"/>
        <w:shd w:val="clear" w:color="auto"/>
        <w:rPr>
          <w:rFonts w:hint="default" w:hAnsi="宋体" w:eastAsia="宋体"/>
          <w:b/>
          <w:color w:val="auto"/>
          <w:sz w:val="21"/>
          <w:szCs w:val="21"/>
          <w:highlight w:val="none"/>
        </w:rPr>
        <w:outlineLvl w:val="0"/>
      </w:pPr>
      <w:r>
        <w:rPr>
          <w:rFonts w:ascii="Times New Roman" w:hAnsi="Times New Roman" w:eastAsia="宋体"/>
          <w:color w:val="auto"/>
          <w:sz w:val="21"/>
          <w:szCs w:val="22"/>
          <w:highlight w:val="none"/>
        </w:rPr>
        <w:br w:type="page" w:clear="all"/>
      </w:r>
      <w:bookmarkStart w:id="146" w:name="_Toc11248448"/>
      <w:r/>
      <w:bookmarkStart w:id="147" w:name="_Toc59044754"/>
      <w:r/>
      <w:bookmarkStart w:id="148" w:name="_Toc11248382"/>
      <w:r/>
      <w:bookmarkStart w:id="149" w:name="_Toc21614"/>
      <w:r/>
      <w:bookmarkStart w:id="150" w:name="_Toc32736"/>
      <w:r/>
      <w:bookmarkStart w:id="151" w:name="_Toc28680"/>
      <w:r/>
      <w:bookmarkStart w:id="152" w:name="_Toc17993"/>
      <w:r/>
      <w:bookmarkStart w:id="153" w:name="_Toc30232"/>
      <w:r>
        <w:rPr>
          <w:rFonts w:hAnsi="宋体" w:eastAsia="宋体"/>
          <w:b/>
          <w:color w:val="auto"/>
          <w:sz w:val="21"/>
          <w:szCs w:val="21"/>
          <w:highlight w:val="none"/>
        </w:rPr>
        <w:t xml:space="preserve">格式11、残疾人福利性单位声明函</w:t>
      </w:r>
      <w:bookmarkEnd w:id="146"/>
      <w:r/>
      <w:bookmarkEnd w:id="147"/>
      <w:r/>
      <w:bookmarkEnd w:id="148"/>
      <w:r>
        <w:rPr>
          <w:rFonts w:hAnsi="宋体" w:eastAsia="宋体"/>
          <w:b/>
          <w:color w:val="auto"/>
          <w:sz w:val="21"/>
          <w:szCs w:val="21"/>
          <w:highlight w:val="none"/>
        </w:rPr>
        <w:t xml:space="preserve">（如属）</w:t>
      </w:r>
      <w:bookmarkEnd w:id="149"/>
      <w:r/>
      <w:bookmarkEnd w:id="150"/>
      <w:r/>
      <w:bookmarkEnd w:id="151"/>
      <w:r/>
      <w:bookmarkEnd w:id="152"/>
      <w:r/>
      <w:bookmarkEnd w:id="153"/>
      <w:r/>
      <w:r/>
    </w:p>
    <w:p>
      <w:pPr>
        <w:jc w:val="center"/>
        <w:spacing w:line="580" w:lineRule="exact"/>
        <w:shd w:val="clear" w:color="auto"/>
        <w:rPr>
          <w:rFonts w:eastAsia="方正小标宋简体"/>
          <w:color w:val="auto"/>
          <w:spacing w:val="6"/>
          <w:sz w:val="44"/>
          <w:szCs w:val="32"/>
          <w:highlight w:val="none"/>
        </w:rPr>
      </w:pPr>
      <w:r/>
      <w:bookmarkStart w:id="154" w:name="OLE_LINK14"/>
      <w:r/>
      <w:bookmarkStart w:id="155" w:name="OLE_LINK13"/>
      <w:r/>
      <w:r/>
    </w:p>
    <w:p>
      <w:pPr>
        <w:jc w:val="center"/>
        <w:shd w:val="clear" w:color="auto"/>
        <w:rPr>
          <w:rFonts w:ascii="黑体" w:eastAsia="黑体"/>
          <w:b/>
          <w:color w:val="auto"/>
          <w:sz w:val="30"/>
          <w:szCs w:val="30"/>
          <w:highlight w:val="none"/>
        </w:rPr>
        <w:outlineLvl w:val="3"/>
      </w:pPr>
      <w:r>
        <w:rPr>
          <w:rFonts w:hint="eastAsia" w:ascii="黑体" w:eastAsia="黑体"/>
          <w:b/>
          <w:color w:val="auto"/>
          <w:sz w:val="30"/>
          <w:szCs w:val="30"/>
          <w:highlight w:val="none"/>
          <w:lang w:val="zh-CN"/>
        </w:rPr>
        <w:t xml:space="preserve">残疾人福利性单位声明函</w:t>
      </w:r>
      <w:bookmarkEnd w:id="154"/>
      <w:r/>
      <w:bookmarkEnd w:id="155"/>
      <w:r/>
      <w:r/>
    </w:p>
    <w:p>
      <w:pPr>
        <w:spacing w:line="580" w:lineRule="exact"/>
        <w:shd w:val="clear" w:color="auto"/>
        <w:rPr>
          <w:rFonts w:eastAsia="仿宋_GB2312"/>
          <w:b/>
          <w:color w:val="auto"/>
          <w:spacing w:val="6"/>
          <w:szCs w:val="32"/>
          <w:highlight w:val="none"/>
        </w:rPr>
      </w:pPr>
      <w:r>
        <w:rPr>
          <w:rFonts w:eastAsia="仿宋_GB2312"/>
          <w:b/>
          <w:color w:val="auto"/>
          <w:spacing w:val="6"/>
          <w:szCs w:val="32"/>
          <w:highlight w:val="none"/>
        </w:rPr>
      </w:r>
      <w:r/>
    </w:p>
    <w:p>
      <w:pPr>
        <w:ind w:firstLine="420"/>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shd w:val="clear" w:color="auto"/>
        <w:widowControl/>
        <w:rPr>
          <w:rFonts w:eastAsia="Arial"/>
          <w:color w:val="auto"/>
          <w:sz w:val="21"/>
          <w:szCs w:val="21"/>
          <w:highlight w:val="none"/>
        </w:rPr>
      </w:pPr>
      <w:r>
        <w:rPr>
          <w:rFonts w:eastAsia="Arial"/>
          <w:color w:val="auto"/>
          <w:sz w:val="21"/>
          <w:szCs w:val="21"/>
          <w:highlight w:val="none"/>
        </w:rPr>
      </w:r>
      <w:r/>
    </w:p>
    <w:p>
      <w:pPr>
        <w:ind w:firstLine="420"/>
        <w:spacing w:line="360" w:lineRule="auto"/>
        <w:shd w:val="clear" w:color="auto"/>
        <w:widowControl/>
        <w:rPr>
          <w:rFonts w:eastAsia="Arial"/>
          <w:color w:val="auto"/>
          <w:sz w:val="21"/>
          <w:szCs w:val="21"/>
          <w:highlight w:val="none"/>
        </w:rPr>
      </w:pPr>
      <w:r>
        <w:rPr>
          <w:rFonts w:eastAsia="Arial"/>
          <w:color w:val="auto"/>
          <w:sz w:val="21"/>
          <w:szCs w:val="21"/>
          <w:highlight w:val="none"/>
        </w:rPr>
        <w:t xml:space="preserve">本单位对上述声明的真实性负责。如有虚假，将依法承担相应责任。</w:t>
      </w:r>
      <w:r/>
    </w:p>
    <w:p>
      <w:pPr>
        <w:spacing w:line="360" w:lineRule="auto"/>
        <w:shd w:val="clear" w:color="auto"/>
        <w:widowControl/>
        <w:rPr>
          <w:rFonts w:eastAsia="Arial"/>
          <w:color w:val="auto"/>
          <w:sz w:val="21"/>
          <w:szCs w:val="21"/>
          <w:highlight w:val="none"/>
        </w:rPr>
      </w:pPr>
      <w:r>
        <w:rPr>
          <w:rFonts w:eastAsia="Arial"/>
          <w:color w:val="auto"/>
          <w:sz w:val="21"/>
          <w:szCs w:val="21"/>
          <w:highlight w:val="none"/>
        </w:rPr>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单位名称（盖章）：</w:t>
      </w:r>
      <w:r/>
    </w:p>
    <w:p>
      <w:pPr>
        <w:ind w:firstLine="420"/>
        <w:spacing w:line="360" w:lineRule="auto"/>
        <w:shd w:val="clear" w:color="auto"/>
        <w:rPr>
          <w:rFonts w:eastAsia="Arial"/>
          <w:color w:val="auto"/>
          <w:sz w:val="21"/>
          <w:szCs w:val="21"/>
          <w:highlight w:val="none"/>
        </w:rPr>
      </w:pPr>
      <w:r>
        <w:rPr>
          <w:rFonts w:eastAsia="Arial"/>
          <w:color w:val="auto"/>
          <w:sz w:val="21"/>
          <w:szCs w:val="21"/>
          <w:highlight w:val="none"/>
        </w:rPr>
        <w:t xml:space="preserve">日期：年月日</w:t>
      </w:r>
      <w:r/>
    </w:p>
    <w:p>
      <w:pPr>
        <w:pStyle w:val="1256"/>
        <w:spacing w:line="360" w:lineRule="auto"/>
        <w:rPr>
          <w:rFonts w:asciiTheme="minorEastAsia" w:hAnsiTheme="minorEastAsia" w:eastAsiaTheme="minorEastAsia"/>
          <w:b/>
          <w:sz w:val="21"/>
          <w:szCs w:val="21"/>
          <w:highlight w:val="none"/>
        </w:rPr>
        <w:outlineLvl w:val="1"/>
      </w:pPr>
      <w:r/>
      <w:bookmarkStart w:id="156" w:name="_Toc13642115"/>
      <w:r/>
      <w:bookmarkStart w:id="157" w:name="_Toc387680520"/>
      <w:r/>
      <w:bookmarkStart w:id="158" w:name="_Toc13642223"/>
      <w:r>
        <w:rPr>
          <w:color w:val="auto"/>
          <w:highlight w:val="none"/>
        </w:rPr>
        <w:br w:type="page" w:clear="all"/>
      </w:r>
      <w:bookmarkStart w:id="159" w:name="_Toc15237"/>
      <w:r/>
      <w:bookmarkStart w:id="160" w:name="_Toc11146"/>
      <w:r/>
      <w:bookmarkStart w:id="161" w:name="_Toc17115"/>
      <w:r/>
      <w:bookmarkStart w:id="162" w:name="_Toc1076"/>
      <w:r/>
      <w:bookmarkStart w:id="163" w:name="_Toc18051"/>
      <w:r>
        <w:rPr>
          <w:rFonts w:hint="eastAsia" w:ascii="宋体" w:hAnsi="宋体" w:eastAsia="宋体"/>
          <w:b/>
          <w:color w:val="auto"/>
          <w:sz w:val="21"/>
          <w:szCs w:val="21"/>
          <w:highlight w:val="none"/>
        </w:rPr>
        <w:t xml:space="preserve">格式12、</w:t>
      </w:r>
      <w:r>
        <w:rPr>
          <w:rFonts w:asciiTheme="minorEastAsia" w:hAnsiTheme="minorEastAsia" w:eastAsiaTheme="minorEastAsia"/>
          <w:b/>
          <w:sz w:val="21"/>
          <w:szCs w:val="21"/>
          <w:highlight w:val="none"/>
        </w:rPr>
        <w:t xml:space="preserve">关于符合本国产品标准的声明函</w:t>
      </w:r>
      <w:r/>
    </w:p>
    <w:p>
      <w:pPr>
        <w:jc w:val="center"/>
        <w:keepLines w:val="0"/>
        <w:keepNext w:val="0"/>
        <w:pageBreakBefore w:val="0"/>
        <w:spacing w:beforeAutospacing="0" w:afterAutospacing="0" w:line="480" w:lineRule="auto"/>
        <w:shd w:val="clear" w:color="auto"/>
        <w:widowControl w:val="off"/>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关于符合本国产品标准的声明函</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1.</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（产品名称1）</w:t>
      </w:r>
      <w:r>
        <w:rPr>
          <w:rStyle w:val="884"/>
          <w:rFonts w:hint="eastAsia" w:cs="宋体" w:asciiTheme="minorEastAsia" w:hAnsiTheme="minorEastAsia" w:eastAsiaTheme="minorEastAsia"/>
          <w:i w:val="0"/>
          <w:sz w:val="24"/>
          <w:szCs w:val="24"/>
          <w:highlight w:val="none"/>
          <w:shd w:val="clear" w:color="auto" w:fill="ffffff"/>
          <w:vertAlign w:val="superscript"/>
          <w:lang w:val="en-US" w:eastAsia="zh-CN" w:bidi="ar-SA"/>
        </w:rPr>
        <w:t xml:space="preserve">1</w:t>
      </w:r>
      <w:r>
        <w:rPr>
          <w:rFonts w:hint="eastAsia" w:cs="宋体" w:asciiTheme="minorEastAsia" w:hAnsiTheme="minorEastAsia" w:eastAsiaTheme="minorEastAsia"/>
          <w:sz w:val="24"/>
          <w:szCs w:val="24"/>
          <w:highlight w:val="none"/>
          <w:shd w:val="clear" w:color="auto" w:fill="ffffff"/>
          <w:lang w:val="en-US" w:eastAsia="zh-CN" w:bidi="ar-SA"/>
        </w:rPr>
        <w:t xml:space="preserve">，</w:t>
      </w:r>
      <w:r>
        <w:rPr>
          <w:rFonts w:hint="eastAsia" w:cs="宋体" w:asciiTheme="minorEastAsia" w:hAnsiTheme="minorEastAsia" w:eastAsiaTheme="minorEastAsia"/>
          <w:sz w:val="24"/>
          <w:szCs w:val="24"/>
          <w:highlight w:val="none"/>
          <w:u w:val="single"/>
          <w:shd w:val="clear" w:color="auto" w:fill="ffffff"/>
          <w:lang w:val="en-US" w:eastAsia="zh-CN" w:bidi="ar-SA"/>
        </w:rPr>
        <w:t xml:space="preserve">生产厂为</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（厂名）</w:t>
      </w:r>
      <w:r>
        <w:rPr>
          <w:rStyle w:val="884"/>
          <w:rFonts w:hint="eastAsia" w:cs="宋体" w:asciiTheme="minorEastAsia" w:hAnsiTheme="minorEastAsia" w:eastAsiaTheme="minorEastAsia"/>
          <w:i w:val="0"/>
          <w:sz w:val="24"/>
          <w:szCs w:val="24"/>
          <w:highlight w:val="none"/>
          <w:shd w:val="clear" w:color="auto" w:fill="ffffff"/>
          <w:vertAlign w:val="superscript"/>
          <w:lang w:val="en-US" w:eastAsia="zh-CN" w:bidi="ar-SA"/>
        </w:rPr>
        <w:t xml:space="preserve">2</w:t>
      </w:r>
      <w:r>
        <w:rPr>
          <w:rFonts w:hint="eastAsia" w:cs="宋体" w:asciiTheme="minorEastAsia" w:hAnsiTheme="minorEastAsia" w:eastAsiaTheme="minorEastAsia"/>
          <w:sz w:val="24"/>
          <w:szCs w:val="24"/>
          <w:highlight w:val="none"/>
          <w:shd w:val="clear" w:color="auto" w:fill="ffffff"/>
          <w:lang w:val="en-US" w:eastAsia="zh-CN" w:bidi="ar-SA"/>
        </w:rPr>
        <w:t xml:space="preserve">，厂址为</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（生产厂址）</w:t>
      </w:r>
      <w:r>
        <w:rPr>
          <w:rFonts w:hint="eastAsia" w:cs="宋体" w:asciiTheme="minorEastAsia" w:hAnsiTheme="minorEastAsia" w:eastAsiaTheme="minorEastAsia"/>
          <w:sz w:val="24"/>
          <w:szCs w:val="24"/>
          <w:highlight w:val="none"/>
          <w:shd w:val="clear" w:color="auto" w:fill="ffffff"/>
          <w:lang w:val="en-US" w:eastAsia="zh-CN" w:bidi="ar-SA"/>
        </w:rPr>
        <w:t xml:space="preserve">。</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（产品名称1）</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的中国境内生产的组件成本占比≥</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（规定比例）</w:t>
      </w:r>
      <w:r>
        <w:rPr>
          <w:rStyle w:val="884"/>
          <w:rFonts w:hint="eastAsia" w:cs="宋体" w:asciiTheme="minorEastAsia" w:hAnsiTheme="minorEastAsia" w:eastAsiaTheme="minorEastAsia"/>
          <w:i w:val="0"/>
          <w:sz w:val="24"/>
          <w:szCs w:val="24"/>
          <w:highlight w:val="none"/>
          <w:shd w:val="clear" w:color="auto" w:fill="ffffff"/>
          <w:vertAlign w:val="superscript"/>
          <w:lang w:val="en-US" w:eastAsia="zh-CN" w:bidi="ar-SA"/>
        </w:rPr>
        <w:t xml:space="preserve">3</w:t>
      </w:r>
      <w:r>
        <w:rPr>
          <w:rFonts w:hint="eastAsia" w:cs="宋体" w:asciiTheme="minorEastAsia" w:hAnsiTheme="minorEastAsia" w:eastAsiaTheme="minorEastAsia"/>
          <w:strike/>
          <w:sz w:val="24"/>
          <w:szCs w:val="24"/>
          <w:highlight w:val="none"/>
          <w:shd w:val="clear" w:color="auto" w:fill="ffffff"/>
          <w:lang w:val="en-US" w:eastAsia="zh-CN" w:bidi="ar-SA"/>
        </w:rPr>
        <w:t xml:space="preserve">。</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（产品名称1）</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（关键组件）</w:t>
      </w:r>
      <w:r>
        <w:rPr>
          <w:rStyle w:val="884"/>
          <w:rFonts w:hint="eastAsia" w:cs="宋体" w:asciiTheme="minorEastAsia" w:hAnsiTheme="minorEastAsia" w:eastAsiaTheme="minorEastAsia"/>
          <w:i w:val="0"/>
          <w:sz w:val="24"/>
          <w:szCs w:val="24"/>
          <w:highlight w:val="none"/>
          <w:shd w:val="clear" w:color="auto" w:fill="ffffff"/>
          <w:vertAlign w:val="superscript"/>
          <w:lang w:val="en-US" w:eastAsia="zh-CN" w:bidi="ar-SA"/>
        </w:rPr>
        <w:t xml:space="preserve">4</w:t>
      </w:r>
      <w:r>
        <w:rPr>
          <w:rFonts w:hint="eastAsia" w:cs="宋体" w:asciiTheme="minorEastAsia" w:hAnsiTheme="minorEastAsia" w:eastAsiaTheme="minorEastAsia"/>
          <w:strike/>
          <w:sz w:val="24"/>
          <w:szCs w:val="24"/>
          <w:highlight w:val="none"/>
          <w:shd w:val="clear" w:color="auto" w:fill="ffffff"/>
          <w:lang w:val="en-US" w:eastAsia="zh-CN" w:bidi="ar-SA"/>
        </w:rPr>
        <w:t xml:space="preserve">在中国境内生产。</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（产品名称1）</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（关键工序）</w:t>
      </w:r>
      <w:r>
        <w:rPr>
          <w:rStyle w:val="884"/>
          <w:rFonts w:hint="eastAsia" w:cs="宋体" w:asciiTheme="minorEastAsia" w:hAnsiTheme="minorEastAsia" w:eastAsiaTheme="minorEastAsia"/>
          <w:i w:val="0"/>
          <w:sz w:val="24"/>
          <w:szCs w:val="24"/>
          <w:highlight w:val="none"/>
          <w:shd w:val="clear" w:color="auto" w:fill="ffffff"/>
          <w:vertAlign w:val="superscript"/>
          <w:lang w:val="en-US" w:eastAsia="zh-CN" w:bidi="ar-SA"/>
        </w:rPr>
        <w:t xml:space="preserve">5</w:t>
      </w:r>
      <w:r>
        <w:rPr>
          <w:rFonts w:hint="eastAsia" w:cs="宋体" w:asciiTheme="minorEastAsia" w:hAnsiTheme="minorEastAsia" w:eastAsiaTheme="minorEastAsia"/>
          <w:strike/>
          <w:sz w:val="24"/>
          <w:szCs w:val="24"/>
          <w:highlight w:val="none"/>
          <w:shd w:val="clear" w:color="auto" w:fill="ffffff"/>
          <w:lang w:val="en-US" w:eastAsia="zh-CN" w:bidi="ar-SA"/>
        </w:rPr>
        <w:t xml:space="preserve">在中国境内完成。</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trike/>
          <w:sz w:val="24"/>
          <w:szCs w:val="24"/>
          <w:highlight w:val="none"/>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2.</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（产品名称2）</w:t>
      </w:r>
      <w:r>
        <w:rPr>
          <w:rFonts w:hint="eastAsia" w:cs="宋体" w:asciiTheme="minorEastAsia" w:hAnsiTheme="minorEastAsia" w:eastAsiaTheme="minorEastAsia"/>
          <w:sz w:val="24"/>
          <w:szCs w:val="24"/>
          <w:highlight w:val="none"/>
          <w:shd w:val="clear" w:color="auto" w:fill="ffffff"/>
          <w:lang w:val="en-US" w:eastAsia="zh-CN" w:bidi="ar-SA"/>
        </w:rPr>
        <w:t xml:space="preserve">，生产厂为</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（厂名）</w:t>
      </w:r>
      <w:r>
        <w:rPr>
          <w:rFonts w:hint="eastAsia" w:cs="宋体" w:asciiTheme="minorEastAsia" w:hAnsiTheme="minorEastAsia" w:eastAsiaTheme="minorEastAsia"/>
          <w:sz w:val="24"/>
          <w:szCs w:val="24"/>
          <w:highlight w:val="none"/>
          <w:shd w:val="clear" w:color="auto" w:fill="ffffff"/>
          <w:lang w:val="en-US" w:eastAsia="zh-CN" w:bidi="ar-SA"/>
        </w:rPr>
        <w:t xml:space="preserve">，厂址为</w:t>
      </w:r>
      <w:r>
        <w:rPr>
          <w:rStyle w:val="884"/>
          <w:rFonts w:hint="eastAsia" w:cs="宋体" w:asciiTheme="minorEastAsia" w:hAnsiTheme="minorEastAsia" w:eastAsiaTheme="minorEastAsia"/>
          <w:i w:val="0"/>
          <w:sz w:val="24"/>
          <w:szCs w:val="24"/>
          <w:highlight w:val="none"/>
          <w:u w:val="single"/>
          <w:shd w:val="clear" w:color="auto" w:fill="ffffff"/>
          <w:lang w:val="en-US" w:eastAsia="zh-CN" w:bidi="ar-SA"/>
        </w:rPr>
        <w:t xml:space="preserve">（生产厂址）</w:t>
      </w:r>
      <w:r>
        <w:rPr>
          <w:rFonts w:hint="eastAsia" w:cs="宋体" w:asciiTheme="minorEastAsia" w:hAnsiTheme="minorEastAsia" w:eastAsiaTheme="minorEastAsia"/>
          <w:sz w:val="24"/>
          <w:szCs w:val="24"/>
          <w:highlight w:val="none"/>
          <w:shd w:val="clear" w:color="auto" w:fill="ffffff"/>
          <w:lang w:val="en-US" w:eastAsia="zh-CN" w:bidi="ar-SA"/>
        </w:rPr>
        <w:t xml:space="preserve">。</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（产品名称2）</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的中国境内生产的组件成本占比≥</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（规定比例）</w:t>
      </w:r>
      <w:r>
        <w:rPr>
          <w:rFonts w:hint="eastAsia" w:cs="宋体" w:asciiTheme="minorEastAsia" w:hAnsiTheme="minorEastAsia" w:eastAsiaTheme="minorEastAsia"/>
          <w:strike/>
          <w:sz w:val="24"/>
          <w:szCs w:val="24"/>
          <w:highlight w:val="none"/>
          <w:shd w:val="clear" w:color="auto" w:fill="ffffff"/>
          <w:lang w:val="en-US" w:eastAsia="zh-CN" w:bidi="ar-SA"/>
        </w:rPr>
        <w:t xml:space="preserve">。</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（产品名称2）</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（关键组件）</w:t>
      </w:r>
      <w:r>
        <w:rPr>
          <w:rFonts w:hint="eastAsia" w:cs="宋体" w:asciiTheme="minorEastAsia" w:hAnsiTheme="minorEastAsia" w:eastAsiaTheme="minorEastAsia"/>
          <w:strike/>
          <w:sz w:val="24"/>
          <w:szCs w:val="24"/>
          <w:highlight w:val="none"/>
          <w:shd w:val="clear" w:color="auto" w:fill="ffffff"/>
          <w:lang w:val="en-US" w:eastAsia="zh-CN" w:bidi="ar-SA"/>
        </w:rPr>
        <w:t xml:space="preserve">在中国境内生产。</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（产品名称2）</w:t>
      </w:r>
      <w:r>
        <w:rPr>
          <w:rFonts w:hint="eastAsia" w:cs="宋体" w:asciiTheme="minorEastAsia" w:hAnsiTheme="minorEastAsia" w:eastAsiaTheme="minorEastAsia"/>
          <w:strike/>
          <w:sz w:val="24"/>
          <w:szCs w:val="24"/>
          <w:highlight w:val="none"/>
          <w:shd w:val="clear" w:color="auto" w:fill="ffffff"/>
          <w:lang w:val="en-US" w:eastAsia="zh-CN" w:bidi="ar-SA"/>
        </w:rPr>
        <w:t xml:space="preserve">的</w:t>
      </w:r>
      <w:r>
        <w:rPr>
          <w:rStyle w:val="884"/>
          <w:rFonts w:hint="eastAsia" w:cs="宋体" w:asciiTheme="minorEastAsia" w:hAnsiTheme="minorEastAsia" w:eastAsiaTheme="minorEastAsia"/>
          <w:i w:val="0"/>
          <w:strike/>
          <w:sz w:val="24"/>
          <w:szCs w:val="24"/>
          <w:highlight w:val="none"/>
          <w:u w:val="single"/>
          <w:shd w:val="clear" w:color="auto" w:fill="ffffff"/>
          <w:lang w:val="en-US" w:eastAsia="zh-CN" w:bidi="ar-SA"/>
        </w:rPr>
        <w:t xml:space="preserve">（关键工序）</w:t>
      </w:r>
      <w:r>
        <w:rPr>
          <w:rFonts w:hint="eastAsia" w:cs="宋体" w:asciiTheme="minorEastAsia" w:hAnsiTheme="minorEastAsia" w:eastAsiaTheme="minorEastAsia"/>
          <w:strike/>
          <w:sz w:val="24"/>
          <w:szCs w:val="24"/>
          <w:highlight w:val="none"/>
          <w:shd w:val="clear" w:color="auto" w:fill="ffffff"/>
          <w:lang w:val="en-US" w:eastAsia="zh-CN" w:bidi="ar-SA"/>
        </w:rPr>
        <w:t xml:space="preserve">在中国境内完成。</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shd w:val="clear" w:color="auto" w:fill="ffffff"/>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shd w:val="clear" w:color="auto" w:fill="ffffff"/>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cs="宋体" w:asciiTheme="minorEastAsia" w:hAnsiTheme="minorEastAsia" w:eastAsiaTheme="minorEastAsia"/>
          <w:sz w:val="24"/>
          <w:szCs w:val="24"/>
          <w:highlight w:val="none"/>
          <w:u w:val="single"/>
          <w:shd w:val="clear" w:color="auto" w:fill="ffffff"/>
          <w:lang w:val="en-US" w:eastAsia="zh-CN" w:bidi="ar-SA"/>
        </w:rPr>
        <w:t xml:space="preserve">   </w:t>
      </w:r>
      <w:r>
        <w:rPr>
          <w:rFonts w:hint="eastAsia" w:cs="宋体" w:asciiTheme="minorEastAsia" w:hAnsiTheme="minorEastAsia" w:eastAsiaTheme="minorEastAsia"/>
          <w:sz w:val="24"/>
          <w:szCs w:val="24"/>
          <w:highlight w:val="none"/>
          <w:shd w:val="clear" w:color="auto" w:fill="ffffff"/>
          <w:lang w:val="en-US" w:eastAsia="zh-CN" w:bidi="ar-SA"/>
        </w:rPr>
        <w:t xml:space="preserve">%。</w:t>
      </w:r>
      <w:r>
        <w:rPr>
          <w:rStyle w:val="884"/>
          <w:rFonts w:asciiTheme="minorEastAsia" w:hAnsiTheme="minorEastAsia" w:eastAsiaTheme="minorEastAsia"/>
          <w:highlight w:val="none"/>
          <w:vertAlign w:val="superscript"/>
          <w:lang w:val="en-US" w:eastAsia="zh-CN" w:bidi="ar-SA"/>
        </w:rPr>
        <w:t xml:space="preserve">6</w:t>
      </w:r>
      <w:r/>
    </w:p>
    <w:p>
      <w:pPr>
        <w:ind w:firstLine="420"/>
        <w:jc w:val="both"/>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本公司（单位）对上述声明内容的真实性负责。如有虚假，愿承担相应法律责任。</w:t>
      </w:r>
      <w:r/>
    </w:p>
    <w:p>
      <w:pPr>
        <w:jc w:val="center"/>
        <w:spacing w:before="24" w:beforeAutospacing="0" w:after="24" w:afterAutospacing="0" w:line="360" w:lineRule="auto"/>
        <w:shd w:val="clear" w:color="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shd w:val="clear" w:color="auto" w:fill="ffffff"/>
          <w:lang w:val="en-US" w:eastAsia="zh-CN" w:bidi="ar-SA"/>
        </w:rPr>
        <w:t xml:space="preserve">                             公司（单位）名称（盖章）：　</w:t>
      </w:r>
      <w:r>
        <w:rPr>
          <w:rFonts w:cs="宋体" w:asciiTheme="minorEastAsia" w:hAnsiTheme="minorEastAsia" w:eastAsiaTheme="minorEastAsia"/>
          <w:sz w:val="24"/>
          <w:szCs w:val="24"/>
          <w:highlight w:val="none"/>
          <w:shd w:val="clear" w:color="auto" w:fill="ffffff"/>
          <w:lang w:val="en-US" w:eastAsia="zh-CN" w:bidi="ar-SA"/>
        </w:rPr>
        <w:t xml:space="preserve">        </w:t>
      </w:r>
      <w:r/>
    </w:p>
    <w:p>
      <w:pPr>
        <w:ind w:left="15" w:right="15" w:firstLine="480"/>
        <w:jc w:val="right"/>
        <w:spacing w:line="312" w:lineRule="auto"/>
        <w:shd w:val="clear" w:color="auto"/>
        <w:rPr>
          <w:rFonts w:hint="eastAsia" w:cs="宋体" w:asciiTheme="minorEastAsia" w:hAnsiTheme="minorEastAsia" w:eastAsiaTheme="minorEastAsia"/>
          <w:sz w:val="24"/>
          <w:szCs w:val="24"/>
          <w:highlight w:val="none"/>
          <w:shd w:val="clear" w:color="auto" w:fill="ffffff"/>
        </w:rPr>
      </w:pPr>
      <w:r>
        <w:rPr>
          <w:rFonts w:hint="eastAsia" w:cs="宋体" w:asciiTheme="minorEastAsia" w:hAnsiTheme="minorEastAsia" w:eastAsiaTheme="minorEastAsia"/>
          <w:sz w:val="24"/>
          <w:szCs w:val="24"/>
          <w:highlight w:val="none"/>
          <w:shd w:val="clear" w:color="auto" w:fill="ffffff"/>
        </w:rPr>
        <w:t xml:space="preserve">日期：　</w:t>
      </w:r>
      <w:r>
        <w:rPr>
          <w:rFonts w:hint="default" w:cs="宋体" w:asciiTheme="minorEastAsia" w:hAnsiTheme="minorEastAsia" w:eastAsiaTheme="minorEastAsia"/>
          <w:sz w:val="24"/>
          <w:szCs w:val="24"/>
          <w:highlight w:val="none"/>
          <w:shd w:val="clear" w:color="auto" w:fill="ffffff"/>
        </w:rPr>
        <w:t xml:space="preserve">     </w:t>
      </w:r>
      <w:r>
        <w:rPr>
          <w:rFonts w:hint="eastAsia" w:ascii="宋体" w:hAnsi="宋体" w:eastAsia="宋体" w:cs="宋体"/>
          <w:sz w:val="24"/>
          <w:szCs w:val="24"/>
          <w:highlight w:val="none"/>
          <w:shd w:val="clear" w:color="auto" w:fill="ffffff"/>
        </w:rPr>
        <w:t xml:space="preserve">年　</w:t>
      </w:r>
      <w:r>
        <w:rPr>
          <w:rFonts w:hint="default" w:cs="宋体" w:asciiTheme="minorEastAsia" w:hAnsiTheme="minorEastAsia" w:eastAsiaTheme="minorEastAsia"/>
          <w:sz w:val="24"/>
          <w:szCs w:val="24"/>
          <w:highlight w:val="none"/>
          <w:shd w:val="clear" w:color="auto" w:fill="ffffff"/>
        </w:rPr>
        <w:t xml:space="preserve">  </w:t>
      </w:r>
      <w:r>
        <w:rPr>
          <w:rFonts w:hint="eastAsia" w:ascii="宋体" w:hAnsi="宋体" w:eastAsia="宋体" w:cs="宋体"/>
          <w:sz w:val="24"/>
          <w:szCs w:val="24"/>
          <w:highlight w:val="none"/>
          <w:shd w:val="clear" w:color="auto" w:fill="ffffff"/>
        </w:rPr>
        <w:t xml:space="preserve">月　</w:t>
      </w:r>
      <w:r>
        <w:rPr>
          <w:rFonts w:hint="default" w:cs="宋体" w:asciiTheme="minorEastAsia" w:hAnsiTheme="minorEastAsia" w:eastAsiaTheme="minorEastAsia"/>
          <w:sz w:val="24"/>
          <w:szCs w:val="24"/>
          <w:highlight w:val="none"/>
          <w:shd w:val="clear" w:color="auto" w:fill="ffffff"/>
        </w:rPr>
        <w:t xml:space="preserve">  </w:t>
      </w:r>
      <w:r>
        <w:rPr>
          <w:rFonts w:hint="eastAsia" w:ascii="宋体" w:hAnsi="宋体" w:eastAsia="宋体" w:cs="宋体"/>
          <w:sz w:val="24"/>
          <w:szCs w:val="24"/>
          <w:highlight w:val="none"/>
          <w:shd w:val="clear" w:color="auto" w:fill="ffffff"/>
        </w:rPr>
        <w:t xml:space="preserve">日</w:t>
      </w:r>
      <w:r>
        <w:rPr>
          <w:rFonts w:hint="default" w:cs="宋体" w:asciiTheme="minorEastAsia" w:hAnsiTheme="minorEastAsia" w:eastAsiaTheme="minorEastAsia"/>
          <w:sz w:val="24"/>
          <w:szCs w:val="24"/>
          <w:highlight w:val="none"/>
          <w:shd w:val="clear" w:color="auto" w:fill="ffffff"/>
        </w:rPr>
        <w:t xml:space="preserve">  </w:t>
      </w:r>
      <w:r>
        <w:rPr>
          <w:rFonts w:hint="eastAsia" w:cs="宋体" w:asciiTheme="minorEastAsia" w:hAnsiTheme="minorEastAsia" w:eastAsiaTheme="minorEastAsia"/>
          <w:sz w:val="24"/>
          <w:szCs w:val="24"/>
          <w:highlight w:val="none"/>
          <w:shd w:val="clear" w:color="auto" w:fill="ffffff"/>
        </w:rPr>
        <w:tab/>
      </w:r>
      <w:r>
        <w:rPr>
          <w:rFonts w:hint="eastAsia" w:cs="宋体" w:asciiTheme="minorEastAsia" w:hAnsiTheme="minorEastAsia" w:eastAsiaTheme="minorEastAsia"/>
          <w:sz w:val="24"/>
          <w:szCs w:val="24"/>
          <w:highlight w:val="none"/>
          <w:shd w:val="clear" w:color="auto" w:fill="ffffff"/>
        </w:rPr>
        <w:tab/>
      </w:r>
      <w:r>
        <w:rPr>
          <w:rFonts w:hint="default" w:cs="宋体" w:asciiTheme="minorEastAsia" w:hAnsiTheme="minorEastAsia" w:eastAsiaTheme="minorEastAsia"/>
          <w:sz w:val="24"/>
          <w:szCs w:val="24"/>
          <w:highlight w:val="none"/>
          <w:shd w:val="clear" w:color="auto" w:fill="ffffff"/>
        </w:rPr>
        <w:t xml:space="preserve"> </w:t>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t xml:space="preserve">1.产品如有型号，请在“产品名称”栏一并填写。</w:t>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t xml:space="preserve">2.生产厂名与厂址应与生产厂营业执照载明的相关信息保持一致。</w:t>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t xml:space="preserve">3.该产品的中国境内生产的组件成本占比相关要求实施前，“规定比例”栏可不填，下同。</w:t>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t xml:space="preserve">4.该产品的关键组件要求实施前，“关键组件”栏可不填，下同。</w:t>
      </w:r>
      <w:r/>
    </w:p>
    <w:p>
      <w:pPr>
        <w:ind w:left="15" w:right="15" w:firstLine="480"/>
        <w:spacing w:line="312" w:lineRule="auto"/>
        <w:shd w:val="clear" w:color="auto"/>
        <w:rPr>
          <w:rFonts w:hint="eastAsia" w:asciiTheme="minorEastAsia" w:hAnsiTheme="minorEastAsia" w:eastAsiaTheme="minorEastAsia" w:cstheme="minorEastAsia"/>
          <w:color w:val="333333"/>
          <w:sz w:val="21"/>
          <w:szCs w:val="21"/>
          <w:highlight w:val="none"/>
        </w:rPr>
      </w:pPr>
      <w:r>
        <w:rPr>
          <w:rFonts w:hint="eastAsia" w:asciiTheme="minorEastAsia" w:hAnsiTheme="minorEastAsia" w:eastAsiaTheme="minorEastAsia" w:cstheme="minorEastAsia"/>
          <w:color w:val="333333"/>
          <w:sz w:val="21"/>
          <w:szCs w:val="21"/>
          <w:highlight w:val="none"/>
        </w:rPr>
        <w:t xml:space="preserve">5.该产品的关键工序要求实施前，“关键工序”栏可不填，下同。</w:t>
      </w:r>
      <w:r>
        <w:rPr>
          <w:rFonts w:hint="eastAsia" w:asciiTheme="minorEastAsia" w:hAnsiTheme="minorEastAsia" w:eastAsiaTheme="minorEastAsia" w:cstheme="minorEastAsia"/>
          <w:color w:val="333333"/>
          <w:sz w:val="21"/>
          <w:szCs w:val="21"/>
          <w:highlight w:val="none"/>
        </w:rPr>
        <w:tab/>
      </w:r>
      <w:r>
        <w:rPr>
          <w:rFonts w:hint="eastAsia" w:asciiTheme="minorEastAsia" w:hAnsiTheme="minorEastAsia" w:eastAsiaTheme="minorEastAsia" w:cstheme="minorEastAsia"/>
          <w:color w:val="333333"/>
          <w:sz w:val="21"/>
          <w:szCs w:val="21"/>
          <w:highlight w:val="none"/>
        </w:rPr>
        <w:tab/>
      </w:r>
      <w:r/>
    </w:p>
    <w:p>
      <w:pPr>
        <w:spacing w:line="360" w:lineRule="auto"/>
        <w:shd w:val="clear" w:color="auto"/>
        <w:rPr>
          <w:rFonts w:hint="eastAsia" w:ascii="宋体" w:hAnsi="宋体" w:eastAsia="宋体"/>
          <w:b/>
          <w:color w:val="auto"/>
          <w:sz w:val="21"/>
          <w:szCs w:val="21"/>
          <w:highlight w:val="none"/>
        </w:rPr>
        <w:outlineLvl w:val="0"/>
      </w:pPr>
      <w:r>
        <w:rPr>
          <w:rFonts w:hint="eastAsia" w:asciiTheme="minorEastAsia" w:hAnsiTheme="minorEastAsia" w:eastAsiaTheme="minorEastAsia" w:cstheme="minorEastAsia"/>
          <w:color w:val="333333"/>
          <w:sz w:val="21"/>
          <w:szCs w:val="21"/>
          <w:highlight w:val="none"/>
        </w:rPr>
        <w:t xml:space="preserve">6.</w:t>
      </w:r>
      <w:r>
        <w:rPr>
          <w:rFonts w:hint="eastAsia" w:asciiTheme="minorEastAsia" w:hAnsiTheme="minorEastAsia" w:eastAsiaTheme="minorEastAsia" w:cstheme="minorEastAsia"/>
          <w:sz w:val="21"/>
          <w:szCs w:val="21"/>
          <w:highlight w:val="none"/>
          <w:shd w:val="clear" w:color="auto" w:fill="ffffff"/>
        </w:rPr>
        <w:t xml:space="preserve">当采购项目或者采购包中含有多种产品，供应商为该采购项目或者采购包提供的符合本国产品标准的产品成</w:t>
      </w:r>
      <w:r>
        <w:rPr>
          <w:rFonts w:hint="eastAsia" w:cs="宋体" w:asciiTheme="minorEastAsia" w:hAnsiTheme="minorEastAsia" w:eastAsiaTheme="minorEastAsia"/>
          <w:sz w:val="21"/>
          <w:szCs w:val="21"/>
          <w:highlight w:val="none"/>
          <w:shd w:val="clear" w:color="auto" w:fill="ffffff"/>
        </w:rPr>
        <w:t xml:space="preserve">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shd w:val="clear" w:color="auto"/>
        <w:rPr>
          <w:rStyle w:val="1082"/>
          <w:rFonts w:ascii="黑体" w:eastAsia="黑体"/>
          <w:color w:val="auto"/>
          <w:sz w:val="32"/>
          <w:szCs w:val="32"/>
          <w:highlight w:val="none"/>
        </w:rPr>
        <w:outlineLvl w:val="0"/>
      </w:pPr>
      <w:r>
        <w:rPr>
          <w:rFonts w:hint="eastAsia" w:ascii="宋体" w:hAnsi="宋体" w:eastAsia="宋体"/>
          <w:b/>
          <w:color w:val="auto"/>
          <w:sz w:val="21"/>
          <w:szCs w:val="21"/>
          <w:highlight w:val="none"/>
        </w:rPr>
        <w:br w:type="page" w:clear="all"/>
      </w:r>
      <w:bookmarkEnd w:id="159"/>
      <w:r/>
      <w:bookmarkEnd w:id="160"/>
      <w:r/>
      <w:bookmarkEnd w:id="161"/>
      <w:r/>
      <w:bookmarkEnd w:id="162"/>
      <w:r/>
      <w:bookmarkEnd w:id="163"/>
      <w:r/>
      <w:bookmarkStart w:id="164" w:name="_Toc18828"/>
      <w:r/>
      <w:bookmarkStart w:id="165" w:name="_Toc31784"/>
      <w:r/>
      <w:bookmarkStart w:id="166" w:name="_Toc27075"/>
      <w:r/>
      <w:bookmarkStart w:id="167" w:name="_Toc3004"/>
      <w:r/>
      <w:bookmarkStart w:id="168" w:name="_Toc27717"/>
      <w:r/>
      <w:bookmarkStart w:id="169" w:name="_Toc22718"/>
      <w:r/>
      <w:bookmarkStart w:id="170" w:name="_Toc59044756"/>
      <w:r>
        <w:rPr>
          <w:rStyle w:val="1082"/>
          <w:rFonts w:hint="eastAsia" w:ascii="黑体" w:eastAsia="黑体"/>
          <w:color w:val="auto"/>
          <w:sz w:val="32"/>
          <w:szCs w:val="32"/>
          <w:highlight w:val="none"/>
        </w:rPr>
        <w:t xml:space="preserve">第四章 招标书</w:t>
      </w:r>
      <w:bookmarkEnd w:id="156"/>
      <w:r/>
      <w:bookmarkEnd w:id="157"/>
      <w:r/>
      <w:bookmarkEnd w:id="158"/>
      <w:r/>
      <w:bookmarkEnd w:id="164"/>
      <w:r/>
      <w:bookmarkEnd w:id="165"/>
      <w:r/>
      <w:bookmarkEnd w:id="166"/>
      <w:r/>
      <w:bookmarkEnd w:id="167"/>
      <w:r/>
      <w:bookmarkEnd w:id="168"/>
      <w:r/>
      <w:bookmarkEnd w:id="169"/>
      <w:r/>
      <w:bookmarkEnd w:id="170"/>
      <w:r/>
      <w:bookmarkStart w:id="171" w:name="_Toc13543212"/>
      <w:r/>
      <w:r/>
    </w:p>
    <w:p>
      <w:pPr>
        <w:ind w:firstLine="420"/>
        <w:spacing w:line="360" w:lineRule="auto"/>
        <w:shd w:val="clear" w:color="auto"/>
        <w:tabs>
          <w:tab w:val="left" w:pos="3600" w:leader="none"/>
        </w:tabs>
        <w:rPr>
          <w:rFonts w:eastAsia="宋体"/>
          <w:color w:val="auto"/>
          <w:sz w:val="21"/>
          <w:szCs w:val="21"/>
          <w:highlight w:val="none"/>
        </w:rPr>
      </w:pPr>
      <w:r>
        <w:rPr>
          <w:rFonts w:eastAsia="宋体"/>
          <w:color w:val="auto"/>
          <w:sz w:val="21"/>
          <w:szCs w:val="21"/>
          <w:highlight w:val="none"/>
          <w:lang w:val="zh-CN"/>
        </w:rPr>
        <w:t xml:space="preserve">受</w:t>
      </w:r>
      <w:r>
        <w:rPr>
          <w:rFonts w:hint="eastAsia" w:ascii="宋体" w:hAnsi="宋体" w:eastAsia="宋体"/>
          <w:color w:val="auto"/>
          <w:sz w:val="21"/>
          <w:szCs w:val="21"/>
          <w:highlight w:val="none"/>
          <w:lang w:eastAsia="zh-CN"/>
        </w:rPr>
        <w:t xml:space="preserve">苏州市姑苏区人民法院（机关）</w:t>
      </w:r>
      <w:r>
        <w:rPr>
          <w:rFonts w:eastAsia="宋体"/>
          <w:color w:val="auto"/>
          <w:sz w:val="21"/>
          <w:szCs w:val="21"/>
          <w:highlight w:val="none"/>
          <w:lang w:val="zh-CN"/>
        </w:rPr>
        <w:t xml:space="preserve">的委托，中诚智信工程咨询集团股份有限公司对其所需采购的</w:t>
      </w:r>
      <w:r>
        <w:rPr>
          <w:rFonts w:hint="eastAsia" w:hAnsi="宋体" w:eastAsia="宋体"/>
          <w:color w:val="auto"/>
          <w:sz w:val="21"/>
          <w:szCs w:val="21"/>
          <w:highlight w:val="none"/>
          <w:lang w:eastAsia="zh-CN"/>
        </w:rPr>
        <w:t xml:space="preserve">姑苏法院融合法庭建设项目</w:t>
      </w:r>
      <w:r>
        <w:rPr>
          <w:rFonts w:eastAsia="宋体"/>
          <w:color w:val="auto"/>
          <w:sz w:val="21"/>
          <w:szCs w:val="21"/>
          <w:highlight w:val="none"/>
          <w:lang w:val="zh-CN"/>
        </w:rPr>
        <w:t xml:space="preserve">在国内组织公开招标。欢迎符合招标公告投标资格条件的各供应商前来参加投标。</w:t>
      </w:r>
      <w:bookmarkEnd w:id="171"/>
      <w:r/>
      <w:r/>
    </w:p>
    <w:p>
      <w:pPr>
        <w:pStyle w:val="847"/>
        <w:ind w:firstLine="422"/>
        <w:spacing w:line="360" w:lineRule="auto"/>
        <w:shd w:val="clear" w:color="auto"/>
        <w:rPr>
          <w:rFonts w:hAnsi="宋体" w:eastAsia="宋体"/>
          <w:bCs/>
          <w:color w:val="auto"/>
          <w:sz w:val="21"/>
          <w:szCs w:val="21"/>
          <w:highlight w:val="none"/>
        </w:rPr>
        <w:outlineLvl w:val="1"/>
      </w:pPr>
      <w:r/>
      <w:bookmarkStart w:id="172" w:name="_Toc59044757"/>
      <w:r/>
      <w:bookmarkStart w:id="173" w:name="_Toc11248383"/>
      <w:r/>
      <w:bookmarkStart w:id="174" w:name="_Toc11248450"/>
      <w:r/>
      <w:bookmarkStart w:id="175" w:name="_Toc13642225"/>
      <w:r/>
      <w:bookmarkStart w:id="176" w:name="_Toc13642117"/>
      <w:r>
        <w:rPr>
          <w:rFonts w:hint="eastAsia" w:hAnsi="宋体" w:eastAsia="宋体"/>
          <w:b/>
          <w:color w:val="auto"/>
          <w:sz w:val="21"/>
          <w:szCs w:val="21"/>
          <w:highlight w:val="none"/>
        </w:rPr>
        <w:t xml:space="preserve">一、采购编号：</w:t>
      </w:r>
      <w:r>
        <w:rPr>
          <w:rFonts w:hint="eastAsia" w:hAnsi="宋体" w:eastAsia="宋体"/>
          <w:bCs/>
          <w:color w:val="auto"/>
          <w:sz w:val="21"/>
          <w:szCs w:val="21"/>
          <w:highlight w:val="none"/>
          <w:lang w:eastAsia="zh-CN"/>
        </w:rPr>
        <w:t xml:space="preserve">JSZC-320508-ZCZX-G2026-0061</w:t>
      </w:r>
      <w:r>
        <w:rPr>
          <w:rFonts w:hint="eastAsia" w:hAnsi="宋体" w:eastAsia="宋体"/>
          <w:bCs/>
          <w:color w:val="auto"/>
          <w:sz w:val="21"/>
          <w:szCs w:val="21"/>
          <w:highlight w:val="none"/>
        </w:rPr>
        <w:t xml:space="preserve">号</w:t>
      </w:r>
      <w:bookmarkEnd w:id="172"/>
      <w:r/>
      <w:bookmarkEnd w:id="173"/>
      <w:r/>
      <w:bookmarkEnd w:id="174"/>
      <w:r/>
      <w:r/>
    </w:p>
    <w:p>
      <w:pPr>
        <w:pStyle w:val="847"/>
        <w:ind w:firstLine="422"/>
        <w:spacing w:line="360" w:lineRule="auto"/>
        <w:shd w:val="clear" w:color="auto"/>
        <w:rPr>
          <w:rFonts w:hint="eastAsia" w:hAnsi="宋体" w:eastAsia="宋体"/>
          <w:bCs/>
          <w:color w:val="auto"/>
          <w:sz w:val="21"/>
          <w:szCs w:val="21"/>
          <w:highlight w:val="none"/>
          <w:lang w:eastAsia="zh-CN"/>
        </w:rPr>
        <w:outlineLvl w:val="1"/>
      </w:pPr>
      <w:r/>
      <w:bookmarkStart w:id="177" w:name="_Toc59044758"/>
      <w:r/>
      <w:bookmarkStart w:id="178" w:name="_Toc11248451"/>
      <w:r/>
      <w:bookmarkStart w:id="179" w:name="_Toc11248384"/>
      <w:r>
        <w:rPr>
          <w:rFonts w:hint="eastAsia" w:hAnsi="宋体" w:eastAsia="宋体"/>
          <w:b/>
          <w:color w:val="auto"/>
          <w:sz w:val="21"/>
          <w:szCs w:val="21"/>
          <w:highlight w:val="none"/>
        </w:rPr>
        <w:t xml:space="preserve">二、采购项目名称：</w:t>
      </w:r>
      <w:bookmarkEnd w:id="177"/>
      <w:r/>
      <w:bookmarkEnd w:id="178"/>
      <w:r/>
      <w:bookmarkEnd w:id="179"/>
      <w:r>
        <w:rPr>
          <w:rFonts w:hint="eastAsia" w:hAnsi="宋体" w:eastAsia="宋体"/>
          <w:bCs/>
          <w:color w:val="auto"/>
          <w:sz w:val="21"/>
          <w:szCs w:val="21"/>
          <w:highlight w:val="none"/>
          <w:lang w:eastAsia="zh-CN"/>
        </w:rPr>
        <w:t xml:space="preserve">姑苏法院融合法庭建设项目</w:t>
      </w:r>
      <w:r/>
    </w:p>
    <w:p>
      <w:pPr>
        <w:ind w:firstLine="422"/>
        <w:spacing w:line="400" w:lineRule="exact"/>
        <w:shd w:val="clear" w:color="auto"/>
        <w:rPr>
          <w:rFonts w:ascii="宋体" w:hAnsi="宋体" w:eastAsia="宋体" w:cs="宋体"/>
          <w:b/>
          <w:color w:val="auto"/>
          <w:sz w:val="21"/>
          <w:szCs w:val="21"/>
          <w:highlight w:val="none"/>
        </w:rPr>
      </w:pPr>
      <w:r/>
      <w:bookmarkStart w:id="180" w:name="_Toc492478286"/>
      <w:r/>
      <w:bookmarkStart w:id="181" w:name="_Toc17573"/>
      <w:r/>
      <w:bookmarkStart w:id="182" w:name="_Toc59044762"/>
      <w:r/>
      <w:bookmarkStart w:id="183" w:name="_Toc9374"/>
      <w:r>
        <w:rPr>
          <w:rFonts w:hint="eastAsia" w:ascii="宋体" w:hAnsi="宋体" w:eastAsia="宋体" w:cs="宋体"/>
          <w:b/>
          <w:color w:val="auto"/>
          <w:sz w:val="21"/>
          <w:szCs w:val="21"/>
          <w:highlight w:val="none"/>
        </w:rPr>
        <w:t xml:space="preserve">三、采购内容：</w:t>
      </w:r>
      <w:r/>
    </w:p>
    <w:p>
      <w:pPr>
        <w:ind w:firstLine="422"/>
        <w:jc w:val="left"/>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项目概况</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本院于2024年完成全流程无纸化庭审项目建设，全院共计44间法庭，其中本部31间、金阊13间。2025年已完成系统与姑苏法院办公办案平台对接，庭审笔录、录音录像、卷宗材料按照最高院规范完成向上同步上报。本次</w:t>
      </w:r>
      <w:r>
        <w:rPr>
          <w:rFonts w:hint="eastAsia" w:ascii="宋体" w:hAnsi="宋体" w:eastAsia="宋体" w:cs="宋体"/>
          <w:b w:val="0"/>
          <w:bCs w:val="0"/>
          <w:color w:val="auto"/>
          <w:sz w:val="21"/>
          <w:szCs w:val="21"/>
          <w:highlight w:val="none"/>
          <w:lang w:val="en-US" w:eastAsia="zh-CN"/>
        </w:rPr>
        <w:t xml:space="preserve">姑苏法院融合法庭建设</w:t>
      </w:r>
      <w:r>
        <w:rPr>
          <w:rFonts w:hint="default" w:ascii="宋体" w:hAnsi="宋体" w:eastAsia="宋体" w:cs="宋体"/>
          <w:b w:val="0"/>
          <w:bCs w:val="0"/>
          <w:color w:val="auto"/>
          <w:sz w:val="21"/>
          <w:szCs w:val="21"/>
          <w:highlight w:val="none"/>
          <w:lang w:val="en-US" w:eastAsia="zh-CN"/>
        </w:rPr>
        <w:t xml:space="preserve">项目，新增建设互联网庭审、语音转写等全套能力，同时实现无主机庭审、全栈国产化适配，延续原有全流程无纸化办案能力，充分利旧现有法庭前端外设，避免重复投资。</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建设背景</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原有法庭采用传统本地庭审主机部署模式，设备分散部署，现场运维压力较大；部分业务组件未实现完整信创软硬件适配；2024年全流程无纸化庭审项目未建设互联网庭审功能，无法开展线上远程开庭业务，需要在本项目完成互联网庭审完整建设。本次项目建设将庭审业务能力迁移至后台云平台，构建前端轻量化的无主机云庭审架构，实现法庭资源池化调度，落实智慧法院、全流程无纸化办案相关工作要求。</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建设目标</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w:t>
      </w:r>
      <w:r>
        <w:rPr>
          <w:rFonts w:hint="default" w:ascii="宋体" w:hAnsi="宋体" w:eastAsia="宋体" w:cs="宋体"/>
          <w:b w:val="0"/>
          <w:bCs w:val="0"/>
          <w:color w:val="auto"/>
          <w:sz w:val="21"/>
          <w:szCs w:val="21"/>
          <w:highlight w:val="none"/>
          <w:lang w:val="en-US" w:eastAsia="zh-CN"/>
        </w:rPr>
        <w:t xml:space="preserve">实现无主机庭审改造：取消部分单法庭本地庭审主机设备。庭审编解码、画面合成、媒体录制全部由后台云平台集中处理；前端仅保留音视频采集、显示、智能庭审终端，充分复用现有摄像机、拾音扩声设备、智能庭审终端等外设，降低硬件故障率，简化现场运维管理。</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w:t>
      </w:r>
      <w:r>
        <w:rPr>
          <w:rFonts w:hint="default" w:ascii="宋体" w:hAnsi="宋体" w:eastAsia="宋体" w:cs="宋体"/>
          <w:b w:val="0"/>
          <w:bCs w:val="0"/>
          <w:color w:val="auto"/>
          <w:sz w:val="21"/>
          <w:szCs w:val="21"/>
          <w:highlight w:val="none"/>
          <w:lang w:val="en-US" w:eastAsia="zh-CN"/>
        </w:rPr>
        <w:t xml:space="preserve">新建完整互联网庭审业务能力：本次项目完整建设云庭审业务管理平台，具备互联网庭审，语音转写等全套功能，提供微信小程序、PC客户端两类远程接入渠道，完善庭前检测、证据提交、在线示证、远程电子签名等功能；内外网交互采用网络安全设备、单向视频隔离网关，所有庭审音视频、笔录、卷宗数据全部存储于法院专网存储设备，互联网侧不留存任何业务数据。书记员沿用现有客户端操作，无需更换操作终端。</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w:t>
      </w:r>
      <w:r>
        <w:rPr>
          <w:rFonts w:hint="default" w:ascii="宋体" w:hAnsi="宋体" w:eastAsia="宋体" w:cs="宋体"/>
          <w:b w:val="0"/>
          <w:bCs w:val="0"/>
          <w:color w:val="auto"/>
          <w:sz w:val="21"/>
          <w:szCs w:val="21"/>
          <w:highlight w:val="none"/>
          <w:lang w:val="en-US" w:eastAsia="zh-CN"/>
        </w:rPr>
        <w:t xml:space="preserve">完成全栈国产化适配：法官端、书记员端、当事人端客户端可完整运行在国产化PC操作系统，全部业务功能可用，外设驱动完成国产化环境适配。</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default" w:ascii="宋体" w:hAnsi="宋体" w:eastAsia="宋体" w:cs="宋体"/>
          <w:b w:val="0"/>
          <w:bCs w:val="0"/>
          <w:color w:val="auto"/>
          <w:sz w:val="21"/>
          <w:szCs w:val="21"/>
          <w:highlight w:val="none"/>
          <w:lang w:val="en-US" w:eastAsia="zh-CN"/>
        </w:rPr>
        <w:t xml:space="preserve">兼容存量业务流程：原有全流程无纸化庭审全部功能予以保留，包含预开庭、卷宗授权、证据展示、笔录签名、法条案例库查询等；稳定对接姑苏法院办公办案平台，不改变书记员原有客户端操作习惯，保障现有业务平稳过渡。</w:t>
      </w:r>
      <w:r/>
    </w:p>
    <w:p>
      <w:pPr>
        <w:ind w:firstLine="420"/>
        <w:jc w:val="left"/>
        <w:keepLines w:val="0"/>
        <w:keepNext w:val="0"/>
        <w:pageBreakBefore w:val="0"/>
        <w:spacing w:line="400" w:lineRule="exact"/>
        <w:shd w:val="clear" w:color="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default" w:ascii="宋体" w:hAnsi="宋体" w:eastAsia="宋体" w:cs="宋体"/>
          <w:b w:val="0"/>
          <w:bCs w:val="0"/>
          <w:color w:val="auto"/>
          <w:sz w:val="21"/>
          <w:szCs w:val="21"/>
          <w:highlight w:val="none"/>
          <w:lang w:val="en-US" w:eastAsia="zh-CN"/>
        </w:rPr>
        <w:t xml:space="preserve">落实网络安全保障：部署互联网侧专用国产防火墙、IPS入侵防御、web防护、高级流量威胁检测。单向光隔离传输安全体系，符合FYB/T 53005</w:t>
      </w:r>
      <w:r>
        <w:rPr>
          <w:rFonts w:hint="default" w:ascii="宋体" w:hAnsi="宋体" w:eastAsia="宋体" w:cs="宋体"/>
          <w:b w:val="0"/>
          <w:bCs w:val="0"/>
          <w:color w:val="auto"/>
          <w:sz w:val="21"/>
          <w:szCs w:val="21"/>
          <w:highlight w:val="none"/>
          <w:lang w:val="en-US" w:eastAsia="zh-CN"/>
        </w:rPr>
        <w:noBreakHyphen/>
      </w:r>
      <w:r>
        <w:rPr>
          <w:rFonts w:hint="default" w:ascii="宋体" w:hAnsi="宋体" w:eastAsia="宋体" w:cs="宋体"/>
          <w:b w:val="0"/>
          <w:bCs w:val="0"/>
          <w:color w:val="auto"/>
          <w:sz w:val="21"/>
          <w:szCs w:val="21"/>
          <w:highlight w:val="none"/>
          <w:lang w:val="en-US" w:eastAsia="zh-CN"/>
        </w:rPr>
        <w:t xml:space="preserve">2020法院专网安全域划分和边界防护技术规范，满足网络安全等级保护、密码应用安全评估相关要求。</w:t>
      </w:r>
      <w:r/>
    </w:p>
    <w:p>
      <w:pPr>
        <w:ind w:firstLine="422"/>
        <w:jc w:val="left"/>
        <w:spacing w:line="36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）主要建设内容</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1、后台云庭审业务管理平台及互联网庭审模块新建 （1）新建云庭审业务管理平台无主机云庭审调度模块，实现全院44间法庭媒体资源池化管理，集中完成音视频编解码、画面合成、同步录音录像、语音转写、庭审直播转发。（</w:t>
      </w:r>
      <w:r>
        <w:rPr>
          <w:rFonts w:hint="eastAsia" w:ascii="宋体" w:hAnsi="宋体" w:eastAsia="宋体" w:cs="宋体"/>
          <w:b w:val="0"/>
          <w:bCs w:val="0"/>
          <w:color w:val="auto"/>
          <w:sz w:val="21"/>
          <w:szCs w:val="21"/>
          <w:highlight w:val="none"/>
          <w:lang w:eastAsia="zh-CN"/>
        </w:rPr>
        <w:t xml:space="preserve">2）新建互联网庭审整套业务模块，建设互联网庭审服务后台，实现微信小程序、PC客户端全业务能力，包含账号登录、庭审码登录、身份核验、庭前音视频检测、证据材料上传下载、远程示证、庭审音视频交互、笔录在线查看、远程电子签名、短信开庭通知等全套互联网庭审业务。（3）完成信创适配要求，输出国产化客户端安装包，适配统信、麒麟等主流国产桌面操作系统。（4）保障与姑苏法院办公办案平台接口兼容性，项目实施过程不得中断数据上报，庭审排期、笔录、录像、卷宗信息按照最高院接口规范自动同步上报，互联网庭审的案件数据同样完成向上上报。</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2、法庭前端适配改造（利旧优先）</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（1）原有摄像机、音频采集、扩声系统、智能庭审终端一体机等全部利旧复用；改造法庭设备控制逻辑，前端设备接入云平台，部分取消本地庭审主机。</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（2）升级设备运维能力，支持设备状态实时监测、故障告警、庭审业务统计分析。</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系统对接清单</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（1）对接对象：姑苏法院办公办案平台。</w:t>
      </w:r>
      <w:r/>
    </w:p>
    <w:p>
      <w:pPr>
        <w:ind w:firstLine="422"/>
        <w:jc w:val="left"/>
        <w:spacing w:line="360" w:lineRule="auto"/>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（2）对接内容：庭审数据上报、音视频同步、案件庭审信息同步（2025年已完成对接，本次升级保障兼容，互联网庭审案件同步上报）</w:t>
      </w:r>
      <w:r/>
    </w:p>
    <w:p>
      <w:pPr>
        <w:ind w:firstLine="422"/>
        <w:jc w:val="left"/>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）采购清单</w:t>
      </w:r>
      <w:r/>
    </w:p>
    <w:tbl>
      <w:tblPr>
        <w:tblStyle w:val="832"/>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983"/>
        <w:gridCol w:w="5236"/>
        <w:gridCol w:w="658"/>
        <w:gridCol w:w="646"/>
        <w:gridCol w:w="637"/>
      </w:tblGrid>
      <w:tr>
        <w:trPr>
          <w:jc w:val="center"/>
          <w:trHeight w:val="510"/>
        </w:trPr>
        <w:tc>
          <w:tcPr>
            <w:gridSpan w:val="6"/>
            <w:tcW w:w="5000"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b/>
                <w:bCs/>
                <w:sz w:val="21"/>
                <w:szCs w:val="21"/>
              </w:rPr>
              <w:t xml:space="preserve">苏州市姑苏区人民法院融合法庭配置清单</w:t>
            </w:r>
            <w:r/>
          </w:p>
        </w:tc>
      </w:tr>
      <w:tr>
        <w:trPr>
          <w:jc w:val="center"/>
          <w:trHeight w:val="405"/>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序号</w:t>
            </w:r>
            <w:r/>
          </w:p>
        </w:tc>
        <w:tc>
          <w:tcPr>
            <w:tcW w:w="569"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设备名称</w:t>
            </w:r>
            <w:r/>
          </w:p>
        </w:tc>
        <w:tc>
          <w:tcPr>
            <w:tcW w:w="3030"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规格参数</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单位</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数量</w:t>
            </w:r>
            <w:r/>
          </w:p>
        </w:tc>
        <w:tc>
          <w:tcPr>
            <w:tcW w:w="36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云庭审业务管理平台</w:t>
            </w:r>
            <w:r/>
          </w:p>
        </w:tc>
        <w:tc>
          <w:tcPr>
            <w:tcW w:w="3030"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云庭审业务管理平台，支持本地庭审、远程提讯、互联网庭审业务场景，</w:t>
            </w:r>
            <w:r>
              <w:rPr>
                <w:rFonts w:hint="eastAsia" w:ascii="宋体" w:hAnsi="宋体" w:eastAsia="宋体"/>
                <w:color w:val="000000"/>
                <w:sz w:val="21"/>
                <w:szCs w:val="21"/>
              </w:rPr>
              <w:t xml:space="preserve">支持云部署模式</w:t>
            </w:r>
            <w:r>
              <w:rPr>
                <w:rFonts w:hint="eastAsia" w:ascii="宋体" w:hAnsi="宋体" w:eastAsia="宋体"/>
                <w:sz w:val="21"/>
                <w:szCs w:val="21"/>
              </w:rPr>
              <w:t xml:space="preserve">。具有案件排期、录播管理、开庭公告、电子质证、信息研判、系统运维等功能。配合书记员客户端，实现法庭管理、电子笔录、语音转写等功能。支持国产化适配。硬件参数：2U标准机架设计；内存：64GB ,硬盘：4T冗余备份；网络接口3×RJ45，100Base-TX/1000Base-T；外部接口：1×VGA，1×RS485，4个USB接口。</w:t>
            </w:r>
            <w:r>
              <w:rPr>
                <w:rFonts w:hint="eastAsia" w:ascii="宋体" w:hAnsi="宋体" w:eastAsia="宋体"/>
                <w:b/>
                <w:color w:val="000000"/>
                <w:sz w:val="21"/>
                <w:szCs w:val="21"/>
              </w:rPr>
              <w:t xml:space="preserve">本次</w:t>
            </w:r>
            <w:r>
              <w:rPr>
                <w:rFonts w:hint="default" w:ascii="宋体" w:hAnsi="宋体" w:eastAsia="宋体" w:cs="宋体"/>
                <w:b/>
                <w:color w:val="000000"/>
                <w:sz w:val="21"/>
                <w:szCs w:val="21"/>
              </w:rPr>
              <w:t xml:space="preserve">项目</w:t>
            </w:r>
            <w:r>
              <w:rPr>
                <w:rFonts w:hint="eastAsia" w:ascii="宋体" w:hAnsi="宋体" w:eastAsia="宋体" w:cs="宋体"/>
                <w:b/>
                <w:color w:val="000000"/>
                <w:sz w:val="21"/>
                <w:szCs w:val="21"/>
              </w:rPr>
              <w:t xml:space="preserve">建设</w:t>
            </w:r>
            <w:r>
              <w:rPr>
                <w:rFonts w:hint="default" w:ascii="宋体" w:hAnsi="宋体" w:eastAsia="宋体" w:cs="宋体"/>
                <w:b/>
                <w:color w:val="000000"/>
                <w:sz w:val="21"/>
                <w:szCs w:val="21"/>
              </w:rPr>
              <w:t xml:space="preserve">云庭审业务管理平台，须对接姑苏区人民法院现有科技法庭主机、摄像机等设备，实现本地开庭、互联网开庭、远程提讯、电子质证等各项业务功能；且项目实施不得对姑苏法院办公办案平台对接业务、平台历史案件查询、庭审录像查询、点播等功能造成影响，投标单位</w:t>
            </w:r>
            <w:r>
              <w:rPr>
                <w:rFonts w:hint="eastAsia" w:ascii="宋体" w:hAnsi="宋体" w:eastAsia="宋体" w:cs="宋体"/>
                <w:b/>
                <w:color w:val="000000"/>
                <w:sz w:val="21"/>
                <w:szCs w:val="21"/>
              </w:rPr>
              <w:t xml:space="preserve">在投标文件中提供</w:t>
            </w:r>
            <w:r>
              <w:rPr>
                <w:rFonts w:hint="default" w:ascii="宋体" w:hAnsi="宋体" w:eastAsia="宋体" w:cs="宋体"/>
                <w:b/>
                <w:color w:val="000000"/>
                <w:sz w:val="21"/>
                <w:szCs w:val="21"/>
              </w:rPr>
              <w:t xml:space="preserve">无缝对接承诺函，否则视为无效投标。</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16"/>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集中式综合业务平台</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集中式综合业务平台，2U机架式设备，内含电源，自动温控，对外有两个千兆网络接口，提供8个业务扩展槽位，各槽位与机箱千兆网络交换，可以装配编码模块、解码模块、网关模块、控制键盘模块等,可以混合装配。</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3</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3</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融媒体处理器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1、支持H.264、H.265视频同编同解功能；</w:t>
            </w:r>
            <w:r>
              <w:rPr>
                <w:rFonts w:hint="eastAsia" w:ascii="宋体" w:hAnsi="宋体" w:eastAsia="宋体" w:cs="宋体"/>
                <w:sz w:val="21"/>
                <w:szCs w:val="21"/>
              </w:rPr>
              <w:br/>
            </w:r>
            <w:r>
              <w:rPr>
                <w:rFonts w:hint="eastAsia" w:ascii="宋体" w:hAnsi="宋体" w:eastAsia="宋体" w:cs="宋体"/>
                <w:sz w:val="21"/>
                <w:szCs w:val="21"/>
              </w:rPr>
              <w:t xml:space="preserve">2、支持的视频格式之间进行互相转换；</w:t>
            </w:r>
            <w:r>
              <w:rPr>
                <w:rFonts w:hint="eastAsia" w:ascii="宋体" w:hAnsi="宋体" w:eastAsia="宋体" w:cs="宋体"/>
                <w:sz w:val="21"/>
                <w:szCs w:val="21"/>
              </w:rPr>
              <w:br/>
            </w:r>
            <w:r>
              <w:rPr>
                <w:rFonts w:hint="eastAsia" w:ascii="宋体" w:hAnsi="宋体" w:eastAsia="宋体" w:cs="宋体"/>
                <w:sz w:val="21"/>
                <w:szCs w:val="21"/>
              </w:rPr>
              <w:t xml:space="preserve">3、支持一解多编功能，输入单路视频后，支持输出多种不高于原始分辨率的视频；</w:t>
            </w:r>
            <w:r>
              <w:rPr>
                <w:rFonts w:hint="eastAsia" w:ascii="宋体" w:hAnsi="宋体" w:eastAsia="宋体" w:cs="宋体"/>
                <w:sz w:val="21"/>
                <w:szCs w:val="21"/>
              </w:rPr>
              <w:br/>
            </w:r>
            <w:r>
              <w:rPr>
                <w:rFonts w:hint="eastAsia" w:ascii="宋体" w:hAnsi="宋体" w:eastAsia="宋体" w:cs="宋体"/>
                <w:sz w:val="21"/>
                <w:szCs w:val="21"/>
              </w:rPr>
              <w:t xml:space="preserve">4、支持视频分辨率转换功能，转换后的分辨率、帧率不高于原始视频。</w:t>
            </w:r>
            <w:r>
              <w:rPr>
                <w:rFonts w:hint="eastAsia" w:ascii="宋体" w:hAnsi="宋体" w:eastAsia="宋体" w:cs="宋体"/>
                <w:sz w:val="21"/>
                <w:szCs w:val="21"/>
              </w:rPr>
              <w:br/>
            </w:r>
            <w:r>
              <w:rPr>
                <w:rFonts w:hint="eastAsia" w:ascii="宋体" w:hAnsi="宋体" w:eastAsia="宋体" w:cs="宋体"/>
                <w:sz w:val="21"/>
                <w:szCs w:val="21"/>
              </w:rPr>
              <w:t xml:space="preserve">5、支持画面合成功能，能将多路视频源合成输出1路视频。</w:t>
            </w:r>
            <w:r>
              <w:rPr>
                <w:rFonts w:hint="eastAsia" w:ascii="宋体" w:hAnsi="宋体" w:eastAsia="宋体" w:cs="宋体"/>
                <w:sz w:val="21"/>
                <w:szCs w:val="21"/>
              </w:rPr>
              <w:br/>
            </w:r>
            <w:r>
              <w:rPr>
                <w:rFonts w:hint="eastAsia" w:ascii="宋体" w:hAnsi="宋体" w:eastAsia="宋体" w:cs="宋体"/>
                <w:sz w:val="21"/>
                <w:szCs w:val="21"/>
              </w:rPr>
              <w:t xml:space="preserve">6、支持Linux操作系统（CentOS、CentOS ARM）</w:t>
            </w:r>
            <w:r>
              <w:rPr>
                <w:rFonts w:hint="eastAsia" w:ascii="宋体" w:hAnsi="宋体" w:eastAsia="宋体" w:cs="宋体"/>
                <w:sz w:val="21"/>
                <w:szCs w:val="21"/>
              </w:rPr>
              <w:br/>
            </w:r>
            <w:r>
              <w:rPr>
                <w:rFonts w:hint="eastAsia" w:ascii="宋体" w:hAnsi="宋体" w:eastAsia="宋体" w:cs="宋体"/>
                <w:sz w:val="21"/>
                <w:szCs w:val="21"/>
              </w:rPr>
              <w:t xml:space="preserve">7、支持银河麒麟、UOS国产操作系统。</w:t>
            </w:r>
            <w:r>
              <w:rPr>
                <w:rFonts w:hint="eastAsia" w:ascii="宋体" w:hAnsi="宋体" w:eastAsia="宋体" w:cs="宋体"/>
                <w:sz w:val="21"/>
                <w:szCs w:val="21"/>
              </w:rPr>
              <w:br/>
            </w:r>
            <w:r>
              <w:rPr>
                <w:rFonts w:hint="eastAsia" w:ascii="宋体" w:hAnsi="宋体" w:eastAsia="宋体" w:cs="宋体"/>
                <w:sz w:val="21"/>
                <w:szCs w:val="21"/>
              </w:rPr>
              <w:t xml:space="preserve">8、支持RTMP码流传输协议</w:t>
            </w:r>
            <w:r>
              <w:rPr>
                <w:rFonts w:hint="eastAsia" w:ascii="宋体" w:hAnsi="宋体" w:eastAsia="宋体" w:cs="宋体"/>
                <w:sz w:val="21"/>
                <w:szCs w:val="21"/>
              </w:rPr>
              <w:br/>
            </w:r>
            <w:r>
              <w:rPr>
                <w:rFonts w:hint="eastAsia" w:ascii="宋体" w:hAnsi="宋体" w:eastAsia="宋体" w:cs="宋体"/>
                <w:sz w:val="21"/>
                <w:szCs w:val="21"/>
              </w:rPr>
              <w:t xml:space="preserve">9、支持Restful HTTP API</w:t>
            </w:r>
            <w:r>
              <w:rPr>
                <w:rFonts w:hint="eastAsia" w:ascii="宋体" w:hAnsi="宋体" w:eastAsia="宋体" w:cs="宋体"/>
                <w:sz w:val="21"/>
                <w:szCs w:val="21"/>
              </w:rPr>
              <w:br/>
            </w:r>
            <w:r>
              <w:rPr>
                <w:rFonts w:hint="eastAsia" w:ascii="宋体" w:hAnsi="宋体" w:eastAsia="宋体" w:cs="宋体"/>
                <w:sz w:val="21"/>
                <w:szCs w:val="21"/>
              </w:rPr>
              <w:t xml:space="preserve">10、并行处理4路4K@60fps转码为4k@60fps及以下分辨率；</w:t>
            </w:r>
            <w:r>
              <w:rPr>
                <w:rFonts w:hint="eastAsia" w:ascii="宋体" w:hAnsi="宋体" w:eastAsia="宋体" w:cs="宋体"/>
                <w:sz w:val="21"/>
                <w:szCs w:val="21"/>
              </w:rPr>
              <w:br/>
            </w:r>
            <w:r>
              <w:rPr>
                <w:rFonts w:hint="eastAsia" w:ascii="宋体" w:hAnsi="宋体" w:eastAsia="宋体" w:cs="宋体"/>
                <w:sz w:val="21"/>
                <w:szCs w:val="21"/>
              </w:rPr>
              <w:t xml:space="preserve">或8路4K@30fps转码为4K@30fps及以下分辨率；</w:t>
            </w:r>
            <w:r>
              <w:rPr>
                <w:rFonts w:hint="eastAsia" w:ascii="宋体" w:hAnsi="宋体" w:eastAsia="宋体" w:cs="宋体"/>
                <w:sz w:val="21"/>
                <w:szCs w:val="21"/>
              </w:rPr>
              <w:br/>
            </w:r>
            <w:r>
              <w:rPr>
                <w:rFonts w:hint="eastAsia" w:ascii="宋体" w:hAnsi="宋体" w:eastAsia="宋体" w:cs="宋体"/>
                <w:sz w:val="21"/>
                <w:szCs w:val="21"/>
              </w:rPr>
              <w:t xml:space="preserve">或16路1080p@60fps转码为1080p@60fps及以下分辨率；</w:t>
            </w:r>
            <w:r>
              <w:rPr>
                <w:rFonts w:hint="eastAsia" w:ascii="宋体" w:hAnsi="宋体" w:eastAsia="宋体" w:cs="宋体"/>
                <w:sz w:val="21"/>
                <w:szCs w:val="21"/>
              </w:rPr>
              <w:br/>
            </w:r>
            <w:r>
              <w:rPr>
                <w:rFonts w:hint="eastAsia" w:ascii="宋体" w:hAnsi="宋体" w:eastAsia="宋体" w:cs="宋体"/>
                <w:sz w:val="21"/>
                <w:szCs w:val="21"/>
              </w:rPr>
              <w:t xml:space="preserve">或32路1080p@30fps转码为1080p@30fps及以下分辨率；</w:t>
            </w:r>
            <w:r>
              <w:rPr>
                <w:rFonts w:hint="eastAsia" w:ascii="宋体" w:hAnsi="宋体" w:eastAsia="宋体" w:cs="宋体"/>
                <w:sz w:val="21"/>
                <w:szCs w:val="21"/>
              </w:rPr>
              <w:br/>
            </w:r>
            <w:r>
              <w:rPr>
                <w:rFonts w:hint="eastAsia" w:ascii="宋体" w:hAnsi="宋体" w:eastAsia="宋体" w:cs="宋体"/>
                <w:sz w:val="21"/>
                <w:szCs w:val="21"/>
              </w:rPr>
              <w:t xml:space="preserve">或64路720p@30fps转码为720p@30fps及以下分辨率。</w:t>
            </w:r>
            <w:r>
              <w:rPr>
                <w:rFonts w:hint="eastAsia" w:ascii="宋体" w:hAnsi="宋体" w:eastAsia="宋体" w:cs="宋体"/>
                <w:sz w:val="21"/>
                <w:szCs w:val="21"/>
              </w:rPr>
              <w:br/>
            </w:r>
            <w:r>
              <w:rPr>
                <w:rFonts w:hint="eastAsia" w:ascii="宋体" w:hAnsi="宋体" w:eastAsia="宋体" w:cs="宋体"/>
                <w:sz w:val="21"/>
                <w:szCs w:val="21"/>
              </w:rPr>
              <w:t xml:space="preserve">11、4Kp60fps、4Kp30fps、1080p60fps、1080p30fps及以下分辨率</w:t>
            </w:r>
            <w:r>
              <w:rPr>
                <w:rFonts w:hint="eastAsia" w:ascii="宋体" w:hAnsi="宋体" w:eastAsia="宋体" w:cs="宋体"/>
                <w:sz w:val="21"/>
                <w:szCs w:val="21"/>
              </w:rPr>
              <w:br/>
            </w:r>
            <w:r>
              <w:rPr>
                <w:rFonts w:hint="eastAsia" w:ascii="宋体" w:hAnsi="宋体" w:eastAsia="宋体" w:cs="宋体"/>
                <w:sz w:val="21"/>
                <w:szCs w:val="21"/>
              </w:rPr>
              <w:t xml:space="preserve">12、最大支持4组25路视频源分别进行画面合成（输入视频的总路数与输入视频的总分辨率、帧率有关）。</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块</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视频隔离网关-解码端</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视频隔离网关-解码端（板卡式）/4×SFP光模块接口/1×10/100/1000M网口/1×Reset按钮/支持4×4K@30Fps或者16×1080P@30Fps或者32路720P@30Fps/支持RTMP、RTSP协议</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块</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5</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视频隔离网关-编码端</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视频隔离网关-编码端（板卡式）/4×SFP光模块接口/1×10/100/1000M网口/1×Reset按钮/支持4×4K@30Fps或者16×1080P@30Fps或者32路720P@30Fps/支持RTMP、RTSP协议</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块</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6</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语音转写平台</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语音转写一体机，内置智能语音转写引擎。搭配语音转写软件授权，可实现庭审/审讯等场景下的普通话语音实时转写功能。国产化19英寸2U机架式硬件，2颗高性能处理器，64G内存，内置1*480G SSD硬盘；1+1 冗余电源；含导轨。</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7</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存储阵列</w:t>
            </w:r>
            <w:r/>
          </w:p>
        </w:tc>
        <w:tc>
          <w:tcPr>
            <w:tcW w:w="3030" w:type="pct"/>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3U机架式24盘位IP磁盘存储阵列</w:t>
            </w:r>
            <w:r>
              <w:rPr>
                <w:rFonts w:hint="eastAsia" w:ascii="宋体" w:hAnsi="宋体" w:eastAsia="宋体"/>
                <w:sz w:val="21"/>
                <w:szCs w:val="21"/>
              </w:rPr>
              <w:br/>
            </w:r>
            <w:r>
              <w:rPr>
                <w:rFonts w:hint="eastAsia" w:ascii="宋体" w:hAnsi="宋体" w:eastAsia="宋体"/>
                <w:sz w:val="21"/>
                <w:szCs w:val="21"/>
              </w:rPr>
              <w:t xml:space="preserve">模块化无线缆设计，主板、电源、风扇可插拔更换，便于维护</w:t>
            </w:r>
            <w:r>
              <w:rPr>
                <w:rFonts w:hint="eastAsia" w:ascii="宋体" w:hAnsi="宋体" w:eastAsia="宋体"/>
                <w:sz w:val="21"/>
                <w:szCs w:val="21"/>
              </w:rPr>
              <w:br/>
            </w:r>
            <w:r>
              <w:rPr>
                <w:rFonts w:hint="eastAsia" w:ascii="宋体" w:hAnsi="宋体" w:eastAsia="宋体"/>
                <w:sz w:val="21"/>
                <w:szCs w:val="21"/>
              </w:rPr>
              <w:t xml:space="preserve">1000Mbits/秒录像写入能力+额外400Mbits/秒转发能力</w:t>
            </w:r>
            <w:r>
              <w:rPr>
                <w:rFonts w:hint="eastAsia" w:ascii="宋体" w:hAnsi="宋体" w:eastAsia="宋体"/>
                <w:sz w:val="21"/>
                <w:szCs w:val="21"/>
              </w:rPr>
              <w:br/>
            </w:r>
            <w:r>
              <w:rPr>
                <w:rFonts w:hint="eastAsia" w:ascii="宋体" w:hAnsi="宋体" w:eastAsia="宋体"/>
                <w:sz w:val="21"/>
                <w:szCs w:val="21"/>
              </w:rPr>
              <w:t xml:space="preserve">24个SATA盘位，支持iSCSI,RAID0/1/5/6/10,RAIDX</w:t>
            </w:r>
            <w:r>
              <w:rPr>
                <w:rFonts w:hint="eastAsia" w:ascii="宋体" w:hAnsi="宋体" w:eastAsia="宋体"/>
                <w:sz w:val="21"/>
                <w:szCs w:val="21"/>
              </w:rPr>
              <w:br/>
            </w:r>
            <w:r>
              <w:rPr>
                <w:rFonts w:hint="eastAsia" w:ascii="宋体" w:hAnsi="宋体" w:eastAsia="宋体"/>
                <w:sz w:val="21"/>
                <w:szCs w:val="21"/>
              </w:rPr>
              <w:t xml:space="preserve">4个千兆网口，支持网卡绑定，双冗余电源</w:t>
            </w:r>
            <w:r>
              <w:rPr>
                <w:rFonts w:hint="eastAsia" w:ascii="宋体" w:hAnsi="宋体" w:eastAsia="宋体"/>
                <w:sz w:val="21"/>
                <w:szCs w:val="21"/>
              </w:rPr>
              <w:br/>
            </w:r>
            <w:r>
              <w:rPr>
                <w:rFonts w:hint="eastAsia" w:ascii="宋体" w:hAnsi="宋体" w:eastAsia="宋体"/>
                <w:sz w:val="21"/>
                <w:szCs w:val="21"/>
              </w:rPr>
              <w:t xml:space="preserve">与监控平台配合，实现录像直接存储及码流转发。本次配置含24块2T硬盘。</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8</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备份一体机</w:t>
            </w:r>
            <w:r/>
          </w:p>
        </w:tc>
        <w:tc>
          <w:tcPr>
            <w:tcW w:w="3030" w:type="pct"/>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文件备份一体机，3U机架式24盘位、4个千兆网口，双冗余电源，可实现录像文件备份存储，支持浏览器客户端对录像文件的上传、下载、支持文件预览、录像文件合并，支持磁盘管理，raid备份等功能，含硬盘托架。本次配置含24块8T硬盘。</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9</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存储阵列扩容</w:t>
            </w:r>
            <w:r/>
          </w:p>
        </w:tc>
        <w:tc>
          <w:tcPr>
            <w:tcW w:w="3030" w:type="pct"/>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sz w:val="21"/>
                <w:szCs w:val="21"/>
              </w:rPr>
              <w:t xml:space="preserve">4U机架式IP磁盘存储阵列</w:t>
            </w:r>
            <w:r>
              <w:rPr>
                <w:rFonts w:hint="eastAsia" w:ascii="宋体" w:hAnsi="宋体" w:eastAsia="宋体"/>
                <w:sz w:val="21"/>
                <w:szCs w:val="21"/>
              </w:rPr>
              <w:br/>
            </w:r>
            <w:r>
              <w:rPr>
                <w:rFonts w:hint="eastAsia" w:ascii="宋体" w:hAnsi="宋体" w:eastAsia="宋体"/>
                <w:sz w:val="21"/>
                <w:szCs w:val="21"/>
              </w:rPr>
              <w:t xml:space="preserve">模块化无线缆设计，主板、电源、风扇可插拔更换，便于维护</w:t>
            </w:r>
            <w:r>
              <w:rPr>
                <w:rFonts w:hint="eastAsia" w:ascii="宋体" w:hAnsi="宋体" w:eastAsia="宋体"/>
                <w:sz w:val="21"/>
                <w:szCs w:val="21"/>
              </w:rPr>
              <w:br/>
            </w:r>
            <w:r>
              <w:rPr>
                <w:rFonts w:hint="eastAsia" w:ascii="宋体" w:hAnsi="宋体" w:eastAsia="宋体"/>
                <w:sz w:val="21"/>
                <w:szCs w:val="21"/>
              </w:rPr>
              <w:t xml:space="preserve">500Mbits/秒录像写入能力+额外200Mbits/秒转发能力</w:t>
            </w:r>
            <w:r>
              <w:rPr>
                <w:rFonts w:hint="eastAsia" w:ascii="宋体" w:hAnsi="宋体" w:eastAsia="宋体"/>
                <w:sz w:val="21"/>
                <w:szCs w:val="21"/>
              </w:rPr>
              <w:br/>
            </w:r>
            <w:r>
              <w:rPr>
                <w:rFonts w:hint="eastAsia" w:ascii="宋体" w:hAnsi="宋体" w:eastAsia="宋体"/>
                <w:sz w:val="21"/>
                <w:szCs w:val="21"/>
              </w:rPr>
              <w:t xml:space="preserve">16个SATA盘位，支持iSCSI,RAID0/1/5/6/10</w:t>
            </w:r>
            <w:r>
              <w:rPr>
                <w:rFonts w:hint="eastAsia" w:ascii="宋体" w:hAnsi="宋体" w:eastAsia="宋体"/>
                <w:sz w:val="21"/>
                <w:szCs w:val="21"/>
              </w:rPr>
              <w:br/>
            </w:r>
            <w:r>
              <w:rPr>
                <w:rFonts w:hint="eastAsia" w:ascii="宋体" w:hAnsi="宋体" w:eastAsia="宋体"/>
                <w:sz w:val="21"/>
                <w:szCs w:val="21"/>
              </w:rPr>
              <w:t xml:space="preserve">3个千兆网口，支持双网卡绑定，双冗余电源</w:t>
            </w:r>
            <w:r>
              <w:rPr>
                <w:rFonts w:hint="eastAsia" w:ascii="宋体" w:hAnsi="宋体" w:eastAsia="宋体"/>
                <w:sz w:val="21"/>
                <w:szCs w:val="21"/>
              </w:rPr>
              <w:br/>
            </w:r>
            <w:r>
              <w:rPr>
                <w:rFonts w:hint="eastAsia" w:ascii="宋体" w:hAnsi="宋体" w:eastAsia="宋体"/>
                <w:sz w:val="21"/>
                <w:szCs w:val="21"/>
              </w:rPr>
              <w:t xml:space="preserve">与监控平台配合，实现录像直接存储及码流转发</w:t>
            </w:r>
            <w:r>
              <w:rPr>
                <w:rFonts w:hint="eastAsia" w:ascii="宋体" w:hAnsi="宋体" w:eastAsia="宋体"/>
                <w:sz w:val="21"/>
                <w:szCs w:val="21"/>
              </w:rPr>
              <w:br/>
            </w:r>
            <w:r>
              <w:rPr>
                <w:rFonts w:hint="eastAsia" w:ascii="宋体" w:hAnsi="宋体" w:eastAsia="宋体"/>
                <w:sz w:val="21"/>
                <w:szCs w:val="21"/>
              </w:rPr>
              <w:t xml:space="preserve">含16块8T硬盘</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10</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出口防火墙（国产化）</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sz w:val="21"/>
                <w:szCs w:val="21"/>
              </w:rPr>
            </w:pPr>
            <w:r>
              <w:rPr>
                <w:rFonts w:hint="eastAsia" w:ascii="宋体" w:hAnsi="宋体" w:eastAsia="宋体"/>
                <w:sz w:val="21"/>
                <w:szCs w:val="21"/>
              </w:rPr>
              <w:t xml:space="preserve">产品性能：整机吞吐:10Gbps,最大并发数:500万,最大新建数:20万/秒</w:t>
            </w:r>
            <w:r>
              <w:rPr>
                <w:rFonts w:hint="eastAsia" w:ascii="宋体" w:hAnsi="宋体" w:eastAsia="宋体"/>
                <w:sz w:val="21"/>
                <w:szCs w:val="21"/>
              </w:rPr>
              <w:br/>
            </w:r>
            <w:r>
              <w:rPr>
                <w:rFonts w:hint="eastAsia" w:ascii="宋体" w:hAnsi="宋体" w:eastAsia="宋体"/>
                <w:sz w:val="21"/>
                <w:szCs w:val="21"/>
              </w:rPr>
              <w:t xml:space="preserve">详细配置：软硬一体产品；2U机架式，8核8线程国产CPU，内存：16GB，数据硬盘：2TB HDD，系统存储：128G  SSD，电源规格：1+1冗余电源（额定功率350W）。网络接口：千兆电口不少于16个(含2组电口Bypass），管理电口不少于1个，HA电口不少于1个，千兆光口不少于16个，万兆光口不少于8个，接口扩展槽不少于4个，Console接口（RJ45）不少于1个。操作系统：UOS V20。</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入侵防御系统</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sz w:val="21"/>
                <w:szCs w:val="21"/>
              </w:rPr>
            </w:pPr>
            <w:r>
              <w:rPr>
                <w:rFonts w:hint="eastAsia" w:ascii="宋体" w:hAnsi="宋体" w:eastAsia="宋体"/>
                <w:sz w:val="21"/>
                <w:szCs w:val="21"/>
              </w:rPr>
              <w:t xml:space="preserve">国产化CPU，国产操作系统。1U标准机架设备；设备配置不少于1个RJ-45Console口，1个管理口，1个HA口，4个具备BYPASS功能的10/100/1000Base-T接口，4个千兆光口，具有扩展插槽，不少于2个USB口，性能参数：网络层吞吐量不小于20G，IPS吞吐量不小于15G，并发连接数2000万；</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12</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web应用防护</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sz w:val="21"/>
                <w:szCs w:val="21"/>
              </w:rPr>
            </w:pPr>
            <w:r>
              <w:rPr>
                <w:rFonts w:hint="eastAsia" w:ascii="宋体" w:hAnsi="宋体" w:eastAsia="宋体"/>
                <w:sz w:val="21"/>
                <w:szCs w:val="21"/>
              </w:rPr>
              <w:t xml:space="preserve">双电源，1U，16G内存，240G企业级SSD硬盘；国产化硬件，国产CPU，国产操作系统；提供不少于8个千兆电口，4个千兆光口，2个扩展槽，可防护站点数无限；</w:t>
            </w:r>
            <w:r>
              <w:rPr>
                <w:rFonts w:hint="eastAsia" w:ascii="宋体" w:hAnsi="宋体" w:eastAsia="宋体"/>
                <w:sz w:val="21"/>
                <w:szCs w:val="21"/>
              </w:rPr>
              <w:br/>
            </w:r>
            <w:r>
              <w:rPr>
                <w:rFonts w:hint="eastAsia" w:ascii="宋体" w:hAnsi="宋体" w:eastAsia="宋体"/>
                <w:sz w:val="21"/>
                <w:szCs w:val="21"/>
              </w:rPr>
              <w:t xml:space="preserve">网络吞吐20G，HTTP吞吐5G，HTTP新建75000，HTTP并发连接数600万，HTTPS吞吐800M</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13</w:t>
            </w:r>
            <w:r/>
          </w:p>
        </w:tc>
        <w:tc>
          <w:tcPr>
            <w:tcW w:w="569"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高级流量威胁检测</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sz w:val="21"/>
                <w:szCs w:val="21"/>
              </w:rPr>
            </w:pPr>
            <w:r>
              <w:rPr>
                <w:rFonts w:hint="eastAsia" w:ascii="宋体" w:hAnsi="宋体" w:eastAsia="宋体"/>
                <w:sz w:val="21"/>
                <w:szCs w:val="21"/>
              </w:rPr>
              <w:t xml:space="preserve">可采集全网流量，性能：不小于5Gbps。硬件：2U标准机架设备，国产CPU ，国产操作系统，硬盘：设备配置2T数据盘，内存128G，设备配置不少于2个千兆电口；对各种WEB攻击、邮件社工类攻击进行检测；多维度全方位发现失陷主机；识别内网中横向扩散及渗透攻击行为；对检测对象的会话特征进行多维度监控统计；对流量中的资产进行统计分析；提供综合威胁分析、主机威胁分析、外部威胁分析等多个智能报表；提供综合管理和关联分析能力，同时可提供云端高级分析服务。</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14</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高清庭审主机</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sz w:val="21"/>
                <w:szCs w:val="21"/>
              </w:rPr>
            </w:pPr>
            <w:r>
              <w:rPr>
                <w:rFonts w:hint="eastAsia" w:ascii="宋体" w:hAnsi="宋体" w:eastAsia="宋体"/>
                <w:sz w:val="21"/>
                <w:szCs w:val="21"/>
              </w:rPr>
              <w:t xml:space="preserve">高清庭审主机，具备8寸触控显示屏，支持8路高清1080P SDI摄像机或网络摄像机接入，H.265/H.264编码，支持多画面合成，支持双光盘同步刻录，含两个DVD刻录机，含2T硬盘；支持不少于30路音频输入、5路音频输出；支持不少于4路DVI输入、6路HDMI输入及8路DVI输出、5路HDMI输出；支持6路红外控制、6路RS232控制、8路RS485控制；支持语音激励及智能分析功能</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w:t>
            </w:r>
            <w:r/>
          </w:p>
        </w:tc>
        <w:tc>
          <w:tcPr>
            <w:tcW w:w="36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sz w:val="21"/>
                <w:szCs w:val="21"/>
              </w:rPr>
            </w:pPr>
            <w:r>
              <w:rPr>
                <w:rFonts w:hint="default" w:ascii="宋体" w:hAnsi="宋体" w:eastAsia="宋体" w:cs="宋体"/>
                <w:b/>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15</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高清一体化网络摄像机</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高清一体化网络摄像机，0.0001Lux星光级超低照度，800W像素，30倍光变，超宽动态。</w:t>
            </w:r>
            <w:r>
              <w:rPr>
                <w:rFonts w:hint="eastAsia" w:ascii="宋体" w:hAnsi="宋体" w:eastAsia="宋体" w:cs="宋体"/>
                <w:sz w:val="21"/>
                <w:szCs w:val="21"/>
              </w:rPr>
              <w:br/>
            </w:r>
            <w:r>
              <w:rPr>
                <w:rFonts w:hint="eastAsia" w:ascii="宋体" w:hAnsi="宋体" w:eastAsia="宋体" w:cs="宋体"/>
                <w:sz w:val="21"/>
                <w:szCs w:val="21"/>
              </w:rPr>
              <w:t xml:space="preserve">H.265/H.264，4K/1080P/D1，30fps。1×SDI，1×双向音频，1×告警输入，1×告警输出，1× 内置TF卡槽，功耗5W，DC12V。</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8</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16</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高清视频编码器</w:t>
            </w:r>
            <w:r/>
          </w:p>
        </w:tc>
        <w:tc>
          <w:tcPr>
            <w:tcW w:w="3030"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单路高清编码器。H.265/H.264,1920*1200/1080P/720P/D1/CIF，支持1路DVI-I或BNC（CVBS或SDI信号）输入，1路HDMI环通输出1×RS232，1×RS485，2×音频输入，1×音频输出，2×告警输入，1路告警输出。含电源适配器。</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个</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17</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双路高清视频解码器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双路高清解码器。支持H.265/H.264，输出接口2×HDMI，1×VGA；</w:t>
            </w:r>
            <w:r>
              <w:rPr>
                <w:rFonts w:hint="eastAsia" w:ascii="宋体" w:hAnsi="宋体" w:eastAsia="宋体" w:cs="宋体"/>
                <w:sz w:val="21"/>
                <w:szCs w:val="21"/>
              </w:rPr>
              <w:br/>
            </w:r>
            <w:r>
              <w:rPr>
                <w:rFonts w:hint="eastAsia" w:ascii="宋体" w:hAnsi="宋体" w:eastAsia="宋体" w:cs="宋体"/>
                <w:sz w:val="21"/>
                <w:szCs w:val="21"/>
              </w:rPr>
              <w:t xml:space="preserve">（HDMI1与VGA同时同源输出，与HDMI2异源输出；HDMI1/VGA分辨率1920×1080，HDMI2分辨率最高4K即3840×2160）</w:t>
            </w:r>
            <w:r>
              <w:rPr>
                <w:rFonts w:hint="eastAsia" w:ascii="宋体" w:hAnsi="宋体" w:eastAsia="宋体" w:cs="宋体"/>
                <w:sz w:val="21"/>
                <w:szCs w:val="21"/>
              </w:rPr>
              <w:br/>
            </w:r>
            <w:r>
              <w:rPr>
                <w:rFonts w:hint="eastAsia" w:ascii="宋体" w:hAnsi="宋体" w:eastAsia="宋体" w:cs="宋体"/>
                <w:sz w:val="21"/>
                <w:szCs w:val="21"/>
              </w:rPr>
              <w:t xml:space="preserve">最高解码视频分辨率为4K（3840×2160）；</w:t>
            </w:r>
            <w:r>
              <w:rPr>
                <w:rFonts w:hint="eastAsia" w:ascii="宋体" w:hAnsi="宋体" w:eastAsia="宋体" w:cs="宋体"/>
                <w:sz w:val="21"/>
                <w:szCs w:val="21"/>
              </w:rPr>
              <w:br/>
            </w:r>
            <w:r>
              <w:rPr>
                <w:rFonts w:hint="eastAsia" w:ascii="宋体" w:hAnsi="宋体" w:eastAsia="宋体" w:cs="宋体"/>
                <w:sz w:val="21"/>
                <w:szCs w:val="21"/>
              </w:rPr>
              <w:t xml:space="preserve">解码总能力支持4×4K、8×400万（2592×1520）、18×1080P、32×D1;</w:t>
            </w:r>
            <w:r>
              <w:rPr>
                <w:rFonts w:hint="eastAsia" w:ascii="宋体" w:hAnsi="宋体" w:eastAsia="宋体" w:cs="宋体"/>
                <w:sz w:val="21"/>
                <w:szCs w:val="21"/>
              </w:rPr>
              <w:br/>
            </w:r>
            <w:r>
              <w:rPr>
                <w:rFonts w:hint="eastAsia" w:ascii="宋体" w:hAnsi="宋体" w:eastAsia="宋体" w:cs="宋体"/>
                <w:sz w:val="21"/>
                <w:szCs w:val="21"/>
              </w:rPr>
              <w:t xml:space="preserve">支持GB协议对接平台。</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个</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18</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智能数字音频处理器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智能数字音频处理器，具有16路音频输入、16路音频输出接口，采用6A音频算法，内置矩阵式全混音等功能；可调度智能语音转写一体机实现法庭分角色语音转写</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10</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19</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法庭专业扩声设备</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法庭扩声设备：</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总谐波失真：&lt;0.003%</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信噪比：112dB</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频率响应：20Hz-20KHz  +/-0.25dB</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阻尼系数:&gt;1000</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转换速率:80V/us</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输入阻抗：30K</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输入灵敏度：0.775V</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残留直流：&lt;5mV</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新技术应用：</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90V~270V电源波动净化。</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接地噪声双向引流净化。</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信号源噪声二级净化。</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直接能量放大器。</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恒定不失真功率控制。</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复电抗相移控制。</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扬声器动态能量回收。</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预过热软保护，预过载软保护。</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20</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法庭反馈抑制器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56-bit高速DSP,24-bit AD和DA转换。分辨精度1Hz,工作频率20Hz-20KHz.</w:t>
            </w:r>
            <w:r/>
          </w:p>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t xml:space="preserve">2</w:t>
            </w:r>
            <w:r>
              <w:rPr>
                <w:rFonts w:hint="eastAsia" w:ascii="宋体" w:hAnsi="宋体" w:eastAsia="宋体" w:cs="宋体"/>
                <w:sz w:val="21"/>
                <w:szCs w:val="21"/>
              </w:rPr>
              <w:t xml:space="preserve">寸</w:t>
            </w:r>
            <w:r>
              <w:rPr>
                <w:rFonts w:hint="default" w:ascii="宋体" w:hAnsi="宋体" w:eastAsia="宋体" w:cs="宋体"/>
                <w:sz w:val="21"/>
                <w:szCs w:val="21"/>
              </w:rPr>
              <w:t xml:space="preserve">FTF</w:t>
            </w:r>
            <w:r>
              <w:rPr>
                <w:rFonts w:hint="eastAsia" w:ascii="宋体" w:hAnsi="宋体" w:eastAsia="宋体" w:cs="宋体"/>
                <w:sz w:val="21"/>
                <w:szCs w:val="21"/>
              </w:rPr>
              <w:t xml:space="preserve">彩屏，中英文菜单可选。</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每通道</w:t>
            </w:r>
            <w:r>
              <w:rPr>
                <w:rFonts w:hint="default" w:ascii="宋体" w:hAnsi="宋体" w:eastAsia="宋体" w:cs="宋体"/>
                <w:sz w:val="21"/>
                <w:szCs w:val="21"/>
              </w:rPr>
              <w:t xml:space="preserve">12</w:t>
            </w:r>
            <w:r>
              <w:rPr>
                <w:rFonts w:hint="eastAsia" w:ascii="宋体" w:hAnsi="宋体" w:eastAsia="宋体" w:cs="宋体"/>
                <w:sz w:val="21"/>
                <w:szCs w:val="21"/>
              </w:rPr>
              <w:t xml:space="preserve">个动态陷波器加</w:t>
            </w:r>
            <w:r>
              <w:rPr>
                <w:rFonts w:hint="default" w:ascii="宋体" w:hAnsi="宋体" w:eastAsia="宋体" w:cs="宋体"/>
                <w:sz w:val="21"/>
                <w:szCs w:val="21"/>
              </w:rPr>
              <w:t xml:space="preserve">8</w:t>
            </w:r>
            <w:r>
              <w:rPr>
                <w:rFonts w:hint="eastAsia" w:ascii="宋体" w:hAnsi="宋体" w:eastAsia="宋体" w:cs="宋体"/>
                <w:sz w:val="21"/>
                <w:szCs w:val="21"/>
              </w:rPr>
              <w:t xml:space="preserve">个静态陷波器，自动抑制啸叫。</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自动陷波配合移频使用，超强抑制声反馈。</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噪声门功能可以抑制系统微弱噪声干扰。</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输入压缩功能在消除反馈同时更可扩展人声动态。</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两通道</w:t>
            </w:r>
            <w:r>
              <w:rPr>
                <w:rFonts w:hint="default" w:ascii="宋体" w:hAnsi="宋体" w:eastAsia="宋体" w:cs="宋体"/>
                <w:sz w:val="21"/>
                <w:szCs w:val="21"/>
              </w:rPr>
              <w:t xml:space="preserve">48V</w:t>
            </w:r>
            <w:r>
              <w:rPr>
                <w:rFonts w:hint="eastAsia" w:ascii="宋体" w:hAnsi="宋体" w:eastAsia="宋体" w:cs="宋体"/>
                <w:sz w:val="21"/>
                <w:szCs w:val="21"/>
              </w:rPr>
              <w:t xml:space="preserve">幻象电源，可以独立控制通断。</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电源使用超低噪音环形变压器。</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21</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法庭音频处理器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网络音频传输接口：内置8通道数字信号输入及8通道数字信号输出的网络音频传输接口</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信号处理功能：所有输入通道及输出通道的信号处理具有与模拟通道一样的信号处理功能</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多重控制功能：支持 PC、手机、平板、网页、中控平台、按键面板、触摸面板等方式进行多重控制</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算法：内置信号发生器、自动混音（AM）、自动增益控制（AGC）、反馈消除（AFC）、回声消除（AEC）等主要算法</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输入每通道：输入每通道：前级放大、信号发生器、扩展器、压缩器、5 段参量均衡</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输出每通道：输出每通道：31 段图示均衡、延时器、分频器、限幅器</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矩阵调节功能：全功能矩阵混音功能，内置专利性分量式矩阵调节功能</w:t>
            </w:r>
            <w:r/>
          </w:p>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跟踪与场景预设功能：内置自动摄像跟踪功能，轻松实现视频会议；支持场景预设功能；断电自动保护记忆功能，输入阻抗：平衡 20KΩ</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22</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压限器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经典压缩器加上最新的AutoDynamic自动变化上升和恢复控制，优化每一通道音频信号，简易的操作，最新的噪声门电路，自动运算最平滑的恢复特性，独立的LED显示，让操作更直观 立体声或双路单声道，平衡输入，链旁插接点。</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23</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法庭无线音频采集单元</w:t>
            </w:r>
            <w:r/>
          </w:p>
        </w:tc>
        <w:tc>
          <w:tcPr>
            <w:tcW w:w="3030"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内置2*3编组叠机频率,一键调取. 同一频段可同时轻松叠机2套使用.    </w:t>
            </w:r>
            <w:r>
              <w:rPr>
                <w:rFonts w:hint="eastAsia" w:ascii="宋体" w:hAnsi="宋体" w:eastAsia="宋体" w:cs="宋体"/>
                <w:sz w:val="21"/>
                <w:szCs w:val="21"/>
              </w:rPr>
              <w:t xml:space="preserve">                    八通道音量独立可调. 提供8+1音频输出.八通道各音频音量输出独立可控.                     采用8通道相同的工作频率,使得发射器之间可以随时互换,极大地增强了操作的灵活性.                                                                                                                       频率范围 : 610~670 MHz  </w:t>
            </w:r>
            <w:r>
              <w:rPr>
                <w:rFonts w:hint="eastAsia" w:ascii="宋体" w:hAnsi="宋体" w:eastAsia="宋体" w:cs="宋体"/>
                <w:sz w:val="21"/>
                <w:szCs w:val="21"/>
              </w:rPr>
              <w:t xml:space="preserve">                                                                                                     可调范围 : 50MHz    信道数目 : 400                                                                                                                   接收机方式：二次变频超外差 </w:t>
            </w:r>
            <w:r/>
          </w:p>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使用距离: 理想工况下有效使用距离为80米. 复杂环境下有效使用距离不小于45米.（含4只手持，4只方杆）                     </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套</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24</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法庭音频采集单元</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指向话筒,永久极性电容收音头,心型指向,灵敏度-40dB±2dB,频响20Hz～18KHz,输出阻抗75欧姆,最佳拾音距离10～45cm,DC3V/幻象48V供电</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支</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88</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25</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庭审SDI摄像机（含支架和电源）</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采用独特的数字处理技术，在低光照条件下可以显示出良好的图像质量；高分辨率模块具有超灵敏度和优良的色彩再现性；1/2.8英寸，最小场景照明度0.05Lux；1920X1080P分辨率；支持EX-SDI和全高清-SDI和模拟CVBS输出；含2.8-12mm镜头，含支架和供电电源；</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6</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26</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高清半球网络摄像机</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高清红外半球型网络摄像机，1/2.8"200W像素高性能传感器，0.0002Lux星光级低照度，120dB超宽动态。点阵式红外灯，40米红外，2.8mm定焦镜头。H.264/H.265，1920×1080@30fps，基础智能。1×内置MIC，2×Line IN，1×Line OUT，1×告警输入输出，1×模拟视频输出，1×RS485，1×内置TF卡槽。DC12V/POE，功耗11W。</w:t>
            </w:r>
            <w:r>
              <w:rPr>
                <w:rFonts w:hint="eastAsia" w:ascii="宋体" w:hAnsi="宋体" w:eastAsia="宋体"/>
                <w:b/>
                <w:sz w:val="21"/>
                <w:szCs w:val="21"/>
              </w:rPr>
              <w:t xml:space="preserve">（详细参数见内容</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b/>
                <w:sz w:val="21"/>
                <w:szCs w:val="21"/>
              </w:rPr>
              <w:t xml:space="preserve">）</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27</w:t>
            </w:r>
            <w:r/>
          </w:p>
        </w:tc>
        <w:tc>
          <w:tcPr>
            <w:tcW w:w="569"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视频编码器</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网络视频编码器,金属外壳。H.264,D1/CIF。1×BNC,1×双向音频,1×告警输入输出,1×RS485,1×TF卡存储接口。功耗4W。</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台</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80"/>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28</w:t>
            </w:r>
            <w:r/>
          </w:p>
        </w:tc>
        <w:tc>
          <w:tcPr>
            <w:tcW w:w="569" w:type="pct"/>
            <w:vAlign w:val="center"/>
            <w:textDirection w:val="lrTb"/>
            <w:noWrap w:val="false"/>
          </w:tcPr>
          <w:p>
            <w:pPr>
              <w:jc w:val="left"/>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互联网庭审小程序租赁服务</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互联网庭审微信小程序，租赁服务。</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年</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3</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15"/>
        </w:trPr>
        <w:tc>
          <w:tcPr>
            <w:tcW w:w="278"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29</w:t>
            </w:r>
            <w:r/>
          </w:p>
        </w:tc>
        <w:tc>
          <w:tcPr>
            <w:tcW w:w="569"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安装调试人工及线材费</w:t>
            </w:r>
            <w:r/>
          </w:p>
        </w:tc>
        <w:tc>
          <w:tcPr>
            <w:tcW w:w="3030" w:type="pct"/>
            <w:vAlign w:val="center"/>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安装调试人工及线材费</w:t>
            </w:r>
            <w:r/>
          </w:p>
        </w:tc>
        <w:tc>
          <w:tcPr>
            <w:tcW w:w="381"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项</w:t>
            </w:r>
            <w:r/>
          </w:p>
        </w:tc>
        <w:tc>
          <w:tcPr>
            <w:tcW w:w="37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p>
        </w:tc>
        <w:tc>
          <w:tcPr>
            <w:tcW w:w="364" w:type="pct"/>
            <w:vAlign w:val="bottom"/>
            <w:textDirection w:val="lrTb"/>
            <w:noWrap w:val="false"/>
          </w:tcPr>
          <w:p>
            <w:pPr>
              <w:keepLines w:val="0"/>
              <w:keepNext w:val="0"/>
              <w:pageBreakBefore w:val="0"/>
              <w:spacing w:line="400" w:lineRule="exact"/>
              <w:widowControl w:val="off"/>
              <w:rPr>
                <w:rFonts w:hint="default" w:ascii="宋体" w:hAnsi="宋体" w:eastAsia="宋体" w:cs="宋体"/>
                <w:sz w:val="21"/>
                <w:szCs w:val="21"/>
              </w:rPr>
            </w:pPr>
            <w:r>
              <w:rPr>
                <w:rFonts w:hint="default" w:ascii="宋体" w:hAnsi="宋体" w:eastAsia="宋体" w:cs="宋体"/>
                <w:sz w:val="21"/>
                <w:szCs w:val="21"/>
              </w:rPr>
            </w:r>
            <w:r/>
          </w:p>
        </w:tc>
      </w:tr>
    </w:tbl>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1、本项目核心产品：云庭审业务管理平台。</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2、本项目采购包含所有设备的安装调试服务，涉及到数据接口对接、开发、调试等一系列相关费用已经包含在该项目采购预算中，采购人后期不接受任何费用增加。</w:t>
      </w:r>
      <w:r>
        <w:rPr>
          <w:rFonts w:hint="eastAsia" w:ascii="宋体" w:hAnsi="宋体" w:eastAsia="宋体" w:cs="宋体"/>
          <w:b/>
          <w:bCs/>
          <w:color w:val="auto"/>
          <w:sz w:val="21"/>
          <w:szCs w:val="21"/>
          <w:highlight w:val="none"/>
          <w:lang w:val="en-US" w:eastAsia="zh-CN"/>
        </w:rPr>
        <w:t xml:space="preserve">（投标单位需提供对接承诺函，如不提供视为非实质性响应；中标单位须在成交后3个工作日内，签订合同之前完成对接测试，若后期不能实现数据对接测试视为虚假应标，追究相应法律责任）</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（四）主要设备详细参数功能要求</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1、云庭审业务管理平台</w:t>
      </w:r>
      <w:r/>
    </w:p>
    <w:p>
      <w:pPr>
        <w:ind w:firstLine="420"/>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1.1本次苏州市姑苏区人民法院云庭审业务管理平台建设新增互联网庭审、庭审语音转写等功能。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1.2支持法院所有法庭的接入管理，并发七间物理法庭或虚拟法庭互联网接入。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1.3★支持设置办案类型，包括本地庭审、远程提讯、互联网庭审。</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1.4★排期支持选择互联网庭审与会方式，包括到庭、互联网</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1.5支持根据时间、案号查询互联网庭审的排期信息。</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1.6★支持新建互联网庭审信息，包括案号、本地法庭、与会方及与会方式、预约时间、案件信息。 </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1.7★支持看互联网庭审类型已闭庭且已归档的排期记录，下载录像、笔录。 </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1.8支持语音转写控制，可开始、插入、结束语音转写；</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1.9支持单独开启、或关闭某个发言人的转写；</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1.10支持录入个性化词汇，提升转写准确率；</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1.11开庭前可进行摄像机、麦克风测试，能够查看测试结果。 </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1.12★支持互联网庭审小程序对单路画面进行全屏、取消全屏操作。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1.13支持对庭审参与方的信号状态进行展示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1.14★支持互联网庭审小程序或PC客户端上查看笔录、手写签名、上传证据材料</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1.15本次云庭审业务管理平台建设，须对接姑苏区人民法院现有科技法庭庭审主机、摄像机等设备，实现本地开庭、互联网开庭、远程提讯、电子质证各项业务功能。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1.16本次云庭审业务管理平台建设，不得对姑苏法院办公办案平台对接业务、平台历史案件查询、庭审录像查询、点播等功能造成影响。</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2、语音转写平台</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2.1设备内置普通话语音转写算法引擎，可实现庭审场景下的普通话语音实时转写功能。本次项目配置10间法庭语音转写授权。</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2.2支持高准确率的识别，识别正确率98%以上</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2.3支持配置热词，支持庭审/审讯里的专业词汇优化</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2.4支持过滤敏感词，支持语气词过滤</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2.5支持中文、英文、数字混合识别</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2.6支持导入离线的语音文件进行转写</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2.7内存容量不小于64GB</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2.8硬盘不小于480GB SSD 固态硬盘</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2.9支持不少于4*千兆网以太网口、2*USB接口、1*VGA接口</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3、备份一体机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3.1设备采用 3U 机箱，具有 24 盘位，模块化无线缆，主板、电源、风扇可插拔更换，本次项目配置24块8T硬盘。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3.2支持不少于4个100/1000M 自适应以太网接口；1个VGA接口；USB接口：2个USB3.0接口。</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3.3支持1+1冗余电源备份功能。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3.4支持网络端口冗余，当一个网口出现故障时可以启用备用网口保证系统的网络正常工作；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3.5支持同时接入2个网段，设置不同网段的IP,实现不同网段的互联互通。</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3.6支持RAID0、1、5、6、10模式；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3.7根据写入码流带宽需求，动态调整RAID重建的速度；</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3.8设备重启后，RAID可以继续重建；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3.9支持1T、2T、3T、4T、6T、8T 12T、16T SATA 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3.10支持盘号立体示意图展示；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3.11支持当前存储盘号状态显示：容量、属性、类型、运行状态、剩余空间；</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3.12支持H.264/H.265录像格式存储。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3.13支持密码设置复杂度提醒；</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3.14支持新建、编辑、删除用户组，支持对用户组进行授权；</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3.15支持新建、编辑、删除用户，用户可以选择所属的用户组，该用户的权限集成用户组的权限；</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3.16支持非法登录锁定机制，启用后客户端在达到指定非法登录次数后可自动锁定，并在指定时间后解锁。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3.17支持在国产操作系统上登录WEB客户端并进行参数配置、浏览、播放录像、下载等操作。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3.18具有日志管理功能，可以查询用户操作日志，支持日志下载及导出，支持日志按类别、类型、来源、时间段进行搜索；</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3.19支持对物理硬盘的状态查看，支持对独立盘号进行SMART检测、坏道检测。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3.20支持指定RAID作为数据共享备份区，备份区支持RAID0、1、5、6、10。</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3.21满配硬盘状态下，整机功耗不大于550W。</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3.22产品在正常工作条件下，连续工作168h，不应出现电气、机械或者软件的故障。</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4、存储阵列</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4.1采用3U机箱，具有24盘位，模块化无线缆，主板、电源、风扇可插拔更换，本次配置24块2T硬盘。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4.2设备采用嵌入式设计，运行于Linux操作系统</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4.3具有B/S架构，支持通过浏览器对一台或多台磁盘阵列进行访问和控制</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4.4默认关闭远程telnet功能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4.5默认无法通过ssh root用户访问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4.6支持密码设置复杂度提醒</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4.7支持查看硬件状态和系统状态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4.8支持存储池、虚拟磁盘的快速自动配置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4.9支持配置备份和恢复</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4.10支持告警事件联动邮件通知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4.11支持网口绑定功能，可将多网口设置同一IP地址，实现链路聚合、负载均衡、热备功能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4.12视音频采用视频流协议直接写入存储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4.13支持磁盘在线修复功能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4.14支持RAID0、1、5、6、10、RAIDX模式；支持热备盘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4.15支持针对坏扇区磁盘的热顶替</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4.16★支持RAID快速创建，支持RAID在磁盘拔出一定时间（默认10分钟内，时间可设）插回后快速重建；支持RAID重建速度动态调整，可以根据写入码流带宽需求，动态调整RAID重建的速度</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4.17支持RAID重建断点续建技术，设备重启之后，RAID可以继续重建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4.18支持创建/修改/删除/查看虚拟磁盘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4.19支持虚拟磁盘类型ISCSI、NRU、NAS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4.20支持磁盘漫游功能，磁盘更换盘位后，不影响RAID正常使用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4.21支持热插拔功能，支持磁盘、电源热插拔</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4.22支持图形化显示设备CPU状态、内存使用状态、磁盘状态、存储池状态、存储池容量使用状态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4.23支持降级、重建功能，当存储池处于降级、重建状态，不影响数据写入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4.24支持RAID组在线扩容，增加、减少RAID组的磁盘数量不影响设备正常工作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4.25在RAID组内丢失2块（含）以上磁盘但至少有1块正常磁盘时，不影响设备正常工作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4.26★在RAID组内有磁盘失效且正常磁盘数量大于等于9块时，系统自动重构</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4.27在磁盘拔出再插回时，磁盘上数据不会丢失</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4.28录像机转发性能，同时支持：写入能力：1000Mbits/s、转发能力：400Mbits/s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4.29支持1T、2T、3T、4T、6T、8T SATA磁盘；支持企业级、监控级硬盘</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4.30支持不少于4个10/100/1000M以太网接口；2个USB接口；1个VGA接口</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5、存储阵列扩容</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5.1设备应采用模块化无线缆设计，嵌入式linux操作系统，支持16盘位，系统稳定可靠，本次配置16块8T硬盘。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5.2支持视音频采用视频流协议直接写入存储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5.3支持RAID快速创建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5.4★支持RAID重建速度动态调整，可以根据写入码流带宽需求，动态调整RAID重建的速度；支持RAID重建断点续建技术，设备重启之后，RAID可以继续重建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5.5支持RAID冗余磁盘技术，支持RAID0、1、5、6、10，支持热备盘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5.6支持创建/修改/删除虚拟磁盘；支持查看虚拟磁盘状态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5.7支持配置备份和恢复；支持查看硬件状态和系统状态；支持告警事件邮件通知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5.8支持全面的状态报警，提供控制台告警、指示灯告警、邮件告警等多种告警方式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5.9支持针对坏扇区磁盘的热顶替</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5.10支持虚拟磁盘类型iSCSI、NRU、NAS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5.11支持在硬盘满配并正常工作时，快速自动配置磁盘组（RAID5）、虚拟磁盘（1个）</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5.12采用B/S设计，支持通过浏览器对一台或多台磁盘阵列进行访问和控制</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5.13默认关闭远程telnet功能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5.14默认无法通过ssh root用户访问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5.15支持RAID组在线扩容，增加、减少RAID组的磁盘数量不影响设备正常工作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5.16在RAID组内丢失2块（含）以上磁盘但至少有1块正常磁盘时，不影响设备正常工作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5.17★在RAID组内有磁盘失效且正常磁盘数量大于等于9块时，系统自动重构</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5.18在磁盘拔出再插回时，磁盘上数据不会丢失</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5.19写入能力不少于500Mbits/s同时转发能力不少于200Mbits/s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5.20支持2T、3T、4T、6T、8T硬盘；支持企业级、监控级硬盘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5.21支持SATA硬盘，支持硬盘热插拔</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5.22支持冗余网口，支持网口绑定，实现负载均衡，提高硬件可靠性</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5.23支持不少于3个10/100/1000M以太网接口；4个USB接口</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6、出口防火墙（国产化）</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6.1产品由专用的硬件平台、安全操作系统及功能软件构成，采用高性能多核多平台并行分布式处理特性</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6.2支持IPv6/IPv4双栈；支持IPv6安全策略，包括访问控制策略、NAT策略、流量控制策略、黑名单、白名单、认证策略等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6.3★漏洞扫描支持产品内置的默认模板以及自定义模板进行漏洞扫描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6.4★系统预定义至少11000条主流攻击规则，包含对应IPS规则的级别、防护对象、操作系统、CVE编号等详细信息。</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6.5威胁情报检测能力：支持检测C&amp;C、勒索软件、僵尸网络、挖矿软件、矿池地址等安全攻击类型。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6.6支持内嵌AI智能安全客服，通过AI智能安全客服为客户提供产品功能使用在线咨询以及产品故障排查思路；</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6.7★黑名单容量规格支持最大100万条。</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6.8支持基于地址、服务、时间等匹配条件进行流量控制；并支持配置保障带宽、最大带宽、最大连接数、最大连接速率、每IP带宽等QoS动作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6.9支持安全日志分析功能，使用关联分析技术，自动聚合、归一化并关联来自防火墙自身及网络的多源安全日志，提供攻击者、受害者两个安全分析维度进行分展示分析，其中每个维度支持三级视图进行查看，支持从相应的视角去分析特定时间范围内的攻击者/受害者的相关信息，支持下钻至对应的攻击详情进行详细分析；支持攻击链展示，精准定位关键威胁事件，并提供直观分析结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6.10系统定义最大超过6000种主流应用，支持识别多种主流应用，支持应用自定义并对自定义的应用进行分组，支持根据标签选择应用，支持自定义应用的导入和导出；支持通过立即升级、定时升级、手动上传文件三种方式升级应用特征库，支持显示升级历史和升级结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6.11具备中国网络安全审查技术与认证中心颁发的《中国国家信息安全产品认证证书》</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6.12具备中国信息安全测评中心颁发的《国家信息安全测评信息技术产品安全测评证书》（万兆）EAL4+</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7、入侵防御系统</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7.1系统入侵防御事件库，应支持根据协议类型、系统、安全类型、来源、事件级别来进行分类。</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7.2采用自主知识产权的木马通信通道检测技术，可检测木马隐蔽通道，防止木马对网络内业务系统的攻击行为；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7.3系统应支持弱口令检测功能，需支持至少8种网络协议并支持至少7种弱口令检测元素和口令字典，文字说明支持的网络协议和定义弱口令的检测元素。</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7.4采用自主知识产权的硬件状态监测技术，可防止硬件非法变更后接入网络。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7.5系统应支持Web过滤功能，至少支持黑白名单、关键字过滤、禁止HTTP代理外，还支持Script、 Java Applet等过滤，并能通过统一模版设置。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7.6系统应支持邮件内容过滤功能，有效防止恶意邮件及信息外泄。可根据邮件SMTP命令、发件人、主题、附件、IP及邮件大小进行过滤。</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7.7系统应支持敏感信息防护功能，识别信息和文件中的关键字、身份证、手机号码、固定电话号码、银行卡、IP地址等敏感信息，并支持文件指纹识别和白名单功能。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7.8基于行为分析的C&amp;C通道（隐蔽通道）检测机制，能够发现网络中的存在的隐蔽通道。提供C&amp;C通道的危险级别、连接建立时间、连接持续时间、控制端IP地址和端口、受控端IP地址和端口等信息。提供各种响应动作：阻断会话、临时阻断和抓包分析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7.9系统提供多种扫描防护能力，至少包括爬虫防护、CGI扫描防护、漏洞扫描防护，支持针对每种防护类型独立设置检测敏感度，系统内置检测检测敏感度分级，内置的敏感度级别至少包括低、中、高、最高，支持针对每种防护类型独立设置响应动作和阻断时间。</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8、web应用防护</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8.1代理或透明模式下，支持输入HTTP页面自动跳转到HTTPS页面。</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8.2可绑定设备厂家微信公众号实现设备智能互联，可通过微信公众号推送设备运行情况，如CPU负载、网口状态、磁盘容量、HA运行状态、路由、DNS、授权证书状态、入侵汇总信息、网站上线审核等，长时间无入侵记录、长时间未登陆设备推送告警到微信端</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8.3基于用户行为识别的智能动态防护机制，识别并彻底阻断黑客的攻击行为，阻断白名单支持设置IP、规则号和作用范围，支持数据挖掘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8.4支持基本访问控制规则与高级访问控制规则动作的冲突检测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8.5支持我国自主研发的国密算法，自主可控，能够满足各种应用场景的需求</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8.6支持敏感信息隐藏，身份证信息和银行卡信息中的部分位数用*替代。</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8.7能够对SQL注入、CGI、跨站脚本（XSS）进行应用层漏洞扫描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8.8自动学习并构建网站的URL模型，禁止违反现有模型的尝试行为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8.9支持对恶意扫描行为开启防扫描功能，用户可自定义防护等级。</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8.10支持在指定的生效时间内自动提升设备的安全防护等级，可手动更改生效规则及功能，支持域名灰名单</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8.11检测网站的备案情况，对于通过备案网站放行，未通过备案禁止访问</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9、高级流量威胁检测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支持解析HTTP、FTP、SMTP、POP3、SMB、IMAP、DNS、HTTPS、SMTPS、POP3S、IMAPS、RADIUS、KRB5、SNMP、NETFLOW、TFTP、HTTP2、NNTP等协议报文（HTTPS、SMTPS、POP3S、IMAPS加密协议解析需要导入服务器私钥证书），并提供审计协议类型的端口号配置，可根据需要变更端口号；</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9.2★支持30个以上的深度检测模块，对流量进行二次分析。</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9.3支持对流量中的IP地址、端口等进行统计，快速识别未登记资产。可基于特定应用或服务对内部资产进行梳理，查看资产端口暴露情况，特别是以非标端口提供的服务情况；可深入识别运行在资产上的应用信息、服务信息详细情况；</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9.4★支持告警抑制功能，在重复攻击手段下能够减少相同告警数量，提高用户分析效率，可自行设置告警抑制周期、告警上限、抑制阈值、持续时间、启用维度；</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9.5支持攻击链路可视化，一键溯源查看攻击全貌，将攻击者在网络中的活动路径、攻击过程以图形化方式完整地展示出来，且支持选择多条攻击链路并高亮显示，帮助用户更好理解攻击者行为；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9.6持检测WEB攻击、异常访问、恶意文件攻击、可疑流量、远程控制、WEB后门访问、DGA域名请求、弱口令、拒绝服务攻击、隧道通信、暴力破解、挖矿、恶意工具利用、扫描行为、漏洞利用、邮件社工攻击、ARP欺骗、配置风险、网络异常、入站情报、行为分析等风险类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9.7持检测WEB攻击、异常访问、恶意文件攻击、可疑流量、远程控制、WEB后门访问、DGA域名请求、弱口令、拒绝服务攻击、隧道通信、暴力破解、挖矿、恶意工具利用、扫描行为、漏洞利用、邮件社工攻击、ARP欺骗、配置风险、网络异常、入站情报、行为分析等风险类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9.8支持攻击链路可视化，一键溯源查看攻击全貌，将攻击者在网络中的活动路径、攻击过程以图形化方式完整地展示出来，且支持选择多条攻击链路并高亮显示，帮助用户更好理解攻击者行为；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9.9AI辅助分析支持对接第三方大模型，是拥有告警日志挖掘、规则生成、知识库管理、MCP服务器管理等功能的智能助手。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9.10支持联动多家防火墙进行阻断，如深信服、山石、天融信等，且支持自定义防火墙阻断的风险类型，阻断时长，并展示最新联动状态、状态更新时间；</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9.11支持大屏展示网络攻击态势，包括攻击地图、紧急事件数/总数、恶意文件数/扫描总数、风险趋势（高、中、低风险）、流量分析（吞吐量、HTTP流量、DNS流量）、高危风险类别排名、攻击源区域排名、紧急事件，并支持全球地图、中国地图切换展示；</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9.12具备中国国家信息安全产品认证证书（增强级）</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default"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10、高清庭审主机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10.1采用一体化嵌入式架构及嵌入式Linux操作系统，集成音视频矩阵、编解码、智能分析等模块，具有画面合成、混音录像、视音频存储、光盘刻录加密、音视频智能处理及远程提讯等功能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10.2支持不少于8路SDI输入，6路HDMI输入，4路DVI视频输入，8路DVI视频输出，5路HDMI输出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10.3支持不少于1路USB3.0、1路USB2.0</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10.4支持不少于2路10M/100M/1000M自适应以太网口，支持网络多址，网络容错，负载均衡模式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10.5支持不少于16路Mic In（支持48V幻象供电）、5路Line In</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10.6支持不少于3路Line Out（2路莲花，1路3.5mm双声道）、2路XLR Out</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10.7支持不少于8路RS485串行接口，6路RS232串行接口</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10.8支持不少于1路红外输入，6路红外输出，2路告警输入，2路告警输出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10.9支持不少于4个SATA接口，每个SATA口可支持8TB硬盘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10.10支持一键开启、停止刻录；支持一键开关机；支持一键打点；支持一键DVD回放</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10.11★内置8寸电容触控屏，支持实时显示通道状态、刻录/录制状态、USB接入状态、视频画面、光盘/硬盘总容量及已使用容量、刻录剩余时长、异常告警信息、CPU内存占用率、网络情况等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10.12内置双DVD刻录光驱，支持光驱热插拔，支持便捷拆卸光驱，可实现在不拆设备机箱的情况下更换光驱</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10.13视频编码格式支持H.264和H.265；视频编码码率支持在128kbps-8Mbps范围内设置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10.14★音频编码格式支持G.711、AAC_LC和ADPCM；音频采样率支持8KHz、16KHz、32KHz和48KHz可设置；音频编码码率支持在32kbps~128kbps范围内设置；支持不少于30路音频输入，能够实现远程声音和本地声音混音刻录；支持5组混音器设置，每路音频输入通道自定义加入不同混音器混音；支持啸叫抑制、回声抵消、自动增益、音频降噪，变声等音频处理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10.15支持8路IP摄像机（H.264或H.265摄像机）和SDI摄像机混合接入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10.16支持4K、2K、1080P、720P、D1图像分辨率前端接入，并进入合成画面；支持1080P、60帧SDI相机接入；支持前端接入类型：ONVIF、SIP、RTSP、H.323；支持2路远程点接入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10.17★支持大画面，1大1小，2等分，1大2小，4等分，1大4小，1大5小，1大7小，9等分等12种合成画面风格可选，可同时接入9路通道参与合成</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10.18支持调节合成画面尺寸，支持4K、2K、1080P、720P、D1分辨率编码，合成画面帧率支持30fps、45fps和60fps可设置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10.19合成画面任意两幅画面之间的同步时间无延时</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10.20合成画面OSD叠加功能：支持系统时间叠加、系统字幕叠加、片头信息叠加</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10.21支持两路证据展台（HDMI、DVI）接入并编码，支持两路证据编码独立录像，可同时将两路证据画面加入到合成画面中</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10.22支持SDI摄像机/IPC/远程点通道与本地/网络音频通道关联，实现自动切换发言话筒对应的前端图像，支持触发云台转动到配置的预置点</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10.23支持自定义配置语音激励合成画面风格</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10.24HDMI合成画面输出分辨率支持4K、2K、1080P，带音频；DVI合成画面输出分辨率支持1080P，带音频</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10.25支持合成画面、单通道画面和证据源画面本地录像，录像默认保存在本地硬盘</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10.26录制的录像文件为标准的MP4文件，支持MP4录像文件下载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10.27支持单独存储音频文件和获取音频文件</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10.28支持手动录像、周期定时录像、报警联动录像等多种录像策略</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10.29支持秒级回放，通过录像时间轴可精确定位到秒进行录像检索和回放</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10.30★支持本地开庭、休庭、闭庭、法纪宣读等22种宏指令可调用；支持自定义笔录模板功能，支持笔录重点标记功能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10.31支持片头叠加功能，支持自定义设置并叠加法庭名称、案号、案由、开庭时间、庭次、碟片序号等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10.32支持案件管理功能，可对案件编号、案件名称、案件类型等信息进行设置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10.33支持上传开庭须知，在开庭时可选择播放开庭须知，支持本地输出到显示器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10.34支持庭审过程中的笔录刻录到光盘中</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10.35★支持H.323协议接入视频会议，远程点支持双流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10.36若出现故障报警，故障提升声压≥60dB（A），持续时间≥8min</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10.37支持RTMP、RTSP、PPPoE、SMTP、UPnP、DDNS及HTTPS协议</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11、高清一体化网络摄像机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11.1设备应采用1/1.8英寸CMOS传感器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11.2设备的最低照度至少为0.002Lux(彩色)， 0.0001Lux(黑白)。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11.3设备应支持至少30倍光学变焦，焦距4.5-135mm，光圈F1.6-4.1。</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11.4设备的水平分辨力不低于2000TVL，信噪比不小于45dB,灰度等级不小于10级，宽动态范围不小于100dB。</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11.5设备支持三码流并发输出：可达到主码流3840×2160，帧率30帧/秒，第一辅码流1920×1080，帧率30帧/秒，第二辅码流704×576，帧率30帧/秒。</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11.6支持H.265、H.264、MJPEG编码格式；可将H.265、H.264格式设置为Baseline/Main/High Profile。支持Smart编码。</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11.7设备最大应支持分辨率3840×2160，帧率1fps~30fps可设置。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11.8设备音频编码格式应支持PCMA、PCMU、ADPCM、G.711、G.722、G.726、AAC_LC、OPUS音频编码标准，支持双向语音对讲、静音、哑音、混音、AEC回声抵消等功能。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11.9 1路SDI输出，支持1080P@30fps。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11.10设备具有强光抑制功能，可以开启/关闭，支持电子透雾及光学透雾功能设置选项，支持电子防抖、陀螺仪防抖功能设置选项，防抖等级可设置，支持加热功能设置，支持除湿功能设置。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11.11设备支持一个区域的ROI编码，区域大小可设置，支持4个矩形区域的区域遮盖，遮蔽区域颜色可以设置，遮蔽块可随云台转动而转动，支持镜像模式可实现左右翻转、上下翻转及中心翻转。</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11.12设备具有本机存储功能，支持1个外置TF卡，单卡最大可支持512GB。</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11.13设备应支持断网续传功能，断网情况下，数据自动存储到本地SD卡，网络恢复后自动上传。</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11.14设备具备网络自适应能力，在丢包率为≥20%的网络环境下，仍可正常显示监控画面。</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11.15设备支持移动侦测、遮挡报警、警戒线、区域入侵、进入区域、离开区域、人员聚集、声音异常、物品遗留、物品拿取等智能分析功能。当以上的智能行为分析达到设定的阀值时，可通过WEB客户端给出报警提示，能够触发告警上传、语音提示、显示字幕、发送邮件、联动录像、并口告警输出、联动云台转台等多种报警方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11.16设备具有接入协议支持信鸽、PDNS、VSIP协议设置选型。</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11.17支持1路RJ45 10M/100M以太网接口，1路RS485控制接口，1路Line In和1路LineOut，1路开关量报警输入，1路开关量报警输出、1路存储卡接口</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11.18设备应在-40°的低温及+70°的高温下都运行正常。</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11.19电源电压在DC12V±30%范围内变化时，摄像机应能正常工作。</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12、智能数字音频处理器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12.1设备需具备16路线路输入和16路线路输出，支持48V幻想供电。</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12.2支持AFC自学习声反馈抑制功能，能有效抑制系统啸叫。</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12.3支持AEC自适应声学回声消除功能，能快速消除会议中产生的回声。</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12.4支持AGC自动增益控制功能，确保音响系统的输出音量平衡。</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12.5支持ANS动态自适应降噪技术，降噪电平需达到18dB。</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12.6支持ANC噪声增益补偿，根据环境噪声改变自动调整输出增益。</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12.7支持AM多麦克风智能混音功能，具备话筒优选功能，轻松管理多支麦克风组合输出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12.8支持矩阵式输入输出信号路由功能，可对音频信号进行灵活切换和分配。</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12.9具备丰富的信号处理模块，包括：压缩器、闪避器、均衡器、滤波器、扩展器、噪声门、限幅器、延时器等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12.10支持RS485/RS232串口控制，便于接入中控系统。</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12.11支持图形化操作界面，具备清晰的信号流显示和多样化的控制面板，可对音频处理器进行灵活配置。</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13、高清半球网络摄像机</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13.1设备应为高清红外海螺型网络摄像机，应采用工业级嵌入式架构，采用专用芯片和嵌入式操作系统，稳定可靠</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13.2设备应采用1/2.8英寸高性能200万像素传感器，最低照度至少为0.0005Lux（彩色），0.0001Lux（黑白）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13.3设备应具备焦距2.8mm内置镜头</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13.4设备应采用高效的H.265视频编码算法，节省带宽、存储。同时支持H.264(Baseline Profile、Main Profile、High Profile)/MJPEG编码，兼容不支持H.265的NVR、平台等。</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13.5支持3码流并发输出。可达到主码流1920×1080，帧率30帧/秒，第一辅码流704×576，帧率30帧/秒，第二辅码流1920×1080，帧率30帧/秒。各码流分辨率、帧率可设，可分别用于高清存储、电视墙浏览、手机客户端浏览、智能分析等方式。</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13.6设备具备通过RS485接口外接温湿度器、雨刷和数字拾音器等设备。</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13.7设备应满足图像信噪比≥57dB，图像清晰度≥1000TVL，亮度等级≥11级，图像延时≤200ms。</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13.8设备音频编码格式应支持ADPCM、G.711u、G.711a、G.722、AAC_LC、G726音频编码标准。</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13.9支持AEC回声抵消、混音录像等功能。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13.10设备支持双路音频采集，并可选择监听其中一路或者两路。</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13.11支持强光抑制，对强光点附近区域补偿。支持SMART IR功能，解决过曝或曝光不足等问题。支持透雾，在特定环境下开启透雾功能，能提升图像通透度,使画面更清晰。支持ROI（感兴趣区域编码）功能，对图像中感兴趣区域增强编码，提高画面细节。支持走廊模式，有效提升狭长环境监控区域。</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13.12支持数字降噪、电子防抖、畸变矫正、背光补偿等图像增强功能。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13.13支持断链转存（ANR）功能，保证录像完整性。</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13.14设备应内置红外补光，红外照射距离10-30米。</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13.15支持110dB超宽动态，以便在逆光环境下仍能实现较好的图像成像效果。</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13.16设备应具备遮挡告警、警戒线、场景变更、区域入侵、区域离开、物品遗留、物品拿取、音频异常侦测、人员聚集等智能功能</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13.17设备应具备1×RJ45、1×RS485、1×BNC、1×TF卡、1×内置MIC、2×LineIn、1×LineOut、1×开关量报警输入、1×开关量报警输出、1×DC12V接口、支持POE供电功能。丰富的接口，满足多种方式的应用。</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13.18设备应满足IP67级防护要求。</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13.19设备应满足静电抗干扰，静电放电抗扰度空气放电≥8KV，接触放电≥6KV；抗浪涌，浪涌抗扰度开路电压≥6KV。</w:t>
      </w:r>
      <w:r/>
    </w:p>
    <w:p>
      <w:pPr>
        <w:ind w:firstLine="422"/>
        <w:jc w:val="left"/>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13.20设备应满足工作温度-40℃~+70℃。</w:t>
      </w:r>
      <w:r/>
    </w:p>
    <w:p>
      <w:pPr>
        <w:ind w:firstLine="422"/>
        <w:jc w:val="left"/>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13.21设备应满能在DC12V±35%范围内变化时正常工作。</w:t>
      </w:r>
      <w:r/>
    </w:p>
    <w:p>
      <w:pPr>
        <w:ind w:firstLine="422"/>
        <w:jc w:val="left"/>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四、综合说明及其他要求</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1、投标人在投标时应注明所投货物的生产厂家、产地、品牌、规格和型号、尺寸、提供设备配置清单、数量，并提供详细的技术参数及性能说明书等及一些必须说明的技术情况。</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投标人必须承诺采购文件中提出的全部技术规格与要求；如果其中某些条款不响应时，应在文件中逐条列出，未列出的视同响应。</w:t>
      </w:r>
      <w:r/>
    </w:p>
    <w:p>
      <w:pPr>
        <w:ind w:firstLine="420"/>
        <w:jc w:val="left"/>
        <w:spacing w:line="360" w:lineRule="auto"/>
        <w:shd w:val="clear" w:color="auto"/>
        <w:rPr>
          <w:rFonts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招标文件中若涉及品牌型号或其导向的仅供参考，各投标人在满足采购要求的前提下，可以提供质量、技术要求同档次或高于参照品牌要求的其他合格产品。</w:t>
      </w:r>
      <w:r/>
    </w:p>
    <w:p>
      <w:pPr>
        <w:ind w:firstLine="420"/>
        <w:jc w:val="left"/>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须对所投的全部内容进行响应，报价包括但不限于为实施和完成本合同项下全部内容所需的全部费用和要求获得的利润，包括所投货物及其备品备件和专用工具费用、相关知识产权费、 保险、税费及包装、运至最终目的地的运输、存储、现场吊装、搬运、安装调试、检测验收、甲方指定部门的检验检测费、技术支持与培训、伴随服务、质保和售后服务及相关劳务支出等工作所发生的全部费用，以及企业利润、税金和政策性文件规定及采购文件提出的、合同包含的所有风险、责任等各项应有费用。</w:t>
      </w:r>
      <w:r/>
    </w:p>
    <w:p>
      <w:pPr>
        <w:ind w:firstLine="420"/>
        <w:jc w:val="left"/>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交货地点：根据采购方要求送达指定地点。</w:t>
      </w:r>
      <w:r/>
    </w:p>
    <w:p>
      <w:pPr>
        <w:ind w:firstLine="420"/>
        <w:jc w:val="left"/>
        <w:spacing w:line="360" w:lineRule="auto"/>
        <w:shd w:val="clear" w:color="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履约验收要求：采购使用单位将根据《江苏省财政厅关于印发〈江苏省政府采购履约验收管理办法〉的通知》（苏财规〔2024〕7号）相关要求，组织项目履约验收基本工作。具体详见合同。</w:t>
      </w:r>
      <w:r/>
    </w:p>
    <w:p>
      <w:pPr>
        <w:ind w:firstLine="420"/>
        <w:jc w:val="left"/>
        <w:spacing w:line="360" w:lineRule="auto"/>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、付款步骤：</w:t>
      </w:r>
      <w:r>
        <w:rPr>
          <w:rFonts w:hint="eastAsia" w:ascii="宋体" w:hAnsi="宋体" w:eastAsia="宋体" w:cs="宋体"/>
          <w:color w:val="auto"/>
          <w:sz w:val="21"/>
          <w:szCs w:val="21"/>
          <w:highlight w:val="none"/>
          <w:lang w:val="en-US" w:eastAsia="zh-CN"/>
        </w:rPr>
        <w:t xml:space="preserve">详见合同。</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、凡涉及招标文件的补充说明和修改，均以中国政府采购网、江苏政府采购网、苏州政府采购网上发布的公告为准。</w:t>
      </w:r>
      <w:r/>
    </w:p>
    <w:p>
      <w:pPr>
        <w:jc w:val="center"/>
        <w:spacing w:line="360" w:lineRule="auto"/>
        <w:shd w:val="clear" w:color="auto"/>
        <w:rPr>
          <w:rStyle w:val="1082"/>
          <w:rFonts w:ascii="黑体" w:eastAsia="黑体"/>
          <w:color w:val="auto"/>
          <w:sz w:val="32"/>
          <w:szCs w:val="32"/>
          <w:highlight w:val="none"/>
        </w:rPr>
      </w:pPr>
      <w:r>
        <w:rPr>
          <w:rFonts w:hint="eastAsia" w:ascii="宋体" w:hAnsi="宋体" w:eastAsia="宋体" w:cs="宋体"/>
          <w:color w:val="auto"/>
          <w:sz w:val="21"/>
          <w:szCs w:val="21"/>
          <w:highlight w:val="none"/>
        </w:rPr>
        <w:br w:type="page" w:clear="all"/>
      </w:r>
      <w:bookmarkStart w:id="184" w:name="_Toc15753"/>
      <w:r/>
      <w:bookmarkStart w:id="185" w:name="_Toc25145"/>
      <w:r/>
      <w:bookmarkStart w:id="186" w:name="_Toc12212"/>
      <w:r/>
      <w:bookmarkStart w:id="187" w:name="_Toc12142"/>
      <w:r>
        <w:rPr>
          <w:rStyle w:val="1082"/>
          <w:rFonts w:hint="eastAsia" w:ascii="黑体" w:eastAsia="黑体"/>
          <w:color w:val="auto"/>
          <w:sz w:val="32"/>
          <w:szCs w:val="32"/>
          <w:highlight w:val="none"/>
        </w:rPr>
        <w:t xml:space="preserve">第五章  合同</w:t>
      </w:r>
      <w:bookmarkEnd w:id="175"/>
      <w:r/>
      <w:bookmarkEnd w:id="176"/>
      <w:r/>
      <w:bookmarkEnd w:id="180"/>
      <w:r/>
      <w:bookmarkStart w:id="188" w:name="_Toc13642118"/>
      <w:r/>
      <w:bookmarkStart w:id="189" w:name="_Toc387680521"/>
      <w:r/>
      <w:bookmarkStart w:id="190" w:name="_Toc13642226"/>
      <w:r>
        <w:rPr>
          <w:rStyle w:val="1082"/>
          <w:rFonts w:hint="eastAsia" w:ascii="黑体" w:eastAsia="黑体"/>
          <w:color w:val="auto"/>
          <w:sz w:val="32"/>
          <w:szCs w:val="32"/>
          <w:highlight w:val="none"/>
        </w:rPr>
        <w:t xml:space="preserve">主要条款</w:t>
      </w:r>
      <w:bookmarkEnd w:id="181"/>
      <w:r/>
      <w:bookmarkEnd w:id="182"/>
      <w:r/>
      <w:bookmarkEnd w:id="183"/>
      <w:r/>
      <w:bookmarkEnd w:id="184"/>
      <w:r/>
      <w:bookmarkEnd w:id="185"/>
      <w:r/>
      <w:bookmarkEnd w:id="186"/>
      <w:r/>
      <w:bookmarkEnd w:id="187"/>
      <w:r/>
      <w:r/>
    </w:p>
    <w:p>
      <w:pPr>
        <w:jc w:val="left"/>
        <w:spacing w:line="360" w:lineRule="auto"/>
        <w:rPr>
          <w:rFonts w:hint="default" w:ascii="宋体" w:hAnsi="宋体" w:eastAsia="宋体"/>
          <w:b/>
          <w:sz w:val="21"/>
          <w:szCs w:val="21"/>
        </w:rPr>
      </w:pPr>
      <w:r/>
      <w:bookmarkStart w:id="191" w:name="_Toc15795"/>
      <w:r/>
      <w:bookmarkStart w:id="192" w:name="_Toc7637"/>
      <w:r/>
      <w:bookmarkStart w:id="193" w:name="_Toc11844"/>
      <w:r/>
      <w:bookmarkStart w:id="194" w:name="_Toc26735"/>
      <w:r/>
      <w:bookmarkStart w:id="195" w:name="_Toc32528"/>
      <w:r/>
      <w:bookmarkStart w:id="196" w:name="_Toc492478288"/>
      <w:r/>
      <w:bookmarkStart w:id="197" w:name="_Toc59044764"/>
      <w:r/>
      <w:bookmarkStart w:id="198" w:name="_Toc18376"/>
      <w:r>
        <w:rPr>
          <w:rFonts w:hint="eastAsia" w:ascii="宋体" w:hAnsi="宋体" w:eastAsia="宋体"/>
          <w:b/>
          <w:sz w:val="21"/>
          <w:szCs w:val="21"/>
        </w:rPr>
        <w:t xml:space="preserve">项目名称：</w:t>
      </w:r>
      <w:r/>
    </w:p>
    <w:p>
      <w:pPr>
        <w:jc w:val="left"/>
        <w:spacing w:line="360" w:lineRule="auto"/>
        <w:rPr>
          <w:rFonts w:hint="default" w:ascii="宋体" w:hAnsi="宋体" w:eastAsia="宋体"/>
          <w:b/>
          <w:sz w:val="21"/>
          <w:szCs w:val="21"/>
        </w:rPr>
      </w:pPr>
      <w:r>
        <w:rPr>
          <w:rFonts w:hint="eastAsia" w:ascii="宋体" w:hAnsi="宋体" w:eastAsia="宋体"/>
          <w:b/>
          <w:sz w:val="21"/>
          <w:szCs w:val="21"/>
        </w:rPr>
        <w:t xml:space="preserve">项目编号：</w:t>
      </w:r>
      <w:r/>
    </w:p>
    <w:p>
      <w:pPr>
        <w:rPr>
          <w:rFonts w:hint="default" w:ascii="宋体" w:hAnsi="宋体" w:eastAsia="宋体" w:cs="Times New Roman"/>
          <w:sz w:val="21"/>
          <w:szCs w:val="21"/>
        </w:rPr>
      </w:pPr>
      <w:r>
        <w:rPr>
          <w:rFonts w:hint="default" w:ascii="宋体" w:hAnsi="宋体" w:eastAsia="宋体" w:cs="Times New Roman"/>
          <w:sz w:val="21"/>
          <w:szCs w:val="21"/>
        </w:rPr>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甲方：</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地址：</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电话：</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传真：</w:t>
      </w:r>
      <w:r/>
    </w:p>
    <w:p>
      <w:pPr>
        <w:jc w:val="left"/>
        <w:spacing w:line="360" w:lineRule="auto"/>
        <w:rPr>
          <w:rFonts w:hint="default" w:ascii="宋体" w:hAnsi="宋体" w:eastAsia="宋体"/>
          <w:sz w:val="21"/>
          <w:szCs w:val="21"/>
        </w:rPr>
      </w:pPr>
      <w:r>
        <w:rPr>
          <w:rFonts w:hint="default" w:ascii="宋体" w:hAnsi="宋体" w:eastAsia="宋体"/>
          <w:sz w:val="21"/>
          <w:szCs w:val="21"/>
        </w:rPr>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乙方：</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地址：</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电话：</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传真：</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default" w:ascii="宋体" w:hAnsi="宋体" w:eastAsia="宋体"/>
          <w:sz w:val="21"/>
          <w:szCs w:val="21"/>
          <w:u w:val="single"/>
        </w:rPr>
      </w:pPr>
      <w:r>
        <w:rPr>
          <w:rFonts w:hint="eastAsia" w:ascii="宋体" w:hAnsi="宋体" w:eastAsia="宋体"/>
          <w:b/>
          <w:sz w:val="21"/>
          <w:szCs w:val="21"/>
        </w:rPr>
        <w:t xml:space="preserve">一、定义：以下术语有特定的含义：</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合同价是指根据中标的投标文件和合同规定，乙方在正确地履行合同义务后甲方应支付给乙方的价款。</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甲方是指合同中明确规定的实际购买货物和接受服务的单位。</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乙方是指合同中规定的提供货物和提供服务的单位。</w:t>
      </w:r>
      <w:r/>
    </w:p>
    <w:p>
      <w:pPr>
        <w:ind w:firstLine="420"/>
        <w:spacing w:line="360" w:lineRule="auto"/>
        <w:rPr>
          <w:rFonts w:hint="default" w:ascii="宋体" w:hAnsi="宋体" w:eastAsia="宋体"/>
          <w:sz w:val="21"/>
          <w:szCs w:val="21"/>
          <w:u w:val="single"/>
        </w:rPr>
      </w:pPr>
      <w:r>
        <w:rPr>
          <w:rFonts w:hint="eastAsia" w:ascii="宋体" w:hAnsi="宋体" w:eastAsia="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default" w:ascii="宋体" w:hAnsi="宋体" w:eastAsia="宋体"/>
          <w:b/>
          <w:sz w:val="21"/>
          <w:szCs w:val="21"/>
        </w:rPr>
      </w:pPr>
      <w:r>
        <w:rPr>
          <w:rFonts w:hint="default" w:ascii="宋体" w:hAnsi="宋体" w:eastAsia="宋体"/>
          <w:b/>
          <w:sz w:val="21"/>
          <w:szCs w:val="21"/>
        </w:rPr>
      </w:r>
      <w:r/>
    </w:p>
    <w:p>
      <w:pPr>
        <w:ind w:firstLine="422"/>
        <w:spacing w:line="360" w:lineRule="auto"/>
        <w:rPr>
          <w:rFonts w:hint="default" w:ascii="宋体" w:hAnsi="宋体" w:eastAsia="宋体"/>
          <w:b/>
          <w:sz w:val="21"/>
          <w:szCs w:val="21"/>
          <w:u w:val="single"/>
        </w:rPr>
      </w:pPr>
      <w:r>
        <w:rPr>
          <w:rFonts w:hint="eastAsia" w:ascii="宋体" w:hAnsi="宋体" w:eastAsia="宋体"/>
          <w:b/>
          <w:sz w:val="21"/>
          <w:szCs w:val="21"/>
        </w:rPr>
        <w:t xml:space="preserve">二、合同标的：</w:t>
      </w:r>
      <w:r/>
    </w:p>
    <w:tbl>
      <w:tblPr>
        <w:tblStyle w:val="8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序号</w:t>
            </w:r>
            <w:r/>
          </w:p>
        </w:tc>
        <w:tc>
          <w:tcPr>
            <w:tcW w:w="2693"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货物（服务）名称</w:t>
            </w:r>
            <w:r/>
          </w:p>
        </w:tc>
        <w:tc>
          <w:tcPr>
            <w:tcW w:w="1529"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品牌</w:t>
            </w:r>
            <w:r/>
          </w:p>
        </w:tc>
        <w:tc>
          <w:tcPr>
            <w:tcW w:w="1642"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数量</w:t>
            </w:r>
            <w:r/>
          </w:p>
        </w:tc>
        <w:tc>
          <w:tcPr>
            <w:tcW w:w="1643"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交货期限</w:t>
            </w:r>
            <w:r/>
          </w:p>
        </w:tc>
        <w:tc>
          <w:tcPr>
            <w:tcW w:w="1643"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小计金额(元)</w:t>
            </w:r>
            <w:r/>
          </w:p>
        </w:tc>
      </w:tr>
      <w:tr>
        <w:trPr/>
        <w:tc>
          <w:tcPr>
            <w:tcW w:w="704"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1</w:t>
            </w:r>
            <w:r/>
          </w:p>
        </w:tc>
        <w:tc>
          <w:tcPr>
            <w:tcW w:w="269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529"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2"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r>
      <w:tr>
        <w:trPr/>
        <w:tc>
          <w:tcPr>
            <w:tcW w:w="704"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2</w:t>
            </w:r>
            <w:r/>
          </w:p>
        </w:tc>
        <w:tc>
          <w:tcPr>
            <w:tcW w:w="269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529"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2"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r>
      <w:tr>
        <w:trPr/>
        <w:tc>
          <w:tcPr>
            <w:tcW w:w="704" w:type="dxa"/>
            <w:textDirection w:val="lrTb"/>
            <w:noWrap w:val="false"/>
          </w:tcPr>
          <w:p>
            <w:pPr>
              <w:jc w:val="center"/>
              <w:spacing w:line="360" w:lineRule="auto"/>
              <w:rPr>
                <w:rFonts w:hint="default" w:ascii="宋体" w:hAnsi="宋体" w:eastAsia="宋体"/>
                <w:sz w:val="21"/>
                <w:szCs w:val="21"/>
              </w:rPr>
            </w:pPr>
            <w:r>
              <w:rPr>
                <w:rFonts w:hint="eastAsia" w:ascii="宋体" w:hAnsi="宋体" w:eastAsia="宋体"/>
                <w:sz w:val="21"/>
                <w:szCs w:val="21"/>
              </w:rPr>
              <w:t xml:space="preserve">3</w:t>
            </w:r>
            <w:r/>
          </w:p>
        </w:tc>
        <w:tc>
          <w:tcPr>
            <w:tcW w:w="269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529"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2"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r>
      <w:tr>
        <w:trPr/>
        <w:tc>
          <w:tcPr>
            <w:tcW w:w="704" w:type="dxa"/>
            <w:textDirection w:val="lrTb"/>
            <w:noWrap w:val="false"/>
          </w:tcPr>
          <w:p>
            <w:pPr>
              <w:jc w:val="center"/>
              <w:spacing w:line="360" w:lineRule="auto"/>
              <w:rPr>
                <w:rFonts w:hint="default" w:ascii="宋体" w:hAnsi="宋体" w:eastAsia="宋体"/>
                <w:sz w:val="21"/>
                <w:szCs w:val="21"/>
              </w:rPr>
            </w:pPr>
            <w:r>
              <w:rPr>
                <w:rFonts w:hint="default" w:ascii="宋体" w:hAnsi="宋体" w:eastAsia="宋体"/>
                <w:sz w:val="21"/>
                <w:szCs w:val="21"/>
              </w:rPr>
              <w:t xml:space="preserve">…</w:t>
            </w:r>
            <w:r/>
          </w:p>
        </w:tc>
        <w:tc>
          <w:tcPr>
            <w:tcW w:w="269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529"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2"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c>
          <w:tcPr>
            <w:tcW w:w="1643" w:type="dxa"/>
            <w:textDirection w:val="lrTb"/>
            <w:noWrap w:val="false"/>
          </w:tcPr>
          <w:p>
            <w:pPr>
              <w:jc w:val="left"/>
              <w:spacing w:line="360" w:lineRule="auto"/>
              <w:rPr>
                <w:rFonts w:hint="default" w:ascii="宋体" w:hAnsi="宋体" w:eastAsia="宋体"/>
                <w:sz w:val="21"/>
                <w:szCs w:val="21"/>
              </w:rPr>
            </w:pPr>
            <w:r>
              <w:rPr>
                <w:rFonts w:hint="default" w:ascii="宋体" w:hAnsi="宋体" w:eastAsia="宋体"/>
                <w:sz w:val="21"/>
                <w:szCs w:val="21"/>
              </w:rPr>
            </w:r>
            <w:r/>
          </w:p>
        </w:tc>
      </w:tr>
    </w:tbl>
    <w:p>
      <w:pPr>
        <w:jc w:val="left"/>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sz w:val="21"/>
          <w:szCs w:val="21"/>
        </w:rPr>
      </w:pPr>
      <w:r>
        <w:rPr>
          <w:rFonts w:hint="eastAsia" w:ascii="宋体" w:hAnsi="宋体" w:eastAsia="宋体"/>
          <w:b/>
          <w:sz w:val="21"/>
          <w:szCs w:val="21"/>
        </w:rPr>
        <w:t xml:space="preserve">三、合同总价款：</w:t>
      </w:r>
      <w:r>
        <w:rPr>
          <w:rFonts w:hint="eastAsia" w:ascii="宋体" w:hAnsi="宋体" w:eastAsia="宋体"/>
          <w:sz w:val="21"/>
          <w:szCs w:val="21"/>
        </w:rPr>
        <w:t xml:space="preserve">大写人民币元，小写￥元。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合同总价款范围：合同总价应包括完成设备的供应、安装、调试、检测、管理、实施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sz w:val="21"/>
          <w:szCs w:val="21"/>
        </w:rPr>
      </w:pPr>
      <w:r>
        <w:rPr>
          <w:rFonts w:hint="eastAsia" w:ascii="宋体" w:hAnsi="宋体" w:eastAsia="宋体"/>
          <w:b/>
          <w:color w:val="000000"/>
          <w:sz w:val="21"/>
          <w:szCs w:val="21"/>
        </w:rPr>
        <w:t xml:space="preserve">四、交货地点、时间、方式：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1.交货地点：乙方交货至甲方指定地点，所发生的运输等费用及货物的损坏造成的损失由乙方承担。</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2.交货时间：</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3.交货方式：乙方负责将货物安全完好运抵交货地点、安装调试并保证验收合格。</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color w:val="000000"/>
          <w:sz w:val="21"/>
          <w:szCs w:val="21"/>
        </w:rPr>
        <w:t xml:space="preserve">五、付款方式：</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1.付款步骤：</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（1）合同签订后支付合同价款40%的预付款</w:t>
      </w:r>
      <w:r>
        <w:rPr>
          <w:rFonts w:hint="eastAsia" w:ascii="宋体" w:hAnsi="宋体" w:eastAsia="宋体"/>
          <w:sz w:val="21"/>
          <w:szCs w:val="21"/>
          <w:lang w:eastAsia="zh-CN"/>
        </w:rPr>
        <w:t xml:space="preserve">（在签订合同时，乙方明确表示无需预付款或者主动要求降低预付款比例的，甲方可不适用上述关于预付款的规定）</w:t>
      </w:r>
      <w:r>
        <w:rPr>
          <w:rFonts w:hint="eastAsia" w:ascii="宋体" w:hAnsi="宋体" w:eastAsia="宋体"/>
          <w:sz w:val="21"/>
          <w:szCs w:val="21"/>
        </w:rPr>
        <w:t xml:space="preserve">，设备全部到场安装完成后支付合同价款40%的进度款，项目全部调试完成并试运行6个月且通过验收合格后付清剩余合同价款的20%。</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(注:甲方每次付款前，乙方均应当向甲方开具等额、合法的增值税发票，否则甲方有权延迟付款且无须承担任何责任。）</w:t>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w:t>
      </w:r>
      <w:r>
        <w:rPr>
          <w:rFonts w:hint="default" w:ascii="宋体" w:hAnsi="宋体" w:eastAsia="宋体"/>
          <w:sz w:val="21"/>
          <w:szCs w:val="21"/>
        </w:rPr>
        <w:t xml:space="preserve">.</w:t>
      </w:r>
      <w:r>
        <w:rPr>
          <w:rFonts w:hint="eastAsia" w:ascii="宋体" w:hAnsi="宋体" w:eastAsia="宋体"/>
          <w:sz w:val="21"/>
          <w:szCs w:val="21"/>
        </w:rPr>
        <w:t xml:space="preserve"> 支付方式：</w:t>
      </w:r>
      <w:r>
        <w:rPr>
          <w:rFonts w:hint="eastAsia" w:ascii="宋体" w:hAnsi="宋体" w:eastAsia="宋体" w:cs="仿宋_GB2312"/>
          <w:sz w:val="21"/>
          <w:szCs w:val="21"/>
        </w:rPr>
        <w:t xml:space="preserve">使用数字人民币支付</w:t>
      </w:r>
      <w:r/>
    </w:p>
    <w:p>
      <w:pPr>
        <w:jc w:val="both"/>
        <w:spacing w:after="120"/>
        <w:widowControl w:val="off"/>
        <w:rPr>
          <w:rFonts w:ascii="Calibri" w:hAnsi="Calibri" w:eastAsia="宋体" w:cs="Times New Roman"/>
          <w:sz w:val="21"/>
          <w:szCs w:val="24"/>
          <w:highlight w:val="yellow"/>
          <w:lang w:val="en-US" w:eastAsia="zh-CN" w:bidi="ar-SA"/>
        </w:rPr>
      </w:pPr>
      <w:r>
        <w:rPr>
          <w:rFonts w:ascii="Calibri" w:hAnsi="Calibri" w:eastAsia="宋体" w:cs="Times New Roman"/>
          <w:sz w:val="21"/>
          <w:szCs w:val="24"/>
          <w:highlight w:val="yellow"/>
          <w:lang w:val="en-US" w:eastAsia="zh-CN" w:bidi="ar-SA"/>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六、验收要求</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6.1交付本合同标的物前，</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应对标的物的质量、规格、性能、数量、外观、装箱单、随机资料、包装等进行详细而全面的检验，并出具一份检验合格证明，检验合格证明仅作为</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验收的依据，但不能作为本合同项下标的物质量、规格、数量或性能的最终检验结果。</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6.2</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根据本合同规定的内容和验收标准进行验收，同时比较</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出具的检验证明，经检验无误后出具验收合格证明，该证明作为最终付款所需文件的组成部分。验收不合格的，</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应进行采取补救措施，直至</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再次验收合格。货物调整产生的一切费用，由</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自行承担；给</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造成损失的，</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应赔偿一切直接、间接损失。</w:t>
      </w:r>
      <w:r/>
    </w:p>
    <w:p>
      <w:pPr>
        <w:ind w:firstLine="42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6.3验收标准：须符合我国最新颁布的与之相关的技术规范与标准，并同时满足采购文件要求和乙方所作承诺。</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应自本项目所有标的物交付</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，并完成签收之日起15日内进行验收。特殊情况需延长的，由双方另行协商确定。</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5</w:t>
      </w:r>
      <w:r>
        <w:rPr>
          <w:rFonts w:hint="eastAsia" w:ascii="宋体" w:hAnsi="宋体" w:eastAsia="宋体"/>
          <w:sz w:val="21"/>
          <w:szCs w:val="21"/>
        </w:rPr>
        <w:t xml:space="preserve">验收过程中，</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有权对</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提供的产品抽取一定比例（不超过5%）送具有法定资质的第三方检测检验机构检测检验（费用由</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承担)。检验结果若质量不合格或达不到采购文件要求的技术要求和质量要求，</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有权要求</w:t>
      </w:r>
      <w:r>
        <w:rPr>
          <w:rFonts w:hint="eastAsia" w:ascii="宋体" w:hAnsi="宋体" w:eastAsia="宋体"/>
          <w:sz w:val="21"/>
          <w:szCs w:val="21"/>
          <w:lang w:val="en-US" w:eastAsia="zh-CN"/>
        </w:rPr>
        <w:t xml:space="preserve">乙</w:t>
      </w:r>
      <w:r>
        <w:rPr>
          <w:rFonts w:hint="eastAsia" w:ascii="宋体" w:hAnsi="宋体" w:eastAsia="宋体"/>
          <w:sz w:val="21"/>
          <w:szCs w:val="21"/>
        </w:rPr>
        <w:t xml:space="preserve">方将其提供的同品类产品更换为满足采购文件要求的产品，更换产品产生的相关费用由</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承担。</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拒不更换的，由</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自行购买并更换，所产生的费用由</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承担。相关费用</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拒不承担的，</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有权从项目合同款或履约保证金中扣除。</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如双方对验收结果有分歧，对有争议产品送具有法定资质的第三方检验检测机构进行检验检测，如检验（检测）合格，检验（检测）费由甲方承担，检验（检测）不合格，检验（检测）费由乙方承担。</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7甲方</w:t>
      </w:r>
      <w:r>
        <w:rPr>
          <w:rFonts w:hint="eastAsia" w:ascii="宋体" w:hAnsi="宋体" w:eastAsia="宋体"/>
          <w:sz w:val="21"/>
          <w:szCs w:val="21"/>
        </w:rPr>
        <w:t xml:space="preserve">将根据《江苏省财政厅关于印发〈江苏省政府采购履约验收管理办法〉的通知》（苏财规〔2024〕7号）相关要求，组织项目履约验收基本工作。</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招标文件、投标文件、政府采购合同等是履约验收工作的重要依据。在政府采购合同约定的履行验收条件达到时，</w:t>
      </w:r>
      <w:r>
        <w:rPr>
          <w:rFonts w:hint="eastAsia" w:ascii="宋体" w:hAnsi="宋体" w:eastAsia="宋体"/>
          <w:sz w:val="21"/>
          <w:szCs w:val="21"/>
          <w:lang w:val="en-US" w:eastAsia="zh-CN"/>
        </w:rPr>
        <w:t xml:space="preserve">乙方</w:t>
      </w:r>
      <w:r>
        <w:rPr>
          <w:rFonts w:hint="eastAsia" w:ascii="宋体" w:hAnsi="宋体" w:eastAsia="宋体"/>
          <w:sz w:val="21"/>
          <w:szCs w:val="21"/>
        </w:rPr>
        <w:t xml:space="preserve">可以主动联系</w:t>
      </w:r>
      <w:r>
        <w:rPr>
          <w:rFonts w:hint="eastAsia" w:ascii="宋体" w:hAnsi="宋体" w:eastAsia="宋体"/>
          <w:sz w:val="21"/>
          <w:szCs w:val="21"/>
          <w:lang w:val="en-US" w:eastAsia="zh-CN"/>
        </w:rPr>
        <w:t xml:space="preserve">甲方</w:t>
      </w:r>
      <w:r>
        <w:rPr>
          <w:rFonts w:hint="eastAsia" w:ascii="宋体" w:hAnsi="宋体" w:eastAsia="宋体"/>
          <w:sz w:val="21"/>
          <w:szCs w:val="21"/>
        </w:rPr>
        <w:t xml:space="preserve">启动履约验收工作。</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七、保修期：</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本项目经甲方验收合格后，乙方将提供</w:t>
      </w:r>
      <w:r>
        <w:rPr>
          <w:rFonts w:hint="eastAsia" w:ascii="宋体" w:hAnsi="宋体" w:eastAsia="宋体"/>
          <w:b/>
          <w:bCs/>
          <w:sz w:val="21"/>
          <w:szCs w:val="21"/>
          <w:u w:val="single"/>
        </w:rPr>
        <w:t xml:space="preserve">3</w:t>
      </w:r>
      <w:r>
        <w:rPr>
          <w:rFonts w:hint="eastAsia" w:ascii="宋体" w:hAnsi="宋体" w:eastAsia="宋体"/>
          <w:b/>
          <w:bCs/>
          <w:sz w:val="21"/>
          <w:szCs w:val="21"/>
        </w:rPr>
        <w:t xml:space="preserve">年</w:t>
      </w:r>
      <w:r>
        <w:rPr>
          <w:rFonts w:hint="eastAsia" w:ascii="宋体" w:hAnsi="宋体" w:eastAsia="宋体"/>
          <w:sz w:val="21"/>
          <w:szCs w:val="21"/>
        </w:rPr>
        <w:t xml:space="preserve">质量保证期。质量保证期内，乙方负责对其提供的货物实行免费维修。</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八、伴随服务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3.上述伴随服务的费用应包含在合同价中，不单独进行支付。</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4.货物的包装、储运、安装按国家有关规定执行。</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九、质量保证</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十、索赔</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1.甲方有权根据当地国家技术监督局、进出口商品检验局或其他具有法定资格的质检机构出具的检验证书向乙方提出索赔。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2.如果乙方对缺陷负有责任而甲方提出索赔，乙方应按照甲方同意的下列一种或多种方式解决索赔事宜：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（2）根据货物低劣、损坏程度以及甲方所遭受损失的金额，经双方商定降低货物的价格。</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十一、履约延误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1.乙方应按照合同规定的时间、地点交货和提供服务；甲方应按照合同规定的时间、地点接收货物和接受服务。</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jc w:val="both"/>
        <w:spacing w:after="120"/>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十二、误期赔偿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2.误期赔偿费可从应付货款中扣除。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3.收取误期赔偿费不影响甲方采取合同规定的其他补救措施的权利。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十三、不可抗力</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十四、争端的解决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2.如果调解不成，双方中的任何一方可向人民法院提起诉讼。诉讼由合同签订地人民法院管辖。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3.诉讼费由败诉方负担。</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4.因合同部分履行引发诉讼的，在诉讼期间，除正在进行诉讼的部分外，本合同的其它部分应继续执行。 </w:t>
      </w:r>
      <w:r/>
    </w:p>
    <w:p>
      <w:pPr>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b/>
          <w:sz w:val="21"/>
          <w:szCs w:val="21"/>
        </w:rPr>
      </w:pPr>
      <w:r>
        <w:rPr>
          <w:rFonts w:hint="eastAsia" w:ascii="宋体" w:hAnsi="宋体" w:eastAsia="宋体"/>
          <w:b/>
          <w:sz w:val="21"/>
          <w:szCs w:val="21"/>
        </w:rPr>
        <w:t xml:space="preserve">十五、违约终止合同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default" w:ascii="宋体" w:hAnsi="宋体" w:eastAsia="宋体"/>
          <w:sz w:val="21"/>
          <w:szCs w:val="21"/>
        </w:rPr>
      </w:pPr>
      <w:r>
        <w:rPr>
          <w:rFonts w:hint="eastAsia" w:ascii="宋体" w:hAnsi="宋体" w:eastAsia="宋体"/>
          <w:sz w:val="21"/>
          <w:szCs w:val="21"/>
        </w:rPr>
        <w:t xml:space="preserve">（1）如果乙方未能在合同规定的限期或甲方同意延长的限期内提供部分或全部货物和服务。</w:t>
      </w:r>
      <w:r/>
    </w:p>
    <w:p>
      <w:pPr>
        <w:ind w:firstLine="200"/>
        <w:spacing w:line="360" w:lineRule="auto"/>
        <w:rPr>
          <w:rFonts w:hint="default" w:ascii="宋体" w:hAnsi="宋体" w:eastAsia="宋体"/>
          <w:sz w:val="21"/>
          <w:szCs w:val="21"/>
        </w:rPr>
      </w:pPr>
      <w:r>
        <w:rPr>
          <w:rFonts w:hint="eastAsia" w:ascii="宋体" w:hAnsi="宋体" w:eastAsia="宋体"/>
          <w:sz w:val="21"/>
          <w:szCs w:val="21"/>
        </w:rPr>
        <w:t xml:space="preserve">（2）如果乙方未能履行合同规定的其它任何义务。 </w:t>
      </w:r>
      <w:r/>
    </w:p>
    <w:p>
      <w:pPr>
        <w:ind w:firstLine="200"/>
        <w:spacing w:line="360" w:lineRule="auto"/>
        <w:rPr>
          <w:rFonts w:hint="default" w:ascii="宋体" w:hAnsi="宋体" w:eastAsia="宋体"/>
          <w:sz w:val="21"/>
          <w:szCs w:val="21"/>
        </w:rPr>
      </w:pPr>
      <w:r>
        <w:rPr>
          <w:rFonts w:hint="eastAsia" w:ascii="宋体" w:hAnsi="宋体" w:eastAsia="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3.如果甲方违约，应承担相应的违约责任。 </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2"/>
        <w:spacing w:line="360" w:lineRule="auto"/>
        <w:rPr>
          <w:rFonts w:hint="default" w:ascii="宋体" w:hAnsi="宋体" w:eastAsia="宋体"/>
          <w:sz w:val="21"/>
          <w:szCs w:val="21"/>
        </w:rPr>
      </w:pPr>
      <w:r>
        <w:rPr>
          <w:rFonts w:hint="eastAsia" w:ascii="宋体" w:hAnsi="宋体" w:eastAsia="宋体"/>
          <w:b/>
          <w:sz w:val="21"/>
          <w:szCs w:val="21"/>
        </w:rPr>
        <w:t xml:space="preserve">十六、破产终止合同：</w:t>
      </w:r>
      <w:r>
        <w:rPr>
          <w:rFonts w:hint="eastAsia" w:ascii="宋体" w:hAnsi="宋体" w:eastAsia="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default" w:ascii="宋体" w:hAnsi="宋体" w:eastAsia="宋体"/>
          <w:sz w:val="21"/>
          <w:szCs w:val="21"/>
        </w:rPr>
      </w:pPr>
      <w:r>
        <w:rPr>
          <w:rFonts w:hint="default" w:ascii="宋体" w:hAnsi="宋体" w:eastAsia="宋体"/>
          <w:sz w:val="21"/>
          <w:szCs w:val="21"/>
        </w:rPr>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default" w:ascii="宋体" w:hAnsi="宋体" w:eastAsia="宋体"/>
          <w:b/>
          <w:sz w:val="21"/>
          <w:szCs w:val="21"/>
        </w:rPr>
      </w:pPr>
      <w:r>
        <w:rPr>
          <w:rFonts w:hint="default" w:ascii="宋体" w:hAnsi="宋体" w:eastAsia="宋体"/>
          <w:b/>
          <w:sz w:val="21"/>
          <w:szCs w:val="21"/>
        </w:rPr>
      </w:r>
      <w:r/>
    </w:p>
    <w:p>
      <w:pPr>
        <w:ind w:firstLine="422"/>
        <w:spacing w:line="360" w:lineRule="auto"/>
        <w:rPr>
          <w:rFonts w:hint="default" w:ascii="宋体" w:hAnsi="宋体" w:eastAsia="宋体"/>
          <w:sz w:val="21"/>
          <w:szCs w:val="21"/>
        </w:rPr>
      </w:pPr>
      <w:r>
        <w:rPr>
          <w:rFonts w:hint="eastAsia" w:ascii="宋体" w:hAnsi="宋体" w:eastAsia="宋体"/>
          <w:b/>
          <w:sz w:val="21"/>
          <w:szCs w:val="21"/>
        </w:rPr>
        <w:t xml:space="preserve">十八、合同转让和分包：</w:t>
      </w:r>
      <w:r>
        <w:rPr>
          <w:rFonts w:hint="eastAsia" w:ascii="宋体" w:hAnsi="宋体" w:eastAsia="宋体"/>
          <w:sz w:val="21"/>
          <w:szCs w:val="21"/>
        </w:rPr>
        <w:t xml:space="preserve">本项目不得转包、分包。</w:t>
      </w:r>
      <w:r/>
    </w:p>
    <w:p>
      <w:pPr>
        <w:ind w:firstLine="422"/>
        <w:spacing w:line="360" w:lineRule="auto"/>
        <w:rPr>
          <w:rFonts w:hint="default" w:ascii="宋体" w:hAnsi="宋体" w:eastAsia="宋体"/>
          <w:b/>
          <w:sz w:val="21"/>
          <w:szCs w:val="21"/>
        </w:rPr>
      </w:pPr>
      <w:r>
        <w:rPr>
          <w:rFonts w:hint="default" w:ascii="宋体" w:hAnsi="宋体" w:eastAsia="宋体"/>
          <w:b/>
          <w:sz w:val="21"/>
          <w:szCs w:val="21"/>
        </w:rPr>
      </w:r>
      <w:r/>
    </w:p>
    <w:p>
      <w:pPr>
        <w:ind w:firstLine="422"/>
        <w:spacing w:line="360" w:lineRule="auto"/>
        <w:rPr>
          <w:rFonts w:hint="default" w:ascii="宋体" w:hAnsi="宋体" w:eastAsia="宋体"/>
          <w:sz w:val="21"/>
          <w:szCs w:val="21"/>
        </w:rPr>
      </w:pPr>
      <w:r>
        <w:rPr>
          <w:rFonts w:hint="eastAsia" w:ascii="宋体" w:hAnsi="宋体" w:eastAsia="宋体"/>
          <w:b/>
          <w:sz w:val="21"/>
          <w:szCs w:val="21"/>
        </w:rPr>
        <w:t xml:space="preserve">十九、需要补充的合同条款：</w:t>
      </w:r>
      <w:r>
        <w:rPr>
          <w:rFonts w:hint="eastAsia" w:ascii="宋体" w:hAnsi="宋体" w:eastAsia="宋体"/>
          <w:sz w:val="21"/>
          <w:szCs w:val="21"/>
        </w:rPr>
        <w:t xml:space="preserve">（根据评标过程中或者商务谈判时商定的条款和条件在订立合同时标明）。</w:t>
      </w:r>
      <w:r/>
    </w:p>
    <w:p>
      <w:pPr>
        <w:ind w:firstLine="422"/>
        <w:spacing w:line="360" w:lineRule="auto"/>
        <w:rPr>
          <w:rFonts w:hint="default" w:ascii="宋体" w:hAnsi="宋体" w:eastAsia="宋体"/>
          <w:sz w:val="21"/>
          <w:szCs w:val="21"/>
        </w:rPr>
      </w:pPr>
      <w:r>
        <w:rPr>
          <w:rFonts w:hint="eastAsia" w:ascii="宋体" w:hAnsi="宋体" w:eastAsia="宋体"/>
          <w:b/>
          <w:sz w:val="21"/>
          <w:szCs w:val="21"/>
        </w:rPr>
        <w:t xml:space="preserve">二十、合同生效 </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1.双方签约人为各自法定代表人或被授权代表。</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3</w:t>
      </w:r>
      <w:r>
        <w:rPr>
          <w:rFonts w:hint="default" w:ascii="宋体" w:hAnsi="宋体" w:eastAsia="宋体"/>
          <w:sz w:val="21"/>
          <w:szCs w:val="21"/>
        </w:rPr>
        <w:t xml:space="preserve">.</w:t>
      </w:r>
      <w:r>
        <w:rPr>
          <w:rFonts w:hint="eastAsia" w:ascii="宋体" w:hAnsi="宋体" w:eastAsia="宋体"/>
          <w:sz w:val="21"/>
          <w:szCs w:val="21"/>
        </w:rPr>
        <w:t xml:space="preserve">本合同自甲乙双方签字盖章之日起生效。</w:t>
      </w:r>
      <w:r/>
    </w:p>
    <w:p>
      <w:pPr>
        <w:ind w:firstLine="420"/>
        <w:spacing w:line="360" w:lineRule="auto"/>
        <w:rPr>
          <w:rFonts w:hint="default"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b/>
          <w:sz w:val="21"/>
          <w:szCs w:val="21"/>
        </w:rPr>
        <w:t xml:space="preserve">肆</w:t>
      </w:r>
      <w:r>
        <w:rPr>
          <w:rFonts w:hint="eastAsia" w:ascii="宋体" w:hAnsi="宋体" w:eastAsia="宋体"/>
          <w:sz w:val="21"/>
          <w:szCs w:val="21"/>
        </w:rPr>
        <w:t xml:space="preserve">份，甲乙双方各执</w:t>
      </w:r>
      <w:r>
        <w:rPr>
          <w:rFonts w:hint="eastAsia" w:ascii="宋体" w:hAnsi="宋体" w:eastAsia="宋体"/>
          <w:b/>
          <w:sz w:val="21"/>
          <w:szCs w:val="21"/>
        </w:rPr>
        <w:t xml:space="preserve">贰</w:t>
      </w:r>
      <w:r>
        <w:rPr>
          <w:rFonts w:hint="eastAsia" w:ascii="宋体" w:hAnsi="宋体" w:eastAsia="宋体"/>
          <w:sz w:val="21"/>
          <w:szCs w:val="21"/>
        </w:rPr>
        <w:t xml:space="preserve">份，各份具有同等法律效力。</w:t>
      </w:r>
      <w:r/>
    </w:p>
    <w:p>
      <w:pPr>
        <w:ind w:firstLine="420"/>
        <w:spacing w:line="360" w:lineRule="auto"/>
        <w:rPr>
          <w:rFonts w:hint="default" w:ascii="宋体" w:hAnsi="宋体" w:eastAsia="宋体"/>
          <w:sz w:val="21"/>
          <w:szCs w:val="21"/>
        </w:rPr>
      </w:pPr>
      <w:r>
        <w:rPr>
          <w:rFonts w:hint="default" w:ascii="宋体" w:hAnsi="宋体" w:eastAsia="宋体"/>
          <w:sz w:val="21"/>
          <w:szCs w:val="21"/>
        </w:rPr>
        <w:t xml:space="preserve">5</w:t>
      </w:r>
      <w:r>
        <w:rPr>
          <w:rFonts w:hint="eastAsia" w:ascii="宋体" w:hAnsi="宋体" w:eastAsia="宋体"/>
          <w:sz w:val="21"/>
          <w:szCs w:val="21"/>
        </w:rPr>
        <w:t xml:space="preserve">.本合同应按照中华人民共和国的现行法律进行解释。</w:t>
      </w:r>
      <w:r/>
    </w:p>
    <w:p>
      <w:pPr>
        <w:ind w:firstLine="420"/>
        <w:spacing w:line="360" w:lineRule="auto"/>
        <w:rPr>
          <w:rFonts w:hint="default" w:ascii="宋体" w:hAnsi="宋体" w:eastAsia="宋体"/>
          <w:sz w:val="21"/>
          <w:szCs w:val="21"/>
        </w:rPr>
      </w:pPr>
      <w:r>
        <w:rPr>
          <w:rFonts w:hint="default" w:ascii="宋体" w:hAnsi="宋体" w:eastAsia="宋体"/>
          <w:sz w:val="21"/>
          <w:szCs w:val="21"/>
        </w:rPr>
        <w:t xml:space="preserve">6</w:t>
      </w:r>
      <w:r>
        <w:rPr>
          <w:rFonts w:hint="eastAsia" w:ascii="宋体" w:hAnsi="宋体" w:eastAsia="宋体"/>
          <w:sz w:val="21"/>
          <w:szCs w:val="21"/>
        </w:rPr>
        <w:t xml:space="preserve">.合同修改：除甲乙双方签署书面修改、补充协议，并成为本合同不可分割的一部分之外，本合同条件不得有任何变化或修改。</w:t>
      </w:r>
      <w:r/>
    </w:p>
    <w:p>
      <w:pPr>
        <w:jc w:val="left"/>
        <w:spacing w:line="360" w:lineRule="auto"/>
        <w:rPr>
          <w:rFonts w:hint="default" w:ascii="宋体" w:hAnsi="宋体" w:eastAsia="宋体"/>
          <w:sz w:val="21"/>
          <w:szCs w:val="21"/>
        </w:rPr>
      </w:pPr>
      <w:r>
        <w:rPr>
          <w:rFonts w:hint="default" w:ascii="宋体" w:hAnsi="宋体" w:eastAsia="宋体"/>
          <w:sz w:val="21"/>
          <w:szCs w:val="21"/>
        </w:rPr>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甲方（公章）：                                     乙方（公章）：</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法定代表人（或授权代表）：                         法定代表人（或授权代表）： </w:t>
      </w:r>
      <w:r/>
    </w:p>
    <w:p>
      <w:pPr>
        <w:jc w:val="left"/>
        <w:spacing w:line="360" w:lineRule="auto"/>
        <w:rPr>
          <w:rFonts w:hint="default" w:ascii="宋体" w:hAnsi="宋体" w:eastAsia="宋体"/>
          <w:sz w:val="21"/>
          <w:szCs w:val="21"/>
        </w:rPr>
      </w:pPr>
      <w:r>
        <w:rPr>
          <w:rFonts w:hint="eastAsia" w:ascii="宋体" w:hAnsi="宋体" w:eastAsia="宋体"/>
          <w:sz w:val="21"/>
          <w:szCs w:val="21"/>
        </w:rPr>
        <w:t xml:space="preserve">签约日期：                                        签约日期： </w:t>
      </w:r>
      <w:r/>
    </w:p>
    <w:p>
      <w:pPr>
        <w:ind w:left="560" w:firstLine="420"/>
        <w:jc w:val="both"/>
        <w:spacing w:after="120"/>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p>
      <w:pPr>
        <w:rPr>
          <w:rStyle w:val="1082"/>
          <w:rFonts w:hint="eastAsia" w:ascii="黑体" w:eastAsia="黑体"/>
          <w:color w:val="auto"/>
          <w:sz w:val="32"/>
          <w:szCs w:val="32"/>
          <w:highlight w:val="none"/>
        </w:rPr>
      </w:pPr>
      <w:r>
        <w:rPr>
          <w:rFonts w:hint="eastAsia" w:ascii="宋体" w:hAnsi="宋体" w:eastAsia="宋体"/>
          <w:sz w:val="21"/>
          <w:szCs w:val="21"/>
        </w:rPr>
        <w:t xml:space="preserve">合同签定地：</w:t>
      </w:r>
      <w:r/>
    </w:p>
    <w:p>
      <w:pPr>
        <w:rPr>
          <w:rStyle w:val="1082"/>
          <w:rFonts w:hint="eastAsia" w:ascii="黑体" w:eastAsia="黑体"/>
          <w:color w:val="auto"/>
          <w:sz w:val="32"/>
          <w:szCs w:val="32"/>
          <w:highlight w:val="none"/>
        </w:rPr>
      </w:pPr>
      <w:r>
        <w:rPr>
          <w:rStyle w:val="1082"/>
          <w:rFonts w:hint="eastAsia" w:ascii="黑体" w:eastAsia="黑体"/>
          <w:color w:val="auto"/>
          <w:sz w:val="32"/>
          <w:szCs w:val="32"/>
          <w:highlight w:val="none"/>
        </w:rPr>
        <w:br w:type="page" w:clear="all"/>
      </w:r>
      <w:r/>
    </w:p>
    <w:p>
      <w:pPr>
        <w:jc w:val="center"/>
        <w:shd w:val="clear" w:color="auto"/>
        <w:rPr>
          <w:rStyle w:val="1082"/>
          <w:rFonts w:ascii="黑体" w:eastAsia="黑体"/>
          <w:color w:val="auto"/>
          <w:sz w:val="32"/>
          <w:szCs w:val="32"/>
          <w:highlight w:val="none"/>
        </w:rPr>
        <w:outlineLvl w:val="0"/>
      </w:pPr>
      <w:r>
        <w:rPr>
          <w:rStyle w:val="1082"/>
          <w:rFonts w:hint="eastAsia" w:ascii="黑体" w:eastAsia="黑体"/>
          <w:color w:val="auto"/>
          <w:sz w:val="32"/>
          <w:szCs w:val="32"/>
          <w:highlight w:val="none"/>
        </w:rPr>
        <w:t xml:space="preserve">第六章  评标办法、评分标准</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22"/>
        <w:keepLines w:val="0"/>
        <w:keepNext w:val="0"/>
        <w:pageBreakBefore w:val="0"/>
        <w:spacing w:line="40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一、评标办法：</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1、评标办法采用综合评分法。即在满足招标文件实质性要求前提下，按照招标文件中规定的评分标准和各项因素进行综合评审后，由</w:t>
      </w:r>
      <w:r>
        <w:rPr>
          <w:rFonts w:hint="eastAsia" w:ascii="宋体" w:hAnsi="宋体" w:eastAsia="宋体" w:cs="宋体"/>
          <w:color w:val="auto"/>
          <w:sz w:val="21"/>
          <w:szCs w:val="21"/>
          <w:highlight w:val="none"/>
          <w:lang w:val="zh-CN"/>
        </w:rPr>
        <w:t xml:space="preserve">综合评分得分最多的投标人作为中标供应商</w:t>
      </w:r>
      <w:r>
        <w:rPr>
          <w:rFonts w:hint="eastAsia" w:ascii="宋体" w:hAnsi="宋体" w:eastAsia="宋体" w:cs="宋体"/>
          <w:color w:val="auto"/>
          <w:sz w:val="21"/>
          <w:szCs w:val="21"/>
          <w:highlight w:val="none"/>
        </w:rPr>
        <w:t xml:space="preserve">。如出现综合得分最高的投标人有两个或两个以上的，以投标报价较低者优先作为中标候选人，如果投标报价也相同的，以提供优先采购产品数量最多的投标单位为中标候选供应商或中标人，如果提供优先采购产品数量也相同的，则由公证机构组织以抽签方式确定中标候选人。</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提供相同核心产品（主要标的）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评标委员会组织以抽签方式确定中标人，其他核心产品（主要标的）同品牌投标人不作为中标人。</w:t>
      </w:r>
      <w:r/>
    </w:p>
    <w:p>
      <w:pPr>
        <w:ind w:firstLine="422"/>
        <w:keepLines w:val="0"/>
        <w:keepNext w:val="0"/>
        <w:pageBreakBefore w:val="0"/>
        <w:spacing w:line="40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.评审价格调整的情形及评审价格调整办法:</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.1中、小企业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1）本项目属于非预留份额专门面向中小企业采购。如供应商所提供的全部货物的制造商属于小微企业，对其报价给予20％的扣除，用扣除后的价格参与评审。如扣除后的价格为最低价的，则作为评标基准价，中标金额则以实际投标报价为准。</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（2）本项目采购标的对应的中小企业划分标准所属行业为工业。中小微企业划型标准根据《中小企业划型标准规定》（工信部联企业【2011】300号）规定。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.2残疾人福利性单位</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.3监狱企业</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采购本国产品的支持政策</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.3供应商需按照招标文件的要求对其提供的产品出具《关于符合本国产品标准的声明函》（以下简称《声明函》），如不提供将不享受本国产品价格评审优惠。</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rPr>
        <w:t xml:space="preserve">注：</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根据财政部答复有关本国产品采购网民留言咨询，同时满足本国产品和中小企业政策的，对该供应商的产品同时给予支持本国产品和中小企业产品的价格评审优惠。相关价格评审扣除优惠，均应该在供应商原始报价基础上计算，用扣除后的价格参与评审。</w:t>
      </w:r>
      <w:r/>
    </w:p>
    <w:p>
      <w:pPr>
        <w:ind w:firstLine="420"/>
        <w:keepLines w:val="0"/>
        <w:keepNext w:val="0"/>
        <w:pageBreakBefore w:val="0"/>
        <w:spacing w:line="400" w:lineRule="exact"/>
        <w:shd w:val="clear" w:color="auto"/>
        <w:widowControl w:val="off"/>
        <w:rPr>
          <w:rFonts w:hint="eastAsia" w:ascii="宋体" w:hAnsi="宋体" w:eastAsia="宋体" w:cs="宋体"/>
          <w:b w:val="0"/>
          <w:bCs/>
          <w:color w:val="auto"/>
          <w:sz w:val="21"/>
          <w:szCs w:val="21"/>
          <w:highlight w:val="none"/>
        </w:rPr>
        <w:outlineLvl w:val="1"/>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如投标人提供虚假材料，将按“政府采购法”相关规定处理并由政府监管部门给予严肃处理。</w:t>
      </w:r>
      <w:r/>
    </w:p>
    <w:p>
      <w:pPr>
        <w:ind w:firstLine="422"/>
        <w:keepLines w:val="0"/>
        <w:keepNext w:val="0"/>
        <w:pageBreakBefore w:val="0"/>
        <w:spacing w:line="400" w:lineRule="exact"/>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二、综合评分标准：</w:t>
      </w:r>
      <w:r/>
    </w:p>
    <w:p>
      <w:pPr>
        <w:ind w:firstLine="422"/>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lang w:bidi="ar"/>
        </w:rPr>
        <w:outlineLvl w:val="1"/>
      </w:pPr>
      <w:r>
        <w:rPr>
          <w:rFonts w:hint="eastAsia" w:ascii="宋体" w:hAnsi="宋体" w:eastAsia="宋体" w:cs="宋体"/>
          <w:b/>
          <w:bCs/>
          <w:color w:val="auto"/>
          <w:sz w:val="21"/>
          <w:szCs w:val="21"/>
          <w:highlight w:val="none"/>
          <w:lang w:bidi="ar"/>
        </w:rPr>
        <w:t xml:space="preserve">（一）价格分（30分）</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zh-CN" w:bidi="ar"/>
        </w:rPr>
        <w:outlineLvl w:val="1"/>
      </w:pPr>
      <w:r>
        <w:rPr>
          <w:rFonts w:hint="eastAsia" w:ascii="宋体" w:hAnsi="宋体" w:eastAsia="宋体" w:cs="宋体"/>
          <w:color w:val="auto"/>
          <w:sz w:val="21"/>
          <w:szCs w:val="21"/>
          <w:highlight w:val="none"/>
          <w:lang w:val="zh-CN" w:bidi="ar"/>
        </w:rPr>
        <w:t xml:space="preserve">价格分采用低价优先法计算，即满足采购文件要求且投标价格最低的投标报价为评标基准价，其价格分为满分。</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zh-CN" w:bidi="ar"/>
        </w:rPr>
        <w:outlineLvl w:val="1"/>
      </w:pPr>
      <w:r>
        <w:rPr>
          <w:rFonts w:hint="eastAsia" w:ascii="宋体" w:hAnsi="宋体" w:eastAsia="宋体" w:cs="宋体"/>
          <w:color w:val="auto"/>
          <w:sz w:val="21"/>
          <w:szCs w:val="21"/>
          <w:highlight w:val="none"/>
          <w:lang w:val="zh-CN" w:bidi="ar"/>
        </w:rPr>
        <w:t xml:space="preserve">第一步：投标报价低于或等于财政预算价格的，为有效投标报价。超出此范围的投标报价为无效投标报价。无效投标报价的投标文件不进行评审，也不得标。</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zh-CN" w:bidi="ar"/>
        </w:rPr>
        <w:outlineLvl w:val="1"/>
      </w:pPr>
      <w:r>
        <w:rPr>
          <w:rFonts w:hint="eastAsia" w:ascii="宋体" w:hAnsi="宋体" w:eastAsia="宋体" w:cs="宋体"/>
          <w:color w:val="auto"/>
          <w:sz w:val="21"/>
          <w:szCs w:val="21"/>
          <w:highlight w:val="none"/>
          <w:lang w:val="zh-CN" w:bidi="ar"/>
        </w:rPr>
        <w:t xml:space="preserve">第二步：在所有有效投标报价中选择报价最低的确定为基准报价。</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zh-CN" w:bidi="ar"/>
        </w:rPr>
        <w:outlineLvl w:val="1"/>
      </w:pPr>
      <w:r>
        <w:rPr>
          <w:rFonts w:hint="eastAsia" w:ascii="宋体" w:hAnsi="宋体" w:eastAsia="宋体" w:cs="宋体"/>
          <w:color w:val="auto"/>
          <w:sz w:val="21"/>
          <w:szCs w:val="21"/>
          <w:highlight w:val="none"/>
          <w:lang w:val="zh-CN" w:bidi="ar"/>
        </w:rPr>
        <w:t xml:space="preserve">第三步：将所有有效报价与基准报价相比较：等于基准报价的得30分，其他投标人的价格分按照下列公式计算（计算结果四舍五入保留两位小数）：</w:t>
      </w:r>
      <w:r/>
    </w:p>
    <w:p>
      <w:pPr>
        <w:ind w:firstLine="420"/>
        <w:keepLines w:val="0"/>
        <w:keepNext w:val="0"/>
        <w:pageBreakBefore w:val="0"/>
        <w:spacing w:line="400" w:lineRule="exact"/>
        <w:shd w:val="clear" w:color="auto"/>
        <w:widowControl w:val="off"/>
        <w:rPr>
          <w:rFonts w:hint="eastAsia" w:ascii="宋体" w:hAnsi="宋体" w:eastAsia="宋体" w:cs="宋体"/>
          <w:color w:val="auto"/>
          <w:sz w:val="21"/>
          <w:szCs w:val="21"/>
          <w:highlight w:val="none"/>
          <w:lang w:val="zh-CN" w:bidi="ar"/>
        </w:rPr>
        <w:outlineLvl w:val="1"/>
      </w:pPr>
      <w:r>
        <w:rPr>
          <w:rFonts w:hint="eastAsia" w:ascii="宋体" w:hAnsi="宋体" w:eastAsia="宋体" w:cs="宋体"/>
          <w:color w:val="auto"/>
          <w:sz w:val="21"/>
          <w:szCs w:val="21"/>
          <w:highlight w:val="none"/>
          <w:lang w:val="zh-CN" w:bidi="ar"/>
        </w:rPr>
        <w:t xml:space="preserve">投标报价得分＝（基准报价/投标报价）×30%×100</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注：评标过程中出现下列情形之一的，评标委员会应当启动异常低价投标（响应）审查程序：</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（1）投标（响应）报价低于全部通过符合性审查供应商投标（响应）报价平均值50%的，即投标（响应）报价&lt;全部通过符合性审查供应商投标（响应）报价平均值×50%；</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（3）投标（响应）报价低于采购项目采购预算（最高限价）45%的，即投标（响应）报价&lt;采购项目采购预算（最高限价）×45%；</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（4）评审委员会基于专业判断，认为供应商报价过低，有可能影响产品质量或者不能诚信履约的其他情形。</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（二）设备技术参数（20分）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所投产品技术参数完全符合或优于招标文件的技术参数要求的得20分；其中带“★”项技术参数，每负偏离一项扣1分；其他参数每有一项负偏离的扣0.5分，本项最高得20分。（投标文件中应提供《技术要求偏离表》供评委评判，带“★”项技术参数需在投标文件中提供国家认可的第三方检测机构出具的合格检验报告书扫描件，否则视为负偏离，未根据要求提供相关证明材料的不得分）</w:t>
      </w:r>
      <w:r/>
    </w:p>
    <w:p>
      <w:pPr>
        <w:ind w:firstLine="422"/>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（三）技术部分（26分）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1、项目整体技术方案（7分）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提供的针对本项目的项目整体技术方案进行打分，方案包含但不限于项目现状、需求分析、建设架构、实施目标、功能深度设计、业务系统描述等。方案科学合理、表述完整、符合需求的得7分；方案完整性有所欠缺，不完全符合需求的得3分；方案不合理、方案完整性缺失严重、不符合需求的得1分；不提供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2、项目云庭审业务管理平台与姑苏法院办公办案平台对接方案（4分）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提供的针对本项目的云庭审业务管理平台与姑苏法院办公办案平台对接方案进行打分，方案包含但不限于接入场景与要求、系统对接内容、接口清单等。方案科学合理、表述完整、符合需求的得4分；方案完整性有所欠缺，不完全符合需求的得2分；方案不合理、方案完整性缺失严重、不符合需求的得1分；不提供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3、项目科技法庭设备利旧的整体方案（4分）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提供的针对本项目的科技法庭设备利旧的整体实施方案，方案包含但不限于但不限于目前利旧设备现状、设备利旧方案、数据迁移等。方案科学合理、表述完整、符合需求的得4分；方案完整性有所欠缺，不完全符合需求的得2分；方案不合理、方案完整性缺失严重、不符合需求的得1分；不提供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4、项目实施方案（7分）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提供针对本项目的实施方案进行打分，包含但不限于：实施部署方案、主要设备安装方案、进度计划方案、质量、安全保障措施方案、系统试运行及测试方案、验收方案等。方案科学合理、表述完整、符合需求的得7分；方案完整性有所欠缺，不完全符合需求的得3分；方案不合理、方案完整性缺失严重、不符合需求的得1分；不提供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5、售后服务方案（4分）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提供针对本项目的售后服务方案进行打分，包含但不限于：售后服务体系及团队、售后服务内容、故障解决方方案、培训方案、培训采取的方式、培训课件及培训方式等。方案科学合理、表述完整、符合需求的得4分；方案完整性有所欠缺，不完全符合需求的得2分；方案不合理、方案完整性缺失严重、不符合需求的得1分；不提供不得分。</w:t>
      </w:r>
      <w:r/>
    </w:p>
    <w:p>
      <w:pPr>
        <w:ind w:firstLine="422"/>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（四）拟投入本项目组人员资质（12分）（一人多证按一证计算，不重复评分。投标文件中提供下述人员资质证书及投标单位为其依法缴纳最近一期社保资金的证明材料扫描件）</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1、项目经理具有信息系统项目管理师、注册信息安全专业人员（CISP）资格认证的，每提供一个证书得2分；最高得4分。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2、技术负责人具备高级网络规划设计师、注册信息安全专业人员（CISP）资格的，每提供一个证书得2分，最高得4分。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3、投入本项目的其他项目组成员具有信息安全保障人员（CISAW）认证证书，信息安全专业人员（CISP），每有1人得1分，最高得4分。</w:t>
      </w:r>
      <w:r/>
    </w:p>
    <w:p>
      <w:pPr>
        <w:ind w:firstLine="422"/>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（五）企业综合实力（12分）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1、投标单位具备ITSS信息技术服务标准证书的，1级的得2分；2级的得1分；最高2分。（投标文件中提供有效期内的证书扫描件，否则不得分）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2、投标单位具备CS信息系统建设和服务能力等级证书的，4级的得2分；3级的得1分；最高2分。（投标文件中提供有效期内的证书扫描件，否则不得分）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3、投标单位具备软件开发成熟度模型CMMI证书的，5级的得2分；4级的得1分；最高2分。（投标文件中提供有效期内的证书扫描件，否则不得分）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4、投标单位2023年1月1日以来（以合同签订日期为准）独立完成过的类似项目业绩，每提供一份业绩合同得2分，最高6分。（投标文件中提供合同扫描件，不提供不得分）</w:t>
      </w:r>
      <w:r/>
    </w:p>
    <w:p>
      <w:pPr>
        <w:ind w:firstLine="42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ind w:firstLine="422"/>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400" w:lineRule="exact"/>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1、付款方式、合同履行期限、质保期如有负偏离的</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不得进入评审。</w:t>
      </w:r>
      <w:r/>
    </w:p>
    <w:p>
      <w:pPr>
        <w:ind w:firstLine="422"/>
        <w:keepLines w:val="0"/>
        <w:keepNext w:val="0"/>
        <w:pageBreakBefore w:val="0"/>
        <w:spacing w:line="400" w:lineRule="exact"/>
        <w:shd w:val="clear" w:color="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2、针对评分标准中评分的每一条，投标单位在投标文件中均应提供相关资料并作出相应说明供评委评判，不提供相关资料，提供的材料不全、不符、说明不清晰或不提供的,视为不具备该项得分的条件。</w:t>
      </w:r>
      <w:r/>
    </w:p>
    <w:p>
      <w:pPr>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right"/>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Wingdings">
    <w:panose1 w:val="05000000000000000000"/>
  </w:font>
  <w:font w:name="汉仪书宋二KW">
    <w:panose1 w:val="020B0503020202020204"/>
  </w:font>
  <w:font w:name="等线 Light">
    <w:panose1 w:val="02010600030101010101"/>
  </w:font>
  <w:font w:name="等线">
    <w:panose1 w:val="02010600030101010101"/>
  </w:font>
  <w:font w:name="宋体糭.飬..">
    <w:panose1 w:val="02010600030101010101"/>
  </w:font>
  <w:font w:name="Tahoma">
    <w:panose1 w:val="020B0604030504040204"/>
  </w:font>
  <w:font w:name="宋体_x0001_糭.飬..">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Arial Unicode MS">
    <w:panose1 w:val="020B0604020202020204"/>
  </w:font>
  <w:font w:name="Arial">
    <w:panose1 w:val="020B0604020202020204"/>
  </w:font>
  <w:font w:name="华文中宋">
    <w:panose1 w:val="02010600040101010101"/>
  </w:font>
  <w:font w:name="仿宋_GB2312">
    <w:panose1 w:val="02010609060101010101"/>
  </w:font>
  <w:font w:name="黑体">
    <w:panose1 w:val="02010609060101010101"/>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82"/>
      </w:rPr>
      <w:framePr w:wrap="around" w:vAnchor="text" w:hAnchor="margin" w:xAlign="right" w:y="1"/>
    </w:pPr>
    <w:r>
      <w:fldChar w:fldCharType="begin"/>
    </w:r>
    <w:r>
      <w:rPr>
        <w:rStyle w:val="882"/>
      </w:rPr>
      <w:instrText xml:space="preserve">PAGE  </w:instrText>
    </w:r>
    <w:r>
      <w:fldChar w:fldCharType="end"/>
    </w:r>
    <w:r/>
  </w:p>
  <w:p>
    <w:pPr>
      <w:pStyle w:val="85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left" w:pos="3126" w:leader="none"/>
      </w:tabs>
      <w:rPr>
        <w:rFonts w:ascii="宋体" w:hAnsi="宋体" w:eastAsia="宋体"/>
        <w:szCs w:val="21"/>
      </w:rPr>
    </w:pPr>
    <w:r>
      <w:rPr>
        <w:rFonts w:ascii="宋体" w:hAnsi="宋体" w:eastAsia="宋体"/>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t xml:space="preserve">1</w:t>
    </w:r>
    <w:r>
      <w:fldChar w:fldCharType="end"/>
    </w:r>
    <w:r/>
  </w:p>
  <w:p>
    <w:pPr>
      <w:pStyle w:val="8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t xml:space="preserve">1</w:t>
    </w:r>
    <w:r>
      <w:fldChar w:fldCharType="end"/>
    </w:r>
    <w:r/>
  </w:p>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t xml:space="preserve">1</w:t>
    </w:r>
    <w:r>
      <w:fldChar w:fldCharType="end"/>
    </w:r>
    <w:r/>
  </w:p>
  <w:p>
    <w:pPr>
      <w:pStyle w:val="8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t xml:space="preserve">1</w:t>
    </w:r>
    <w: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right="90"/>
      <w:rPr>
        <w:rFonts w:ascii="宋体" w:hAnsi="宋体" w:eastAsia="宋体"/>
      </w:rP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JSZC-320508-ZCZX-G2026-0061</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Bdr>
        <w:bottom w:val="single" w:color="000000" w:sz="4" w:space="1"/>
      </w:pBd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JSZC-320508-ZCZX-G2026-0061</w:t>
    </w:r>
    <w:r>
      <w:rPr>
        <w:rFonts w:hint="eastAsia" w:ascii="宋体" w:hAnsi="宋体" w:eastAsia="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right="90"/>
      <w:jc w:val="both"/>
      <w:rPr>
        <w:rFonts w:ascii="宋体" w:hAnsi="宋体" w:eastAsia="宋体"/>
      </w:rPr>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 xml:space="preserve">  </w:t>
    </w:r>
    <w:r>
      <w:rPr>
        <w:rFonts w:hint="eastAsia" w:ascii="宋体" w:hAnsi="宋体" w:eastAsia="宋体"/>
      </w:rPr>
      <w:tab/>
    </w:r>
    <w:r>
      <w:rPr>
        <w:rFonts w:ascii="宋体" w:hAnsi="宋体" w:eastAsia="宋体"/>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JSZC-320508-ZCZX-G2026-0061</w:t>
    </w:r>
    <w:r>
      <w:rPr>
        <w:rFonts w:hint="eastAsia" w:ascii="宋体" w:hAnsi="宋体" w:eastAsia="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2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29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48"/>
      <w:isLgl w:val="false"/>
      <w:suff w:val="nothing"/>
      <w:lvlText w:val="%1 "/>
      <w:lvlJc w:val="left"/>
      <w:pPr>
        <w:ind w:left="0" w:firstLine="0"/>
        <w:tabs>
          <w:tab w:val="left" w:pos="420" w:leader="none"/>
        </w:tabs>
      </w:pPr>
      <w:rPr>
        <w:rFonts w:ascii="Times New Roman" w:hAnsi="Times New Roman" w:eastAsia="宋体" w:cs="宋体"/>
        <w:b/>
      </w:rPr>
    </w:lvl>
    <w:lvl w:ilvl="1">
      <w:start w:val="1"/>
      <w:numFmt w:val="decimal"/>
      <w:isLgl w:val="false"/>
      <w:suff w:val="space"/>
      <w:lvlText w:val="%1.%2"/>
      <w:lvlJc w:val="left"/>
      <w:pPr>
        <w:ind w:left="0" w:firstLine="0"/>
        <w:tabs>
          <w:tab w:val="left" w:pos="420" w:leader="none"/>
        </w:tabs>
      </w:pPr>
      <w:rPr>
        <w:rFonts w:ascii="Times New Roman" w:hAnsi="Times New Roman" w:eastAsia="宋体" w:cs="宋体"/>
        <w:b/>
      </w:rPr>
    </w:lvl>
    <w:lvl w:ilvl="2">
      <w:start w:val="1"/>
      <w:numFmt w:val="decimal"/>
      <w:isLgl w:val="false"/>
      <w:suff w:val="space"/>
      <w:lvlText w:val="%1.%2.%3"/>
      <w:lvlJc w:val="left"/>
      <w:pPr>
        <w:ind w:left="0" w:firstLine="0"/>
        <w:tabs>
          <w:tab w:val="left" w:pos="420" w:leader="none"/>
        </w:tabs>
      </w:pPr>
      <w:rPr>
        <w:rFonts w:ascii="Times New Roman" w:hAnsi="Times New Roman" w:eastAsia="宋体" w:cs="宋体"/>
        <w:b/>
      </w:rPr>
    </w:lvl>
    <w:lvl w:ilvl="3">
      <w:start w:val="1"/>
      <w:numFmt w:val="decimal"/>
      <w:isLgl w:val="false"/>
      <w:suff w:val="space"/>
      <w:lvlText w:val="%1.%2.%3.%4"/>
      <w:lvlJc w:val="left"/>
      <w:pPr>
        <w:ind w:left="850" w:hanging="850"/>
        <w:tabs>
          <w:tab w:val="left" w:pos="420" w:leader="none"/>
        </w:tabs>
      </w:pPr>
      <w:rPr>
        <w:rFonts w:ascii="宋体" w:hAnsi="宋体" w:eastAsia="宋体" w:cs="宋体"/>
        <w:b/>
      </w:rPr>
    </w:lvl>
    <w:lvl w:ilvl="4">
      <w:start w:val="1"/>
      <w:numFmt w:val="decimal"/>
      <w:isLgl w:val="false"/>
      <w:suff w:val="tab"/>
      <w:lvlText w:val="%1.%2.%3.%4.%5"/>
      <w:lvlJc w:val="left"/>
      <w:pPr>
        <w:ind w:left="991" w:hanging="991"/>
      </w:pPr>
      <w:rPr>
        <w:rFonts w:ascii="宋体" w:hAnsi="宋体" w:eastAsia="宋体" w:cs="宋体"/>
        <w:b/>
      </w:rPr>
    </w:lvl>
    <w:lvl w:ilvl="5">
      <w:start w:val="1"/>
      <w:numFmt w:val="decimal"/>
      <w:isLgl w:val="false"/>
      <w:suff w:val="tab"/>
      <w:lvlText w:val="%1.%2.%3.%4.%5.%6"/>
      <w:lvlJc w:val="left"/>
      <w:pPr>
        <w:ind w:left="1134" w:hanging="1134"/>
      </w:pPr>
      <w:rPr>
        <w:rFonts w:ascii="宋体" w:hAnsi="宋体" w:eastAsia="宋体" w:cs="宋体"/>
        <w:b/>
      </w:rPr>
    </w:lvl>
    <w:lvl w:ilvl="6">
      <w:start w:val="1"/>
      <w:numFmt w:val="decimal"/>
      <w:isLgl w:val="false"/>
      <w:suff w:val="tab"/>
      <w:lvlText w:val="%1.%2.%3.%4.%5.%6.%7"/>
      <w:lvlJc w:val="left"/>
      <w:pPr>
        <w:ind w:left="1275" w:hanging="1275"/>
      </w:pPr>
      <w:rPr>
        <w:rFonts w:ascii="宋体" w:hAnsi="宋体" w:eastAsia="宋体" w:cs="宋体"/>
        <w:b/>
      </w:rPr>
    </w:lvl>
    <w:lvl w:ilvl="7">
      <w:start w:val="1"/>
      <w:numFmt w:val="decimal"/>
      <w:isLgl w:val="false"/>
      <w:suff w:val="tab"/>
      <w:lvlText w:val="%1.%2.%3.%4.%5.%6.%7.%8"/>
      <w:lvlJc w:val="left"/>
      <w:pPr>
        <w:ind w:left="1418" w:hanging="1418"/>
      </w:pPr>
      <w:rPr>
        <w:rFonts w:ascii="宋体" w:hAnsi="宋体" w:eastAsia="宋体" w:cs="宋体"/>
        <w:b/>
      </w:rPr>
    </w:lvl>
    <w:lvl w:ilvl="8">
      <w:start w:val="1"/>
      <w:numFmt w:val="decimal"/>
      <w:isLgl w:val="false"/>
      <w:suff w:val="tab"/>
      <w:lvlText w:val="%1.%2.%3.%4.%5.%6.%7.%8.%9"/>
      <w:lvlJc w:val="left"/>
      <w:pPr>
        <w:ind w:left="1558" w:hanging="1558"/>
      </w:pPr>
      <w:rPr>
        <w:rFonts w:ascii="宋体" w:hAnsi="宋体" w:eastAsia="宋体" w:cs="宋体"/>
        <w:b/>
      </w:rPr>
    </w:lvl>
  </w:abstractNum>
  <w:abstractNum w:abstractNumId="4">
    <w:multiLevelType w:val="hybridMultilevel"/>
    <w:lvl w:ilvl="0">
      <w:start w:val="1"/>
      <w:numFmt w:val="bullet"/>
      <w:pStyle w:val="1117"/>
      <w:isLgl w:val="false"/>
      <w:suff w:val="tab"/>
      <w:lvlText w:val=""/>
      <w:lvlJc w:val="left"/>
      <w:pPr>
        <w:ind w:left="284" w:hanging="284"/>
        <w:tabs>
          <w:tab w:val="left" w:pos="284" w:leader="none"/>
        </w:tabs>
      </w:pPr>
      <w:rPr>
        <w:rFonts w:ascii="Wingdings" w:hAnsi="Wingdings" w:cs="Wingdings"/>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pPr>
      <w:jc w:val="both"/>
      <w:widowControl w:val="off"/>
    </w:pPr>
    <w:rPr>
      <w:rFonts w:hint="default" w:ascii="Times New Roman" w:hAnsi="Times New Roman" w:eastAsia="楷体_GB2312" w:cs="Times New Roman"/>
      <w:sz w:val="28"/>
      <w:lang w:val="en-US" w:eastAsia="zh-CN" w:bidi="ar-SA"/>
    </w:rPr>
  </w:style>
  <w:style w:type="paragraph" w:styleId="822">
    <w:name w:val="Heading 1"/>
    <w:basedOn w:val="821"/>
    <w:next w:val="821"/>
    <w:link w:val="1056"/>
    <w:uiPriority w:val="0"/>
    <w:qFormat/>
    <w:pPr>
      <w:keepLines/>
      <w:keepNext/>
      <w:spacing w:before="340" w:after="330" w:line="578" w:lineRule="auto"/>
      <w:outlineLvl w:val="0"/>
    </w:pPr>
    <w:rPr>
      <w:b/>
      <w:sz w:val="44"/>
    </w:rPr>
  </w:style>
  <w:style w:type="paragraph" w:styleId="823">
    <w:name w:val="Heading 2"/>
    <w:basedOn w:val="821"/>
    <w:next w:val="821"/>
    <w:link w:val="1082"/>
    <w:uiPriority w:val="0"/>
    <w:qFormat/>
    <w:pPr>
      <w:jc w:val="left"/>
      <w:keepLines/>
      <w:keepNext/>
      <w:outlineLvl w:val="1"/>
    </w:pPr>
    <w:rPr>
      <w:rFonts w:ascii="宋体" w:hAnsi="宋体"/>
      <w:b/>
    </w:rPr>
  </w:style>
  <w:style w:type="paragraph" w:styleId="824">
    <w:name w:val="Heading 3"/>
    <w:basedOn w:val="821"/>
    <w:next w:val="821"/>
    <w:link w:val="1058"/>
    <w:uiPriority w:val="0"/>
    <w:qFormat/>
    <w:pPr>
      <w:jc w:val="left"/>
      <w:keepLines/>
      <w:keepNext/>
      <w:outlineLvl w:val="2"/>
    </w:pPr>
    <w:rPr>
      <w:b/>
    </w:rPr>
  </w:style>
  <w:style w:type="paragraph" w:styleId="825">
    <w:name w:val="Heading 4"/>
    <w:basedOn w:val="821"/>
    <w:next w:val="821"/>
    <w:link w:val="1059"/>
    <w:uiPriority w:val="0"/>
    <w:qFormat/>
    <w:pPr>
      <w:jc w:val="left"/>
      <w:keepLines/>
      <w:keepNext/>
      <w:spacing w:line="360" w:lineRule="auto"/>
      <w:tabs>
        <w:tab w:val="left" w:pos="1080" w:leader="none"/>
      </w:tabs>
      <w:outlineLvl w:val="3"/>
    </w:pPr>
    <w:rPr>
      <w:rFonts w:eastAsia="华文中宋"/>
      <w:b/>
      <w:sz w:val="24"/>
      <w:szCs w:val="28"/>
    </w:rPr>
  </w:style>
  <w:style w:type="paragraph" w:styleId="826">
    <w:name w:val="Heading 5"/>
    <w:basedOn w:val="821"/>
    <w:next w:val="821"/>
    <w:link w:val="1060"/>
    <w:uiPriority w:val="0"/>
    <w:qFormat/>
    <w:pPr>
      <w:ind w:firstLine="566"/>
      <w:keepLines/>
      <w:keepNext/>
      <w:spacing w:before="280" w:after="290" w:line="376" w:lineRule="auto"/>
      <w:outlineLvl w:val="4"/>
    </w:pPr>
    <w:rPr>
      <w:rFonts w:eastAsia="宋体"/>
      <w:b/>
      <w:bCs/>
      <w:szCs w:val="28"/>
    </w:rPr>
  </w:style>
  <w:style w:type="paragraph" w:styleId="827">
    <w:name w:val="Heading 6"/>
    <w:basedOn w:val="821"/>
    <w:next w:val="833"/>
    <w:link w:val="1061"/>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828">
    <w:name w:val="Heading 7"/>
    <w:basedOn w:val="821"/>
    <w:next w:val="833"/>
    <w:link w:val="1063"/>
    <w:uiPriority w:val="0"/>
    <w:qFormat/>
    <w:pPr>
      <w:ind w:left="1296" w:hanging="1296"/>
      <w:keepLines/>
      <w:keepNext/>
      <w:spacing w:line="320" w:lineRule="auto"/>
      <w:tabs>
        <w:tab w:val="left" w:pos="1296" w:leader="none"/>
      </w:tabs>
      <w:outlineLvl w:val="6"/>
    </w:pPr>
    <w:rPr>
      <w:rFonts w:eastAsia="宋体"/>
      <w:b/>
      <w:sz w:val="24"/>
    </w:rPr>
  </w:style>
  <w:style w:type="paragraph" w:styleId="829">
    <w:name w:val="Heading 8"/>
    <w:basedOn w:val="821"/>
    <w:next w:val="833"/>
    <w:link w:val="1064"/>
    <w:uiPriority w:val="0"/>
    <w:qFormat/>
    <w:pPr>
      <w:ind w:left="1440" w:hanging="1440"/>
      <w:keepLines/>
      <w:keepNext/>
      <w:spacing w:line="320" w:lineRule="auto"/>
      <w:tabs>
        <w:tab w:val="left" w:pos="1440" w:leader="none"/>
      </w:tabs>
      <w:outlineLvl w:val="7"/>
    </w:pPr>
    <w:rPr>
      <w:rFonts w:ascii="Arial" w:hAnsi="Arial" w:eastAsia="黑体"/>
      <w:sz w:val="24"/>
    </w:rPr>
  </w:style>
  <w:style w:type="paragraph" w:styleId="830">
    <w:name w:val="Heading 9"/>
    <w:basedOn w:val="821"/>
    <w:next w:val="833"/>
    <w:link w:val="1065"/>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next w:val="821"/>
    <w:link w:val="1062"/>
    <w:uiPriority w:val="0"/>
    <w:qFormat/>
    <w:pPr>
      <w:ind w:firstLine="420"/>
      <w:jc w:val="left"/>
    </w:pPr>
    <w:rPr>
      <w:sz w:val="24"/>
    </w:rPr>
  </w:style>
  <w:style w:type="paragraph" w:styleId="834">
    <w:name w:val="toc 7"/>
    <w:basedOn w:val="821"/>
    <w:next w:val="821"/>
    <w:uiPriority w:val="0"/>
    <w:semiHidden/>
    <w:qFormat/>
    <w:pPr>
      <w:ind w:left="2520"/>
    </w:pPr>
  </w:style>
  <w:style w:type="paragraph" w:styleId="835">
    <w:name w:val="index 8"/>
    <w:basedOn w:val="821"/>
    <w:next w:val="821"/>
    <w:uiPriority w:val="0"/>
    <w:semiHidden/>
    <w:qFormat/>
    <w:pPr>
      <w:ind w:left="2940"/>
    </w:pPr>
  </w:style>
  <w:style w:type="paragraph" w:styleId="836">
    <w:name w:val="Caption"/>
    <w:basedOn w:val="821"/>
    <w:next w:val="821"/>
    <w:link w:val="1066"/>
    <w:uiPriority w:val="0"/>
    <w:qFormat/>
    <w:pPr>
      <w:ind w:firstLine="425"/>
      <w:jc w:val="center"/>
      <w:spacing w:line="360" w:lineRule="auto"/>
    </w:pPr>
    <w:rPr>
      <w:rFonts w:eastAsia="宋体"/>
      <w:sz w:val="21"/>
    </w:rPr>
  </w:style>
  <w:style w:type="paragraph" w:styleId="837">
    <w:name w:val="index 5"/>
    <w:basedOn w:val="821"/>
    <w:next w:val="821"/>
    <w:uiPriority w:val="0"/>
    <w:semiHidden/>
    <w:qFormat/>
    <w:pPr>
      <w:ind w:left="1680"/>
    </w:pPr>
  </w:style>
  <w:style w:type="paragraph" w:styleId="838">
    <w:name w:val="Document Map"/>
    <w:basedOn w:val="821"/>
    <w:link w:val="1067"/>
    <w:uiPriority w:val="0"/>
    <w:qFormat/>
    <w:pPr>
      <w:shd w:val="clear" w:color="auto" w:fill="000080"/>
    </w:pPr>
  </w:style>
  <w:style w:type="paragraph" w:styleId="839">
    <w:name w:val="annotation text"/>
    <w:basedOn w:val="821"/>
    <w:link w:val="1068"/>
    <w:uiPriority w:val="0"/>
    <w:qFormat/>
    <w:pPr>
      <w:jc w:val="left"/>
      <w:widowControl/>
    </w:pPr>
    <w:rPr>
      <w:rFonts w:eastAsia="宋体"/>
      <w:sz w:val="20"/>
      <w:lang w:val="en-GB"/>
    </w:rPr>
  </w:style>
  <w:style w:type="paragraph" w:styleId="840">
    <w:name w:val="index 6"/>
    <w:basedOn w:val="821"/>
    <w:next w:val="821"/>
    <w:uiPriority w:val="0"/>
    <w:semiHidden/>
    <w:qFormat/>
    <w:pPr>
      <w:ind w:left="2100"/>
    </w:pPr>
  </w:style>
  <w:style w:type="paragraph" w:styleId="841">
    <w:name w:val="Body Text"/>
    <w:basedOn w:val="821"/>
    <w:link w:val="1069"/>
    <w:uiPriority w:val="0"/>
    <w:qFormat/>
    <w:pPr>
      <w:spacing w:line="360" w:lineRule="auto"/>
    </w:pPr>
    <w:rPr>
      <w:rFonts w:ascii="宋体" w:hAnsi="宋体" w:eastAsia="宋体"/>
      <w:sz w:val="21"/>
      <w:szCs w:val="21"/>
    </w:rPr>
  </w:style>
  <w:style w:type="paragraph" w:styleId="842">
    <w:name w:val="Body Text Indent"/>
    <w:basedOn w:val="821"/>
    <w:next w:val="843"/>
    <w:link w:val="1070"/>
    <w:uiPriority w:val="99"/>
    <w:qFormat/>
    <w:pPr>
      <w:ind w:firstLine="570"/>
    </w:pPr>
    <w:rPr>
      <w:rFonts w:ascii="宋体" w:eastAsia="宋体"/>
    </w:rPr>
  </w:style>
  <w:style w:type="paragraph" w:styleId="843">
    <w:name w:val="envelope return"/>
    <w:basedOn w:val="821"/>
    <w:uiPriority w:val="0"/>
    <w:qFormat/>
    <w:rPr>
      <w:rFonts w:ascii="Arial" w:hAnsi="Arial"/>
      <w:sz w:val="26"/>
    </w:rPr>
  </w:style>
  <w:style w:type="paragraph" w:styleId="844">
    <w:name w:val="index 4"/>
    <w:basedOn w:val="821"/>
    <w:next w:val="821"/>
    <w:uiPriority w:val="0"/>
    <w:semiHidden/>
    <w:qFormat/>
    <w:pPr>
      <w:ind w:left="1260"/>
    </w:pPr>
  </w:style>
  <w:style w:type="paragraph" w:styleId="845">
    <w:name w:val="toc 5"/>
    <w:basedOn w:val="821"/>
    <w:next w:val="821"/>
    <w:uiPriority w:val="0"/>
    <w:semiHidden/>
    <w:qFormat/>
    <w:pPr>
      <w:ind w:left="1680"/>
    </w:pPr>
  </w:style>
  <w:style w:type="paragraph" w:styleId="846">
    <w:name w:val="toc 3"/>
    <w:basedOn w:val="821"/>
    <w:next w:val="821"/>
    <w:uiPriority w:val="0"/>
    <w:qFormat/>
    <w:pPr>
      <w:ind w:left="840"/>
    </w:pPr>
  </w:style>
  <w:style w:type="paragraph" w:styleId="847">
    <w:name w:val="Plain Text"/>
    <w:basedOn w:val="821"/>
    <w:link w:val="1095"/>
    <w:uiPriority w:val="0"/>
    <w:qFormat/>
    <w:rPr>
      <w:rFonts w:ascii="宋体" w:hAnsi="Courier New"/>
      <w:sz w:val="26"/>
    </w:rPr>
  </w:style>
  <w:style w:type="paragraph" w:styleId="848">
    <w:name w:val="List Bullet 5"/>
    <w:basedOn w:val="821"/>
    <w:uiPriority w:val="0"/>
    <w:qFormat/>
    <w:pPr>
      <w:numPr>
        <w:ilvl w:val="0"/>
        <w:numId w:val="1"/>
      </w:numPr>
      <w:contextualSpacing/>
    </w:pPr>
  </w:style>
  <w:style w:type="paragraph" w:styleId="849">
    <w:name w:val="toc 8"/>
    <w:basedOn w:val="821"/>
    <w:next w:val="821"/>
    <w:uiPriority w:val="0"/>
    <w:semiHidden/>
    <w:qFormat/>
    <w:pPr>
      <w:ind w:left="2940"/>
    </w:pPr>
  </w:style>
  <w:style w:type="paragraph" w:styleId="850">
    <w:name w:val="index 3"/>
    <w:basedOn w:val="821"/>
    <w:next w:val="821"/>
    <w:uiPriority w:val="0"/>
    <w:semiHidden/>
    <w:qFormat/>
    <w:pPr>
      <w:ind w:left="840"/>
    </w:pPr>
  </w:style>
  <w:style w:type="paragraph" w:styleId="851">
    <w:name w:val="Date"/>
    <w:basedOn w:val="821"/>
    <w:next w:val="821"/>
    <w:link w:val="1071"/>
    <w:uiPriority w:val="99"/>
    <w:qFormat/>
    <w:rPr>
      <w:rFonts w:ascii="宋体" w:hAnsi="宋体"/>
      <w:sz w:val="24"/>
    </w:rPr>
  </w:style>
  <w:style w:type="paragraph" w:styleId="852">
    <w:name w:val="Body Text Indent 2"/>
    <w:basedOn w:val="821"/>
    <w:link w:val="1072"/>
    <w:uiPriority w:val="0"/>
    <w:qFormat/>
    <w:pPr>
      <w:ind w:left="420"/>
      <w:spacing w:after="120" w:line="480" w:lineRule="auto"/>
    </w:pPr>
  </w:style>
  <w:style w:type="paragraph" w:styleId="853">
    <w:name w:val="endnote text"/>
    <w:basedOn w:val="821"/>
    <w:link w:val="1054"/>
    <w:uiPriority w:val="99"/>
    <w:semiHidden/>
    <w:unhideWhenUsed/>
    <w:qFormat/>
    <w:rPr>
      <w:sz w:val="20"/>
    </w:rPr>
  </w:style>
  <w:style w:type="paragraph" w:styleId="854">
    <w:name w:val="Balloon Text"/>
    <w:basedOn w:val="821"/>
    <w:link w:val="1073"/>
    <w:uiPriority w:val="0"/>
    <w:qFormat/>
    <w:rPr>
      <w:sz w:val="16"/>
      <w:szCs w:val="16"/>
    </w:rPr>
  </w:style>
  <w:style w:type="paragraph" w:styleId="855">
    <w:name w:val="Footer"/>
    <w:basedOn w:val="821"/>
    <w:link w:val="1074"/>
    <w:uiPriority w:val="0"/>
    <w:qFormat/>
    <w:pPr>
      <w:jc w:val="left"/>
      <w:tabs>
        <w:tab w:val="center" w:pos="4153" w:leader="none"/>
        <w:tab w:val="right" w:pos="8306" w:leader="none"/>
      </w:tabs>
    </w:pPr>
    <w:rPr>
      <w:sz w:val="18"/>
    </w:rPr>
  </w:style>
  <w:style w:type="paragraph" w:styleId="856">
    <w:name w:val="Header"/>
    <w:basedOn w:val="821"/>
    <w:link w:val="1075"/>
    <w:uiPriority w:val="0"/>
    <w:qFormat/>
    <w:pPr>
      <w:jc w:val="center"/>
      <w:tabs>
        <w:tab w:val="center" w:pos="4153" w:leader="none"/>
        <w:tab w:val="right" w:pos="8306" w:leader="none"/>
      </w:tabs>
      <w:pBdr>
        <w:bottom w:val="single" w:color="000000" w:sz="6" w:space="1"/>
      </w:pBdr>
    </w:pPr>
    <w:rPr>
      <w:sz w:val="18"/>
    </w:rPr>
  </w:style>
  <w:style w:type="paragraph" w:styleId="857">
    <w:name w:val="toc 1"/>
    <w:basedOn w:val="821"/>
    <w:next w:val="821"/>
    <w:uiPriority w:val="0"/>
    <w:qFormat/>
    <w:pPr>
      <w:ind w:left="2268" w:hanging="2268"/>
      <w:jc w:val="left"/>
    </w:pPr>
    <w:rPr>
      <w:sz w:val="24"/>
    </w:rPr>
  </w:style>
  <w:style w:type="paragraph" w:styleId="858">
    <w:name w:val="toc 4"/>
    <w:basedOn w:val="821"/>
    <w:next w:val="821"/>
    <w:uiPriority w:val="39"/>
    <w:qFormat/>
    <w:pPr>
      <w:ind w:left="1260"/>
    </w:pPr>
  </w:style>
  <w:style w:type="paragraph" w:styleId="859">
    <w:name w:val="index heading"/>
    <w:basedOn w:val="821"/>
    <w:next w:val="860"/>
    <w:uiPriority w:val="0"/>
    <w:semiHidden/>
    <w:qFormat/>
  </w:style>
  <w:style w:type="paragraph" w:styleId="860">
    <w:name w:val="index 1"/>
    <w:basedOn w:val="821"/>
    <w:next w:val="821"/>
    <w:uiPriority w:val="0"/>
    <w:semiHidden/>
    <w:qFormat/>
  </w:style>
  <w:style w:type="paragraph" w:styleId="861">
    <w:name w:val="Subtitle"/>
    <w:basedOn w:val="821"/>
    <w:next w:val="821"/>
    <w:link w:val="917"/>
    <w:uiPriority w:val="11"/>
    <w:qFormat/>
    <w:pPr>
      <w:spacing w:before="200" w:after="200"/>
    </w:pPr>
    <w:rPr>
      <w:sz w:val="24"/>
      <w:szCs w:val="24"/>
    </w:rPr>
  </w:style>
  <w:style w:type="paragraph" w:styleId="862">
    <w:name w:val="List"/>
    <w:basedOn w:val="821"/>
    <w:uiPriority w:val="0"/>
    <w:qFormat/>
    <w:pPr>
      <w:contextualSpacing/>
      <w:ind w:left="200" w:hanging="200"/>
    </w:pPr>
  </w:style>
  <w:style w:type="paragraph" w:styleId="863">
    <w:name w:val="footnote text"/>
    <w:basedOn w:val="821"/>
    <w:link w:val="1076"/>
    <w:uiPriority w:val="0"/>
    <w:semiHidden/>
    <w:qFormat/>
    <w:pPr>
      <w:jc w:val="left"/>
    </w:pPr>
    <w:rPr>
      <w:sz w:val="18"/>
    </w:rPr>
  </w:style>
  <w:style w:type="paragraph" w:styleId="864">
    <w:name w:val="toc 6"/>
    <w:basedOn w:val="821"/>
    <w:next w:val="821"/>
    <w:uiPriority w:val="0"/>
    <w:semiHidden/>
    <w:qFormat/>
    <w:pPr>
      <w:ind w:left="2100"/>
    </w:pPr>
  </w:style>
  <w:style w:type="paragraph" w:styleId="865">
    <w:name w:val="Body Text Indent 3"/>
    <w:basedOn w:val="821"/>
    <w:link w:val="1077"/>
    <w:uiPriority w:val="0"/>
    <w:qFormat/>
    <w:pPr>
      <w:ind w:left="420"/>
      <w:jc w:val="left"/>
      <w:spacing w:after="120"/>
      <w:widowControl/>
    </w:pPr>
    <w:rPr>
      <w:rFonts w:eastAsia="宋体"/>
      <w:sz w:val="16"/>
      <w:szCs w:val="16"/>
    </w:rPr>
  </w:style>
  <w:style w:type="paragraph" w:styleId="866">
    <w:name w:val="index 7"/>
    <w:basedOn w:val="821"/>
    <w:next w:val="821"/>
    <w:uiPriority w:val="0"/>
    <w:semiHidden/>
    <w:qFormat/>
    <w:pPr>
      <w:ind w:left="2520"/>
    </w:pPr>
  </w:style>
  <w:style w:type="paragraph" w:styleId="867">
    <w:name w:val="index 9"/>
    <w:basedOn w:val="821"/>
    <w:next w:val="821"/>
    <w:uiPriority w:val="0"/>
    <w:semiHidden/>
    <w:qFormat/>
    <w:pPr>
      <w:ind w:left="3360"/>
    </w:pPr>
  </w:style>
  <w:style w:type="paragraph" w:styleId="868">
    <w:name w:val="table of figures"/>
    <w:basedOn w:val="821"/>
    <w:next w:val="821"/>
    <w:uiPriority w:val="0"/>
    <w:semiHidden/>
    <w:qFormat/>
    <w:pPr>
      <w:ind w:left="420" w:hanging="420"/>
      <w:jc w:val="left"/>
    </w:pPr>
    <w:rPr>
      <w:smallCaps/>
      <w:sz w:val="24"/>
    </w:rPr>
  </w:style>
  <w:style w:type="paragraph" w:styleId="869">
    <w:name w:val="toc 2"/>
    <w:basedOn w:val="821"/>
    <w:next w:val="821"/>
    <w:uiPriority w:val="0"/>
    <w:qFormat/>
    <w:pPr>
      <w:ind w:left="420"/>
    </w:pPr>
  </w:style>
  <w:style w:type="paragraph" w:styleId="870">
    <w:name w:val="toc 9"/>
    <w:basedOn w:val="821"/>
    <w:next w:val="821"/>
    <w:uiPriority w:val="0"/>
    <w:semiHidden/>
    <w:qFormat/>
    <w:pPr>
      <w:ind w:left="3360"/>
    </w:pPr>
  </w:style>
  <w:style w:type="paragraph" w:styleId="871">
    <w:name w:val="Body Text 2"/>
    <w:basedOn w:val="821"/>
    <w:link w:val="1078"/>
    <w:uiPriority w:val="0"/>
    <w:qFormat/>
    <w:pPr>
      <w:spacing w:after="120" w:line="480" w:lineRule="auto"/>
    </w:pPr>
  </w:style>
  <w:style w:type="paragraph" w:styleId="872">
    <w:name w:val="HTML Preformatted"/>
    <w:basedOn w:val="8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873">
    <w:name w:val="Normal (Web)"/>
    <w:basedOn w:val="821"/>
    <w:uiPriority w:val="0"/>
    <w:qFormat/>
    <w:pPr>
      <w:jc w:val="left"/>
      <w:spacing w:before="100" w:after="100"/>
      <w:widowControl/>
    </w:pPr>
    <w:rPr>
      <w:rFonts w:ascii="宋体" w:hAnsi="宋体" w:eastAsia="宋体"/>
      <w:color w:val="000000"/>
      <w:sz w:val="24"/>
    </w:rPr>
  </w:style>
  <w:style w:type="paragraph" w:styleId="874">
    <w:name w:val="index 2"/>
    <w:basedOn w:val="821"/>
    <w:next w:val="821"/>
    <w:uiPriority w:val="0"/>
    <w:semiHidden/>
    <w:qFormat/>
    <w:pPr>
      <w:ind w:left="420"/>
    </w:pPr>
  </w:style>
  <w:style w:type="paragraph" w:styleId="875">
    <w:name w:val="Title"/>
    <w:basedOn w:val="821"/>
    <w:next w:val="821"/>
    <w:link w:val="1079"/>
    <w:uiPriority w:val="0"/>
    <w:qFormat/>
    <w:pPr>
      <w:jc w:val="center"/>
      <w:spacing w:before="240" w:after="60"/>
      <w:outlineLvl w:val="0"/>
    </w:pPr>
    <w:rPr>
      <w:rFonts w:ascii="Cambria" w:hAnsi="Cambria" w:eastAsia="宋体"/>
      <w:b/>
      <w:bCs/>
      <w:sz w:val="32"/>
      <w:szCs w:val="32"/>
    </w:rPr>
  </w:style>
  <w:style w:type="paragraph" w:styleId="876">
    <w:name w:val="annotation subject"/>
    <w:basedOn w:val="839"/>
    <w:next w:val="839"/>
    <w:link w:val="1080"/>
    <w:uiPriority w:val="0"/>
    <w:qFormat/>
    <w:pPr>
      <w:widowControl w:val="off"/>
    </w:pPr>
    <w:rPr>
      <w:rFonts w:eastAsia="楷体_GB2312"/>
      <w:b/>
      <w:bCs/>
      <w:sz w:val="28"/>
    </w:rPr>
  </w:style>
  <w:style w:type="paragraph" w:styleId="877">
    <w:name w:val="Body Text First Indent"/>
    <w:basedOn w:val="841"/>
    <w:uiPriority w:val="99"/>
    <w:unhideWhenUsed/>
    <w:qFormat/>
    <w:pPr>
      <w:ind w:firstLine="420"/>
    </w:pPr>
  </w:style>
  <w:style w:type="paragraph" w:styleId="878">
    <w:name w:val="Body Text First Indent 2"/>
    <w:basedOn w:val="842"/>
    <w:next w:val="821"/>
    <w:link w:val="1081"/>
    <w:uiPriority w:val="99"/>
    <w:qFormat/>
    <w:pPr>
      <w:ind w:firstLine="420"/>
    </w:pPr>
    <w:rPr>
      <w:rFonts w:eastAsia="楷体_GB2312"/>
    </w:rPr>
  </w:style>
  <w:style w:type="table" w:styleId="879">
    <w:name w:val="Table Grid"/>
    <w:basedOn w:val="832"/>
    <w:uiPriority w:val="39"/>
    <w:qFormat/>
    <w:rPr>
      <w:rFonts w:ascii="Calibri" w:hAnsi="Calibri"/>
      <w:sz w:val="21"/>
      <w:szCs w:val="22"/>
    </w:rPr>
    <w:tblPr>
      <w:tblCellMar>
        <w:left w:w="108" w:type="dxa"/>
        <w:top w:w="0" w:type="dxa"/>
        <w:right w:w="108" w:type="dxa"/>
        <w:bottom w:w="0" w:type="dxa"/>
      </w:tblCellMar>
    </w:tblPr>
  </w:style>
  <w:style w:type="table" w:styleId="880">
    <w:name w:val="Table Elegant"/>
    <w:basedOn w:val="832"/>
    <w:uiPriority w:val="0"/>
    <w:qFormat/>
    <w:pPr>
      <w:jc w:val="both"/>
      <w:widowControl w:val="off"/>
    </w:pPr>
    <w:tblPr>
      <w:tblCellMar>
        <w:left w:w="108" w:type="dxa"/>
        <w:top w:w="0" w:type="dxa"/>
        <w:right w:w="108" w:type="dxa"/>
        <w:bottom w:w="0" w:type="dxa"/>
      </w:tblCellMar>
    </w:tblPr>
    <w:tblStylePr w:type="firstRow">
      <w:rPr>
        <w:caps/>
        <w:color w:val="auto"/>
      </w:rPr>
    </w:tblStylePr>
  </w:style>
  <w:style w:type="character" w:styleId="881">
    <w:name w:val="endnote reference"/>
    <w:uiPriority w:val="99"/>
    <w:semiHidden/>
    <w:unhideWhenUsed/>
    <w:qFormat/>
    <w:rPr>
      <w:vertAlign w:val="superscript"/>
    </w:rPr>
  </w:style>
  <w:style w:type="character" w:styleId="882">
    <w:name w:val="page number"/>
    <w:uiPriority w:val="0"/>
    <w:qFormat/>
  </w:style>
  <w:style w:type="character" w:styleId="883">
    <w:name w:val="FollowedHyperlink"/>
    <w:uiPriority w:val="99"/>
    <w:qFormat/>
    <w:rPr>
      <w:color w:val="800080"/>
      <w:u w:val="single"/>
    </w:rPr>
  </w:style>
  <w:style w:type="character" w:styleId="884">
    <w:name w:val="Emphasis"/>
    <w:uiPriority w:val="0"/>
    <w:qFormat/>
    <w:rPr>
      <w:rFonts w:ascii="Times New Roman" w:hAnsi="Times New Roman" w:eastAsia="宋体" w:cs="Times New Roman"/>
      <w:i/>
      <w:sz w:val="21"/>
    </w:rPr>
  </w:style>
  <w:style w:type="character" w:styleId="885">
    <w:name w:val="HTML Typewriter"/>
    <w:uiPriority w:val="0"/>
    <w:qFormat/>
    <w:rPr>
      <w:rFonts w:hint="eastAsia" w:ascii="黑体" w:hAnsi="Courier New" w:eastAsia="黑体"/>
      <w:sz w:val="14"/>
    </w:rPr>
  </w:style>
  <w:style w:type="character" w:styleId="886">
    <w:name w:val="Hyperlink"/>
    <w:uiPriority w:val="99"/>
    <w:qFormat/>
    <w:rPr>
      <w:color w:val="0000ff"/>
      <w:u w:val="single"/>
    </w:rPr>
  </w:style>
  <w:style w:type="character" w:styleId="887">
    <w:name w:val="annotation reference"/>
    <w:uiPriority w:val="0"/>
    <w:qFormat/>
    <w:rPr>
      <w:sz w:val="21"/>
      <w:szCs w:val="21"/>
    </w:rPr>
  </w:style>
  <w:style w:type="character" w:styleId="888">
    <w:name w:val="footnote reference"/>
    <w:uiPriority w:val="0"/>
    <w:semiHidden/>
    <w:qFormat/>
    <w:rPr>
      <w:vertAlign w:val="superscript"/>
    </w:rPr>
  </w:style>
  <w:style w:type="character" w:styleId="889" w:customStyle="1">
    <w:name w:val="Subtitle Char"/>
    <w:basedOn w:val="831"/>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段"/>
    <w:next w:val="82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5" w:customStyle="1">
    <w:name w:val="标题 1 Char"/>
    <w:uiPriority w:val="0"/>
    <w:qFormat/>
    <w:rPr>
      <w:rFonts w:cs="Times New Roman"/>
      <w:b/>
      <w:sz w:val="32"/>
      <w:szCs w:val="24"/>
    </w:rPr>
  </w:style>
  <w:style w:type="character" w:styleId="896" w:customStyle="1">
    <w:name w:val="正文文本 Char"/>
    <w:uiPriority w:val="0"/>
    <w:qFormat/>
    <w:rPr>
      <w:rFonts w:cs="Times New Roman"/>
      <w:sz w:val="21"/>
      <w:szCs w:val="24"/>
    </w:rPr>
  </w:style>
  <w:style w:type="paragraph" w:styleId="897" w:customStyle="1">
    <w:name w:val="标题 11"/>
    <w:basedOn w:val="821"/>
    <w:next w:val="821"/>
    <w:link w:val="898"/>
    <w:uiPriority w:val="9"/>
    <w:qFormat/>
    <w:pPr>
      <w:keepLines/>
      <w:keepNext/>
      <w:spacing w:before="480" w:after="200"/>
      <w:outlineLvl w:val="0"/>
    </w:pPr>
    <w:rPr>
      <w:rFonts w:ascii="Arial" w:hAnsi="Arial" w:eastAsia="Arial" w:cs="Arial"/>
      <w:sz w:val="40"/>
      <w:szCs w:val="40"/>
    </w:rPr>
  </w:style>
  <w:style w:type="character" w:styleId="898" w:customStyle="1">
    <w:name w:val="Heading 1 Char"/>
    <w:link w:val="897"/>
    <w:uiPriority w:val="9"/>
    <w:qFormat/>
    <w:rPr>
      <w:rFonts w:ascii="Arial" w:hAnsi="Arial" w:eastAsia="Arial" w:cs="Arial"/>
      <w:sz w:val="40"/>
      <w:szCs w:val="40"/>
    </w:rPr>
  </w:style>
  <w:style w:type="paragraph" w:styleId="899" w:customStyle="1">
    <w:name w:val="标题 21"/>
    <w:basedOn w:val="821"/>
    <w:next w:val="821"/>
    <w:link w:val="900"/>
    <w:uiPriority w:val="9"/>
    <w:unhideWhenUsed/>
    <w:qFormat/>
    <w:pPr>
      <w:keepLines/>
      <w:keepNext/>
      <w:spacing w:before="360" w:after="200"/>
      <w:outlineLvl w:val="1"/>
    </w:pPr>
    <w:rPr>
      <w:rFonts w:ascii="Arial" w:hAnsi="Arial" w:eastAsia="Arial" w:cs="Arial"/>
      <w:sz w:val="34"/>
    </w:rPr>
  </w:style>
  <w:style w:type="character" w:styleId="900" w:customStyle="1">
    <w:name w:val="Heading 2 Char"/>
    <w:link w:val="899"/>
    <w:uiPriority w:val="9"/>
    <w:qFormat/>
    <w:rPr>
      <w:rFonts w:ascii="Arial" w:hAnsi="Arial" w:eastAsia="Arial" w:cs="Arial"/>
      <w:sz w:val="34"/>
    </w:rPr>
  </w:style>
  <w:style w:type="paragraph" w:styleId="901" w:customStyle="1">
    <w:name w:val="标题 31"/>
    <w:basedOn w:val="821"/>
    <w:next w:val="821"/>
    <w:link w:val="902"/>
    <w:uiPriority w:val="9"/>
    <w:unhideWhenUsed/>
    <w:qFormat/>
    <w:pPr>
      <w:keepLines/>
      <w:keepNext/>
      <w:spacing w:before="320" w:after="200"/>
      <w:outlineLvl w:val="2"/>
    </w:pPr>
    <w:rPr>
      <w:rFonts w:ascii="Arial" w:hAnsi="Arial" w:eastAsia="Arial" w:cs="Arial"/>
      <w:sz w:val="30"/>
      <w:szCs w:val="30"/>
    </w:rPr>
  </w:style>
  <w:style w:type="character" w:styleId="902" w:customStyle="1">
    <w:name w:val="Heading 3 Char"/>
    <w:link w:val="901"/>
    <w:uiPriority w:val="9"/>
    <w:qFormat/>
    <w:rPr>
      <w:rFonts w:ascii="Arial" w:hAnsi="Arial" w:eastAsia="Arial" w:cs="Arial"/>
      <w:sz w:val="30"/>
      <w:szCs w:val="30"/>
    </w:rPr>
  </w:style>
  <w:style w:type="paragraph" w:styleId="903" w:customStyle="1">
    <w:name w:val="标题 41"/>
    <w:basedOn w:val="821"/>
    <w:next w:val="821"/>
    <w:link w:val="904"/>
    <w:uiPriority w:val="9"/>
    <w:unhideWhenUsed/>
    <w:qFormat/>
    <w:pPr>
      <w:keepLines/>
      <w:keepNext/>
      <w:spacing w:before="320" w:after="200"/>
      <w:outlineLvl w:val="3"/>
    </w:pPr>
    <w:rPr>
      <w:rFonts w:ascii="Arial" w:hAnsi="Arial" w:eastAsia="Arial" w:cs="Arial"/>
      <w:b/>
      <w:bCs/>
      <w:sz w:val="26"/>
      <w:szCs w:val="26"/>
    </w:rPr>
  </w:style>
  <w:style w:type="character" w:styleId="904" w:customStyle="1">
    <w:name w:val="Heading 4 Char"/>
    <w:link w:val="903"/>
    <w:uiPriority w:val="9"/>
    <w:qFormat/>
    <w:rPr>
      <w:rFonts w:ascii="Arial" w:hAnsi="Arial" w:eastAsia="Arial" w:cs="Arial"/>
      <w:b/>
      <w:bCs/>
      <w:sz w:val="26"/>
      <w:szCs w:val="26"/>
    </w:rPr>
  </w:style>
  <w:style w:type="paragraph" w:styleId="905" w:customStyle="1">
    <w:name w:val="标题 51"/>
    <w:basedOn w:val="821"/>
    <w:next w:val="821"/>
    <w:link w:val="906"/>
    <w:uiPriority w:val="9"/>
    <w:unhideWhenUsed/>
    <w:qFormat/>
    <w:pPr>
      <w:keepLines/>
      <w:keepNext/>
      <w:spacing w:before="320" w:after="200"/>
      <w:outlineLvl w:val="4"/>
    </w:pPr>
    <w:rPr>
      <w:rFonts w:ascii="Arial" w:hAnsi="Arial" w:eastAsia="Arial" w:cs="Arial"/>
      <w:b/>
      <w:bCs/>
      <w:sz w:val="24"/>
      <w:szCs w:val="24"/>
    </w:rPr>
  </w:style>
  <w:style w:type="character" w:styleId="906" w:customStyle="1">
    <w:name w:val="Heading 5 Char"/>
    <w:link w:val="905"/>
    <w:uiPriority w:val="9"/>
    <w:qFormat/>
    <w:rPr>
      <w:rFonts w:ascii="Arial" w:hAnsi="Arial" w:eastAsia="Arial" w:cs="Arial"/>
      <w:b/>
      <w:bCs/>
      <w:sz w:val="24"/>
      <w:szCs w:val="24"/>
    </w:rPr>
  </w:style>
  <w:style w:type="paragraph" w:styleId="907" w:customStyle="1">
    <w:name w:val="标题 61"/>
    <w:basedOn w:val="821"/>
    <w:next w:val="821"/>
    <w:link w:val="908"/>
    <w:uiPriority w:val="9"/>
    <w:unhideWhenUsed/>
    <w:qFormat/>
    <w:pPr>
      <w:keepLines/>
      <w:keepNext/>
      <w:spacing w:before="320" w:after="200"/>
      <w:outlineLvl w:val="5"/>
    </w:pPr>
    <w:rPr>
      <w:rFonts w:ascii="Arial" w:hAnsi="Arial" w:eastAsia="Arial" w:cs="Arial"/>
      <w:b/>
      <w:bCs/>
      <w:sz w:val="22"/>
      <w:szCs w:val="22"/>
    </w:rPr>
  </w:style>
  <w:style w:type="character" w:styleId="908" w:customStyle="1">
    <w:name w:val="Heading 6 Char"/>
    <w:link w:val="907"/>
    <w:uiPriority w:val="9"/>
    <w:qFormat/>
    <w:rPr>
      <w:rFonts w:ascii="Arial" w:hAnsi="Arial" w:eastAsia="Arial" w:cs="Arial"/>
      <w:b/>
      <w:bCs/>
      <w:sz w:val="22"/>
      <w:szCs w:val="22"/>
    </w:rPr>
  </w:style>
  <w:style w:type="paragraph" w:styleId="909" w:customStyle="1">
    <w:name w:val="标题 71"/>
    <w:basedOn w:val="821"/>
    <w:next w:val="821"/>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customStyle="1">
    <w:name w:val="Heading 7 Char"/>
    <w:link w:val="909"/>
    <w:uiPriority w:val="9"/>
    <w:qFormat/>
    <w:rPr>
      <w:rFonts w:ascii="Arial" w:hAnsi="Arial" w:eastAsia="Arial" w:cs="Arial"/>
      <w:b/>
      <w:bCs/>
      <w:i/>
      <w:iCs/>
      <w:sz w:val="22"/>
      <w:szCs w:val="22"/>
    </w:rPr>
  </w:style>
  <w:style w:type="paragraph" w:styleId="911" w:customStyle="1">
    <w:name w:val="标题 81"/>
    <w:basedOn w:val="821"/>
    <w:next w:val="821"/>
    <w:link w:val="912"/>
    <w:uiPriority w:val="9"/>
    <w:unhideWhenUsed/>
    <w:qFormat/>
    <w:pPr>
      <w:keepLines/>
      <w:keepNext/>
      <w:spacing w:before="320" w:after="200"/>
      <w:outlineLvl w:val="7"/>
    </w:pPr>
    <w:rPr>
      <w:rFonts w:ascii="Arial" w:hAnsi="Arial" w:eastAsia="Arial" w:cs="Arial"/>
      <w:i/>
      <w:iCs/>
      <w:sz w:val="22"/>
      <w:szCs w:val="22"/>
    </w:rPr>
  </w:style>
  <w:style w:type="character" w:styleId="912" w:customStyle="1">
    <w:name w:val="Heading 8 Char"/>
    <w:link w:val="911"/>
    <w:uiPriority w:val="9"/>
    <w:qFormat/>
    <w:rPr>
      <w:rFonts w:ascii="Arial" w:hAnsi="Arial" w:eastAsia="Arial" w:cs="Arial"/>
      <w:i/>
      <w:iCs/>
      <w:sz w:val="22"/>
      <w:szCs w:val="22"/>
    </w:rPr>
  </w:style>
  <w:style w:type="paragraph" w:styleId="913" w:customStyle="1">
    <w:name w:val="标题 91"/>
    <w:basedOn w:val="821"/>
    <w:next w:val="821"/>
    <w:link w:val="914"/>
    <w:uiPriority w:val="9"/>
    <w:unhideWhenUsed/>
    <w:qFormat/>
    <w:pPr>
      <w:keepLines/>
      <w:keepNext/>
      <w:spacing w:before="320" w:after="200"/>
      <w:outlineLvl w:val="8"/>
    </w:pPr>
    <w:rPr>
      <w:rFonts w:ascii="Arial" w:hAnsi="Arial" w:eastAsia="Arial" w:cs="Arial"/>
      <w:i/>
      <w:iCs/>
      <w:sz w:val="21"/>
      <w:szCs w:val="21"/>
    </w:rPr>
  </w:style>
  <w:style w:type="character" w:styleId="914" w:customStyle="1">
    <w:name w:val="Heading 9 Char"/>
    <w:link w:val="913"/>
    <w:uiPriority w:val="9"/>
    <w:qFormat/>
    <w:rPr>
      <w:rFonts w:ascii="Arial" w:hAnsi="Arial" w:eastAsia="Arial" w:cs="Arial"/>
      <w:i/>
      <w:iCs/>
      <w:sz w:val="21"/>
      <w:szCs w:val="21"/>
    </w:rPr>
  </w:style>
  <w:style w:type="paragraph" w:styleId="915">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916" w:customStyle="1">
    <w:name w:val="Title Char"/>
    <w:uiPriority w:val="10"/>
    <w:qFormat/>
    <w:rPr>
      <w:sz w:val="48"/>
      <w:szCs w:val="48"/>
    </w:rPr>
  </w:style>
  <w:style w:type="character" w:styleId="917" w:customStyle="1">
    <w:name w:val="副标题 Char"/>
    <w:link w:val="861"/>
    <w:uiPriority w:val="11"/>
    <w:qFormat/>
    <w:rPr>
      <w:sz w:val="24"/>
      <w:szCs w:val="24"/>
    </w:rPr>
  </w:style>
  <w:style w:type="paragraph" w:styleId="918">
    <w:name w:val="Quote"/>
    <w:basedOn w:val="821"/>
    <w:next w:val="821"/>
    <w:link w:val="919"/>
    <w:uiPriority w:val="29"/>
    <w:qFormat/>
    <w:pPr>
      <w:ind w:left="720" w:right="720"/>
    </w:pPr>
    <w:rPr>
      <w:i/>
    </w:rPr>
  </w:style>
  <w:style w:type="character" w:styleId="919" w:customStyle="1">
    <w:name w:val="引用 Char"/>
    <w:link w:val="918"/>
    <w:uiPriority w:val="29"/>
    <w:qFormat/>
    <w:rPr>
      <w:i/>
    </w:rPr>
  </w:style>
  <w:style w:type="paragraph" w:styleId="920">
    <w:name w:val="Intense Quote"/>
    <w:basedOn w:val="821"/>
    <w:next w:val="821"/>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Char"/>
    <w:link w:val="920"/>
    <w:uiPriority w:val="30"/>
    <w:qFormat/>
    <w:rPr>
      <w:i/>
    </w:rPr>
  </w:style>
  <w:style w:type="paragraph" w:styleId="922" w:customStyle="1">
    <w:name w:val="页眉1"/>
    <w:basedOn w:val="821"/>
    <w:link w:val="923"/>
    <w:uiPriority w:val="99"/>
    <w:unhideWhenUsed/>
    <w:qFormat/>
    <w:pPr>
      <w:tabs>
        <w:tab w:val="center" w:pos="7143" w:leader="none"/>
        <w:tab w:val="right" w:pos="14287" w:leader="none"/>
      </w:tabs>
    </w:pPr>
  </w:style>
  <w:style w:type="character" w:styleId="923" w:customStyle="1">
    <w:name w:val="Header Char"/>
    <w:link w:val="922"/>
    <w:uiPriority w:val="99"/>
    <w:qFormat/>
  </w:style>
  <w:style w:type="paragraph" w:styleId="924" w:customStyle="1">
    <w:name w:val="页脚1"/>
    <w:basedOn w:val="821"/>
    <w:link w:val="927"/>
    <w:uiPriority w:val="99"/>
    <w:unhideWhenUsed/>
    <w:qFormat/>
    <w:pPr>
      <w:tabs>
        <w:tab w:val="center" w:pos="7143" w:leader="none"/>
        <w:tab w:val="right" w:pos="14287" w:leader="none"/>
      </w:tabs>
    </w:pPr>
  </w:style>
  <w:style w:type="character" w:styleId="925" w:customStyle="1">
    <w:name w:val="Footer Char"/>
    <w:uiPriority w:val="99"/>
    <w:qFormat/>
  </w:style>
  <w:style w:type="paragraph" w:styleId="926" w:customStyle="1">
    <w:name w:val="题注1"/>
    <w:basedOn w:val="821"/>
    <w:next w:val="821"/>
    <w:uiPriority w:val="35"/>
    <w:semiHidden/>
    <w:unhideWhenUsed/>
    <w:qFormat/>
    <w:pPr>
      <w:spacing w:line="276" w:lineRule="auto"/>
    </w:pPr>
    <w:rPr>
      <w:b/>
      <w:bCs/>
      <w:color w:val="4f81bd"/>
      <w:sz w:val="18"/>
      <w:szCs w:val="18"/>
    </w:rPr>
  </w:style>
  <w:style w:type="character" w:styleId="927" w:customStyle="1">
    <w:name w:val="Caption Char"/>
    <w:link w:val="924"/>
    <w:uiPriority w:val="99"/>
    <w:qFormat/>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1" w:customStyle="1">
    <w:name w:val="Plain Table 3"/>
    <w:uiPriority w:val="99"/>
    <w:qFormat/>
    <w:tblPr>
      <w:tblCellMar>
        <w:left w:w="0" w:type="dxa"/>
        <w:top w:w="0" w:type="dxa"/>
        <w:right w:w="0" w:type="dxa"/>
        <w:bottom w:w="0" w:type="dxa"/>
      </w:tblCellMar>
    </w:tblPr>
  </w:style>
  <w:style w:type="table" w:styleId="932" w:customStyle="1">
    <w:name w:val="Plain Table 4"/>
    <w:uiPriority w:val="99"/>
    <w:qFormat/>
    <w:tblPr>
      <w:tblCellMar>
        <w:left w:w="0" w:type="dxa"/>
        <w:top w:w="0" w:type="dxa"/>
        <w:right w:w="0" w:type="dxa"/>
        <w:bottom w:w="0" w:type="dxa"/>
      </w:tblCellMar>
    </w:tblPr>
  </w:style>
  <w:style w:type="table" w:styleId="933" w:customStyle="1">
    <w:name w:val="Plain Table 5"/>
    <w:uiPriority w:val="99"/>
    <w:qFormat/>
    <w:tblPr>
      <w:tblCellMar>
        <w:left w:w="0" w:type="dxa"/>
        <w:top w:w="0" w:type="dxa"/>
        <w:right w:w="0" w:type="dxa"/>
        <w:bottom w:w="0" w:type="dxa"/>
      </w:tblCellMar>
    </w:tblPr>
  </w:style>
  <w:style w:type="table" w:styleId="93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List Table 1 Light"/>
    <w:uiPriority w:val="99"/>
    <w:qFormat/>
    <w:tblPr>
      <w:tblCellMar>
        <w:left w:w="0" w:type="dxa"/>
        <w:top w:w="0" w:type="dxa"/>
        <w:right w:w="0" w:type="dxa"/>
        <w:bottom w:w="0" w:type="dxa"/>
      </w:tblCellMar>
    </w:tblPr>
  </w:style>
  <w:style w:type="table" w:styleId="984" w:customStyle="1">
    <w:name w:val="List Table 1 Light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List Table 1 Light - Accent 3"/>
    <w:uiPriority w:val="99"/>
    <w:qFormat/>
    <w:tblPr>
      <w:tblCellMar>
        <w:left w:w="0" w:type="dxa"/>
        <w:top w:w="0" w:type="dxa"/>
        <w:right w:w="0" w:type="dxa"/>
        <w:bottom w:w="0" w:type="dxa"/>
      </w:tblCellMar>
    </w:tblPr>
  </w:style>
  <w:style w:type="table" w:styleId="987" w:customStyle="1">
    <w:name w:val="List Table 1 Light - Accent 4"/>
    <w:uiPriority w:val="9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table" w:styleId="989" w:customStyle="1">
    <w:name w:val="List Table 1 Light - Accent 6"/>
    <w:uiPriority w:val="99"/>
    <w:qFormat/>
    <w:tblPr>
      <w:tblCellMar>
        <w:left w:w="0" w:type="dxa"/>
        <w:top w:w="0" w:type="dxa"/>
        <w:right w:w="0" w:type="dxa"/>
        <w:bottom w:w="0" w:type="dxa"/>
      </w:tblCellMar>
    </w:tblPr>
  </w:style>
  <w:style w:type="table" w:styleId="99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2" w:customStyle="1">
    <w:name w:val="Lined - Accent"/>
    <w:uiPriority w:val="99"/>
    <w:qFormat/>
    <w:rPr>
      <w:color w:val="404040"/>
    </w:rPr>
    <w:tblPr>
      <w:tblCellMar>
        <w:left w:w="0" w:type="dxa"/>
        <w:top w:w="0" w:type="dxa"/>
        <w:right w:w="0" w:type="dxa"/>
        <w:bottom w:w="0" w:type="dxa"/>
      </w:tblCellMar>
    </w:tblPr>
  </w:style>
  <w:style w:type="table" w:styleId="1033" w:customStyle="1">
    <w:name w:val="Lined - Accent 1"/>
    <w:uiPriority w:val="99"/>
    <w:qFormat/>
    <w:rPr>
      <w:color w:val="404040"/>
    </w:rPr>
    <w:tblPr>
      <w:tblCellMar>
        <w:left w:w="0" w:type="dxa"/>
        <w:top w:w="0" w:type="dxa"/>
        <w:right w:w="0" w:type="dxa"/>
        <w:bottom w:w="0" w:type="dxa"/>
      </w:tblCellMar>
    </w:tblPr>
  </w:style>
  <w:style w:type="table" w:styleId="1034" w:customStyle="1">
    <w:name w:val="Lined - Accent 2"/>
    <w:uiPriority w:val="99"/>
    <w:qFormat/>
    <w:rPr>
      <w:color w:val="404040"/>
    </w:rPr>
    <w:tblPr>
      <w:tblCellMar>
        <w:left w:w="0" w:type="dxa"/>
        <w:top w:w="0" w:type="dxa"/>
        <w:right w:w="0" w:type="dxa"/>
        <w:bottom w:w="0" w:type="dxa"/>
      </w:tblCellMar>
    </w:tblPr>
  </w:style>
  <w:style w:type="table" w:styleId="1035" w:customStyle="1">
    <w:name w:val="Lined - Accent 3"/>
    <w:uiPriority w:val="99"/>
    <w:qFormat/>
    <w:rPr>
      <w:color w:val="404040"/>
    </w:rPr>
    <w:tblPr>
      <w:tblCellMar>
        <w:left w:w="0" w:type="dxa"/>
        <w:top w:w="0" w:type="dxa"/>
        <w:right w:w="0" w:type="dxa"/>
        <w:bottom w:w="0" w:type="dxa"/>
      </w:tblCellMar>
    </w:tblPr>
  </w:style>
  <w:style w:type="table" w:styleId="1036" w:customStyle="1">
    <w:name w:val="Lined - Accent 4"/>
    <w:uiPriority w:val="99"/>
    <w:qFormat/>
    <w:rPr>
      <w:color w:val="404040"/>
    </w:rPr>
    <w:tblPr>
      <w:tblCellMar>
        <w:left w:w="0" w:type="dxa"/>
        <w:top w:w="0" w:type="dxa"/>
        <w:right w:w="0" w:type="dxa"/>
        <w:bottom w:w="0" w:type="dxa"/>
      </w:tblCellMar>
    </w:tblPr>
  </w:style>
  <w:style w:type="table" w:styleId="1037" w:customStyle="1">
    <w:name w:val="Lined - Accent 5"/>
    <w:uiPriority w:val="99"/>
    <w:qFormat/>
    <w:rPr>
      <w:color w:val="404040"/>
    </w:rPr>
    <w:tblPr>
      <w:tblCellMar>
        <w:left w:w="0" w:type="dxa"/>
        <w:top w:w="0" w:type="dxa"/>
        <w:right w:w="0" w:type="dxa"/>
        <w:bottom w:w="0" w:type="dxa"/>
      </w:tblCellMar>
    </w:tblPr>
  </w:style>
  <w:style w:type="table" w:styleId="1038" w:customStyle="1">
    <w:name w:val="Lined - Accent 6"/>
    <w:uiPriority w:val="99"/>
    <w:qFormat/>
    <w:rPr>
      <w:color w:val="404040"/>
    </w:rPr>
    <w:tblPr>
      <w:tblCellMar>
        <w:left w:w="0" w:type="dxa"/>
        <w:top w:w="0" w:type="dxa"/>
        <w:right w:w="0" w:type="dxa"/>
        <w:bottom w:w="0" w:type="dxa"/>
      </w:tblCellMar>
    </w:tblPr>
  </w:style>
  <w:style w:type="table" w:styleId="10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3" w:customStyle="1">
    <w:name w:val="Footnote Text Char"/>
    <w:uiPriority w:val="99"/>
    <w:qFormat/>
    <w:rPr>
      <w:sz w:val="18"/>
    </w:rPr>
  </w:style>
  <w:style w:type="character" w:styleId="1054" w:customStyle="1">
    <w:name w:val="尾注文本 Char"/>
    <w:link w:val="853"/>
    <w:uiPriority w:val="99"/>
    <w:qFormat/>
    <w:rPr>
      <w:sz w:val="20"/>
    </w:rPr>
  </w:style>
  <w:style w:type="paragraph" w:styleId="1055" w:customStyle="1">
    <w:name w:val="TOC 标题1"/>
    <w:basedOn w:val="822"/>
    <w:next w:val="821"/>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character" w:styleId="1056" w:customStyle="1">
    <w:name w:val="标题 1 Char2"/>
    <w:link w:val="822"/>
    <w:uiPriority w:val="9"/>
    <w:qFormat/>
    <w:rPr>
      <w:rFonts w:eastAsia="楷体_GB2312"/>
      <w:b/>
      <w:sz w:val="44"/>
    </w:rPr>
  </w:style>
  <w:style w:type="character" w:styleId="1057" w:customStyle="1">
    <w:name w:val="标题 2 Char2"/>
    <w:uiPriority w:val="9"/>
    <w:qFormat/>
    <w:rPr>
      <w:rFonts w:ascii="宋体" w:hAnsi="宋体" w:eastAsia="楷体_GB2312"/>
      <w:b/>
      <w:sz w:val="28"/>
    </w:rPr>
  </w:style>
  <w:style w:type="character" w:styleId="1058" w:customStyle="1">
    <w:name w:val="标题 3 Char1"/>
    <w:link w:val="824"/>
    <w:uiPriority w:val="9"/>
    <w:qFormat/>
    <w:rPr>
      <w:rFonts w:eastAsia="楷体_GB2312"/>
      <w:b/>
      <w:sz w:val="28"/>
    </w:rPr>
  </w:style>
  <w:style w:type="character" w:styleId="1059" w:customStyle="1">
    <w:name w:val="标题 4 Char1"/>
    <w:link w:val="825"/>
    <w:uiPriority w:val="9"/>
    <w:qFormat/>
    <w:rPr>
      <w:rFonts w:eastAsia="华文中宋"/>
      <w:b/>
      <w:sz w:val="24"/>
      <w:szCs w:val="28"/>
    </w:rPr>
  </w:style>
  <w:style w:type="character" w:styleId="1060" w:customStyle="1">
    <w:name w:val="标题 5 Char1"/>
    <w:link w:val="826"/>
    <w:uiPriority w:val="0"/>
    <w:qFormat/>
    <w:rPr>
      <w:b/>
      <w:bCs/>
      <w:sz w:val="28"/>
      <w:szCs w:val="28"/>
    </w:rPr>
  </w:style>
  <w:style w:type="character" w:styleId="1061" w:customStyle="1">
    <w:name w:val="标题 6 Char1"/>
    <w:link w:val="827"/>
    <w:uiPriority w:val="0"/>
    <w:qFormat/>
    <w:rPr>
      <w:rFonts w:ascii="Arial" w:hAnsi="Arial" w:eastAsia="黑体"/>
      <w:b/>
      <w:sz w:val="24"/>
    </w:rPr>
  </w:style>
  <w:style w:type="character" w:styleId="1062" w:customStyle="1">
    <w:name w:val="正文缩进 Char"/>
    <w:link w:val="833"/>
    <w:uiPriority w:val="0"/>
    <w:qFormat/>
    <w:rPr>
      <w:rFonts w:eastAsia="楷体_GB2312"/>
      <w:sz w:val="24"/>
      <w:lang w:val="en-US" w:eastAsia="zh-CN" w:bidi="ar-SA"/>
    </w:rPr>
  </w:style>
  <w:style w:type="character" w:styleId="1063" w:customStyle="1">
    <w:name w:val="标题 7 Char1"/>
    <w:link w:val="828"/>
    <w:uiPriority w:val="0"/>
    <w:qFormat/>
    <w:rPr>
      <w:b/>
      <w:sz w:val="24"/>
    </w:rPr>
  </w:style>
  <w:style w:type="character" w:styleId="1064" w:customStyle="1">
    <w:name w:val="标题 8 Char1"/>
    <w:link w:val="829"/>
    <w:uiPriority w:val="0"/>
    <w:qFormat/>
    <w:rPr>
      <w:rFonts w:ascii="Arial" w:hAnsi="Arial" w:eastAsia="黑体"/>
      <w:sz w:val="24"/>
    </w:rPr>
  </w:style>
  <w:style w:type="character" w:styleId="1065" w:customStyle="1">
    <w:name w:val="标题 9 Char1"/>
    <w:link w:val="830"/>
    <w:uiPriority w:val="0"/>
    <w:qFormat/>
    <w:rPr>
      <w:rFonts w:ascii="Arial" w:hAnsi="Arial" w:eastAsia="黑体"/>
      <w:sz w:val="21"/>
    </w:rPr>
  </w:style>
  <w:style w:type="character" w:styleId="1066" w:customStyle="1">
    <w:name w:val="题注 Char"/>
    <w:link w:val="836"/>
    <w:uiPriority w:val="35"/>
    <w:qFormat/>
    <w:rPr>
      <w:sz w:val="21"/>
    </w:rPr>
  </w:style>
  <w:style w:type="character" w:styleId="1067" w:customStyle="1">
    <w:name w:val="文档结构图 Char1"/>
    <w:link w:val="838"/>
    <w:uiPriority w:val="0"/>
    <w:qFormat/>
    <w:rPr>
      <w:rFonts w:eastAsia="楷体_GB2312"/>
      <w:sz w:val="28"/>
      <w:shd w:val="clear" w:color="auto" w:fill="000080"/>
    </w:rPr>
  </w:style>
  <w:style w:type="character" w:styleId="1068" w:customStyle="1">
    <w:name w:val="批注文字 Char2"/>
    <w:link w:val="839"/>
    <w:uiPriority w:val="99"/>
    <w:qFormat/>
    <w:rPr>
      <w:lang w:val="en-GB"/>
    </w:rPr>
  </w:style>
  <w:style w:type="character" w:styleId="1069" w:customStyle="1">
    <w:name w:val="正文文本 Char1"/>
    <w:link w:val="841"/>
    <w:uiPriority w:val="0"/>
    <w:qFormat/>
    <w:rPr>
      <w:rFonts w:ascii="宋体" w:hAnsi="宋体"/>
      <w:sz w:val="21"/>
      <w:szCs w:val="21"/>
    </w:rPr>
  </w:style>
  <w:style w:type="character" w:styleId="1070" w:customStyle="1">
    <w:name w:val="正文文本缩进 Char1"/>
    <w:link w:val="842"/>
    <w:uiPriority w:val="0"/>
    <w:qFormat/>
    <w:rPr>
      <w:rFonts w:ascii="宋体"/>
      <w:sz w:val="28"/>
    </w:rPr>
  </w:style>
  <w:style w:type="character" w:styleId="1071" w:customStyle="1">
    <w:name w:val="日期 Char"/>
    <w:link w:val="851"/>
    <w:uiPriority w:val="99"/>
    <w:qFormat/>
    <w:rPr>
      <w:rFonts w:ascii="宋体" w:hAnsi="宋体" w:eastAsia="楷体_GB2312"/>
      <w:sz w:val="24"/>
    </w:rPr>
  </w:style>
  <w:style w:type="character" w:styleId="1072" w:customStyle="1">
    <w:name w:val="正文文本缩进 2 Char"/>
    <w:link w:val="852"/>
    <w:uiPriority w:val="0"/>
    <w:qFormat/>
    <w:rPr>
      <w:rFonts w:eastAsia="楷体_GB2312"/>
      <w:sz w:val="28"/>
    </w:rPr>
  </w:style>
  <w:style w:type="character" w:styleId="1073" w:customStyle="1">
    <w:name w:val="批注框文本 Char2"/>
    <w:link w:val="854"/>
    <w:uiPriority w:val="99"/>
    <w:qFormat/>
    <w:rPr>
      <w:rFonts w:eastAsia="楷体_GB2312"/>
      <w:sz w:val="16"/>
      <w:szCs w:val="16"/>
    </w:rPr>
  </w:style>
  <w:style w:type="character" w:styleId="1074" w:customStyle="1">
    <w:name w:val="页脚 Char1"/>
    <w:link w:val="855"/>
    <w:uiPriority w:val="99"/>
    <w:qFormat/>
    <w:rPr>
      <w:rFonts w:eastAsia="楷体_GB2312"/>
      <w:sz w:val="18"/>
    </w:rPr>
  </w:style>
  <w:style w:type="character" w:styleId="1075" w:customStyle="1">
    <w:name w:val="页眉 Char1"/>
    <w:link w:val="856"/>
    <w:uiPriority w:val="99"/>
    <w:qFormat/>
    <w:rPr>
      <w:rFonts w:eastAsia="楷体_GB2312"/>
      <w:sz w:val="18"/>
    </w:rPr>
  </w:style>
  <w:style w:type="character" w:styleId="1076" w:customStyle="1">
    <w:name w:val="脚注文本 Char"/>
    <w:link w:val="863"/>
    <w:uiPriority w:val="0"/>
    <w:semiHidden/>
    <w:qFormat/>
    <w:rPr>
      <w:rFonts w:eastAsia="楷体_GB2312"/>
      <w:sz w:val="18"/>
    </w:rPr>
  </w:style>
  <w:style w:type="character" w:styleId="1077" w:customStyle="1">
    <w:name w:val="正文文本缩进 3 Char"/>
    <w:link w:val="865"/>
    <w:uiPriority w:val="0"/>
    <w:qFormat/>
    <w:rPr>
      <w:sz w:val="16"/>
      <w:szCs w:val="16"/>
    </w:rPr>
  </w:style>
  <w:style w:type="character" w:styleId="1078" w:customStyle="1">
    <w:name w:val="正文文本 2 Char"/>
    <w:link w:val="871"/>
    <w:uiPriority w:val="0"/>
    <w:qFormat/>
    <w:rPr>
      <w:rFonts w:eastAsia="楷体_GB2312"/>
      <w:sz w:val="28"/>
    </w:rPr>
  </w:style>
  <w:style w:type="character" w:styleId="1079" w:customStyle="1">
    <w:name w:val="标题 Char"/>
    <w:link w:val="875"/>
    <w:uiPriority w:val="0"/>
    <w:qFormat/>
    <w:rPr>
      <w:rFonts w:ascii="Cambria" w:hAnsi="Cambria"/>
      <w:b/>
      <w:bCs/>
      <w:sz w:val="32"/>
      <w:szCs w:val="32"/>
    </w:rPr>
  </w:style>
  <w:style w:type="character" w:styleId="1080" w:customStyle="1">
    <w:name w:val="批注主题 Char2"/>
    <w:link w:val="876"/>
    <w:uiPriority w:val="99"/>
    <w:qFormat/>
    <w:rPr>
      <w:rFonts w:eastAsia="楷体_GB2312"/>
      <w:b/>
      <w:bCs/>
      <w:sz w:val="28"/>
      <w:lang w:val="en-GB"/>
    </w:rPr>
  </w:style>
  <w:style w:type="character" w:styleId="1081" w:customStyle="1">
    <w:name w:val="正文首行缩进 2 Char1"/>
    <w:link w:val="878"/>
    <w:uiPriority w:val="0"/>
    <w:qFormat/>
    <w:rPr>
      <w:rFonts w:ascii="宋体" w:eastAsia="楷体_GB2312"/>
      <w:sz w:val="28"/>
    </w:rPr>
  </w:style>
  <w:style w:type="character" w:styleId="1082" w:customStyle="1">
    <w:name w:val="标题 2 Char1"/>
    <w:link w:val="823"/>
    <w:uiPriority w:val="9"/>
    <w:qFormat/>
    <w:rPr>
      <w:rFonts w:ascii="宋体" w:hAnsi="宋体" w:eastAsia="楷体_GB2312"/>
      <w:b/>
      <w:sz w:val="28"/>
    </w:rPr>
  </w:style>
  <w:style w:type="paragraph" w:styleId="1083"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1084" w:customStyle="1">
    <w:name w:val="标题 1 Char1"/>
    <w:uiPriority w:val="0"/>
    <w:qFormat/>
    <w:rPr>
      <w:rFonts w:ascii="Calibri" w:hAnsi="Calibri" w:eastAsia="楷体_GB2312" w:cs="Times New Roman"/>
      <w:b/>
      <w:sz w:val="44"/>
      <w:szCs w:val="20"/>
    </w:rPr>
  </w:style>
  <w:style w:type="character" w:styleId="1085" w:customStyle="1">
    <w:name w:val="标题 7 字符"/>
    <w:uiPriority w:val="9"/>
    <w:semiHidden/>
    <w:qFormat/>
    <w:rPr>
      <w:rFonts w:ascii="Tahoma" w:hAnsi="Tahoma" w:eastAsia="微软雅黑"/>
      <w:b/>
      <w:bCs/>
      <w:sz w:val="24"/>
      <w:szCs w:val="24"/>
    </w:rPr>
  </w:style>
  <w:style w:type="character" w:styleId="1086" w:customStyle="1">
    <w:name w:val="*正文 Char Char"/>
    <w:link w:val="1087"/>
    <w:uiPriority w:val="0"/>
    <w:qFormat/>
    <w:rPr>
      <w:rFonts w:ascii="宋体" w:hAnsi="宋体"/>
      <w:sz w:val="22"/>
      <w:szCs w:val="24"/>
    </w:rPr>
  </w:style>
  <w:style w:type="paragraph" w:styleId="1087" w:customStyle="1">
    <w:name w:val="*正文"/>
    <w:basedOn w:val="821"/>
    <w:link w:val="1086"/>
    <w:uiPriority w:val="0"/>
    <w:qFormat/>
    <w:rPr>
      <w:rFonts w:ascii="宋体" w:hAnsi="宋体" w:eastAsia="宋体"/>
      <w:sz w:val="22"/>
      <w:szCs w:val="24"/>
    </w:rPr>
  </w:style>
  <w:style w:type="character" w:styleId="1088" w:customStyle="1">
    <w:name w:val="标题 6 字符"/>
    <w:uiPriority w:val="9"/>
    <w:semiHidden/>
    <w:qFormat/>
    <w:rPr>
      <w:rFonts w:ascii="等线 Light" w:hAnsi="等线 Light" w:eastAsia="等线 Light"/>
      <w:b/>
      <w:bCs/>
      <w:sz w:val="24"/>
      <w:szCs w:val="24"/>
    </w:rPr>
  </w:style>
  <w:style w:type="character" w:styleId="1089" w:customStyle="1">
    <w:name w:val="样式2 Char"/>
    <w:link w:val="1090"/>
    <w:uiPriority w:val="0"/>
    <w:qFormat/>
    <w:rPr>
      <w:sz w:val="21"/>
      <w:szCs w:val="21"/>
    </w:rPr>
  </w:style>
  <w:style w:type="paragraph" w:styleId="1090" w:customStyle="1">
    <w:name w:val="样式2"/>
    <w:basedOn w:val="1091"/>
    <w:link w:val="1089"/>
    <w:uiPriority w:val="0"/>
    <w:qFormat/>
    <w:pPr>
      <w:tabs>
        <w:tab w:val="center" w:pos="4153" w:leader="none"/>
        <w:tab w:val="right" w:pos="8306" w:leader="none"/>
      </w:tabs>
      <w:pBdr>
        <w:top w:val="single" w:color="1F497D" w:sz="6" w:space="1"/>
      </w:pBdr>
    </w:pPr>
  </w:style>
  <w:style w:type="paragraph" w:styleId="1091" w:customStyle="1">
    <w:name w:val="样式1"/>
    <w:basedOn w:val="855"/>
    <w:link w:val="1092"/>
    <w:uiPriority w:val="0"/>
    <w:qFormat/>
    <w:pPr>
      <w:jc w:val="center"/>
      <w:pBdr>
        <w:top w:val="single" w:color="000000" w:sz="4" w:space="1"/>
      </w:pBdr>
    </w:pPr>
    <w:rPr>
      <w:rFonts w:eastAsia="宋体"/>
      <w:sz w:val="21"/>
      <w:szCs w:val="21"/>
    </w:rPr>
  </w:style>
  <w:style w:type="character" w:styleId="1092" w:customStyle="1">
    <w:name w:val="样式1 Char"/>
    <w:link w:val="1091"/>
    <w:uiPriority w:val="0"/>
    <w:qFormat/>
    <w:rPr>
      <w:sz w:val="21"/>
      <w:szCs w:val="21"/>
    </w:rPr>
  </w:style>
  <w:style w:type="character" w:styleId="1093" w:customStyle="1">
    <w:name w:val="xu Char"/>
    <w:link w:val="1094"/>
    <w:uiPriority w:val="0"/>
    <w:qFormat/>
    <w:rPr>
      <w:rFonts w:ascii="宋体" w:hAnsi="Calibri"/>
      <w:sz w:val="21"/>
      <w:szCs w:val="22"/>
    </w:rPr>
  </w:style>
  <w:style w:type="paragraph" w:styleId="1094" w:customStyle="1">
    <w:name w:val="xu"/>
    <w:basedOn w:val="821"/>
    <w:link w:val="1093"/>
    <w:uiPriority w:val="0"/>
    <w:qFormat/>
    <w:rPr>
      <w:rFonts w:ascii="宋体" w:hAnsi="Calibri" w:eastAsia="宋体"/>
      <w:sz w:val="21"/>
      <w:szCs w:val="22"/>
    </w:rPr>
  </w:style>
  <w:style w:type="character" w:styleId="1095" w:customStyle="1">
    <w:name w:val="纯文本 Char2"/>
    <w:link w:val="847"/>
    <w:uiPriority w:val="0"/>
    <w:qFormat/>
    <w:rPr>
      <w:rFonts w:ascii="宋体" w:hAnsi="Courier New" w:eastAsia="楷体_GB2312"/>
      <w:sz w:val="26"/>
    </w:rPr>
  </w:style>
  <w:style w:type="character" w:styleId="1096" w:customStyle="1">
    <w:name w:val="批注框文本 Char1"/>
    <w:uiPriority w:val="99"/>
    <w:semiHidden/>
    <w:qFormat/>
    <w:rPr>
      <w:rFonts w:ascii="Tahoma" w:hAnsi="Tahoma" w:cs="Times New Roman"/>
      <w:sz w:val="18"/>
      <w:szCs w:val="18"/>
    </w:rPr>
  </w:style>
  <w:style w:type="character" w:styleId="1097" w:customStyle="1">
    <w:name w:val="纯文本 Char1"/>
    <w:uiPriority w:val="0"/>
    <w:qFormat/>
    <w:rPr>
      <w:rFonts w:ascii="宋体" w:hAnsi="Courier New" w:eastAsia="楷体_GB2312"/>
      <w:sz w:val="28"/>
    </w:rPr>
  </w:style>
  <w:style w:type="character" w:styleId="1098" w:customStyle="1">
    <w:name w:val="正文缩进 Char1"/>
    <w:uiPriority w:val="0"/>
    <w:qFormat/>
    <w:rPr>
      <w:rFonts w:ascii="Times New Roman" w:hAnsi="Times New Roman" w:eastAsia="宋体" w:cs="Times New Roman"/>
      <w:sz w:val="20"/>
      <w:szCs w:val="20"/>
    </w:rPr>
  </w:style>
  <w:style w:type="character" w:styleId="1099" w:customStyle="1">
    <w:name w:val="页脚 字符"/>
    <w:uiPriority w:val="99"/>
    <w:qFormat/>
  </w:style>
  <w:style w:type="character" w:styleId="1100" w:customStyle="1">
    <w:name w:val="列表段落 字符"/>
    <w:link w:val="1101"/>
    <w:uiPriority w:val="0"/>
    <w:qFormat/>
    <w:rPr>
      <w:sz w:val="21"/>
      <w:szCs w:val="24"/>
    </w:rPr>
  </w:style>
  <w:style w:type="paragraph" w:styleId="1101" w:customStyle="1">
    <w:name w:val="_Style 30"/>
    <w:basedOn w:val="821"/>
    <w:next w:val="1102"/>
    <w:link w:val="1100"/>
    <w:uiPriority w:val="0"/>
    <w:qFormat/>
    <w:pPr>
      <w:ind w:firstLine="420"/>
    </w:pPr>
    <w:rPr>
      <w:rFonts w:eastAsia="宋体"/>
      <w:sz w:val="21"/>
      <w:szCs w:val="24"/>
    </w:rPr>
  </w:style>
  <w:style w:type="paragraph" w:styleId="1102">
    <w:name w:val="List Paragraph"/>
    <w:basedOn w:val="821"/>
    <w:link w:val="1103"/>
    <w:uiPriority w:val="0"/>
    <w:qFormat/>
    <w:pPr>
      <w:ind w:firstLine="420"/>
      <w:jc w:val="left"/>
      <w:widowControl/>
    </w:pPr>
    <w:rPr>
      <w:rFonts w:eastAsia="宋体"/>
      <w:sz w:val="24"/>
      <w:szCs w:val="24"/>
    </w:rPr>
  </w:style>
  <w:style w:type="character" w:styleId="1103" w:customStyle="1">
    <w:name w:val="列出段落 Char"/>
    <w:link w:val="1102"/>
    <w:uiPriority w:val="34"/>
    <w:qFormat/>
    <w:rPr>
      <w:rFonts w:ascii="Calibri" w:hAnsi="Calibri"/>
      <w:sz w:val="21"/>
      <w:szCs w:val="22"/>
    </w:rPr>
  </w:style>
  <w:style w:type="character" w:styleId="1104" w:customStyle="1">
    <w:name w:val="二级目录 Char"/>
    <w:link w:val="1105"/>
    <w:uiPriority w:val="0"/>
    <w:qFormat/>
    <w:rPr>
      <w:b/>
      <w:sz w:val="30"/>
      <w:szCs w:val="28"/>
      <w:lang w:val="en-US" w:eastAsia="zh-CN" w:bidi="ar-SA"/>
    </w:rPr>
  </w:style>
  <w:style w:type="paragraph" w:styleId="1105" w:customStyle="1">
    <w:name w:val="二级目录"/>
    <w:next w:val="821"/>
    <w:link w:val="1104"/>
    <w:uiPriority w:val="0"/>
    <w:qFormat/>
    <w:pPr>
      <w:numPr>
        <w:ilvl w:val="0"/>
        <w:numId w:val="2"/>
      </w:numPr>
      <w:outlineLvl w:val="1"/>
    </w:pPr>
    <w:rPr>
      <w:rFonts w:hint="default" w:ascii="Times New Roman" w:hAnsi="Times New Roman" w:eastAsia="宋体" w:cs="Times New Roman"/>
      <w:b/>
      <w:sz w:val="30"/>
      <w:szCs w:val="28"/>
      <w:lang w:val="en-US" w:eastAsia="zh-CN" w:bidi="ar-SA"/>
    </w:rPr>
  </w:style>
  <w:style w:type="character" w:styleId="1106" w:customStyle="1">
    <w:name w:val="param-name"/>
    <w:uiPriority w:val="0"/>
    <w:qFormat/>
  </w:style>
  <w:style w:type="character" w:styleId="1107" w:customStyle="1">
    <w:name w:val="3级标题 Char"/>
    <w:link w:val="1108"/>
    <w:uiPriority w:val="0"/>
    <w:qFormat/>
    <w:rPr>
      <w:rFonts w:eastAsia="华文中宋"/>
      <w:b/>
      <w:bCs/>
      <w:sz w:val="28"/>
      <w:szCs w:val="32"/>
    </w:rPr>
  </w:style>
  <w:style w:type="paragraph" w:styleId="1108" w:customStyle="1">
    <w:name w:val="3级标题"/>
    <w:basedOn w:val="823"/>
    <w:link w:val="1107"/>
    <w:uiPriority w:val="0"/>
    <w:qFormat/>
    <w:pPr>
      <w:jc w:val="both"/>
      <w:spacing w:line="360" w:lineRule="auto"/>
      <w:tabs>
        <w:tab w:val="left" w:pos="1080" w:leader="none"/>
      </w:tabs>
    </w:pPr>
    <w:rPr>
      <w:rFonts w:ascii="Times New Roman" w:hAnsi="Times New Roman" w:eastAsia="华文中宋"/>
      <w:bCs/>
      <w:szCs w:val="32"/>
    </w:rPr>
  </w:style>
  <w:style w:type="character" w:styleId="1109" w:customStyle="1">
    <w:name w:val="Plain Text Char"/>
    <w:uiPriority w:val="0"/>
    <w:qFormat/>
    <w:rPr>
      <w:rFonts w:ascii="宋体" w:hAnsi="Courier New" w:eastAsia="楷体_GB2312" w:cs="Times New Roman"/>
      <w:sz w:val="20"/>
      <w:szCs w:val="20"/>
    </w:rPr>
  </w:style>
  <w:style w:type="character" w:styleId="1110" w:customStyle="1">
    <w:name w:val="2级标题 Char"/>
    <w:link w:val="1111"/>
    <w:uiPriority w:val="0"/>
    <w:qFormat/>
    <w:rPr>
      <w:rFonts w:eastAsia="华文中宋"/>
      <w:b/>
      <w:bCs/>
      <w:sz w:val="28"/>
      <w:szCs w:val="32"/>
    </w:rPr>
  </w:style>
  <w:style w:type="paragraph" w:styleId="1111" w:customStyle="1">
    <w:name w:val="2级标题"/>
    <w:basedOn w:val="823"/>
    <w:link w:val="1110"/>
    <w:uiPriority w:val="0"/>
    <w:qFormat/>
    <w:pPr>
      <w:jc w:val="both"/>
      <w:spacing w:line="360" w:lineRule="auto"/>
      <w:tabs>
        <w:tab w:val="left" w:pos="851" w:leader="none"/>
      </w:tabs>
    </w:pPr>
    <w:rPr>
      <w:rFonts w:ascii="Times New Roman" w:hAnsi="Times New Roman" w:eastAsia="华文中宋"/>
      <w:bCs/>
      <w:szCs w:val="32"/>
    </w:rPr>
  </w:style>
  <w:style w:type="character" w:styleId="1112" w:customStyle="1">
    <w:name w:val="_正文段落 Char"/>
    <w:link w:val="1113"/>
    <w:uiPriority w:val="0"/>
    <w:qFormat/>
    <w:rPr>
      <w:rFonts w:ascii="宋体" w:hAnsi="宋体"/>
      <w:sz w:val="24"/>
      <w:szCs w:val="24"/>
    </w:rPr>
  </w:style>
  <w:style w:type="paragraph" w:styleId="1113" w:customStyle="1">
    <w:name w:val="_正文段落"/>
    <w:basedOn w:val="821"/>
    <w:link w:val="1112"/>
    <w:uiPriority w:val="0"/>
    <w:qFormat/>
    <w:pPr>
      <w:ind w:firstLine="200"/>
      <w:jc w:val="left"/>
      <w:spacing w:line="360" w:lineRule="auto"/>
    </w:pPr>
    <w:rPr>
      <w:rFonts w:ascii="宋体" w:hAnsi="宋体" w:eastAsia="宋体"/>
      <w:sz w:val="24"/>
      <w:szCs w:val="24"/>
    </w:rPr>
  </w:style>
  <w:style w:type="character" w:styleId="1114" w:customStyle="1">
    <w:name w:val="样式3 Char"/>
    <w:link w:val="1115"/>
    <w:uiPriority w:val="0"/>
    <w:qFormat/>
    <w:rPr>
      <w:sz w:val="18"/>
      <w:szCs w:val="18"/>
    </w:rPr>
  </w:style>
  <w:style w:type="paragraph" w:styleId="1115" w:customStyle="1">
    <w:name w:val="样式3"/>
    <w:basedOn w:val="856"/>
    <w:link w:val="1114"/>
    <w:uiPriority w:val="0"/>
    <w:qFormat/>
    <w:pPr>
      <w:jc w:val="both"/>
      <w:spacing w:before="120" w:after="120"/>
      <w:pBdr>
        <w:bottom w:val="none" w:color="000000" w:sz="0" w:space="0"/>
      </w:pBdr>
    </w:pPr>
    <w:rPr>
      <w:rFonts w:eastAsia="宋体"/>
      <w:szCs w:val="18"/>
    </w:rPr>
  </w:style>
  <w:style w:type="character" w:styleId="1116" w:customStyle="1">
    <w:name w:val="Item List in Table Char Char"/>
    <w:link w:val="1117"/>
    <w:uiPriority w:val="0"/>
    <w:qFormat/>
    <w:rPr>
      <w:rFonts w:ascii="Arial" w:hAnsi="Arial"/>
      <w:sz w:val="18"/>
      <w:szCs w:val="18"/>
      <w:lang w:val="en-US" w:eastAsia="zh-CN" w:bidi="ar-SA"/>
    </w:rPr>
  </w:style>
  <w:style w:type="paragraph" w:styleId="1117" w:customStyle="1">
    <w:name w:val="Item List in Table"/>
    <w:link w:val="1116"/>
    <w:uiPriority w:val="0"/>
    <w:qFormat/>
    <w:pPr>
      <w:numPr>
        <w:ilvl w:val="0"/>
        <w:numId w:val="3"/>
      </w:numPr>
      <w:jc w:val="both"/>
      <w:spacing w:before="40" w:after="40"/>
    </w:pPr>
    <w:rPr>
      <w:rFonts w:hint="default" w:ascii="Arial" w:hAnsi="Arial" w:eastAsia="宋体" w:cs="Times New Roman"/>
      <w:sz w:val="18"/>
      <w:szCs w:val="18"/>
      <w:lang w:val="en-US" w:eastAsia="zh-CN" w:bidi="ar-SA"/>
    </w:rPr>
  </w:style>
  <w:style w:type="character" w:styleId="1118" w:customStyle="1">
    <w:name w:val="彩色列表 - 强调文字颜色 1 Char"/>
    <w:link w:val="1119"/>
    <w:uiPriority w:val="34"/>
    <w:qFormat/>
    <w:rPr>
      <w:sz w:val="24"/>
      <w:szCs w:val="24"/>
    </w:rPr>
  </w:style>
  <w:style w:type="paragraph" w:styleId="1119" w:customStyle="1">
    <w:name w:val="彩色列表 - 强调文字颜色 111"/>
    <w:basedOn w:val="821"/>
    <w:link w:val="1118"/>
    <w:uiPriority w:val="34"/>
    <w:qFormat/>
    <w:pPr>
      <w:ind w:firstLine="420"/>
      <w:jc w:val="left"/>
      <w:widowControl/>
    </w:pPr>
    <w:rPr>
      <w:rFonts w:eastAsia="宋体"/>
      <w:sz w:val="24"/>
      <w:szCs w:val="24"/>
    </w:rPr>
  </w:style>
  <w:style w:type="character" w:styleId="1120" w:customStyle="1">
    <w:name w:val="正文样式 Char"/>
    <w:link w:val="1121"/>
    <w:uiPriority w:val="0"/>
    <w:qFormat/>
    <w:rPr>
      <w:rFonts w:ascii="宋体" w:hAnsi="宋体" w:eastAsia="宋体"/>
      <w:sz w:val="28"/>
      <w:szCs w:val="30"/>
    </w:rPr>
  </w:style>
  <w:style w:type="paragraph" w:styleId="1121" w:customStyle="1">
    <w:name w:val="正文样式"/>
    <w:basedOn w:val="821"/>
    <w:link w:val="1120"/>
    <w:uiPriority w:val="0"/>
    <w:qFormat/>
    <w:pPr>
      <w:ind w:firstLine="560"/>
      <w:spacing w:line="360" w:lineRule="auto"/>
    </w:pPr>
    <w:rPr>
      <w:rFonts w:ascii="宋体" w:hAnsi="宋体" w:eastAsia="宋体"/>
      <w:szCs w:val="30"/>
    </w:rPr>
  </w:style>
  <w:style w:type="character" w:styleId="1122" w:customStyle="1">
    <w:name w:val="CSS正文缩进 Char"/>
    <w:link w:val="1123"/>
    <w:uiPriority w:val="0"/>
    <w:qFormat/>
    <w:rPr>
      <w:rFonts w:ascii="宋体" w:hAnsi="宋体"/>
      <w:sz w:val="24"/>
      <w:lang w:val="en-US" w:eastAsia="zh-CN" w:bidi="ar-SA"/>
    </w:rPr>
  </w:style>
  <w:style w:type="paragraph" w:styleId="1123" w:customStyle="1">
    <w:name w:val="CSS正文缩进"/>
    <w:link w:val="1122"/>
    <w:uiPriority w:val="0"/>
    <w:qFormat/>
    <w:pPr>
      <w:ind w:firstLine="200"/>
      <w:spacing w:line="360" w:lineRule="auto"/>
    </w:pPr>
    <w:rPr>
      <w:rFonts w:hint="default" w:ascii="宋体" w:hAnsi="宋体" w:eastAsia="宋体" w:cs="Times New Roman"/>
      <w:sz w:val="24"/>
      <w:lang w:val="en-US" w:eastAsia="zh-CN" w:bidi="ar-SA"/>
    </w:rPr>
  </w:style>
  <w:style w:type="character" w:styleId="1124" w:customStyle="1">
    <w:name w:val="方案正文 Char"/>
    <w:link w:val="1125"/>
    <w:uiPriority w:val="0"/>
    <w:qFormat/>
    <w:rPr>
      <w:rFonts w:ascii="楷体_GB2312" w:hAnsi="宋体" w:eastAsia="楷体_GB2312"/>
      <w:spacing w:val="2"/>
      <w:sz w:val="24"/>
      <w:szCs w:val="24"/>
    </w:rPr>
  </w:style>
  <w:style w:type="paragraph" w:styleId="1125" w:customStyle="1">
    <w:name w:val="方案正文"/>
    <w:basedOn w:val="821"/>
    <w:link w:val="1124"/>
    <w:uiPriority w:val="0"/>
    <w:qFormat/>
    <w:pPr>
      <w:ind w:firstLine="425"/>
      <w:tabs>
        <w:tab w:val="left" w:pos="0" w:leader="none"/>
      </w:tabs>
    </w:pPr>
    <w:rPr>
      <w:rFonts w:ascii="楷体_GB2312" w:hAnsi="宋体"/>
      <w:spacing w:val="2"/>
      <w:sz w:val="24"/>
      <w:szCs w:val="24"/>
    </w:rPr>
  </w:style>
  <w:style w:type="character" w:styleId="1126" w:customStyle="1">
    <w:name w:val="标题 8 字符"/>
    <w:uiPriority w:val="9"/>
    <w:semiHidden/>
    <w:qFormat/>
    <w:rPr>
      <w:rFonts w:ascii="等线 Light" w:hAnsi="等线 Light" w:eastAsia="等线 Light"/>
      <w:sz w:val="24"/>
      <w:szCs w:val="24"/>
    </w:rPr>
  </w:style>
  <w:style w:type="character" w:styleId="1127" w:customStyle="1">
    <w:name w:val="标题 9 字符"/>
    <w:uiPriority w:val="9"/>
    <w:semiHidden/>
    <w:qFormat/>
    <w:rPr>
      <w:rFonts w:ascii="等线 Light" w:hAnsi="等线 Light" w:eastAsia="等线 Light"/>
      <w:sz w:val="21"/>
      <w:szCs w:val="21"/>
    </w:rPr>
  </w:style>
  <w:style w:type="character" w:styleId="1128" w:customStyle="1">
    <w:name w:val="样式5 Char"/>
    <w:link w:val="1129"/>
    <w:uiPriority w:val="0"/>
    <w:qFormat/>
    <w:rPr>
      <w:sz w:val="24"/>
      <w:szCs w:val="22"/>
    </w:rPr>
  </w:style>
  <w:style w:type="paragraph" w:styleId="1129" w:customStyle="1">
    <w:name w:val="样式5"/>
    <w:basedOn w:val="821"/>
    <w:link w:val="1128"/>
    <w:uiPriority w:val="0"/>
    <w:qFormat/>
    <w:pPr>
      <w:jc w:val="left"/>
      <w:pBdr>
        <w:bottom w:val="single" w:color="C0504D" w:sz="6" w:space="1"/>
      </w:pBdr>
    </w:pPr>
    <w:rPr>
      <w:rFonts w:eastAsia="宋体"/>
      <w:sz w:val="24"/>
      <w:szCs w:val="22"/>
    </w:rPr>
  </w:style>
  <w:style w:type="character" w:styleId="1130" w:customStyle="1">
    <w:name w:val="日期 Char1"/>
    <w:uiPriority w:val="99"/>
    <w:semiHidden/>
    <w:qFormat/>
    <w:rPr>
      <w:rFonts w:ascii="Tahoma" w:hAnsi="Tahoma"/>
    </w:rPr>
  </w:style>
  <w:style w:type="character" w:styleId="1131" w:customStyle="1">
    <w:name w:val="样式4 Char"/>
    <w:link w:val="1132"/>
    <w:uiPriority w:val="0"/>
    <w:qFormat/>
    <w:rPr>
      <w:sz w:val="18"/>
      <w:szCs w:val="18"/>
    </w:rPr>
  </w:style>
  <w:style w:type="paragraph" w:styleId="1132" w:customStyle="1">
    <w:name w:val="样式4"/>
    <w:basedOn w:val="856"/>
    <w:link w:val="1131"/>
    <w:uiPriority w:val="0"/>
    <w:qFormat/>
    <w:pPr>
      <w:ind w:firstLine="425"/>
      <w:spacing w:before="120" w:after="120"/>
      <w:pBdr>
        <w:bottom w:val="none" w:color="000000" w:sz="0" w:space="0"/>
      </w:pBdr>
    </w:pPr>
    <w:rPr>
      <w:rFonts w:eastAsia="宋体"/>
      <w:szCs w:val="18"/>
    </w:rPr>
  </w:style>
  <w:style w:type="character" w:styleId="1133" w:customStyle="1">
    <w:name w:val="HTML 打字机1"/>
    <w:uiPriority w:val="0"/>
    <w:qFormat/>
    <w:rPr>
      <w:rFonts w:hint="eastAsia" w:ascii="黑体" w:hAnsi="Courier New" w:eastAsia="黑体"/>
      <w:sz w:val="14"/>
    </w:rPr>
  </w:style>
  <w:style w:type="character" w:styleId="1134" w:customStyle="1">
    <w:name w:val="纯文本 Char"/>
    <w:link w:val="1135"/>
    <w:uiPriority w:val="0"/>
    <w:qFormat/>
    <w:rPr>
      <w:rFonts w:ascii="宋体" w:hAnsi="Courier New" w:eastAsia="楷体_GB2312"/>
      <w:sz w:val="28"/>
    </w:rPr>
  </w:style>
  <w:style w:type="paragraph" w:styleId="1135" w:customStyle="1">
    <w:name w:val="纯文本111"/>
    <w:basedOn w:val="821"/>
    <w:link w:val="1134"/>
    <w:uiPriority w:val="0"/>
    <w:qFormat/>
    <w:rPr>
      <w:rFonts w:ascii="宋体" w:hAnsi="Courier New"/>
    </w:rPr>
  </w:style>
  <w:style w:type="character" w:styleId="1136" w:customStyle="1">
    <w:name w:val="HTML 打字机11"/>
    <w:uiPriority w:val="0"/>
    <w:qFormat/>
    <w:rPr>
      <w:rFonts w:hint="eastAsia" w:ascii="黑体" w:hAnsi="Courier New" w:eastAsia="黑体"/>
      <w:sz w:val="14"/>
    </w:rPr>
  </w:style>
  <w:style w:type="character" w:styleId="1137" w:customStyle="1">
    <w:name w:val="小标题 Char"/>
    <w:link w:val="1138"/>
    <w:uiPriority w:val="0"/>
    <w:qFormat/>
    <w:rPr>
      <w:rFonts w:ascii="仿宋_GB2312" w:hAnsi="华文中宋" w:eastAsia="仿宋_GB2312"/>
      <w:b/>
      <w:bCs/>
      <w:color w:val="000000"/>
      <w:sz w:val="28"/>
      <w:szCs w:val="24"/>
    </w:rPr>
  </w:style>
  <w:style w:type="paragraph" w:styleId="1138" w:customStyle="1">
    <w:name w:val="小标题"/>
    <w:basedOn w:val="1125"/>
    <w:link w:val="1137"/>
    <w:uiPriority w:val="0"/>
    <w:qFormat/>
    <w:pPr>
      <w:ind w:firstLine="562"/>
      <w:spacing w:line="360" w:lineRule="auto"/>
      <w:tabs>
        <w:tab w:val="clear" w:pos="0" w:leader="none"/>
      </w:tabs>
    </w:pPr>
    <w:rPr>
      <w:rFonts w:ascii="仿宋_GB2312" w:hAnsi="华文中宋" w:eastAsia="仿宋_GB2312"/>
      <w:b/>
      <w:bCs/>
      <w:color w:val="000000"/>
      <w:spacing w:val="0"/>
      <w:sz w:val="28"/>
    </w:rPr>
  </w:style>
  <w:style w:type="character" w:styleId="1139" w:customStyle="1">
    <w:name w:val="apple-converted-space"/>
    <w:uiPriority w:val="0"/>
    <w:qFormat/>
  </w:style>
  <w:style w:type="character" w:styleId="1140" w:customStyle="1">
    <w:name w:val="纯文本 Char Char"/>
    <w:link w:val="1141"/>
    <w:uiPriority w:val="0"/>
    <w:qFormat/>
    <w:rPr>
      <w:rFonts w:ascii="宋体" w:hAnsi="Courier New" w:eastAsia="楷体_GB2312"/>
      <w:sz w:val="26"/>
    </w:rPr>
  </w:style>
  <w:style w:type="paragraph" w:styleId="1141" w:customStyle="1">
    <w:name w:val="纯文本11"/>
    <w:basedOn w:val="821"/>
    <w:link w:val="1140"/>
    <w:uiPriority w:val="0"/>
    <w:qFormat/>
    <w:rPr>
      <w:rFonts w:ascii="宋体" w:hAnsi="Courier New"/>
      <w:sz w:val="26"/>
    </w:rPr>
  </w:style>
  <w:style w:type="character" w:styleId="1142" w:customStyle="1">
    <w:name w:val="5级 Char"/>
    <w:link w:val="1143"/>
    <w:uiPriority w:val="0"/>
    <w:qFormat/>
    <w:rPr>
      <w:rFonts w:eastAsia="华文中宋"/>
      <w:b/>
      <w:sz w:val="24"/>
      <w:szCs w:val="28"/>
    </w:rPr>
  </w:style>
  <w:style w:type="paragraph" w:styleId="1143" w:customStyle="1">
    <w:name w:val="5级"/>
    <w:basedOn w:val="825"/>
    <w:link w:val="1142"/>
    <w:uiPriority w:val="0"/>
    <w:qFormat/>
    <w:pPr>
      <w:tabs>
        <w:tab w:val="left" w:pos="1276" w:leader="none"/>
      </w:tabs>
    </w:pPr>
  </w:style>
  <w:style w:type="character" w:styleId="1144" w:customStyle="1">
    <w:name w:val="批注主题 Char1"/>
    <w:uiPriority w:val="99"/>
    <w:semiHidden/>
    <w:qFormat/>
    <w:rPr>
      <w:rFonts w:ascii="Tahoma" w:hAnsi="Tahoma" w:cs="Times New Roman"/>
      <w:b/>
      <w:bCs/>
    </w:rPr>
  </w:style>
  <w:style w:type="character" w:styleId="1145" w:customStyle="1">
    <w:name w:val="批注文字 Char1"/>
    <w:uiPriority w:val="99"/>
    <w:semiHidden/>
    <w:qFormat/>
    <w:rPr>
      <w:rFonts w:ascii="Tahoma" w:hAnsi="Tahoma" w:cs="Times New Roman"/>
    </w:rPr>
  </w:style>
  <w:style w:type="character" w:styleId="1146" w:customStyle="1">
    <w:name w:val="标题 5 字符"/>
    <w:uiPriority w:val="9"/>
    <w:semiHidden/>
    <w:qFormat/>
    <w:rPr>
      <w:rFonts w:ascii="Tahoma" w:hAnsi="Tahoma" w:eastAsia="微软雅黑"/>
      <w:b/>
      <w:bCs/>
      <w:sz w:val="28"/>
      <w:szCs w:val="28"/>
    </w:rPr>
  </w:style>
  <w:style w:type="character" w:styleId="1147" w:customStyle="1">
    <w:name w:val="15"/>
    <w:uiPriority w:val="0"/>
    <w:qFormat/>
    <w:rPr>
      <w:rFonts w:ascii="Times New Roman" w:hAnsi="Times New Roman" w:cs="Times New Roman"/>
      <w:b/>
      <w:bCs/>
    </w:rPr>
  </w:style>
  <w:style w:type="character" w:styleId="1148" w:customStyle="1">
    <w:name w:val="正文文本缩进 3 Char1"/>
    <w:uiPriority w:val="0"/>
    <w:qFormat/>
    <w:rPr>
      <w:rFonts w:eastAsia="宋体"/>
      <w:sz w:val="16"/>
      <w:szCs w:val="16"/>
      <w:lang w:val="en-US" w:eastAsia="zh-CN" w:bidi="ar-SA"/>
    </w:rPr>
  </w:style>
  <w:style w:type="character" w:styleId="1149" w:customStyle="1">
    <w:name w:val="样式6 Char"/>
    <w:link w:val="1150"/>
    <w:uiPriority w:val="0"/>
    <w:qFormat/>
    <w:rPr>
      <w:sz w:val="18"/>
      <w:szCs w:val="18"/>
    </w:rPr>
  </w:style>
  <w:style w:type="paragraph" w:styleId="1150" w:customStyle="1">
    <w:name w:val="样式6"/>
    <w:basedOn w:val="856"/>
    <w:link w:val="1149"/>
    <w:uiPriority w:val="0"/>
    <w:qFormat/>
    <w:pPr>
      <w:ind w:firstLine="425"/>
      <w:spacing w:before="120" w:after="120"/>
      <w:pBdr>
        <w:bottom w:val="none" w:color="000000" w:sz="0" w:space="0"/>
      </w:pBdr>
    </w:pPr>
    <w:rPr>
      <w:rFonts w:eastAsia="宋体"/>
      <w:szCs w:val="18"/>
    </w:rPr>
  </w:style>
  <w:style w:type="character" w:styleId="1151" w:customStyle="1">
    <w:name w:val="正文首行缩进 2 字符"/>
    <w:uiPriority w:val="99"/>
    <w:semiHidden/>
    <w:qFormat/>
    <w:rPr>
      <w:rFonts w:eastAsia="楷体_GB2312"/>
      <w:sz w:val="28"/>
    </w:rPr>
  </w:style>
  <w:style w:type="paragraph" w:styleId="1152" w:customStyle="1">
    <w:name w:val="xl4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153" w:customStyle="1">
    <w:name w:val="xl57"/>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154" w:customStyle="1">
    <w:name w:val="xl43"/>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55" w:customStyle="1">
    <w:name w:val="xl96"/>
    <w:basedOn w:val="8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56" w:customStyle="1">
    <w:name w:val="Char Char Char"/>
    <w:basedOn w:val="838"/>
    <w:uiPriority w:val="0"/>
    <w:qFormat/>
    <w:pPr>
      <w:spacing w:line="360" w:lineRule="auto"/>
    </w:pPr>
    <w:rPr>
      <w:rFonts w:ascii="Tahoma" w:hAnsi="Tahoma" w:eastAsia="宋体"/>
      <w:sz w:val="24"/>
      <w:szCs w:val="24"/>
    </w:rPr>
  </w:style>
  <w:style w:type="paragraph" w:styleId="1157" w:customStyle="1">
    <w:name w:val="标题2"/>
    <w:basedOn w:val="823"/>
    <w:uiPriority w:val="0"/>
    <w:qFormat/>
    <w:pPr>
      <w:jc w:val="both"/>
      <w:spacing w:line="413" w:lineRule="auto"/>
    </w:pPr>
    <w:rPr>
      <w:rFonts w:ascii="Cambria" w:hAnsi="Cambria" w:eastAsia="宋体"/>
      <w:bCs/>
      <w:sz w:val="32"/>
      <w:szCs w:val="32"/>
    </w:rPr>
  </w:style>
  <w:style w:type="paragraph" w:styleId="1158" w:customStyle="1">
    <w:name w:val="xl41"/>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159" w:customStyle="1">
    <w:name w:val="xl117"/>
    <w:basedOn w:val="821"/>
    <w:uiPriority w:val="0"/>
    <w:qFormat/>
    <w:pPr>
      <w:jc w:val="center"/>
      <w:spacing w:before="100" w:beforeAutospacing="1" w:after="100" w:afterAutospacing="1"/>
      <w:widowControl/>
      <w:pBdr>
        <w:bottom w:val="single" w:color="000000" w:sz="4" w:space="0"/>
        <w:right w:val="single" w:color="000000" w:sz="8" w:space="0"/>
      </w:pBdr>
    </w:pPr>
    <w:rPr>
      <w:rFonts w:ascii="Arial Unicode MS" w:hAnsi="Arial Unicode MS" w:eastAsia="宋体"/>
      <w:sz w:val="20"/>
    </w:rPr>
  </w:style>
  <w:style w:type="paragraph" w:styleId="1160" w:customStyle="1">
    <w:name w:val="纯文本1"/>
    <w:basedOn w:val="821"/>
    <w:uiPriority w:val="0"/>
    <w:qFormat/>
    <w:rPr>
      <w:rFonts w:ascii="宋体" w:hAnsi="Courier New"/>
      <w:sz w:val="26"/>
    </w:rPr>
  </w:style>
  <w:style w:type="paragraph" w:styleId="1161" w:customStyle="1">
    <w:name w:val="xl115"/>
    <w:basedOn w:val="821"/>
    <w:uiPriority w:val="0"/>
    <w:qFormat/>
    <w:pPr>
      <w:jc w:val="left"/>
      <w:spacing w:before="100" w:beforeAutospacing="1" w:after="100" w:afterAutospacing="1"/>
      <w:widowControl/>
      <w:pBdr>
        <w:top w:val="single" w:color="000000" w:sz="4" w:space="0"/>
        <w:left w:val="single" w:color="000000" w:sz="8" w:space="0"/>
      </w:pBdr>
    </w:pPr>
    <w:rPr>
      <w:rFonts w:ascii="Arial Unicode MS" w:hAnsi="Arial Unicode MS" w:eastAsia="宋体"/>
      <w:sz w:val="20"/>
    </w:rPr>
  </w:style>
  <w:style w:type="paragraph" w:styleId="1162" w:customStyle="1">
    <w:name w:val="Char Char Char Char"/>
    <w:basedOn w:val="821"/>
    <w:uiPriority w:val="0"/>
    <w:qFormat/>
    <w:pPr>
      <w:ind w:firstLine="200"/>
      <w:spacing w:line="360" w:lineRule="auto"/>
    </w:pPr>
    <w:rPr>
      <w:rFonts w:ascii="Tahoma" w:hAnsi="Tahoma" w:eastAsia="宋体"/>
      <w:sz w:val="24"/>
    </w:rPr>
  </w:style>
  <w:style w:type="paragraph" w:styleId="1163" w:customStyle="1">
    <w:name w:val="Char Char Char Char1"/>
    <w:basedOn w:val="821"/>
    <w:uiPriority w:val="0"/>
    <w:qFormat/>
    <w:pPr>
      <w:ind w:firstLine="200"/>
      <w:spacing w:line="360" w:lineRule="auto"/>
    </w:pPr>
    <w:rPr>
      <w:rFonts w:ascii="Tahoma" w:hAnsi="Tahoma" w:eastAsia="宋体"/>
      <w:sz w:val="24"/>
    </w:rPr>
  </w:style>
  <w:style w:type="paragraph" w:styleId="1164" w:customStyle="1">
    <w:name w:val="xl128"/>
    <w:basedOn w:val="821"/>
    <w:uiPriority w:val="0"/>
    <w:qFormat/>
    <w:pPr>
      <w:jc w:val="right"/>
      <w:spacing w:before="100" w:beforeAutospacing="1" w:after="100" w:afterAutospacing="1"/>
      <w:widowControl/>
    </w:pPr>
    <w:rPr>
      <w:rFonts w:ascii="Arial Unicode MS" w:hAnsi="Arial Unicode MS" w:eastAsia="宋体"/>
      <w:sz w:val="20"/>
    </w:rPr>
  </w:style>
  <w:style w:type="paragraph" w:styleId="1165" w:customStyle="1">
    <w:name w:val="xl124"/>
    <w:basedOn w:val="82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166" w:customStyle="1">
    <w:name w:val="xl116"/>
    <w:basedOn w:val="82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
      <w:sz w:val="20"/>
    </w:rPr>
  </w:style>
  <w:style w:type="paragraph" w:styleId="1167" w:customStyle="1">
    <w:name w:val="xl8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168" w:customStyle="1">
    <w:name w:val="xl7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69" w:customStyle="1">
    <w:name w:val="xl103"/>
    <w:basedOn w:val="82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宋体"/>
      <w:color w:val="000000"/>
      <w:sz w:val="16"/>
      <w:szCs w:val="16"/>
    </w:rPr>
  </w:style>
  <w:style w:type="paragraph" w:styleId="1170" w:customStyle="1">
    <w:name w:val="xl99"/>
    <w:basedOn w:val="821"/>
    <w:uiPriority w:val="0"/>
    <w:qFormat/>
    <w:pPr>
      <w:jc w:val="center"/>
      <w:spacing w:before="100" w:beforeAutospacing="1" w:after="100" w:afterAutospacing="1"/>
      <w:widowControl/>
      <w:pBdr>
        <w:top w:val="single" w:color="000000" w:sz="4" w:space="0"/>
        <w:bottom w:val="single" w:color="000000" w:sz="4" w:space="0"/>
      </w:pBdr>
    </w:pPr>
    <w:rPr>
      <w:rFonts w:ascii="Arial" w:hAnsi="Arial" w:eastAsia="宋体" w:cs="Arial"/>
      <w:sz w:val="16"/>
      <w:szCs w:val="16"/>
    </w:rPr>
  </w:style>
  <w:style w:type="paragraph" w:styleId="1171" w:customStyle="1">
    <w:name w:val="xl37"/>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172" w:customStyle="1">
    <w:name w:val="xl7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173" w:customStyle="1">
    <w:name w:val="xl88"/>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74" w:customStyle="1">
    <w:name w:val="xl40"/>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75" w:customStyle="1">
    <w:name w:val="xl27"/>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76" w:customStyle="1">
    <w:name w:val="Char2 Char Char Char Char Char Char Char Char Char"/>
    <w:basedOn w:val="821"/>
    <w:uiPriority w:val="0"/>
    <w:qFormat/>
    <w:pPr>
      <w:ind w:firstLine="200"/>
      <w:spacing w:line="360" w:lineRule="auto"/>
    </w:pPr>
    <w:rPr>
      <w:rFonts w:ascii="Tahoma" w:hAnsi="Tahoma" w:eastAsia="宋体"/>
      <w:sz w:val="24"/>
    </w:rPr>
  </w:style>
  <w:style w:type="paragraph" w:styleId="1177"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78" w:customStyle="1">
    <w:name w:val="xl10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179" w:customStyle="1">
    <w:name w:val="xl4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80" w:customStyle="1">
    <w:name w:val="其他标准称谓"/>
    <w:next w:val="821"/>
    <w:uiPriority w:val="0"/>
    <w:qFormat/>
    <w:pPr>
      <w:jc w:val="both"/>
      <w:spacing w:line="0" w:lineRule="atLeast"/>
    </w:pPr>
    <w:rPr>
      <w:rFonts w:hint="default" w:ascii="黑体" w:hAnsi="宋体" w:eastAsia="黑体" w:cs="Times New Roman"/>
      <w:spacing w:val="-40"/>
      <w:sz w:val="48"/>
      <w:szCs w:val="52"/>
      <w:lang w:val="en-US" w:eastAsia="zh-CN" w:bidi="ar-SA"/>
    </w:rPr>
  </w:style>
  <w:style w:type="paragraph" w:styleId="1181" w:customStyle="1">
    <w:name w:val="xl56"/>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182" w:customStyle="1">
    <w:name w:val="xl58"/>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83" w:customStyle="1">
    <w:name w:val="xl76"/>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184" w:customStyle="1">
    <w:name w:val="font11"/>
    <w:basedOn w:val="821"/>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185" w:customStyle="1">
    <w:name w:val="font12"/>
    <w:basedOn w:val="821"/>
    <w:uiPriority w:val="0"/>
    <w:qFormat/>
    <w:pPr>
      <w:jc w:val="left"/>
      <w:spacing w:before="100" w:beforeAutospacing="1" w:after="100" w:afterAutospacing="1"/>
      <w:widowControl/>
    </w:pPr>
    <w:rPr>
      <w:rFonts w:hint="eastAsia" w:ascii="宋体" w:hAnsi="宋体" w:eastAsia="宋体"/>
      <w:sz w:val="32"/>
      <w:szCs w:val="32"/>
    </w:rPr>
  </w:style>
  <w:style w:type="paragraph" w:styleId="1186" w:customStyle="1">
    <w:name w:val="xl10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87" w:customStyle="1">
    <w:name w:val="xl4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188" w:customStyle="1">
    <w:name w:val="1.1.1.1.1"/>
    <w:basedOn w:val="825"/>
    <w:uiPriority w:val="0"/>
    <w:qFormat/>
    <w:pPr>
      <w:ind w:left="992"/>
      <w:spacing w:before="120" w:after="120"/>
      <w:tabs>
        <w:tab w:val="left" w:pos="992" w:leader="none"/>
      </w:tabs>
    </w:pPr>
    <w:rPr>
      <w:bCs/>
    </w:rPr>
  </w:style>
  <w:style w:type="paragraph" w:styleId="1189" w:customStyle="1">
    <w:name w:val="xl36"/>
    <w:basedOn w:val="82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6"/>
      <w:szCs w:val="16"/>
    </w:rPr>
  </w:style>
  <w:style w:type="paragraph" w:styleId="1190" w:customStyle="1">
    <w:name w:val="xl101"/>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91" w:customStyle="1">
    <w:name w:val="纯文本2"/>
    <w:basedOn w:val="821"/>
    <w:uiPriority w:val="99"/>
    <w:qFormat/>
    <w:rPr>
      <w:rFonts w:ascii="宋体" w:hAnsi="Courier New"/>
    </w:rPr>
  </w:style>
  <w:style w:type="paragraph" w:styleId="1192" w:customStyle="1">
    <w:name w:val="xl6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193" w:customStyle="1">
    <w:name w:val="xl91"/>
    <w:basedOn w:val="8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94" w:customStyle="1">
    <w:name w:val="font0"/>
    <w:basedOn w:val="821"/>
    <w:uiPriority w:val="0"/>
    <w:qFormat/>
    <w:pPr>
      <w:jc w:val="left"/>
      <w:spacing w:before="100" w:beforeAutospacing="1" w:after="100" w:afterAutospacing="1"/>
      <w:widowControl/>
    </w:pPr>
    <w:rPr>
      <w:rFonts w:hint="eastAsia" w:ascii="宋体" w:hAnsi="宋体" w:eastAsia="宋体"/>
      <w:sz w:val="24"/>
      <w:szCs w:val="24"/>
    </w:rPr>
  </w:style>
  <w:style w:type="paragraph" w:styleId="1195" w:customStyle="1">
    <w:name w:val="Char"/>
    <w:basedOn w:val="838"/>
    <w:uiPriority w:val="0"/>
    <w:qFormat/>
    <w:pPr>
      <w:spacing w:line="360" w:lineRule="auto"/>
    </w:pPr>
    <w:rPr>
      <w:rFonts w:ascii="Tahoma" w:hAnsi="Tahoma" w:eastAsia="宋体"/>
      <w:sz w:val="24"/>
      <w:szCs w:val="24"/>
    </w:rPr>
  </w:style>
  <w:style w:type="paragraph" w:styleId="1196" w:customStyle="1">
    <w:name w:val="彩色底纹 - 强调文字颜色 11"/>
    <w:uiPriority w:val="71"/>
    <w:qFormat/>
    <w:rPr>
      <w:rFonts w:hint="default" w:ascii="Times New Roman" w:hAnsi="Times New Roman" w:eastAsia="楷体_GB2312" w:cs="Times New Roman"/>
      <w:sz w:val="28"/>
      <w:lang w:val="en-US" w:eastAsia="zh-CN" w:bidi="ar-SA"/>
    </w:rPr>
  </w:style>
  <w:style w:type="paragraph" w:styleId="1197" w:customStyle="1">
    <w:name w:val="font13"/>
    <w:basedOn w:val="821"/>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198" w:customStyle="1">
    <w:name w:val="xl29"/>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99" w:customStyle="1">
    <w:name w:val="xl6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00" w:customStyle="1">
    <w:name w:val="xl35"/>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01" w:customStyle="1">
    <w:name w:val="xl89"/>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02" w:customStyle="1">
    <w:name w:val="xl33"/>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03" w:customStyle="1">
    <w:name w:val="xl131"/>
    <w:basedOn w:val="821"/>
    <w:uiPriority w:val="0"/>
    <w:qFormat/>
    <w:pPr>
      <w:jc w:val="right"/>
      <w:spacing w:before="100" w:beforeAutospacing="1" w:after="100" w:afterAutospacing="1"/>
      <w:widowControl/>
      <w:pBdr>
        <w:top w:val="single" w:color="000000" w:sz="8" w:space="0"/>
        <w:right w:val="single" w:color="000000" w:sz="8" w:space="0"/>
      </w:pBdr>
    </w:pPr>
    <w:rPr>
      <w:rFonts w:ascii="Arial Unicode MS" w:hAnsi="Arial Unicode MS" w:eastAsia="宋体"/>
      <w:sz w:val="20"/>
    </w:rPr>
  </w:style>
  <w:style w:type="paragraph" w:styleId="1204" w:customStyle="1">
    <w:name w:val="xl97"/>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05" w:customStyle="1">
    <w:name w:val="xl126"/>
    <w:basedOn w:val="821"/>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宋体"/>
      <w:b/>
      <w:bCs/>
      <w:sz w:val="20"/>
    </w:rPr>
  </w:style>
  <w:style w:type="paragraph" w:styleId="1206" w:customStyle="1">
    <w:name w:val="xl69"/>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07" w:customStyle="1">
    <w:name w:val="xl114"/>
    <w:basedOn w:val="821"/>
    <w:uiPriority w:val="0"/>
    <w:qFormat/>
    <w:pPr>
      <w:jc w:val="left"/>
      <w:spacing w:before="100" w:beforeAutospacing="1" w:after="100" w:afterAutospacing="1"/>
      <w:widowControl/>
    </w:pPr>
    <w:rPr>
      <w:rFonts w:ascii="Arial Unicode MS" w:hAnsi="Arial Unicode MS" w:eastAsia="宋体"/>
      <w:sz w:val="16"/>
      <w:szCs w:val="16"/>
    </w:rPr>
  </w:style>
  <w:style w:type="paragraph" w:styleId="1208" w:customStyle="1">
    <w:name w:val="xl3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09" w:customStyle="1">
    <w:name w:val="xl127"/>
    <w:basedOn w:val="821"/>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宋体"/>
      <w:b/>
      <w:bCs/>
      <w:sz w:val="20"/>
    </w:rPr>
  </w:style>
  <w:style w:type="paragraph" w:styleId="1210" w:customStyle="1">
    <w:name w:val="xl93"/>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11" w:customStyle="1">
    <w:name w:val="xl79"/>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12" w:customStyle="1">
    <w:name w:val="xl63"/>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13" w:customStyle="1">
    <w:name w:val="Char1"/>
    <w:basedOn w:val="838"/>
    <w:uiPriority w:val="0"/>
    <w:qFormat/>
    <w:pPr>
      <w:spacing w:line="360" w:lineRule="auto"/>
    </w:pPr>
    <w:rPr>
      <w:rFonts w:ascii="Tahoma" w:hAnsi="Tahoma" w:eastAsia="宋体"/>
      <w:sz w:val="24"/>
      <w:szCs w:val="24"/>
    </w:rPr>
  </w:style>
  <w:style w:type="paragraph" w:styleId="1214" w:customStyle="1">
    <w:name w:val="xl108"/>
    <w:basedOn w:val="821"/>
    <w:uiPriority w:val="0"/>
    <w:qFormat/>
    <w:pPr>
      <w:jc w:val="right"/>
      <w:spacing w:before="100" w:beforeAutospacing="1" w:after="100" w:afterAutospacing="1"/>
      <w:widowControl/>
      <w:pBdr>
        <w:top w:val="single" w:color="000000" w:sz="4" w:space="0"/>
        <w:bottom w:val="single" w:color="000000" w:sz="4" w:space="0"/>
      </w:pBdr>
    </w:pPr>
    <w:rPr>
      <w:rFonts w:ascii="Arial" w:hAnsi="Arial" w:eastAsia="宋体" w:cs="Arial"/>
      <w:color w:val="000000"/>
      <w:sz w:val="16"/>
      <w:szCs w:val="16"/>
    </w:rPr>
  </w:style>
  <w:style w:type="paragraph" w:styleId="1215" w:customStyle="1">
    <w:name w:val="首行缩进"/>
    <w:basedOn w:val="821"/>
    <w:uiPriority w:val="0"/>
    <w:qFormat/>
    <w:pPr>
      <w:ind w:firstLine="480"/>
    </w:pPr>
    <w:rPr>
      <w:lang w:val="zh-CN"/>
    </w:rPr>
  </w:style>
  <w:style w:type="paragraph" w:styleId="1216" w:customStyle="1">
    <w:name w:val="xl71"/>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17" w:customStyle="1">
    <w:name w:val="样式 文档正文 + Times New Roman 加粗 行距: 1.5 倍行距"/>
    <w:basedOn w:val="821"/>
    <w:uiPriority w:val="0"/>
    <w:qFormat/>
    <w:pPr>
      <w:ind w:firstLine="482"/>
      <w:jc w:val="left"/>
      <w:spacing w:line="360" w:lineRule="auto"/>
      <w:widowControl/>
    </w:pPr>
    <w:rPr>
      <w:rFonts w:eastAsia="宋体" w:cs="宋体"/>
      <w:bCs/>
      <w:sz w:val="24"/>
    </w:rPr>
  </w:style>
  <w:style w:type="paragraph" w:styleId="1218" w:customStyle="1">
    <w:name w:val="xl68"/>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19" w:customStyle="1">
    <w:name w:val="xl9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20" w:customStyle="1">
    <w:name w:val="xl39"/>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1" w:customStyle="1">
    <w:name w:val="xl10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2" w:customStyle="1">
    <w:name w:val="Char Char"/>
    <w:basedOn w:val="821"/>
    <w:uiPriority w:val="0"/>
    <w:qFormat/>
    <w:pPr>
      <w:ind w:firstLine="200"/>
      <w:spacing w:line="360" w:lineRule="auto"/>
    </w:pPr>
  </w:style>
  <w:style w:type="paragraph" w:styleId="1223" w:customStyle="1">
    <w:name w:val="xl118"/>
    <w:basedOn w:val="821"/>
    <w:uiPriority w:val="0"/>
    <w:qFormat/>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
      <w:sz w:val="20"/>
    </w:rPr>
  </w:style>
  <w:style w:type="paragraph" w:styleId="1224" w:customStyle="1">
    <w:name w:val="xl111"/>
    <w:basedOn w:val="82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25" w:customStyle="1">
    <w:name w:val="xl34"/>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26" w:customStyle="1">
    <w:name w:val="Char Char Char1 Char Char Char Char"/>
    <w:basedOn w:val="821"/>
    <w:uiPriority w:val="0"/>
    <w:qFormat/>
    <w:pPr>
      <w:jc w:val="left"/>
      <w:spacing w:after="160" w:line="240" w:lineRule="exact"/>
      <w:widowControl/>
    </w:pPr>
    <w:rPr>
      <w:rFonts w:eastAsia="宋体"/>
      <w:sz w:val="24"/>
      <w:szCs w:val="24"/>
    </w:rPr>
  </w:style>
  <w:style w:type="paragraph" w:styleId="1227" w:customStyle="1">
    <w:name w:val="xl94"/>
    <w:basedOn w:val="82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宋体"/>
      <w:sz w:val="16"/>
      <w:szCs w:val="16"/>
    </w:rPr>
  </w:style>
  <w:style w:type="paragraph" w:styleId="1228" w:customStyle="1">
    <w:name w:val="xl87"/>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9" w:customStyle="1">
    <w:name w:val="xl53"/>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30" w:customStyle="1">
    <w:name w:val="xl70"/>
    <w:basedOn w:val="82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31" w:customStyle="1">
    <w:name w:val="xl100"/>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32" w:customStyle="1">
    <w:name w:val="xl80"/>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33" w:customStyle="1">
    <w:name w:val="font7"/>
    <w:basedOn w:val="821"/>
    <w:uiPriority w:val="0"/>
    <w:qFormat/>
    <w:pPr>
      <w:jc w:val="left"/>
      <w:spacing w:before="100" w:beforeAutospacing="1" w:after="100" w:afterAutospacing="1"/>
      <w:widowControl/>
    </w:pPr>
    <w:rPr>
      <w:rFonts w:hint="eastAsia" w:ascii="宋体" w:hAnsi="宋体" w:eastAsia="宋体" w:cs="Arial Unicode MS"/>
      <w:sz w:val="16"/>
      <w:szCs w:val="16"/>
    </w:rPr>
  </w:style>
  <w:style w:type="paragraph" w:styleId="1234" w:customStyle="1">
    <w:name w:val="列出段落1"/>
    <w:basedOn w:val="821"/>
    <w:uiPriority w:val="0"/>
    <w:qFormat/>
    <w:pPr>
      <w:ind w:firstLine="420"/>
      <w:jc w:val="left"/>
      <w:widowControl/>
    </w:pPr>
    <w:rPr>
      <w:rFonts w:eastAsia="宋体"/>
      <w:sz w:val="24"/>
      <w:szCs w:val="24"/>
    </w:rPr>
  </w:style>
  <w:style w:type="paragraph" w:styleId="1235" w:customStyle="1">
    <w:name w:val="p0"/>
    <w:basedOn w:val="821"/>
    <w:uiPriority w:val="0"/>
    <w:qFormat/>
    <w:pPr>
      <w:jc w:val="left"/>
      <w:widowControl/>
    </w:pPr>
    <w:rPr>
      <w:rFonts w:ascii="宋体" w:hAnsi="宋体" w:eastAsia="宋体" w:cs="宋体"/>
      <w:sz w:val="24"/>
      <w:szCs w:val="24"/>
    </w:rPr>
  </w:style>
  <w:style w:type="paragraph" w:styleId="1236" w:customStyle="1">
    <w:name w:val="xl83"/>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37" w:customStyle="1">
    <w:name w:val="HTML 预设格式1"/>
    <w:basedOn w:val="8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38" w:customStyle="1">
    <w:name w:val="xl90"/>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39" w:customStyle="1">
    <w:name w:val="xl106"/>
    <w:basedOn w:val="82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240" w:customStyle="1">
    <w:name w:val="Char Char1"/>
    <w:basedOn w:val="821"/>
    <w:uiPriority w:val="0"/>
    <w:qFormat/>
    <w:pPr>
      <w:ind w:firstLine="200"/>
      <w:spacing w:line="360" w:lineRule="auto"/>
    </w:pPr>
  </w:style>
  <w:style w:type="paragraph" w:styleId="1241" w:customStyle="1">
    <w:name w:val="font14"/>
    <w:basedOn w:val="821"/>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242" w:customStyle="1">
    <w:name w:val="xl119"/>
    <w:basedOn w:val="821"/>
    <w:uiPriority w:val="0"/>
    <w:qFormat/>
    <w:pPr>
      <w:jc w:val="left"/>
      <w:spacing w:before="100" w:beforeAutospacing="1" w:after="100" w:afterAutospacing="1"/>
      <w:widowControl/>
      <w:pBdr>
        <w:bottom w:val="single" w:color="000000" w:sz="8" w:space="0"/>
        <w:right w:val="single" w:color="000000" w:sz="8" w:space="0"/>
      </w:pBdr>
    </w:pPr>
    <w:rPr>
      <w:rFonts w:ascii="Arial Unicode MS" w:hAnsi="Arial Unicode MS" w:eastAsia="宋体"/>
      <w:sz w:val="20"/>
    </w:rPr>
  </w:style>
  <w:style w:type="paragraph" w:styleId="1243" w:customStyle="1">
    <w:name w:val="WPSOffice手动目录 1"/>
    <w:uiPriority w:val="0"/>
    <w:qFormat/>
    <w:rPr>
      <w:rFonts w:hint="default" w:ascii="Times New Roman" w:hAnsi="Times New Roman" w:eastAsia="宋体" w:cs="Times New Roman"/>
      <w:lang w:val="en-US" w:eastAsia="zh-CN" w:bidi="ar-SA"/>
    </w:rPr>
  </w:style>
  <w:style w:type="paragraph" w:styleId="1244" w:customStyle="1">
    <w:name w:val="xl98"/>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16"/>
      <w:szCs w:val="16"/>
    </w:rPr>
  </w:style>
  <w:style w:type="paragraph" w:styleId="1245" w:customStyle="1">
    <w:name w:val="Char2 Char Char Char Char Char Char Char Char Char1"/>
    <w:basedOn w:val="821"/>
    <w:uiPriority w:val="0"/>
    <w:qFormat/>
    <w:pPr>
      <w:ind w:firstLine="200"/>
      <w:spacing w:line="360" w:lineRule="auto"/>
    </w:pPr>
    <w:rPr>
      <w:rFonts w:ascii="Tahoma" w:hAnsi="Tahoma" w:eastAsia="宋体"/>
      <w:sz w:val="24"/>
    </w:rPr>
  </w:style>
  <w:style w:type="paragraph" w:styleId="1246" w:customStyle="1">
    <w:name w:val="xl121"/>
    <w:basedOn w:val="821"/>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宋体"/>
      <w:b/>
      <w:bCs/>
      <w:sz w:val="20"/>
    </w:rPr>
  </w:style>
  <w:style w:type="paragraph" w:styleId="1247" w:customStyle="1">
    <w:name w:val="xl107"/>
    <w:basedOn w:val="82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248" w:customStyle="1">
    <w:name w:val="p16"/>
    <w:basedOn w:val="821"/>
    <w:uiPriority w:val="0"/>
    <w:qFormat/>
    <w:pPr>
      <w:ind w:left="420"/>
      <w:spacing w:after="120" w:line="480" w:lineRule="auto"/>
      <w:widowControl/>
    </w:pPr>
    <w:rPr>
      <w:rFonts w:eastAsia="宋体"/>
      <w:sz w:val="21"/>
      <w:szCs w:val="21"/>
    </w:rPr>
  </w:style>
  <w:style w:type="paragraph" w:styleId="1249" w:customStyle="1">
    <w:name w:val="默认段落字体 Para Char Char Char Char Char Char Char Char Char1 Char Char Char Char"/>
    <w:basedOn w:val="821"/>
    <w:uiPriority w:val="0"/>
    <w:qFormat/>
    <w:pPr>
      <w:jc w:val="left"/>
      <w:widowControl/>
    </w:pPr>
    <w:rPr>
      <w:rFonts w:ascii="Tahoma" w:hAnsi="Tahoma" w:eastAsia="宋体"/>
      <w:sz w:val="24"/>
    </w:rPr>
  </w:style>
  <w:style w:type="paragraph" w:styleId="1250" w:customStyle="1">
    <w:name w:val="xl52"/>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1" w:customStyle="1">
    <w:name w:val="xl55"/>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52" w:customStyle="1">
    <w:name w:val="xl8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3" w:customStyle="1">
    <w:name w:val="xl49"/>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54" w:customStyle="1">
    <w:name w:val="xl2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5" w:customStyle="1">
    <w:name w:val="xl59"/>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56" w:customStyle="1">
    <w:name w:val="Plain Text1"/>
    <w:basedOn w:val="821"/>
    <w:uiPriority w:val="0"/>
    <w:qFormat/>
    <w:rPr>
      <w:rFonts w:hint="eastAsia" w:ascii="宋体" w:hAnsi="Courier New"/>
    </w:rPr>
  </w:style>
  <w:style w:type="paragraph" w:styleId="1257" w:customStyle="1">
    <w:name w:val="font5"/>
    <w:basedOn w:val="821"/>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258" w:customStyle="1">
    <w:name w:val="Char Char Char1 Char Char Char Char1"/>
    <w:basedOn w:val="821"/>
    <w:uiPriority w:val="0"/>
    <w:qFormat/>
    <w:pPr>
      <w:jc w:val="left"/>
      <w:spacing w:after="160" w:line="240" w:lineRule="exact"/>
      <w:widowControl/>
    </w:pPr>
    <w:rPr>
      <w:rFonts w:eastAsia="宋体"/>
      <w:sz w:val="24"/>
      <w:szCs w:val="24"/>
    </w:rPr>
  </w:style>
  <w:style w:type="paragraph" w:styleId="1259" w:customStyle="1">
    <w:name w:val="xl123"/>
    <w:basedOn w:val="821"/>
    <w:uiPriority w:val="0"/>
    <w:qFormat/>
    <w:pPr>
      <w:jc w:val="center"/>
      <w:spacing w:before="100" w:beforeAutospacing="1" w:after="100" w:afterAutospacing="1"/>
      <w:widowControl/>
      <w:pBdr>
        <w:top w:val="single" w:color="000000" w:sz="8" w:space="0"/>
        <w:right w:val="single" w:color="000000" w:sz="8" w:space="0"/>
      </w:pBdr>
    </w:pPr>
    <w:rPr>
      <w:rFonts w:ascii="Arial Unicode MS" w:hAnsi="Arial Unicode MS" w:eastAsia="宋体"/>
      <w:b/>
      <w:bCs/>
      <w:sz w:val="20"/>
    </w:rPr>
  </w:style>
  <w:style w:type="paragraph" w:styleId="1260" w:customStyle="1">
    <w:name w:val="xl125"/>
    <w:basedOn w:val="8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261" w:customStyle="1">
    <w:name w:val="xl86"/>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62" w:customStyle="1">
    <w:name w:val="xl46"/>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63" w:customStyle="1">
    <w:name w:val="xl54"/>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64" w:customStyle="1">
    <w:name w:val="xl109"/>
    <w:basedOn w:val="821"/>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
      <w:sz w:val="16"/>
      <w:szCs w:val="16"/>
    </w:rPr>
  </w:style>
  <w:style w:type="paragraph" w:styleId="1265" w:customStyle="1">
    <w:name w:val="xl74"/>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66" w:customStyle="1">
    <w:name w:val="xl73"/>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67" w:customStyle="1">
    <w:name w:val="默认段落字体 Para Char Char Char Char Char Char Char"/>
    <w:basedOn w:val="821"/>
    <w:uiPriority w:val="0"/>
    <w:qFormat/>
    <w:pPr>
      <w:spacing w:line="360" w:lineRule="auto"/>
    </w:pPr>
    <w:rPr>
      <w:rFonts w:ascii="Tahoma" w:hAnsi="Tahoma" w:eastAsia="宋体"/>
      <w:sz w:val="24"/>
    </w:rPr>
  </w:style>
  <w:style w:type="paragraph" w:styleId="1268" w:customStyle="1">
    <w:name w:val="修订1"/>
    <w:uiPriority w:val="99"/>
    <w:semiHidden/>
    <w:qFormat/>
    <w:rPr>
      <w:rFonts w:hint="default" w:ascii="Tahoma" w:hAnsi="Tahoma" w:eastAsia="微软雅黑" w:cs="Times New Roman"/>
      <w:sz w:val="22"/>
      <w:szCs w:val="22"/>
      <w:lang w:val="en-US" w:eastAsia="zh-CN" w:bidi="ar-SA"/>
    </w:rPr>
  </w:style>
  <w:style w:type="paragraph" w:styleId="1269" w:customStyle="1">
    <w:name w:val="xl60"/>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70" w:customStyle="1">
    <w:name w:val="font8"/>
    <w:basedOn w:val="821"/>
    <w:uiPriority w:val="0"/>
    <w:qFormat/>
    <w:pPr>
      <w:jc w:val="left"/>
      <w:spacing w:before="100" w:beforeAutospacing="1" w:after="100" w:afterAutospacing="1"/>
      <w:widowControl/>
    </w:pPr>
    <w:rPr>
      <w:rFonts w:hint="eastAsia" w:ascii="宋体" w:hAnsi="宋体" w:eastAsia="宋体"/>
      <w:b/>
      <w:bCs/>
      <w:sz w:val="16"/>
      <w:szCs w:val="16"/>
    </w:rPr>
  </w:style>
  <w:style w:type="paragraph" w:styleId="1271" w:customStyle="1">
    <w:name w:val="xl67"/>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7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xl47"/>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74" w:customStyle="1">
    <w:name w:val="彩色列表 - 强调文字颜色 11"/>
    <w:basedOn w:val="821"/>
    <w:uiPriority w:val="34"/>
    <w:qFormat/>
    <w:pPr>
      <w:contextualSpacing/>
      <w:ind w:left="720" w:firstLine="200"/>
      <w:jc w:val="left"/>
      <w:spacing w:line="360" w:lineRule="auto"/>
      <w:widowControl/>
    </w:pPr>
    <w:rPr>
      <w:rFonts w:ascii="Calibri" w:hAnsi="Calibri" w:eastAsia="宋体"/>
      <w:sz w:val="24"/>
      <w:szCs w:val="24"/>
      <w:lang w:eastAsia="en-US" w:bidi="en-US"/>
    </w:rPr>
  </w:style>
  <w:style w:type="paragraph" w:styleId="1275" w:customStyle="1">
    <w:name w:val="xl26"/>
    <w:basedOn w:val="821"/>
    <w:uiPriority w:val="0"/>
    <w:qFormat/>
    <w:pPr>
      <w:jc w:val="center"/>
      <w:spacing w:before="100" w:beforeAutospacing="1" w:after="100" w:afterAutospacing="1"/>
      <w:widowControl/>
    </w:pPr>
    <w:rPr>
      <w:rFonts w:ascii="宋体" w:hAnsi="宋体" w:eastAsia="宋体"/>
      <w:sz w:val="24"/>
      <w:szCs w:val="24"/>
    </w:rPr>
  </w:style>
  <w:style w:type="paragraph" w:styleId="1276" w:customStyle="1">
    <w:name w:val="p25"/>
    <w:basedOn w:val="821"/>
    <w:uiPriority w:val="0"/>
    <w:qFormat/>
    <w:pPr>
      <w:jc w:val="left"/>
      <w:widowControl/>
    </w:pPr>
    <w:rPr>
      <w:rFonts w:ascii="黑体" w:hAnsi="黑体" w:eastAsia="黑体" w:cs="黑体"/>
      <w:sz w:val="26"/>
      <w:szCs w:val="26"/>
    </w:rPr>
  </w:style>
  <w:style w:type="paragraph" w:styleId="1277" w:customStyle="1">
    <w:name w:val="xl130"/>
    <w:basedOn w:val="821"/>
    <w:uiPriority w:val="0"/>
    <w:qFormat/>
    <w:pPr>
      <w:jc w:val="right"/>
      <w:spacing w:before="100" w:beforeAutospacing="1" w:after="100" w:afterAutospacing="1"/>
      <w:widowControl/>
      <w:pBdr>
        <w:top w:val="single" w:color="000000" w:sz="8" w:space="0"/>
      </w:pBdr>
    </w:pPr>
    <w:rPr>
      <w:rFonts w:ascii="Arial Unicode MS" w:hAnsi="Arial Unicode MS" w:eastAsia="宋体"/>
      <w:sz w:val="20"/>
    </w:rPr>
  </w:style>
  <w:style w:type="paragraph" w:styleId="1278" w:customStyle="1">
    <w:name w:val="font15"/>
    <w:basedOn w:val="821"/>
    <w:uiPriority w:val="0"/>
    <w:qFormat/>
    <w:pPr>
      <w:jc w:val="left"/>
      <w:spacing w:before="100" w:beforeAutospacing="1" w:after="100" w:afterAutospacing="1"/>
      <w:widowControl/>
    </w:pPr>
    <w:rPr>
      <w:rFonts w:ascii="Arial" w:hAnsi="Arial" w:eastAsia="宋体" w:cs="Arial"/>
      <w:color w:val="000000"/>
      <w:sz w:val="16"/>
      <w:szCs w:val="16"/>
    </w:rPr>
  </w:style>
  <w:style w:type="paragraph" w:styleId="1279" w:customStyle="1">
    <w:name w:val="xl4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80" w:customStyle="1">
    <w:name w:val="Char Char Char1"/>
    <w:basedOn w:val="838"/>
    <w:uiPriority w:val="0"/>
    <w:qFormat/>
    <w:pPr>
      <w:spacing w:line="360" w:lineRule="auto"/>
    </w:pPr>
    <w:rPr>
      <w:rFonts w:ascii="Tahoma" w:hAnsi="Tahoma" w:eastAsia="宋体"/>
      <w:sz w:val="24"/>
      <w:szCs w:val="24"/>
    </w:rPr>
  </w:style>
  <w:style w:type="paragraph" w:styleId="1281" w:customStyle="1">
    <w:name w:val="xl61"/>
    <w:basedOn w:val="8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2" w:customStyle="1">
    <w:name w:val="xl120"/>
    <w:basedOn w:val="821"/>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Arial Unicode MS" w:hAnsi="Arial Unicode MS" w:eastAsia="宋体"/>
      <w:b/>
      <w:bCs/>
      <w:sz w:val="20"/>
    </w:rPr>
  </w:style>
  <w:style w:type="paragraph" w:styleId="1283" w:customStyle="1">
    <w:name w:val="xl113"/>
    <w:basedOn w:val="821"/>
    <w:uiPriority w:val="0"/>
    <w:qFormat/>
    <w:pPr>
      <w:jc w:val="right"/>
      <w:spacing w:before="100" w:beforeAutospacing="1" w:after="100" w:afterAutospacing="1"/>
      <w:widowControl/>
      <w:pBdr>
        <w:bottom w:val="single" w:color="000000" w:sz="8" w:space="0"/>
      </w:pBdr>
    </w:pPr>
    <w:rPr>
      <w:rFonts w:ascii="Arial Unicode MS" w:hAnsi="Arial Unicode MS" w:eastAsia="宋体"/>
      <w:sz w:val="20"/>
    </w:rPr>
  </w:style>
  <w:style w:type="paragraph" w:styleId="1284" w:customStyle="1">
    <w:name w:val="xl77"/>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5" w:customStyle="1">
    <w:name w:val="xl122"/>
    <w:basedOn w:val="821"/>
    <w:uiPriority w:val="0"/>
    <w:qFormat/>
    <w:pPr>
      <w:jc w:val="center"/>
      <w:spacing w:before="100" w:beforeAutospacing="1" w:after="100" w:afterAutospacing="1"/>
      <w:widowControl/>
      <w:pBdr>
        <w:top w:val="single" w:color="000000" w:sz="8" w:space="0"/>
        <w:left w:val="single" w:color="000000" w:sz="8" w:space="0"/>
      </w:pBdr>
    </w:pPr>
    <w:rPr>
      <w:rFonts w:ascii="Arial Unicode MS" w:hAnsi="Arial Unicode MS" w:eastAsia="宋体"/>
      <w:b/>
      <w:bCs/>
      <w:sz w:val="20"/>
    </w:rPr>
  </w:style>
  <w:style w:type="paragraph" w:styleId="1286" w:customStyle="1">
    <w:name w:val="xl30"/>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87" w:customStyle="1">
    <w:name w:val="font10"/>
    <w:basedOn w:val="821"/>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288" w:customStyle="1">
    <w:name w:val="样式 宋体小四，1.5 倍行距"/>
    <w:basedOn w:val="821"/>
    <w:uiPriority w:val="0"/>
    <w:qFormat/>
    <w:pPr>
      <w:spacing w:line="360" w:lineRule="auto"/>
    </w:pPr>
    <w:rPr>
      <w:rFonts w:eastAsia="宋体" w:cs="宋体"/>
      <w:sz w:val="24"/>
    </w:rPr>
  </w:style>
  <w:style w:type="paragraph" w:styleId="1289" w:customStyle="1">
    <w:name w:val="xl31"/>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0" w:customStyle="1">
    <w:name w:val="xl9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1" w:customStyle="1">
    <w:name w:val="（符号）内容四标题1.1.12"/>
    <w:basedOn w:val="821"/>
    <w:uiPriority w:val="0"/>
    <w:qFormat/>
    <w:pPr>
      <w:numPr>
        <w:ilvl w:val="2"/>
        <w:numId w:val="2"/>
      </w:numPr>
      <w:ind w:firstLine="0"/>
      <w:spacing w:line="500" w:lineRule="exact"/>
      <w:tabs>
        <w:tab w:val="left" w:pos="420" w:leader="none"/>
        <w:tab w:val="left" w:pos="1000" w:leader="none"/>
      </w:tabs>
    </w:pPr>
    <w:rPr>
      <w:rFonts w:eastAsia="宋体"/>
      <w:sz w:val="24"/>
      <w:szCs w:val="24"/>
    </w:rPr>
  </w:style>
  <w:style w:type="paragraph" w:styleId="1292" w:customStyle="1">
    <w:name w:val="xl81"/>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3" w:customStyle="1">
    <w:name w:val="xl50"/>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94" w:customStyle="1">
    <w:name w:val="xl38"/>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5" w:customStyle="1">
    <w:name w:val="xl75"/>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6" w:customStyle="1">
    <w:name w:val="xl8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7" w:customStyle="1">
    <w:name w:val="xl129"/>
    <w:basedOn w:val="821"/>
    <w:uiPriority w:val="0"/>
    <w:qFormat/>
    <w:pPr>
      <w:jc w:val="right"/>
      <w:spacing w:before="100" w:beforeAutospacing="1" w:after="100" w:afterAutospacing="1"/>
      <w:widowControl/>
      <w:pBdr>
        <w:right w:val="single" w:color="000000" w:sz="8" w:space="0"/>
      </w:pBdr>
    </w:pPr>
    <w:rPr>
      <w:rFonts w:ascii="Arial Unicode MS" w:hAnsi="Arial Unicode MS" w:eastAsia="宋体"/>
      <w:sz w:val="20"/>
    </w:rPr>
  </w:style>
  <w:style w:type="paragraph" w:styleId="1298" w:customStyle="1">
    <w:name w:val="xl110"/>
    <w:basedOn w:val="82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99" w:customStyle="1">
    <w:name w:val="font9"/>
    <w:basedOn w:val="821"/>
    <w:uiPriority w:val="0"/>
    <w:qFormat/>
    <w:pPr>
      <w:jc w:val="left"/>
      <w:spacing w:before="100" w:beforeAutospacing="1" w:after="100" w:afterAutospacing="1"/>
      <w:widowControl/>
    </w:pPr>
    <w:rPr>
      <w:rFonts w:ascii="Arial" w:hAnsi="Arial" w:eastAsia="宋体" w:cs="Arial"/>
      <w:b/>
      <w:bCs/>
      <w:sz w:val="16"/>
      <w:szCs w:val="16"/>
    </w:rPr>
  </w:style>
  <w:style w:type="paragraph" w:styleId="1300" w:customStyle="1">
    <w:name w:val="xl51"/>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01" w:customStyle="1">
    <w:name w:val="font6"/>
    <w:basedOn w:val="821"/>
    <w:uiPriority w:val="0"/>
    <w:qFormat/>
    <w:pPr>
      <w:jc w:val="left"/>
      <w:spacing w:before="100" w:beforeAutospacing="1" w:after="100" w:afterAutospacing="1"/>
      <w:widowControl/>
    </w:pPr>
    <w:rPr>
      <w:rFonts w:eastAsia="Arial Unicode MS"/>
      <w:sz w:val="16"/>
      <w:szCs w:val="16"/>
    </w:rPr>
  </w:style>
  <w:style w:type="paragraph" w:styleId="1302" w:customStyle="1">
    <w:name w:val="xl112"/>
    <w:basedOn w:val="82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03" w:customStyle="1">
    <w:name w:val="xl66"/>
    <w:basedOn w:val="8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04" w:customStyle="1">
    <w:name w:val="xl6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table" w:styleId="1305" w:customStyle="1">
    <w:name w:val="表格样式1"/>
    <w:basedOn w:val="832"/>
    <w:uiPriority w:val="39"/>
    <w:qFormat/>
    <w:pPr>
      <w:jc w:val="both"/>
      <w:spacing w:line="360" w:lineRule="auto"/>
      <w:widowControl w:val="off"/>
    </w:pPr>
    <w:tblPr>
      <w:tblCellMar>
        <w:left w:w="108" w:type="dxa"/>
        <w:top w:w="0" w:type="dxa"/>
        <w:right w:w="108" w:type="dxa"/>
        <w:bottom w:w="0" w:type="dxa"/>
      </w:tblCellMar>
    </w:tblPr>
  </w:style>
  <w:style w:type="table" w:styleId="1306" w:customStyle="1">
    <w:name w:val="网格型1"/>
    <w:basedOn w:val="832"/>
    <w:uiPriority w:val="39"/>
    <w:qFormat/>
    <w:rPr>
      <w:rFonts w:ascii="等线" w:hAnsi="等线" w:eastAsia="等线"/>
      <w:sz w:val="21"/>
      <w:szCs w:val="21"/>
    </w:rPr>
    <w:tblPr>
      <w:tblCellMar>
        <w:left w:w="108" w:type="dxa"/>
        <w:top w:w="0" w:type="dxa"/>
        <w:right w:w="108" w:type="dxa"/>
        <w:bottom w:w="0" w:type="dxa"/>
      </w:tblCellMar>
    </w:tblPr>
  </w:style>
  <w:style w:type="paragraph" w:styleId="1307" w:customStyle="1">
    <w:name w:val="表内"/>
    <w:basedOn w:val="915"/>
    <w:link w:val="1308"/>
    <w:uiPriority w:val="0"/>
    <w:qFormat/>
    <w:pPr>
      <w:jc w:val="center"/>
      <w:spacing w:line="360" w:lineRule="exact"/>
    </w:pPr>
    <w:rPr>
      <w:rFonts w:ascii="Times New Roman" w:hAnsi="Times New Roman" w:eastAsia="仿宋_GB2312"/>
      <w:sz w:val="24"/>
      <w:szCs w:val="24"/>
    </w:rPr>
  </w:style>
  <w:style w:type="character" w:styleId="1308" w:customStyle="1">
    <w:name w:val="表内 字符"/>
    <w:link w:val="1307"/>
    <w:uiPriority w:val="0"/>
    <w:qFormat/>
    <w:rPr>
      <w:rFonts w:eastAsia="仿宋_GB2312"/>
      <w:sz w:val="24"/>
      <w:szCs w:val="24"/>
    </w:rPr>
  </w:style>
  <w:style w:type="paragraph" w:styleId="1309" w:customStyle="1">
    <w:name w:val="图"/>
    <w:basedOn w:val="915"/>
    <w:link w:val="1310"/>
    <w:uiPriority w:val="0"/>
    <w:qFormat/>
    <w:pPr>
      <w:jc w:val="center"/>
    </w:pPr>
    <w:rPr>
      <w:rFonts w:ascii="华文仿宋" w:hAnsi="华文仿宋" w:eastAsia="华文仿宋"/>
      <w:b/>
      <w:sz w:val="28"/>
      <w:szCs w:val="28"/>
    </w:rPr>
  </w:style>
  <w:style w:type="character" w:styleId="1310" w:customStyle="1">
    <w:name w:val="图 字符"/>
    <w:link w:val="1309"/>
    <w:uiPriority w:val="0"/>
    <w:qFormat/>
    <w:rPr>
      <w:rFonts w:ascii="华文仿宋" w:hAnsi="华文仿宋" w:eastAsia="华文仿宋"/>
      <w:b/>
      <w:sz w:val="28"/>
      <w:szCs w:val="28"/>
    </w:rPr>
  </w:style>
  <w:style w:type="paragraph" w:styleId="1311" w:customStyle="1">
    <w:name w:val="UserStyle_1"/>
    <w:uiPriority w:val="0"/>
    <w:qFormat/>
    <w:rPr>
      <w:rFonts w:hint="default" w:ascii="宋体糭.飬.." w:hAnsi="Times New Roman" w:eastAsia="宋体糭.飬.." w:cs="Times New Roman"/>
      <w:color w:val="000000"/>
      <w:sz w:val="24"/>
      <w:szCs w:val="24"/>
      <w:lang w:val="en-US" w:eastAsia="zh-CN" w:bidi="ar-SA"/>
    </w:rPr>
  </w:style>
  <w:style w:type="character" w:styleId="1312" w:customStyle="1">
    <w:name w:val="NormalCharacter1"/>
    <w:uiPriority w:val="0"/>
    <w:semiHidden/>
    <w:qFormat/>
  </w:style>
  <w:style w:type="character" w:styleId="1313" w:customStyle="1">
    <w:name w:val="正文首行缩进 2 Char"/>
    <w:uiPriority w:val="99"/>
    <w:qFormat/>
    <w:rPr>
      <w:rFonts w:ascii="宋体" w:eastAsia="楷体_GB2312"/>
      <w:sz w:val="28"/>
    </w:rPr>
  </w:style>
  <w:style w:type="character" w:styleId="1314" w:customStyle="1">
    <w:name w:val="页眉 Char"/>
    <w:uiPriority w:val="0"/>
    <w:semiHidden/>
    <w:qFormat/>
    <w:rPr>
      <w:rFonts w:cs="Times New Roman"/>
      <w:sz w:val="18"/>
      <w:szCs w:val="18"/>
    </w:rPr>
  </w:style>
  <w:style w:type="character" w:styleId="1315" w:customStyle="1">
    <w:name w:val="标题 2 Char"/>
    <w:uiPriority w:val="0"/>
    <w:qFormat/>
    <w:rPr>
      <w:b/>
      <w:sz w:val="28"/>
      <w:szCs w:val="22"/>
    </w:rPr>
  </w:style>
  <w:style w:type="character" w:styleId="1316" w:customStyle="1">
    <w:name w:val="标题 3 Char"/>
    <w:uiPriority w:val="0"/>
    <w:qFormat/>
    <w:rPr>
      <w:b/>
      <w:sz w:val="28"/>
      <w:szCs w:val="22"/>
    </w:rPr>
  </w:style>
  <w:style w:type="character" w:styleId="1317" w:customStyle="1">
    <w:name w:val="标题 4 Char"/>
    <w:uiPriority w:val="0"/>
    <w:qFormat/>
    <w:rPr>
      <w:b/>
      <w:sz w:val="28"/>
      <w:szCs w:val="22"/>
    </w:rPr>
  </w:style>
  <w:style w:type="character" w:styleId="1318" w:customStyle="1">
    <w:name w:val="标题 5 Char"/>
    <w:uiPriority w:val="0"/>
    <w:semiHidden/>
    <w:qFormat/>
    <w:rPr>
      <w:rFonts w:cs="Times New Roman"/>
      <w:b/>
      <w:sz w:val="28"/>
      <w:szCs w:val="24"/>
    </w:rPr>
  </w:style>
  <w:style w:type="character" w:styleId="1319" w:customStyle="1">
    <w:name w:val="标题 6 Char"/>
    <w:uiPriority w:val="0"/>
    <w:semiHidden/>
    <w:qFormat/>
    <w:rPr>
      <w:rFonts w:ascii="Arial" w:hAnsi="Arial" w:eastAsia="黑体" w:cs="Times New Roman"/>
      <w:b/>
      <w:sz w:val="24"/>
      <w:szCs w:val="24"/>
    </w:rPr>
  </w:style>
  <w:style w:type="character" w:styleId="1320" w:customStyle="1">
    <w:name w:val="标题 7 Char"/>
    <w:uiPriority w:val="0"/>
    <w:semiHidden/>
    <w:qFormat/>
    <w:rPr>
      <w:rFonts w:cs="Times New Roman"/>
      <w:b/>
      <w:sz w:val="24"/>
      <w:szCs w:val="24"/>
    </w:rPr>
  </w:style>
  <w:style w:type="character" w:styleId="1321" w:customStyle="1">
    <w:name w:val="标题 8 Char"/>
    <w:uiPriority w:val="0"/>
    <w:semiHidden/>
    <w:qFormat/>
    <w:rPr>
      <w:rFonts w:ascii="Arial" w:hAnsi="Arial" w:eastAsia="黑体" w:cs="Times New Roman"/>
      <w:sz w:val="24"/>
      <w:szCs w:val="24"/>
    </w:rPr>
  </w:style>
  <w:style w:type="character" w:styleId="1322" w:customStyle="1">
    <w:name w:val="标题 9 Char"/>
    <w:uiPriority w:val="0"/>
    <w:semiHidden/>
    <w:qFormat/>
    <w:rPr>
      <w:rFonts w:ascii="Arial" w:hAnsi="Arial" w:eastAsia="黑体" w:cs="Times New Roman"/>
      <w:sz w:val="21"/>
      <w:szCs w:val="24"/>
    </w:rPr>
  </w:style>
  <w:style w:type="character" w:styleId="1323" w:customStyle="1">
    <w:name w:val="文档结构图 Char"/>
    <w:uiPriority w:val="0"/>
    <w:semiHidden/>
    <w:qFormat/>
    <w:rPr>
      <w:rFonts w:cs="Times New Roman"/>
      <w:sz w:val="24"/>
      <w:szCs w:val="24"/>
      <w:shd w:val="clear" w:color="auto" w:fill="000080"/>
    </w:rPr>
  </w:style>
  <w:style w:type="character" w:styleId="1324" w:customStyle="1">
    <w:name w:val="批注文字 Char"/>
    <w:uiPriority w:val="0"/>
    <w:qFormat/>
    <w:rPr>
      <w:rFonts w:cs="Times New Roman"/>
      <w:sz w:val="24"/>
      <w:szCs w:val="24"/>
    </w:rPr>
  </w:style>
  <w:style w:type="character" w:styleId="1325" w:customStyle="1">
    <w:name w:val="正文文本缩进 Char"/>
    <w:uiPriority w:val="99"/>
    <w:qFormat/>
    <w:rPr>
      <w:rFonts w:cs="Times New Roman"/>
      <w:sz w:val="24"/>
      <w:szCs w:val="24"/>
    </w:rPr>
  </w:style>
  <w:style w:type="paragraph" w:styleId="1326" w:customStyle="1">
    <w:name w:val="列表项目符号 51"/>
    <w:basedOn w:val="821"/>
    <w:next w:val="848"/>
    <w:uiPriority w:val="0"/>
    <w:qFormat/>
    <w:pPr>
      <w:numPr>
        <w:ilvl w:val="0"/>
        <w:numId w:val="4"/>
      </w:numPr>
      <w:ind w:left="644"/>
      <w:spacing w:line="360" w:lineRule="auto"/>
      <w:tabs>
        <w:tab w:val="left" w:pos="644" w:leader="none"/>
      </w:tabs>
    </w:pPr>
    <w:rPr>
      <w:rFonts w:eastAsia="宋体"/>
      <w:sz w:val="24"/>
      <w:szCs w:val="24"/>
    </w:rPr>
  </w:style>
  <w:style w:type="character" w:styleId="1327" w:customStyle="1">
    <w:name w:val="批注框文本 Char"/>
    <w:uiPriority w:val="0"/>
    <w:qFormat/>
    <w:rPr>
      <w:rFonts w:cs="Times New Roman"/>
      <w:sz w:val="18"/>
      <w:szCs w:val="18"/>
    </w:rPr>
  </w:style>
  <w:style w:type="character" w:styleId="1328" w:customStyle="1">
    <w:name w:val="页脚 Char"/>
    <w:uiPriority w:val="0"/>
    <w:qFormat/>
    <w:rPr>
      <w:rFonts w:cs="Times New Roman"/>
      <w:sz w:val="18"/>
      <w:szCs w:val="24"/>
    </w:rPr>
  </w:style>
  <w:style w:type="paragraph" w:styleId="1329" w:customStyle="1">
    <w:name w:val="列表1"/>
    <w:basedOn w:val="821"/>
    <w:next w:val="862"/>
    <w:uiPriority w:val="0"/>
    <w:qFormat/>
    <w:pPr>
      <w:ind w:left="200" w:hanging="200"/>
      <w:spacing w:line="360" w:lineRule="auto"/>
    </w:pPr>
    <w:rPr>
      <w:rFonts w:eastAsia="宋体"/>
      <w:sz w:val="24"/>
      <w:szCs w:val="24"/>
    </w:rPr>
  </w:style>
  <w:style w:type="character" w:styleId="1330" w:customStyle="1">
    <w:name w:val="批注主题 Char"/>
    <w:uiPriority w:val="0"/>
    <w:qFormat/>
    <w:rPr>
      <w:rFonts w:cs="Times New Roman"/>
      <w:b/>
      <w:bCs/>
      <w:sz w:val="24"/>
      <w:szCs w:val="24"/>
    </w:rPr>
  </w:style>
  <w:style w:type="table" w:styleId="1331" w:customStyle="1">
    <w:name w:val="网格型2"/>
    <w:basedOn w:val="832"/>
    <w:uiPriority w:val="0"/>
    <w:qFormat/>
    <w:pPr>
      <w:jc w:val="both"/>
      <w:widowControl w:val="off"/>
    </w:pPr>
    <w:tblPr>
      <w:tblCellMar>
        <w:left w:w="108" w:type="dxa"/>
        <w:top w:w="0" w:type="dxa"/>
        <w:right w:w="108" w:type="dxa"/>
        <w:bottom w:w="0" w:type="dxa"/>
      </w:tblCellMar>
    </w:tblPr>
  </w:style>
  <w:style w:type="paragraph" w:styleId="1332" w:customStyle="1">
    <w:name w:val="表格"/>
    <w:basedOn w:val="862"/>
    <w:next w:val="821"/>
    <w:uiPriority w:val="0"/>
    <w:qFormat/>
    <w:pPr>
      <w:ind w:left="0" w:firstLine="0"/>
      <w:jc w:val="center"/>
    </w:pPr>
    <w:rPr>
      <w:rFonts w:eastAsia="宋体"/>
      <w:sz w:val="21"/>
      <w:szCs w:val="24"/>
    </w:rPr>
  </w:style>
  <w:style w:type="table" w:styleId="1333" w:customStyle="1">
    <w:name w:val="网格型5"/>
    <w:basedOn w:val="832"/>
    <w:uiPriority w:val="0"/>
    <w:qFormat/>
    <w:pPr>
      <w:jc w:val="both"/>
      <w:widowControl w:val="off"/>
    </w:pPr>
    <w:tblPr>
      <w:tblCellMar>
        <w:left w:w="108" w:type="dxa"/>
        <w:top w:w="0" w:type="dxa"/>
        <w:right w:w="108" w:type="dxa"/>
        <w:bottom w:w="0" w:type="dxa"/>
      </w:tblCellMar>
    </w:tblPr>
  </w:style>
  <w:style w:type="character" w:styleId="1334" w:customStyle="1">
    <w:name w:val="font71"/>
    <w:uiPriority w:val="0"/>
    <w:qFormat/>
    <w:rPr>
      <w:rFonts w:ascii="Times New Roman" w:hAnsi="Times New Roman" w:cs="Times New Roman"/>
      <w:color w:val="000000"/>
      <w:sz w:val="28"/>
      <w:szCs w:val="28"/>
      <w:u w:val="none"/>
    </w:rPr>
  </w:style>
  <w:style w:type="character" w:styleId="1335" w:customStyle="1">
    <w:name w:val="font31"/>
    <w:uiPriority w:val="0"/>
    <w:qFormat/>
    <w:rPr>
      <w:rFonts w:hint="eastAsia" w:ascii="宋体" w:hAnsi="宋体" w:eastAsia="宋体" w:cs="宋体"/>
      <w:color w:val="000000"/>
      <w:sz w:val="28"/>
      <w:szCs w:val="28"/>
      <w:u w:val="none"/>
    </w:rPr>
  </w:style>
  <w:style w:type="character" w:styleId="1336" w:customStyle="1">
    <w:name w:val="font112"/>
    <w:uiPriority w:val="0"/>
    <w:qFormat/>
    <w:rPr>
      <w:rFonts w:ascii="Times New Roman" w:hAnsi="Times New Roman" w:cs="Times New Roman"/>
      <w:color w:val="000000"/>
      <w:sz w:val="28"/>
      <w:szCs w:val="28"/>
      <w:u w:val="none"/>
      <w:vertAlign w:val="superscript"/>
    </w:rPr>
  </w:style>
  <w:style w:type="character" w:styleId="1337" w:customStyle="1">
    <w:name w:val="font81"/>
    <w:uiPriority w:val="0"/>
    <w:qFormat/>
    <w:rPr>
      <w:rFonts w:hint="eastAsia" w:ascii="宋体" w:hAnsi="宋体" w:eastAsia="宋体" w:cs="宋体"/>
      <w:color w:val="000000"/>
      <w:sz w:val="28"/>
      <w:szCs w:val="28"/>
      <w:u w:val="none"/>
    </w:rPr>
  </w:style>
  <w:style w:type="character" w:styleId="1338" w:customStyle="1">
    <w:name w:val="font61"/>
    <w:uiPriority w:val="0"/>
    <w:qFormat/>
    <w:rPr>
      <w:rFonts w:ascii="Times New Roman" w:hAnsi="Times New Roman" w:cs="Times New Roman"/>
      <w:color w:val="000000"/>
      <w:sz w:val="28"/>
      <w:szCs w:val="28"/>
      <w:u w:val="none"/>
    </w:rPr>
  </w:style>
  <w:style w:type="character" w:styleId="1339" w:customStyle="1">
    <w:name w:val="font111"/>
    <w:uiPriority w:val="0"/>
    <w:qFormat/>
    <w:rPr>
      <w:rFonts w:ascii="Times New Roman" w:hAnsi="Times New Roman" w:cs="Times New Roman"/>
      <w:color w:val="000000"/>
      <w:sz w:val="28"/>
      <w:szCs w:val="28"/>
      <w:u w:val="none"/>
      <w:vertAlign w:val="superscript"/>
    </w:rPr>
  </w:style>
  <w:style w:type="paragraph" w:styleId="1340"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341" w:customStyle="1">
    <w:name w:val="font21"/>
    <w:uiPriority w:val="0"/>
    <w:qFormat/>
    <w:rPr>
      <w:rFonts w:ascii="Times New Roman" w:hAnsi="Times New Roman" w:cs="Times New Roman"/>
      <w:color w:val="000000"/>
      <w:sz w:val="21"/>
      <w:szCs w:val="21"/>
      <w:u w:val="none"/>
      <w:vertAlign w:val="superscript"/>
    </w:rPr>
  </w:style>
  <w:style w:type="character" w:styleId="1342" w:customStyle="1">
    <w:name w:val="font41"/>
    <w:uiPriority w:val="0"/>
    <w:qFormat/>
    <w:rPr>
      <w:rFonts w:hint="eastAsia" w:ascii="宋体" w:hAnsi="宋体" w:eastAsia="宋体" w:cs="宋体"/>
      <w:color w:val="000000"/>
      <w:sz w:val="21"/>
      <w:szCs w:val="21"/>
      <w:u w:val="none"/>
    </w:rPr>
  </w:style>
  <w:style w:type="table" w:styleId="134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44" w:customStyle="1">
    <w:name w:val="font51"/>
    <w:uiPriority w:val="0"/>
    <w:qFormat/>
    <w:rPr>
      <w:rFonts w:hint="eastAsia" w:ascii="微软雅黑" w:hAnsi="微软雅黑" w:eastAsia="微软雅黑" w:cs="微软雅黑"/>
      <w:color w:val="000000"/>
      <w:sz w:val="18"/>
      <w:szCs w:val="18"/>
      <w:u w:val="none"/>
    </w:rPr>
  </w:style>
  <w:style w:type="character" w:styleId="1345" w:customStyle="1">
    <w:name w:val="font01"/>
    <w:uiPriority w:val="0"/>
    <w:qFormat/>
    <w:rPr>
      <w:rFonts w:hint="eastAsia" w:ascii="等线" w:hAnsi="等线" w:eastAsia="等线" w:cs="等线"/>
      <w:color w:val="000000"/>
      <w:sz w:val="22"/>
      <w:szCs w:val="22"/>
      <w:u w:val="none"/>
    </w:rPr>
  </w:style>
  <w:style w:type="character" w:styleId="1346" w:customStyle="1">
    <w:name w:val="font91"/>
    <w:uiPriority w:val="0"/>
    <w:qFormat/>
    <w:rPr>
      <w:rFonts w:ascii="汉仪书宋二KW" w:hAnsi="汉仪书宋二KW" w:eastAsia="汉仪书宋二KW" w:cs="汉仪书宋二KW"/>
      <w:color w:val="000000"/>
      <w:sz w:val="20"/>
      <w:szCs w:val="20"/>
      <w:u w:val="none"/>
    </w:r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王道玉</cp:lastModifiedBy>
  <cp:revision>21</cp:revision>
  <dcterms:created xsi:type="dcterms:W3CDTF">2023-09-25T09:01:00Z</dcterms:created>
  <dcterms:modified xsi:type="dcterms:W3CDTF">2026-10-20T08:27:28Z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eyJoZGlkIjoiOTc0OGJjNjI2ZDNjOGQ2NmM4ZGViZGNlOTE4ODJiNDYiLCJ1c2VySWQiOiIxMTUzNTg4NDM5In0=</vt:lpwstr>
  </property>
  <property fmtid="{D5CDD505-2E9C-101B-9397-08002B2CF9AE}" pid="3" name="KSOProductBuildVer">
    <vt:lpwstr>2052-12.1.0.29161</vt:lpwstr>
  </property>
  <property fmtid="{D5CDD505-2E9C-101B-9397-08002B2CF9AE}" pid="4" name="ICV">
    <vt:lpwstr>44DDCDC87BB5461D9C477E1ABB5B68BB_13</vt:lpwstr>
  </property>
</Properties>
</file>