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tbl>
      <w:tblPr>
        <w:tblStyle w:val="858"/>
        <w:tblW w:w="0" w:type="auto"/>
        <w:tblInd w:w="5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985"/>
        <w:gridCol w:w="5175"/>
      </w:tblGrid>
      <w:tr>
        <w:trPr/>
        <w:tc>
          <w:tcPr>
            <w:tcW w:w="1985" w:type="dxa"/>
            <w:textDirection w:val="lrTb"/>
            <w:noWrap w:val="false"/>
          </w:tcPr>
          <w:p>
            <w:pPr>
              <w:jc w:val="left"/>
              <w:spacing w:line="480" w:lineRule="auto"/>
              <w:rPr>
                <w:rFonts w:ascii="Arial" w:hAnsi="Arial" w:eastAsia="宋体" w:cs="Times New Roman"/>
                <w:b/>
                <w:bCs/>
                <w:color w:val="000000"/>
                <w:sz w:val="32"/>
                <w:szCs w:val="24"/>
                <w:vertAlign w:val="baseline"/>
              </w:rPr>
            </w:pPr>
            <w:r>
              <w:rPr>
                <w:rFonts w:hint="eastAsia" w:ascii="Arial" w:hAnsi="Arial" w:eastAsia="宋体" w:cs="Times New Roman"/>
                <w:b/>
                <w:bCs/>
                <w:color w:val="000000"/>
                <w:sz w:val="32"/>
                <w:szCs w:val="24"/>
                <w:vertAlign w:val="baseline"/>
              </w:rPr>
              <w:t xml:space="preserve">项目名称：</w:t>
            </w:r>
            <w:r/>
          </w:p>
        </w:tc>
        <w:tc>
          <w:tcPr>
            <w:tcW w:w="5175" w:type="dxa"/>
            <w:textDirection w:val="lrTb"/>
            <w:noWrap w:val="false"/>
          </w:tcPr>
          <w:p>
            <w:pPr>
              <w:jc w:val="left"/>
              <w:spacing w:line="480" w:lineRule="auto"/>
              <w:rPr>
                <w:rFonts w:ascii="Arial" w:hAnsi="Arial" w:eastAsia="宋体" w:cs="Times New Roman"/>
                <w:b/>
                <w:bCs/>
                <w:color w:val="000000"/>
                <w:sz w:val="32"/>
                <w:szCs w:val="24"/>
                <w:vertAlign w:val="baseline"/>
              </w:rPr>
            </w:pPr>
            <w:r>
              <w:rPr>
                <w:rFonts w:hint="eastAsia" w:ascii="Arial" w:hAnsi="Arial" w:eastAsia="宋体" w:cs="Times New Roman"/>
                <w:b/>
                <w:bCs/>
                <w:color w:val="000000"/>
                <w:sz w:val="32"/>
                <w:szCs w:val="24"/>
                <w:vertAlign w:val="baseline"/>
              </w:rPr>
              <w:t xml:space="preserve">花果山景区智慧旅游安保平台建设项目（非专门面向中小企业）</w:t>
            </w:r>
            <w:r/>
          </w:p>
        </w:tc>
      </w:tr>
      <w:tr>
        <w:trPr/>
        <w:tc>
          <w:tcPr>
            <w:tcW w:w="1985" w:type="dxa"/>
            <w:textDirection w:val="lrTb"/>
            <w:noWrap w:val="false"/>
          </w:tcPr>
          <w:p>
            <w:pPr>
              <w:jc w:val="left"/>
              <w:spacing w:line="480" w:lineRule="auto"/>
              <w:rPr>
                <w:rFonts w:ascii="Arial" w:hAnsi="Arial" w:eastAsia="宋体" w:cs="Times New Roman"/>
                <w:b/>
                <w:bCs/>
                <w:color w:val="000000"/>
                <w:sz w:val="32"/>
                <w:szCs w:val="24"/>
                <w:vertAlign w:val="baseline"/>
              </w:rPr>
            </w:pPr>
            <w:r>
              <w:rPr>
                <w:rFonts w:hint="eastAsia" w:ascii="Arial" w:hAnsi="Arial" w:eastAsia="宋体" w:cs="Times New Roman"/>
                <w:b/>
                <w:bCs/>
                <w:sz w:val="32"/>
                <w:szCs w:val="24"/>
              </w:rPr>
              <w:t xml:space="preserve">项目编号：</w:t>
            </w:r>
            <w:r/>
          </w:p>
        </w:tc>
        <w:tc>
          <w:tcPr>
            <w:tcW w:w="5175" w:type="dxa"/>
            <w:textDirection w:val="lrTb"/>
            <w:noWrap w:val="false"/>
          </w:tcPr>
          <w:p>
            <w:pPr>
              <w:jc w:val="left"/>
              <w:spacing w:line="480" w:lineRule="auto"/>
              <w:rPr>
                <w:rFonts w:ascii="Arial" w:hAnsi="Arial" w:eastAsia="宋体" w:cs="Times New Roman"/>
                <w:b/>
                <w:bCs/>
                <w:color w:val="000000"/>
                <w:sz w:val="32"/>
                <w:szCs w:val="24"/>
                <w:vertAlign w:val="baseline"/>
              </w:rPr>
            </w:pPr>
            <w:r>
              <w:rPr>
                <w:rFonts w:hint="eastAsia" w:ascii="Arial" w:hAnsi="Arial" w:eastAsia="宋体" w:cs="Times New Roman"/>
                <w:b/>
                <w:bCs/>
                <w:color w:val="000000"/>
                <w:sz w:val="32"/>
                <w:szCs w:val="24"/>
                <w:vertAlign w:val="baseline"/>
              </w:rPr>
              <w:t xml:space="preserve">JSZC-320700-JZCG-G2026-0144</w:t>
            </w:r>
            <w:r/>
          </w:p>
        </w:tc>
      </w:tr>
    </w:tbl>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rPr>
          <w:rFonts w:asciiTheme="minorEastAsia" w:hAnsiTheme="minorEastAsia"/>
          <w:sz w:val="24"/>
        </w:rPr>
      </w:pPr>
      <w:r>
        <w:rPr>
          <w:rFonts w:hint="eastAsia" w:ascii="Arial" w:hAnsi="Arial" w:eastAsia="宋体" w:cs="Times New Roman"/>
          <w:b/>
          <w:bCs/>
          <w:color w:val="000000"/>
          <w:sz w:val="32"/>
          <w:szCs w:val="24"/>
        </w:rPr>
        <w:t xml:space="preserve">2026年</w:t>
      </w:r>
      <w:r>
        <w:rPr>
          <w:rFonts w:hint="eastAsia" w:ascii="Arial" w:hAnsi="Arial" w:eastAsia="宋体" w:cs="Times New Roman"/>
          <w:b/>
          <w:bCs/>
          <w:color w:val="000000"/>
          <w:sz w:val="32"/>
          <w:szCs w:val="24"/>
          <w:highlight w:val="none"/>
          <w:lang w:val="en-US" w:eastAsia="zh-CN"/>
        </w:rPr>
        <w:t xml:space="preserve">10</w:t>
      </w:r>
      <w:r>
        <w:rPr>
          <w:rFonts w:hint="eastAsia" w:ascii="Arial" w:hAnsi="Arial" w:eastAsia="宋体" w:cs="Times New Roman"/>
          <w:b/>
          <w:bCs/>
          <w:color w:val="000000"/>
          <w:sz w:val="32"/>
          <w:szCs w:val="24"/>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jc w:val="center"/>
        <w:keepLines/>
        <w:keepNext/>
        <w:spacing w:line="360" w:lineRule="auto"/>
        <w:rPr>
          <w:rFonts w:asciiTheme="minorEastAsia" w:hAnsiTheme="minorEastAsia"/>
          <w:bCs/>
          <w:sz w:val="44"/>
          <w:szCs w:val="44"/>
        </w:rPr>
        <w:outlineLvl w:val="0"/>
      </w:pPr>
      <w:r>
        <w:rPr>
          <w:rFonts w:hint="eastAsia" w:asciiTheme="minorEastAsia" w:hAnsiTheme="minorEastAsia"/>
          <w:bCs/>
          <w:sz w:val="44"/>
          <w:szCs w:val="44"/>
        </w:rPr>
        <w:t xml:space="preserve">目  录</w:t>
      </w:r>
      <w:r/>
    </w:p>
    <w:p>
      <w:pPr>
        <w:pStyle w:val="856"/>
        <w:rPr>
          <w:sz w:val="28"/>
        </w:rPr>
      </w:pPr>
      <w:r>
        <w:rPr>
          <w:sz w:val="28"/>
        </w:rPr>
      </w:r>
      <w:r/>
    </w:p>
    <w:p>
      <w:pPr>
        <w:pStyle w:val="856"/>
        <w:rPr>
          <w:sz w:val="28"/>
        </w:rPr>
      </w:pPr>
      <w:r>
        <w:rPr>
          <w:rFonts w:hint="eastAsia"/>
          <w:sz w:val="28"/>
        </w:rPr>
        <w:t xml:space="preserve">第一章</w:t>
      </w:r>
      <w:r>
        <w:rPr>
          <w:rFonts w:hint="eastAsia"/>
          <w:sz w:val="28"/>
          <w:lang w:val="en-US" w:eastAsia="zh-CN"/>
        </w:rPr>
        <w:t xml:space="preserve">  </w:t>
      </w:r>
      <w:r>
        <w:rPr>
          <w:rFonts w:hint="eastAsia"/>
          <w:sz w:val="28"/>
        </w:rPr>
        <w:t xml:space="preserve">投标邀请...................................................................................</w:t>
      </w:r>
      <w:r>
        <w:rPr>
          <w:sz w:val="28"/>
        </w:rPr>
        <w:fldChar w:fldCharType="begin"/>
      </w:r>
      <w:r>
        <w:rPr>
          <w:sz w:val="28"/>
        </w:rPr>
        <w:instrText xml:space="preserve"> PAGEREF _Toc162361610 \h </w:instrText>
      </w:r>
      <w:r>
        <w:rPr>
          <w:sz w:val="28"/>
        </w:rPr>
        <w:fldChar w:fldCharType="separate"/>
      </w:r>
      <w:r>
        <w:rPr>
          <w:sz w:val="28"/>
        </w:rPr>
        <w:t xml:space="preserve">1</w:t>
      </w:r>
      <w:r>
        <w:rPr>
          <w:sz w:val="28"/>
        </w:rPr>
        <w:fldChar w:fldCharType="end"/>
      </w:r>
      <w:r/>
    </w:p>
    <w:p>
      <w:pPr>
        <w:pStyle w:val="856"/>
        <w:rPr>
          <w:sz w:val="28"/>
        </w:rPr>
      </w:pPr>
      <w:r>
        <w:rPr>
          <w:rFonts w:hint="eastAsia"/>
          <w:sz w:val="28"/>
        </w:rPr>
        <w:t xml:space="preserve">第二章</w:t>
      </w:r>
      <w:r>
        <w:rPr>
          <w:rFonts w:hint="eastAsia"/>
          <w:sz w:val="28"/>
          <w:lang w:val="en-US" w:eastAsia="zh-CN"/>
        </w:rPr>
        <w:t xml:space="preserve">  </w:t>
      </w:r>
      <w:r>
        <w:rPr>
          <w:rFonts w:hint="eastAsia"/>
          <w:sz w:val="28"/>
        </w:rPr>
        <w:t xml:space="preserve">投标人须知...............................................................................</w:t>
      </w:r>
      <w:r>
        <w:rPr>
          <w:sz w:val="28"/>
        </w:rPr>
        <w:fldChar w:fldCharType="begin"/>
      </w:r>
      <w:r>
        <w:rPr>
          <w:sz w:val="28"/>
        </w:rPr>
        <w:instrText xml:space="preserve"> PAGEREF _Toc162361611 \h </w:instrText>
      </w:r>
      <w:r>
        <w:rPr>
          <w:sz w:val="28"/>
        </w:rPr>
        <w:fldChar w:fldCharType="separate"/>
      </w:r>
      <w:r>
        <w:rPr>
          <w:sz w:val="28"/>
        </w:rPr>
        <w:t xml:space="preserve">5</w:t>
      </w:r>
      <w:r>
        <w:rPr>
          <w:sz w:val="28"/>
        </w:rPr>
        <w:fldChar w:fldCharType="end"/>
      </w:r>
      <w:r/>
    </w:p>
    <w:p>
      <w:pPr>
        <w:pStyle w:val="856"/>
        <w:rPr>
          <w:sz w:val="28"/>
        </w:rPr>
      </w:pPr>
      <w:r>
        <w:rPr>
          <w:rFonts w:hint="eastAsia"/>
          <w:sz w:val="28"/>
        </w:rPr>
        <w:t xml:space="preserve">第三章</w:t>
      </w:r>
      <w:r>
        <w:rPr>
          <w:rFonts w:hint="eastAsia"/>
          <w:sz w:val="28"/>
          <w:lang w:val="en-US" w:eastAsia="zh-CN"/>
        </w:rPr>
        <w:t xml:space="preserve">  </w:t>
      </w:r>
      <w:r>
        <w:rPr>
          <w:rFonts w:hint="eastAsia"/>
          <w:sz w:val="28"/>
        </w:rPr>
        <w:t xml:space="preserve">合同文本.................................................................................</w:t>
      </w:r>
      <w:r>
        <w:rPr>
          <w:sz w:val="28"/>
        </w:rPr>
        <w:fldChar w:fldCharType="begin"/>
      </w:r>
      <w:r>
        <w:rPr>
          <w:sz w:val="28"/>
        </w:rPr>
        <w:instrText xml:space="preserve"> PAGEREF _Toc162361612 \h </w:instrText>
      </w:r>
      <w:r>
        <w:rPr>
          <w:sz w:val="28"/>
        </w:rPr>
        <w:fldChar w:fldCharType="separate"/>
      </w:r>
      <w:r>
        <w:rPr>
          <w:sz w:val="28"/>
        </w:rPr>
        <w:t xml:space="preserve">24</w:t>
      </w:r>
      <w:r>
        <w:rPr>
          <w:sz w:val="28"/>
        </w:rPr>
        <w:fldChar w:fldCharType="end"/>
      </w:r>
      <w:r/>
    </w:p>
    <w:p>
      <w:pPr>
        <w:pStyle w:val="856"/>
        <w:rPr>
          <w:sz w:val="28"/>
        </w:rPr>
      </w:pPr>
      <w:r>
        <w:rPr>
          <w:rFonts w:hint="eastAsia"/>
          <w:sz w:val="28"/>
        </w:rPr>
        <w:t xml:space="preserve">第四章</w:t>
      </w:r>
      <w:r>
        <w:rPr>
          <w:rFonts w:hint="eastAsia"/>
          <w:sz w:val="28"/>
          <w:lang w:val="en-US" w:eastAsia="zh-CN"/>
        </w:rPr>
        <w:t xml:space="preserve">  </w:t>
      </w:r>
      <w:r>
        <w:rPr>
          <w:rFonts w:hint="eastAsia"/>
          <w:sz w:val="28"/>
        </w:rPr>
        <w:t xml:space="preserve">采购需求.................................................................................</w:t>
      </w:r>
      <w:r>
        <w:rPr>
          <w:sz w:val="28"/>
        </w:rPr>
        <w:fldChar w:fldCharType="begin"/>
      </w:r>
      <w:r>
        <w:rPr>
          <w:sz w:val="28"/>
        </w:rPr>
        <w:instrText xml:space="preserve"> PAGEREF _Toc162361613 \h </w:instrText>
      </w:r>
      <w:r>
        <w:rPr>
          <w:sz w:val="28"/>
        </w:rPr>
        <w:fldChar w:fldCharType="separate"/>
      </w:r>
      <w:r>
        <w:rPr>
          <w:sz w:val="28"/>
        </w:rPr>
        <w:t xml:space="preserve">29</w:t>
      </w:r>
      <w:r>
        <w:rPr>
          <w:sz w:val="28"/>
        </w:rPr>
        <w:fldChar w:fldCharType="end"/>
      </w:r>
      <w:r/>
    </w:p>
    <w:p>
      <w:pPr>
        <w:pStyle w:val="856"/>
        <w:rPr>
          <w:sz w:val="28"/>
        </w:rPr>
      </w:pPr>
      <w:r>
        <w:rPr>
          <w:rFonts w:hint="eastAsia"/>
          <w:sz w:val="28"/>
        </w:rPr>
        <w:t xml:space="preserve">第五章</w:t>
      </w:r>
      <w:r>
        <w:rPr>
          <w:rFonts w:hint="eastAsia"/>
          <w:sz w:val="28"/>
          <w:lang w:val="en-US" w:eastAsia="zh-CN"/>
        </w:rPr>
        <w:t xml:space="preserve">  </w:t>
      </w:r>
      <w:r>
        <w:rPr>
          <w:rFonts w:hint="eastAsia"/>
          <w:sz w:val="28"/>
        </w:rPr>
        <w:t xml:space="preserve">评标方法与评标标准.............................................................</w:t>
      </w:r>
      <w:r>
        <w:rPr>
          <w:sz w:val="28"/>
        </w:rPr>
        <w:fldChar w:fldCharType="begin"/>
      </w:r>
      <w:r>
        <w:rPr>
          <w:sz w:val="28"/>
        </w:rPr>
        <w:instrText xml:space="preserve"> PAGEREF _Toc162361614 \h </w:instrText>
      </w:r>
      <w:r>
        <w:rPr>
          <w:sz w:val="28"/>
        </w:rPr>
        <w:fldChar w:fldCharType="separate"/>
      </w:r>
      <w:r>
        <w:rPr>
          <w:sz w:val="28"/>
        </w:rPr>
        <w:t xml:space="preserve">54</w:t>
      </w:r>
      <w:r>
        <w:rPr>
          <w:sz w:val="28"/>
        </w:rPr>
        <w:fldChar w:fldCharType="end"/>
      </w:r>
      <w:r/>
    </w:p>
    <w:p>
      <w:pPr>
        <w:pStyle w:val="856"/>
        <w:rPr>
          <w:sz w:val="28"/>
        </w:rPr>
      </w:pPr>
      <w:r>
        <w:rPr>
          <w:rFonts w:hint="eastAsia"/>
          <w:sz w:val="28"/>
        </w:rPr>
        <w:t xml:space="preserve">第六章</w:t>
      </w:r>
      <w:r>
        <w:rPr>
          <w:rFonts w:hint="eastAsia"/>
          <w:sz w:val="28"/>
          <w:lang w:val="en-US" w:eastAsia="zh-CN"/>
        </w:rPr>
        <w:t xml:space="preserve">  </w:t>
      </w:r>
      <w:r>
        <w:rPr>
          <w:rFonts w:hint="eastAsia"/>
          <w:sz w:val="28"/>
        </w:rPr>
        <w:t xml:space="preserve">投标文件格式.........................................................................</w:t>
      </w:r>
      <w:r>
        <w:rPr>
          <w:sz w:val="28"/>
        </w:rPr>
        <w:fldChar w:fldCharType="begin"/>
      </w:r>
      <w:r>
        <w:rPr>
          <w:sz w:val="28"/>
        </w:rPr>
        <w:instrText xml:space="preserve"> PAGEREF _Toc162361615 \h </w:instrText>
      </w:r>
      <w:r>
        <w:rPr>
          <w:sz w:val="28"/>
        </w:rPr>
        <w:fldChar w:fldCharType="separate"/>
      </w:r>
      <w:r>
        <w:rPr>
          <w:sz w:val="28"/>
        </w:rPr>
        <w:t xml:space="preserve">58</w:t>
      </w:r>
      <w:r>
        <w:rPr>
          <w:sz w:val="28"/>
        </w:rPr>
        <w:fldChar w:fldCharType="end"/>
      </w:r>
      <w:r/>
    </w:p>
    <w:p>
      <w:pPr>
        <w:jc w:val="left"/>
        <w:spacing w:line="360" w:lineRule="auto"/>
        <w:widowControl/>
        <w:rPr>
          <w:rFonts w:asciiTheme="minorEastAsia" w:hAnsiTheme="minorEastAsia"/>
          <w:sz w:val="28"/>
        </w:rPr>
      </w:pPr>
      <w:r>
        <w:rPr>
          <w:rFonts w:asciiTheme="minorEastAsia" w:hAnsiTheme="minorEastAsia"/>
          <w:sz w:val="24"/>
        </w:rPr>
        <w:fldChar w:fldCharType="end"/>
      </w:r>
      <w:r>
        <w:rPr>
          <w:rFonts w:asciiTheme="minorEastAsia" w:hAnsiTheme="minorEastAsia"/>
          <w:sz w:val="28"/>
        </w:rPr>
        <w:br w:type="page" w:clear="all"/>
      </w:r>
      <w:r/>
    </w:p>
    <w:p>
      <w:pPr>
        <w:pStyle w:val="843"/>
        <w:jc w:val="center"/>
        <w:spacing w:line="360" w:lineRule="auto"/>
        <w:rPr>
          <w:rFonts w:ascii="黑体" w:hAnsi="黑体" w:eastAsia="黑体"/>
          <w:b w:val="0"/>
        </w:rPr>
        <w:sectPr>
          <w:footerReference w:type="default" r:id="rId8"/>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843"/>
        <w:jc w:val="center"/>
        <w:spacing w:line="360" w:lineRule="auto"/>
        <w:rPr>
          <w:rFonts w:ascii="黑体" w:hAnsi="黑体" w:eastAsia="黑体"/>
          <w:b w:val="0"/>
        </w:rPr>
      </w:pPr>
      <w:r/>
      <w:bookmarkStart w:id="0" w:name="_Toc162361610"/>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w:t>
      </w:r>
      <w:r>
        <w:rPr>
          <w:rFonts w:hint="eastAsia" w:asciiTheme="minorEastAsia" w:hAnsiTheme="minorEastAsia"/>
          <w:sz w:val="24"/>
          <w:szCs w:val="24"/>
          <w:highlight w:val="none"/>
        </w:rPr>
        <w:t xml:space="preserve">连云港市大数据管理中心</w:t>
      </w:r>
      <w:r>
        <w:rPr>
          <w:rFonts w:hint="eastAsia" w:asciiTheme="minorEastAsia" w:hAnsiTheme="minorEastAsia"/>
          <w:sz w:val="24"/>
          <w:szCs w:val="24"/>
        </w:rPr>
        <w:t xml:space="preserve">的委托，连云港市公共资源交易中心就</w:t>
      </w:r>
      <w:r>
        <w:rPr>
          <w:rFonts w:hint="eastAsia" w:asciiTheme="minorEastAsia" w:hAnsiTheme="minorEastAsia"/>
          <w:sz w:val="24"/>
          <w:szCs w:val="24"/>
          <w:highlight w:val="none"/>
        </w:rPr>
        <w:t xml:space="preserve">花果山景区智慧旅游安保平台建设项目（非专门面向中小企业）</w:t>
      </w:r>
      <w:r>
        <w:rPr>
          <w:rFonts w:hint="eastAsia" w:asciiTheme="minorEastAsia" w:hAnsiTheme="minorEastAsia"/>
          <w:sz w:val="24"/>
          <w:szCs w:val="24"/>
        </w:rPr>
        <w:t xml:space="preserve">（</w:t>
      </w:r>
      <w:r>
        <w:rPr>
          <w:rFonts w:hint="eastAsia" w:asciiTheme="minorEastAsia" w:hAnsiTheme="minorEastAsia"/>
          <w:sz w:val="24"/>
          <w:szCs w:val="24"/>
          <w:highlight w:val="none"/>
        </w:rPr>
        <w:t xml:space="preserve">项目编号</w:t>
      </w:r>
      <w:r>
        <w:rPr>
          <w:rFonts w:hint="eastAsia" w:asciiTheme="minorEastAsia" w:hAnsiTheme="minorEastAsia"/>
          <w:sz w:val="24"/>
          <w:szCs w:val="24"/>
          <w:highlight w:val="none"/>
          <w:lang w:eastAsia="zh-CN"/>
        </w:rPr>
        <w:t xml:space="preserve">：JSZC-320700-JZCG-G2026-0144</w:t>
      </w:r>
      <w:r>
        <w:rPr>
          <w:rFonts w:hint="eastAsia" w:asciiTheme="minorEastAsia" w:hAnsiTheme="minorEastAsia"/>
          <w:sz w:val="24"/>
          <w:szCs w:val="24"/>
        </w:rPr>
        <w:t xml:space="preserve">）项目进行公开招标采购，欢迎符合条件的供应商投标。</w:t>
      </w:r>
      <w:r/>
    </w:p>
    <w:tbl>
      <w:tblPr>
        <w:tblStyle w:val="858"/>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2"/>
      </w:tblGrid>
      <w:tr>
        <w:trPr/>
        <w:tc>
          <w:tcPr>
            <w:tcW w:w="9597"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hint="eastAsia" w:asciiTheme="minorEastAsia" w:hAnsiTheme="minorEastAsia"/>
                <w:b/>
                <w:sz w:val="24"/>
                <w:szCs w:val="24"/>
                <w:highlight w:val="none"/>
                <w:u w:val="single"/>
              </w:rPr>
              <w:t xml:space="preserve">花果山景区智慧旅游安保平台建设项目（非专门面向中小企业）</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highlight w:val="none"/>
                <w:u w:val="single"/>
              </w:rPr>
              <w:t xml:space="preserve">2026年</w:t>
            </w:r>
            <w:r>
              <w:rPr>
                <w:rFonts w:hint="eastAsia" w:asciiTheme="minorEastAsia" w:hAnsiTheme="minorEastAsia"/>
                <w:b/>
                <w:sz w:val="24"/>
                <w:szCs w:val="24"/>
                <w:highlight w:val="none"/>
                <w:u w:val="single"/>
                <w:lang w:val="en-US" w:eastAsia="zh-CN"/>
              </w:rPr>
              <w:t xml:space="preserve">11</w:t>
            </w:r>
            <w:r>
              <w:rPr>
                <w:rFonts w:hint="eastAsia" w:asciiTheme="minorEastAsia" w:hAnsiTheme="minorEastAsia"/>
                <w:b/>
                <w:sz w:val="24"/>
                <w:szCs w:val="24"/>
                <w:highlight w:val="none"/>
                <w:u w:val="single"/>
              </w:rPr>
              <w:t xml:space="preserve">月</w:t>
            </w:r>
            <w:r>
              <w:rPr>
                <w:rFonts w:hint="eastAsia" w:asciiTheme="minorEastAsia" w:hAnsiTheme="minorEastAsia"/>
                <w:b/>
                <w:sz w:val="24"/>
                <w:szCs w:val="24"/>
                <w:highlight w:val="none"/>
                <w:u w:val="single"/>
                <w:lang w:val="en-US" w:eastAsia="zh-CN"/>
              </w:rPr>
              <w:t xml:space="preserve">12</w:t>
            </w:r>
            <w:r>
              <w:rPr>
                <w:rFonts w:hint="eastAsia" w:asciiTheme="minorEastAsia" w:hAnsiTheme="minorEastAsia"/>
                <w:b/>
                <w:sz w:val="24"/>
                <w:szCs w:val="24"/>
                <w:highlight w:val="none"/>
                <w:u w:val="single"/>
              </w:rPr>
              <w:t xml:space="preserve">日</w:t>
            </w:r>
            <w:r>
              <w:rPr>
                <w:rFonts w:hint="eastAsia" w:asciiTheme="minorEastAsia" w:hAnsiTheme="minorEastAsia"/>
                <w:b/>
                <w:sz w:val="24"/>
                <w:szCs w:val="24"/>
                <w:highlight w:val="none"/>
                <w:u w:val="single"/>
                <w:lang w:val="en-US" w:eastAsia="zh-CN"/>
              </w:rPr>
              <w:t xml:space="preserve">9</w:t>
            </w:r>
            <w:r>
              <w:rPr>
                <w:rFonts w:hint="eastAsia" w:asciiTheme="minorEastAsia" w:hAnsiTheme="minorEastAsia"/>
                <w:b/>
                <w:sz w:val="24"/>
                <w:szCs w:val="24"/>
                <w:highlight w:val="none"/>
                <w:u w:val="single"/>
              </w:rPr>
              <w:t xml:space="preserve">:</w:t>
            </w:r>
            <w:r>
              <w:rPr>
                <w:rFonts w:hint="eastAsia" w:asciiTheme="minorEastAsia" w:hAnsiTheme="minorEastAsia"/>
                <w:b/>
                <w:sz w:val="24"/>
                <w:szCs w:val="24"/>
                <w:highlight w:val="none"/>
                <w:u w:val="single"/>
                <w:lang w:val="en-US" w:eastAsia="zh-CN"/>
              </w:rPr>
              <w:t xml:space="preserve">0</w:t>
            </w:r>
            <w:r>
              <w:rPr>
                <w:rFonts w:hint="eastAsia" w:asciiTheme="minorEastAsia" w:hAnsiTheme="minorEastAsia"/>
                <w:b/>
                <w:sz w:val="24"/>
                <w:szCs w:val="24"/>
                <w:highlight w:val="none"/>
                <w:u w:val="single"/>
              </w:rPr>
              <w:t xml:space="preserve">0:00</w:t>
            </w:r>
            <w:r>
              <w:rPr>
                <w:rFonts w:hint="eastAsia" w:asciiTheme="minorEastAsia" w:hAnsiTheme="minorEastAsia"/>
                <w:sz w:val="24"/>
                <w:szCs w:val="24"/>
              </w:rPr>
              <w:t xml:space="preserve">（北京时间）前递交（上传）投标文件。</w:t>
            </w:r>
            <w:r/>
          </w:p>
        </w:tc>
      </w:tr>
    </w:tbl>
    <w:p>
      <w:pPr>
        <w:pStyle w:val="844"/>
        <w:jc w:val="both"/>
        <w:keepLines/>
        <w:keepNext/>
        <w:pageBreakBefore w:val="0"/>
        <w:spacing w:before="0" w:beforeAutospacing="0" w:after="0" w:afterAutospacing="0" w:line="500" w:lineRule="exact"/>
        <w:widowControl w:val="off"/>
        <w:rPr>
          <w:rFonts w:hint="eastAsia" w:asciiTheme="minorEastAsia" w:hAnsiTheme="minorEastAsia" w:eastAsiaTheme="minorEastAsia" w:cstheme="majorBidi"/>
          <w:sz w:val="32"/>
          <w:szCs w:val="32"/>
          <w:lang w:bidi="ar-SA"/>
        </w:rPr>
        <w:outlineLvl w:val="1"/>
      </w:pPr>
      <w:r>
        <w:rPr>
          <w:rFonts w:hint="eastAsia" w:asciiTheme="minorEastAsia" w:hAnsiTheme="minorEastAsia" w:eastAsiaTheme="minorEastAsia" w:cstheme="majorBidi"/>
          <w:sz w:val="32"/>
          <w:szCs w:val="32"/>
          <w:lang w:bidi="ar-SA"/>
        </w:rPr>
        <w:t xml:space="preserve">一、项目基本情况</w:t>
      </w:r>
      <w:r/>
    </w:p>
    <w:p>
      <w:pPr>
        <w:ind w:firstLine="480"/>
        <w:spacing w:line="500" w:lineRule="exact"/>
        <w:rPr>
          <w:rFonts w:hint="eastAsia" w:asciiTheme="minorEastAsia" w:hAnsiTheme="minorEastAsia"/>
          <w:sz w:val="24"/>
          <w:szCs w:val="24"/>
          <w:highlight w:val="none"/>
          <w:lang w:eastAsia="zh-CN"/>
        </w:rPr>
      </w:pPr>
      <w:r>
        <w:rPr>
          <w:rFonts w:hint="eastAsia" w:asciiTheme="minorEastAsia" w:hAnsiTheme="minorEastAsia"/>
          <w:sz w:val="24"/>
          <w:szCs w:val="24"/>
        </w:rPr>
        <w:t xml:space="preserve">项目编号：</w:t>
      </w:r>
      <w:r>
        <w:rPr>
          <w:rFonts w:hint="eastAsia" w:asciiTheme="minorEastAsia" w:hAnsiTheme="minorEastAsia"/>
          <w:sz w:val="24"/>
          <w:szCs w:val="24"/>
          <w:highlight w:val="none"/>
          <w:lang w:eastAsia="zh-CN"/>
        </w:rPr>
        <w:t xml:space="preserve">JSZC-320700-JZCG-G2026-0144</w:t>
      </w:r>
      <w:r/>
    </w:p>
    <w:p>
      <w:pPr>
        <w:ind w:firstLine="480"/>
        <w:spacing w:line="500" w:lineRule="exact"/>
        <w:rPr>
          <w:rFonts w:asciiTheme="minorEastAsia" w:hAnsiTheme="minorEastAsia"/>
          <w:sz w:val="24"/>
          <w:szCs w:val="24"/>
          <w:highlight w:val="yellow"/>
        </w:rPr>
      </w:pPr>
      <w:r>
        <w:rPr>
          <w:rFonts w:hint="eastAsia" w:asciiTheme="minorEastAsia" w:hAnsiTheme="minorEastAsia"/>
          <w:sz w:val="24"/>
          <w:szCs w:val="24"/>
        </w:rPr>
        <w:t xml:space="preserve">项目名称：花果山景区智慧旅游安保平台建设项目（非专门面向中小企业）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spacing w:line="500" w:lineRule="exact"/>
        <w:rPr>
          <w:rFonts w:cs="Times New Roman" w:asciiTheme="minorEastAsia" w:hAnsiTheme="minorEastAsia"/>
          <w:color w:val="000000"/>
          <w:sz w:val="24"/>
          <w:szCs w:val="24"/>
        </w:rPr>
      </w:pPr>
      <w:r>
        <w:rPr>
          <w:rFonts w:hint="eastAsia" w:asciiTheme="minorEastAsia" w:hAnsiTheme="minorEastAsia"/>
          <w:sz w:val="24"/>
          <w:szCs w:val="24"/>
        </w:rPr>
        <w:t xml:space="preserve">预算金额：</w:t>
      </w:r>
      <w:r>
        <w:rPr>
          <w:rFonts w:hint="eastAsia" w:asciiTheme="minorEastAsia" w:hAnsiTheme="minorEastAsia"/>
          <w:sz w:val="24"/>
          <w:szCs w:val="24"/>
          <w:highlight w:val="none"/>
        </w:rPr>
        <w:t xml:space="preserve">人民币81.4069万元，</w:t>
      </w:r>
      <w:r>
        <w:rPr>
          <w:rFonts w:hint="eastAsia" w:cs="Times New Roman" w:asciiTheme="minorEastAsia" w:hAnsiTheme="minorEastAsia"/>
          <w:color w:val="000000"/>
          <w:sz w:val="24"/>
          <w:szCs w:val="24"/>
          <w:highlight w:val="none"/>
        </w:rPr>
        <w:t xml:space="preserve">投</w:t>
      </w:r>
      <w:r>
        <w:rPr>
          <w:rFonts w:hint="eastAsia" w:cs="Times New Roman" w:asciiTheme="minorEastAsia" w:hAnsiTheme="minorEastAsia"/>
          <w:color w:val="000000"/>
          <w:sz w:val="24"/>
          <w:szCs w:val="24"/>
        </w:rPr>
        <w:t xml:space="preserve">标报价超</w:t>
      </w:r>
      <w:r>
        <w:rPr>
          <w:rFonts w:hint="eastAsia" w:cs="Times New Roman" w:asciiTheme="minorEastAsia" w:hAnsiTheme="minorEastAsia"/>
          <w:b w:val="0"/>
          <w:bCs w:val="0"/>
          <w:color w:val="000000"/>
          <w:sz w:val="24"/>
          <w:szCs w:val="24"/>
        </w:rPr>
        <w:t xml:space="preserve">过预算金额</w:t>
      </w:r>
      <w:r>
        <w:rPr>
          <w:rFonts w:hint="eastAsia" w:cs="Times New Roman" w:asciiTheme="minorEastAsia" w:hAnsiTheme="minorEastAsia"/>
          <w:color w:val="000000"/>
          <w:sz w:val="24"/>
          <w:szCs w:val="24"/>
        </w:rPr>
        <w:t xml:space="preserve">的投标无效。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采购需求：本</w:t>
      </w:r>
      <w:r>
        <w:rPr>
          <w:rFonts w:hint="eastAsia" w:asciiTheme="minorEastAsia" w:hAnsiTheme="minorEastAsia"/>
          <w:sz w:val="24"/>
          <w:szCs w:val="24"/>
        </w:rPr>
        <w:t xml:space="preserve">项目基于花果山景区智慧旅游安保平台紧密围绕“全域可视，立体防控”目标，突出可视化管理重点，紧盯全域大环境、景区小环境，围绕景区出入口、各热门景点等重点区域，积极构建点线面结合、打防控一体的立体化动态治安防控体系。研发应用数字孪生平台，绘制实景全域地图，将相关治安要素标注上图、一屏展示、全量掌控。另外针对景区重要节假日时，强化内外联动、协同指挥作战，全面提升治安效能。同时坚持警力跟着警情走，进一步深化景区、公安双平台功能应用，动态掌握人流变化，实行潮汐式布警、阵地式防控，打造动静结合、整体联动的智慧巡防网络。</w:t>
      </w:r>
      <w:r>
        <w:rPr>
          <w:rFonts w:hint="eastAsia" w:asciiTheme="minorEastAsia" w:hAnsiTheme="minorEastAsia"/>
          <w:sz w:val="24"/>
          <w:szCs w:val="24"/>
          <w:lang w:val="en-US" w:eastAsia="zh-CN"/>
        </w:rPr>
        <w:t xml:space="preserve">具体要求详见第四章采购需求。</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spacing w:line="500" w:lineRule="exact"/>
        <w:rPr>
          <w:rFonts w:hint="eastAsia" w:asciiTheme="minorEastAsia" w:hAnsiTheme="minorEastAsia"/>
          <w:sz w:val="24"/>
          <w:szCs w:val="24"/>
          <w:lang w:val="en-US" w:eastAsia="zh-CN"/>
        </w:rPr>
      </w:pPr>
      <w:r>
        <w:rPr>
          <w:rFonts w:hint="eastAsia" w:asciiTheme="minorEastAsia" w:hAnsiTheme="minorEastAsia"/>
          <w:sz w:val="24"/>
          <w:szCs w:val="24"/>
        </w:rPr>
        <w:t xml:space="preserve">合同履行期限：自合同签订之日起60日内完成全部建设内容并通过初验，初验后进入30日试运行期，试运行结束后提请终验，验收合格后运维期为1年。 </w:t>
      </w:r>
      <w:r>
        <w:rPr>
          <w:rFonts w:hint="eastAsia" w:asciiTheme="minorEastAsia" w:hAnsiTheme="minorEastAsia"/>
          <w:sz w:val="24"/>
          <w:szCs w:val="24"/>
          <w:lang w:val="en-US" w:eastAsia="zh-CN"/>
        </w:rPr>
        <w:t xml:space="preserve">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本项目不接受联合体投标。</w:t>
      </w:r>
      <w:r/>
    </w:p>
    <w:p>
      <w:pPr>
        <w:pStyle w:val="844"/>
        <w:jc w:val="both"/>
        <w:keepLines/>
        <w:keepNext/>
        <w:pageBreakBefore w:val="0"/>
        <w:spacing w:before="0" w:beforeAutospacing="0" w:after="0" w:afterAutospacing="0" w:line="500" w:lineRule="exact"/>
        <w:widowControl w:val="off"/>
        <w:rPr>
          <w:rFonts w:hint="eastAsia" w:asciiTheme="minorEastAsia" w:hAnsiTheme="minorEastAsia" w:eastAsiaTheme="minorEastAsia" w:cstheme="majorBidi"/>
          <w:sz w:val="32"/>
          <w:szCs w:val="32"/>
          <w:lang w:bidi="ar-SA"/>
        </w:rPr>
        <w:outlineLvl w:val="1"/>
      </w:pPr>
      <w:r>
        <w:rPr>
          <w:rFonts w:hint="eastAsia" w:asciiTheme="minorEastAsia" w:hAnsiTheme="minorEastAsia" w:eastAsiaTheme="minorEastAsia" w:cstheme="majorBidi"/>
          <w:sz w:val="32"/>
          <w:szCs w:val="32"/>
          <w:lang w:bidi="ar-SA"/>
        </w:rPr>
        <w:t xml:space="preserve">二、申请人的资格要求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rPr>
          <w:rFonts w:asciiTheme="minorEastAsia" w:hAnsiTheme="minorEastAsia"/>
          <w:b w:val="0"/>
          <w:bCs/>
          <w:sz w:val="24"/>
          <w:szCs w:val="24"/>
        </w:rPr>
      </w:pPr>
      <w:r>
        <w:rPr>
          <w:rFonts w:hint="eastAsia" w:asciiTheme="minorEastAsia" w:hAnsiTheme="minorEastAsia"/>
          <w:b w:val="0"/>
          <w:bCs/>
          <w:sz w:val="24"/>
          <w:szCs w:val="24"/>
        </w:rPr>
        <w:t xml:space="preserve">根据连财购〔2023〕4号文件精神，2、3项可以提供《财务状况报告及税收、社会保障资金缴纳情况承诺函》，详见投标文件格式。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（二）落实政府采购政策需满足的资格要求：无。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844"/>
        <w:jc w:val="both"/>
        <w:keepLines/>
        <w:keepNext/>
        <w:pageBreakBefore w:val="0"/>
        <w:spacing w:before="0" w:beforeAutospacing="0" w:after="0" w:afterAutospacing="0" w:line="500" w:lineRule="exact"/>
        <w:widowControl w:val="off"/>
        <w:rPr>
          <w:rFonts w:hint="eastAsia" w:asciiTheme="minorEastAsia" w:hAnsiTheme="minorEastAsia" w:eastAsiaTheme="minorEastAsia" w:cstheme="majorBidi"/>
          <w:sz w:val="32"/>
          <w:szCs w:val="32"/>
          <w:lang w:bidi="ar-SA"/>
        </w:rPr>
        <w:outlineLvl w:val="1"/>
      </w:pPr>
      <w:r>
        <w:rPr>
          <w:rFonts w:hint="eastAsia" w:asciiTheme="minorEastAsia" w:hAnsiTheme="minorEastAsia" w:eastAsiaTheme="minorEastAsia" w:cstheme="majorBidi"/>
          <w:sz w:val="32"/>
          <w:szCs w:val="32"/>
          <w:lang w:bidi="ar-SA"/>
        </w:rPr>
        <w:t xml:space="preserve">三、获取招标文件</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时间：自招标公告发布之日起至2026年10</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29</w:t>
      </w:r>
      <w:r>
        <w:rPr>
          <w:rFonts w:hint="eastAsia" w:asciiTheme="minorEastAsia" w:hAnsiTheme="minorEastAsia"/>
          <w:sz w:val="24"/>
          <w:szCs w:val="24"/>
          <w:highlight w:val="none"/>
        </w:rPr>
        <w:t xml:space="preserve">日（北京时间）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844"/>
        <w:jc w:val="both"/>
        <w:keepLines/>
        <w:keepNext/>
        <w:pageBreakBefore w:val="0"/>
        <w:spacing w:before="0" w:beforeAutospacing="0" w:after="0" w:afterAutospacing="0" w:line="500" w:lineRule="exact"/>
        <w:widowControl w:val="off"/>
        <w:rPr>
          <w:rFonts w:hint="eastAsia" w:asciiTheme="minorEastAsia" w:hAnsiTheme="minorEastAsia" w:eastAsiaTheme="minorEastAsia" w:cstheme="majorBidi"/>
          <w:sz w:val="32"/>
          <w:szCs w:val="32"/>
          <w:lang w:bidi="ar-SA"/>
        </w:rPr>
        <w:outlineLvl w:val="1"/>
      </w:pPr>
      <w:r>
        <w:rPr>
          <w:rFonts w:hint="eastAsia" w:asciiTheme="minorEastAsia" w:hAnsiTheme="minorEastAsia" w:eastAsiaTheme="minorEastAsia" w:cstheme="majorBidi"/>
          <w:sz w:val="32"/>
          <w:szCs w:val="32"/>
          <w:lang w:bidi="ar-SA"/>
        </w:rPr>
        <w:t xml:space="preserve">四、提交投标文件截止时间、开标时间和地点</w:t>
      </w:r>
      <w:r/>
    </w:p>
    <w:p>
      <w:pPr>
        <w:ind w:firstLine="480"/>
        <w:spacing w:line="500" w:lineRule="exact"/>
        <w:rPr>
          <w:rFonts w:asciiTheme="minorEastAsia" w:hAnsiTheme="minorEastAsia"/>
          <w:sz w:val="24"/>
          <w:szCs w:val="24"/>
        </w:rPr>
      </w:pPr>
      <w:r>
        <w:rPr>
          <w:rFonts w:hint="eastAsia" w:asciiTheme="minorEastAsia" w:hAnsiTheme="minorEastAsia"/>
          <w:sz w:val="24"/>
          <w:szCs w:val="24"/>
          <w:highlight w:val="none"/>
        </w:rPr>
        <w:t xml:space="preserve">提交投标文件截止时间：2026年</w:t>
      </w:r>
      <w:r>
        <w:rPr>
          <w:rFonts w:hint="eastAsia" w:asciiTheme="minorEastAsia" w:hAnsiTheme="minorEastAsia"/>
          <w:sz w:val="24"/>
          <w:szCs w:val="24"/>
          <w:highlight w:val="none"/>
          <w:lang w:val="en-US" w:eastAsia="zh-CN"/>
        </w:rPr>
        <w:t xml:space="preserve">11</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12</w:t>
      </w:r>
      <w:r>
        <w:rPr>
          <w:rFonts w:hint="eastAsia" w:asciiTheme="minorEastAsia" w:hAnsiTheme="minorEastAsia"/>
          <w:sz w:val="24"/>
          <w:szCs w:val="24"/>
          <w:highlight w:val="none"/>
        </w:rPr>
        <w:t xml:space="preserve">日9:00:00（北京时间）</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开标时间：2026年</w:t>
      </w:r>
      <w:r>
        <w:rPr>
          <w:rFonts w:hint="eastAsia" w:asciiTheme="minorEastAsia" w:hAnsiTheme="minorEastAsia"/>
          <w:sz w:val="24"/>
          <w:szCs w:val="24"/>
          <w:highlight w:val="none"/>
          <w:lang w:val="en-US" w:eastAsia="zh-CN"/>
        </w:rPr>
        <w:t xml:space="preserve">11</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12</w:t>
      </w:r>
      <w:r>
        <w:rPr>
          <w:rFonts w:hint="eastAsia" w:asciiTheme="minorEastAsia" w:hAnsiTheme="minorEastAsia"/>
          <w:sz w:val="24"/>
          <w:szCs w:val="24"/>
          <w:highlight w:val="none"/>
        </w:rPr>
        <w:t xml:space="preserve">日9:00:00（北京时间）</w:t>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844"/>
        <w:jc w:val="both"/>
        <w:keepLines/>
        <w:keepNext/>
        <w:pageBreakBefore w:val="0"/>
        <w:spacing w:before="0" w:beforeAutospacing="0" w:after="0" w:afterAutospacing="0" w:line="500" w:lineRule="exact"/>
        <w:widowControl w:val="off"/>
        <w:rPr>
          <w:rFonts w:hint="eastAsia" w:asciiTheme="minorEastAsia" w:hAnsiTheme="minorEastAsia" w:eastAsiaTheme="minorEastAsia" w:cstheme="majorBidi"/>
          <w:sz w:val="32"/>
          <w:szCs w:val="32"/>
          <w:lang w:bidi="ar-SA"/>
        </w:rPr>
        <w:outlineLvl w:val="1"/>
      </w:pPr>
      <w:r>
        <w:rPr>
          <w:rFonts w:hint="eastAsia" w:asciiTheme="minorEastAsia" w:hAnsiTheme="minorEastAsia" w:eastAsiaTheme="minorEastAsia" w:cstheme="majorBidi"/>
          <w:sz w:val="32"/>
          <w:szCs w:val="32"/>
          <w:lang w:bidi="ar-SA"/>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844"/>
        <w:jc w:val="both"/>
        <w:keepLines/>
        <w:keepNext/>
        <w:pageBreakBefore w:val="0"/>
        <w:spacing w:before="0" w:beforeAutospacing="0" w:after="0" w:afterAutospacing="0" w:line="500" w:lineRule="exact"/>
        <w:widowControl w:val="off"/>
        <w:rPr>
          <w:rFonts w:hint="eastAsia" w:asciiTheme="minorEastAsia" w:hAnsiTheme="minorEastAsia" w:eastAsiaTheme="minorEastAsia" w:cstheme="majorBidi"/>
          <w:sz w:val="32"/>
          <w:szCs w:val="32"/>
          <w:lang w:bidi="ar-SA"/>
        </w:rPr>
        <w:outlineLvl w:val="1"/>
      </w:pPr>
      <w:r>
        <w:rPr>
          <w:rFonts w:hint="eastAsia" w:asciiTheme="minorEastAsia" w:hAnsiTheme="minorEastAsia" w:eastAsiaTheme="minorEastAsia" w:cstheme="majorBidi"/>
          <w:sz w:val="32"/>
          <w:szCs w:val="32"/>
          <w:lang w:bidi="ar-SA"/>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844"/>
        <w:jc w:val="both"/>
        <w:keepLines/>
        <w:keepNext/>
        <w:pageBreakBefore w:val="0"/>
        <w:spacing w:before="0" w:beforeAutospacing="0" w:after="0" w:afterAutospacing="0" w:line="500" w:lineRule="exact"/>
        <w:widowControl w:val="off"/>
        <w:rPr>
          <w:rFonts w:hint="eastAsia" w:asciiTheme="minorEastAsia" w:hAnsiTheme="minorEastAsia" w:eastAsiaTheme="minorEastAsia" w:cstheme="majorBidi"/>
          <w:sz w:val="32"/>
          <w:szCs w:val="32"/>
          <w:lang w:bidi="ar-SA"/>
        </w:rPr>
        <w:outlineLvl w:val="1"/>
      </w:pPr>
      <w:r>
        <w:rPr>
          <w:rFonts w:hint="eastAsia" w:asciiTheme="minorEastAsia" w:hAnsiTheme="minorEastAsia" w:eastAsiaTheme="minorEastAsia" w:cstheme="majorBidi"/>
          <w:sz w:val="32"/>
          <w:szCs w:val="32"/>
          <w:lang w:bidi="ar-SA"/>
        </w:rPr>
        <w:t xml:space="preserve">七、对本次招标提出询问，请按以下方式联系</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1.采购人信息</w:t>
      </w:r>
      <w:r/>
    </w:p>
    <w:p>
      <w:pPr>
        <w:ind w:firstLine="480"/>
        <w:spacing w:line="500" w:lineRule="exact"/>
        <w:rPr>
          <w:rFonts w:ascii="宋体" w:hAnsi="宋体" w:cs="宋体"/>
          <w:sz w:val="24"/>
          <w:szCs w:val="24"/>
        </w:rPr>
      </w:pPr>
      <w:r>
        <w:rPr>
          <w:rFonts w:hint="eastAsia" w:ascii="宋体" w:hAnsi="宋体" w:cs="宋体"/>
          <w:sz w:val="24"/>
          <w:szCs w:val="24"/>
        </w:rPr>
        <w:t xml:space="preserve">名    称：连云港市大数据管理中心</w:t>
      </w:r>
      <w:r/>
    </w:p>
    <w:p>
      <w:pPr>
        <w:ind w:firstLine="480"/>
        <w:spacing w:line="500" w:lineRule="exact"/>
        <w:rPr>
          <w:rFonts w:ascii="宋体" w:hAnsi="宋体" w:cs="宋体"/>
          <w:sz w:val="24"/>
          <w:szCs w:val="24"/>
        </w:rPr>
      </w:pPr>
      <w:r>
        <w:rPr>
          <w:rFonts w:hint="eastAsia" w:ascii="宋体" w:hAnsi="宋体" w:cs="宋体"/>
          <w:sz w:val="24"/>
          <w:szCs w:val="24"/>
        </w:rPr>
        <w:t xml:space="preserve">地    址：连云港市海州区凌州东路9号政务服务中心4楼</w:t>
      </w:r>
      <w:r/>
    </w:p>
    <w:p>
      <w:pPr>
        <w:ind w:firstLine="480"/>
        <w:spacing w:line="500" w:lineRule="exact"/>
        <w:rPr>
          <w:rFonts w:ascii="宋体" w:hAnsi="宋体" w:cs="宋体"/>
          <w:sz w:val="24"/>
          <w:szCs w:val="24"/>
        </w:rPr>
      </w:pPr>
      <w:r>
        <w:rPr>
          <w:rFonts w:hint="eastAsia" w:ascii="宋体" w:hAnsi="宋体" w:cs="宋体"/>
          <w:sz w:val="24"/>
          <w:szCs w:val="24"/>
        </w:rPr>
        <w:t xml:space="preserve">联系方式：</w:t>
      </w:r>
      <w:r>
        <w:rPr>
          <w:rFonts w:hint="eastAsia" w:ascii="宋体" w:hAnsi="宋体"/>
          <w:sz w:val="24"/>
          <w:szCs w:val="24"/>
        </w:rPr>
        <w:t xml:space="preserve">0518-</w:t>
      </w:r>
      <w:r>
        <w:rPr>
          <w:rFonts w:hint="eastAsia" w:ascii="宋体" w:hAnsi="宋体" w:cs="宋体"/>
          <w:sz w:val="24"/>
          <w:szCs w:val="24"/>
        </w:rPr>
        <w:t xml:space="preserve">85825190</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spacing w:line="500" w:lineRule="exact"/>
        <w:rPr>
          <w:rFonts w:cs="Times New Roman" w:asciiTheme="minorEastAsia" w:hAnsiTheme="minorEastAsia"/>
          <w:sz w:val="24"/>
          <w:szCs w:val="24"/>
        </w:rPr>
      </w:pPr>
      <w:r>
        <w:rPr>
          <w:rFonts w:hint="eastAsia" w:asciiTheme="minorEastAsia" w:hAnsiTheme="minorEastAsia"/>
          <w:sz w:val="24"/>
          <w:szCs w:val="24"/>
        </w:rPr>
        <w:t xml:space="preserve">联系方式：李俊怡 </w:t>
      </w:r>
      <w:r>
        <w:rPr>
          <w:rFonts w:cs="Times New Roman" w:asciiTheme="minorEastAsia" w:hAnsiTheme="minorEastAsia"/>
          <w:sz w:val="24"/>
          <w:szCs w:val="24"/>
        </w:rPr>
        <w:t xml:space="preserve">  0518-85868290</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项目联系人：高毓辰</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电      话：</w:t>
      </w:r>
      <w:r>
        <w:rPr>
          <w:rFonts w:hint="eastAsia" w:ascii="宋体" w:hAnsi="宋体"/>
          <w:sz w:val="24"/>
          <w:szCs w:val="24"/>
        </w:rPr>
        <w:t xml:space="preserve">0518-</w:t>
      </w:r>
      <w:r>
        <w:rPr>
          <w:rFonts w:hint="eastAsia" w:ascii="宋体" w:hAnsi="宋体" w:cs="宋体"/>
          <w:sz w:val="24"/>
          <w:szCs w:val="24"/>
        </w:rPr>
        <w:t xml:space="preserve">85825190</w:t>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0"/>
        <w:spacing w:line="500" w:lineRule="exact"/>
        <w:rPr>
          <w:sz w:val="24"/>
          <w:szCs w:val="24"/>
        </w:rPr>
      </w:pPr>
      <w:r>
        <w:rPr>
          <w:sz w:val="24"/>
          <w:szCs w:val="24"/>
        </w:rPr>
      </w:r>
      <w:r/>
    </w:p>
    <w:p>
      <w:pPr>
        <w:pStyle w:val="843"/>
        <w:jc w:val="center"/>
        <w:spacing w:line="360" w:lineRule="auto"/>
        <w:rPr>
          <w:rFonts w:ascii="黑体" w:hAnsi="黑体" w:eastAsia="黑体"/>
          <w:b w:val="0"/>
        </w:rPr>
      </w:pPr>
      <w:r/>
      <w:bookmarkStart w:id="1" w:name="_Toc162361611"/>
      <w:r>
        <w:rPr>
          <w:rFonts w:hint="eastAsia" w:ascii="黑体" w:hAnsi="黑体" w:eastAsia="黑体"/>
          <w:b w:val="0"/>
        </w:rPr>
        <w:t xml:space="preserve">第二章  投标人须知</w:t>
      </w:r>
      <w:bookmarkEnd w:id="1"/>
      <w:r/>
      <w:r/>
    </w:p>
    <w:p>
      <w:pPr>
        <w:spacing w:line="500" w:lineRule="exact"/>
        <w:rPr>
          <w:rFonts w:hint="eastAsia" w:asciiTheme="minorEastAsia" w:hAnsiTheme="minorEastAsia" w:eastAsiaTheme="minorEastAsia" w:cstheme="majorBidi"/>
          <w:b/>
          <w:bCs/>
          <w:sz w:val="32"/>
          <w:szCs w:val="32"/>
          <w:lang w:val="en-US" w:eastAsia="zh-CN" w:bidi="ar-SA"/>
        </w:rPr>
      </w:pPr>
      <w:r>
        <w:rPr>
          <w:rFonts w:hint="eastAsia" w:asciiTheme="minorEastAsia" w:hAnsiTheme="minorEastAsia" w:eastAsiaTheme="minorEastAsia" w:cstheme="majorBidi"/>
          <w:b/>
          <w:bCs/>
          <w:sz w:val="32"/>
          <w:szCs w:val="32"/>
          <w:lang w:val="en-US" w:eastAsia="zh-CN" w:bidi="ar-SA"/>
        </w:rPr>
        <w:t xml:space="preserve">一、总则</w:t>
      </w:r>
      <w:r/>
    </w:p>
    <w:p>
      <w:pPr>
        <w:ind w:firstLine="482"/>
        <w:spacing w:line="500" w:lineRule="exact"/>
        <w:rPr>
          <w:rFonts w:asciiTheme="minorEastAsia" w:hAnsiTheme="minorEastAsia"/>
          <w:b/>
          <w:sz w:val="24"/>
        </w:rPr>
      </w:pPr>
      <w:r>
        <w:rPr>
          <w:rFonts w:hint="eastAsia" w:asciiTheme="minorEastAsia" w:hAnsiTheme="minorEastAsia"/>
          <w:b/>
          <w:sz w:val="24"/>
        </w:rPr>
        <w:t xml:space="preserve">1.招标方式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 本次招标采取公开招标方式，本招标文件仅适用于招标公告中所述项目。</w:t>
      </w:r>
      <w:r/>
    </w:p>
    <w:p>
      <w:pPr>
        <w:ind w:firstLine="482"/>
        <w:spacing w:line="500" w:lineRule="exact"/>
        <w:rPr>
          <w:rFonts w:asciiTheme="minorEastAsia" w:hAnsiTheme="minorEastAsia"/>
          <w:b/>
          <w:sz w:val="24"/>
        </w:rPr>
      </w:pPr>
      <w:r>
        <w:rPr>
          <w:rFonts w:hint="eastAsia" w:asciiTheme="minorEastAsia" w:hAnsiTheme="minorEastAsia"/>
          <w:b/>
          <w:sz w:val="24"/>
        </w:rPr>
        <w:t xml:space="preserve">2.合格的投标人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 满足招标公告中供应商的资格要求的规定。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 满足本招标文件全部实质性要求和条件的规定。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 符合上述条件的投标人应承担投标及履约过程应承担的全部责任与义务。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2.5单位负责人为同一人或者存在直接控股、管理关系的不同供应商，不得参加同一合同项下的政府采购活动。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Theme="minorEastAsia" w:hAnsiTheme="minorEastAsia"/>
          <w:b/>
          <w:sz w:val="24"/>
        </w:rPr>
      </w:pPr>
      <w:r>
        <w:rPr>
          <w:rFonts w:hint="eastAsia" w:asciiTheme="minorEastAsia" w:hAnsiTheme="minorEastAsia"/>
          <w:b/>
          <w:sz w:val="24"/>
        </w:rPr>
        <w:t xml:space="preserve">3.适用法律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 本次招标及由此产生的合同受中华人民共和国有关的法律法规制约和保护。</w:t>
      </w:r>
      <w:r/>
    </w:p>
    <w:p>
      <w:pPr>
        <w:ind w:firstLine="482"/>
        <w:spacing w:line="500" w:lineRule="exact"/>
        <w:rPr>
          <w:rFonts w:asciiTheme="minorEastAsia" w:hAnsiTheme="minorEastAsia"/>
          <w:b/>
          <w:sz w:val="24"/>
        </w:rPr>
      </w:pPr>
      <w:r>
        <w:rPr>
          <w:rFonts w:hint="eastAsia" w:asciiTheme="minorEastAsia" w:hAnsiTheme="minorEastAsia"/>
          <w:b/>
          <w:sz w:val="24"/>
        </w:rPr>
        <w:t xml:space="preserve">4.投标费用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4.2 本次招标采购人和交易中心不收取标书工本费与中标服务费。</w:t>
      </w:r>
      <w:r/>
    </w:p>
    <w:p>
      <w:pPr>
        <w:ind w:firstLine="482"/>
        <w:spacing w:line="500" w:lineRule="exact"/>
        <w:rPr>
          <w:rFonts w:asciiTheme="minorEastAsia" w:hAnsiTheme="minorEastAsia"/>
          <w:b/>
          <w:sz w:val="24"/>
        </w:rPr>
      </w:pPr>
      <w:r>
        <w:rPr>
          <w:rFonts w:hint="eastAsia" w:asciiTheme="minorEastAsia" w:hAnsiTheme="minorEastAsia"/>
          <w:b/>
          <w:sz w:val="24"/>
        </w:rPr>
        <w:t xml:space="preserve">5.招标文件的约束力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5.1 投标人一旦参加本项目采购活动，即被认为接受了本招标文件的规定和约束。</w:t>
      </w:r>
      <w:r/>
    </w:p>
    <w:p>
      <w:pPr>
        <w:spacing w:line="500" w:lineRule="exact"/>
        <w:rPr>
          <w:rFonts w:hint="eastAsia" w:asciiTheme="minorEastAsia" w:hAnsiTheme="minorEastAsia" w:eastAsiaTheme="minorEastAsia" w:cstheme="majorBidi"/>
          <w:b/>
          <w:bCs/>
          <w:sz w:val="32"/>
          <w:szCs w:val="32"/>
          <w:lang w:val="en-US" w:eastAsia="zh-CN" w:bidi="ar-SA"/>
        </w:rPr>
      </w:pPr>
      <w:r>
        <w:rPr>
          <w:rFonts w:hint="eastAsia" w:asciiTheme="minorEastAsia" w:hAnsiTheme="minorEastAsia" w:eastAsiaTheme="minorEastAsia" w:cstheme="majorBidi"/>
          <w:b/>
          <w:bCs/>
          <w:sz w:val="32"/>
          <w:szCs w:val="32"/>
          <w:lang w:val="en-US" w:eastAsia="zh-CN" w:bidi="ar-SA"/>
        </w:rPr>
        <w:t xml:space="preserve">二、招标文件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6.招标文件构成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6.1 招标文件由以下部分组成：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（1）投标邀请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（2）投标人须知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（3）合同文本</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（4）采购需求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（5）评标方法与评标标准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请仔细检查招标文件是否齐全，如有缺漏请立即与交易中心联系解决。</w:t>
      </w:r>
      <w:r/>
    </w:p>
    <w:p>
      <w:pPr>
        <w:ind w:firstLine="482"/>
        <w:spacing w:line="500" w:lineRule="exact"/>
        <w:rPr>
          <w:rFonts w:asciiTheme="minorEastAsia" w:hAnsiTheme="minorEastAsia"/>
          <w:b/>
          <w:sz w:val="24"/>
        </w:rPr>
      </w:pPr>
      <w:r>
        <w:rPr>
          <w:rFonts w:hint="eastAsia" w:asciiTheme="minorEastAsia" w:hAnsiTheme="minorEastAsia"/>
          <w:b/>
          <w:sz w:val="24"/>
        </w:rPr>
        <w:t xml:space="preserve">7.招标文件的澄清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Theme="minorEastAsia" w:hAnsiTheme="minorEastAsia"/>
          <w:b/>
          <w:sz w:val="24"/>
        </w:rPr>
      </w:pPr>
      <w:r>
        <w:rPr>
          <w:rFonts w:hint="eastAsia" w:asciiTheme="minorEastAsia" w:hAnsiTheme="minorEastAsia"/>
          <w:b/>
          <w:sz w:val="24"/>
        </w:rPr>
        <w:t xml:space="preserve">8.招标文件的修改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8.1 在投标截止时间前，交易中心可以对招标文件进行修改。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8.2 交易中心有权按照法定的要求推迟投标截止日期和开标日期。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8.3 招标文件的修改将在江苏政府采购网公布，补充文件将作为招标文件的组成部分，并对投标人具有约束力。</w:t>
      </w:r>
      <w:r/>
    </w:p>
    <w:p>
      <w:pPr>
        <w:spacing w:line="500" w:lineRule="exact"/>
        <w:rPr>
          <w:rFonts w:hint="eastAsia" w:asciiTheme="minorEastAsia" w:hAnsiTheme="minorEastAsia" w:eastAsiaTheme="minorEastAsia" w:cstheme="majorBidi"/>
          <w:b/>
          <w:bCs/>
          <w:sz w:val="32"/>
          <w:szCs w:val="32"/>
          <w:lang w:val="en-US" w:eastAsia="zh-CN" w:bidi="ar-SA"/>
        </w:rPr>
      </w:pPr>
      <w:r>
        <w:rPr>
          <w:rFonts w:hint="eastAsia" w:asciiTheme="minorEastAsia" w:hAnsiTheme="minorEastAsia" w:eastAsiaTheme="minorEastAsia" w:cstheme="majorBidi"/>
          <w:b/>
          <w:bCs/>
          <w:sz w:val="32"/>
          <w:szCs w:val="32"/>
          <w:lang w:val="en-US" w:eastAsia="zh-CN" w:bidi="ar-SA"/>
        </w:rPr>
        <w:t xml:space="preserve">三、投标文件的编制</w:t>
      </w:r>
      <w:r/>
    </w:p>
    <w:p>
      <w:pPr>
        <w:ind w:firstLine="482"/>
        <w:spacing w:line="500" w:lineRule="exact"/>
        <w:rPr>
          <w:rFonts w:asciiTheme="minorEastAsia" w:hAnsiTheme="minorEastAsia"/>
          <w:b/>
          <w:sz w:val="24"/>
        </w:rPr>
      </w:pPr>
      <w:r>
        <w:rPr>
          <w:rFonts w:hint="eastAsia" w:asciiTheme="minorEastAsia" w:hAnsiTheme="minorEastAsia"/>
          <w:b/>
          <w:sz w:val="24"/>
        </w:rPr>
        <w:t xml:space="preserve">9.投标文件编写注意事项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9.3根据关于印发《连云港市本级优化政府采购领域营商环境2026年重点举措》的通知（连采购〔2026〕11号）规定，自2026年4月1日起，针对市本级全部集中采购项目实施暗标盲评。</w:t>
      </w:r>
      <w:r/>
    </w:p>
    <w:p>
      <w:pPr>
        <w:ind w:firstLine="480"/>
        <w:spacing w:line="50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评审因素中技术（方案）部分采用暗标评审。要求如下：方案内容、文字、各类型图表、框图均不得出现供应商名称、相关人员姓名和其他可识别供应商身份的字符、徽标、人员名称、投标人独享的企业标准或编号等内容；不得出现能显示企业特征或批注、底纹、阴影、水印等提示性的标记或标识；不得出现以前所承担过的项目名称，不得作任何标识或暗示该供应商单位名称或人员姓名的标记，相关人员姓名应以职务或职称代替。</w:t>
      </w:r>
      <w:r/>
    </w:p>
    <w:p>
      <w:pPr>
        <w:ind w:firstLine="480"/>
        <w:spacing w:line="500" w:lineRule="exact"/>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9.4</w:t>
      </w:r>
      <w:r>
        <w:rPr>
          <w:rFonts w:hint="eastAsia" w:ascii="宋体" w:hAnsi="宋体" w:eastAsia="宋体" w:cs="宋体"/>
          <w:bCs/>
          <w:color w:val="000000"/>
          <w:sz w:val="24"/>
          <w:szCs w:val="24"/>
          <w:highlight w:val="none"/>
        </w:rPr>
        <w:t xml:space="preserve">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r/>
    </w:p>
    <w:p>
      <w:pPr>
        <w:ind w:firstLine="482"/>
        <w:spacing w:line="500" w:lineRule="exact"/>
        <w:rPr>
          <w:rFonts w:asciiTheme="minorEastAsia" w:hAnsiTheme="minorEastAsia"/>
          <w:b/>
          <w:sz w:val="24"/>
        </w:rPr>
      </w:pPr>
      <w:r>
        <w:rPr>
          <w:rFonts w:hint="eastAsia" w:asciiTheme="minorEastAsia" w:hAnsiTheme="minorEastAsia"/>
          <w:b/>
          <w:sz w:val="24"/>
        </w:rPr>
        <w:t xml:space="preserve">10.投标文件的语言及度量衡单位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10.2 除技术性能另有规定外，投标文件所使用的度量衡单位，均须采用国家法定计量单位。</w:t>
      </w:r>
      <w:r/>
    </w:p>
    <w:p>
      <w:pPr>
        <w:ind w:firstLine="482"/>
        <w:spacing w:line="500" w:lineRule="exact"/>
        <w:rPr>
          <w:rFonts w:asciiTheme="minorEastAsia" w:hAnsiTheme="minorEastAsia"/>
          <w:b/>
          <w:sz w:val="24"/>
        </w:rPr>
      </w:pPr>
      <w:r>
        <w:rPr>
          <w:rFonts w:hint="eastAsia" w:asciiTheme="minorEastAsia" w:hAnsiTheme="minorEastAsia"/>
          <w:b/>
          <w:sz w:val="24"/>
        </w:rPr>
        <w:t xml:space="preserve">11.投标文件构成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11.2 如投标文件制作工具中格式和内容与江苏政府采购网发布的招标文件不一致，请以江苏政府采购网发布的招标文件为准。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4"/>
        </w:rPr>
      </w:pPr>
      <w:r>
        <w:rPr>
          <w:rFonts w:hint="eastAsia" w:asciiTheme="minorEastAsia" w:hAnsiTheme="minorEastAsia"/>
          <w:b/>
          <w:sz w:val="24"/>
        </w:rPr>
        <w:t xml:space="preserve">12.证明投标人及投标标的符合招标文件规定的文件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12.1 投标人应按照招标文件要求提交证明文件，证明其及投标标的符合招标文件规定。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12.2 招标文件对证明文件无明确形式要求的，证明文件可以以文字资料、图纸和数据等形式提交。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13.投标分项报价表</w:t>
      </w:r>
      <w:r/>
    </w:p>
    <w:p>
      <w:pPr>
        <w:ind w:firstLine="480"/>
        <w:spacing w:line="500" w:lineRule="exact"/>
        <w:rPr>
          <w:rFonts w:asciiTheme="minorEastAsia" w:hAnsiTheme="minorEastAsia"/>
          <w:sz w:val="24"/>
          <w:szCs w:val="24"/>
        </w:rPr>
      </w:pPr>
      <w:r/>
      <w:bookmarkStart w:id="2" w:name="OLE_LINK149"/>
      <w:r>
        <w:rPr>
          <w:rFonts w:hint="eastAsia" w:asciiTheme="minorEastAsia" w:hAnsiTheme="minorEastAsia"/>
          <w:sz w:val="24"/>
          <w:szCs w:val="24"/>
        </w:rPr>
        <w:t xml:space="preserve">13.1 投标人应根据投标报价要求在投标分项报价表中列明各项投标单价、总价等，未全部列示的作无效响应处理。</w:t>
      </w:r>
      <w:bookmarkEnd w:id="2"/>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13.2 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4"/>
        </w:rPr>
      </w:pPr>
      <w:r>
        <w:rPr>
          <w:rFonts w:hint="eastAsia" w:asciiTheme="minorEastAsia" w:hAnsiTheme="minorEastAsia"/>
          <w:b/>
          <w:sz w:val="24"/>
        </w:rPr>
        <w:t xml:space="preserve">14.技术要求响应及偏离表、商务要求响应及偏离表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14.2 投标人可在投标文件中提供认为需要的其他技术文件或说明。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15.服务承诺、培训计划、人员安排及其他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15.2 投标人需根据招标文件要求提供培训计划、人员安排等。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15.3 投标人需根据招标文件要求提供所投标的的主要组成部分、功能设计、实现思路及关键技术等。</w:t>
      </w:r>
      <w:r/>
    </w:p>
    <w:p>
      <w:pPr>
        <w:ind w:firstLine="482"/>
        <w:spacing w:line="500" w:lineRule="exact"/>
        <w:rPr>
          <w:rFonts w:asciiTheme="minorEastAsia" w:hAnsiTheme="minorEastAsia"/>
          <w:b/>
          <w:sz w:val="24"/>
        </w:rPr>
      </w:pPr>
      <w:r>
        <w:rPr>
          <w:rFonts w:hint="eastAsia" w:asciiTheme="minorEastAsia" w:hAnsiTheme="minorEastAsia"/>
          <w:b/>
          <w:sz w:val="24"/>
        </w:rPr>
        <w:t xml:space="preserve">16.投标函和开标一览表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16.1 投标人应按照招标文件中提供的格式完整、正确填写投标函、开标一览表。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17.投标有效期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17.1 投标有效期为交易中心规定的开标之日后六十（60）天。投标有效期比规定短的将被视为未实质性响应招标文件而予以拒绝。</w:t>
      </w:r>
      <w:r/>
    </w:p>
    <w:p>
      <w:pPr>
        <w:ind w:firstLine="480"/>
        <w:jc w:val="left"/>
        <w:spacing w:line="500" w:lineRule="exact"/>
        <w:rPr>
          <w:sz w:val="24"/>
          <w:szCs w:val="24"/>
        </w:rPr>
      </w:pPr>
      <w:r>
        <w:rPr>
          <w:rFonts w:hint="eastAsia" w:asciiTheme="minorEastAsia" w:hAnsiTheme="minorEastAsia"/>
          <w:sz w:val="24"/>
          <w:szCs w:val="24"/>
        </w:rPr>
        <w:t xml:space="preserve">17.2</w:t>
      </w:r>
      <w:r>
        <w:rPr>
          <w:rFonts w:hint="eastAsia"/>
          <w:sz w:val="24"/>
          <w:szCs w:val="24"/>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spacing w:line="500" w:lineRule="exact"/>
        <w:rPr>
          <w:rFonts w:hint="eastAsia" w:asciiTheme="minorEastAsia" w:hAnsiTheme="minorEastAsia" w:eastAsiaTheme="minorEastAsia" w:cstheme="majorBidi"/>
          <w:b/>
          <w:bCs/>
          <w:sz w:val="32"/>
          <w:szCs w:val="32"/>
          <w:lang w:val="en-US" w:eastAsia="zh-CN" w:bidi="ar-SA"/>
        </w:rPr>
      </w:pPr>
      <w:r>
        <w:rPr>
          <w:rFonts w:hint="eastAsia" w:asciiTheme="minorEastAsia" w:hAnsiTheme="minorEastAsia" w:eastAsiaTheme="minorEastAsia" w:cstheme="majorBidi"/>
          <w:b/>
          <w:bCs/>
          <w:sz w:val="32"/>
          <w:szCs w:val="32"/>
          <w:lang w:val="en-US" w:eastAsia="zh-CN" w:bidi="ar-SA"/>
        </w:rPr>
        <w:t xml:space="preserve">四、投标文件的递交</w:t>
      </w:r>
      <w:r/>
    </w:p>
    <w:p>
      <w:pPr>
        <w:ind w:firstLine="482"/>
        <w:spacing w:line="500" w:lineRule="exact"/>
        <w:rPr>
          <w:rFonts w:asciiTheme="minorEastAsia" w:hAnsiTheme="minorEastAsia"/>
          <w:b/>
          <w:sz w:val="24"/>
        </w:rPr>
      </w:pPr>
      <w:r>
        <w:rPr>
          <w:rFonts w:hint="eastAsia" w:asciiTheme="minorEastAsia" w:hAnsiTheme="minorEastAsia"/>
          <w:b/>
          <w:sz w:val="24"/>
        </w:rPr>
        <w:t xml:space="preserve">18.电子投标文件的递交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18.1 投标人应当按照《操作手册》规定，在投标截止时间前制作并递交（上传）电子投标文件。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19.投标截止时间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19.1 投标人递交（上传）电子投标文件的时间不得迟于招标公告中规定的投标截止时间。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20.投标文件的拒收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20.1 交易中心拒绝接收在其规定的投标截止时间后递交（上传）的任何投标文件。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21.投标文件的撤回和修改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 投标文件的撤回</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21.1.1 投标人可在投标截止时间前，撤回其电子投标文件，具体操作方法见《操作手册》。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21.1.2 投标人撤回电子投标文件的，则认为其不再参与本项目投标活动。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 投标文件的修改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21.2.1 投标人可在投标截止时间前，对其电子投标文件进行修改，具体操作方法见《操作手册》。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21.2.2 在投标截止时间之后，投标人不得对其电子投标文件做任何修改。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21.3 在投标截止时间至招标文件中规定的投标有效期满之间的这段时间内，投标人不得撤回其投标。</w:t>
      </w:r>
      <w:r/>
    </w:p>
    <w:p>
      <w:pPr>
        <w:spacing w:line="500" w:lineRule="exact"/>
        <w:rPr>
          <w:rFonts w:hint="eastAsia" w:asciiTheme="minorEastAsia" w:hAnsiTheme="minorEastAsia" w:eastAsiaTheme="minorEastAsia" w:cstheme="majorBidi"/>
          <w:b/>
          <w:bCs/>
          <w:sz w:val="32"/>
          <w:szCs w:val="32"/>
          <w:lang w:val="en-US" w:eastAsia="zh-CN" w:bidi="ar-SA"/>
        </w:rPr>
      </w:pPr>
      <w:r>
        <w:rPr>
          <w:rFonts w:hint="eastAsia" w:asciiTheme="minorEastAsia" w:hAnsiTheme="minorEastAsia" w:eastAsiaTheme="minorEastAsia" w:cstheme="majorBidi"/>
          <w:b/>
          <w:bCs/>
          <w:sz w:val="32"/>
          <w:szCs w:val="32"/>
          <w:lang w:val="en-US" w:eastAsia="zh-CN" w:bidi="ar-SA"/>
        </w:rPr>
        <w:t xml:space="preserve">五、开标与评标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22.开标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22.2 开标仪式由交易中心组织。“苏采云”系统将自动对项目进行开标，并宣布各投标人名称和投标价格。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22.3 投标人在开标过程中涉及到的投标文件解密、开标结果确认等工作，应当按照《操作手册》规定执行。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22.5 投标人未参加开标的，视同认可开标结果。</w:t>
      </w:r>
      <w:r/>
    </w:p>
    <w:p>
      <w:pPr>
        <w:ind w:firstLine="482"/>
        <w:spacing w:line="500" w:lineRule="exact"/>
        <w:rPr>
          <w:rFonts w:asciiTheme="minorEastAsia" w:hAnsiTheme="minorEastAsia"/>
          <w:b/>
          <w:sz w:val="24"/>
        </w:rPr>
      </w:pPr>
      <w:r>
        <w:rPr>
          <w:rFonts w:hint="eastAsia" w:asciiTheme="minorEastAsia" w:hAnsiTheme="minorEastAsia"/>
          <w:b/>
          <w:sz w:val="24"/>
        </w:rPr>
        <w:t xml:space="preserve">23.评标委员会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23.1 开标后，交易中心将立即组织评委会进行评标。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23.2 评委会由采购人代表和有关技术、经济等方面的评审专家组成，且人员构成符合政府采购有关规定。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23.3 评委会按照采购文件规定的评审程序、评审方法和评审标准进行独立评审并确定中标候选人。</w:t>
      </w:r>
      <w:r/>
    </w:p>
    <w:p>
      <w:pPr>
        <w:ind w:firstLine="482"/>
        <w:spacing w:line="500" w:lineRule="exact"/>
        <w:rPr>
          <w:rFonts w:asciiTheme="minorEastAsia" w:hAnsiTheme="minorEastAsia"/>
          <w:b/>
          <w:sz w:val="24"/>
        </w:rPr>
      </w:pPr>
      <w:r>
        <w:rPr>
          <w:rFonts w:hint="eastAsia" w:asciiTheme="minorEastAsia" w:hAnsiTheme="minorEastAsia"/>
          <w:b/>
          <w:sz w:val="24"/>
        </w:rPr>
        <w:t xml:space="preserve">24.评标过程的保密与公正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24.2 在评标过程中，投标人不得以任何行为影响评标过程，否则其投标文件将被作为无效投标文件。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24.3 交易中心和评委会不向未中标的投标人解释未中标原因，也不公布评标过程中的相关细节。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4"/>
        </w:rPr>
      </w:pPr>
      <w:r>
        <w:rPr>
          <w:rFonts w:hint="eastAsia" w:asciiTheme="minorEastAsia" w:hAnsiTheme="minorEastAsia"/>
          <w:b/>
          <w:sz w:val="24"/>
        </w:rPr>
        <w:t xml:space="preserve">25.投标文件的澄清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评委会并非对每个投标人都做澄清、说明或者补正要求。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25.3 接到评委会澄清、说明或者补正要求的投标人如未按规定响应，其风险由投标人自行承担。</w:t>
      </w:r>
      <w:r/>
    </w:p>
    <w:p>
      <w:pPr>
        <w:ind w:firstLine="482"/>
        <w:spacing w:line="500" w:lineRule="exact"/>
        <w:rPr>
          <w:rFonts w:asciiTheme="minorEastAsia" w:hAnsiTheme="minorEastAsia"/>
          <w:b/>
          <w:sz w:val="24"/>
        </w:rPr>
      </w:pPr>
      <w:r>
        <w:rPr>
          <w:rFonts w:hint="eastAsia" w:asciiTheme="minorEastAsia" w:hAnsiTheme="minorEastAsia"/>
          <w:b/>
          <w:sz w:val="24"/>
        </w:rPr>
        <w:t xml:space="preserve">26.对投标文件的审查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 投标文件审查分为资格审查和符合性审查。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采购人资格审查的同时，在信用中国网站（www.creditchina.gov.cn）、查询投标人的信用记录，以确定投标人是否具备投标资格，查询结果留存并归档。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（一）政府采购评审中出现下列情形之一的，评审委员会应当启动异常低价投标审查程序：</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1.投标报价低于全部通过符合性审查供应商投标报价平均值50%的，即投标报价&lt;全部通过符合性审查供应商投标报价平均值×50%；</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2.投标报价低于通过符合性审查的次低报价供应商投标报价50%的，即投标报价&lt;通过符合性审查的次低报价供应商投标报价×50%；</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3.投标报价低于采购项目最高限价</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5%的，即投标报价&lt;采购项目最高限价×</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4.评审委员会基于专业判断，认为供应商报价过低，有可能影响产品质量或者不能诚信履约的其他情形。</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26.1.4未通过资格审查或符合性审查的投标人，将通过“苏采云”系统中告知其未通过的原因，评审结束后，将不再告知。</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所谓重大偏离或保留是指与招标文件规定的实质性要求存在负偏离，或者在实质上与招标文件不一致，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 xml:space="preserve">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（1）投标文件中开标一览表内容与投标文件中相应内容不一致的，以开标一览表为准。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（2）大写金额和小写金额不一致的，以大写金额为准。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（3）单价金额小数点或者百分比有明显错位的，以开标一览表的总价为准，并修改单价。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（4）总价金额与按单价汇总金额不一致的，以单价金额计算结果为准。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同时出现两种以上错误的，按照前款规定的顺序修正。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非单一产品采购项目，招标文件中将载明核心产品。多家投标人提供的核心产品品牌相同的，按前两款规定处理。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Theme="minorEastAsia" w:hAnsiTheme="minorEastAsia"/>
          <w:b/>
          <w:sz w:val="24"/>
        </w:rPr>
      </w:pPr>
      <w:r>
        <w:rPr>
          <w:rFonts w:hint="eastAsia" w:asciiTheme="minorEastAsia" w:hAnsiTheme="minorEastAsia"/>
          <w:b/>
          <w:sz w:val="24"/>
        </w:rPr>
        <w:t xml:space="preserve">27.无效投标条款和废标条款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27.1 无效投标条款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（1）投标人未按照招标文件要求递交（上传）电子投标文件的。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（2）投标人在“苏采云”系统规定的时间内未成功解密电子投标文件的。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（3）投标人不具备招标文件中规定的资格要求的。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（5）投标人提交两个（含两个）以上不同的投标报价的。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（6）投标人的报价超过了采购预算或者最高限价的。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（8）不符合招标文件中规定的实质性要求和条件的（本招标文件中斜体且有下划线部分为实质性要求和条件）。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（10）投标人未通过符合性审查的。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（11）投标文件含有采购人不能接受的附加条件的。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（12）投标文件未按照招标文件要求加盖公章（CA电子公章）的。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（13）其他法律、法规及本招标文件规定的属于无效投标的情形。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27.2 有下列情形之一的，视为投标人串通投标，投标无效：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（1）不同投标人的投标文件由同一单位或者个人编制。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（2）不同投标人委托同一单位或者个人办理投标事宜。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（3）不同投标人的投标文件载明的项目管理成员或者联系人员为同一人。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（4）不同投标人的投标文件异常一致或者投标报价呈规律性差异。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27.3 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（1）因“苏采云”系统系统故障原因造成开标不成功的。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（2）评委会认定招标文件存在歧义、重大缺陷导致评审工作无法进行的。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（3）符合专业条件的供应商或者对招标文件作实质响应的供应商不足三家的。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（4）出现影响采购公正的违法、违规行为的。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（5）因重大变故，采购任务取消的。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27.4 出现投标截止时间结束后参加投标的供应商或者在评标期间对招标文件做出实质响应的供应商不足三家情况的，按照政府采购相关规定执行。</w:t>
      </w:r>
      <w:r/>
    </w:p>
    <w:p>
      <w:pPr>
        <w:spacing w:line="500" w:lineRule="exact"/>
        <w:rPr>
          <w:rFonts w:hint="eastAsia" w:asciiTheme="minorEastAsia" w:hAnsiTheme="minorEastAsia" w:eastAsiaTheme="minorEastAsia" w:cstheme="majorBidi"/>
          <w:b/>
          <w:bCs/>
          <w:sz w:val="32"/>
          <w:szCs w:val="32"/>
          <w:lang w:val="en-US" w:eastAsia="zh-CN" w:bidi="ar-SA"/>
        </w:rPr>
      </w:pPr>
      <w:r>
        <w:rPr>
          <w:rFonts w:hint="eastAsia" w:asciiTheme="minorEastAsia" w:hAnsiTheme="minorEastAsia" w:eastAsiaTheme="minorEastAsia" w:cstheme="majorBidi"/>
          <w:b/>
          <w:bCs/>
          <w:sz w:val="32"/>
          <w:szCs w:val="32"/>
          <w:lang w:val="en-US" w:eastAsia="zh-CN" w:bidi="ar-SA"/>
        </w:rPr>
        <w:t xml:space="preserve">六、定标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28.确定中标单位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28.2 采购人应根据评委会推荐的中标候选人确定中标人。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28.3 交易中心将在江苏政府采购网发布中标公告，公告期限为1个工作日。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28.4 若有充分证据证明，中标人存在下列情况之一的，一经查实，将被取消中标资格：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（3）与采购人、其他供应商或者采购代理机构恶意串通的。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（4）向采购人、交易中心行贿或者提供其他不正当利益的。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（5）在招标采购过程中与采购人进行协商谈判的。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（6）属于本文件规定的无效条件，但在评标过程中又未被评委会发现的。</w:t>
      </w:r>
      <w:r/>
    </w:p>
    <w:p>
      <w:pPr>
        <w:ind w:firstLine="482"/>
        <w:spacing w:line="500" w:lineRule="exact"/>
        <w:rPr>
          <w:rFonts w:asciiTheme="minorEastAsia" w:hAnsiTheme="minorEastAsia"/>
          <w:b/>
          <w:sz w:val="24"/>
        </w:rPr>
      </w:pPr>
      <w:r>
        <w:rPr>
          <w:rFonts w:hint="eastAsia" w:asciiTheme="minorEastAsia" w:hAnsiTheme="minorEastAsia"/>
          <w:b/>
          <w:sz w:val="24"/>
        </w:rPr>
        <w:t xml:space="preserve">29.中标通知书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29.3 中标人在中标后七个工作日内，需向采购人和交易中心各提供一份与电子投标文件一致的纸质打印胶装投标文件，封面、骑缝需加盖公章。</w:t>
      </w:r>
      <w:r/>
    </w:p>
    <w:p>
      <w:pPr>
        <w:spacing w:line="500" w:lineRule="exact"/>
        <w:rPr>
          <w:rFonts w:hint="eastAsia" w:asciiTheme="minorEastAsia" w:hAnsiTheme="minorEastAsia" w:eastAsiaTheme="minorEastAsia" w:cstheme="majorBidi"/>
          <w:b/>
          <w:bCs/>
          <w:sz w:val="32"/>
          <w:szCs w:val="32"/>
          <w:lang w:val="en-US" w:eastAsia="zh-CN" w:bidi="ar-SA"/>
        </w:rPr>
      </w:pPr>
      <w:r>
        <w:rPr>
          <w:rFonts w:hint="eastAsia" w:asciiTheme="minorEastAsia" w:hAnsiTheme="minorEastAsia" w:eastAsiaTheme="minorEastAsia" w:cstheme="majorBidi"/>
          <w:b/>
          <w:bCs/>
          <w:sz w:val="32"/>
          <w:szCs w:val="32"/>
          <w:lang w:val="en-US" w:eastAsia="zh-CN" w:bidi="ar-SA"/>
        </w:rPr>
        <w:t xml:space="preserve">七、履约保证金及授予合同</w:t>
      </w:r>
      <w:r/>
    </w:p>
    <w:p>
      <w:pPr>
        <w:ind w:firstLine="482"/>
        <w:spacing w:line="500" w:lineRule="exact"/>
        <w:rPr>
          <w:rFonts w:asciiTheme="minorEastAsia" w:hAnsiTheme="minorEastAsia"/>
          <w:b/>
          <w:sz w:val="24"/>
        </w:rPr>
      </w:pPr>
      <w:r>
        <w:rPr>
          <w:rFonts w:hint="eastAsia" w:asciiTheme="minorEastAsia" w:hAnsiTheme="minorEastAsia"/>
          <w:b/>
          <w:sz w:val="24"/>
        </w:rPr>
        <w:t xml:space="preserve">30.履约保证金</w:t>
      </w:r>
      <w:r/>
    </w:p>
    <w:p>
      <w:pPr>
        <w:ind w:firstLine="480"/>
        <w:spacing w:line="500" w:lineRule="exact"/>
        <w:rPr>
          <w:rFonts w:asciiTheme="minorEastAsia" w:hAnsiTheme="minorEastAsia"/>
          <w:bCs/>
          <w:sz w:val="24"/>
          <w:szCs w:val="24"/>
        </w:rPr>
      </w:pPr>
      <w:r>
        <w:rPr>
          <w:rFonts w:hint="eastAsia" w:asciiTheme="minorEastAsia" w:hAnsiTheme="minorEastAsia"/>
          <w:sz w:val="24"/>
          <w:szCs w:val="24"/>
        </w:rPr>
        <w:t xml:space="preserve">30.1 履约保证金的数额不得超过政府采购合同金额的10%。中标人应当以支票、汇票、本票或者金融机构、担保机构出具的保函等非现金形式提交。</w:t>
      </w:r>
      <w:r>
        <w:rPr>
          <w:rFonts w:hint="eastAsia" w:asciiTheme="minorEastAsia" w:hAnsiTheme="minorEastAsia"/>
          <w:bCs/>
          <w:sz w:val="24"/>
          <w:szCs w:val="24"/>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30.5 本项目履约保证金要求详见招标文件第四章 采购需求。</w:t>
      </w:r>
      <w:r/>
    </w:p>
    <w:p>
      <w:pPr>
        <w:ind w:firstLine="482"/>
        <w:spacing w:line="500" w:lineRule="exact"/>
        <w:rPr>
          <w:rFonts w:asciiTheme="minorEastAsia" w:hAnsiTheme="minorEastAsia"/>
          <w:b/>
          <w:sz w:val="24"/>
        </w:rPr>
      </w:pPr>
      <w:r>
        <w:rPr>
          <w:rFonts w:hint="eastAsia" w:asciiTheme="minorEastAsia" w:hAnsiTheme="minorEastAsia"/>
          <w:b/>
          <w:sz w:val="24"/>
        </w:rPr>
        <w:t xml:space="preserve">31.签订合同</w:t>
      </w:r>
      <w:r/>
    </w:p>
    <w:p>
      <w:pPr>
        <w:ind w:firstLine="480"/>
        <w:spacing w:line="500" w:lineRule="exact"/>
        <w:rPr>
          <w:rFonts w:asciiTheme="minorEastAsia" w:hAnsiTheme="minorEastAsia"/>
          <w:sz w:val="24"/>
        </w:rPr>
      </w:pPr>
      <w:r>
        <w:rPr>
          <w:rFonts w:hint="eastAsia" w:asciiTheme="minorEastAsia" w:hAnsiTheme="minorEastAsia"/>
          <w:sz w:val="24"/>
        </w:rPr>
        <w:t xml:space="preserve">31.1 中标人应当在中标通知书发出之日起三十日内，按照招标文件和中标人投标文件的规定，与采购人签订政府采购合同。</w:t>
      </w:r>
      <w:r/>
    </w:p>
    <w:p>
      <w:pPr>
        <w:ind w:firstLine="480"/>
        <w:spacing w:line="500" w:lineRule="exact"/>
        <w:rPr>
          <w:rFonts w:asciiTheme="minorEastAsia" w:hAnsiTheme="minorEastAsia"/>
          <w:sz w:val="24"/>
        </w:rPr>
      </w:pPr>
      <w:r>
        <w:rPr>
          <w:rFonts w:hint="eastAsia" w:asciiTheme="minorEastAsia" w:hAnsiTheme="minorEastAsia"/>
          <w:sz w:val="24"/>
        </w:rPr>
        <w:t xml:space="preserve">31.2 招标文件、中标人的投标文件及招标过程中有关澄清、承诺等文件均应作为合同附件。</w:t>
      </w:r>
      <w:r/>
    </w:p>
    <w:p>
      <w:pPr>
        <w:ind w:firstLine="480"/>
        <w:spacing w:line="500" w:lineRule="exact"/>
        <w:rPr>
          <w:rFonts w:asciiTheme="minorEastAsia" w:hAnsiTheme="minorEastAsia"/>
          <w:sz w:val="24"/>
        </w:rPr>
      </w:pPr>
      <w:r>
        <w:rPr>
          <w:rFonts w:hint="eastAsia" w:asciiTheme="minorEastAsia" w:hAnsiTheme="minorEastAsia"/>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Theme="minorEastAsia" w:hAnsiTheme="minorEastAsia"/>
          <w:b/>
          <w:sz w:val="24"/>
        </w:rPr>
      </w:pPr>
      <w:r>
        <w:rPr>
          <w:rFonts w:hint="eastAsia" w:asciiTheme="minorEastAsia" w:hAnsiTheme="minorEastAsia"/>
          <w:b/>
          <w:sz w:val="24"/>
        </w:rPr>
        <w:t xml:space="preserve">32.合同标的的追加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31.1 政府采购合同履行中，采购人需追加与合同标的相同的服务</w:t>
      </w:r>
      <w:bookmarkStart w:id="3" w:name="OLE_LINK150"/>
      <w:r>
        <w:rPr>
          <w:rFonts w:hint="eastAsia" w:asciiTheme="minorEastAsia" w:hAnsiTheme="minorEastAsia"/>
          <w:sz w:val="24"/>
          <w:szCs w:val="24"/>
        </w:rPr>
        <w:t xml:space="preserve">（包含与服务相关的货物）</w:t>
      </w:r>
      <w:bookmarkEnd w:id="3"/>
      <w:r>
        <w:rPr>
          <w:rFonts w:hint="eastAsia" w:asciiTheme="minorEastAsia" w:hAnsiTheme="minorEastAsia"/>
          <w:sz w:val="24"/>
          <w:szCs w:val="24"/>
        </w:rPr>
        <w:t xml:space="preserve">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sz w:val="24"/>
        </w:rPr>
      </w:pPr>
      <w:r>
        <w:rPr>
          <w:rFonts w:hint="eastAsia" w:asciiTheme="minorEastAsia" w:hAnsiTheme="minorEastAsia"/>
          <w:b/>
          <w:sz w:val="24"/>
        </w:rPr>
        <w:t xml:space="preserve">33.政府采购履约资金扶持政策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32.1 中标人可凭政府采购合同办理融资贷款，详情请见江苏政府采购网“政采贷”专栏。</w:t>
      </w:r>
      <w:r/>
    </w:p>
    <w:p>
      <w:pPr>
        <w:spacing w:line="500" w:lineRule="exact"/>
        <w:rPr>
          <w:rFonts w:hint="eastAsia" w:asciiTheme="minorEastAsia" w:hAnsiTheme="minorEastAsia" w:eastAsiaTheme="minorEastAsia" w:cstheme="majorBidi"/>
          <w:b/>
          <w:bCs/>
          <w:sz w:val="32"/>
          <w:szCs w:val="32"/>
          <w:lang w:val="en-US" w:eastAsia="zh-CN" w:bidi="ar-SA"/>
        </w:rPr>
      </w:pPr>
      <w:r>
        <w:rPr>
          <w:rFonts w:hint="eastAsia" w:asciiTheme="minorEastAsia" w:hAnsiTheme="minorEastAsia" w:eastAsiaTheme="minorEastAsia" w:cstheme="majorBidi"/>
          <w:b/>
          <w:bCs/>
          <w:sz w:val="32"/>
          <w:szCs w:val="32"/>
          <w:lang w:val="en-US" w:eastAsia="zh-CN" w:bidi="ar-SA"/>
        </w:rPr>
        <w:t xml:space="preserve">八、询问与质疑</w:t>
      </w:r>
      <w:r/>
    </w:p>
    <w:p>
      <w:pPr>
        <w:ind w:firstLine="482"/>
        <w:spacing w:line="500" w:lineRule="exact"/>
        <w:rPr>
          <w:rFonts w:asciiTheme="minorEastAsia" w:hAnsiTheme="minorEastAsia"/>
          <w:b/>
          <w:sz w:val="24"/>
        </w:rPr>
      </w:pPr>
      <w:r>
        <w:rPr>
          <w:rFonts w:hint="eastAsia" w:asciiTheme="minorEastAsia" w:hAnsiTheme="minorEastAsia"/>
          <w:b/>
          <w:sz w:val="24"/>
        </w:rPr>
        <w:t xml:space="preserve">34.询问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Theme="minorEastAsia" w:hAnsiTheme="minorEastAsia"/>
          <w:b/>
          <w:sz w:val="24"/>
        </w:rPr>
      </w:pPr>
      <w:r>
        <w:rPr>
          <w:rFonts w:hint="eastAsia" w:asciiTheme="minorEastAsia" w:hAnsiTheme="minorEastAsia"/>
          <w:b/>
          <w:sz w:val="24"/>
        </w:rPr>
        <w:t xml:space="preserve">35.质疑提出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35.1 提出质疑的供应商应当是参与所质疑项目采购活动的供应商。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（4）事实依据；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Theme="minorEastAsia" w:hAnsiTheme="minorEastAsia"/>
          <w:b/>
          <w:sz w:val="24"/>
        </w:rPr>
      </w:pPr>
      <w:r>
        <w:rPr>
          <w:rFonts w:hint="eastAsia" w:asciiTheme="minorEastAsia" w:hAnsiTheme="minorEastAsia"/>
          <w:b/>
          <w:sz w:val="24"/>
        </w:rPr>
        <w:t xml:space="preserve">36.质疑函的受理和答复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36.3 对不符合质疑要求的，采购人、交易中心有权要求其补充必要的证明材料，质疑供应商未在法定的时间内提供补充必要的证明材料的，视同放弃质疑。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36.4 以下情形的质疑不予受理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（3）以传真、电子邮件等方式递交的非原件形式的质疑。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（4）未参加采购活动的供应商或在采购活动中自身权益未受到损害的供应商所提出的质疑。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（5）供应商组成联合体，联合体中任何一方或多方未按要求签字（盖章）、加盖公章的质疑。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36.5 采购人、交易中心依法受理的质疑，将按照政府采购有关规定，在法定期限内答复。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37.1 未尽事宜，依照有关法律、法规执行。</w:t>
      </w:r>
      <w:r/>
    </w:p>
    <w:p>
      <w:pPr>
        <w:spacing w:line="500" w:lineRule="exact"/>
        <w:rPr>
          <w:rFonts w:hint="eastAsia" w:asciiTheme="minorEastAsia" w:hAnsiTheme="minorEastAsia" w:eastAsiaTheme="minorEastAsia" w:cstheme="majorBidi"/>
          <w:b/>
          <w:bCs/>
          <w:sz w:val="32"/>
          <w:szCs w:val="32"/>
          <w:lang w:val="en-US" w:eastAsia="zh-CN" w:bidi="ar-SA"/>
        </w:rPr>
      </w:pPr>
      <w:r>
        <w:rPr>
          <w:rFonts w:hint="eastAsia" w:asciiTheme="minorEastAsia" w:hAnsiTheme="minorEastAsia" w:eastAsiaTheme="minorEastAsia" w:cstheme="majorBidi"/>
          <w:b/>
          <w:bCs/>
          <w:sz w:val="32"/>
          <w:szCs w:val="32"/>
          <w:lang w:val="en-US" w:eastAsia="zh-CN" w:bidi="ar-SA"/>
        </w:rPr>
        <w:t xml:space="preserve">九、政府采购政策功能</w:t>
      </w:r>
      <w:r/>
    </w:p>
    <w:p>
      <w:pPr>
        <w:ind w:firstLine="482"/>
        <w:spacing w:line="500" w:lineRule="exact"/>
        <w:rPr>
          <w:rFonts w:asciiTheme="minorEastAsia" w:hAnsiTheme="minorEastAsia"/>
          <w:b/>
          <w:sz w:val="24"/>
        </w:rPr>
      </w:pPr>
      <w:r>
        <w:rPr>
          <w:rFonts w:hint="eastAsia" w:asciiTheme="minorEastAsia" w:hAnsiTheme="minorEastAsia"/>
          <w:b/>
          <w:sz w:val="24"/>
        </w:rPr>
        <w:t xml:space="preserve">38.促进中小企业发展</w:t>
      </w:r>
      <w:r/>
    </w:p>
    <w:p>
      <w:pPr>
        <w:ind w:firstLine="480"/>
        <w:spacing w:line="500" w:lineRule="exact"/>
        <w:rPr>
          <w:rFonts w:asciiTheme="minorEastAsia" w:hAnsiTheme="minorEastAsia"/>
          <w:sz w:val="24"/>
          <w:szCs w:val="24"/>
        </w:rPr>
      </w:pPr>
      <w:r/>
      <w:bookmarkStart w:id="4" w:name="OLE_LINK151"/>
      <w:r>
        <w:rPr>
          <w:rFonts w:hint="eastAsia" w:asciiTheme="minorEastAsia" w:hAnsiTheme="minorEastAsia"/>
          <w:sz w:val="24"/>
          <w:szCs w:val="24"/>
        </w:rPr>
        <w:t xml:space="preserve">本项目对提供的服务全部由小型企业、微型企业、残疾人福利性单位和监狱企业承接的报价给予10%的扣除，用扣除后的价格参与评审。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38.3 参加本项目政府采购活动的供应商享受价格评审优惠的应当提供的材料：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（1）投标人为小型企业、微型企业的，提供《中小企业声明函》（第六章 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38.4 残疾人福利单位、监狱企业属于小型企业、微型企业的，不重复享受政策。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38.5 享受扶持政策获得政府采购合同的，小微企业不得将合同分包给大中型企业，中型企业不得将合同分包给大型企业。</w:t>
      </w:r>
      <w:bookmarkEnd w:id="4"/>
      <w:r/>
      <w:r/>
    </w:p>
    <w:p>
      <w:pPr>
        <w:numPr>
          <w:ilvl w:val="0"/>
          <w:numId w:val="0"/>
        </w:numPr>
        <w:ind w:firstLine="482"/>
        <w:spacing w:line="500" w:lineRule="exact"/>
        <w:rPr>
          <w:rFonts w:ascii="宋体" w:hAnsi="宋体" w:cs="宋体"/>
          <w:b/>
          <w:sz w:val="24"/>
          <w:szCs w:val="24"/>
        </w:rPr>
      </w:pPr>
      <w:r>
        <w:rPr>
          <w:rFonts w:hint="eastAsia" w:ascii="宋体" w:hAnsi="宋体" w:cs="宋体"/>
          <w:b/>
          <w:sz w:val="24"/>
          <w:szCs w:val="24"/>
          <w:lang w:val="en-US" w:eastAsia="zh-CN"/>
        </w:rPr>
        <w:t xml:space="preserve">39.</w:t>
      </w:r>
      <w:r>
        <w:rPr>
          <w:rFonts w:hint="eastAsia" w:ascii="宋体" w:hAnsi="宋体" w:cs="宋体"/>
          <w:b/>
          <w:sz w:val="24"/>
          <w:szCs w:val="24"/>
        </w:rPr>
        <w:t xml:space="preserve">采购本国产品的支持政策</w:t>
      </w:r>
      <w:r/>
    </w:p>
    <w:p>
      <w:pPr>
        <w:ind w:firstLine="480"/>
        <w:spacing w:line="500" w:lineRule="exact"/>
        <w:rPr>
          <w:rFonts w:ascii="宋体" w:hAnsi="宋体" w:cs="宋体"/>
          <w:bCs/>
          <w:sz w:val="24"/>
          <w:szCs w:val="24"/>
        </w:rPr>
      </w:pPr>
      <w:r>
        <w:rPr>
          <w:rFonts w:hint="eastAsia" w:ascii="宋体" w:hAnsi="宋体" w:cs="宋体"/>
          <w:bCs/>
          <w:sz w:val="24"/>
          <w:szCs w:val="24"/>
          <w:lang w:val="en-US" w:eastAsia="zh-CN"/>
        </w:rPr>
        <w:t xml:space="preserve">39</w:t>
      </w:r>
      <w:r>
        <w:rPr>
          <w:rFonts w:hint="eastAsia" w:ascii="宋体" w:hAnsi="宋体" w:cs="宋体"/>
          <w:bCs/>
          <w:sz w:val="24"/>
          <w:szCs w:val="24"/>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spacing w:line="500" w:lineRule="exact"/>
        <w:rPr>
          <w:rFonts w:ascii="宋体" w:hAnsi="宋体" w:cs="宋体"/>
          <w:bCs/>
          <w:sz w:val="24"/>
          <w:szCs w:val="24"/>
        </w:rPr>
      </w:pPr>
      <w:r>
        <w:rPr>
          <w:rFonts w:hint="eastAsia" w:ascii="宋体" w:hAnsi="宋体" w:cs="宋体"/>
          <w:bCs/>
          <w:sz w:val="24"/>
          <w:szCs w:val="24"/>
          <w:lang w:val="en-US" w:eastAsia="zh-CN"/>
        </w:rPr>
        <w:t xml:space="preserve">39</w:t>
      </w:r>
      <w:r>
        <w:rPr>
          <w:rFonts w:hint="eastAsia" w:ascii="宋体" w:hAnsi="宋体" w:cs="宋体"/>
          <w:bCs/>
          <w:sz w:val="24"/>
          <w:szCs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rPr>
          <w:rFonts w:ascii="宋体" w:hAnsi="宋体" w:cs="宋体"/>
          <w:bCs/>
          <w:sz w:val="24"/>
          <w:szCs w:val="24"/>
        </w:rPr>
      </w:pPr>
      <w:r>
        <w:rPr>
          <w:rFonts w:hint="eastAsia" w:ascii="宋体" w:hAnsi="宋体" w:cs="宋体"/>
          <w:bCs/>
          <w:sz w:val="24"/>
          <w:szCs w:val="24"/>
          <w:lang w:val="en-US" w:eastAsia="zh-CN"/>
        </w:rPr>
        <w:t xml:space="preserve">39</w:t>
      </w:r>
      <w:r>
        <w:rPr>
          <w:rFonts w:hint="eastAsia" w:ascii="宋体" w:hAnsi="宋体" w:cs="宋体"/>
          <w:bCs/>
          <w:sz w:val="24"/>
          <w:szCs w:val="24"/>
        </w:rPr>
        <w:t xml:space="preserve">.3 供应商需按照招标文件的要求提供《关于符合本国产品标准的声明函》（以下简称《声明函》），如不提供将不享受本国产品价格评审优惠。</w:t>
      </w:r>
      <w:r/>
    </w:p>
    <w:p>
      <w:pPr>
        <w:ind w:firstLine="480"/>
        <w:spacing w:line="500" w:lineRule="exact"/>
        <w:rPr>
          <w:rFonts w:ascii="宋体" w:hAnsi="宋体" w:cs="宋体"/>
          <w:bCs/>
          <w:sz w:val="24"/>
          <w:szCs w:val="24"/>
        </w:rPr>
      </w:pPr>
      <w:r>
        <w:rPr>
          <w:rFonts w:hint="eastAsia" w:ascii="宋体" w:hAnsi="宋体" w:cs="宋体"/>
          <w:bCs/>
          <w:sz w:val="24"/>
          <w:szCs w:val="24"/>
          <w:lang w:val="en-US" w:eastAsia="zh-CN"/>
        </w:rPr>
        <w:t xml:space="preserve">39</w:t>
      </w:r>
      <w:r>
        <w:rPr>
          <w:rFonts w:hint="eastAsia" w:ascii="宋体" w:hAnsi="宋体" w:cs="宋体"/>
          <w:bCs/>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00" w:lineRule="exact"/>
        <w:rPr>
          <w:rFonts w:ascii="宋体" w:hAnsi="宋体" w:cs="宋体"/>
          <w:bCs/>
          <w:sz w:val="24"/>
          <w:szCs w:val="24"/>
        </w:rPr>
      </w:pPr>
      <w:r>
        <w:rPr>
          <w:rFonts w:hint="eastAsia" w:ascii="宋体" w:hAnsi="宋体" w:cs="宋体"/>
          <w:bCs/>
          <w:sz w:val="24"/>
          <w:szCs w:val="24"/>
          <w:lang w:val="en-US" w:eastAsia="zh-CN"/>
        </w:rPr>
        <w:t xml:space="preserve">39</w:t>
      </w:r>
      <w:r>
        <w:rPr>
          <w:rFonts w:hint="eastAsia" w:ascii="宋体" w:hAnsi="宋体" w:cs="宋体"/>
          <w:bCs/>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00" w:lineRule="exact"/>
        <w:rPr>
          <w:rFonts w:hint="eastAsia" w:asciiTheme="minorEastAsia" w:hAnsiTheme="minorEastAsia"/>
          <w:b/>
          <w:sz w:val="24"/>
        </w:rPr>
      </w:pPr>
      <w:r>
        <w:rPr>
          <w:rFonts w:hint="eastAsia" w:ascii="宋体" w:hAnsi="宋体" w:cs="宋体"/>
          <w:bCs/>
          <w:sz w:val="24"/>
          <w:szCs w:val="24"/>
          <w:lang w:val="en-US" w:eastAsia="zh-CN"/>
        </w:rPr>
        <w:t xml:space="preserve">39</w:t>
      </w:r>
      <w:r>
        <w:rPr>
          <w:rFonts w:hint="eastAsia" w:ascii="宋体" w:hAnsi="宋体" w:cs="宋体"/>
          <w:bCs/>
          <w:sz w:val="24"/>
          <w:szCs w:val="24"/>
        </w:rPr>
        <w:t xml:space="preserve">.6政府采购中的本国产品标准及其他未尽事宜详见《国务院办公厅关于在政府采购中实施本国产品标准及相关政策的通知》（国办发〔2025〕34号）。</w:t>
      </w:r>
      <w:r/>
    </w:p>
    <w:p>
      <w:pPr>
        <w:ind w:firstLine="482"/>
        <w:spacing w:line="500" w:lineRule="exact"/>
        <w:rPr>
          <w:rFonts w:asciiTheme="minorEastAsia" w:hAnsiTheme="minorEastAsia"/>
          <w:b/>
          <w:sz w:val="24"/>
        </w:rPr>
      </w:pPr>
      <w:r>
        <w:rPr>
          <w:rFonts w:hint="eastAsia" w:asciiTheme="minorEastAsia" w:hAnsiTheme="minorEastAsia"/>
          <w:b/>
          <w:sz w:val="24"/>
          <w:lang w:val="en-US" w:eastAsia="zh-CN"/>
        </w:rPr>
        <w:t xml:space="preserve">40</w:t>
      </w:r>
      <w:r>
        <w:rPr>
          <w:rFonts w:hint="eastAsia" w:asciiTheme="minorEastAsia" w:hAnsiTheme="minorEastAsia"/>
          <w:b/>
          <w:sz w:val="24"/>
        </w:rPr>
        <w:t xml:space="preserve">.支持绿色发展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lang w:val="en-US" w:eastAsia="zh-CN"/>
        </w:rPr>
        <w:t xml:space="preserve">40</w:t>
      </w:r>
      <w:r>
        <w:rPr>
          <w:rFonts w:hint="eastAsia" w:asciiTheme="minorEastAsia" w:hAnsiTheme="minorEastAsia"/>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Theme="minorEastAsia" w:hAnsiTheme="minorEastAsia"/>
          <w:sz w:val="24"/>
          <w:szCs w:val="24"/>
        </w:rPr>
      </w:pPr>
      <w:r>
        <w:rPr>
          <w:rFonts w:hint="eastAsia" w:asciiTheme="minorEastAsia" w:hAnsiTheme="minorEastAsia"/>
          <w:sz w:val="24"/>
          <w:szCs w:val="24"/>
          <w:lang w:val="en-US" w:eastAsia="zh-CN"/>
        </w:rPr>
        <w:t xml:space="preserve">40</w:t>
      </w:r>
      <w:r>
        <w:rPr>
          <w:rFonts w:hint="eastAsia" w:asciiTheme="minorEastAsia" w:hAnsiTheme="minorEastAsia"/>
          <w:sz w:val="24"/>
          <w:szCs w:val="24"/>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Theme="minorEastAsia" w:hAnsiTheme="minorEastAsia"/>
          <w:sz w:val="24"/>
        </w:rPr>
      </w:pPr>
      <w:r>
        <w:rPr>
          <w:rFonts w:hint="eastAsia" w:asciiTheme="minorEastAsia" w:hAnsiTheme="minorEastAsia"/>
          <w:sz w:val="24"/>
          <w:lang w:val="en-US" w:eastAsia="zh-CN"/>
        </w:rPr>
        <w:t xml:space="preserve">40</w:t>
      </w:r>
      <w:r>
        <w:rPr>
          <w:rFonts w:hint="eastAsia" w:asciiTheme="minorEastAsia" w:hAnsiTheme="minorEastAsia"/>
          <w:sz w:val="24"/>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Theme="minorEastAsia" w:hAnsiTheme="minorEastAsia"/>
          <w:b/>
          <w:sz w:val="24"/>
        </w:rPr>
      </w:pPr>
      <w:r>
        <w:rPr>
          <w:rFonts w:hint="eastAsia" w:asciiTheme="minorEastAsia" w:hAnsiTheme="minorEastAsia"/>
          <w:b/>
          <w:sz w:val="24"/>
        </w:rPr>
        <w:t xml:space="preserve">4</w:t>
      </w:r>
      <w:r>
        <w:rPr>
          <w:rFonts w:hint="eastAsia" w:asciiTheme="minorEastAsia" w:hAnsiTheme="minorEastAsia"/>
          <w:b/>
          <w:sz w:val="24"/>
          <w:lang w:val="en-US" w:eastAsia="zh-CN"/>
        </w:rPr>
        <w:t xml:space="preserve">1</w:t>
      </w:r>
      <w:r>
        <w:rPr>
          <w:rFonts w:hint="eastAsia" w:asciiTheme="minorEastAsia" w:hAnsiTheme="minorEastAsia"/>
          <w:b/>
          <w:sz w:val="24"/>
        </w:rPr>
        <w:t xml:space="preserve">.政府采购需求标准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w:t>
      </w:r>
      <w:r>
        <w:rPr>
          <w:rFonts w:hint="eastAsia" w:asciiTheme="minorEastAsia" w:hAnsiTheme="minorEastAsia"/>
          <w:sz w:val="24"/>
          <w:szCs w:val="24"/>
          <w:lang w:val="en-US" w:eastAsia="zh-CN"/>
        </w:rPr>
        <w:t xml:space="preserve">1</w:t>
      </w:r>
      <w:r>
        <w:rPr>
          <w:rFonts w:hint="eastAsia" w:asciiTheme="minorEastAsia" w:hAnsiTheme="minorEastAsia"/>
          <w:sz w:val="24"/>
          <w:szCs w:val="24"/>
        </w:rPr>
        <w:t xml:space="preserve">.1 本项目执行《绿色数据中心政府采购需求</w:t>
      </w:r>
      <w:r>
        <w:rPr>
          <w:rFonts w:hint="eastAsia" w:asciiTheme="minorEastAsia" w:hAnsiTheme="minor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43"/>
        <w:jc w:val="center"/>
        <w:spacing w:line="360" w:lineRule="auto"/>
        <w:rPr>
          <w:rFonts w:ascii="黑体" w:hAnsi="黑体" w:eastAsia="黑体"/>
          <w:b w:val="0"/>
        </w:rPr>
      </w:pPr>
      <w:r/>
      <w:bookmarkStart w:id="5" w:name="_Toc162361612"/>
      <w:r>
        <w:rPr>
          <w:rFonts w:hint="eastAsia" w:ascii="黑体" w:hAnsi="黑体" w:eastAsia="黑体"/>
          <w:b w:val="0"/>
        </w:rPr>
        <w:t xml:space="preserve">第三章  合同文本</w:t>
      </w:r>
      <w:bookmarkEnd w:id="5"/>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bookmarkStart w:id="6" w:name="OLE_LINK154"/>
      <w:r/>
      <w:bookmarkStart w:id="7" w:name="OLE_LINK155"/>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rPr>
        <w:t xml:space="preserve">年月日</w:t>
      </w:r>
      <w:r>
        <w:rPr>
          <w:rFonts w:hint="eastAsia"/>
          <w:sz w:val="24"/>
          <w:szCs w:val="24"/>
        </w:rPr>
        <w:t xml:space="preserve">项目（项目编号：）公开招标的结果，签订本合同。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一、合同内容</w:t>
      </w:r>
      <w:r/>
    </w:p>
    <w:p>
      <w:pPr>
        <w:ind w:firstLine="480"/>
        <w:jc w:val="left"/>
        <w:spacing w:line="500" w:lineRule="exact"/>
        <w:rPr>
          <w:sz w:val="24"/>
          <w:szCs w:val="24"/>
        </w:rPr>
      </w:pPr>
      <w:r>
        <w:rPr>
          <w:sz w:val="24"/>
          <w:szCs w:val="24"/>
        </w:rPr>
        <w:t xml:space="preserve">1.1 服务内容：。</w:t>
      </w:r>
      <w:r/>
    </w:p>
    <w:p>
      <w:pPr>
        <w:ind w:firstLine="480"/>
        <w:jc w:val="left"/>
        <w:spacing w:line="500" w:lineRule="exact"/>
        <w:rPr>
          <w:sz w:val="24"/>
          <w:szCs w:val="24"/>
        </w:rPr>
      </w:pPr>
      <w:r>
        <w:rPr>
          <w:sz w:val="24"/>
          <w:szCs w:val="24"/>
        </w:rPr>
        <w:t xml:space="preserve">1.2 服务要求：。</w:t>
      </w:r>
      <w:r/>
    </w:p>
    <w:p>
      <w:pPr>
        <w:ind w:firstLine="480"/>
        <w:jc w:val="left"/>
        <w:spacing w:line="500" w:lineRule="exact"/>
        <w:rPr>
          <w:sz w:val="24"/>
          <w:szCs w:val="24"/>
        </w:rPr>
      </w:pPr>
      <w:r>
        <w:rPr>
          <w:rFonts w:hint="eastAsia"/>
          <w:sz w:val="24"/>
          <w:szCs w:val="24"/>
        </w:rPr>
        <w:t xml:space="preserve">1.3 服务标准：</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本合同金额为人民币（大写）：元（¥）。</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ascii="黑体" w:hAnsi="黑体" w:eastAsia="黑体"/>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九、交付期、交付方式及交付地点</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w:t>
      </w:r>
      <w:r>
        <w:rPr>
          <w:rFonts w:hint="eastAsia"/>
          <w:sz w:val="24"/>
          <w:szCs w:val="24"/>
          <w:u w:val="single"/>
        </w:rPr>
        <w:t xml:space="preserve">合同签订后项目组进场30日内，支付合同款总额的30%。完成合同建设内容，初验合格后30日内，支付至合同金额的60%，终验合格后30日内，支付至合同金额的100%。</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如在使用过程中发生质量问题，乙方在接到甲方通知后在小时内到达甲方现场。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十四、合同内容的交付</w:t>
      </w:r>
      <w:r/>
    </w:p>
    <w:p>
      <w:pPr>
        <w:ind w:firstLine="480"/>
        <w:jc w:val="left"/>
        <w:spacing w:line="500" w:lineRule="exact"/>
        <w:rPr>
          <w:sz w:val="24"/>
          <w:szCs w:val="24"/>
        </w:rPr>
      </w:pPr>
      <w:r>
        <w:rPr>
          <w:rFonts w:hint="eastAsia"/>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14.2 使用说明书、质量检验证明书等一并提交甲方。</w:t>
      </w:r>
      <w:r/>
    </w:p>
    <w:p>
      <w:pPr>
        <w:ind w:firstLine="480"/>
        <w:jc w:val="left"/>
        <w:spacing w:line="500" w:lineRule="exact"/>
        <w:rPr>
          <w:sz w:val="24"/>
          <w:szCs w:val="24"/>
        </w:rPr>
      </w:pPr>
      <w:r>
        <w:rPr>
          <w:rFonts w:hint="eastAsia"/>
          <w:sz w:val="24"/>
          <w:szCs w:val="24"/>
        </w:rPr>
        <w:t xml:space="preserve">14.3 乙方在合同标的交付甲方48小时前通知甲方准备接收。</w:t>
      </w:r>
      <w:r/>
    </w:p>
    <w:p>
      <w:pPr>
        <w:ind w:firstLine="480"/>
        <w:jc w:val="left"/>
        <w:spacing w:line="500" w:lineRule="exact"/>
        <w:rPr>
          <w:sz w:val="24"/>
          <w:szCs w:val="24"/>
        </w:rPr>
      </w:pPr>
      <w:r>
        <w:rPr>
          <w:rFonts w:hint="eastAsia"/>
          <w:sz w:val="24"/>
          <w:szCs w:val="24"/>
        </w:rPr>
        <w:t xml:space="preserve">14.4 合同标的在交付甲方前发生的风险均由乙方负责。</w:t>
      </w:r>
      <w:r/>
    </w:p>
    <w:p>
      <w:pPr>
        <w:ind w:firstLine="480"/>
        <w:jc w:val="left"/>
        <w:spacing w:line="500" w:lineRule="exact"/>
        <w:rPr>
          <w:sz w:val="24"/>
          <w:szCs w:val="24"/>
        </w:rPr>
      </w:pPr>
      <w:r>
        <w:rPr>
          <w:rFonts w:hint="eastAsia"/>
          <w:sz w:val="24"/>
          <w:szCs w:val="24"/>
        </w:rPr>
        <w:t xml:space="preserve">14.5 合同标的在规定的交付期限内由乙方送达甲方指定的地点视为交付，乙方同时需通知甲方已送达。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十五、违约责任</w:t>
      </w:r>
      <w:r/>
    </w:p>
    <w:p>
      <w:pPr>
        <w:ind w:firstLine="480"/>
        <w:jc w:val="left"/>
        <w:spacing w:line="500" w:lineRule="exact"/>
        <w:rPr>
          <w:sz w:val="24"/>
          <w:szCs w:val="24"/>
        </w:rPr>
      </w:pPr>
      <w:r>
        <w:rPr>
          <w:rFonts w:hint="eastAsia"/>
          <w:sz w:val="24"/>
          <w:szCs w:val="24"/>
        </w:rPr>
        <w:t xml:space="preserve">15.1 甲方无正当理由拒收的，甲方向乙方偿付拒收标的总值的违约金。</w:t>
      </w:r>
      <w:r/>
    </w:p>
    <w:p>
      <w:pPr>
        <w:ind w:firstLine="480"/>
        <w:jc w:val="left"/>
        <w:spacing w:line="500" w:lineRule="exact"/>
        <w:rPr>
          <w:sz w:val="24"/>
          <w:szCs w:val="24"/>
        </w:rPr>
      </w:pPr>
      <w:r>
        <w:rPr>
          <w:rFonts w:hint="eastAsia"/>
          <w:sz w:val="24"/>
          <w:szCs w:val="24"/>
        </w:rPr>
        <w:t xml:space="preserve">15.2 甲方无故逾期验收和办理合同款支付手续的，甲方应按逾期付款总额每日向乙方支付违约金，</w:t>
      </w:r>
      <w:r>
        <w:rPr>
          <w:rFonts w:hint="eastAsia" w:ascii="Times New Roman" w:hAnsi="Times New Roman"/>
          <w:color w:val="000000"/>
          <w:sz w:val="24"/>
          <w:szCs w:val="24"/>
        </w:rPr>
        <w:t xml:space="preserve">最高限额为本合同总额的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不可抗力事件延续120天以上，双方应通过友好协商，确定是否继续履行合同。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十七、解决争议的方法</w:t>
      </w:r>
      <w:r/>
    </w:p>
    <w:p>
      <w:pPr>
        <w:ind w:firstLine="480"/>
        <w:jc w:val="left"/>
        <w:spacing w:line="500" w:lineRule="exact"/>
        <w:rPr>
          <w:sz w:val="24"/>
          <w:szCs w:val="24"/>
        </w:rPr>
      </w:pPr>
      <w:r>
        <w:rPr>
          <w:rFonts w:hint="eastAsia"/>
          <w:sz w:val="24"/>
          <w:szCs w:val="24"/>
        </w:rPr>
        <w:t xml:space="preserve">17.1 甲乙双方因合同签订、履行而发生的一切争议，应通过友好协商解决。如协商不成，按下列</w:t>
      </w:r>
      <w:r>
        <w:rPr>
          <w:rFonts w:hint="eastAsia"/>
          <w:sz w:val="24"/>
          <w:szCs w:val="24"/>
          <w:highlight w:val="none"/>
        </w:rPr>
        <w:t xml:space="preserve">第</w:t>
      </w:r>
      <w:r>
        <w:rPr>
          <w:rFonts w:hint="eastAsia"/>
          <w:sz w:val="24"/>
          <w:szCs w:val="24"/>
          <w:highlight w:val="none"/>
          <w:u w:val="single"/>
        </w:rPr>
        <w:t xml:space="preserve">（1）</w:t>
      </w:r>
      <w:r>
        <w:rPr>
          <w:rFonts w:hint="eastAsia"/>
          <w:sz w:val="24"/>
          <w:szCs w:val="24"/>
          <w:highlight w:val="none"/>
        </w:rPr>
        <w:t xml:space="preserve">种</w:t>
      </w:r>
      <w:r>
        <w:rPr>
          <w:rFonts w:hint="eastAsia"/>
          <w:sz w:val="24"/>
          <w:szCs w:val="24"/>
        </w:rPr>
        <w:t xml:space="preserve">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sz w:val="24"/>
          <w:szCs w:val="24"/>
        </w:rPr>
      </w:r>
      <w:r/>
    </w:p>
    <w:p>
      <w:pPr>
        <w:ind w:firstLine="480"/>
        <w:jc w:val="right"/>
        <w:spacing w:line="500" w:lineRule="exact"/>
        <w:rPr>
          <w:sz w:val="24"/>
          <w:szCs w:val="24"/>
        </w:rPr>
      </w:pPr>
      <w:r>
        <w:rPr>
          <w:rFonts w:hint="eastAsia"/>
          <w:sz w:val="24"/>
          <w:szCs w:val="24"/>
        </w:rPr>
        <w:t xml:space="preserve">签订日期：       年    月    日</w:t>
      </w:r>
      <w:bookmarkEnd w:id="6"/>
      <w:r/>
      <w:bookmarkEnd w:id="7"/>
      <w:r/>
      <w:r/>
    </w:p>
    <w:p>
      <w:pPr>
        <w:jc w:val="left"/>
        <w:widowControl/>
        <w:rPr>
          <w:sz w:val="24"/>
          <w:szCs w:val="24"/>
        </w:rPr>
      </w:pPr>
      <w:r>
        <w:rPr>
          <w:sz w:val="24"/>
          <w:szCs w:val="24"/>
        </w:rPr>
        <w:br w:type="page" w:clear="all"/>
      </w:r>
      <w:r/>
    </w:p>
    <w:p>
      <w:pPr>
        <w:pStyle w:val="843"/>
        <w:jc w:val="center"/>
        <w:spacing w:line="360" w:lineRule="auto"/>
        <w:rPr>
          <w:rFonts w:ascii="黑体" w:hAnsi="黑体" w:eastAsia="黑体"/>
          <w:b w:val="0"/>
        </w:rPr>
      </w:pPr>
      <w:r/>
      <w:bookmarkStart w:id="8" w:name="_Toc162361613"/>
      <w:r>
        <w:rPr>
          <w:rFonts w:hint="eastAsia" w:ascii="黑体" w:hAnsi="黑体" w:eastAsia="黑体"/>
          <w:b w:val="0"/>
        </w:rPr>
        <w:t xml:space="preserve">第四章  采购需求</w:t>
      </w:r>
      <w:bookmarkEnd w:id="8"/>
      <w:r/>
      <w:r/>
    </w:p>
    <w:p>
      <w:pPr>
        <w:ind w:firstLine="482"/>
        <w:jc w:val="left"/>
        <w:spacing w:line="500" w:lineRule="exact"/>
        <w:rPr>
          <w:rFonts w:hint="eastAsia"/>
          <w:b/>
          <w:sz w:val="24"/>
          <w:szCs w:val="24"/>
        </w:rPr>
      </w:pPr>
      <w:r>
        <w:rPr>
          <w:rFonts w:hint="eastAsia"/>
          <w:b/>
          <w:sz w:val="24"/>
          <w:szCs w:val="24"/>
        </w:rPr>
      </w:r>
      <w:r/>
    </w:p>
    <w:p>
      <w:pPr>
        <w:ind w:firstLine="482"/>
        <w:jc w:val="left"/>
        <w:spacing w:line="500" w:lineRule="exact"/>
        <w:rPr>
          <w:b/>
          <w:sz w:val="24"/>
          <w:szCs w:val="24"/>
        </w:rPr>
      </w:pPr>
      <w:r>
        <w:rPr>
          <w:rFonts w:hint="eastAsia"/>
          <w:b/>
          <w:sz w:val="24"/>
          <w:szCs w:val="24"/>
        </w:rPr>
        <w:t xml:space="preserve">说明：本项目属性为服务，采购标的对应的中小企业划分标准所属行业为：</w:t>
      </w:r>
      <w:r>
        <w:rPr>
          <w:rFonts w:hint="eastAsia"/>
          <w:b/>
          <w:sz w:val="24"/>
          <w:szCs w:val="24"/>
          <w:u w:val="single"/>
        </w:rPr>
        <w:t xml:space="preserve"> 软件和信息技术服务业 </w:t>
      </w:r>
      <w:r>
        <w:rPr>
          <w:rFonts w:hint="eastAsia"/>
          <w:b/>
          <w:sz w:val="24"/>
          <w:szCs w:val="24"/>
        </w:rPr>
        <w:t xml:space="preserve">。</w:t>
      </w:r>
      <w:r/>
    </w:p>
    <w:p>
      <w:pPr>
        <w:ind w:firstLine="480"/>
        <w:spacing w:line="500" w:lineRule="exact"/>
        <w:rPr>
          <w:rFonts w:hint="eastAsia" w:asciiTheme="minorEastAsia" w:hAnsiTheme="minorEastAsia" w:eastAsiaTheme="minorEastAsia" w:cstheme="minorEastAsia"/>
          <w:b/>
          <w:bCs/>
          <w:color w:val="000000"/>
          <w:sz w:val="24"/>
          <w:szCs w:val="24"/>
          <w:shd w:val="clear" w:color="auto" w:fill="ffffff"/>
        </w:rPr>
      </w:pPr>
      <w:r>
        <w:rPr>
          <w:rFonts w:hint="eastAsia" w:ascii="宋体" w:hAnsi="宋体"/>
          <w:b/>
          <w:sz w:val="24"/>
          <w:szCs w:val="24"/>
        </w:rPr>
        <w:t xml:space="preserve">依据《关于印发中小企业划型标准规定的通知》（工信部联企业〔2011〕300号）行业划型标准如下：</w:t>
      </w:r>
      <w:r>
        <w:rPr>
          <w:rFonts w:hint="eastAsia" w:asciiTheme="minorEastAsia" w:hAnsiTheme="minorEastAsia" w:eastAsiaTheme="minorEastAsia" w:cstheme="minorEastAsia"/>
          <w:b/>
          <w:bCs/>
          <w:color w:val="000000"/>
          <w:sz w:val="24"/>
          <w:szCs w:val="24"/>
          <w:shd w:val="clear" w:color="auto" w:fill="ffffff"/>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jc w:val="left"/>
        <w:spacing w:line="500" w:lineRule="exact"/>
        <w:rPr>
          <w:rFonts w:hint="eastAsia" w:asciiTheme="minorEastAsia" w:hAnsiTheme="minorEastAsia"/>
          <w:sz w:val="24"/>
          <w:szCs w:val="24"/>
        </w:rPr>
      </w:pPr>
      <w:r>
        <w:rPr>
          <w:rFonts w:hint="eastAsia" w:asciiTheme="minorEastAsia" w:hAnsiTheme="minorEastAsia"/>
          <w:sz w:val="24"/>
          <w:szCs w:val="24"/>
        </w:rPr>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hint="eastAsia"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2.本招标文件中斜体且有下划线部分为实质性要求和条件，由采购人根据实际情况设置，投标人必须逐条明确作出满足实质性要求和条件的响应，否则将按无效投标处理。</w:t>
      </w:r>
      <w:r>
        <w:rPr>
          <w:rFonts w:hint="eastAsia" w:asciiTheme="minorEastAsia" w:hAnsiTheme="minorEastAsia"/>
          <w:sz w:val="24"/>
          <w:szCs w:val="24"/>
        </w:rPr>
      </w:r>
      <w:r/>
    </w:p>
    <w:p>
      <w:pPr>
        <w:ind w:firstLine="480"/>
        <w:jc w:val="left"/>
        <w:spacing w:line="500" w:lineRule="exact"/>
        <w:rPr>
          <w:rFonts w:hint="eastAsia" w:ascii="宋体" w:hAnsi="宋体" w:eastAsia="宋体" w:cs="宋体"/>
          <w:sz w:val="24"/>
          <w:szCs w:val="24"/>
          <w:lang w:eastAsia="zh-CN"/>
        </w:rPr>
      </w:pPr>
      <w:r>
        <w:rPr>
          <w:rFonts w:hint="eastAsia" w:asciiTheme="minorEastAsia" w:hAnsiTheme="minorEastAsia"/>
          <w:sz w:val="24"/>
          <w:szCs w:val="24"/>
        </w:rPr>
      </w:r>
      <w:r>
        <w:rPr>
          <w:rFonts w:hint="eastAsia" w:ascii="宋体" w:hAnsi="宋体" w:eastAsia="宋体" w:cs="宋体"/>
          <w:sz w:val="24"/>
          <w:szCs w:val="24"/>
          <w:lang w:eastAsia="zh-CN"/>
        </w:rPr>
        <w:t xml:space="preserve">3.特别提醒：政府采购中实施本国产品标准及相关政策</w:t>
      </w:r>
      <w:r>
        <w:rPr>
          <w:rFonts w:hint="eastAsia" w:asciiTheme="minorEastAsia" w:hAnsiTheme="minorEastAsia"/>
          <w:sz w:val="24"/>
          <w:szCs w:val="24"/>
        </w:rPr>
      </w:r>
      <w:r/>
    </w:p>
    <w:p>
      <w:pPr>
        <w:ind w:firstLine="480"/>
        <w:jc w:val="left"/>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rPr>
          <w:rFonts w:hint="eastAsia" w:ascii="宋体" w:hAnsi="宋体" w:eastAsia="宋体" w:cs="宋体"/>
          <w:sz w:val="24"/>
          <w:szCs w:val="24"/>
          <w:lang w:eastAsia="zh-CN"/>
        </w:rPr>
        <w:t xml:space="preserve">3.1本项目对采购本国产品给予政策支持，具体内容见招标文件“第二章 九、政府采购政策功能”。</w:t>
      </w:r>
      <w:r>
        <w:rPr>
          <w:rFonts w:hint="eastAsia" w:asciiTheme="minorEastAsia" w:hAnsiTheme="minorEastAsia"/>
          <w:sz w:val="24"/>
          <w:szCs w:val="24"/>
        </w:rPr>
      </w:r>
      <w:r/>
    </w:p>
    <w:p>
      <w:pPr>
        <w:ind w:firstLine="480"/>
        <w:jc w:val="left"/>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rPr>
          <w:rFonts w:hint="eastAsia" w:ascii="宋体" w:hAnsi="宋体" w:eastAsia="宋体" w:cs="宋体"/>
          <w:sz w:val="24"/>
          <w:szCs w:val="24"/>
          <w:lang w:eastAsia="zh-CN"/>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Theme="minorEastAsia" w:hAnsiTheme="minorEastAsia"/>
          <w:sz w:val="24"/>
          <w:szCs w:val="24"/>
        </w:rPr>
      </w:r>
      <w:r/>
    </w:p>
    <w:p>
      <w:pPr>
        <w:ind w:firstLine="480"/>
        <w:jc w:val="left"/>
        <w:spacing w:line="500" w:lineRule="exact"/>
        <w:rPr>
          <w:rFonts w:hint="eastAsia" w:asciiTheme="minorEastAsia" w:hAnsiTheme="minorEastAsia"/>
          <w:sz w:val="24"/>
          <w:szCs w:val="24"/>
        </w:rPr>
      </w:pPr>
      <w:r>
        <w:rPr>
          <w:rFonts w:hint="eastAsia" w:ascii="宋体" w:hAnsi="宋体" w:eastAsia="宋体" w:cs="宋体"/>
          <w:sz w:val="24"/>
          <w:szCs w:val="24"/>
          <w:lang w:eastAsia="zh-CN"/>
        </w:rPr>
      </w:r>
      <w:r>
        <w:rPr>
          <w:rFonts w:hint="eastAsia" w:ascii="宋体" w:hAnsi="宋体" w:eastAsia="宋体" w:cs="宋体"/>
          <w:sz w:val="24"/>
          <w:szCs w:val="24"/>
          <w:lang w:eastAsia="zh-CN"/>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Theme="minorEastAsia" w:hAnsiTheme="minorEastAsia"/>
          <w:sz w:val="24"/>
          <w:szCs w:val="24"/>
        </w:rPr>
      </w:r>
      <w:r/>
    </w:p>
    <w:p>
      <w:pPr>
        <w:ind w:firstLine="480"/>
        <w:rPr>
          <w:sz w:val="24"/>
          <w:szCs w:val="24"/>
        </w:rPr>
      </w:pPr>
      <w:r>
        <w:rPr>
          <w:sz w:val="24"/>
          <w:szCs w:val="24"/>
        </w:rPr>
      </w:r>
      <w:r/>
    </w:p>
    <w:p>
      <w:pPr>
        <w:ind w:firstLine="480"/>
        <w:rPr>
          <w:sz w:val="24"/>
          <w:szCs w:val="24"/>
        </w:rPr>
      </w:pPr>
      <w:r>
        <w:rPr>
          <w:sz w:val="24"/>
          <w:szCs w:val="24"/>
        </w:rPr>
      </w:r>
      <w:r/>
    </w:p>
    <w:tbl>
      <w:tblPr>
        <w:tblStyle w:val="84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tcBorders>
              <w:top w:val="single" w:color="000000" w:sz="4" w:space="0"/>
            </w:tcBorders>
            <w:tcW w:w="816" w:type="dxa"/>
            <w:textDirection w:val="lrTb"/>
            <w:noWrap/>
          </w:tcPr>
          <w:p>
            <w:pPr>
              <w:jc w:val="center"/>
              <w:spacing w:line="500" w:lineRule="exact"/>
              <w:rPr>
                <w:rFonts w:hint="eastAsia" w:asciiTheme="minorEastAsia" w:hAnsiTheme="minorEastAsia" w:eastAsiaTheme="minorEastAsia" w:cstheme="minorEastAsia"/>
                <w:b/>
                <w:bCs w:val="0"/>
                <w:i w:val="0"/>
                <w:iCs w:val="0"/>
                <w:sz w:val="24"/>
                <w:szCs w:val="24"/>
                <w:u w:val="none"/>
              </w:rPr>
            </w:pPr>
            <w:r>
              <w:rPr>
                <w:rFonts w:hint="eastAsia" w:asciiTheme="minorEastAsia" w:hAnsiTheme="minorEastAsia" w:eastAsiaTheme="minorEastAsia" w:cstheme="minorEastAsia"/>
                <w:b/>
                <w:bCs w:val="0"/>
                <w:i w:val="0"/>
                <w:iCs w:val="0"/>
                <w:sz w:val="24"/>
                <w:szCs w:val="24"/>
                <w:u w:val="none"/>
              </w:rPr>
              <w:t xml:space="preserve">序号</w:t>
            </w:r>
            <w:r/>
          </w:p>
        </w:tc>
        <w:tc>
          <w:tcPr>
            <w:tcBorders>
              <w:top w:val="single" w:color="000000" w:sz="4" w:space="0"/>
            </w:tcBorders>
            <w:tcW w:w="7689" w:type="dxa"/>
            <w:textDirection w:val="lrTb"/>
            <w:noWrap/>
          </w:tcPr>
          <w:p>
            <w:pPr>
              <w:jc w:val="center"/>
              <w:spacing w:line="500" w:lineRule="exact"/>
              <w:rPr>
                <w:rFonts w:hint="eastAsia" w:asciiTheme="minorEastAsia" w:hAnsiTheme="minorEastAsia" w:eastAsiaTheme="minorEastAsia" w:cstheme="minorEastAsia"/>
                <w:b/>
                <w:bCs w:val="0"/>
                <w:i w:val="0"/>
                <w:iCs w:val="0"/>
                <w:sz w:val="24"/>
                <w:szCs w:val="24"/>
                <w:u w:val="none"/>
              </w:rPr>
            </w:pPr>
            <w:r>
              <w:rPr>
                <w:rFonts w:hint="eastAsia" w:asciiTheme="minorEastAsia" w:hAnsiTheme="minorEastAsia" w:eastAsiaTheme="minorEastAsia" w:cstheme="minorEastAsia"/>
                <w:b/>
                <w:bCs w:val="0"/>
                <w:i w:val="0"/>
                <w:iCs w:val="0"/>
                <w:sz w:val="24"/>
                <w:szCs w:val="24"/>
                <w:u w:val="none"/>
              </w:rPr>
              <w:t xml:space="preserve">实质性要求和条件</w:t>
            </w:r>
            <w:r/>
          </w:p>
        </w:tc>
      </w:tr>
      <w:tr>
        <w:trPr>
          <w:jc w:val="center"/>
        </w:trPr>
        <w:tc>
          <w:tcPr>
            <w:tcW w:w="816" w:type="dxa"/>
            <w:vAlign w:val="center"/>
            <w:textDirection w:val="lrTb"/>
            <w:noWrap/>
          </w:tcPr>
          <w:p>
            <w:pPr>
              <w:jc w:val="center"/>
              <w:spacing w:line="500" w:lineRule="exact"/>
              <w:rPr>
                <w:rFonts w:hint="eastAsia" w:asciiTheme="minorEastAsia" w:hAnsiTheme="minorEastAsia" w:eastAsiaTheme="minorEastAsia" w:cstheme="minorEastAsia"/>
                <w:b/>
                <w:bCs w:val="0"/>
                <w:i w:val="0"/>
                <w:iCs w:val="0"/>
                <w:sz w:val="24"/>
                <w:szCs w:val="24"/>
                <w:u w:val="none"/>
              </w:rPr>
            </w:pPr>
            <w:r>
              <w:rPr>
                <w:rFonts w:hint="eastAsia" w:asciiTheme="minorEastAsia" w:hAnsiTheme="minorEastAsia" w:eastAsiaTheme="minorEastAsia" w:cstheme="minorEastAsia"/>
                <w:b/>
                <w:bCs w:val="0"/>
                <w:i w:val="0"/>
                <w:iCs w:val="0"/>
                <w:sz w:val="24"/>
                <w:szCs w:val="24"/>
                <w:u w:val="none"/>
              </w:rPr>
              <w:t xml:space="preserve">1</w:t>
            </w:r>
            <w:r/>
          </w:p>
        </w:tc>
        <w:tc>
          <w:tcPr>
            <w:tcW w:w="7689" w:type="dxa"/>
            <w:textDirection w:val="lrTb"/>
            <w:noWrap/>
          </w:tcPr>
          <w:p>
            <w:pPr>
              <w:jc w:val="left"/>
              <w:spacing w:line="360" w:lineRule="auto"/>
              <w:rPr>
                <w:rFonts w:hint="eastAsia" w:asciiTheme="minorEastAsia" w:hAnsiTheme="minorEastAsia" w:eastAsiaTheme="minorEastAsia" w:cstheme="minorEastAsia"/>
                <w:b/>
                <w:bCs w:val="0"/>
                <w:i w:val="0"/>
                <w:iCs w:val="0"/>
                <w:sz w:val="24"/>
                <w:szCs w:val="24"/>
                <w:u w:val="none"/>
              </w:rPr>
            </w:pPr>
            <w:r>
              <w:rPr>
                <w:rFonts w:hint="eastAsia" w:asciiTheme="minorEastAsia" w:hAnsiTheme="minorEastAsia" w:eastAsiaTheme="minorEastAsia" w:cstheme="minorEastAsia"/>
                <w:b/>
                <w:bCs w:val="0"/>
                <w:i w:val="0"/>
                <w:iCs w:val="0"/>
                <w:sz w:val="24"/>
                <w:szCs w:val="24"/>
                <w:u w:val="none"/>
              </w:rPr>
              <w:t xml:space="preserve">运维期限：终验合格之日起1年。</w:t>
            </w:r>
            <w:r/>
          </w:p>
        </w:tc>
      </w:tr>
      <w:tr>
        <w:trPr>
          <w:jc w:val="center"/>
        </w:trPr>
        <w:tc>
          <w:tcPr>
            <w:tcW w:w="816" w:type="dxa"/>
            <w:vAlign w:val="center"/>
            <w:textDirection w:val="lrTb"/>
            <w:noWrap/>
          </w:tcPr>
          <w:p>
            <w:pPr>
              <w:jc w:val="center"/>
              <w:spacing w:line="500" w:lineRule="exact"/>
              <w:rPr>
                <w:rFonts w:hint="eastAsia" w:asciiTheme="minorEastAsia" w:hAnsiTheme="minorEastAsia" w:eastAsiaTheme="minorEastAsia" w:cstheme="minorEastAsia"/>
                <w:b/>
                <w:bCs w:val="0"/>
                <w:i w:val="0"/>
                <w:iCs w:val="0"/>
                <w:sz w:val="24"/>
                <w:szCs w:val="24"/>
                <w:u w:val="none"/>
              </w:rPr>
            </w:pPr>
            <w:r>
              <w:rPr>
                <w:rFonts w:hint="eastAsia" w:asciiTheme="minorEastAsia" w:hAnsiTheme="minorEastAsia" w:eastAsiaTheme="minorEastAsia" w:cstheme="minorEastAsia"/>
                <w:b/>
                <w:bCs w:val="0"/>
                <w:i w:val="0"/>
                <w:iCs w:val="0"/>
                <w:sz w:val="24"/>
                <w:szCs w:val="24"/>
                <w:u w:val="none"/>
              </w:rPr>
              <w:t xml:space="preserve">2</w:t>
            </w:r>
            <w:r/>
          </w:p>
        </w:tc>
        <w:tc>
          <w:tcPr>
            <w:tcW w:w="7689" w:type="dxa"/>
            <w:textDirection w:val="lrTb"/>
            <w:noWrap/>
          </w:tcPr>
          <w:p>
            <w:pPr>
              <w:jc w:val="left"/>
              <w:spacing w:line="360" w:lineRule="auto"/>
              <w:rPr>
                <w:rFonts w:hint="eastAsia" w:asciiTheme="minorEastAsia" w:hAnsiTheme="minorEastAsia" w:eastAsiaTheme="minorEastAsia" w:cstheme="minorEastAsia"/>
                <w:b/>
                <w:bCs w:val="0"/>
                <w:i w:val="0"/>
                <w:iCs w:val="0"/>
                <w:sz w:val="24"/>
                <w:szCs w:val="24"/>
                <w:u w:val="none"/>
              </w:rPr>
            </w:pPr>
            <w:r>
              <w:rPr>
                <w:rFonts w:hint="eastAsia" w:asciiTheme="minorEastAsia" w:hAnsiTheme="minorEastAsia" w:eastAsiaTheme="minorEastAsia" w:cstheme="minorEastAsia"/>
                <w:b/>
                <w:bCs w:val="0"/>
                <w:i w:val="0"/>
                <w:iCs w:val="0"/>
                <w:sz w:val="24"/>
                <w:szCs w:val="24"/>
                <w:u w:val="none"/>
              </w:rPr>
              <w:t xml:space="preserve">项目进度安排：自合同签订之日起60日内完成全部建设内容并通过初验，初验后进入30日试运行期，试运行结束后提请终验。</w:t>
            </w:r>
            <w:r/>
          </w:p>
        </w:tc>
      </w:tr>
    </w:tbl>
    <w:p>
      <w:pPr>
        <w:ind w:firstLine="480"/>
        <w:rPr>
          <w:sz w:val="24"/>
          <w:szCs w:val="24"/>
        </w:rPr>
      </w:pPr>
      <w:r>
        <w:rPr>
          <w:sz w:val="24"/>
          <w:szCs w:val="24"/>
        </w:rPr>
      </w:r>
      <w:r/>
    </w:p>
    <w:p>
      <w:pPr>
        <w:ind w:firstLine="562"/>
        <w:spacing w:line="360" w:lineRule="auto"/>
        <w:rPr>
          <w:rFonts w:hint="eastAsia"/>
          <w:bCs/>
          <w:sz w:val="24"/>
          <w:szCs w:val="24"/>
        </w:rPr>
      </w:pPr>
      <w:r>
        <w:rPr>
          <w:rFonts w:hint="eastAsia"/>
          <w:bCs/>
          <w:sz w:val="24"/>
          <w:szCs w:val="24"/>
        </w:rPr>
      </w:r>
      <w:r/>
    </w:p>
    <w:p>
      <w:pPr>
        <w:ind w:firstLine="562"/>
        <w:spacing w:line="360" w:lineRule="auto"/>
        <w:rPr>
          <w:rFonts w:hint="eastAsia"/>
          <w:b/>
          <w:bCs w:val="0"/>
          <w:sz w:val="24"/>
          <w:szCs w:val="24"/>
        </w:rPr>
      </w:pPr>
      <w:r>
        <w:rPr>
          <w:rFonts w:hint="eastAsia"/>
          <w:b/>
          <w:bCs w:val="0"/>
          <w:sz w:val="24"/>
          <w:szCs w:val="24"/>
        </w:rPr>
        <w:t xml:space="preserve">一、项目概况</w:t>
      </w:r>
      <w:r/>
    </w:p>
    <w:p>
      <w:pPr>
        <w:ind w:firstLine="562"/>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本项目为花果山景区智慧旅游安保平台，核心围绕平台建设、数据采集对接、终端设备配置三大板块实施。项目搭建互联网、公安网双架构智慧旅游安保平台，依托视频标注、大数据及AI技术，构建景区可视化视频地图底座，实现监控资源联动、智能预警、自动巡防、一体化指挥管控，并深度对接公安、景区现有各类业务系统，破除数据孤岛。覆盖花果山景区25平方公里范围数据建模，完成景区、景交车第三方平台数据对接与专用网络部署，筑牢数字孪生数据基底。同时配套采购智能AI眼镜、专用操作终端</w:t>
      </w:r>
      <w:r>
        <w:rPr>
          <w:rFonts w:hint="eastAsia" w:asciiTheme="minorEastAsia" w:hAnsiTheme="minorEastAsia" w:cstheme="minorEastAsia"/>
          <w:bCs/>
          <w:sz w:val="24"/>
          <w:szCs w:val="24"/>
          <w:lang w:val="en-US" w:eastAsia="zh-CN"/>
        </w:rPr>
        <w:t xml:space="preserve">等</w:t>
      </w:r>
      <w:r>
        <w:rPr>
          <w:rFonts w:hint="eastAsia" w:asciiTheme="minorEastAsia" w:hAnsiTheme="minorEastAsia" w:eastAsiaTheme="minorEastAsia" w:cstheme="minorEastAsia"/>
          <w:bCs/>
          <w:sz w:val="24"/>
          <w:szCs w:val="24"/>
        </w:rPr>
        <w:t xml:space="preserve">，保障系统7×24小时稳定运行。项目核心目标是破解传统景区安防管控滞后、联动不畅、处置低效痛点，构建全域感知、智能预警、精准指挥、高效处置的主动式智慧安防体系，实现景区治安管控、应急处置、日常巡防的智能化升级，全面提升景区安全管理精细化、实战化水平。</w:t>
      </w:r>
      <w:r/>
    </w:p>
    <w:p>
      <w:pPr>
        <w:ind w:firstLine="562"/>
        <w:spacing w:line="360" w:lineRule="auto"/>
        <w:rPr>
          <w:rFonts w:hint="eastAsia"/>
          <w:b/>
          <w:bCs w:val="0"/>
          <w:sz w:val="24"/>
          <w:szCs w:val="24"/>
        </w:rPr>
      </w:pPr>
      <w:r>
        <w:rPr>
          <w:rFonts w:hint="eastAsia"/>
          <w:b/>
          <w:bCs w:val="0"/>
          <w:sz w:val="24"/>
          <w:szCs w:val="24"/>
        </w:rPr>
        <w:t xml:space="preserve">二、服务技术要求</w:t>
      </w:r>
      <w:r/>
    </w:p>
    <w:p>
      <w:pPr>
        <w:ind w:firstLine="480"/>
        <w:spacing w:line="360" w:lineRule="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2.1服务范围</w:t>
      </w:r>
      <w:r/>
    </w:p>
    <w:p>
      <w:pPr>
        <w:ind w:firstLine="480"/>
        <w:spacing w:line="360" w:lineRule="auto"/>
        <w:rPr>
          <w:rFonts w:hint="eastAsia"/>
          <w:sz w:val="24"/>
          <w:szCs w:val="24"/>
        </w:rPr>
      </w:pPr>
      <w:r>
        <w:rPr>
          <w:rFonts w:hint="eastAsia" w:asciiTheme="minorEastAsia" w:hAnsiTheme="minorEastAsia" w:eastAsiaTheme="minorEastAsia" w:cstheme="minorEastAsia"/>
          <w:sz w:val="24"/>
          <w:szCs w:val="24"/>
        </w:rPr>
        <w:t xml:space="preserve">本项目为花果山景区智慧旅游</w:t>
      </w:r>
      <w:r>
        <w:rPr>
          <w:rFonts w:hint="eastAsia"/>
          <w:sz w:val="24"/>
          <w:szCs w:val="24"/>
        </w:rPr>
        <w:t xml:space="preserve">安保平台</w:t>
      </w:r>
      <w:r>
        <w:rPr>
          <w:rFonts w:hint="eastAsia"/>
          <w:sz w:val="24"/>
          <w:szCs w:val="24"/>
          <w:lang w:val="en-US" w:eastAsia="zh-CN"/>
        </w:rPr>
        <w:t xml:space="preserve">建设</w:t>
      </w:r>
      <w:r>
        <w:rPr>
          <w:rFonts w:hint="eastAsia"/>
          <w:sz w:val="24"/>
          <w:szCs w:val="24"/>
        </w:rPr>
        <w:t xml:space="preserve">项目，规划建设公安网版花果山景区智慧旅游安保平台、互联网版花果山景区智慧旅游安保平台，配套开展第三方平台数据对接、花果山数据建模、</w:t>
      </w:r>
      <w:r>
        <w:rPr>
          <w:rFonts w:hint="eastAsia" w:asciiTheme="minorEastAsia" w:hAnsiTheme="minorEastAsia" w:eastAsiaTheme="minorEastAsia" w:cstheme="minorEastAsia"/>
          <w:sz w:val="24"/>
          <w:szCs w:val="24"/>
        </w:rPr>
        <w:t xml:space="preserve">智能 AI 眼镜、应用终</w:t>
      </w:r>
      <w:r>
        <w:rPr>
          <w:rFonts w:hint="eastAsia"/>
          <w:sz w:val="24"/>
          <w:szCs w:val="24"/>
        </w:rPr>
        <w:t xml:space="preserve">端等软硬件部署实施服务，满足花果山景区治安防控、客流疏导、应急指挥、重点区域管控、游客安全保障的实战业务要求。</w:t>
      </w:r>
      <w:r/>
    </w:p>
    <w:p>
      <w:pPr>
        <w:ind w:firstLine="562"/>
        <w:spacing w:line="360" w:lineRule="auto"/>
        <w:rPr>
          <w:rFonts w:hint="default" w:asciiTheme="minorEastAsia" w:hAnsiTheme="minorEastAsia" w:eastAsiaTheme="minorEastAsia" w:cstheme="minorEastAsia"/>
          <w:b/>
          <w:bCs w:val="0"/>
          <w:sz w:val="24"/>
          <w:szCs w:val="24"/>
          <w:lang w:val="en-US" w:eastAsia="zh-CN"/>
        </w:rPr>
      </w:pPr>
      <w:r>
        <w:rPr>
          <w:rFonts w:hint="eastAsia" w:asciiTheme="minorEastAsia" w:hAnsiTheme="minorEastAsia" w:eastAsiaTheme="minorEastAsia" w:cstheme="minorEastAsia"/>
          <w:b/>
          <w:bCs w:val="0"/>
          <w:sz w:val="24"/>
          <w:szCs w:val="24"/>
          <w:lang w:val="en-US" w:eastAsia="zh-CN"/>
        </w:rPr>
        <w:t xml:space="preserve">2.</w:t>
      </w:r>
      <w:r>
        <w:rPr>
          <w:rFonts w:hint="eastAsia" w:asciiTheme="minorEastAsia" w:hAnsiTheme="minorEastAsia" w:cstheme="minorEastAsia"/>
          <w:b/>
          <w:bCs w:val="0"/>
          <w:sz w:val="24"/>
          <w:szCs w:val="24"/>
          <w:lang w:val="en-US" w:eastAsia="zh-CN"/>
        </w:rPr>
        <w:t xml:space="preserve">2采购清单</w:t>
      </w:r>
      <w:r/>
    </w:p>
    <w:tbl>
      <w:tblPr>
        <w:tblStyle w:val="847"/>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732"/>
        <w:gridCol w:w="4926"/>
        <w:gridCol w:w="1682"/>
        <w:gridCol w:w="1179"/>
      </w:tblGrid>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2891"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采购内容</w:t>
            </w:r>
            <w:r/>
          </w:p>
        </w:tc>
        <w:tc>
          <w:tcPr>
            <w:shd w:val="clear" w:color="auto" w:fill="ffffff"/>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单位</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91"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花果山景区智慧旅游安保平台（公安网版）</w:t>
            </w:r>
            <w:r/>
          </w:p>
        </w:tc>
        <w:tc>
          <w:tcPr>
            <w:shd w:val="clear" w:color="auto" w:fill="auto"/>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91"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系统对接（公安网）</w:t>
            </w:r>
            <w:r/>
          </w:p>
        </w:tc>
        <w:tc>
          <w:tcPr>
            <w:shd w:val="clear" w:color="auto" w:fill="auto"/>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91"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花果山景区智慧旅游安保平台（互联网版）</w:t>
            </w:r>
            <w:r/>
          </w:p>
        </w:tc>
        <w:tc>
          <w:tcPr>
            <w:shd w:val="clear" w:color="auto" w:fill="auto"/>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91"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系统对接（互联网）</w:t>
            </w:r>
            <w:r/>
          </w:p>
        </w:tc>
        <w:tc>
          <w:tcPr>
            <w:shd w:val="clear" w:color="auto" w:fill="auto"/>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91"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数据对接</w:t>
            </w:r>
            <w:r/>
          </w:p>
        </w:tc>
        <w:tc>
          <w:tcPr>
            <w:shd w:val="clear" w:color="auto" w:fill="auto"/>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91"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花果山数据建模</w:t>
            </w:r>
            <w:r/>
          </w:p>
        </w:tc>
        <w:tc>
          <w:tcPr>
            <w:shd w:val="clear" w:color="auto" w:fill="auto"/>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平方公里</w:t>
            </w:r>
            <w:r/>
          </w:p>
        </w:tc>
      </w:tr>
      <w:tr>
        <w:trPr>
          <w:trHeight w:val="27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pageBreakBefore w:val="0"/>
              <w:spacing w:line="360" w:lineRule="auto"/>
              <w:widowControl/>
              <w:rPr>
                <w:rFonts w:hint="default" w:asciiTheme="minorEastAsia" w:hAnsiTheme="minorEastAsia" w:eastAsiaTheme="minorEastAsia" w:cstheme="minorEastAsia"/>
                <w:color w:val="000000"/>
                <w:sz w:val="24"/>
                <w:szCs w:val="24"/>
                <w:lang w:val="en-US" w:eastAsia="zh-CN"/>
              </w:rPr>
            </w:pPr>
            <w:r>
              <w:rPr>
                <w:rFonts w:hint="eastAsia" w:asciiTheme="minorEastAsia" w:hAnsiTheme="minorEastAsia" w:cstheme="minorEastAsia"/>
                <w:color w:val="000000"/>
                <w:sz w:val="24"/>
                <w:szCs w:val="24"/>
                <w:lang w:val="en-US" w:eastAsia="zh-CN"/>
              </w:rPr>
              <w:t xml:space="preserve">项目实施硬件部分</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cstheme="minorEastAsia"/>
                <w:color w:val="000000"/>
                <w:sz w:val="24"/>
                <w:szCs w:val="24"/>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91" w:type="pct"/>
            <w:vAlign w:val="center"/>
            <w:textDirection w:val="lrTb"/>
            <w:noWrap/>
          </w:tcPr>
          <w:p>
            <w:pPr>
              <w:jc w:val="center"/>
              <w:keepLines w:val="0"/>
              <w:keepNext w:val="0"/>
              <w:pageBreakBefore w:val="0"/>
              <w:spacing w:line="360" w:lineRule="auto"/>
              <w:widowControl/>
              <w:rPr>
                <w:rFonts w:hint="default"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rPr>
              <w:t xml:space="preserve">应用管理单元</w:t>
            </w:r>
            <w:r/>
          </w:p>
        </w:tc>
        <w:tc>
          <w:tcPr>
            <w:shd w:val="clear" w:color="auto" w:fill="auto"/>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cstheme="minorEastAsia"/>
                <w:color w:val="000000"/>
                <w:sz w:val="24"/>
                <w:szCs w:val="24"/>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91"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智能分析服务单元</w:t>
            </w:r>
            <w:r/>
          </w:p>
        </w:tc>
        <w:tc>
          <w:tcPr>
            <w:shd w:val="clear" w:color="auto" w:fill="auto"/>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cstheme="minorEastAsia"/>
                <w:color w:val="000000"/>
                <w:sz w:val="24"/>
                <w:szCs w:val="24"/>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91"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智能AI眼镜</w:t>
            </w:r>
            <w:r/>
          </w:p>
        </w:tc>
        <w:tc>
          <w:tcPr>
            <w:shd w:val="clear" w:color="auto" w:fill="auto"/>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pageBreakBefore w:val="0"/>
              <w:spacing w:line="360" w:lineRule="auto"/>
              <w:widowControl/>
              <w:rPr>
                <w:rFonts w:hint="default" w:asciiTheme="minorEastAsia" w:hAnsiTheme="minorEastAsia" w:eastAsiaTheme="minorEastAsia" w:cstheme="minorEastAsia"/>
                <w:color w:val="000000"/>
                <w:sz w:val="24"/>
                <w:szCs w:val="24"/>
                <w:lang w:val="en-US" w:eastAsia="zh-CN"/>
              </w:rPr>
            </w:pPr>
            <w:r>
              <w:rPr>
                <w:rFonts w:hint="eastAsia" w:asciiTheme="minorEastAsia" w:hAnsiTheme="minorEastAsia" w:cstheme="minorEastAsia"/>
                <w:color w:val="000000"/>
                <w:sz w:val="24"/>
                <w:szCs w:val="24"/>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91"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应用终端</w:t>
            </w:r>
            <w:r/>
          </w:p>
        </w:tc>
        <w:tc>
          <w:tcPr>
            <w:shd w:val="clear" w:color="auto" w:fill="auto"/>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台</w:t>
            </w:r>
            <w:r/>
          </w:p>
        </w:tc>
      </w:tr>
    </w:tbl>
    <w:p>
      <w:pPr>
        <w:ind w:firstLine="480"/>
        <w:spacing w:line="360" w:lineRule="auto"/>
        <w:rPr>
          <w:rFonts w:hint="eastAsia"/>
          <w:sz w:val="24"/>
          <w:szCs w:val="24"/>
        </w:rPr>
      </w:pPr>
      <w:r>
        <w:rPr>
          <w:rFonts w:hint="eastAsia"/>
          <w:sz w:val="24"/>
          <w:szCs w:val="24"/>
          <w:lang w:val="en-US" w:eastAsia="zh-CN"/>
        </w:rPr>
        <w:t xml:space="preserve">注：</w:t>
      </w:r>
      <w:r>
        <w:rPr>
          <w:rFonts w:hint="eastAsia"/>
          <w:sz w:val="24"/>
          <w:szCs w:val="24"/>
        </w:rPr>
        <w:t xml:space="preserve">花果山景区智慧旅游安保平台（公安网版）由基础功能与开发功能两部分构成。其中，基础功能为投标产品既有成熟基础能力，投标人须于投标前已具备完整产品能力；开发功能系针对花果山景区地形、公安实战业务需求所开展的定制化适配、接口开发、业务改造与场景化二次开发内容。</w:t>
      </w:r>
      <w:r/>
    </w:p>
    <w:p>
      <w:pPr>
        <w:ind w:firstLine="562"/>
        <w:spacing w:line="360" w:lineRule="auto"/>
        <w:rPr>
          <w:rFonts w:hint="eastAsia" w:asciiTheme="minorEastAsia" w:hAnsiTheme="minorEastAsia" w:eastAsiaTheme="minorEastAsia" w:cstheme="minorEastAsia"/>
          <w:b/>
          <w:bCs w:val="0"/>
          <w:sz w:val="24"/>
          <w:szCs w:val="24"/>
          <w:lang w:val="en-US" w:eastAsia="zh-CN"/>
        </w:rPr>
      </w:pPr>
      <w:r>
        <w:rPr>
          <w:rFonts w:hint="eastAsia" w:asciiTheme="minorEastAsia" w:hAnsiTheme="minorEastAsia" w:eastAsiaTheme="minorEastAsia" w:cstheme="minorEastAsia"/>
          <w:b/>
          <w:bCs w:val="0"/>
          <w:sz w:val="24"/>
          <w:szCs w:val="24"/>
          <w:lang w:val="en-US" w:eastAsia="zh-CN"/>
        </w:rPr>
        <w:t xml:space="preserve">2</w:t>
      </w:r>
      <w:r>
        <w:rPr>
          <w:rFonts w:hint="eastAsia" w:asciiTheme="minorEastAsia" w:hAnsiTheme="minorEastAsia" w:cstheme="minorEastAsia"/>
          <w:b/>
          <w:bCs w:val="0"/>
          <w:sz w:val="24"/>
          <w:szCs w:val="24"/>
          <w:lang w:val="en-US" w:eastAsia="zh-CN"/>
        </w:rPr>
        <w:t xml:space="preserve">.3</w:t>
      </w:r>
      <w:r>
        <w:rPr>
          <w:rFonts w:hint="eastAsia" w:asciiTheme="minorEastAsia" w:hAnsiTheme="minorEastAsia" w:eastAsiaTheme="minorEastAsia" w:cstheme="minorEastAsia"/>
          <w:b/>
          <w:bCs w:val="0"/>
          <w:sz w:val="24"/>
          <w:szCs w:val="24"/>
          <w:lang w:val="en-US" w:eastAsia="zh-CN"/>
        </w:rPr>
        <w:t xml:space="preserve">服务技术要求</w:t>
      </w:r>
      <w:r/>
    </w:p>
    <w:tbl>
      <w:tblPr>
        <w:tblStyle w:val="847"/>
        <w:tblW w:w="4940" w:type="pct"/>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80"/>
        <w:gridCol w:w="1290"/>
        <w:gridCol w:w="4635"/>
        <w:gridCol w:w="824"/>
        <w:gridCol w:w="891"/>
      </w:tblGrid>
      <w:tr>
        <w:trPr>
          <w:trHeight w:val="285"/>
        </w:trPr>
        <w:tc>
          <w:tcPr>
            <w:shd w:val="clear" w:color="auto" w:fill="auto"/>
            <w:tcW w:w="463" w:type="pct"/>
            <w:vAlign w:val="center"/>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序号</w:t>
            </w:r>
            <w:r/>
          </w:p>
        </w:tc>
        <w:tc>
          <w:tcPr>
            <w:shd w:val="clear" w:color="auto" w:fill="auto"/>
            <w:tcW w:w="766" w:type="pct"/>
            <w:vAlign w:val="center"/>
            <w:textDirection w:val="lrTb"/>
            <w:noWrap w:val="false"/>
          </w:tcPr>
          <w:p>
            <w:pPr>
              <w:jc w:val="center"/>
              <w:keepLines w:val="0"/>
              <w:keepNext w:val="0"/>
              <w:pageBreakBefore w:val="0"/>
              <w:spacing w:line="420" w:lineRule="exact"/>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采购内容</w:t>
            </w:r>
            <w:r/>
          </w:p>
        </w:tc>
        <w:tc>
          <w:tcPr>
            <w:shd w:val="clear" w:color="auto" w:fill="auto"/>
            <w:tcW w:w="2752" w:type="pct"/>
            <w:vAlign w:val="center"/>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功能描述</w:t>
            </w:r>
            <w:r/>
          </w:p>
        </w:tc>
        <w:tc>
          <w:tcPr>
            <w:shd w:val="clear" w:color="auto" w:fill="auto"/>
            <w:tcW w:w="489" w:type="pct"/>
            <w:vAlign w:val="center"/>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数量</w:t>
            </w:r>
            <w:r/>
          </w:p>
        </w:tc>
        <w:tc>
          <w:tcPr>
            <w:shd w:val="clear" w:color="auto" w:fill="auto"/>
            <w:tcW w:w="529" w:type="pct"/>
            <w:vAlign w:val="center"/>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单位</w:t>
            </w:r>
            <w:r/>
          </w:p>
        </w:tc>
      </w:tr>
      <w:tr>
        <w:trPr>
          <w:trHeight w:val="300"/>
        </w:trPr>
        <w:tc>
          <w:tcPr>
            <w:shd w:val="clear" w:color="auto" w:fill="auto"/>
            <w:tcW w:w="463" w:type="pct"/>
            <w:vAlign w:val="center"/>
            <w:vMerge w:val="restart"/>
            <w:textDirection w:val="lrTb"/>
            <w:noWrap/>
          </w:tcPr>
          <w:p>
            <w:pPr>
              <w:jc w:val="center"/>
              <w:keepLines w:val="0"/>
              <w:keepNext w:val="0"/>
              <w:pageBreakBefore w:val="0"/>
              <w:spacing w:line="420" w:lineRule="exact"/>
              <w:widowControl/>
              <w:rPr>
                <w:rFonts w:hint="default" w:asciiTheme="minorEastAsia" w:hAnsiTheme="minorEastAsia" w:eastAsiaTheme="minorEastAsia" w:cstheme="minorEastAsia"/>
                <w:i w:val="0"/>
                <w:iCs w:val="0"/>
                <w:color w:val="000000"/>
                <w:sz w:val="24"/>
                <w:szCs w:val="24"/>
                <w:u w:val="none"/>
                <w:lang w:val="en-US"/>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W w:w="766" w:type="pct"/>
            <w:vAlign w:val="center"/>
            <w:vMerge w:val="restart"/>
            <w:textDirection w:val="lrTb"/>
            <w:noWrap w:val="false"/>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花果山景区智慧旅游安保平台（公安网版）-基础功能</w:t>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全域视频运维中心：</w:t>
            </w:r>
            <w:r/>
          </w:p>
        </w:tc>
        <w:tc>
          <w:tcPr>
            <w:shd w:val="clear" w:color="auto" w:fill="auto"/>
            <w:tcW w:w="489" w:type="pct"/>
            <w:vAlign w:val="center"/>
            <w:vMerge w:val="restart"/>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W w:w="529" w:type="pct"/>
            <w:vAlign w:val="center"/>
            <w:vMerge w:val="restart"/>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w:t>
            </w:r>
            <w:r/>
          </w:p>
        </w:tc>
      </w:tr>
      <w:tr>
        <w:trPr>
          <w:trHeight w:val="55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default" w:asciiTheme="minorEastAsia" w:hAnsiTheme="minorEastAsia" w:eastAsiaTheme="minorEastAsia" w:cstheme="minorEastAsia"/>
                <w:i w:val="0"/>
                <w:iCs w:val="0"/>
                <w:color w:val="000000"/>
                <w:sz w:val="24"/>
                <w:szCs w:val="24"/>
                <w:u w:val="none"/>
                <w:lang w:val="en-US"/>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1、实景视频轮播：支持景区高点球机、低点枪机、全景相机实时视频拉流、大屏上墙，以4分屏或9分屏模式进行低点显示</w:t>
            </w:r>
            <w:r>
              <w:rPr>
                <w:rFonts w:hint="eastAsia" w:asciiTheme="minorEastAsia" w:hAnsiTheme="minorEastAsia" w:cstheme="minorEastAsia"/>
                <w:i w:val="0"/>
                <w:iCs w:val="0"/>
                <w:color w:val="000000"/>
                <w:sz w:val="24"/>
                <w:szCs w:val="24"/>
                <w:u w:val="none"/>
                <w:lang w:val="en-US" w:eastAsia="zh-CN" w:bidi="ar"/>
              </w:rPr>
              <w:t xml:space="preserve">。</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55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2、前端设备远程操控：系统支持通过客户端界面内的云台控制圆盘，点击八向云台控制按钮或鼠标拖动的方式控制摄像机向不同方向转动。</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55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3、景区视频流分发：提供智能化视频流转、分发管理功能，支持多级视频流转分发功能。</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55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4、3D定位：系统的3D定位功能支持单击视频画面中想要居中显示的位置，摄像机即可将云台转动到指定的位置。</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55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5、镜头控制：系统支持通过点击变倍按钮或鼠标滚轮拉伸的方式控制摄像机镜头变倍，使视频画面能够拉近和放远。</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82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6、客户端锁定：系统支持配置锁屏时间，超过锁屏时间内未操作时锁定当前客户端界面，并支持用户名、密码解锁的功能</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87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7、视频地图预案资源管理：系统支持在高点视频画面上进行划线分区、标注文字、直接拖拽添加警员警车等图标进行安保预案规划，可在视频地图上绘画多边形、椭圆和矢量箭头，可设置其边界线条的粗细、颜色以及填充颜色、填充透明度和标注名称以及添加文字，文字大小、颜色可设置，并支持对预案资源进行导入和删除操作的功能</w:t>
            </w:r>
            <w:r>
              <w:rPr>
                <w:rFonts w:hint="eastAsia" w:asciiTheme="minorEastAsia" w:hAnsiTheme="minorEastAsia" w:eastAsiaTheme="minorEastAsia" w:cstheme="minorEastAsia"/>
                <w:b/>
                <w:bCs/>
                <w:i w:val="0"/>
                <w:iCs w:val="0"/>
                <w:color w:val="000000"/>
                <w:sz w:val="24"/>
                <w:szCs w:val="24"/>
                <w:u w:val="none"/>
                <w:lang w:val="en-US" w:eastAsia="zh-CN" w:bidi="ar"/>
              </w:rPr>
              <w:t xml:space="preserve">（提供国家认可的检测机构出具的检验或检测报告并加盖投标人公章）</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109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▲8、周边视频联动：支持在视频地图上发起周边视频应用，支持自动打开该点周边一定范围内的摄像机视频，支持在二维地图中自动将周边摄像机与目标位置连线，形成可视化的位置拓扑关系的功能</w:t>
            </w:r>
            <w:r>
              <w:rPr>
                <w:rFonts w:hint="eastAsia" w:asciiTheme="minorEastAsia" w:hAnsiTheme="minorEastAsia" w:eastAsiaTheme="minorEastAsia" w:cstheme="minorEastAsia"/>
                <w:b/>
                <w:bCs/>
                <w:i w:val="0"/>
                <w:iCs w:val="0"/>
                <w:color w:val="000000"/>
                <w:sz w:val="24"/>
                <w:szCs w:val="24"/>
                <w:u w:val="none"/>
                <w:lang w:val="en-US" w:eastAsia="zh-CN" w:bidi="ar"/>
              </w:rPr>
              <w:t xml:space="preserve">（提供国家认可的检测机构出具的检验或检测报告并加盖投标人公章）</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90"/>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9、平面图操作：系统支持打开平面画面，支持对平面图进行放大、缩小、八向云台操作，支持可在平面图中标注人脸卡口、车辆卡口等定点标签、矢量标签、区域标签、多视频标签、VR标签等，关联标签时可配置关联摄像机、文字、图片、文件等内容，支持在平面图进行标签编辑、修改、删除、筛选、搜索等操作的功能</w:t>
            </w:r>
            <w:r>
              <w:rPr>
                <w:rFonts w:hint="eastAsia" w:asciiTheme="minorEastAsia" w:hAnsiTheme="minorEastAsia" w:eastAsiaTheme="minorEastAsia" w:cstheme="minorEastAsia"/>
                <w:b/>
                <w:bCs/>
                <w:i w:val="0"/>
                <w:iCs w:val="0"/>
                <w:color w:val="000000"/>
                <w:sz w:val="24"/>
                <w:szCs w:val="24"/>
                <w:u w:val="none"/>
                <w:lang w:val="en-US" w:eastAsia="zh-CN" w:bidi="ar"/>
              </w:rPr>
              <w:t xml:space="preserve">（提供国家认可的检测机构出具的检验或检测报告并加盖投标人公章）</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55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10、高点轮巡：系统支持对多个高点设置轮巡任务，执行预案时按设置的时间间隔自动切换高点画面的功能。</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82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11、视频巡更管理：系统支持视频巡更任务的设置，支持设置巡更时间、巡更路线、巡更视频及巡更人员，生成视频巡更预案的功能</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136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12、手动预案管理：系统支持添加手动巡航预案，根据设置的监控目标点、低点监控设备及低点球机的预置位生成手动预案，并在客户端预案列表中显示，手动预案执行时联动高点视频聚焦在目标处，并联动低点固定探头或球机预置位以画中画播放视频的功能</w:t>
            </w:r>
            <w:r>
              <w:rPr>
                <w:rFonts w:hint="eastAsia" w:asciiTheme="minorEastAsia" w:hAnsiTheme="minorEastAsia" w:eastAsiaTheme="minorEastAsia" w:cstheme="minorEastAsia"/>
                <w:b/>
                <w:bCs/>
                <w:i w:val="0"/>
                <w:iCs w:val="0"/>
                <w:color w:val="000000"/>
                <w:sz w:val="24"/>
                <w:szCs w:val="24"/>
                <w:u w:val="none"/>
                <w:lang w:val="en-US" w:eastAsia="zh-CN" w:bidi="ar"/>
              </w:rPr>
              <w:t xml:space="preserve">（提供国家认可的检测机构出具的检验或检测报告并加盖投标人公章）</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136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13、普通标签搜索：系统支持从标签列表中选择或模糊输入标签标题两种方式进行标签搜索，可通过云台转动将目标标签定位到屏幕中心，可通过摄像机变焦切换至可显示目标标签的图层，支持目标标签不在当前高点摄像机画面时，自动切换至其所属高点画面的功能</w:t>
            </w:r>
            <w:r>
              <w:rPr>
                <w:rFonts w:hint="eastAsia" w:asciiTheme="minorEastAsia" w:hAnsiTheme="minorEastAsia" w:cstheme="minorEastAsia"/>
                <w:i w:val="0"/>
                <w:iCs w:val="0"/>
                <w:color w:val="000000"/>
                <w:sz w:val="24"/>
                <w:szCs w:val="24"/>
                <w:u w:val="none"/>
                <w:lang w:val="en-US" w:eastAsia="zh-CN" w:bidi="ar"/>
              </w:rPr>
              <w:t xml:space="preserve">。</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84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14、多摄像机关联标签：系统支持将单个标签关联多路摄像机，根据配置的标签对关联的摄像机进行视频播放，支持4画面、6画面或者9画面的方式预览视频，视频播放时生成视频设备树，支持视频设备排序及切换播放窗口在多视频设备树中通过鼠标拖动对其进行排序，支持手动点流切换播放窗口，支持切换全屏、抓拍画面、关闭视频、清空所有、关闭所有、开启轮播、关闭轮播等操作，并支持将选定视频推送到摄像机联动屏</w:t>
            </w:r>
            <w:r>
              <w:rPr>
                <w:rFonts w:hint="eastAsia" w:asciiTheme="minorEastAsia" w:hAnsiTheme="minorEastAsia" w:eastAsiaTheme="minorEastAsia" w:cstheme="minorEastAsia"/>
                <w:b/>
                <w:bCs/>
                <w:i w:val="0"/>
                <w:iCs w:val="0"/>
                <w:color w:val="000000"/>
                <w:sz w:val="24"/>
                <w:szCs w:val="24"/>
                <w:u w:val="none"/>
                <w:lang w:val="en-US" w:eastAsia="zh-CN" w:bidi="ar"/>
              </w:rPr>
              <w:t xml:space="preserve">（提供国家认可的检测机构出具的检验或检测报告并加盖投标人公章）</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109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景区视频标注工具库：</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▲1、POI自动标签生成：系统支持将下载的百度地图POI兴趣点数据进行导入，支持POI兴趣点生成自动标签，点击标签能查看标签的概要信息的功能</w:t>
            </w:r>
            <w:r>
              <w:rPr>
                <w:rFonts w:hint="eastAsia" w:asciiTheme="minorEastAsia" w:hAnsiTheme="minorEastAsia" w:eastAsiaTheme="minorEastAsia" w:cstheme="minorEastAsia"/>
                <w:b/>
                <w:bCs/>
                <w:i w:val="0"/>
                <w:iCs w:val="0"/>
                <w:color w:val="000000"/>
                <w:sz w:val="24"/>
                <w:szCs w:val="24"/>
                <w:u w:val="none"/>
                <w:lang w:val="en-US" w:eastAsia="zh-CN" w:bidi="ar"/>
              </w:rPr>
              <w:t xml:space="preserve">（提供国家认可的检测机构出具的检验或检测报告并加盖投标人公章）</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109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▲2、标签视频联动：系统支持在高点视频画面中通过画中画形式查看低点摄像机视频画面，支持低点视频全屏播放、云台控制、3D定位、切换码流、播放录像、语音对讲、查看本地录像等操作的功能</w:t>
            </w:r>
            <w:r>
              <w:rPr>
                <w:rFonts w:hint="eastAsia" w:asciiTheme="minorEastAsia" w:hAnsiTheme="minorEastAsia" w:eastAsiaTheme="minorEastAsia" w:cstheme="minorEastAsia"/>
                <w:b/>
                <w:bCs/>
                <w:i w:val="0"/>
                <w:iCs w:val="0"/>
                <w:color w:val="000000"/>
                <w:sz w:val="24"/>
                <w:szCs w:val="24"/>
                <w:u w:val="none"/>
                <w:lang w:val="en-US" w:eastAsia="zh-CN" w:bidi="ar"/>
              </w:rPr>
              <w:t xml:space="preserve">（提供国家认可的检测机构出具的检验或检测报告并加盖投标人公章）</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109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▲3、标签属性自定义管理：系统支持自定义标签属性，标签属性包括是否显示名称、是否必填、是否不显示及描述、控件 ，控件包括文字、网页、查询数据表、图片、图片集、文件、文件集合、可标记图集及以上内容组合的功能</w:t>
            </w:r>
            <w:r>
              <w:rPr>
                <w:rFonts w:hint="eastAsia" w:asciiTheme="minorEastAsia" w:hAnsiTheme="minorEastAsia" w:eastAsiaTheme="minorEastAsia" w:cstheme="minorEastAsia"/>
                <w:b/>
                <w:bCs/>
                <w:i w:val="0"/>
                <w:iCs w:val="0"/>
                <w:color w:val="000000"/>
                <w:sz w:val="24"/>
                <w:szCs w:val="24"/>
                <w:u w:val="none"/>
                <w:lang w:val="en-US" w:eastAsia="zh-CN" w:bidi="ar"/>
              </w:rPr>
              <w:t xml:space="preserve">（提供国家认可的检测机构出具的检验或检测报告并加盖投标人公章）</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544"/>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标签外观自定义：系统支持自定义标签外观，可配置标签外形、图标图片、背景图片、引导点图片及图片的透明程度。标签外形具有图标型、引导点型、渐变圈图标、光束型标签四种类型，支持调整标签字体大小及标签线条颜色及图标高、宽、间距和圈高、圈宽、图标颜色的功能</w:t>
            </w:r>
            <w:r>
              <w:rPr>
                <w:rFonts w:hint="eastAsia" w:asciiTheme="minorEastAsia" w:hAnsiTheme="minorEastAsia" w:eastAsiaTheme="minorEastAsia" w:cstheme="minorEastAsia"/>
                <w:b/>
                <w:bCs/>
                <w:i w:val="0"/>
                <w:iCs w:val="0"/>
                <w:color w:val="000000"/>
                <w:sz w:val="24"/>
                <w:szCs w:val="24"/>
                <w:u w:val="none"/>
                <w:lang w:val="en-US" w:eastAsia="zh-CN" w:bidi="ar"/>
              </w:rPr>
              <w:t xml:space="preserve">（提供国家认可的检测机构出具的检验或检测报告并加盖投标人公章）</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109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5、录像播放：系统支持以 1、4、9 画面分割播放录像，录像播放支持慢放、停止、暂停、快进、倒放、同步播放、定位播放、拖拽播放、新增录像标签等操作的功能</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82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▲6、视频地图预案文件管理：系统支持视频地图添加预案文件，支持预案文件查看、删除和修改的功能</w:t>
            </w:r>
            <w:r>
              <w:rPr>
                <w:rFonts w:hint="eastAsia" w:asciiTheme="minorEastAsia" w:hAnsiTheme="minorEastAsia" w:eastAsiaTheme="minorEastAsia" w:cstheme="minorEastAsia"/>
                <w:b/>
                <w:bCs/>
                <w:i w:val="0"/>
                <w:iCs w:val="0"/>
                <w:color w:val="000000"/>
                <w:sz w:val="24"/>
                <w:szCs w:val="24"/>
                <w:u w:val="none"/>
                <w:lang w:val="en-US" w:eastAsia="zh-CN" w:bidi="ar"/>
              </w:rPr>
              <w:t xml:space="preserve">（提供国家认可的检测机构出具的检验或检测报告并加盖投标人公章）</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136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7、视频地图预案文件关联：系统支持预案文件关联多个预案并设置名称、时间、文字描述，并可设置关联的高点视频地图，支持对多个高点地图进行左右切换，支持在高点地图下关联多个联动视频，支持调整联动视频顺序及删除联动视频，并支持将已有预案导入到当前预案的功能</w:t>
            </w:r>
            <w:r>
              <w:rPr>
                <w:rFonts w:hint="eastAsia" w:asciiTheme="minorEastAsia" w:hAnsiTheme="minorEastAsia" w:eastAsiaTheme="minorEastAsia" w:cstheme="minorEastAsia"/>
                <w:b/>
                <w:bCs/>
                <w:i w:val="0"/>
                <w:iCs w:val="0"/>
                <w:color w:val="000000"/>
                <w:sz w:val="24"/>
                <w:szCs w:val="24"/>
                <w:u w:val="none"/>
                <w:lang w:val="en-US" w:eastAsia="zh-CN" w:bidi="ar"/>
              </w:rPr>
              <w:t xml:space="preserve">（提供国家认可的检测机构出具的检验或检测报告并加盖投标人公章）</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82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8、平面图添加：系统支持后台添加平面图，并在客户端将平面图模拟成高点进行地图展示的功能</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109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▲9、标签详情外观自定义：系统支持自定义标签详情外观，可配置标签详情的背景图片、透明程度、容器高度、容器宽度及标签属性（视频样式、名称样式及其他属性）的功能</w:t>
            </w:r>
            <w:r>
              <w:rPr>
                <w:rFonts w:hint="eastAsia" w:asciiTheme="minorEastAsia" w:hAnsiTheme="minorEastAsia" w:eastAsiaTheme="minorEastAsia" w:cstheme="minorEastAsia"/>
                <w:b/>
                <w:bCs/>
                <w:i w:val="0"/>
                <w:iCs w:val="0"/>
                <w:color w:val="000000"/>
                <w:sz w:val="24"/>
                <w:szCs w:val="24"/>
                <w:u w:val="none"/>
                <w:lang w:val="en-US" w:eastAsia="zh-CN" w:bidi="ar"/>
              </w:rPr>
              <w:t xml:space="preserve">（提供国家认可的检测机构出具的检验或检测报告并加盖投标人公章）</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82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▲10、视频标签校准：系统支持手动框拽方式进行标签位置校准，当框选多个视频资源标签，则可将框选到的视频资源标签在指点位置合成一个多视频标签的功能</w:t>
            </w:r>
            <w:r>
              <w:rPr>
                <w:rFonts w:hint="eastAsia" w:asciiTheme="minorEastAsia" w:hAnsiTheme="minorEastAsia" w:eastAsiaTheme="minorEastAsia" w:cstheme="minorEastAsia"/>
                <w:b/>
                <w:bCs/>
                <w:i w:val="0"/>
                <w:iCs w:val="0"/>
                <w:color w:val="000000"/>
                <w:sz w:val="24"/>
                <w:szCs w:val="24"/>
                <w:u w:val="none"/>
                <w:lang w:val="en-US" w:eastAsia="zh-CN" w:bidi="ar"/>
              </w:rPr>
              <w:t xml:space="preserve">（提供国家认可的检测机构出具的检验或检测报告并加盖投标人公章）</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42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▲11、标签批量矫正：系统支持标签批量选择，通过点击上下左右云台按钮进行批量位置调整，并可设置标签校准的单次移动步进距离的功能</w:t>
            </w:r>
            <w:r>
              <w:rPr>
                <w:rFonts w:hint="eastAsia" w:asciiTheme="minorEastAsia" w:hAnsiTheme="minorEastAsia" w:eastAsiaTheme="minorEastAsia" w:cstheme="minorEastAsia"/>
                <w:b/>
                <w:bCs/>
                <w:i w:val="0"/>
                <w:iCs w:val="0"/>
                <w:color w:val="000000"/>
                <w:sz w:val="24"/>
                <w:szCs w:val="24"/>
                <w:u w:val="none"/>
                <w:lang w:val="en-US" w:eastAsia="zh-CN" w:bidi="ar"/>
              </w:rPr>
              <w:t xml:space="preserve">（提供国家认可的检测机构出具的检验或检测报告并加盖投标人公章）</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82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▲12、标签复制粘贴：系统支持对定点标签、多视频标签、重点标签、VR标签、3D模型标签等进行标签复制和粘贴，支持跨高点进行标签复制、粘贴的功能</w:t>
            </w:r>
            <w:r>
              <w:rPr>
                <w:rFonts w:hint="eastAsia" w:asciiTheme="minorEastAsia" w:hAnsiTheme="minorEastAsia" w:eastAsiaTheme="minorEastAsia" w:cstheme="minorEastAsia"/>
                <w:b/>
                <w:bCs/>
                <w:i w:val="0"/>
                <w:iCs w:val="0"/>
                <w:color w:val="000000"/>
                <w:sz w:val="24"/>
                <w:szCs w:val="24"/>
                <w:u w:val="none"/>
                <w:lang w:val="en-US" w:eastAsia="zh-CN" w:bidi="ar"/>
              </w:rPr>
              <w:t xml:space="preserve">（提供国家认可的检测机构出具的检验或检测报告并加盖投标人公章）</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109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▲13、标签剪切粘贴：系统支持对定点标签、多视频标签、重点标签、VR标签、3D模型标签等进行标签剪切和粘贴，可根据不同通道选择标签进行剪切、粘贴，支持跨高点进行标签剪切、粘贴的功能</w:t>
            </w:r>
            <w:r>
              <w:rPr>
                <w:rFonts w:hint="eastAsia" w:asciiTheme="minorEastAsia" w:hAnsiTheme="minorEastAsia" w:eastAsiaTheme="minorEastAsia" w:cstheme="minorEastAsia"/>
                <w:b/>
                <w:bCs/>
                <w:i w:val="0"/>
                <w:iCs w:val="0"/>
                <w:color w:val="000000"/>
                <w:sz w:val="24"/>
                <w:szCs w:val="24"/>
                <w:u w:val="none"/>
                <w:lang w:val="en-US" w:eastAsia="zh-CN" w:bidi="ar"/>
              </w:rPr>
              <w:t xml:space="preserve">（提供国家认可的检测机构出具的检验或检测报告并加盖投标人公章）</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82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▲14、标签跟随：系统支持当摄像机云台转动或镜头变倍时，标签可跟随所标定的目标物移动的功能</w:t>
            </w:r>
            <w:r>
              <w:rPr>
                <w:rFonts w:hint="eastAsia" w:asciiTheme="minorEastAsia" w:hAnsiTheme="minorEastAsia" w:eastAsiaTheme="minorEastAsia" w:cstheme="minorEastAsia"/>
                <w:b/>
                <w:bCs/>
                <w:i w:val="0"/>
                <w:iCs w:val="0"/>
                <w:color w:val="000000"/>
                <w:sz w:val="24"/>
                <w:szCs w:val="24"/>
                <w:u w:val="none"/>
                <w:lang w:val="en-US" w:eastAsia="zh-CN" w:bidi="ar"/>
              </w:rPr>
              <w:t xml:space="preserve">（提供国家认可的检测机构出具的检验或检测报告并加盖投标人公章）</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686"/>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15、区域标签添加管理：系统支持对区域标签的添加管理，支持对视频画面中出现的区域做图形框定标注，支持标签背景颜色、边框颜色、鼠标悬浮颜色及其不透明度自定义，支持一级、二级标签体系的功能</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109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全域资源智能调度台：</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▲1、一键框选：系统支持一键框选视频资源标签和多视频标签，框选后可将对应的摄像机推送到第二屏多视频窗口进行播放的功能</w:t>
            </w:r>
            <w:r>
              <w:rPr>
                <w:rFonts w:hint="eastAsia" w:asciiTheme="minorEastAsia" w:hAnsiTheme="minorEastAsia" w:eastAsiaTheme="minorEastAsia" w:cstheme="minorEastAsia"/>
                <w:b/>
                <w:bCs/>
                <w:i w:val="0"/>
                <w:iCs w:val="0"/>
                <w:color w:val="000000"/>
                <w:sz w:val="24"/>
                <w:szCs w:val="24"/>
                <w:u w:val="none"/>
                <w:lang w:val="en-US" w:eastAsia="zh-CN" w:bidi="ar"/>
              </w:rPr>
              <w:t xml:space="preserve">（提供国家认可的检测机构出具的检验或检测报告并加盖投标人公章）</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28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全域告警联动处置中心：</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28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1、景区实时告警弹窗提醒：接收告警信息，弹窗提示。</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109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历史告警数据查询：系统支持查看告警历史，可以按告警类型、查看状态、告警时间进行分类搜索查看，也可以通过搜索告警地点或告警内容快速查询历史告警信息，每一条历史告警支持查看告警详情内容和播放对应告警卡口告警时间段的录像。</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55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3、告警视频自动联动：告警触发后，高点摄像机自动转向告警位置，同步调取周边低点监控，实现 “告警即见画面”。</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82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4、系统告警设置：系统支持设置是否播报告警内容、告警联动范围、告警显示时间，系统告警时按配进行弹窗提示的功能</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544"/>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5、告警自定义工具：系统支持告警容器配置、语音播报配置、子控件配置等，告警容器可设置背景图片、宽度、高度、显示位置等，语音播报可设置是否启用语音播报、配置语音播报内容及语音播报时长等，配置子控件支持自定义告警控件类型、告警内容、事件类型、字体大小、字体颜色、字体粗细等功能</w:t>
            </w:r>
            <w:r>
              <w:rPr>
                <w:rFonts w:hint="eastAsia" w:asciiTheme="minorEastAsia" w:hAnsiTheme="minorEastAsia" w:eastAsiaTheme="minorEastAsia" w:cstheme="minorEastAsia"/>
                <w:b/>
                <w:bCs/>
                <w:i w:val="0"/>
                <w:iCs w:val="0"/>
                <w:color w:val="000000"/>
                <w:sz w:val="24"/>
                <w:szCs w:val="24"/>
                <w:u w:val="none"/>
                <w:lang w:val="en-US" w:eastAsia="zh-CN" w:bidi="ar"/>
              </w:rPr>
              <w:t xml:space="preserve">（提供国家认可的检测机构出具的检验或检测报告并加盖投标人公章）</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109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6、报警过滤设置：系统支持对前端人脸、车辆、智能分析卡口等设备告警信息进行过滤筛选，支持根据告警类型、告警设备进行单选或多选过滤，未选择的告警类型及告警设备产生的告警信息不会在平台弹窗提醒的功能</w:t>
            </w:r>
            <w:r>
              <w:rPr>
                <w:rFonts w:hint="eastAsia" w:asciiTheme="minorEastAsia" w:hAnsiTheme="minorEastAsia" w:eastAsiaTheme="minorEastAsia" w:cstheme="minorEastAsia"/>
                <w:b/>
                <w:bCs/>
                <w:i w:val="0"/>
                <w:iCs w:val="0"/>
                <w:color w:val="000000"/>
                <w:sz w:val="24"/>
                <w:szCs w:val="24"/>
                <w:u w:val="none"/>
                <w:lang w:val="en-US" w:eastAsia="zh-CN" w:bidi="ar"/>
              </w:rPr>
              <w:t xml:space="preserve">（提供国家认可的检测机构出具的检验或检测报告并加盖投标人公章）</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109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7、平面图告警联动：系统支持接收告警信息后联动告警规则，支持自动定位告警设备位置并居中显示，支持以画中画方式播放告警标签所关联的摄像机视频画面的功能</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969"/>
        </w:trPr>
        <w:tc>
          <w:tcPr>
            <w:shd w:val="clear" w:color="auto" w:fill="auto"/>
            <w:tcW w:w="463" w:type="pct"/>
            <w:vAlign w:val="center"/>
            <w:vMerge w:val="restart"/>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cstheme="minorEastAsia"/>
                <w:i w:val="0"/>
                <w:iCs w:val="0"/>
                <w:color w:val="000000"/>
                <w:sz w:val="24"/>
                <w:szCs w:val="24"/>
                <w:highlight w:val="none"/>
                <w:u w:val="none"/>
                <w:lang w:val="en-US" w:eastAsia="zh-CN" w:bidi="ar"/>
              </w:rPr>
              <w:t xml:space="preserve">2</w:t>
            </w:r>
            <w:r/>
          </w:p>
        </w:tc>
        <w:tc>
          <w:tcPr>
            <w:shd w:val="clear" w:color="auto" w:fill="auto"/>
            <w:tcW w:w="766" w:type="pct"/>
            <w:vAlign w:val="center"/>
            <w:vMerge w:val="restart"/>
            <w:textDirection w:val="lrTb"/>
            <w:noWrap w:val="false"/>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花果山景区智慧旅游安保平台（公安网版）-定制化功能</w:t>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景区实景点位标注地图：</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1、景区点位标注分层展示：按景区建筑、游览步道、监控点位、巡逻警力、危险区域、客流密集区划分多层图层标注，支持分图层显示，可根据摄像机镜头变倍显示相应图层的标注。</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2、图层标注临时隐藏管控：系统支持标注屏蔽功能，通过勾选标注显示类型即可能够在平台画面中快速屏蔽或显示相应类型的标注。</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3、全域点位标注快速检索：支持模糊检索目标资源，通过点击目标标注可自动切换实景高点，居中显示标注，以此快速筛查出可以看到目标对象的所有监控资源。</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4、自定义标注：支持关联摄像机、文字、图片、图片集、文档、文件、文件集、网页、查询数据表、可标记图集及以上内容的组合，其中文件包含视频、语音、录像文件、3D模型文件、平面地图、VR全景地图、居民信息等多种类型；</w:t>
            </w:r>
            <w:r/>
          </w:p>
        </w:tc>
        <w:tc>
          <w:tcPr>
            <w:shd w:val="clear" w:color="auto" w:fill="auto"/>
            <w:tcW w:w="489" w:type="pct"/>
            <w:vAlign w:val="center"/>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1110"/>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景区视频标注工具库：</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1、固定服务点位标注：在景区视频中标注景区出入口、游客服务中心、卫生间、医疗救助点、警务室、观景台等固定服务点位。</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2、通行路线矢量标注：绘制游览动线、应急疏导通道、单向通行路线、隔离带，引导游客有序通行。</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3、重点管控区域圈定标注：划定客流超容预警区、禁入区域、临崖危险区、临时管控区。</w:t>
            </w:r>
            <w:r/>
          </w:p>
        </w:tc>
        <w:tc>
          <w:tcPr>
            <w:shd w:val="clear" w:color="auto" w:fill="auto"/>
            <w:tcW w:w="489" w:type="pct"/>
            <w:vAlign w:val="center"/>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1110"/>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全域资源智能调度台：</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1、景区全域综合检索：支持按点位标注名称、监控设备、路段描述全局搜索资源。</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2、检索结果视频点播：选中搜索到的监控点位，一键开启实时视频，支持多路视频同步播放。</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3、点位视频一键跳转：选中标注点位，系统自动切换至对应实景视频画面并居中展示。</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4、片区视频批量调度：针对节假日客流高峰、突发事件区域，批量调取周边所有监控，自动推送至指挥大屏分屏展示，实现片区全域掌控。</w:t>
            </w:r>
            <w:r/>
          </w:p>
        </w:tc>
        <w:tc>
          <w:tcPr>
            <w:shd w:val="clear" w:color="auto" w:fill="auto"/>
            <w:tcW w:w="489" w:type="pct"/>
            <w:vAlign w:val="center"/>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470"/>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景区专属应急方案库：</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1、实景化应急方案编辑：在景区视频地图上可视化布置巡逻警力、执勤车辆、应急装备、游客疏散路线、临时隔离区，支持拖拽式快速编辑调整。</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2、多场景预案模板制作：针对节假日大客流、游客走失、山林险情、大型文旅活动、恶劣天气等场景编制专属应急方案，保存为独立模板，可重复调用。</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3、应急方案一键启动：预案启动后，实时通过移动警力标签功能在实景地图上展示执勤人员，并通过实际到位状态数据和实景地图对比，人员部署是否到位，便可一目了然。</w:t>
            </w:r>
            <w:r/>
          </w:p>
        </w:tc>
        <w:tc>
          <w:tcPr>
            <w:shd w:val="clear" w:color="auto" w:fill="auto"/>
            <w:tcW w:w="489" w:type="pct"/>
            <w:vAlign w:val="center"/>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1110"/>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入园人数数据维护模块：本功能提供专属管理界面，可对景区每日入园总人数这一核心基准数据进行手动校准与维护。授权管理员可通过此功能，根据检票口人工计数或其他可靠来源，对系统记录的入园人数进行修正与确认。</w:t>
            </w:r>
            <w:r/>
          </w:p>
        </w:tc>
        <w:tc>
          <w:tcPr>
            <w:shd w:val="clear" w:color="auto" w:fill="auto"/>
            <w:tcW w:w="489" w:type="pct"/>
            <w:vAlign w:val="center"/>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1110"/>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景区舆情数据维护模块：本功能提供对舆情监测系统的基础元数据与监测规则进行维护管理的能力。管理员可在此配置和更新需要重点监控的重点媒体名单、风险人员信息库等,通过持续的维护，使系统能够更精准、全面地捕捉互联网上关于景区的声誉风险、安全隐患及游客诉求，助力实现线上风险的早发现、早研判、早处置。</w:t>
            </w:r>
            <w:r/>
          </w:p>
        </w:tc>
        <w:tc>
          <w:tcPr>
            <w:shd w:val="clear" w:color="auto" w:fill="auto"/>
            <w:tcW w:w="489" w:type="pct"/>
            <w:vAlign w:val="center"/>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1110"/>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景区场景应用模块：基于公安网安保平台深度定制，面向花果山景区专属业务场景，实现平面一张图、智能巡查、值班联动、重点部位一键处置，是景区实战指挥的核心应用。</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1、重点人员预警与视频标注定位</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对接重点人员预警数据系统。当系统推送中重点人员告警数据时，可在平台触发告警。同时，系统可调用最近的AR高点摄像机，并将视频画面快速定位、放大至告警发生位置，为现场处置提供实时视频支撑。</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2、平面地图与资源标绘</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以高精度VR场景作为核心操作地图，支持在模型中精准标注并关联景区内的各类安保资源，如警力部署、监控点位、重要设施等，实现资源一图总览。</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3、值班信息联动</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本模块实时展示值班人员名单、岗位。支持与融合通信系统深度融合，指挥员可直接点击任意值班人员，一键发起语音对讲，实现了从“看到人”到“找对人、即时通、看得见”的无缝闭环，大幅提升应急指挥的精准性与响应速度。</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4、智能地图巡防</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支持在地图上自定义巡逻路线（如将景区关键点位连线），系统可自动按路线顺序调取沿线关联的多个监控视频，形成视频巡航，供指挥人员实时巡查沿线状况，提升巡逻效率。</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5、重点位置联动</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对景区内关键位置进行重点标识与管控配置。系统可关联景区内重点位置的实时监控，并快速调取视频查看，实现“人、地、视频”快速联动。</w:t>
            </w:r>
            <w:r/>
          </w:p>
        </w:tc>
        <w:tc>
          <w:tcPr>
            <w:shd w:val="clear" w:color="auto" w:fill="auto"/>
            <w:tcW w:w="489" w:type="pct"/>
            <w:vAlign w:val="center"/>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1110"/>
        </w:trPr>
        <w:tc>
          <w:tcPr>
            <w:shd w:val="clear" w:color="auto" w:fill="auto"/>
            <w:tcW w:w="463" w:type="pct"/>
            <w:vAlign w:val="center"/>
            <w:vMerge w:val="restart"/>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cstheme="minorEastAsia"/>
                <w:i w:val="0"/>
                <w:iCs w:val="0"/>
                <w:color w:val="000000"/>
                <w:sz w:val="24"/>
                <w:szCs w:val="24"/>
                <w:highlight w:val="none"/>
                <w:u w:val="none"/>
                <w:lang w:val="en-US" w:eastAsia="zh-CN" w:bidi="ar"/>
              </w:rPr>
              <w:t xml:space="preserve">3</w:t>
            </w:r>
            <w:r/>
          </w:p>
        </w:tc>
        <w:tc>
          <w:tcPr>
            <w:shd w:val="clear" w:color="auto" w:fill="auto"/>
            <w:tcW w:w="766" w:type="pct"/>
            <w:vAlign w:val="center"/>
            <w:vMerge w:val="restart"/>
            <w:textDirection w:val="lrTb"/>
            <w:noWrap w:val="false"/>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系统对接（公安网）</w:t>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视频监控系统对接：通过符合国标GB/T 28181的协议与视频监控系统对接，实现现有视频资源的整合，可查看实时视频、录像、云台、预置位调用等相关功能。通过增强现实动态标签技术在全局监控画面上叠加摄像头标签，通过视频画中画联动功能同时展示多路天网监控的视频。</w:t>
            </w:r>
            <w:r/>
          </w:p>
        </w:tc>
        <w:tc>
          <w:tcPr>
            <w:shd w:val="clear" w:color="auto" w:fill="auto"/>
            <w:tcW w:w="489" w:type="pct"/>
            <w:vAlign w:val="center"/>
            <w:vMerge w:val="restart"/>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W w:w="529" w:type="pct"/>
            <w:vAlign w:val="center"/>
            <w:vMerge w:val="restart"/>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w:t>
            </w:r>
            <w:r/>
          </w:p>
        </w:tc>
      </w:tr>
      <w:tr>
        <w:trPr>
          <w:trHeight w:val="28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对于不能支持国标GB/28181的协议的视频监控系统，需要通过专门的SDK对接。</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136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景区12345工单数据对接：将12345市民服务热线平台中，涉及花果山景区的所有投诉、建议与求助工单进行自动化、结构化接入。系统能够按照预先设定的规则，精准筛选并实时同步景区相关的工单数据，如游客消费纠纷、设施投诉、服务建议等。在平台展示景区相关12345工单占比分类与详情，实现从“被动接收”到“主动治理”的闭环管理，显著提升涉旅投诉的响应速度与处置满意度。</w:t>
            </w:r>
            <w:r/>
          </w:p>
        </w:tc>
        <w:tc>
          <w:tcPr>
            <w:shd w:val="clear" w:color="auto" w:fill="auto"/>
            <w:tcW w:w="489" w:type="pct"/>
            <w:vAlign w:val="center"/>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W w:w="529" w:type="pct"/>
            <w:vAlign w:val="center"/>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w:t>
            </w:r>
            <w:r/>
          </w:p>
        </w:tc>
      </w:tr>
      <w:tr>
        <w:trPr>
          <w:trHeight w:val="82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景区景交车数据对接：本功能通过对接景区观光车（景交车）数据，实时获取车辆GPS定位等核心数据。该功能旨在实现景交车运力的可视化监控与智能化调度，帮助管理者在客流高峰时科学调配车辆，优化线路，疏导拥堵</w:t>
            </w:r>
            <w:r/>
          </w:p>
        </w:tc>
        <w:tc>
          <w:tcPr>
            <w:shd w:val="clear" w:color="auto" w:fill="auto"/>
            <w:tcW w:w="489" w:type="pct"/>
            <w:vAlign w:val="center"/>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W w:w="529" w:type="pct"/>
            <w:vAlign w:val="center"/>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w:t>
            </w:r>
            <w:r/>
          </w:p>
        </w:tc>
      </w:tr>
      <w:tr>
        <w:trPr>
          <w:trHeight w:val="163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景区多模态预警数据对接：本功能负责接入并整合来自视频监控系统的多模态智能分析预警结果。系统对接视频分析引擎，实时接收并处理关于人员聚集、跨越护栏、举旗等异常行为的结构化报警事件。通过统一的数据接口，这些预警信息被实时推送至指挥中心大屏，并可与事发点位的视自动关联，实现“风险智能感知、告警秒级推送、现场快速联动”，将安防模式从事后追溯全面升级为事前预防与事中快速干预。</w:t>
            </w:r>
            <w:r/>
          </w:p>
        </w:tc>
        <w:tc>
          <w:tcPr>
            <w:shd w:val="clear" w:color="auto" w:fill="auto"/>
            <w:tcW w:w="489" w:type="pct"/>
            <w:vAlign w:val="center"/>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W w:w="529" w:type="pct"/>
            <w:vAlign w:val="center"/>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w:t>
            </w:r>
            <w:r/>
          </w:p>
        </w:tc>
      </w:tr>
      <w:tr>
        <w:trPr>
          <w:trHeight w:val="163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景区人流抓拍数据对接：本功能通过接入部署在景区各关键通道、出入口及热点区域的人脸/人形抓拍摄像头，实时获取未经去重的原始抓拍数据。系统以分钟为单位，汇聚各点位的抓拍通过人次，并通过数据模型将其转化为反映实时人员流动频率与区域密度指数的核心指标。该功能是指挥中心动态感知客流分布、研判拥堵趋势、发布分级预警（高/中/低）的基础，为精细化的人流管控与警力资源动态投放提供了直接的数据支撑。</w:t>
            </w:r>
            <w:r/>
          </w:p>
        </w:tc>
        <w:tc>
          <w:tcPr>
            <w:shd w:val="clear" w:color="auto" w:fill="auto"/>
            <w:tcW w:w="489" w:type="pct"/>
            <w:vAlign w:val="center"/>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W w:w="529" w:type="pct"/>
            <w:vAlign w:val="center"/>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w:t>
            </w:r>
            <w:r/>
          </w:p>
        </w:tc>
      </w:tr>
      <w:tr>
        <w:trPr>
          <w:trHeight w:val="136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景区警情数据对接：实现与110接处警系统的实时对接，自动获取景区分局辖区内的所有警情数据，包括基本信息、发生时间、具体地点、报警类型。系统对原始警情数据进行实时同步与结构化处理，在“诉警中心”模块中以饼图统计、列表滚动等方式可视化呈现，指挥员可直观掌握警情分布规律与高发类型，辅助研判治安态势。</w:t>
            </w:r>
            <w:r/>
          </w:p>
        </w:tc>
        <w:tc>
          <w:tcPr>
            <w:shd w:val="clear" w:color="auto" w:fill="auto"/>
            <w:tcW w:w="489" w:type="pct"/>
            <w:vAlign w:val="center"/>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W w:w="529" w:type="pct"/>
            <w:vAlign w:val="center"/>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w:t>
            </w:r>
            <w:r/>
          </w:p>
        </w:tc>
      </w:tr>
      <w:tr>
        <w:trPr>
          <w:trHeight w:val="300"/>
        </w:trPr>
        <w:tc>
          <w:tcPr>
            <w:shd w:val="clear" w:color="auto" w:fill="auto"/>
            <w:tcW w:w="463" w:type="pct"/>
            <w:vAlign w:val="center"/>
            <w:vMerge w:val="restart"/>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cstheme="minorEastAsia"/>
                <w:i w:val="0"/>
                <w:iCs w:val="0"/>
                <w:color w:val="000000"/>
                <w:sz w:val="24"/>
                <w:szCs w:val="24"/>
                <w:highlight w:val="none"/>
                <w:u w:val="none"/>
                <w:lang w:val="en-US" w:eastAsia="zh-CN" w:bidi="ar"/>
              </w:rPr>
              <w:t xml:space="preserve">4</w:t>
            </w:r>
            <w:r/>
          </w:p>
        </w:tc>
        <w:tc>
          <w:tcPr>
            <w:shd w:val="clear" w:color="auto" w:fill="auto"/>
            <w:tcW w:w="766" w:type="pct"/>
            <w:vAlign w:val="center"/>
            <w:vMerge w:val="restart"/>
            <w:textDirection w:val="lrTb"/>
            <w:noWrap w:val="false"/>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花果山景区智慧旅游安保平台（互联网版）</w:t>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全域视频运维中心：</w:t>
            </w:r>
            <w:r/>
          </w:p>
        </w:tc>
        <w:tc>
          <w:tcPr>
            <w:shd w:val="clear" w:color="auto" w:fill="auto"/>
            <w:tcW w:w="489" w:type="pct"/>
            <w:vAlign w:val="center"/>
            <w:vMerge w:val="restart"/>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W w:w="529" w:type="pct"/>
            <w:vAlign w:val="center"/>
            <w:vMerge w:val="restart"/>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w:t>
            </w:r>
            <w:r/>
          </w:p>
        </w:tc>
      </w:tr>
      <w:tr>
        <w:trPr>
          <w:trHeight w:val="55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1、实景视频轮播：支持景区高点球机、低点枪机、全景相机实时视频拉流、大屏上墙，以4分屏或9分屏模式进行低点显示；。</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55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2、前端设备远程操控：系统支持通过客户端界面内的云台控制圆盘，点击八向云台控制按钮或鼠标拖动的方式控制摄像机向不同方向转动。</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55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3、景区视频流分发：提供智能化视频流转、分发管理功能，不受前端编码格式限制，支持多级视频流转分发功能。</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55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4、3D定位：系统的3D定位功能支持单击视频画面中想要居中显示的位置，摄像机即可将云台转动到指定的位置。</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55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5、镜头控制：系统支持通过点击变倍按钮或鼠标滚轮拉伸的方式控制摄像机镜头变倍，使视频画面能够拉近和放远。</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28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景区实景点位标注地图：</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82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1、景区点位标注分层展示：按景区建筑、游览步道、监控点位、巡逻警力、危险区域、客流密集区划分多层图层标注，支持分图层显示，可根据摄像机镜头变倍显示相应图层的标注。</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55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2、图层标注临时隐藏管控：系统支持标注屏蔽功能，通过勾选标注显示类型即可能够在平台画面中快速屏蔽或显示相应类型的标注。</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82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3、全域点位标注快速检索：支持模糊检索目标资源，通过点击目标标注可自动切换实景高点，居中显示标注，以此快速筛查出可以看到目标对象的所有监控资源。</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82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自定义标注：支持关联摄像机、文字、图片、图片集、文档、文件、文件集、网页、查询数据表、可标记图集及以上内容的组合，其中文件包含视频、语音、录像文件、3D模型文件、平面地图、VR全景地图、居民信息等多种类型；</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28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景区视频标注工具库：</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55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1、固定服务点位标注：在景区视频中标注景区出入口、游客服务中心、卫生间、医疗救助点、警务室、观景台等固定服务点位。</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55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2、通行路线矢量标注：绘制游览动线、应急疏导通道、单向通行路线、隔离带，引导游客有序通行。</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55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3、重点管控区域圈定标注：划定客流超容预警区、禁入区域、临崖危险区、临时管控区。</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28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全域资源智能调度台：</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55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1、景区全域综合检索：支持按点位标注名称、监控设备、路段描述全局搜索资源。</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55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2、检索结果视频点播：选中搜索到的监控点位，一键开启实时视频，支持多路视频同步播放。</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55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3、点位视频一键跳转：选中标注点位，系统自动切换至对应实景视频画面并居中展示。</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55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4、片区视频批量调度：针对节假日客流高峰、突发事件区域，批量调取周边所有监控，自动推送至指挥大屏分屏展示，实现片区全域掌控。</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55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视频标注化组件：标注化能力根据编解码引擎解析摄像机PTZ参数，实现摄像头的标注化、自动定位、自动校时、视域计算、视频联动跟踪。</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55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平面图标注化组件：导入平面图并进行空间校准。在静态图上叠加标注信息、监控画面、设施信息。支持旋转、缩放、漫游，模拟实景浏览。</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55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景区全景模块：支持枪机、球机、二维地图、平面图统一嵌套调用。实现多源数据空间化聚合，标注化全息呈现。通过景区全景图，直观掌握景区全貌。</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109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通过符合国标GB/T 28181的协议与视频监控系统对接，实现现有视频资源的整合，可查看实时视频、录像、云台、预置位调用等相关功能。通过增强现实动态标签技术在全局监控画面上叠加摄像头标签，通过视频画中画联动功能同时展示多路天网监控的视频。</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55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对于不能支持国标GB/T 28181的协议的视频监控系统，需要通过专门的SDK对接。</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500"/>
        </w:trPr>
        <w:tc>
          <w:tcPr>
            <w:shd w:val="clear" w:color="auto" w:fill="auto"/>
            <w:tcW w:w="463" w:type="pct"/>
            <w:vAlign w:val="center"/>
            <w:vMerge w:val="restart"/>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cstheme="minorEastAsia"/>
                <w:i w:val="0"/>
                <w:iCs w:val="0"/>
                <w:color w:val="000000"/>
                <w:sz w:val="24"/>
                <w:szCs w:val="24"/>
                <w:highlight w:val="none"/>
                <w:u w:val="none"/>
                <w:lang w:val="en-US" w:eastAsia="zh-CN" w:bidi="ar"/>
              </w:rPr>
              <w:t xml:space="preserve">5</w:t>
            </w:r>
            <w:r/>
          </w:p>
        </w:tc>
        <w:tc>
          <w:tcPr>
            <w:shd w:val="clear" w:color="auto" w:fill="auto"/>
            <w:tcW w:w="766" w:type="pct"/>
            <w:vAlign w:val="center"/>
            <w:vMerge w:val="restart"/>
            <w:textDirection w:val="lrTb"/>
            <w:noWrap w:val="false"/>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系统对接（互联网）</w:t>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通过符合国标GB/T 28181的协议与视频监控系统对接，实现现有视频资源的整合，可查看实时视频、录像、云台、预置位调用等相关功能。通过增强现实动态标签技术在全局监控画面上叠加摄像头标签，通过视频画中画联动功能同时展示多路天网监控的视频。</w:t>
            </w:r>
            <w:r/>
          </w:p>
        </w:tc>
        <w:tc>
          <w:tcPr>
            <w:shd w:val="clear" w:color="auto" w:fill="auto"/>
            <w:tcW w:w="489" w:type="pct"/>
            <w:vAlign w:val="center"/>
            <w:vMerge w:val="restart"/>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W w:w="529" w:type="pct"/>
            <w:vAlign w:val="center"/>
            <w:vMerge w:val="restart"/>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w:t>
            </w:r>
            <w:r/>
          </w:p>
        </w:tc>
      </w:tr>
      <w:tr>
        <w:trPr>
          <w:trHeight w:val="55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对于不能支持国标GB/T 28181的协议的视频监控系统，需要通过专门的SDK对接。</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300"/>
        </w:trPr>
        <w:tc>
          <w:tcPr>
            <w:shd w:val="clear" w:color="auto" w:fill="auto"/>
            <w:tcW w:w="463" w:type="pct"/>
            <w:vAlign w:val="center"/>
            <w:vMerge w:val="restart"/>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cstheme="minorEastAsia"/>
                <w:i w:val="0"/>
                <w:iCs w:val="0"/>
                <w:color w:val="000000"/>
                <w:sz w:val="24"/>
                <w:szCs w:val="24"/>
                <w:highlight w:val="none"/>
                <w:u w:val="none"/>
                <w:lang w:val="en-US" w:eastAsia="zh-CN" w:bidi="ar"/>
              </w:rPr>
              <w:t xml:space="preserve">6</w:t>
            </w:r>
            <w:r/>
          </w:p>
        </w:tc>
        <w:tc>
          <w:tcPr>
            <w:shd w:val="clear" w:color="auto" w:fill="auto"/>
            <w:tcW w:w="766" w:type="pct"/>
            <w:vAlign w:val="center"/>
            <w:vMerge w:val="restart"/>
            <w:textDirection w:val="lrTb"/>
            <w:noWrap w:val="false"/>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数据对接</w:t>
            </w:r>
            <w:r/>
          </w:p>
        </w:tc>
        <w:tc>
          <w:tcPr>
            <w:shd w:val="clear" w:color="auto" w:fill="auto"/>
            <w:tcW w:w="2752" w:type="pct"/>
            <w:vAlign w:val="center"/>
            <w:textDirection w:val="lrTb"/>
            <w:noWrap/>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花果山出入园数据对接：将花果山景区入园人数、出园人数接入本项目建设平台。</w:t>
            </w:r>
            <w:r/>
          </w:p>
        </w:tc>
        <w:tc>
          <w:tcPr>
            <w:shd w:val="clear" w:color="auto" w:fill="auto"/>
            <w:tcW w:w="489" w:type="pct"/>
            <w:vAlign w:val="center"/>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W w:w="529" w:type="pct"/>
            <w:vAlign w:val="center"/>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w:t>
            </w:r>
            <w:r/>
          </w:p>
        </w:tc>
      </w:tr>
      <w:tr>
        <w:trPr>
          <w:trHeight w:val="28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花果山停车场数据对接：将花果山景区停车场车位总数，剩余车位数接入本项目建设平台。</w:t>
            </w:r>
            <w:r/>
          </w:p>
        </w:tc>
        <w:tc>
          <w:tcPr>
            <w:shd w:val="clear" w:color="auto" w:fill="auto"/>
            <w:tcW w:w="489" w:type="pct"/>
            <w:vAlign w:val="center"/>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W w:w="529" w:type="pct"/>
            <w:vAlign w:val="center"/>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w:t>
            </w:r>
            <w:r/>
          </w:p>
        </w:tc>
      </w:tr>
      <w:tr>
        <w:trPr>
          <w:trHeight w:val="28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花果山景交车数据对接：将花果山景区景交车基本信息、gps定位信息接入本项目建设平台。</w:t>
            </w:r>
            <w:r/>
          </w:p>
        </w:tc>
        <w:tc>
          <w:tcPr>
            <w:shd w:val="clear" w:color="auto" w:fill="auto"/>
            <w:tcW w:w="489" w:type="pct"/>
            <w:vAlign w:val="center"/>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W w:w="529" w:type="pct"/>
            <w:vAlign w:val="center"/>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w:t>
            </w:r>
            <w:r/>
          </w:p>
        </w:tc>
      </w:tr>
      <w:tr>
        <w:trPr>
          <w:trHeight w:val="28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互联网至公安网数据接入：将12345工单数据接入本项目建设平台。</w:t>
            </w:r>
            <w:r/>
          </w:p>
        </w:tc>
        <w:tc>
          <w:tcPr>
            <w:shd w:val="clear" w:color="auto" w:fill="auto"/>
            <w:tcW w:w="489" w:type="pct"/>
            <w:vAlign w:val="center"/>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W w:w="529" w:type="pct"/>
            <w:vAlign w:val="center"/>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w:t>
            </w:r>
            <w:r/>
          </w:p>
        </w:tc>
      </w:tr>
      <w:tr>
        <w:trPr>
          <w:trHeight w:val="28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公安网与花果山景区智慧旅游安保平台数据对接：将公安网视频监控、旅馆、常驻人口等数据接入本项目建设平台。</w:t>
            </w:r>
            <w:r/>
          </w:p>
        </w:tc>
        <w:tc>
          <w:tcPr>
            <w:shd w:val="clear" w:color="auto" w:fill="auto"/>
            <w:tcW w:w="489" w:type="pct"/>
            <w:vAlign w:val="center"/>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W w:w="529" w:type="pct"/>
            <w:vAlign w:val="center"/>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w:t>
            </w:r>
            <w:r/>
          </w:p>
        </w:tc>
      </w:tr>
      <w:tr>
        <w:trPr>
          <w:trHeight w:val="570"/>
        </w:trPr>
        <w:tc>
          <w:tcPr>
            <w:shd w:val="clear" w:color="auto" w:fill="auto"/>
            <w:tcW w:w="463" w:type="pct"/>
            <w:vAlign w:val="center"/>
            <w:vMerge w:val="restart"/>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lang w:val="en-US"/>
              </w:rPr>
              <w:suppressLineNumbers w:val="0"/>
            </w:pPr>
            <w:r>
              <w:rPr>
                <w:rFonts w:hint="eastAsia" w:asciiTheme="minorEastAsia" w:hAnsiTheme="minorEastAsia" w:cstheme="minorEastAsia"/>
                <w:i w:val="0"/>
                <w:iCs w:val="0"/>
                <w:color w:val="000000"/>
                <w:sz w:val="24"/>
                <w:szCs w:val="24"/>
                <w:highlight w:val="none"/>
                <w:u w:val="none"/>
                <w:lang w:val="en-US" w:eastAsia="zh-CN" w:bidi="ar"/>
              </w:rPr>
              <w:t xml:space="preserve">7</w:t>
            </w:r>
            <w:r/>
          </w:p>
        </w:tc>
        <w:tc>
          <w:tcPr>
            <w:shd w:val="clear" w:color="auto" w:fill="auto"/>
            <w:tcW w:w="766" w:type="pct"/>
            <w:vAlign w:val="center"/>
            <w:vMerge w:val="restart"/>
            <w:textDirection w:val="lrTb"/>
            <w:noWrap w:val="false"/>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花果山数据建模</w:t>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对花果山景区进行多角度、重叠率数据采集，获取高精度地形、地貌及建筑数据，重建三维模型。</w:t>
            </w:r>
            <w:r/>
          </w:p>
        </w:tc>
        <w:tc>
          <w:tcPr>
            <w:shd w:val="clear" w:color="auto" w:fill="auto"/>
            <w:tcW w:w="489" w:type="pct"/>
            <w:vAlign w:val="center"/>
            <w:vMerge w:val="restart"/>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25</w:t>
            </w:r>
            <w:r/>
          </w:p>
        </w:tc>
        <w:tc>
          <w:tcPr>
            <w:shd w:val="clear" w:color="auto" w:fill="auto"/>
            <w:tcW w:w="529" w:type="pct"/>
            <w:vAlign w:val="center"/>
            <w:vMerge w:val="restart"/>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平方公里</w:t>
            </w:r>
            <w:r/>
          </w:p>
        </w:tc>
      </w:tr>
      <w:tr>
        <w:trPr>
          <w:trHeight w:val="28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数据建模指标：</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28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平原建筑密集区：地面分辨率3cm；</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28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山体区域：地面分辨率5cm；</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285"/>
        </w:trPr>
        <w:tc>
          <w:tcPr>
            <w:gridSpan w:val="5"/>
            <w:shd w:val="clear" w:color="auto" w:fill="auto"/>
            <w:tcW w:w="5000" w:type="pct"/>
            <w:vAlign w:val="center"/>
            <w:textDirection w:val="lrTb"/>
            <w:noWrap/>
          </w:tcPr>
          <w:p>
            <w:pPr>
              <w:jc w:val="center"/>
              <w:keepLines w:val="0"/>
              <w:keepNext w:val="0"/>
              <w:pageBreakBefore w:val="0"/>
              <w:spacing w:line="420" w:lineRule="exact"/>
              <w:rPr>
                <w:rFonts w:hint="default"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cstheme="minorEastAsia"/>
                <w:i w:val="0"/>
                <w:iCs w:val="0"/>
                <w:color w:val="000000"/>
                <w:sz w:val="24"/>
                <w:szCs w:val="24"/>
                <w:u w:val="none"/>
                <w:lang w:val="en-US" w:eastAsia="zh-CN"/>
              </w:rPr>
              <w:t xml:space="preserve">项目实施硬件部分</w:t>
            </w:r>
            <w:r/>
          </w:p>
        </w:tc>
      </w:tr>
      <w:tr>
        <w:trPr>
          <w:trHeight w:val="248"/>
        </w:trPr>
        <w:tc>
          <w:tcPr>
            <w:shd w:val="clear" w:color="auto" w:fill="auto"/>
            <w:tcW w:w="463" w:type="pct"/>
            <w:vAlign w:val="center"/>
            <w:vMerge w:val="restart"/>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cstheme="minorEastAsia"/>
                <w:i w:val="0"/>
                <w:iCs w:val="0"/>
                <w:color w:val="000000"/>
                <w:sz w:val="24"/>
                <w:szCs w:val="24"/>
                <w:highlight w:val="none"/>
                <w:u w:val="none"/>
                <w:lang w:val="en-US" w:eastAsia="zh-CN"/>
              </w:rPr>
              <w:t xml:space="preserve">8</w:t>
            </w:r>
            <w:r/>
          </w:p>
        </w:tc>
        <w:tc>
          <w:tcPr>
            <w:shd w:val="clear" w:color="auto" w:fill="auto"/>
            <w:tcW w:w="766" w:type="pct"/>
            <w:vAlign w:val="center"/>
            <w:vMerge w:val="restart"/>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lang w:val="en-US" w:eastAsia="zh-CN" w:bidi="ar"/>
              </w:rPr>
              <w:t xml:space="preserve">应用管理单元</w:t>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lang w:val="en-US" w:eastAsia="zh-CN" w:bidi="ar-SA"/>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应用管理单元是针对网络监控系统的专用的视频监控管理及数据接入管理设备。</w:t>
            </w:r>
            <w:r/>
          </w:p>
        </w:tc>
        <w:tc>
          <w:tcPr>
            <w:shd w:val="clear" w:color="auto" w:fill="auto"/>
            <w:tcW w:w="489" w:type="pct"/>
            <w:vAlign w:val="center"/>
            <w:vMerge w:val="restart"/>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cstheme="minorEastAsia"/>
                <w:i w:val="0"/>
                <w:iCs w:val="0"/>
                <w:color w:val="000000"/>
                <w:sz w:val="24"/>
                <w:szCs w:val="24"/>
                <w:u w:val="none"/>
                <w:lang w:val="en-US" w:eastAsia="zh-CN"/>
              </w:rPr>
              <w:t xml:space="preserve">1</w:t>
            </w:r>
            <w:r/>
          </w:p>
        </w:tc>
        <w:tc>
          <w:tcPr>
            <w:shd w:val="clear" w:color="auto" w:fill="auto"/>
            <w:tcW w:w="529" w:type="pct"/>
            <w:vAlign w:val="center"/>
            <w:vMerge w:val="restart"/>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cstheme="minorEastAsia"/>
                <w:i w:val="0"/>
                <w:iCs w:val="0"/>
                <w:color w:val="000000"/>
                <w:sz w:val="24"/>
                <w:szCs w:val="24"/>
                <w:u w:val="none"/>
                <w:lang w:val="en-US" w:eastAsia="zh-CN"/>
              </w:rPr>
              <w:t xml:space="preserve">台</w:t>
            </w:r>
            <w:r/>
          </w:p>
        </w:tc>
      </w:tr>
      <w:tr>
        <w:trPr>
          <w:trHeight w:val="208"/>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cstheme="minorEastAsia"/>
                <w:i w:val="0"/>
                <w:iCs w:val="0"/>
                <w:color w:val="000000"/>
                <w:sz w:val="24"/>
                <w:szCs w:val="24"/>
                <w:u w:val="none"/>
                <w:lang w:val="en-US" w:eastAsia="zh-CN"/>
              </w:rPr>
            </w:pPr>
            <w:r>
              <w:rPr>
                <w:rFonts w:hint="eastAsia" w:asciiTheme="minorEastAsia" w:hAnsiTheme="minorEastAsia" w:cstheme="minorEastAsia"/>
                <w:i w:val="0"/>
                <w:iCs w:val="0"/>
                <w:color w:val="000000"/>
                <w:sz w:val="24"/>
                <w:szCs w:val="24"/>
                <w:u w:val="none"/>
                <w:lang w:val="en-US" w:eastAsia="zh-CN"/>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lang w:val="en-US" w:eastAsia="zh-CN" w:bidi="ar"/>
              </w:rPr>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lang w:val="en-US" w:eastAsia="zh-CN" w:bidi="ar-SA"/>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可实现视频的实时浏览、设备接入配置、各服务配置等业务功能。</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213"/>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cstheme="minorEastAsia"/>
                <w:i w:val="0"/>
                <w:iCs w:val="0"/>
                <w:color w:val="000000"/>
                <w:sz w:val="24"/>
                <w:szCs w:val="24"/>
                <w:u w:val="none"/>
                <w:lang w:val="en-US" w:eastAsia="zh-CN"/>
              </w:rPr>
            </w:pPr>
            <w:r>
              <w:rPr>
                <w:rFonts w:hint="eastAsia" w:asciiTheme="minorEastAsia" w:hAnsiTheme="minorEastAsia" w:cstheme="minorEastAsia"/>
                <w:i w:val="0"/>
                <w:iCs w:val="0"/>
                <w:color w:val="000000"/>
                <w:sz w:val="24"/>
                <w:szCs w:val="24"/>
                <w:u w:val="none"/>
                <w:lang w:val="en-US" w:eastAsia="zh-CN"/>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lang w:val="en-US" w:eastAsia="zh-CN" w:bidi="ar"/>
              </w:rPr>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lang w:val="en-US" w:eastAsia="zh-CN" w:bidi="ar-SA"/>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硬件参数：</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217"/>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cstheme="minorEastAsia"/>
                <w:i w:val="0"/>
                <w:iCs w:val="0"/>
                <w:color w:val="000000"/>
                <w:sz w:val="24"/>
                <w:szCs w:val="24"/>
                <w:u w:val="none"/>
                <w:lang w:val="en-US" w:eastAsia="zh-CN"/>
              </w:rPr>
            </w:pPr>
            <w:r>
              <w:rPr>
                <w:rFonts w:hint="eastAsia" w:asciiTheme="minorEastAsia" w:hAnsiTheme="minorEastAsia" w:cstheme="minorEastAsia"/>
                <w:i w:val="0"/>
                <w:iCs w:val="0"/>
                <w:color w:val="000000"/>
                <w:sz w:val="24"/>
                <w:szCs w:val="24"/>
                <w:u w:val="none"/>
                <w:lang w:val="en-US" w:eastAsia="zh-CN"/>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lang w:val="en-US" w:eastAsia="zh-CN" w:bidi="ar"/>
              </w:rPr>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lang w:val="en-US" w:eastAsia="zh-CN" w:bidi="ar-SA"/>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2U；</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172"/>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cstheme="minorEastAsia"/>
                <w:i w:val="0"/>
                <w:iCs w:val="0"/>
                <w:color w:val="000000"/>
                <w:sz w:val="24"/>
                <w:szCs w:val="24"/>
                <w:u w:val="none"/>
                <w:lang w:val="en-US" w:eastAsia="zh-CN"/>
              </w:rPr>
            </w:pPr>
            <w:r>
              <w:rPr>
                <w:rFonts w:hint="eastAsia" w:asciiTheme="minorEastAsia" w:hAnsiTheme="minorEastAsia" w:cstheme="minorEastAsia"/>
                <w:i w:val="0"/>
                <w:iCs w:val="0"/>
                <w:color w:val="000000"/>
                <w:sz w:val="24"/>
                <w:szCs w:val="24"/>
                <w:u w:val="none"/>
                <w:lang w:val="en-US" w:eastAsia="zh-CN"/>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lang w:val="en-US" w:eastAsia="zh-CN" w:bidi="ar"/>
              </w:rPr>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lang w:val="en-US" w:eastAsia="zh-CN" w:bidi="ar-SA"/>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CPU ：配置国产CPU，核心数≥24核，主频≥2.1GHz</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202"/>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cstheme="minorEastAsia"/>
                <w:i w:val="0"/>
                <w:iCs w:val="0"/>
                <w:color w:val="000000"/>
                <w:sz w:val="24"/>
                <w:szCs w:val="24"/>
                <w:u w:val="none"/>
                <w:lang w:val="en-US" w:eastAsia="zh-CN"/>
              </w:rPr>
            </w:pPr>
            <w:r>
              <w:rPr>
                <w:rFonts w:hint="eastAsia" w:asciiTheme="minorEastAsia" w:hAnsiTheme="minorEastAsia" w:cstheme="minorEastAsia"/>
                <w:i w:val="0"/>
                <w:iCs w:val="0"/>
                <w:color w:val="000000"/>
                <w:sz w:val="24"/>
                <w:szCs w:val="24"/>
                <w:u w:val="none"/>
                <w:lang w:val="en-US" w:eastAsia="zh-CN"/>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lang w:val="en-US" w:eastAsia="zh-CN" w:bidi="ar"/>
              </w:rPr>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lang w:val="en-US" w:eastAsia="zh-CN" w:bidi="ar-SA"/>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内存：≥32G</w:t>
            </w:r>
            <w:r>
              <w:rPr>
                <w:rFonts w:hint="eastAsia" w:asciiTheme="minorEastAsia" w:hAnsiTheme="minorEastAsia" w:cstheme="minorEastAsia"/>
                <w:i w:val="0"/>
                <w:iCs w:val="0"/>
                <w:color w:val="000000"/>
                <w:sz w:val="24"/>
                <w:szCs w:val="24"/>
                <w:u w:val="none"/>
                <w:lang w:val="en-US" w:eastAsia="zh-CN" w:bidi="ar"/>
              </w:rPr>
              <w:t xml:space="preserve">；</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202"/>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cstheme="minorEastAsia"/>
                <w:i w:val="0"/>
                <w:iCs w:val="0"/>
                <w:color w:val="000000"/>
                <w:sz w:val="24"/>
                <w:szCs w:val="24"/>
                <w:u w:val="none"/>
                <w:lang w:val="en-US" w:eastAsia="zh-CN"/>
              </w:rPr>
            </w:pPr>
            <w:r>
              <w:rPr>
                <w:rFonts w:hint="eastAsia" w:asciiTheme="minorEastAsia" w:hAnsiTheme="minorEastAsia" w:cstheme="minorEastAsia"/>
                <w:i w:val="0"/>
                <w:iCs w:val="0"/>
                <w:color w:val="000000"/>
                <w:sz w:val="24"/>
                <w:szCs w:val="24"/>
                <w:u w:val="none"/>
                <w:lang w:val="en-US" w:eastAsia="zh-CN"/>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lang w:val="en-US" w:eastAsia="zh-CN" w:bidi="ar"/>
              </w:rPr>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lang w:val="en-US" w:eastAsia="zh-CN" w:bidi="ar-SA"/>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硬盘：</w:t>
            </w:r>
            <w:r>
              <w:rPr>
                <w:rFonts w:hint="eastAsia" w:ascii="宋体" w:hAnsi="宋体" w:eastAsia="宋体" w:cs="宋体"/>
                <w:i w:val="0"/>
                <w:iCs w:val="0"/>
                <w:color w:val="000000"/>
                <w:sz w:val="22"/>
                <w:szCs w:val="22"/>
                <w:u w:val="none"/>
                <w:lang w:val="en-US" w:eastAsia="zh-CN" w:bidi="ar"/>
              </w:rPr>
              <w:t xml:space="preserve">≥</w:t>
            </w:r>
            <w:r>
              <w:rPr>
                <w:rFonts w:hint="eastAsia" w:asciiTheme="minorEastAsia" w:hAnsiTheme="minorEastAsia" w:eastAsiaTheme="minorEastAsia" w:cstheme="minorEastAsia"/>
                <w:i w:val="0"/>
                <w:iCs w:val="0"/>
                <w:color w:val="000000"/>
                <w:sz w:val="24"/>
                <w:szCs w:val="24"/>
                <w:u w:val="none"/>
                <w:lang w:val="en-US" w:eastAsia="zh-CN" w:bidi="ar"/>
              </w:rPr>
              <w:t xml:space="preserve">2T企业级；</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232"/>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cstheme="minorEastAsia"/>
                <w:i w:val="0"/>
                <w:iCs w:val="0"/>
                <w:color w:val="000000"/>
                <w:sz w:val="24"/>
                <w:szCs w:val="24"/>
                <w:u w:val="none"/>
                <w:lang w:val="en-US" w:eastAsia="zh-CN"/>
              </w:rPr>
            </w:pPr>
            <w:r>
              <w:rPr>
                <w:rFonts w:hint="eastAsia" w:asciiTheme="minorEastAsia" w:hAnsiTheme="minorEastAsia" w:cstheme="minorEastAsia"/>
                <w:i w:val="0"/>
                <w:iCs w:val="0"/>
                <w:color w:val="000000"/>
                <w:sz w:val="24"/>
                <w:szCs w:val="24"/>
                <w:u w:val="none"/>
                <w:lang w:val="en-US" w:eastAsia="zh-CN"/>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lang w:val="en-US" w:eastAsia="zh-CN" w:bidi="ar"/>
              </w:rPr>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lang w:val="en-US" w:eastAsia="zh-CN" w:bidi="ar-SA"/>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其他：配备</w:t>
            </w:r>
            <w:r>
              <w:rPr>
                <w:rFonts w:hint="eastAsia" w:asciiTheme="minorEastAsia" w:hAnsiTheme="minorEastAsia" w:cstheme="minorEastAsia"/>
                <w:i w:val="0"/>
                <w:iCs w:val="0"/>
                <w:color w:val="000000"/>
                <w:sz w:val="24"/>
                <w:szCs w:val="24"/>
                <w:u w:val="none"/>
                <w:lang w:val="en-US" w:eastAsia="zh-CN" w:bidi="ar"/>
              </w:rPr>
              <w:t xml:space="preserve">至少</w:t>
            </w:r>
            <w:r>
              <w:rPr>
                <w:rFonts w:hint="eastAsia" w:asciiTheme="minorEastAsia" w:hAnsiTheme="minorEastAsia" w:eastAsiaTheme="minorEastAsia" w:cstheme="minorEastAsia"/>
                <w:i w:val="0"/>
                <w:iCs w:val="0"/>
                <w:color w:val="000000"/>
                <w:sz w:val="24"/>
                <w:szCs w:val="24"/>
                <w:u w:val="none"/>
                <w:lang w:val="en-US" w:eastAsia="zh-CN" w:bidi="ar"/>
              </w:rPr>
              <w:t xml:space="preserve">1个导轨；</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1110"/>
        </w:trPr>
        <w:tc>
          <w:tcPr>
            <w:shd w:val="clear" w:color="auto" w:fill="auto"/>
            <w:tcW w:w="463" w:type="pct"/>
            <w:vAlign w:val="center"/>
            <w:vMerge w:val="restart"/>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cstheme="minorEastAsia"/>
                <w:i w:val="0"/>
                <w:iCs w:val="0"/>
                <w:color w:val="000000"/>
                <w:sz w:val="24"/>
                <w:szCs w:val="24"/>
                <w:highlight w:val="none"/>
                <w:u w:val="none"/>
                <w:lang w:val="en-US" w:eastAsia="zh-CN" w:bidi="ar"/>
              </w:rPr>
              <w:t xml:space="preserve">9</w:t>
            </w:r>
            <w:r/>
          </w:p>
        </w:tc>
        <w:tc>
          <w:tcPr>
            <w:shd w:val="clear" w:color="auto" w:fill="auto"/>
            <w:tcW w:w="766" w:type="pct"/>
            <w:vAlign w:val="center"/>
            <w:vMerge w:val="restart"/>
            <w:textDirection w:val="lrTb"/>
            <w:noWrap w:val="false"/>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智能分析服务单元</w:t>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智能分析服务单元是专为人工智能推理场景设计的高性能、高密度计算单元。它集成双路高性能处理器、双国产推理加速卡，为视频智能分析、自然语言处理、大数据实时推理等业务提供强大的算力支撑与数据处理平台，是实现AI应用规模化部署的核心硬件基础。</w:t>
            </w:r>
            <w:r/>
          </w:p>
        </w:tc>
        <w:tc>
          <w:tcPr>
            <w:shd w:val="clear" w:color="auto" w:fill="auto"/>
            <w:tcW w:w="489" w:type="pct"/>
            <w:vAlign w:val="center"/>
            <w:vMerge w:val="restart"/>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W w:w="529" w:type="pct"/>
            <w:vAlign w:val="center"/>
            <w:vMerge w:val="restart"/>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台</w:t>
            </w:r>
            <w:r/>
          </w:p>
        </w:tc>
      </w:tr>
      <w:tr>
        <w:trPr>
          <w:trHeight w:val="28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cpu: 2颗 ≥ 32核,≥2.2GHz</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28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内存:规格及容量≥DDR4 32GB*16</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28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硬盘: 系统盘存储容量≥ SSD 480GB*2</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28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硬盘: 数据盘存储容量≥ SSD 1.92T*4</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28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网卡: 万兆</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28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raid卡:支持raid0,raid1,raid5</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28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推理卡: 国产GPU卡</w:t>
            </w:r>
            <w:r>
              <w:rPr>
                <w:rStyle w:val="879"/>
                <w:rFonts w:hint="eastAsia" w:asciiTheme="minorEastAsia" w:hAnsiTheme="minorEastAsia" w:eastAsiaTheme="minorEastAsia" w:cstheme="minorEastAsia"/>
                <w:sz w:val="24"/>
                <w:szCs w:val="24"/>
                <w:lang w:val="en-US" w:eastAsia="zh-CN" w:bidi="ar"/>
              </w:rPr>
              <w:t xml:space="preserve"> * 2，单卡算力不低于140TOPS int8</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55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可靠性要求：产品可靠性强，在CPU超过50%的负载下，MTBF≥30万小时。</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55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安全稳定性：支持内存上安装加固卡扣，确保板卡接触稳定，具有自主知识产权</w:t>
            </w:r>
            <w:r>
              <w:rPr>
                <w:rStyle w:val="879"/>
                <w:rFonts w:hint="eastAsia" w:asciiTheme="minorEastAsia" w:hAnsiTheme="minorEastAsia" w:eastAsiaTheme="minorEastAsia" w:cstheme="minorEastAsia"/>
                <w:sz w:val="24"/>
                <w:szCs w:val="24"/>
                <w:lang w:val="en-US" w:eastAsia="zh-CN" w:bidi="ar"/>
              </w:rPr>
              <w:t xml:space="preserve">。</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45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安全管理：配套管理软件通过安全渗透测试，包含认证安全、权限管理安全、会话安全、信息泄露安全、输入输出合法性安全性测试。</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300"/>
        </w:trPr>
        <w:tc>
          <w:tcPr>
            <w:shd w:val="clear" w:color="auto" w:fill="auto"/>
            <w:tcW w:w="463" w:type="pct"/>
            <w:vAlign w:val="center"/>
            <w:vMerge w:val="restart"/>
            <w:textDirection w:val="lrTb"/>
            <w:noWrap/>
          </w:tcPr>
          <w:p>
            <w:pPr>
              <w:jc w:val="center"/>
              <w:keepLines w:val="0"/>
              <w:keepNext w:val="0"/>
              <w:pageBreakBefore w:val="0"/>
              <w:spacing w:line="420" w:lineRule="exact"/>
              <w:widowControl/>
              <w:rPr>
                <w:rFonts w:hint="default" w:asciiTheme="minorEastAsia" w:hAnsiTheme="minorEastAsia" w:eastAsiaTheme="minorEastAsia" w:cstheme="minorEastAsia"/>
                <w:i w:val="0"/>
                <w:iCs w:val="0"/>
                <w:color w:val="000000"/>
                <w:sz w:val="24"/>
                <w:szCs w:val="24"/>
                <w:u w:val="none"/>
                <w:lang w:val="en-US"/>
              </w:rPr>
              <w:suppressLineNumbers w:val="0"/>
            </w:pPr>
            <w:r>
              <w:rPr>
                <w:rFonts w:hint="eastAsia" w:asciiTheme="minorEastAsia" w:hAnsiTheme="minorEastAsia" w:cstheme="minorEastAsia"/>
                <w:i w:val="0"/>
                <w:iCs w:val="0"/>
                <w:color w:val="000000"/>
                <w:sz w:val="24"/>
                <w:szCs w:val="24"/>
                <w:highlight w:val="none"/>
                <w:u w:val="none"/>
                <w:lang w:val="en-US" w:eastAsia="zh-CN" w:bidi="ar"/>
              </w:rPr>
              <w:t xml:space="preserve">10</w:t>
            </w:r>
            <w:r/>
          </w:p>
        </w:tc>
        <w:tc>
          <w:tcPr>
            <w:shd w:val="clear" w:color="auto" w:fill="auto"/>
            <w:tcW w:w="766" w:type="pct"/>
            <w:vAlign w:val="center"/>
            <w:vMerge w:val="restart"/>
            <w:textDirection w:val="lrTb"/>
            <w:noWrap w:val="false"/>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智能AI眼镜</w:t>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显示屏幕：Micro OLED</w:t>
            </w:r>
            <w:r/>
          </w:p>
        </w:tc>
        <w:tc>
          <w:tcPr>
            <w:shd w:val="clear" w:color="auto" w:fill="auto"/>
            <w:tcW w:w="489" w:type="pct"/>
            <w:vAlign w:val="center"/>
            <w:vMerge w:val="restart"/>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W w:w="529" w:type="pct"/>
            <w:vAlign w:val="center"/>
            <w:vMerge w:val="restart"/>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r>
      <w:tr>
        <w:trPr>
          <w:trHeight w:val="28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光学系统：双目衍射光波导</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28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视场角（FOV）：30°</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28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眼动范围（Eyebox）：15*10mm</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28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出瞳距离（Eye Relief）：20mm</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28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焦距：1.9mm</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28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光圈：F2.25</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28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视场角：H*V: 77*94,D:109</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28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景深范围：34cm~0</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28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防抖：电子防抖</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28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WIFI6：802.11ac，支持 2.4GHz |/5GHz</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28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蓝牙：BT5.3</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28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整机重量：49g</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285"/>
        </w:trPr>
        <w:tc>
          <w:tcPr>
            <w:shd w:val="clear" w:color="auto" w:fill="auto"/>
            <w:tcW w:w="463"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环境温度：-10℃~45℃ &lt;95% RH</w:t>
            </w:r>
            <w:r/>
          </w:p>
        </w:tc>
        <w:tc>
          <w:tcPr>
            <w:shd w:val="clear" w:color="auto" w:fill="auto"/>
            <w:tcW w:w="48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Align w:val="center"/>
            <w:vMerge w:val="continue"/>
            <w:textDirection w:val="lrTb"/>
            <w:noWrap/>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315"/>
        </w:trPr>
        <w:tc>
          <w:tcPr>
            <w:shd w:val="clear" w:color="auto" w:fill="auto"/>
            <w:tcW w:w="463" w:type="pct"/>
            <w:vAlign w:val="center"/>
            <w:vMerge w:val="restart"/>
            <w:textDirection w:val="lrTb"/>
            <w:noWrap/>
          </w:tcPr>
          <w:p>
            <w:pPr>
              <w:jc w:val="center"/>
              <w:keepLines w:val="0"/>
              <w:keepNext w:val="0"/>
              <w:pageBreakBefore w:val="0"/>
              <w:spacing w:line="420" w:lineRule="exact"/>
              <w:widowControl/>
              <w:rPr>
                <w:rFonts w:hint="default" w:asciiTheme="minorEastAsia" w:hAnsiTheme="minorEastAsia" w:eastAsiaTheme="minorEastAsia" w:cstheme="minorEastAsia"/>
                <w:i w:val="0"/>
                <w:iCs w:val="0"/>
                <w:color w:val="000000"/>
                <w:sz w:val="24"/>
                <w:szCs w:val="24"/>
                <w:u w:val="none"/>
                <w:lang w:val="en-US" w:eastAsia="zh-CN" w:bidi="ar-SA"/>
              </w:rPr>
              <w:suppressLineNumbers w:val="0"/>
            </w:pPr>
            <w:r>
              <w:rPr>
                <w:rFonts w:hint="eastAsia" w:asciiTheme="minorEastAsia" w:hAnsiTheme="minorEastAsia" w:cstheme="minorEastAsia"/>
                <w:i w:val="0"/>
                <w:iCs w:val="0"/>
                <w:color w:val="000000"/>
                <w:sz w:val="24"/>
                <w:szCs w:val="24"/>
                <w:highlight w:val="none"/>
                <w:u w:val="none"/>
                <w:lang w:val="en-US" w:eastAsia="zh-CN" w:bidi="ar"/>
              </w:rPr>
              <w:t xml:space="preserve">11</w:t>
            </w:r>
            <w:r/>
          </w:p>
        </w:tc>
        <w:tc>
          <w:tcPr>
            <w:shd w:val="clear" w:color="auto" w:fill="auto"/>
            <w:tcW w:w="766" w:type="pct"/>
            <w:vAlign w:val="center"/>
            <w:vMerge w:val="restart"/>
            <w:textDirection w:val="lrTb"/>
            <w:noWrap w:val="false"/>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lang w:val="en-US" w:eastAsia="zh-CN" w:bidi="ar-SA"/>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应用终端</w:t>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lang w:val="en-US" w:eastAsia="zh-CN" w:bidi="ar-SA"/>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cpu：频率不低于2.8Ghz,HT总线3200MT/S</w:t>
            </w:r>
            <w:r/>
          </w:p>
        </w:tc>
        <w:tc>
          <w:tcPr>
            <w:shd w:val="clear" w:color="auto" w:fill="auto"/>
            <w:tcW w:w="489" w:type="pct"/>
            <w:vAlign w:val="center"/>
            <w:vMerge w:val="restart"/>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lang w:val="en-US" w:eastAsia="zh-CN" w:bidi="ar-SA"/>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w:t>
            </w:r>
            <w:r/>
          </w:p>
        </w:tc>
        <w:tc>
          <w:tcPr>
            <w:shd w:val="clear" w:color="auto" w:fill="auto"/>
            <w:tcW w:w="529" w:type="pct"/>
            <w:vAlign w:val="center"/>
            <w:vMerge w:val="restart"/>
            <w:textDirection w:val="lrTb"/>
            <w:noWrap/>
          </w:tcPr>
          <w:p>
            <w:pPr>
              <w:jc w:val="center"/>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lang w:val="en-US" w:eastAsia="zh-CN" w:bidi="ar-SA"/>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台</w:t>
            </w:r>
            <w:r/>
          </w:p>
        </w:tc>
      </w:tr>
      <w:tr>
        <w:trPr>
          <w:trHeight w:val="315"/>
        </w:trPr>
        <w:tc>
          <w:tcPr>
            <w:shd w:val="clear" w:color="auto" w:fill="auto"/>
            <w:tcW w:w="463" w:type="pct"/>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r>
            <w:r/>
          </w:p>
        </w:tc>
        <w:tc>
          <w:tcPr>
            <w:shd w:val="clear" w:color="auto" w:fill="auto"/>
            <w:tcW w:w="766" w:type="pct"/>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lang w:val="en-US" w:eastAsia="zh-CN" w:bidi="ar-SA"/>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内存：</w:t>
            </w:r>
            <w:r>
              <w:rPr>
                <w:rFonts w:hint="eastAsia" w:asciiTheme="minorEastAsia" w:hAnsiTheme="minorEastAsia" w:cstheme="minorEastAsia"/>
                <w:i w:val="0"/>
                <w:iCs w:val="0"/>
                <w:color w:val="000000"/>
                <w:sz w:val="24"/>
                <w:szCs w:val="24"/>
                <w:u w:val="none"/>
                <w:lang w:val="en-US" w:eastAsia="zh-CN" w:bidi="ar"/>
              </w:rPr>
              <w:t xml:space="preserve">≥</w:t>
            </w:r>
            <w:r>
              <w:rPr>
                <w:rFonts w:hint="eastAsia" w:asciiTheme="minorEastAsia" w:hAnsiTheme="minorEastAsia" w:eastAsiaTheme="minorEastAsia" w:cstheme="minorEastAsia"/>
                <w:i w:val="0"/>
                <w:iCs w:val="0"/>
                <w:color w:val="000000"/>
                <w:sz w:val="24"/>
                <w:szCs w:val="24"/>
                <w:u w:val="none"/>
                <w:lang w:val="en-US" w:eastAsia="zh-CN" w:bidi="ar"/>
              </w:rPr>
              <w:t xml:space="preserve">16G</w:t>
            </w:r>
            <w:r/>
          </w:p>
        </w:tc>
        <w:tc>
          <w:tcPr>
            <w:shd w:val="clear" w:color="auto" w:fill="auto"/>
            <w:tcW w:w="489" w:type="pct"/>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315"/>
        </w:trPr>
        <w:tc>
          <w:tcPr>
            <w:shd w:val="clear" w:color="auto" w:fill="auto"/>
            <w:tcW w:w="463" w:type="pct"/>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r>
            <w:r/>
          </w:p>
        </w:tc>
        <w:tc>
          <w:tcPr>
            <w:shd w:val="clear" w:color="auto" w:fill="auto"/>
            <w:tcW w:w="766" w:type="pct"/>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lang w:val="en-US" w:eastAsia="zh-CN" w:bidi="ar-SA"/>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固态硬盘:</w:t>
            </w:r>
            <w:r>
              <w:rPr>
                <w:rFonts w:hint="eastAsia" w:asciiTheme="minorEastAsia" w:hAnsiTheme="minorEastAsia" w:cstheme="minorEastAsia"/>
                <w:i w:val="0"/>
                <w:iCs w:val="0"/>
                <w:color w:val="000000"/>
                <w:sz w:val="24"/>
                <w:szCs w:val="24"/>
                <w:u w:val="none"/>
                <w:lang w:val="en-US" w:eastAsia="zh-CN" w:bidi="ar"/>
              </w:rPr>
              <w:t xml:space="preserve">≥</w:t>
            </w:r>
            <w:r>
              <w:rPr>
                <w:rFonts w:hint="eastAsia" w:asciiTheme="minorEastAsia" w:hAnsiTheme="minorEastAsia" w:eastAsiaTheme="minorEastAsia" w:cstheme="minorEastAsia"/>
                <w:i w:val="0"/>
                <w:iCs w:val="0"/>
                <w:color w:val="000000"/>
                <w:sz w:val="24"/>
                <w:szCs w:val="24"/>
                <w:u w:val="none"/>
                <w:lang w:val="en-US" w:eastAsia="zh-CN" w:bidi="ar"/>
              </w:rPr>
              <w:t xml:space="preserve">1T</w:t>
            </w:r>
            <w:r/>
          </w:p>
        </w:tc>
        <w:tc>
          <w:tcPr>
            <w:shd w:val="clear" w:color="auto" w:fill="auto"/>
            <w:tcW w:w="489" w:type="pct"/>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W w:w="529" w:type="pct"/>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315"/>
        </w:trPr>
        <w:tc>
          <w:tcPr>
            <w:shd w:val="clear" w:color="auto" w:fill="auto"/>
            <w:tcW w:w="463"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sz w:val="24"/>
                <w:szCs w:val="24"/>
                <w:u w:val="none"/>
                <w:lang w:val="en-US" w:eastAsia="zh-CN" w:bidi="ar-SA"/>
              </w:rPr>
            </w:r>
            <w:r/>
          </w:p>
        </w:tc>
        <w:tc>
          <w:tcPr>
            <w:shd w:val="clear" w:color="auto" w:fill="auto"/>
            <w:tcW w:w="766"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sz w:val="24"/>
                <w:szCs w:val="24"/>
                <w:u w:val="none"/>
                <w:lang w:val="en-US" w:eastAsia="zh-CN" w:bidi="ar-SA"/>
              </w:rPr>
            </w:r>
            <w:r/>
          </w:p>
        </w:tc>
        <w:tc>
          <w:tcPr>
            <w:shd w:val="clear" w:color="auto" w:fill="auto"/>
            <w:tcW w:w="2752" w:type="pct"/>
            <w:vAlign w:val="center"/>
            <w:textDirection w:val="lrTb"/>
            <w:noWrap w:val="false"/>
          </w:tcPr>
          <w:p>
            <w:pPr>
              <w:jc w:val="left"/>
              <w:keepLines w:val="0"/>
              <w:keepNext w:val="0"/>
              <w:pageBreakBefore w:val="0"/>
              <w:spacing w:line="420" w:lineRule="exact"/>
              <w:widowControl/>
              <w:rPr>
                <w:rFonts w:hint="eastAsia" w:asciiTheme="minorEastAsia" w:hAnsiTheme="minorEastAsia" w:eastAsiaTheme="minorEastAsia" w:cstheme="minorEastAsia"/>
                <w:i w:val="0"/>
                <w:iCs w:val="0"/>
                <w:color w:val="000000"/>
                <w:sz w:val="24"/>
                <w:szCs w:val="24"/>
                <w:u w:val="none"/>
                <w:lang w:val="en-US" w:eastAsia="zh-CN" w:bidi="ar-SA"/>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显卡：显存不低于8G，支持 ‌</w:t>
            </w:r>
            <w:r>
              <w:rPr>
                <w:rStyle w:val="879"/>
                <w:rFonts w:hint="eastAsia" w:asciiTheme="minorEastAsia" w:hAnsiTheme="minorEastAsia" w:eastAsiaTheme="minorEastAsia" w:cstheme="minorEastAsia"/>
                <w:sz w:val="24"/>
                <w:szCs w:val="24"/>
                <w:lang w:val="en-US" w:eastAsia="zh-CN" w:bidi="ar"/>
              </w:rPr>
              <w:t xml:space="preserve">PCI Express 4.0</w:t>
            </w:r>
            <w:r>
              <w:rPr>
                <w:rFonts w:hint="eastAsia" w:asciiTheme="minorEastAsia" w:hAnsiTheme="minorEastAsia" w:eastAsiaTheme="minorEastAsia" w:cstheme="minorEastAsia"/>
                <w:i w:val="0"/>
                <w:iCs w:val="0"/>
                <w:color w:val="000000"/>
                <w:sz w:val="24"/>
                <w:szCs w:val="24"/>
                <w:u w:val="none"/>
                <w:lang w:val="en-US" w:eastAsia="zh-CN" w:bidi="ar"/>
              </w:rPr>
              <w:t xml:space="preserve">‌</w:t>
            </w:r>
            <w:r>
              <w:rPr>
                <w:rStyle w:val="879"/>
                <w:rFonts w:hint="eastAsia" w:asciiTheme="minorEastAsia" w:hAnsiTheme="minorEastAsia" w:eastAsiaTheme="minorEastAsia" w:cstheme="minorEastAsia"/>
                <w:sz w:val="24"/>
                <w:szCs w:val="24"/>
                <w:lang w:val="en-US" w:eastAsia="zh-CN" w:bidi="ar"/>
              </w:rPr>
              <w:t xml:space="preserve"> 接口，频率不低于12Gbps</w:t>
            </w:r>
            <w:r/>
          </w:p>
        </w:tc>
        <w:tc>
          <w:tcPr>
            <w:shd w:val="clear" w:color="auto" w:fill="auto"/>
            <w:tcW w:w="489"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sz w:val="24"/>
                <w:szCs w:val="24"/>
                <w:u w:val="none"/>
                <w:lang w:val="en-US" w:eastAsia="zh-CN" w:bidi="ar-SA"/>
              </w:rPr>
            </w:r>
            <w:r/>
          </w:p>
        </w:tc>
        <w:tc>
          <w:tcPr>
            <w:shd w:val="clear" w:color="auto" w:fill="auto"/>
            <w:tcW w:w="529" w:type="pct"/>
            <w:vAlign w:val="center"/>
            <w:vMerge w:val="continue"/>
            <w:textDirection w:val="lrTb"/>
            <w:noWrap w:val="false"/>
          </w:tcPr>
          <w:p>
            <w:pPr>
              <w:jc w:val="center"/>
              <w:keepLines w:val="0"/>
              <w:keepNext w:val="0"/>
              <w:pageBreakBefore w:val="0"/>
              <w:spacing w:line="420" w:lineRule="exact"/>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sz w:val="24"/>
                <w:szCs w:val="24"/>
                <w:u w:val="none"/>
                <w:lang w:val="en-US" w:eastAsia="zh-CN" w:bidi="ar-SA"/>
              </w:rPr>
            </w:r>
            <w:r/>
          </w:p>
        </w:tc>
      </w:tr>
    </w:tbl>
    <w:p>
      <w:pPr>
        <w:ind w:firstLine="480"/>
        <w:spacing w:line="360" w:lineRule="auto"/>
        <w:rPr>
          <w:rFonts w:hint="eastAsia" w:asciiTheme="minorEastAsia" w:hAnsiTheme="minorEastAsia"/>
          <w:sz w:val="24"/>
          <w:szCs w:val="24"/>
        </w:rPr>
      </w:pPr>
      <w:r>
        <w:rPr>
          <w:rFonts w:hint="eastAsia" w:asciiTheme="minorEastAsia" w:hAnsiTheme="minorEastAsia"/>
          <w:sz w:val="24"/>
          <w:szCs w:val="24"/>
          <w:lang w:val="en-US" w:eastAsia="zh-CN"/>
        </w:rPr>
        <w:t xml:space="preserve">注：</w:t>
      </w:r>
      <w:r>
        <w:rPr>
          <w:rFonts w:hint="eastAsia" w:asciiTheme="minorEastAsia" w:hAnsiTheme="minorEastAsia"/>
          <w:sz w:val="24"/>
          <w:szCs w:val="24"/>
        </w:rPr>
        <w:t xml:space="preserve">上述所有技术参数及功能指标中所要求的检测报告检测项与技术参数及功能指标中所列要求表述不完全一致，功能相近的，由评标委员会统一认定。</w:t>
      </w:r>
      <w:r/>
    </w:p>
    <w:p>
      <w:pPr>
        <w:ind w:firstLine="480"/>
        <w:spacing w:line="360" w:lineRule="auto"/>
        <w:rPr>
          <w:rFonts w:hint="eastAsia"/>
          <w:b/>
          <w:bCs/>
          <w:sz w:val="24"/>
          <w:szCs w:val="24"/>
        </w:rPr>
      </w:pPr>
      <w:r>
        <w:rPr>
          <w:rFonts w:hint="eastAsia"/>
          <w:b/>
          <w:bCs/>
          <w:sz w:val="24"/>
          <w:szCs w:val="24"/>
        </w:rPr>
        <w:t xml:space="preserve">三、人员配备要求</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人员配备</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建设期人员要求：中标人根据项目的实际情况，建立完善的人员组织机构，中标人须配备1名项目负责人、1名技术负责人，另配不少于2名技术人员。相关人员须服从采购人管理，如采购人认为以上人员不满足岗位要求，须无条件更换。以上人员无故不得更换，更换需经采购人书面同意。</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中标人在项目建设和运维期间，须严格遵守采购人相关规定。</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2.人员工作内容及职责</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（1）项目管理团队人员工作内容及职责</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①项目负责人1 名，协调各种资源，对项目整体建设负责。包括负责制定项目计划、项目的管理、开发、质量保证过程，确保客户的成本、进度、绩效和质量目标。</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②技术负责人1 名，协调各种资源，对项目整体建设技术内容负责。包括负责项目总体技术架构的设计和把控，解决项目技术难点。</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③软件开发工程师1名，负责软件平台开发实现、模块测试、接口开发、共联联调；按照项目设计要求完成代码编写、逻辑实现、问题修复；配合完成软件测试、漏洞整改、性能优化等相关工作，确保平台功能完善、运行稳定。</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④系统集成工程师1名，负责硬件设备安装上架、调试、配置及网络打通；负责视频设备接入、协议适配、平台级联、部门系统对接、非标设备国标化改造；负责系统级联、业务验证、故障排查，确保全市视频资源正常接入、平台互联互通。</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（2）项目实施团队人员工作内容及职责</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项目实施团队人员负责系统各子模块的方案设计、设备安装调试、系统软件开发、系统集成、系统测试、培训、试运行等，配合项目管理团队人员完成项目验收工作。</w:t>
      </w:r>
      <w:r/>
    </w:p>
    <w:p>
      <w:pPr>
        <w:ind w:firstLine="480"/>
        <w:spacing w:line="360" w:lineRule="auto"/>
        <w:rPr>
          <w:rFonts w:hint="eastAsia"/>
          <w:b/>
          <w:bCs/>
          <w:sz w:val="24"/>
          <w:szCs w:val="24"/>
        </w:rPr>
      </w:pPr>
      <w:r>
        <w:rPr>
          <w:rFonts w:hint="eastAsia"/>
          <w:b/>
          <w:bCs/>
          <w:sz w:val="24"/>
          <w:szCs w:val="24"/>
        </w:rPr>
        <w:t xml:space="preserve">四、服务期限与项目进度安排</w:t>
      </w:r>
      <w:r/>
    </w:p>
    <w:p>
      <w:pPr>
        <w:ind w:firstLine="480"/>
        <w:jc w:val="left"/>
        <w:spacing w:line="360" w:lineRule="auto"/>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1.项目进度安排：自合同签订之日起60日内完成全部建设内容并通过初验，初验后进入30日试运行期，试运行结束后提请终验。</w:t>
      </w:r>
      <w:r/>
    </w:p>
    <w:p>
      <w:pPr>
        <w:ind w:firstLine="480"/>
        <w:jc w:val="left"/>
        <w:spacing w:line="360" w:lineRule="auto"/>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2.运维期限：终验合格之日起1年。</w:t>
      </w:r>
      <w:r/>
    </w:p>
    <w:p>
      <w:pPr>
        <w:ind w:firstLine="480"/>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运维期限内，本项目服务内容涉及系统升级、端口对接、插件更新、数据更新、算法升级、级联对接等以及为适应上级单位新出台标准需进行软件升级等服务内容均包含在本次投标报价内由中标人负责。</w:t>
      </w:r>
      <w:r>
        <w:rPr>
          <w:rFonts w:hint="eastAsia" w:asciiTheme="minorEastAsia" w:hAnsiTheme="minorEastAsia" w:eastAsiaTheme="minorEastAsia" w:cstheme="minorEastAsia"/>
          <w:sz w:val="24"/>
          <w:szCs w:val="24"/>
          <w:lang w:val="en-US" w:eastAsia="zh-CN"/>
        </w:rPr>
        <w:t xml:space="preserve">项目内服务器、应用终端、AI眼镜等故障，中标人应在4小时内到场，在8小时内修复或更换备件。</w:t>
      </w:r>
      <w:r/>
    </w:p>
    <w:p>
      <w:pPr>
        <w:ind w:firstLine="480"/>
        <w:spacing w:line="360" w:lineRule="auto"/>
        <w:rPr>
          <w:rFonts w:hint="eastAsia"/>
          <w:b/>
          <w:bCs/>
          <w:sz w:val="24"/>
          <w:szCs w:val="24"/>
        </w:rPr>
      </w:pPr>
      <w:r>
        <w:rPr>
          <w:rFonts w:hint="eastAsia"/>
          <w:b/>
          <w:bCs/>
          <w:sz w:val="24"/>
          <w:szCs w:val="24"/>
        </w:rPr>
        <w:t xml:space="preserve">五、服务标准</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《公共安全视频监控联网系统信息传输、交换、控制技术要求》（GB/T 28181）</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《公安视频图像信息系统安全技术要求》（GA/T 1788）等相关国家标准及公安行业标准；</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《信息安全技术 网络安全等级保护基本要求》（GB/T 22239-2019，等保3.0）</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《信息安全技术 个人信息安全规范》（GB/T 35273）</w:t>
      </w:r>
      <w:r/>
    </w:p>
    <w:p>
      <w:pPr>
        <w:ind w:firstLine="480"/>
        <w:spacing w:line="360" w:lineRule="auto"/>
        <w:rPr>
          <w:rFonts w:hint="eastAsia" w:asciiTheme="minorEastAsia" w:hAnsiTheme="minorEastAsia" w:eastAsiaTheme="minorEastAsia" w:cstheme="minorEastAsia"/>
          <w:sz w:val="24"/>
        </w:rPr>
      </w:pPr>
      <w:r>
        <w:rPr>
          <w:rFonts w:hint="eastAsia" w:ascii="Times New Roman" w:hAnsi="Times New Roman"/>
          <w:b w:val="0"/>
          <w:bCs w:val="0"/>
          <w:color w:val="000000"/>
          <w:sz w:val="24"/>
          <w:szCs w:val="24"/>
          <w:lang w:val="en-US" w:eastAsia="zh-CN"/>
        </w:rPr>
        <w:t xml:space="preserve">注：</w:t>
      </w:r>
      <w:r>
        <w:rPr>
          <w:rFonts w:ascii="Times New Roman" w:hAnsi="Times New Roman"/>
          <w:b w:val="0"/>
          <w:bCs w:val="0"/>
          <w:color w:val="000000"/>
          <w:sz w:val="24"/>
          <w:szCs w:val="24"/>
        </w:rPr>
        <w:t xml:space="preserve">上述所列标准，</w:t>
      </w:r>
      <w:r>
        <w:rPr>
          <w:rFonts w:ascii="Times New Roman" w:hAnsi="Times New Roman"/>
          <w:b w:val="0"/>
          <w:bCs w:val="0"/>
          <w:sz w:val="24"/>
          <w:szCs w:val="24"/>
        </w:rPr>
        <w:t xml:space="preserve">在项目履约期间，如</w:t>
      </w:r>
      <w:r>
        <w:rPr>
          <w:rFonts w:hint="eastAsia" w:ascii="Times New Roman" w:hAnsi="Times New Roman"/>
          <w:b w:val="0"/>
          <w:bCs w:val="0"/>
          <w:sz w:val="24"/>
          <w:szCs w:val="24"/>
          <w:lang w:val="en-US" w:eastAsia="zh-CN"/>
        </w:rPr>
        <w:t xml:space="preserve">国家和行业</w:t>
      </w:r>
      <w:r>
        <w:rPr>
          <w:rFonts w:ascii="Times New Roman" w:hAnsi="Times New Roman"/>
          <w:b w:val="0"/>
          <w:bCs w:val="0"/>
          <w:sz w:val="24"/>
          <w:szCs w:val="24"/>
        </w:rPr>
        <w:t xml:space="preserve">有最新</w:t>
      </w:r>
      <w:r>
        <w:rPr>
          <w:rFonts w:hint="eastAsia" w:ascii="Times New Roman" w:hAnsi="Times New Roman"/>
          <w:b w:val="0"/>
          <w:bCs w:val="0"/>
          <w:sz w:val="24"/>
          <w:szCs w:val="24"/>
          <w:lang w:val="en-US" w:eastAsia="zh-CN"/>
        </w:rPr>
        <w:t xml:space="preserve">规范</w:t>
      </w:r>
      <w:r>
        <w:rPr>
          <w:rFonts w:ascii="Times New Roman" w:hAnsi="Times New Roman"/>
          <w:b w:val="0"/>
          <w:bCs w:val="0"/>
          <w:sz w:val="24"/>
          <w:szCs w:val="24"/>
        </w:rPr>
        <w:t xml:space="preserve">标准，按照最新规范标准执行。</w:t>
      </w:r>
      <w:r/>
    </w:p>
    <w:p>
      <w:pPr>
        <w:ind w:firstLine="480"/>
        <w:spacing w:line="360" w:lineRule="auto"/>
        <w:rPr>
          <w:rFonts w:hint="eastAsia"/>
          <w:b/>
          <w:bCs/>
          <w:sz w:val="24"/>
          <w:szCs w:val="24"/>
        </w:rPr>
      </w:pPr>
      <w:r>
        <w:rPr>
          <w:rFonts w:hint="eastAsia"/>
          <w:b/>
          <w:bCs/>
          <w:sz w:val="24"/>
          <w:szCs w:val="24"/>
        </w:rPr>
        <w:t xml:space="preserve">六、培训要求</w:t>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为保证项目建设质量，更好地满足采购人系统应用的需要，制定以下培训方案要求：</w:t>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根据本项目实际建设详细内容及应用目标对采购人提供针对性的培训，通过培训使采购人系统管理员、技术人员及业务应用人员不仅对整个系统有足够的认识，且可以熟练掌握整体系统的管理与操作技能等，能够独立完成操作及简单故障处理；提供对核心管理员的培训，能够掌握并熟练运用相关工具进行系统各模块的配置、维护及故障分析处理。培训计划需明确培训目标、培训对象、培训方式、培训地点、培训内容、培训测试、培训记录等。培训所需要的费用（包括但不限于培训材料费用、专家费用、交通费用等）由中标人承担。</w:t>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培训目标：根据采购人要求，对采购人的管理人员、技术人员、操作人员、运维人员提供培训，以便对项目的实施和运营进行有效的管理。同时，工程验收移交后，能够胜任系统的大部分运行、操作、设备和线路维护、故障的分析处理、设备的保养和维修。</w:t>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3.培训对象：培训对象包括但不限于以下人员：系统业务应用人员、系统运行维护管理人员等。</w:t>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4.培训方式：集中授课、现场应用操作指导等。</w:t>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5.培训内容：内容包含但不限于系统总体情况进行介绍、业务应用操作、网络架构、数据库架构、常见故障分析、系统运维工作等。（所有培训以中文进行）。</w:t>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6.培训师资：原厂专业资深工程师、专业资格人员和行业专家等。</w:t>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7.培训教材：投标人需结合项目建设需求，细化培训方案，针对各个建设模块组织相应的培训内容与课程编制，形成纸质、电子及视频教材，并交采购人留存。</w:t>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8.培训规模：按需培训，建设期不少于1次；质量保证期内不少于2次。</w:t>
      </w:r>
      <w:r/>
    </w:p>
    <w:p>
      <w:pPr>
        <w:ind w:firstLine="480"/>
        <w:spacing w:line="360" w:lineRule="auto"/>
        <w:rPr>
          <w:rFonts w:hint="eastAsia"/>
          <w:b/>
          <w:bCs/>
          <w:sz w:val="24"/>
          <w:szCs w:val="24"/>
          <w:lang w:val="en-US" w:eastAsia="zh-CN"/>
        </w:rPr>
      </w:pPr>
      <w:r>
        <w:rPr>
          <w:rFonts w:hint="eastAsia"/>
          <w:b/>
          <w:bCs/>
          <w:sz w:val="24"/>
          <w:szCs w:val="24"/>
          <w:lang w:val="en-US" w:eastAsia="zh-CN"/>
        </w:rPr>
        <w:t xml:space="preserve">七、质量保证及售后服务要求</w:t>
      </w:r>
      <w:r/>
    </w:p>
    <w:p>
      <w:pPr>
        <w:ind w:firstLine="480"/>
        <w:jc w:val="left"/>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1.应按招标文件规定和响应文件承诺的性能、技术要求、质量标准向甲方提供产品或服务。</w:t>
      </w:r>
      <w:r/>
    </w:p>
    <w:p>
      <w:pPr>
        <w:ind w:firstLine="480"/>
        <w:jc w:val="left"/>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2.提供的产品或服务在服务期内因其本身出现质量问题，根据实际情况，经双方协商，可按以下办法处理：</w:t>
      </w:r>
      <w:r/>
    </w:p>
    <w:p>
      <w:pPr>
        <w:ind w:firstLine="480"/>
        <w:jc w:val="left"/>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（1）更换：由</w:t>
      </w:r>
      <w:r>
        <w:rPr>
          <w:rFonts w:hint="eastAsia" w:asciiTheme="minorEastAsia" w:hAnsiTheme="minorEastAsia" w:cstheme="minorEastAsia"/>
          <w:sz w:val="24"/>
          <w:szCs w:val="24"/>
          <w:lang w:val="en-US" w:eastAsia="zh-CN"/>
        </w:rPr>
        <w:t xml:space="preserve">中标人</w:t>
      </w:r>
      <w:r>
        <w:rPr>
          <w:rFonts w:hint="eastAsia" w:asciiTheme="minorEastAsia" w:hAnsiTheme="minorEastAsia" w:eastAsiaTheme="minorEastAsia" w:cstheme="minorEastAsia"/>
          <w:sz w:val="24"/>
          <w:szCs w:val="24"/>
          <w:lang w:val="en-US" w:eastAsia="zh-CN"/>
        </w:rPr>
        <w:t xml:space="preserve">承担所产生的全部费用。</w:t>
      </w:r>
      <w:r/>
    </w:p>
    <w:p>
      <w:pPr>
        <w:ind w:firstLine="480"/>
        <w:jc w:val="left"/>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（2）合同终止处理：合同终止，</w:t>
      </w:r>
      <w:r>
        <w:rPr>
          <w:rFonts w:hint="eastAsia" w:asciiTheme="minorEastAsia" w:hAnsiTheme="minorEastAsia" w:cstheme="minorEastAsia"/>
          <w:sz w:val="24"/>
          <w:szCs w:val="24"/>
          <w:lang w:val="en-US" w:eastAsia="zh-CN"/>
        </w:rPr>
        <w:t xml:space="preserve">中标人</w:t>
      </w:r>
      <w:r>
        <w:rPr>
          <w:rFonts w:hint="eastAsia" w:asciiTheme="minorEastAsia" w:hAnsiTheme="minorEastAsia" w:eastAsiaTheme="minorEastAsia" w:cstheme="minorEastAsia"/>
          <w:sz w:val="24"/>
          <w:szCs w:val="24"/>
          <w:lang w:val="en-US" w:eastAsia="zh-CN"/>
        </w:rPr>
        <w:t xml:space="preserve">退还</w:t>
      </w:r>
      <w:r>
        <w:rPr>
          <w:rFonts w:hint="eastAsia" w:asciiTheme="minorEastAsia" w:hAnsiTheme="minorEastAsia" w:cstheme="minorEastAsia"/>
          <w:sz w:val="24"/>
          <w:szCs w:val="24"/>
          <w:lang w:val="en-US" w:eastAsia="zh-CN"/>
        </w:rPr>
        <w:t xml:space="preserve">采购人</w:t>
      </w:r>
      <w:r>
        <w:rPr>
          <w:rFonts w:hint="eastAsia" w:asciiTheme="minorEastAsia" w:hAnsiTheme="minorEastAsia" w:eastAsiaTheme="minorEastAsia" w:cstheme="minorEastAsia"/>
          <w:sz w:val="24"/>
          <w:szCs w:val="24"/>
          <w:lang w:val="en-US" w:eastAsia="zh-CN"/>
        </w:rPr>
        <w:t xml:space="preserve">支付的合同款，同时承担由此产生的全部费用，</w:t>
      </w:r>
      <w:r>
        <w:rPr>
          <w:rFonts w:hint="eastAsia" w:asciiTheme="minorEastAsia" w:hAnsiTheme="minorEastAsia" w:cstheme="minorEastAsia"/>
          <w:sz w:val="24"/>
          <w:szCs w:val="24"/>
          <w:lang w:val="en-US" w:eastAsia="zh-CN"/>
        </w:rPr>
        <w:t xml:space="preserve">采购人</w:t>
      </w:r>
      <w:r>
        <w:rPr>
          <w:rFonts w:hint="eastAsia" w:asciiTheme="minorEastAsia" w:hAnsiTheme="minorEastAsia" w:eastAsiaTheme="minorEastAsia" w:cstheme="minorEastAsia"/>
          <w:sz w:val="24"/>
          <w:szCs w:val="24"/>
          <w:lang w:val="en-US" w:eastAsia="zh-CN"/>
        </w:rPr>
        <w:t xml:space="preserve">不承担任何产生费用。</w:t>
      </w:r>
      <w:r/>
    </w:p>
    <w:p>
      <w:pPr>
        <w:ind w:firstLine="480"/>
        <w:jc w:val="left"/>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3.如在使用过程中发生质量问题，</w:t>
      </w:r>
      <w:r>
        <w:rPr>
          <w:rFonts w:hint="eastAsia" w:asciiTheme="minorEastAsia" w:hAnsiTheme="minorEastAsia" w:cstheme="minorEastAsia"/>
          <w:sz w:val="24"/>
          <w:szCs w:val="24"/>
          <w:lang w:val="en-US" w:eastAsia="zh-CN"/>
        </w:rPr>
        <w:t xml:space="preserve">中标人</w:t>
      </w:r>
      <w:r>
        <w:rPr>
          <w:rFonts w:hint="eastAsia" w:asciiTheme="minorEastAsia" w:hAnsiTheme="minorEastAsia" w:eastAsiaTheme="minorEastAsia" w:cstheme="minorEastAsia"/>
          <w:sz w:val="24"/>
          <w:szCs w:val="24"/>
          <w:lang w:val="en-US" w:eastAsia="zh-CN"/>
        </w:rPr>
        <w:t xml:space="preserve">在接到</w:t>
      </w:r>
      <w:r>
        <w:rPr>
          <w:rFonts w:hint="eastAsia" w:asciiTheme="minorEastAsia" w:hAnsiTheme="minorEastAsia" w:cstheme="minorEastAsia"/>
          <w:sz w:val="24"/>
          <w:szCs w:val="24"/>
          <w:lang w:val="en-US" w:eastAsia="zh-CN"/>
        </w:rPr>
        <w:t xml:space="preserve">采购人</w:t>
      </w:r>
      <w:r>
        <w:rPr>
          <w:rFonts w:hint="eastAsia" w:asciiTheme="minorEastAsia" w:hAnsiTheme="minorEastAsia" w:eastAsiaTheme="minorEastAsia" w:cstheme="minorEastAsia"/>
          <w:sz w:val="24"/>
          <w:szCs w:val="24"/>
          <w:lang w:val="en-US" w:eastAsia="zh-CN"/>
        </w:rPr>
        <w:t xml:space="preserve">通知后4小时内到达现场。</w:t>
      </w:r>
      <w:r/>
    </w:p>
    <w:p>
      <w:pPr>
        <w:ind w:firstLine="480"/>
        <w:jc w:val="left"/>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4.在服务期内，</w:t>
      </w:r>
      <w:r>
        <w:rPr>
          <w:rFonts w:hint="eastAsia" w:asciiTheme="minorEastAsia" w:hAnsiTheme="minorEastAsia" w:cstheme="minorEastAsia"/>
          <w:sz w:val="24"/>
          <w:szCs w:val="24"/>
          <w:lang w:val="en-US" w:eastAsia="zh-CN"/>
        </w:rPr>
        <w:t xml:space="preserve">中标人</w:t>
      </w:r>
      <w:r>
        <w:rPr>
          <w:rFonts w:hint="eastAsia" w:asciiTheme="minorEastAsia" w:hAnsiTheme="minorEastAsia" w:eastAsiaTheme="minorEastAsia" w:cstheme="minorEastAsia"/>
          <w:sz w:val="24"/>
          <w:szCs w:val="24"/>
          <w:lang w:val="en-US" w:eastAsia="zh-CN"/>
        </w:rPr>
        <w:t xml:space="preserve">应对产品或服务出现的质量及安全问题负责处理解决并承担一切费用。</w:t>
      </w:r>
      <w:r/>
    </w:p>
    <w:p>
      <w:pPr>
        <w:ind w:firstLine="480"/>
        <w:spacing w:line="360" w:lineRule="auto"/>
        <w:rPr>
          <w:rFonts w:hint="eastAsia"/>
          <w:b/>
          <w:bCs/>
          <w:sz w:val="24"/>
          <w:szCs w:val="24"/>
          <w:lang w:val="en-US" w:eastAsia="zh-CN"/>
        </w:rPr>
      </w:pPr>
      <w:r>
        <w:rPr>
          <w:rFonts w:hint="eastAsia"/>
          <w:b/>
          <w:bCs/>
          <w:sz w:val="24"/>
          <w:szCs w:val="24"/>
          <w:lang w:val="en-US" w:eastAsia="zh-CN"/>
        </w:rPr>
        <w:t xml:space="preserve">八、考核标准及考核办法</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项目建设期及运维期，中标人应负责本项目的总体集成及全过程建设协调工作，保证本项目建设内容的完整性，各模块软件的功能及性能响应性，不同模块软件数据交换接口的实时性及数据类型的丰富性。中标人须及时发现并解决建设期间上述内容建设关联中存在的接口兼容、数据拥塞、网络链路、技术架构等各方面的风险及问题，保障项目完成后的实战应用。</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2.中标人应在采购人指定环境和要求时间内完成系统部署，确保项目建设内容完整无缺、各模块软件功能完备且性能响应高效。</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3.初验、终验及维保结束前，应交付的所有该阶段过程性文档（包括但不限于软件开发类文档、系统维护类文档、项目验收类文档等）。</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4.建设、运维期间采购人单位与监理单位对所发现的问题以书面通知的相关事项，如在规定时间内无故未完成整改，且未说明原因，拒不执行并警告无效后，将予以每次1000元处罚。</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项目经理在不发生离职或重大伤病事故的情况下，不得予以更换。如因特殊原因需要更换人员的，必须按相关文件规定办理相关手续并经得委托方同意，如未经委托方同意擅自更换的，按每次2000元进行处罚，并重新办理相关手续。</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6.遇到重大活动、重要保障任务及重要警情任务时，接采购方通知须无条件执行采购方保障要求及人员安排，如无故不执行保障要求，每次扣款500元。</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7.项目建设及维护期间项目组成员未履行请假手续擅自离场的，发现一次扣款1000元，上班迟到、早退的，每次扣款500元。</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8.在系统运维期内，中标人须严格按照要求完成运维相关工作。系统出现故障影响应用且在24小时内不能恢复，严重影响平台使用及重大安保活动的，扣1000元/次。</w:t>
      </w:r>
      <w:r/>
    </w:p>
    <w:p>
      <w:pPr>
        <w:ind w:firstLine="480"/>
        <w:spacing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sz w:val="24"/>
        </w:rPr>
        <w:t xml:space="preserve">9.因不可抗力因素或非中标人因素造成维护工作无法达到考核要求的，经采购人同意，可不纳入总体考核。</w:t>
      </w:r>
      <w:r/>
    </w:p>
    <w:p>
      <w:pPr>
        <w:ind w:firstLine="480"/>
        <w:spacing w:line="360" w:lineRule="auto"/>
        <w:rPr>
          <w:rFonts w:hint="eastAsia"/>
          <w:b/>
          <w:bCs/>
          <w:sz w:val="24"/>
          <w:szCs w:val="24"/>
          <w:lang w:val="en-US" w:eastAsia="zh-CN"/>
        </w:rPr>
      </w:pPr>
      <w:r>
        <w:rPr>
          <w:rFonts w:hint="eastAsia"/>
          <w:b/>
          <w:bCs/>
          <w:sz w:val="24"/>
          <w:szCs w:val="24"/>
          <w:lang w:val="en-US" w:eastAsia="zh-CN"/>
        </w:rPr>
        <w:t xml:space="preserve">九、履约验收</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完成全部建设内容，中标人提交全部有关技术文件、资料、培训文档等，中标供应商可提出终验申请。经采购人同意，由采购人组织相关专家等进行终验，如验收不能通过，中标人应在验收会议规定的整改期限内对存在问题进行整改，直至合格，方能通过验收。</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具备以下条件，方可通过验收：</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（1）验收标准： </w:t>
      </w:r>
      <w:r/>
    </w:p>
    <w:p>
      <w:pPr>
        <w:ind w:firstLine="480"/>
        <w:spacing w:line="360" w:lineRule="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sz w:val="24"/>
        </w:rPr>
        <w:t xml:space="preserve">初验标准：完成合同中约定的全部业务功能；第三方接口对接全部调试连通，数据传输准确。</w:t>
      </w:r>
      <w:r>
        <w:rPr>
          <w:rFonts w:hint="eastAsia" w:asciiTheme="minorEastAsia" w:hAnsiTheme="minorEastAsia" w:eastAsiaTheme="minorEastAsia" w:cstheme="minorEastAsia"/>
          <w:color w:val="000000"/>
          <w:sz w:val="24"/>
        </w:rPr>
        <w:t xml:space="preserve">进入试运行阶段，试运行30天后进行最终验收。</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终验标准：初验所有问题整改完毕，系统稳定运行；</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中标人交付项目技术档案，并完成相关人员培训。</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本合同内容任一项验收不合格的，乙方应负责在甲方限定的期限内完成整改，因整改而导致的费用和损失由乙方自行承担，若导致项目逾期的，乙方承担逾期违约责任。乙方未按甲方要求进行整改或经三次整改仍不合格的，视为乙方违约，甲方有权解除本合同，给甲方造成损失的，乙方应赔偿一切直接、间接损失。</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（3）所有项目全过程文件材料及验收材料需按照相关要求进行档案收集、整理和归档工作。</w:t>
      </w:r>
      <w:r/>
    </w:p>
    <w:p>
      <w:pPr>
        <w:ind w:firstLine="480"/>
        <w:spacing w:line="360" w:lineRule="auto"/>
        <w:rPr>
          <w:rFonts w:hint="eastAsia"/>
          <w:b/>
          <w:bCs/>
          <w:sz w:val="24"/>
          <w:szCs w:val="24"/>
          <w:lang w:val="en-US" w:eastAsia="zh-CN"/>
        </w:rPr>
      </w:pPr>
      <w:r>
        <w:rPr>
          <w:rFonts w:hint="eastAsia"/>
          <w:b/>
          <w:bCs/>
          <w:sz w:val="24"/>
          <w:szCs w:val="24"/>
          <w:lang w:val="en-US" w:eastAsia="zh-CN"/>
        </w:rPr>
        <w:t xml:space="preserve">十、付款方式与履约保证金</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w:t>
      </w:r>
      <w:r>
        <w:rPr>
          <w:rFonts w:hint="eastAsia" w:ascii="宋体" w:hAnsi="宋体"/>
          <w:sz w:val="24"/>
          <w:szCs w:val="24"/>
        </w:rPr>
        <w:t xml:space="preserve">付款方式：合同签订后项目组进场</w:t>
      </w:r>
      <w:r>
        <w:rPr>
          <w:rFonts w:ascii="宋体" w:hAnsi="宋体"/>
          <w:sz w:val="24"/>
          <w:szCs w:val="24"/>
        </w:rPr>
        <w:t xml:space="preserve">30</w:t>
      </w:r>
      <w:r>
        <w:rPr>
          <w:rFonts w:hint="eastAsia" w:ascii="宋体" w:hAnsi="宋体"/>
          <w:sz w:val="24"/>
          <w:szCs w:val="24"/>
        </w:rPr>
        <w:t xml:space="preserve">日内，支付合同款总额的30%。完成合同建设内容，初验合格后</w:t>
      </w:r>
      <w:r>
        <w:rPr>
          <w:rFonts w:ascii="宋体" w:hAnsi="宋体"/>
          <w:sz w:val="24"/>
          <w:szCs w:val="24"/>
        </w:rPr>
        <w:t xml:space="preserve">30</w:t>
      </w:r>
      <w:r>
        <w:rPr>
          <w:rFonts w:hint="eastAsia" w:ascii="宋体" w:hAnsi="宋体"/>
          <w:sz w:val="24"/>
          <w:szCs w:val="24"/>
        </w:rPr>
        <w:t xml:space="preserve">日内，支付至合同金额的60%，终验合格后</w:t>
      </w:r>
      <w:r>
        <w:rPr>
          <w:rFonts w:ascii="宋体" w:hAnsi="宋体"/>
          <w:sz w:val="24"/>
          <w:szCs w:val="24"/>
        </w:rPr>
        <w:t xml:space="preserve">30</w:t>
      </w:r>
      <w:r>
        <w:rPr>
          <w:rFonts w:hint="eastAsia" w:ascii="宋体" w:hAnsi="宋体"/>
          <w:sz w:val="24"/>
          <w:szCs w:val="24"/>
        </w:rPr>
        <w:t xml:space="preserve">日内，支付至合同金额的100%。</w:t>
      </w:r>
      <w:r/>
    </w:p>
    <w:p>
      <w:pPr>
        <w:ind w:firstLine="480"/>
        <w:jc w:val="left"/>
        <w:spacing w:line="36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w:t>
      </w:r>
      <w:r>
        <w:rPr>
          <w:rFonts w:hint="eastAsia" w:ascii="宋体" w:hAnsi="宋体"/>
          <w:sz w:val="24"/>
          <w:szCs w:val="24"/>
        </w:rPr>
        <w:t xml:space="preserve">履约保证金</w:t>
      </w:r>
      <w:r>
        <w:rPr>
          <w:rFonts w:hint="eastAsia" w:ascii="宋体" w:hAnsi="宋体"/>
          <w:sz w:val="24"/>
          <w:szCs w:val="24"/>
          <w:lang w:eastAsia="zh-CN"/>
        </w:rPr>
        <w:t xml:space="preserve">：</w:t>
      </w:r>
      <w:r>
        <w:rPr>
          <w:rFonts w:hint="eastAsia" w:ascii="宋体" w:hAnsi="宋体"/>
          <w:sz w:val="24"/>
          <w:szCs w:val="24"/>
        </w:rPr>
        <w:t xml:space="preserve">本项目不收取履约保证金。</w:t>
      </w:r>
      <w:r/>
    </w:p>
    <w:p>
      <w:pPr>
        <w:ind w:firstLine="480"/>
        <w:spacing w:line="360" w:lineRule="auto"/>
        <w:rPr>
          <w:rFonts w:hint="eastAsia"/>
          <w:b/>
          <w:bCs/>
          <w:sz w:val="24"/>
          <w:szCs w:val="24"/>
          <w:lang w:val="en-US" w:eastAsia="zh-CN"/>
        </w:rPr>
      </w:pPr>
      <w:r>
        <w:rPr>
          <w:rFonts w:hint="eastAsia"/>
          <w:b/>
          <w:bCs/>
          <w:sz w:val="24"/>
          <w:szCs w:val="24"/>
          <w:lang w:val="en-US" w:eastAsia="zh-CN"/>
        </w:rPr>
        <w:t xml:space="preserve">十一、报价要求</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1.本项目响应报价最高不得超过最高限价，否则作无效响应处理。</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报价币种为人民币。应根据国家收费标准并结合市场实际进行报价，总价包干。总报价应包括为完成本项目发生的所有费用，包括不限于设备、开发、测试、验收、培训、保险、人工费用、管理、质保、驻场服务、税费、利润等。</w:t>
      </w:r>
      <w:r/>
    </w:p>
    <w:p>
      <w:pPr>
        <w:ind w:firstLine="480"/>
        <w:spacing w:line="360" w:lineRule="auto"/>
        <w:rPr>
          <w:rFonts w:hint="default" w:asciiTheme="minorEastAsia" w:hAnsiTheme="minorEastAsia" w:eastAsiaTheme="minorEastAsia" w:cstheme="minorEastAsia"/>
          <w:sz w:val="24"/>
          <w:lang w:val="en-US" w:eastAsia="zh-CN"/>
        </w:rPr>
      </w:pPr>
      <w:r>
        <w:rPr>
          <w:rFonts w:hint="eastAsia" w:asciiTheme="minorEastAsia" w:hAnsiTheme="minorEastAsia" w:cstheme="minorEastAsia"/>
          <w:sz w:val="24"/>
          <w:lang w:val="en-US" w:eastAsia="zh-CN"/>
        </w:rPr>
        <w:t xml:space="preserve">3.</w:t>
      </w:r>
      <w:r>
        <w:rPr>
          <w:rFonts w:hint="eastAsia"/>
          <w:sz w:val="24"/>
        </w:rPr>
        <w:t xml:space="preserve">应根据国家收费标准并结合市场实际进行报价，总价包干。</w:t>
      </w:r>
      <w:r>
        <w:rPr>
          <w:rFonts w:hint="eastAsia"/>
          <w:szCs w:val="24"/>
        </w:rPr>
        <w:t xml:space="preserve">本项目为固定总价项目，中标价以上不再增加投资，即为满足采购人使用的交付价格，清单、报价若有遗漏，投标人自行承担。</w:t>
      </w:r>
      <w:r/>
    </w:p>
    <w:p>
      <w:pPr>
        <w:ind w:firstLine="480"/>
        <w:spacing w:line="360" w:lineRule="auto"/>
        <w:rPr>
          <w:rFonts w:hint="eastAsia"/>
          <w:b/>
          <w:bCs/>
          <w:sz w:val="24"/>
          <w:szCs w:val="24"/>
          <w:lang w:val="en-US" w:eastAsia="zh-CN"/>
        </w:rPr>
      </w:pPr>
      <w:r>
        <w:rPr>
          <w:rFonts w:hint="eastAsia"/>
          <w:b/>
          <w:bCs/>
          <w:sz w:val="24"/>
          <w:szCs w:val="24"/>
          <w:lang w:val="en-US" w:eastAsia="zh-CN"/>
        </w:rPr>
        <w:t xml:space="preserve">十二、保密要求</w:t>
      </w:r>
      <w:r/>
    </w:p>
    <w:p>
      <w:pPr>
        <w:ind w:firstLine="480"/>
        <w:spacing w:line="360" w:lineRule="auto"/>
        <w:rPr>
          <w:sz w:val="24"/>
          <w:szCs w:val="24"/>
        </w:rPr>
      </w:pPr>
      <w:r>
        <w:rPr>
          <w:rFonts w:hint="eastAsia" w:ascii="宋体" w:hAnsi="宋体"/>
          <w:sz w:val="24"/>
          <w:szCs w:val="24"/>
        </w:rPr>
        <w:t xml:space="preserve">由于该项目涉及到大量的公安系统及数据，中标人在与用户签订合同时，必须对合作过程中涉及的公安工作秘密、业务需求、协议、技术成果等内容和相关事务保密并与采购方签订保密协议。</w:t>
      </w: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ind w:firstLine="480"/>
        <w:spacing w:line="360" w:lineRule="auto"/>
        <w:rPr>
          <w:rFonts w:hint="eastAsia"/>
          <w:b/>
          <w:bCs/>
          <w:sz w:val="24"/>
          <w:szCs w:val="24"/>
          <w:lang w:val="en-US" w:eastAsia="zh-CN"/>
        </w:rPr>
      </w:pPr>
      <w:r>
        <w:rPr>
          <w:rFonts w:hint="eastAsia"/>
          <w:b/>
          <w:bCs/>
          <w:sz w:val="24"/>
          <w:szCs w:val="24"/>
          <w:lang w:val="en-US" w:eastAsia="zh-CN"/>
        </w:rPr>
        <w:t xml:space="preserve">十三、知识产权</w:t>
      </w:r>
      <w:r/>
    </w:p>
    <w:p>
      <w:pPr>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项目交付后甲方拥有永久、完整使用权，涵盖平台部署、日常运维、功能迭代、免费升级权限。承建方应保证甲方在使用、接受本合同产品和服务或其任何一部分时不受第三方提出侵犯其专利权、版权、商标权和工业设计权等知识产权的起诉。一旦出现侵权，由乙方负全部责任。</w:t>
      </w:r>
      <w:r/>
    </w:p>
    <w:p>
      <w:pPr>
        <w:ind w:firstLine="480"/>
        <w:spacing w:line="360" w:lineRule="auto"/>
        <w:rPr>
          <w:rFonts w:hint="eastAsia"/>
          <w:b/>
          <w:bCs/>
          <w:sz w:val="24"/>
          <w:szCs w:val="24"/>
          <w:lang w:val="en-US" w:eastAsia="zh-CN"/>
        </w:rPr>
      </w:pPr>
      <w:r>
        <w:rPr>
          <w:rFonts w:hint="eastAsia"/>
          <w:b/>
          <w:bCs/>
          <w:sz w:val="24"/>
          <w:szCs w:val="24"/>
          <w:lang w:val="en-US" w:eastAsia="zh-CN"/>
        </w:rPr>
        <w:t xml:space="preserve">十四、其他</w:t>
      </w:r>
      <w:r/>
    </w:p>
    <w:p>
      <w:pPr>
        <w:pStyle w:val="878"/>
        <w:rPr>
          <w:szCs w:val="24"/>
        </w:rPr>
      </w:pPr>
      <w:r>
        <w:rPr>
          <w:rFonts w:hint="eastAsia"/>
          <w:color w:val="000000"/>
          <w:szCs w:val="24"/>
        </w:rPr>
        <w:t xml:space="preserve">投标人参与投标即视为接受全部招标要求，依照相关标准规范，满足所有建设所需条件，自行完成所有项目建设。</w:t>
      </w:r>
      <w:r>
        <w:rPr>
          <w:rFonts w:hint="eastAsia"/>
          <w:szCs w:val="24"/>
        </w:rPr>
        <w:t xml:space="preserve">招标文件技术规格只是对项目原则性的要求，并非详尽的要求，投标人有责任对设计的实施是否符合技术规范负责，并有责任提出在本技术规格中未阐述的但为保证系统建成后能一次性通过终验及保证正常运行所必须的建议和要求，并落实在方案和投标报价之中。投标文件缺陷导致的一切损失，由投标人承担。</w:t>
      </w:r>
      <w:bookmarkStart w:id="9" w:name="_Toc162361614"/>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43"/>
        <w:jc w:val="center"/>
        <w:spacing w:line="360" w:lineRule="auto"/>
        <w:rPr>
          <w:rFonts w:ascii="黑体" w:hAnsi="黑体" w:eastAsia="黑体"/>
          <w:b w:val="0"/>
        </w:rPr>
      </w:pPr>
      <w:r/>
      <w:bookmarkStart w:id="24" w:name="_GoBack"/>
      <w:r/>
      <w:bookmarkEnd w:id="24"/>
      <w:r>
        <w:rPr>
          <w:rFonts w:ascii="黑体" w:hAnsi="黑体" w:eastAsia="黑体"/>
          <w:b w:val="0"/>
        </w:rPr>
        <w:t xml:space="preserve">第五章</w:t>
      </w:r>
      <w:r>
        <w:rPr>
          <w:rFonts w:hint="eastAsia" w:ascii="黑体" w:hAnsi="黑体" w:eastAsia="黑体"/>
          <w:b w:val="0"/>
        </w:rPr>
        <w:t xml:space="preserve">  评标方法与评标标准</w:t>
      </w:r>
      <w:bookmarkEnd w:id="9"/>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综合评分法：是指投标文件满足招标文件全部实质性要求，且按照评审因素的量化指标评审得分最高的投标人为中标候选人的评标办法。</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二、评标标准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asciiTheme="minorEastAsia" w:hAnsiTheme="minor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Theme="minorEastAsia" w:hAnsiTheme="minorEastAsia"/>
          <w:b/>
          <w:sz w:val="24"/>
          <w:szCs w:val="24"/>
        </w:rPr>
        <w:t xml:space="preserve">1.价格分（10分）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投标报价得分=（评标基准价/投标报价）×10分。</w:t>
      </w:r>
      <w:r/>
    </w:p>
    <w:p>
      <w:pPr>
        <w:ind w:firstLine="480"/>
        <w:jc w:val="left"/>
        <w:spacing w:line="500" w:lineRule="exact"/>
        <w:rPr>
          <w:sz w:val="24"/>
          <w:szCs w:val="24"/>
        </w:rPr>
      </w:pPr>
      <w:r>
        <w:rPr>
          <w:rFonts w:hint="eastAsia"/>
          <w:sz w:val="24"/>
          <w:szCs w:val="24"/>
        </w:rPr>
        <w:t xml:space="preserve">因落实政府采购政策进行价格调整的，以调整后的价格计算评标基准价和投标报价，小数点后保留两位。</w:t>
      </w:r>
      <w:r/>
    </w:p>
    <w:p>
      <w:pPr>
        <w:ind w:firstLine="482"/>
        <w:jc w:val="left"/>
        <w:spacing w:line="360" w:lineRule="auto"/>
        <w:rPr>
          <w:rFonts w:ascii="宋体" w:hAnsi="宋体" w:cs="宋体"/>
          <w:b/>
          <w:sz w:val="24"/>
          <w:szCs w:val="24"/>
          <w:highlight w:val="none"/>
        </w:rPr>
      </w:pPr>
      <w:r>
        <w:rPr>
          <w:rFonts w:hint="eastAsia" w:ascii="宋体" w:hAnsi="宋体" w:eastAsia="宋体" w:cs="宋体"/>
          <w:b/>
          <w:sz w:val="24"/>
          <w:szCs w:val="24"/>
        </w:rPr>
        <w:t xml:space="preserve">2.技术分（ 25分）</w:t>
      </w:r>
      <w:r>
        <w:rPr>
          <w:rFonts w:hint="eastAsia" w:ascii="宋体" w:hAnsi="宋体" w:eastAsia="宋体" w:cs="宋体"/>
          <w:b/>
          <w:sz w:val="24"/>
          <w:szCs w:val="24"/>
          <w:highlight w:val="none"/>
        </w:rPr>
        <w:t xml:space="preserve">（本部分</w:t>
      </w:r>
      <w:r>
        <w:rPr>
          <w:rFonts w:hint="eastAsia" w:ascii="宋体" w:hAnsi="宋体" w:cs="Calibri"/>
          <w:b/>
          <w:color w:val="000000"/>
          <w:sz w:val="24"/>
          <w:szCs w:val="24"/>
          <w:highlight w:val="none"/>
        </w:rPr>
        <w:t xml:space="preserve">采用暗标方式进行评审）</w:t>
      </w:r>
      <w:r/>
    </w:p>
    <w:tbl>
      <w:tblPr>
        <w:tblStyle w:val="847"/>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4"/>
        <w:gridCol w:w="6576"/>
      </w:tblGrid>
      <w:tr>
        <w:trPr>
          <w:jc w:val="center"/>
          <w:trHeight w:val="621"/>
        </w:trPr>
        <w:tc>
          <w:tcPr>
            <w:tcW w:w="175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color w:val="000000"/>
                <w:sz w:val="24"/>
                <w:szCs w:val="24"/>
              </w:rPr>
            </w:pPr>
            <w:r>
              <w:rPr>
                <w:rFonts w:hint="eastAsia" w:ascii="宋体" w:hAnsi="宋体" w:eastAsia="宋体" w:cs="宋体"/>
                <w:b/>
                <w:color w:val="000000"/>
                <w:sz w:val="24"/>
                <w:szCs w:val="24"/>
              </w:rPr>
              <w:t xml:space="preserve">评审因素</w:t>
            </w:r>
            <w:r/>
          </w:p>
        </w:tc>
        <w:tc>
          <w:tcPr>
            <w:tcW w:w="6576"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color w:val="000000"/>
                <w:sz w:val="24"/>
                <w:szCs w:val="24"/>
              </w:rPr>
            </w:pPr>
            <w:r>
              <w:rPr>
                <w:rFonts w:hint="eastAsia" w:ascii="宋体" w:hAnsi="宋体" w:eastAsia="宋体" w:cs="宋体"/>
                <w:b/>
                <w:color w:val="000000"/>
                <w:sz w:val="24"/>
                <w:szCs w:val="24"/>
              </w:rPr>
              <w:t xml:space="preserve">评审标准</w:t>
            </w:r>
            <w:r/>
          </w:p>
        </w:tc>
      </w:tr>
      <w:tr>
        <w:trPr>
          <w:jc w:val="center"/>
          <w:trHeight w:val="621"/>
        </w:trPr>
        <w:tc>
          <w:tcPr>
            <w:shd w:val="clear" w:color="auto" w:fill="auto"/>
            <w:tcW w:w="1754" w:type="dxa"/>
            <w:vAlign w:val="center"/>
            <w:textDirection w:val="lrTb"/>
            <w:noWrap w:val="false"/>
          </w:tcPr>
          <w:p>
            <w:pPr>
              <w:jc w:val="center"/>
              <w:spacing w:line="480" w:lineRule="exact"/>
              <w:rPr>
                <w:rFonts w:ascii="宋体" w:hAnsi="宋体" w:cs="等线"/>
                <w:sz w:val="24"/>
                <w:szCs w:val="24"/>
              </w:rPr>
            </w:pPr>
            <w:r>
              <w:rPr>
                <w:rFonts w:hint="eastAsia" w:ascii="宋体" w:hAnsi="宋体" w:cs="等线"/>
                <w:sz w:val="24"/>
                <w:szCs w:val="24"/>
              </w:rPr>
              <w:t xml:space="preserve">项目设计方案</w:t>
            </w:r>
            <w:r/>
          </w:p>
          <w:p>
            <w:pPr>
              <w:jc w:val="center"/>
              <w:spacing w:line="480" w:lineRule="exact"/>
              <w:rPr>
                <w:rFonts w:ascii="宋体" w:hAnsi="宋体" w:cs="等线"/>
                <w:sz w:val="24"/>
                <w:szCs w:val="24"/>
              </w:rPr>
            </w:pPr>
            <w:r>
              <w:rPr>
                <w:rFonts w:hint="eastAsia" w:ascii="宋体" w:hAnsi="宋体" w:cs="等线"/>
                <w:sz w:val="24"/>
                <w:szCs w:val="24"/>
              </w:rPr>
              <w:t xml:space="preserve">（5分）</w:t>
            </w:r>
            <w:r/>
          </w:p>
        </w:tc>
        <w:tc>
          <w:tcPr>
            <w:shd w:val="clear" w:color="auto" w:fill="auto"/>
            <w:tcW w:w="6576" w:type="dxa"/>
            <w:vAlign w:val="center"/>
            <w:textDirection w:val="lrTb"/>
            <w:noWrap w:val="false"/>
          </w:tcPr>
          <w:p>
            <w:pPr>
              <w:jc w:val="left"/>
              <w:spacing w:line="480" w:lineRule="exact"/>
              <w:rPr>
                <w:rFonts w:ascii="宋体" w:hAnsi="宋体" w:cs="等线"/>
                <w:sz w:val="24"/>
                <w:szCs w:val="24"/>
              </w:rPr>
            </w:pPr>
            <w:r>
              <w:rPr>
                <w:rFonts w:hint="eastAsia" w:ascii="宋体" w:hAnsi="宋体" w:cs="等线"/>
                <w:sz w:val="24"/>
                <w:szCs w:val="24"/>
              </w:rPr>
              <w:t xml:space="preserve">投标人结合项目需求提供项目设计方案。方案包含但不限于项目基本概述、需求分析、设计思路、设计目标等。</w:t>
            </w:r>
            <w:r/>
          </w:p>
          <w:p>
            <w:pPr>
              <w:jc w:val="left"/>
              <w:spacing w:line="480" w:lineRule="exact"/>
              <w:rPr>
                <w:rFonts w:ascii="宋体" w:hAnsi="宋体" w:cs="等线"/>
                <w:b/>
                <w:bCs/>
                <w:sz w:val="24"/>
                <w:szCs w:val="24"/>
              </w:rPr>
            </w:pPr>
            <w:r>
              <w:rPr>
                <w:rFonts w:hint="eastAsia" w:ascii="宋体" w:hAnsi="宋体" w:cs="等线"/>
                <w:sz w:val="24"/>
                <w:szCs w:val="24"/>
              </w:rPr>
              <w:t xml:space="preserve">设计方案全面详细，阐述清晰，有创新性，具有可操作性，完全满足项目要求的</w:t>
            </w:r>
            <w:r>
              <w:rPr>
                <w:rFonts w:hint="eastAsia" w:ascii="宋体" w:hAnsi="宋体" w:cs="等线"/>
                <w:b/>
                <w:bCs/>
                <w:sz w:val="24"/>
                <w:szCs w:val="24"/>
              </w:rPr>
              <w:t xml:space="preserve">得</w:t>
            </w:r>
            <w:r>
              <w:rPr>
                <w:rFonts w:ascii="宋体" w:hAnsi="宋体" w:cs="等线"/>
                <w:b/>
                <w:bCs/>
                <w:sz w:val="24"/>
                <w:szCs w:val="24"/>
              </w:rPr>
              <w:t xml:space="preserve">5</w:t>
            </w:r>
            <w:r>
              <w:rPr>
                <w:rFonts w:hint="eastAsia" w:ascii="宋体" w:hAnsi="宋体" w:cs="等线"/>
                <w:b/>
                <w:bCs/>
                <w:sz w:val="24"/>
                <w:szCs w:val="24"/>
              </w:rPr>
              <w:t xml:space="preserve">分；</w:t>
            </w:r>
            <w:r/>
          </w:p>
          <w:p>
            <w:pPr>
              <w:jc w:val="left"/>
              <w:spacing w:line="480" w:lineRule="exact"/>
              <w:rPr>
                <w:rFonts w:ascii="宋体" w:hAnsi="宋体" w:cs="等线"/>
                <w:b/>
                <w:bCs/>
                <w:sz w:val="24"/>
                <w:szCs w:val="24"/>
              </w:rPr>
            </w:pPr>
            <w:r>
              <w:rPr>
                <w:rFonts w:hint="eastAsia" w:ascii="宋体" w:hAnsi="宋体" w:cs="等线"/>
                <w:sz w:val="24"/>
                <w:szCs w:val="24"/>
              </w:rPr>
              <w:t xml:space="preserve">建设内容较全面详细，阐述较清晰，创新性较强，可操作性较强，较满足项目要求的</w:t>
            </w:r>
            <w:r>
              <w:rPr>
                <w:rFonts w:hint="eastAsia" w:ascii="宋体" w:hAnsi="宋体" w:cs="等线"/>
                <w:b/>
                <w:bCs/>
                <w:sz w:val="24"/>
                <w:szCs w:val="24"/>
              </w:rPr>
              <w:t xml:space="preserve">得</w:t>
            </w:r>
            <w:r>
              <w:rPr>
                <w:rFonts w:hint="eastAsia" w:ascii="宋体" w:hAnsi="宋体" w:cs="等线"/>
                <w:b/>
                <w:bCs/>
                <w:sz w:val="24"/>
                <w:szCs w:val="24"/>
                <w:lang w:val="en-US" w:eastAsia="zh-CN"/>
              </w:rPr>
              <w:t xml:space="preserve">4</w:t>
            </w:r>
            <w:r>
              <w:rPr>
                <w:rFonts w:hint="eastAsia" w:ascii="宋体" w:hAnsi="宋体" w:cs="等线"/>
                <w:b/>
                <w:bCs/>
                <w:sz w:val="24"/>
                <w:szCs w:val="24"/>
              </w:rPr>
              <w:t xml:space="preserve">分；</w:t>
            </w:r>
            <w:r/>
          </w:p>
          <w:p>
            <w:pPr>
              <w:jc w:val="left"/>
              <w:spacing w:line="480" w:lineRule="exact"/>
              <w:rPr>
                <w:rFonts w:ascii="宋体" w:hAnsi="宋体" w:cs="等线"/>
                <w:b/>
                <w:bCs/>
                <w:sz w:val="24"/>
                <w:szCs w:val="24"/>
              </w:rPr>
            </w:pPr>
            <w:r>
              <w:rPr>
                <w:rFonts w:hint="eastAsia" w:ascii="宋体" w:hAnsi="宋体" w:cs="等线"/>
                <w:sz w:val="24"/>
                <w:szCs w:val="24"/>
              </w:rPr>
              <w:t xml:space="preserve">建设内容有缺项，内容简单粗糙，创新性较差，可操作性不强，与项目要求存在偏差的</w:t>
            </w:r>
            <w:r>
              <w:rPr>
                <w:rFonts w:hint="eastAsia" w:ascii="宋体" w:hAnsi="宋体" w:cs="等线"/>
                <w:b/>
                <w:bCs/>
                <w:sz w:val="24"/>
                <w:szCs w:val="24"/>
              </w:rPr>
              <w:t xml:space="preserve">得</w:t>
            </w:r>
            <w:r>
              <w:rPr>
                <w:rFonts w:hint="eastAsia" w:ascii="宋体" w:hAnsi="宋体" w:cs="等线"/>
                <w:b/>
                <w:bCs/>
                <w:sz w:val="24"/>
                <w:szCs w:val="24"/>
                <w:lang w:val="en-US" w:eastAsia="zh-CN"/>
              </w:rPr>
              <w:t xml:space="preserve">2</w:t>
            </w:r>
            <w:r>
              <w:rPr>
                <w:rFonts w:hint="eastAsia" w:ascii="宋体" w:hAnsi="宋体" w:cs="等线"/>
                <w:b/>
                <w:bCs/>
                <w:sz w:val="24"/>
                <w:szCs w:val="24"/>
              </w:rPr>
              <w:t xml:space="preserve">分；</w:t>
            </w:r>
            <w:r/>
          </w:p>
          <w:p>
            <w:pPr>
              <w:jc w:val="left"/>
              <w:spacing w:line="480" w:lineRule="exact"/>
              <w:rPr>
                <w:rFonts w:ascii="宋体" w:hAnsi="宋体" w:cs="等线"/>
                <w:sz w:val="24"/>
                <w:szCs w:val="24"/>
              </w:rPr>
            </w:pPr>
            <w:r>
              <w:rPr>
                <w:rFonts w:hint="eastAsia" w:ascii="宋体" w:hAnsi="宋体"/>
                <w:b/>
                <w:sz w:val="24"/>
                <w:szCs w:val="24"/>
              </w:rPr>
              <w:t xml:space="preserve">该项未见阐述不得分。</w:t>
            </w:r>
            <w:r/>
          </w:p>
        </w:tc>
      </w:tr>
      <w:tr>
        <w:trPr>
          <w:jc w:val="center"/>
          <w:trHeight w:val="621"/>
        </w:trPr>
        <w:tc>
          <w:tcPr>
            <w:shd w:val="clear" w:color="auto" w:fill="auto"/>
            <w:tcW w:w="1754" w:type="dxa"/>
            <w:vAlign w:val="center"/>
            <w:textDirection w:val="lrTb"/>
            <w:noWrap w:val="false"/>
          </w:tcPr>
          <w:p>
            <w:pPr>
              <w:jc w:val="center"/>
              <w:spacing w:line="480" w:lineRule="exact"/>
              <w:rPr>
                <w:rFonts w:ascii="宋体" w:hAnsi="宋体" w:cs="等线"/>
                <w:sz w:val="24"/>
                <w:szCs w:val="24"/>
              </w:rPr>
            </w:pPr>
            <w:r>
              <w:rPr>
                <w:rFonts w:hint="eastAsia" w:ascii="宋体" w:hAnsi="宋体" w:cs="等线"/>
                <w:sz w:val="24"/>
                <w:szCs w:val="24"/>
              </w:rPr>
              <w:t xml:space="preserve">项目建设方案</w:t>
            </w:r>
            <w:r/>
          </w:p>
          <w:p>
            <w:pPr>
              <w:jc w:val="center"/>
              <w:spacing w:line="480" w:lineRule="exact"/>
              <w:rPr>
                <w:rFonts w:ascii="宋体" w:hAnsi="宋体" w:cs="等线"/>
                <w:sz w:val="24"/>
                <w:szCs w:val="24"/>
              </w:rPr>
            </w:pPr>
            <w:r>
              <w:rPr>
                <w:rFonts w:hint="eastAsia" w:ascii="宋体" w:hAnsi="宋体" w:cs="等线"/>
                <w:sz w:val="24"/>
                <w:szCs w:val="24"/>
              </w:rPr>
              <w:t xml:space="preserve">（5分）</w:t>
            </w:r>
            <w:r/>
          </w:p>
        </w:tc>
        <w:tc>
          <w:tcPr>
            <w:shd w:val="clear" w:color="auto" w:fill="auto"/>
            <w:tcW w:w="6576" w:type="dxa"/>
            <w:vAlign w:val="center"/>
            <w:textDirection w:val="lrTb"/>
            <w:noWrap w:val="false"/>
          </w:tcPr>
          <w:p>
            <w:pPr>
              <w:jc w:val="left"/>
              <w:spacing w:line="480" w:lineRule="exact"/>
              <w:rPr>
                <w:rFonts w:ascii="宋体" w:hAnsi="宋体" w:cs="等线"/>
                <w:sz w:val="24"/>
                <w:szCs w:val="24"/>
              </w:rPr>
            </w:pPr>
            <w:r>
              <w:rPr>
                <w:rFonts w:hint="eastAsia" w:ascii="宋体" w:hAnsi="宋体" w:cs="等线"/>
                <w:sz w:val="24"/>
                <w:szCs w:val="24"/>
              </w:rPr>
              <w:t xml:space="preserve">投标人结合项目需求提供项目建设方案。方案包含但不限于架构设计、建设内容、建设目标、平台功能、场景应用和应用价值等。</w:t>
            </w:r>
            <w:r/>
          </w:p>
          <w:p>
            <w:pPr>
              <w:numPr>
                <w:ilvl w:val="0"/>
                <w:numId w:val="0"/>
              </w:numPr>
              <w:jc w:val="left"/>
              <w:keepLines w:val="0"/>
              <w:keepNext w:val="0"/>
              <w:pageBreakBefore w:val="0"/>
              <w:spacing w:line="480" w:lineRule="exact"/>
              <w:widowControl w:val="off"/>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sz w:val="24"/>
                <w:szCs w:val="24"/>
              </w:rPr>
              <w:t xml:space="preserve">建设内容全面详细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阐述清晰，措施完善，</w:t>
            </w:r>
            <w:r>
              <w:rPr>
                <w:rFonts w:hint="eastAsia" w:asciiTheme="minorEastAsia" w:hAnsiTheme="minorEastAsia" w:eastAsiaTheme="minorEastAsia" w:cstheme="minorEastAsia"/>
                <w:sz w:val="24"/>
                <w:szCs w:val="24"/>
              </w:rPr>
              <w:t xml:space="preserve">针对性、可操作性强，完全满足项目要求的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cstheme="minorEastAsia"/>
                <w:b/>
                <w:bCs/>
                <w:sz w:val="24"/>
                <w:szCs w:val="24"/>
                <w:lang w:val="en-US" w:eastAsia="zh-CN"/>
              </w:rPr>
              <w:t xml:space="preserve">5</w:t>
            </w:r>
            <w:r>
              <w:rPr>
                <w:rFonts w:hint="eastAsia" w:asciiTheme="minorEastAsia" w:hAnsiTheme="minorEastAsia" w:eastAsiaTheme="minorEastAsia" w:cstheme="minorEastAsia"/>
                <w:b/>
                <w:bCs/>
                <w:sz w:val="24"/>
                <w:szCs w:val="24"/>
              </w:rPr>
              <w:t xml:space="preserve">分</w:t>
            </w:r>
            <w:r>
              <w:rPr>
                <w:rFonts w:hint="eastAsia" w:asciiTheme="minorEastAsia" w:hAnsiTheme="minorEastAsia" w:eastAsiaTheme="minorEastAsia" w:cstheme="minorEastAsia"/>
                <w:b/>
                <w:bCs/>
                <w:sz w:val="24"/>
                <w:szCs w:val="24"/>
                <w:lang w:eastAsia="zh-CN"/>
              </w:rPr>
              <w:t xml:space="preserve">；</w:t>
            </w:r>
            <w:r/>
          </w:p>
          <w:p>
            <w:pPr>
              <w:numPr>
                <w:ilvl w:val="0"/>
                <w:numId w:val="0"/>
              </w:numPr>
              <w:jc w:val="left"/>
              <w:keepLines w:val="0"/>
              <w:keepNext w:val="0"/>
              <w:pageBreakBefore w:val="0"/>
              <w:spacing w:line="480" w:lineRule="exact"/>
              <w:widowControl w:val="off"/>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sz w:val="24"/>
                <w:szCs w:val="24"/>
              </w:rPr>
              <w:t xml:space="preserve">建设内容</w:t>
            </w:r>
            <w:r>
              <w:rPr>
                <w:rFonts w:hint="eastAsia" w:asciiTheme="minorEastAsia" w:hAnsiTheme="minorEastAsia" w:eastAsiaTheme="minorEastAsia" w:cstheme="minorEastAsia"/>
                <w:sz w:val="24"/>
                <w:szCs w:val="24"/>
                <w:lang w:val="en-US" w:eastAsia="zh-CN"/>
              </w:rPr>
              <w:t xml:space="preserve">较</w:t>
            </w:r>
            <w:r>
              <w:rPr>
                <w:rFonts w:hint="eastAsia" w:asciiTheme="minorEastAsia" w:hAnsiTheme="minorEastAsia" w:eastAsiaTheme="minorEastAsia" w:cstheme="minorEastAsia"/>
                <w:sz w:val="24"/>
                <w:szCs w:val="24"/>
              </w:rPr>
              <w:t xml:space="preserve">全面详细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阐述较清晰，措施较完善，</w:t>
            </w:r>
            <w:r>
              <w:rPr>
                <w:rFonts w:hint="eastAsia" w:asciiTheme="minorEastAsia" w:hAnsiTheme="minorEastAsia" w:eastAsiaTheme="minorEastAsia" w:cstheme="minorEastAsia"/>
                <w:sz w:val="24"/>
                <w:szCs w:val="24"/>
              </w:rPr>
              <w:t xml:space="preserve">针对性、可操作性</w:t>
            </w:r>
            <w:r>
              <w:rPr>
                <w:rFonts w:hint="eastAsia" w:asciiTheme="minorEastAsia" w:hAnsiTheme="minorEastAsia" w:eastAsiaTheme="minorEastAsia" w:cstheme="minorEastAsia"/>
                <w:sz w:val="24"/>
                <w:szCs w:val="24"/>
                <w:lang w:val="en-US" w:eastAsia="zh-CN"/>
              </w:rPr>
              <w:t xml:space="preserve">较</w:t>
            </w:r>
            <w:r>
              <w:rPr>
                <w:rFonts w:hint="eastAsia" w:asciiTheme="minorEastAsia" w:hAnsiTheme="minorEastAsia" w:eastAsiaTheme="minorEastAsia" w:cstheme="minorEastAsia"/>
                <w:sz w:val="24"/>
                <w:szCs w:val="24"/>
              </w:rPr>
              <w:t xml:space="preserve">强，</w:t>
            </w:r>
            <w:r>
              <w:rPr>
                <w:rFonts w:hint="eastAsia" w:asciiTheme="minorEastAsia" w:hAnsiTheme="minorEastAsia" w:eastAsiaTheme="minorEastAsia" w:cstheme="minorEastAsia"/>
                <w:sz w:val="24"/>
                <w:szCs w:val="24"/>
                <w:lang w:val="en-US" w:eastAsia="zh-CN"/>
              </w:rPr>
              <w:t xml:space="preserve">较</w:t>
            </w:r>
            <w:r>
              <w:rPr>
                <w:rFonts w:hint="eastAsia" w:asciiTheme="minorEastAsia" w:hAnsiTheme="minorEastAsia" w:eastAsiaTheme="minorEastAsia" w:cstheme="minorEastAsia"/>
                <w:sz w:val="24"/>
                <w:szCs w:val="24"/>
              </w:rPr>
              <w:t xml:space="preserve">满足项目要求的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cstheme="minorEastAsia"/>
                <w:b/>
                <w:bCs/>
                <w:sz w:val="24"/>
                <w:szCs w:val="24"/>
                <w:lang w:val="en-US" w:eastAsia="zh-CN"/>
              </w:rPr>
              <w:t xml:space="preserve">4</w:t>
            </w:r>
            <w:r>
              <w:rPr>
                <w:rFonts w:hint="eastAsia" w:asciiTheme="minorEastAsia" w:hAnsiTheme="minorEastAsia" w:eastAsiaTheme="minorEastAsia" w:cstheme="minorEastAsia"/>
                <w:b/>
                <w:bCs/>
                <w:sz w:val="24"/>
                <w:szCs w:val="24"/>
              </w:rPr>
              <w:t xml:space="preserve">分</w:t>
            </w:r>
            <w:r>
              <w:rPr>
                <w:rFonts w:hint="eastAsia" w:asciiTheme="minorEastAsia" w:hAnsiTheme="minorEastAsia" w:eastAsiaTheme="minorEastAsia" w:cstheme="minorEastAsia"/>
                <w:b/>
                <w:bCs/>
                <w:sz w:val="24"/>
                <w:szCs w:val="24"/>
                <w:lang w:eastAsia="zh-CN"/>
              </w:rPr>
              <w:t xml:space="preserve">；</w:t>
            </w:r>
            <w:r/>
          </w:p>
          <w:p>
            <w:pPr>
              <w:numPr>
                <w:ilvl w:val="0"/>
                <w:numId w:val="0"/>
              </w:numPr>
              <w:jc w:val="left"/>
              <w:keepLines w:val="0"/>
              <w:keepNext w:val="0"/>
              <w:pageBreakBefore w:val="0"/>
              <w:spacing w:line="480" w:lineRule="exact"/>
              <w:widowControl w:val="off"/>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sz w:val="24"/>
                <w:szCs w:val="24"/>
              </w:rPr>
              <w:t xml:space="preserve">建设内容</w:t>
            </w:r>
            <w:r>
              <w:rPr>
                <w:rFonts w:hint="eastAsia" w:asciiTheme="minorEastAsia" w:hAnsiTheme="minorEastAsia" w:eastAsiaTheme="minorEastAsia" w:cstheme="minorEastAsia"/>
                <w:sz w:val="24"/>
                <w:szCs w:val="24"/>
                <w:lang w:val="en-US" w:eastAsia="zh-CN"/>
              </w:rPr>
              <w:t xml:space="preserve">有缺项，内容简单粗糙，</w:t>
            </w:r>
            <w:r>
              <w:rPr>
                <w:rFonts w:hint="eastAsia" w:asciiTheme="minorEastAsia" w:hAnsiTheme="minorEastAsia" w:eastAsiaTheme="minorEastAsia" w:cstheme="minorEastAsia"/>
                <w:sz w:val="24"/>
                <w:szCs w:val="24"/>
              </w:rPr>
              <w:t xml:space="preserve">针对性、可操作</w:t>
            </w:r>
            <w:r>
              <w:rPr>
                <w:rFonts w:hint="eastAsia" w:asciiTheme="minorEastAsia" w:hAnsiTheme="minorEastAsia" w:eastAsiaTheme="minorEastAsia" w:cstheme="minorEastAsia"/>
                <w:sz w:val="24"/>
                <w:szCs w:val="24"/>
                <w:lang w:val="en-US" w:eastAsia="zh-CN"/>
              </w:rPr>
              <w:t xml:space="preserve">性不强</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与</w:t>
            </w:r>
            <w:r>
              <w:rPr>
                <w:rFonts w:hint="eastAsia" w:asciiTheme="minorEastAsia" w:hAnsiTheme="minorEastAsia" w:eastAsiaTheme="minorEastAsia" w:cstheme="minorEastAsia"/>
                <w:sz w:val="24"/>
                <w:szCs w:val="24"/>
              </w:rPr>
              <w:t xml:space="preserve">项目要求</w:t>
            </w:r>
            <w:r>
              <w:rPr>
                <w:rFonts w:hint="eastAsia" w:asciiTheme="minorEastAsia" w:hAnsiTheme="minorEastAsia" w:eastAsiaTheme="minorEastAsia" w:cstheme="minorEastAsia"/>
                <w:sz w:val="24"/>
                <w:szCs w:val="24"/>
                <w:lang w:val="en-US" w:eastAsia="zh-CN"/>
              </w:rPr>
              <w:t xml:space="preserve">存在偏差</w:t>
            </w:r>
            <w:r>
              <w:rPr>
                <w:rFonts w:hint="eastAsia" w:asciiTheme="minorEastAsia" w:hAnsiTheme="minorEastAsia" w:eastAsiaTheme="minorEastAsia" w:cstheme="minorEastAsia"/>
                <w:sz w:val="24"/>
                <w:szCs w:val="24"/>
              </w:rPr>
              <w:t xml:space="preserve">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cstheme="minorEastAsia"/>
                <w:b/>
                <w:bCs/>
                <w:sz w:val="24"/>
                <w:szCs w:val="24"/>
                <w:lang w:val="en-US" w:eastAsia="zh-CN"/>
              </w:rPr>
              <w:t xml:space="preserve">2</w:t>
            </w:r>
            <w:r>
              <w:rPr>
                <w:rFonts w:hint="eastAsia" w:asciiTheme="minorEastAsia" w:hAnsiTheme="minorEastAsia" w:eastAsiaTheme="minorEastAsia" w:cstheme="minorEastAsia"/>
                <w:b/>
                <w:bCs/>
                <w:sz w:val="24"/>
                <w:szCs w:val="24"/>
              </w:rPr>
              <w:t xml:space="preserve">分</w:t>
            </w:r>
            <w:r>
              <w:rPr>
                <w:rFonts w:hint="eastAsia" w:asciiTheme="minorEastAsia" w:hAnsiTheme="minorEastAsia" w:eastAsiaTheme="minorEastAsia" w:cstheme="minorEastAsia"/>
                <w:b/>
                <w:bCs/>
                <w:sz w:val="24"/>
                <w:szCs w:val="24"/>
                <w:lang w:eastAsia="zh-CN"/>
              </w:rPr>
              <w:t xml:space="preserve">；</w:t>
            </w:r>
            <w:r/>
          </w:p>
          <w:p>
            <w:pPr>
              <w:jc w:val="left"/>
              <w:spacing w:line="480" w:lineRule="exact"/>
              <w:rPr>
                <w:rFonts w:ascii="宋体" w:hAnsi="宋体" w:cs="等线"/>
                <w:sz w:val="24"/>
                <w:szCs w:val="24"/>
              </w:rPr>
            </w:pPr>
            <w:r>
              <w:rPr>
                <w:rFonts w:hint="eastAsia" w:asciiTheme="minorEastAsia" w:hAnsiTheme="minorEastAsia" w:eastAsiaTheme="minorEastAsia" w:cstheme="minorEastAsia"/>
                <w:b/>
                <w:sz w:val="24"/>
                <w:szCs w:val="24"/>
              </w:rPr>
              <w:t xml:space="preserve">该项未见阐述不得分。</w:t>
            </w:r>
            <w:r/>
          </w:p>
        </w:tc>
      </w:tr>
      <w:tr>
        <w:trPr>
          <w:jc w:val="center"/>
          <w:trHeight w:val="621"/>
        </w:trPr>
        <w:tc>
          <w:tcPr>
            <w:shd w:val="clear" w:color="auto" w:fill="auto"/>
            <w:tcW w:w="1754" w:type="dxa"/>
            <w:vAlign w:val="center"/>
            <w:textDirection w:val="lrTb"/>
            <w:noWrap w:val="false"/>
          </w:tcPr>
          <w:p>
            <w:pPr>
              <w:jc w:val="center"/>
              <w:spacing w:line="480" w:lineRule="exact"/>
              <w:rPr>
                <w:rFonts w:ascii="宋体" w:hAnsi="宋体" w:cs="等线"/>
                <w:sz w:val="24"/>
                <w:szCs w:val="24"/>
              </w:rPr>
            </w:pPr>
            <w:r>
              <w:rPr>
                <w:rFonts w:hint="eastAsia" w:ascii="宋体" w:hAnsi="宋体" w:cs="等线"/>
                <w:sz w:val="24"/>
                <w:szCs w:val="24"/>
              </w:rPr>
              <w:t xml:space="preserve">项目实施方案</w:t>
            </w:r>
            <w:r/>
          </w:p>
          <w:p>
            <w:pPr>
              <w:jc w:val="center"/>
              <w:spacing w:line="480" w:lineRule="exact"/>
              <w:rPr>
                <w:rFonts w:ascii="宋体" w:hAnsi="宋体" w:cs="等线"/>
                <w:sz w:val="24"/>
                <w:szCs w:val="24"/>
              </w:rPr>
            </w:pPr>
            <w:r>
              <w:rPr>
                <w:rFonts w:hint="eastAsia" w:ascii="宋体" w:hAnsi="宋体" w:cs="等线"/>
                <w:sz w:val="24"/>
                <w:szCs w:val="24"/>
              </w:rPr>
              <w:t xml:space="preserve">（</w:t>
            </w:r>
            <w:r>
              <w:rPr>
                <w:rFonts w:ascii="宋体" w:hAnsi="宋体" w:cs="等线"/>
                <w:sz w:val="24"/>
                <w:szCs w:val="24"/>
              </w:rPr>
              <w:t xml:space="preserve">5</w:t>
            </w:r>
            <w:r>
              <w:rPr>
                <w:rFonts w:hint="eastAsia" w:ascii="宋体" w:hAnsi="宋体" w:cs="等线"/>
                <w:sz w:val="24"/>
                <w:szCs w:val="24"/>
              </w:rPr>
              <w:t xml:space="preserve">分）</w:t>
            </w:r>
            <w:r/>
          </w:p>
        </w:tc>
        <w:tc>
          <w:tcPr>
            <w:shd w:val="clear" w:color="auto" w:fill="auto"/>
            <w:tcW w:w="6576" w:type="dxa"/>
            <w:vAlign w:val="center"/>
            <w:textDirection w:val="lrTb"/>
            <w:noWrap w:val="false"/>
          </w:tcPr>
          <w:p>
            <w:pPr>
              <w:jc w:val="left"/>
              <w:spacing w:line="480" w:lineRule="exact"/>
              <w:rPr>
                <w:rFonts w:ascii="宋体" w:hAnsi="宋体" w:cs="等线"/>
                <w:sz w:val="24"/>
                <w:szCs w:val="24"/>
              </w:rPr>
            </w:pPr>
            <w:r>
              <w:rPr>
                <w:rFonts w:hint="eastAsia" w:ascii="宋体" w:hAnsi="宋体"/>
                <w:sz w:val="24"/>
                <w:szCs w:val="24"/>
              </w:rPr>
              <w:t xml:space="preserve">投标人结合项目需求提供项目实施方案，方案包含但不限于</w:t>
            </w:r>
            <w:r>
              <w:rPr>
                <w:rFonts w:hint="eastAsia" w:ascii="宋体" w:hAnsi="宋体" w:cs="等线"/>
                <w:sz w:val="24"/>
                <w:szCs w:val="24"/>
              </w:rPr>
              <w:t xml:space="preserve">项目实施组织机构是否健全、项目管理措施完善及规范性、是否能有效地保障总体项目衔接、部署与调试、实施计划及分工、协调措施及进度内容、实施风险应对措施等。</w:t>
            </w:r>
            <w:r/>
          </w:p>
          <w:p>
            <w:pPr>
              <w:jc w:val="left"/>
              <w:spacing w:line="480" w:lineRule="exact"/>
              <w:rPr>
                <w:rFonts w:ascii="宋体" w:hAnsi="宋体" w:cs="等线"/>
                <w:b/>
                <w:bCs/>
                <w:sz w:val="24"/>
                <w:szCs w:val="24"/>
              </w:rPr>
            </w:pPr>
            <w:r>
              <w:rPr>
                <w:rFonts w:hint="eastAsia" w:ascii="宋体" w:hAnsi="宋体"/>
                <w:sz w:val="24"/>
                <w:szCs w:val="24"/>
              </w:rPr>
              <w:t xml:space="preserve">方案包含上述全部内容，实施流程清晰，</w:t>
            </w:r>
            <w:r>
              <w:rPr>
                <w:rFonts w:hint="eastAsia" w:ascii="宋体" w:hAnsi="宋体" w:cs="等线"/>
                <w:sz w:val="24"/>
                <w:szCs w:val="24"/>
              </w:rPr>
              <w:t xml:space="preserve">组织方案内容全面详细，针对性、可操作性强，完全满足项目要求的</w:t>
            </w:r>
            <w:r>
              <w:rPr>
                <w:rFonts w:hint="eastAsia" w:ascii="宋体" w:hAnsi="宋体" w:cs="等线"/>
                <w:b/>
                <w:bCs/>
                <w:sz w:val="24"/>
                <w:szCs w:val="24"/>
              </w:rPr>
              <w:t xml:space="preserve">得</w:t>
            </w:r>
            <w:r>
              <w:rPr>
                <w:rFonts w:ascii="宋体" w:hAnsi="宋体" w:cs="等线"/>
                <w:b/>
                <w:bCs/>
                <w:sz w:val="24"/>
                <w:szCs w:val="24"/>
              </w:rPr>
              <w:t xml:space="preserve">5</w:t>
            </w:r>
            <w:r>
              <w:rPr>
                <w:rFonts w:hint="eastAsia" w:ascii="宋体" w:hAnsi="宋体" w:cs="等线"/>
                <w:b/>
                <w:bCs/>
                <w:sz w:val="24"/>
                <w:szCs w:val="24"/>
              </w:rPr>
              <w:t xml:space="preserve">分；</w:t>
            </w:r>
            <w:r/>
          </w:p>
          <w:p>
            <w:pPr>
              <w:jc w:val="left"/>
              <w:spacing w:line="480" w:lineRule="exact"/>
              <w:rPr>
                <w:rFonts w:ascii="宋体" w:hAnsi="宋体" w:cs="等线"/>
                <w:b/>
                <w:bCs/>
                <w:sz w:val="24"/>
                <w:szCs w:val="24"/>
              </w:rPr>
            </w:pPr>
            <w:r>
              <w:rPr>
                <w:rFonts w:hint="eastAsia" w:ascii="宋体" w:hAnsi="宋体"/>
                <w:sz w:val="24"/>
                <w:szCs w:val="24"/>
              </w:rPr>
              <w:t xml:space="preserve">方案基本包含上述全部内容，流程较清晰，</w:t>
            </w:r>
            <w:r>
              <w:rPr>
                <w:rFonts w:hint="eastAsia" w:ascii="宋体" w:hAnsi="宋体" w:cs="等线"/>
                <w:sz w:val="24"/>
                <w:szCs w:val="24"/>
              </w:rPr>
              <w:t xml:space="preserve">组织方案内容较为详细，针对性、可操作性较强，较满足项目要求的</w:t>
            </w:r>
            <w:r>
              <w:rPr>
                <w:rFonts w:hint="eastAsia" w:ascii="宋体" w:hAnsi="宋体" w:cs="等线"/>
                <w:b/>
                <w:bCs/>
                <w:sz w:val="24"/>
                <w:szCs w:val="24"/>
              </w:rPr>
              <w:t xml:space="preserve">得</w:t>
            </w:r>
            <w:r>
              <w:rPr>
                <w:rFonts w:hint="eastAsia" w:ascii="宋体" w:hAnsi="宋体" w:cs="等线"/>
                <w:b/>
                <w:bCs/>
                <w:sz w:val="24"/>
                <w:szCs w:val="24"/>
                <w:lang w:val="en-US" w:eastAsia="zh-CN"/>
              </w:rPr>
              <w:t xml:space="preserve">4</w:t>
            </w:r>
            <w:r>
              <w:rPr>
                <w:rFonts w:hint="eastAsia" w:ascii="宋体" w:hAnsi="宋体" w:cs="等线"/>
                <w:b/>
                <w:bCs/>
                <w:sz w:val="24"/>
                <w:szCs w:val="24"/>
              </w:rPr>
              <w:t xml:space="preserve">分；</w:t>
            </w:r>
            <w:r/>
          </w:p>
          <w:p>
            <w:pPr>
              <w:spacing w:line="440" w:lineRule="exact"/>
              <w:rPr>
                <w:rFonts w:ascii="宋体" w:hAnsi="宋体" w:cs="等线"/>
                <w:sz w:val="24"/>
                <w:szCs w:val="24"/>
              </w:rPr>
            </w:pPr>
            <w:r>
              <w:rPr>
                <w:rFonts w:hint="eastAsia" w:ascii="宋体" w:hAnsi="宋体"/>
                <w:sz w:val="24"/>
                <w:szCs w:val="24"/>
              </w:rPr>
              <w:t xml:space="preserve">上述内容有缺项，内容合理性一般，措施简单粗糙，可操作性不强，基本能够满足本项目需求的</w:t>
            </w:r>
            <w:r>
              <w:rPr>
                <w:rFonts w:hint="eastAsia" w:ascii="宋体" w:hAnsi="宋体"/>
                <w:b/>
                <w:sz w:val="24"/>
                <w:szCs w:val="24"/>
              </w:rPr>
              <w:t xml:space="preserve">得</w:t>
            </w:r>
            <w:r>
              <w:rPr>
                <w:rFonts w:hint="eastAsia" w:ascii="宋体" w:hAnsi="宋体"/>
                <w:b/>
                <w:sz w:val="24"/>
                <w:szCs w:val="24"/>
                <w:lang w:val="en-US" w:eastAsia="zh-CN"/>
              </w:rPr>
              <w:t xml:space="preserve">2</w:t>
            </w:r>
            <w:r>
              <w:rPr>
                <w:rFonts w:hint="eastAsia" w:ascii="宋体" w:hAnsi="宋体"/>
                <w:b/>
                <w:sz w:val="24"/>
                <w:szCs w:val="24"/>
              </w:rPr>
              <w:t xml:space="preserve">分；</w:t>
            </w:r>
            <w:r/>
          </w:p>
          <w:p>
            <w:pPr>
              <w:jc w:val="left"/>
              <w:spacing w:line="480" w:lineRule="exact"/>
              <w:rPr>
                <w:rFonts w:ascii="宋体" w:hAnsi="宋体" w:cs="等线"/>
                <w:sz w:val="24"/>
                <w:szCs w:val="24"/>
              </w:rPr>
            </w:pPr>
            <w:r>
              <w:rPr>
                <w:rFonts w:hint="eastAsia" w:ascii="宋体" w:hAnsi="宋体"/>
                <w:b/>
                <w:sz w:val="24"/>
                <w:szCs w:val="24"/>
              </w:rPr>
              <w:t xml:space="preserve">该项未见阐述不得分。</w:t>
            </w:r>
            <w:r/>
          </w:p>
        </w:tc>
      </w:tr>
      <w:tr>
        <w:trPr>
          <w:jc w:val="center"/>
          <w:trHeight w:val="621"/>
        </w:trPr>
        <w:tc>
          <w:tcPr>
            <w:shd w:val="clear" w:color="auto" w:fill="auto"/>
            <w:tcW w:w="1754" w:type="dxa"/>
            <w:vAlign w:val="center"/>
            <w:textDirection w:val="lrTb"/>
            <w:noWrap w:val="false"/>
          </w:tcPr>
          <w:p>
            <w:pPr>
              <w:jc w:val="center"/>
              <w:spacing w:line="480" w:lineRule="exact"/>
              <w:rPr>
                <w:rFonts w:ascii="宋体" w:hAnsi="宋体" w:cs="等线"/>
                <w:sz w:val="24"/>
                <w:szCs w:val="24"/>
              </w:rPr>
            </w:pPr>
            <w:r>
              <w:rPr>
                <w:rFonts w:hint="eastAsia" w:ascii="宋体" w:hAnsi="宋体" w:cs="等线"/>
                <w:sz w:val="24"/>
                <w:szCs w:val="24"/>
              </w:rPr>
              <w:t xml:space="preserve">售后服务方案</w:t>
            </w:r>
            <w:r/>
          </w:p>
          <w:p>
            <w:pPr>
              <w:jc w:val="center"/>
              <w:spacing w:line="480" w:lineRule="exact"/>
              <w:rPr>
                <w:rFonts w:ascii="宋体" w:hAnsi="宋体" w:cs="等线"/>
                <w:sz w:val="24"/>
                <w:szCs w:val="24"/>
              </w:rPr>
            </w:pPr>
            <w:r>
              <w:rPr>
                <w:rFonts w:hint="eastAsia" w:ascii="宋体" w:hAnsi="宋体" w:cs="等线"/>
                <w:sz w:val="24"/>
                <w:szCs w:val="24"/>
              </w:rPr>
              <w:t xml:space="preserve">（</w:t>
            </w:r>
            <w:r>
              <w:rPr>
                <w:rFonts w:ascii="宋体" w:hAnsi="宋体" w:cs="等线"/>
                <w:sz w:val="24"/>
                <w:szCs w:val="24"/>
              </w:rPr>
              <w:t xml:space="preserve">5</w:t>
            </w:r>
            <w:r>
              <w:rPr>
                <w:rFonts w:hint="eastAsia" w:ascii="宋体" w:hAnsi="宋体" w:cs="等线"/>
                <w:sz w:val="24"/>
                <w:szCs w:val="24"/>
              </w:rPr>
              <w:t xml:space="preserve">分）</w:t>
            </w:r>
            <w:r/>
          </w:p>
        </w:tc>
        <w:tc>
          <w:tcPr>
            <w:shd w:val="clear" w:color="auto" w:fill="auto"/>
            <w:tcW w:w="6576" w:type="dxa"/>
            <w:vAlign w:val="center"/>
            <w:textDirection w:val="lrTb"/>
            <w:noWrap w:val="false"/>
          </w:tcPr>
          <w:p>
            <w:pPr>
              <w:jc w:val="left"/>
              <w:spacing w:line="480" w:lineRule="exact"/>
              <w:rPr>
                <w:rFonts w:ascii="宋体" w:hAnsi="宋体" w:cs="等线"/>
                <w:sz w:val="24"/>
                <w:szCs w:val="24"/>
              </w:rPr>
            </w:pPr>
            <w:r>
              <w:rPr>
                <w:rFonts w:hint="eastAsia" w:ascii="宋体" w:hAnsi="宋体"/>
                <w:sz w:val="24"/>
                <w:szCs w:val="24"/>
              </w:rPr>
              <w:t xml:space="preserve">投标人结合项目需求提供项目售后服务方案，</w:t>
            </w:r>
            <w:r>
              <w:rPr>
                <w:rFonts w:hint="eastAsia" w:ascii="宋体" w:hAnsi="宋体" w:cs="等线"/>
                <w:sz w:val="24"/>
                <w:szCs w:val="24"/>
              </w:rPr>
              <w:t xml:space="preserve">包括但不限于详细的售后服务内容、维护故障处理措施、响应机制及时间、售后服务机构及人员配备等。</w:t>
            </w:r>
            <w:r/>
          </w:p>
          <w:p>
            <w:pPr>
              <w:jc w:val="left"/>
              <w:spacing w:line="480" w:lineRule="exact"/>
              <w:rPr>
                <w:rFonts w:ascii="宋体" w:hAnsi="宋体" w:cs="等线"/>
                <w:b/>
                <w:bCs/>
                <w:sz w:val="24"/>
                <w:szCs w:val="24"/>
              </w:rPr>
            </w:pPr>
            <w:r>
              <w:rPr>
                <w:rFonts w:hint="eastAsia" w:ascii="宋体" w:hAnsi="宋体" w:cs="等线"/>
                <w:sz w:val="24"/>
                <w:szCs w:val="24"/>
              </w:rPr>
              <w:t xml:space="preserve">售后服务方案内容全面详细，响应机制及时间迅速，可操作性强，完全满足项目要求的</w:t>
            </w:r>
            <w:r>
              <w:rPr>
                <w:rFonts w:hint="eastAsia" w:ascii="宋体" w:hAnsi="宋体" w:cs="等线"/>
                <w:b/>
                <w:bCs/>
                <w:sz w:val="24"/>
                <w:szCs w:val="24"/>
              </w:rPr>
              <w:t xml:space="preserve">得</w:t>
            </w:r>
            <w:r>
              <w:rPr>
                <w:rFonts w:ascii="宋体" w:hAnsi="宋体" w:cs="等线"/>
                <w:b/>
                <w:bCs/>
                <w:sz w:val="24"/>
                <w:szCs w:val="24"/>
              </w:rPr>
              <w:t xml:space="preserve">5</w:t>
            </w:r>
            <w:r>
              <w:rPr>
                <w:rFonts w:hint="eastAsia" w:ascii="宋体" w:hAnsi="宋体" w:cs="等线"/>
                <w:b/>
                <w:bCs/>
                <w:sz w:val="24"/>
                <w:szCs w:val="24"/>
              </w:rPr>
              <w:t xml:space="preserve">分；</w:t>
            </w:r>
            <w:r/>
          </w:p>
          <w:p>
            <w:pPr>
              <w:jc w:val="left"/>
              <w:spacing w:line="480" w:lineRule="exact"/>
              <w:rPr>
                <w:rFonts w:ascii="宋体" w:hAnsi="宋体" w:cs="等线"/>
                <w:b/>
                <w:bCs/>
                <w:sz w:val="24"/>
                <w:szCs w:val="24"/>
              </w:rPr>
            </w:pPr>
            <w:r>
              <w:rPr>
                <w:rFonts w:hint="eastAsia" w:ascii="宋体" w:hAnsi="宋体" w:cs="等线"/>
                <w:sz w:val="24"/>
                <w:szCs w:val="24"/>
              </w:rPr>
              <w:t xml:space="preserve">售后服务方案内容较为详细响应机制及时间符合项目要求，可操作性较强，满足项目要求的</w:t>
            </w:r>
            <w:r>
              <w:rPr>
                <w:rFonts w:hint="eastAsia" w:ascii="宋体" w:hAnsi="宋体" w:cs="等线"/>
                <w:b/>
                <w:bCs/>
                <w:sz w:val="24"/>
                <w:szCs w:val="24"/>
              </w:rPr>
              <w:t xml:space="preserve">得</w:t>
            </w:r>
            <w:r>
              <w:rPr>
                <w:rFonts w:hint="eastAsia" w:ascii="宋体" w:hAnsi="宋体" w:cs="等线"/>
                <w:b/>
                <w:bCs/>
                <w:sz w:val="24"/>
                <w:szCs w:val="24"/>
                <w:lang w:val="en-US" w:eastAsia="zh-CN"/>
              </w:rPr>
              <w:t xml:space="preserve">4</w:t>
            </w:r>
            <w:r>
              <w:rPr>
                <w:rFonts w:hint="eastAsia" w:ascii="宋体" w:hAnsi="宋体" w:cs="等线"/>
                <w:b/>
                <w:bCs/>
                <w:sz w:val="24"/>
                <w:szCs w:val="24"/>
              </w:rPr>
              <w:t xml:space="preserve">分；</w:t>
            </w:r>
            <w:r/>
          </w:p>
          <w:p>
            <w:pPr>
              <w:jc w:val="left"/>
              <w:spacing w:line="480" w:lineRule="exact"/>
              <w:rPr>
                <w:rFonts w:ascii="宋体" w:hAnsi="宋体" w:cs="等线"/>
                <w:sz w:val="24"/>
                <w:szCs w:val="24"/>
              </w:rPr>
            </w:pPr>
            <w:r>
              <w:rPr>
                <w:rFonts w:hint="eastAsia" w:ascii="宋体" w:hAnsi="宋体" w:cs="等线"/>
                <w:sz w:val="24"/>
                <w:szCs w:val="24"/>
              </w:rPr>
              <w:t xml:space="preserve">售后服务方案内容与采购需求存在偏差，内容简单，可操作性不强的</w:t>
            </w:r>
            <w:r>
              <w:rPr>
                <w:rFonts w:hint="eastAsia" w:ascii="宋体" w:hAnsi="宋体" w:cs="等线"/>
                <w:b/>
                <w:bCs/>
                <w:sz w:val="24"/>
                <w:szCs w:val="24"/>
              </w:rPr>
              <w:t xml:space="preserve">得</w:t>
            </w:r>
            <w:r>
              <w:rPr>
                <w:rFonts w:hint="eastAsia" w:ascii="宋体" w:hAnsi="宋体" w:cs="等线"/>
                <w:b/>
                <w:bCs/>
                <w:sz w:val="24"/>
                <w:szCs w:val="24"/>
                <w:lang w:val="en-US" w:eastAsia="zh-CN"/>
              </w:rPr>
              <w:t xml:space="preserve">2</w:t>
            </w:r>
            <w:r>
              <w:rPr>
                <w:rFonts w:hint="eastAsia" w:ascii="宋体" w:hAnsi="宋体" w:cs="等线"/>
                <w:b/>
                <w:bCs/>
                <w:sz w:val="24"/>
                <w:szCs w:val="24"/>
              </w:rPr>
              <w:t xml:space="preserve">分；</w:t>
            </w:r>
            <w:r/>
          </w:p>
          <w:p>
            <w:pPr>
              <w:jc w:val="left"/>
              <w:spacing w:line="480" w:lineRule="exact"/>
              <w:rPr>
                <w:rFonts w:ascii="宋体" w:hAnsi="宋体"/>
                <w:b/>
                <w:sz w:val="24"/>
                <w:szCs w:val="24"/>
              </w:rPr>
            </w:pPr>
            <w:r>
              <w:rPr>
                <w:rFonts w:hint="eastAsia" w:ascii="宋体" w:hAnsi="宋体"/>
                <w:b/>
                <w:sz w:val="24"/>
                <w:szCs w:val="24"/>
              </w:rPr>
              <w:t xml:space="preserve">该项未见阐述不得分。</w:t>
            </w:r>
            <w:r/>
          </w:p>
        </w:tc>
      </w:tr>
      <w:tr>
        <w:trPr>
          <w:jc w:val="center"/>
          <w:trHeight w:val="621"/>
        </w:trPr>
        <w:tc>
          <w:tcPr>
            <w:shd w:val="clear" w:color="auto" w:fill="auto"/>
            <w:tcW w:w="1754" w:type="dxa"/>
            <w:vAlign w:val="center"/>
            <w:textDirection w:val="lrTb"/>
            <w:noWrap w:val="false"/>
          </w:tcPr>
          <w:p>
            <w:pPr>
              <w:jc w:val="center"/>
              <w:spacing w:line="480" w:lineRule="exact"/>
              <w:rPr>
                <w:rFonts w:ascii="宋体" w:hAnsi="宋体" w:cs="等线"/>
                <w:sz w:val="24"/>
                <w:szCs w:val="24"/>
              </w:rPr>
            </w:pPr>
            <w:r>
              <w:rPr>
                <w:rFonts w:hint="eastAsia" w:ascii="宋体" w:hAnsi="宋体" w:cs="等线"/>
                <w:sz w:val="24"/>
                <w:szCs w:val="24"/>
              </w:rPr>
              <w:t xml:space="preserve">项目培训方案</w:t>
            </w:r>
            <w:r/>
          </w:p>
          <w:p>
            <w:pPr>
              <w:jc w:val="center"/>
              <w:spacing w:line="480" w:lineRule="exact"/>
              <w:rPr>
                <w:rFonts w:ascii="宋体" w:hAnsi="宋体" w:cs="等线"/>
                <w:sz w:val="24"/>
                <w:szCs w:val="24"/>
              </w:rPr>
            </w:pPr>
            <w:r>
              <w:rPr>
                <w:rFonts w:hint="eastAsia" w:ascii="宋体" w:hAnsi="宋体" w:cs="等线"/>
                <w:sz w:val="24"/>
                <w:szCs w:val="24"/>
              </w:rPr>
              <w:t xml:space="preserve">（</w:t>
            </w:r>
            <w:r>
              <w:rPr>
                <w:rFonts w:ascii="宋体" w:hAnsi="宋体" w:cs="等线"/>
                <w:sz w:val="24"/>
                <w:szCs w:val="24"/>
              </w:rPr>
              <w:t xml:space="preserve">5</w:t>
            </w:r>
            <w:r>
              <w:rPr>
                <w:rFonts w:hint="eastAsia" w:ascii="宋体" w:hAnsi="宋体" w:cs="等线"/>
                <w:sz w:val="24"/>
                <w:szCs w:val="24"/>
              </w:rPr>
              <w:t xml:space="preserve">分）</w:t>
            </w:r>
            <w:r/>
          </w:p>
        </w:tc>
        <w:tc>
          <w:tcPr>
            <w:shd w:val="clear" w:color="auto" w:fill="auto"/>
            <w:tcW w:w="6576" w:type="dxa"/>
            <w:vAlign w:val="center"/>
            <w:textDirection w:val="lrTb"/>
            <w:noWrap w:val="false"/>
          </w:tcPr>
          <w:p>
            <w:pPr>
              <w:spacing w:line="440" w:lineRule="exact"/>
              <w:rPr>
                <w:rFonts w:ascii="宋体" w:hAnsi="宋体" w:cs="等线"/>
                <w:sz w:val="24"/>
                <w:szCs w:val="24"/>
              </w:rPr>
            </w:pPr>
            <w:r>
              <w:rPr>
                <w:rFonts w:hint="eastAsia" w:ascii="宋体" w:hAnsi="宋体" w:cs="宋体"/>
                <w:sz w:val="24"/>
                <w:szCs w:val="21"/>
              </w:rPr>
              <w:t xml:space="preserve">投标人结合项目需求提供培训方案，内容包括但不限于培训计划、培训内容、培训对象等，以及</w:t>
            </w:r>
            <w:r>
              <w:rPr>
                <w:rFonts w:hint="eastAsia" w:ascii="宋体" w:hAnsi="宋体" w:cs="等线"/>
                <w:sz w:val="24"/>
                <w:szCs w:val="24"/>
              </w:rPr>
              <w:t xml:space="preserve">满足系统建设、管理、维护等要求的培训方案，对技术管理人员和业务操作人员的培训方案等。</w:t>
            </w:r>
            <w:r/>
          </w:p>
          <w:p>
            <w:pPr>
              <w:spacing w:line="440" w:lineRule="exact"/>
              <w:rPr>
                <w:rFonts w:ascii="宋体" w:hAnsi="宋体" w:cs="宋体"/>
                <w:sz w:val="24"/>
                <w:szCs w:val="21"/>
              </w:rPr>
            </w:pPr>
            <w:r>
              <w:rPr>
                <w:rFonts w:hint="eastAsia" w:ascii="宋体" w:hAnsi="宋体" w:cs="宋体"/>
                <w:sz w:val="24"/>
                <w:szCs w:val="21"/>
              </w:rPr>
              <w:t xml:space="preserve">内容丰富，科学合理，培训形式多样，具有可操作性的</w:t>
            </w:r>
            <w:r>
              <w:rPr>
                <w:rFonts w:hint="eastAsia" w:ascii="宋体" w:hAnsi="宋体" w:cs="宋体"/>
                <w:b/>
                <w:sz w:val="24"/>
                <w:szCs w:val="21"/>
              </w:rPr>
              <w:t xml:space="preserve">得</w:t>
            </w:r>
            <w:r>
              <w:rPr>
                <w:rFonts w:ascii="宋体" w:hAnsi="宋体" w:cs="宋体"/>
                <w:b/>
                <w:sz w:val="24"/>
                <w:szCs w:val="21"/>
              </w:rPr>
              <w:t xml:space="preserve">5</w:t>
            </w:r>
            <w:r>
              <w:rPr>
                <w:rFonts w:hint="eastAsia" w:ascii="宋体" w:hAnsi="宋体" w:cs="宋体"/>
                <w:b/>
                <w:sz w:val="24"/>
                <w:szCs w:val="21"/>
              </w:rPr>
              <w:t xml:space="preserve">分；</w:t>
            </w:r>
            <w:r/>
          </w:p>
          <w:p>
            <w:pPr>
              <w:spacing w:line="440" w:lineRule="exact"/>
              <w:rPr>
                <w:rFonts w:ascii="宋体" w:hAnsi="宋体" w:cs="宋体"/>
                <w:sz w:val="24"/>
                <w:szCs w:val="21"/>
              </w:rPr>
            </w:pPr>
            <w:r>
              <w:rPr>
                <w:rFonts w:hint="eastAsia" w:ascii="宋体" w:hAnsi="宋体" w:cs="宋体"/>
                <w:sz w:val="24"/>
                <w:szCs w:val="21"/>
              </w:rPr>
              <w:t xml:space="preserve">内容较丰富，较合理，培训形式较多样，可操作性较强的</w:t>
            </w:r>
            <w:r>
              <w:rPr>
                <w:rFonts w:hint="eastAsia" w:ascii="宋体" w:hAnsi="宋体" w:cs="宋体"/>
                <w:b/>
                <w:sz w:val="24"/>
                <w:szCs w:val="21"/>
              </w:rPr>
              <w:t xml:space="preserve">得</w:t>
            </w:r>
            <w:r>
              <w:rPr>
                <w:rFonts w:hint="eastAsia" w:ascii="宋体" w:hAnsi="宋体" w:cs="宋体"/>
                <w:b/>
                <w:sz w:val="24"/>
                <w:szCs w:val="21"/>
                <w:lang w:val="en-US" w:eastAsia="zh-CN"/>
              </w:rPr>
              <w:t xml:space="preserve">4</w:t>
            </w:r>
            <w:r>
              <w:rPr>
                <w:rFonts w:hint="eastAsia" w:ascii="宋体" w:hAnsi="宋体" w:cs="宋体"/>
                <w:b/>
                <w:sz w:val="24"/>
                <w:szCs w:val="21"/>
              </w:rPr>
              <w:t xml:space="preserve">分；</w:t>
            </w:r>
            <w:r/>
          </w:p>
          <w:p>
            <w:pPr>
              <w:spacing w:line="440" w:lineRule="exact"/>
              <w:rPr>
                <w:rFonts w:ascii="宋体" w:hAnsi="宋体" w:cs="宋体"/>
                <w:sz w:val="24"/>
                <w:szCs w:val="21"/>
              </w:rPr>
            </w:pPr>
            <w:r>
              <w:rPr>
                <w:rFonts w:hint="eastAsia" w:ascii="宋体" w:hAnsi="宋体" w:cs="宋体"/>
                <w:sz w:val="24"/>
                <w:szCs w:val="21"/>
              </w:rPr>
              <w:t xml:space="preserve">内容简单，合理性一般，形式单一，可操作性一般的</w:t>
            </w:r>
            <w:r>
              <w:rPr>
                <w:rFonts w:hint="eastAsia" w:ascii="宋体" w:hAnsi="宋体" w:cs="宋体"/>
                <w:b/>
                <w:sz w:val="24"/>
                <w:szCs w:val="21"/>
              </w:rPr>
              <w:t xml:space="preserve">得</w:t>
            </w:r>
            <w:r>
              <w:rPr>
                <w:rFonts w:hint="eastAsia" w:ascii="宋体" w:hAnsi="宋体" w:cs="宋体"/>
                <w:b/>
                <w:sz w:val="24"/>
                <w:szCs w:val="21"/>
                <w:lang w:val="en-US" w:eastAsia="zh-CN"/>
              </w:rPr>
              <w:t xml:space="preserve">2</w:t>
            </w:r>
            <w:r>
              <w:rPr>
                <w:rFonts w:hint="eastAsia" w:ascii="宋体" w:hAnsi="宋体" w:cs="宋体"/>
                <w:b/>
                <w:sz w:val="24"/>
                <w:szCs w:val="21"/>
              </w:rPr>
              <w:t xml:space="preserve">分；</w:t>
            </w:r>
            <w:r/>
          </w:p>
          <w:p>
            <w:pPr>
              <w:jc w:val="left"/>
              <w:spacing w:line="480" w:lineRule="exact"/>
              <w:rPr>
                <w:rFonts w:ascii="宋体" w:hAnsi="宋体" w:cs="等线"/>
                <w:sz w:val="24"/>
                <w:szCs w:val="24"/>
              </w:rPr>
            </w:pPr>
            <w:r>
              <w:rPr>
                <w:rFonts w:hint="eastAsia" w:ascii="宋体" w:hAnsi="宋体" w:cs="宋体"/>
                <w:b/>
                <w:sz w:val="24"/>
                <w:szCs w:val="21"/>
              </w:rPr>
              <w:t xml:space="preserve">该项未见阐述不得分。</w:t>
            </w:r>
            <w:r/>
          </w:p>
        </w:tc>
      </w:tr>
    </w:tbl>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3.商务分（65分）</w:t>
      </w:r>
      <w:r/>
    </w:p>
    <w:tbl>
      <w:tblPr>
        <w:tblStyle w:val="847"/>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4"/>
        <w:gridCol w:w="6493"/>
      </w:tblGrid>
      <w:tr>
        <w:trPr>
          <w:jc w:val="center"/>
          <w:trHeight w:val="621"/>
        </w:trPr>
        <w:tc>
          <w:tcPr>
            <w:tcW w:w="180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49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shd w:val="clear" w:color="auto" w:fill="auto"/>
            <w:tcW w:w="1804" w:type="dxa"/>
            <w:vAlign w:val="center"/>
            <w:textDirection w:val="lrTb"/>
            <w:noWrap w:val="false"/>
          </w:tcPr>
          <w:p>
            <w:pPr>
              <w:jc w:val="center"/>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技术参数响应</w:t>
            </w:r>
            <w:r/>
          </w:p>
          <w:p>
            <w:pPr>
              <w:jc w:val="center"/>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（40分）</w:t>
            </w:r>
            <w:r/>
          </w:p>
        </w:tc>
        <w:tc>
          <w:tcPr>
            <w:shd w:val="clear" w:color="auto" w:fill="auto"/>
            <w:tcW w:w="6493" w:type="dxa"/>
            <w:vAlign w:val="center"/>
            <w:textDirection w:val="lrTb"/>
            <w:noWrap w:val="false"/>
          </w:tcPr>
          <w:p>
            <w:pPr>
              <w:jc w:val="left"/>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技术参数响应评审基准分40分，采购需求部分技术参数及功能指标，标注“▲”项的参数每有一项负偏离扣2分，扣完为止。</w:t>
            </w:r>
            <w:r/>
          </w:p>
          <w:p>
            <w:pPr>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文件中详细填写技术要求响应及偏离表，须逐条响应。标注“▲”项要求提供证明材料的未提供证明材料或所提供材料与招标文件要求不符的视为负偏离。如内容表述不完全一致但功能一样由评标委员会现场认定。投标人可在证明材料中做明显标识及说明，便于评审</w:t>
            </w:r>
            <w:r>
              <w:rPr>
                <w:rFonts w:hint="eastAsia" w:ascii="宋体" w:hAnsi="宋体" w:eastAsia="宋体" w:cs="宋体"/>
                <w:b/>
                <w:bCs/>
                <w:sz w:val="24"/>
                <w:szCs w:val="24"/>
                <w:lang w:eastAsia="zh-CN"/>
              </w:rPr>
              <w:t xml:space="preserve">）</w:t>
            </w:r>
            <w:r/>
          </w:p>
        </w:tc>
      </w:tr>
      <w:tr>
        <w:trPr>
          <w:jc w:val="center"/>
          <w:trHeight w:val="621"/>
        </w:trPr>
        <w:tc>
          <w:tcPr>
            <w:shd w:val="clear" w:color="auto" w:fill="auto"/>
            <w:tcW w:w="180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服务能力</w:t>
            </w:r>
            <w:r/>
          </w:p>
          <w:p>
            <w:pPr>
              <w:jc w:val="center"/>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（10分）</w:t>
            </w:r>
            <w:r/>
          </w:p>
        </w:tc>
        <w:tc>
          <w:tcPr>
            <w:shd w:val="clear" w:color="auto" w:fill="auto"/>
            <w:tcW w:w="6493" w:type="dxa"/>
            <w:vAlign w:val="center"/>
            <w:textDirection w:val="lrTb"/>
            <w:noWrap w:val="false"/>
          </w:tcPr>
          <w:p>
            <w:pPr>
              <w:keepLines w:val="0"/>
              <w:keepNext w:val="0"/>
              <w:pageBreakBefore w:val="0"/>
              <w:spacing w:line="360" w:lineRule="auto"/>
              <w:widowControl w:val="off"/>
              <w:rPr>
                <w:rFonts w:hint="eastAsia" w:ascii="宋体" w:hAnsi="宋体" w:eastAsia="宋体" w:cs="宋体"/>
                <w:b/>
                <w:bCs/>
                <w:color w:val="000000"/>
                <w:sz w:val="24"/>
                <w:szCs w:val="24"/>
                <w:lang w:eastAsia="zh-CN"/>
              </w:rPr>
            </w:pPr>
            <w:r>
              <w:rPr>
                <w:rFonts w:hint="eastAsia" w:ascii="宋体" w:hAnsi="宋体" w:eastAsia="宋体" w:cs="宋体"/>
                <w:color w:val="000000"/>
                <w:sz w:val="24"/>
                <w:szCs w:val="24"/>
              </w:rPr>
              <w:t xml:space="preserve">1.投标人具有</w:t>
            </w:r>
            <w:r>
              <w:rPr>
                <w:rFonts w:hint="eastAsia" w:ascii="宋体" w:hAnsi="宋体" w:eastAsia="宋体" w:cs="宋体"/>
                <w:color w:val="000000"/>
                <w:sz w:val="24"/>
                <w:szCs w:val="24"/>
                <w:lang w:val="en-US" w:eastAsia="zh-CN"/>
              </w:rPr>
              <w:t xml:space="preserve">质量管理体系认证证书、环境管理体系认证证书、职业健康安全</w:t>
            </w:r>
            <w:r>
              <w:rPr>
                <w:rFonts w:hint="eastAsia" w:ascii="宋体" w:hAnsi="宋体" w:eastAsia="宋体" w:cs="宋体"/>
                <w:color w:val="000000"/>
                <w:sz w:val="24"/>
                <w:szCs w:val="24"/>
              </w:rPr>
              <w:t xml:space="preserve">管理体系认证</w:t>
            </w:r>
            <w:r>
              <w:rPr>
                <w:rFonts w:hint="eastAsia" w:ascii="宋体" w:hAnsi="宋体" w:eastAsia="宋体" w:cs="宋体"/>
                <w:color w:val="000000"/>
                <w:sz w:val="24"/>
                <w:szCs w:val="24"/>
                <w:lang w:val="en-US" w:eastAsia="zh-CN"/>
              </w:rPr>
              <w:t xml:space="preserve">证书</w:t>
            </w:r>
            <w:r>
              <w:rPr>
                <w:rFonts w:hint="eastAsia" w:ascii="宋体" w:hAnsi="宋体" w:eastAsia="宋体" w:cs="宋体"/>
                <w:color w:val="000000"/>
                <w:sz w:val="24"/>
                <w:szCs w:val="24"/>
              </w:rPr>
              <w:t xml:space="preserve">的，每提供一个证书得2分，</w:t>
            </w:r>
            <w:r>
              <w:rPr>
                <w:rFonts w:hint="eastAsia" w:ascii="宋体" w:hAnsi="宋体" w:eastAsia="宋体" w:cs="宋体"/>
                <w:b/>
                <w:bCs/>
                <w:color w:val="000000"/>
                <w:sz w:val="24"/>
                <w:szCs w:val="24"/>
              </w:rPr>
              <w:t xml:space="preserve">最高得6分</w:t>
            </w:r>
            <w:r>
              <w:rPr>
                <w:rFonts w:hint="eastAsia" w:ascii="宋体" w:hAnsi="宋体" w:eastAsia="宋体" w:cs="宋体"/>
                <w:b/>
                <w:bCs/>
                <w:color w:val="000000"/>
                <w:sz w:val="24"/>
                <w:szCs w:val="24"/>
                <w:lang w:eastAsia="zh-CN"/>
              </w:rPr>
              <w:t xml:space="preserve">。</w:t>
            </w:r>
            <w:r/>
          </w:p>
          <w:p>
            <w:pPr>
              <w:keepLines w:val="0"/>
              <w:keepNext w:val="0"/>
              <w:pageBreakBefore w:val="0"/>
              <w:spacing w:line="360" w:lineRule="auto"/>
              <w:widowControl w:val="off"/>
              <w:rPr>
                <w:rFonts w:hint="eastAsia" w:ascii="宋体" w:hAnsi="宋体" w:eastAsia="宋体" w:cs="宋体"/>
                <w:b/>
                <w:bCs/>
                <w:color w:val="000000"/>
                <w:sz w:val="24"/>
                <w:szCs w:val="24"/>
                <w:lang w:eastAsia="zh-CN"/>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投标人具有信息安全管理</w:t>
            </w:r>
            <w:r>
              <w:rPr>
                <w:rFonts w:hint="eastAsia" w:ascii="宋体" w:hAnsi="宋体" w:eastAsia="宋体" w:cs="宋体"/>
                <w:color w:val="000000"/>
                <w:sz w:val="24"/>
                <w:szCs w:val="24"/>
                <w:lang w:val="en-US" w:eastAsia="zh-CN"/>
              </w:rPr>
              <w:t xml:space="preserve">体系</w:t>
            </w:r>
            <w:r>
              <w:rPr>
                <w:rFonts w:hint="eastAsia" w:ascii="宋体" w:hAnsi="宋体" w:eastAsia="宋体" w:cs="宋体"/>
                <w:color w:val="000000"/>
                <w:sz w:val="24"/>
                <w:szCs w:val="24"/>
              </w:rPr>
              <w:t xml:space="preserve">认证</w:t>
            </w:r>
            <w:r>
              <w:rPr>
                <w:rFonts w:hint="eastAsia" w:ascii="宋体" w:hAnsi="宋体" w:eastAsia="宋体" w:cs="宋体"/>
                <w:color w:val="000000"/>
                <w:sz w:val="24"/>
                <w:szCs w:val="24"/>
                <w:lang w:val="en-US" w:eastAsia="zh-CN"/>
              </w:rPr>
              <w:t xml:space="preserve">证书</w:t>
            </w:r>
            <w:r>
              <w:rPr>
                <w:rFonts w:hint="eastAsia" w:ascii="宋体" w:hAnsi="宋体" w:eastAsia="宋体" w:cs="宋体"/>
                <w:color w:val="000000"/>
                <w:sz w:val="24"/>
                <w:szCs w:val="24"/>
              </w:rPr>
              <w:t xml:space="preserve">的</w:t>
            </w:r>
            <w:r>
              <w:rPr>
                <w:rFonts w:hint="eastAsia" w:ascii="宋体" w:hAnsi="宋体" w:eastAsia="宋体" w:cs="宋体"/>
                <w:b/>
                <w:bCs/>
                <w:color w:val="000000"/>
                <w:sz w:val="24"/>
                <w:szCs w:val="24"/>
              </w:rPr>
              <w:t xml:space="preserve">得2分</w:t>
            </w:r>
            <w:r>
              <w:rPr>
                <w:rFonts w:hint="eastAsia" w:ascii="宋体" w:hAnsi="宋体" w:eastAsia="宋体" w:cs="宋体"/>
                <w:b/>
                <w:bCs/>
                <w:color w:val="000000"/>
                <w:sz w:val="24"/>
                <w:szCs w:val="24"/>
                <w:lang w:eastAsia="zh-CN"/>
              </w:rPr>
              <w:t xml:space="preserve">。</w:t>
            </w:r>
            <w:r/>
          </w:p>
          <w:p>
            <w:pPr>
              <w:keepLines w:val="0"/>
              <w:keepNext w:val="0"/>
              <w:pageBreakBefore w:val="0"/>
              <w:spacing w:line="360" w:lineRule="auto"/>
              <w:widowControl w:val="off"/>
              <w:rPr>
                <w:rFonts w:ascii="宋体" w:hAnsi="宋体" w:eastAsia="宋体" w:cs="宋体"/>
                <w:b/>
                <w:bCs/>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投标人具有信息技术服务</w:t>
            </w:r>
            <w:r>
              <w:rPr>
                <w:rFonts w:hint="eastAsia" w:ascii="宋体" w:hAnsi="宋体" w:eastAsia="宋体" w:cs="宋体"/>
                <w:color w:val="000000"/>
                <w:sz w:val="24"/>
                <w:szCs w:val="24"/>
                <w:lang w:val="en-US" w:eastAsia="zh-CN"/>
              </w:rPr>
              <w:t xml:space="preserve">体系</w:t>
            </w:r>
            <w:r>
              <w:rPr>
                <w:rFonts w:hint="eastAsia" w:ascii="宋体" w:hAnsi="宋体" w:eastAsia="宋体" w:cs="宋体"/>
                <w:color w:val="000000"/>
                <w:sz w:val="24"/>
                <w:szCs w:val="24"/>
              </w:rPr>
              <w:t xml:space="preserve">认证</w:t>
            </w:r>
            <w:r>
              <w:rPr>
                <w:rFonts w:hint="eastAsia" w:ascii="宋体" w:hAnsi="宋体" w:eastAsia="宋体" w:cs="宋体"/>
                <w:color w:val="000000"/>
                <w:sz w:val="24"/>
                <w:szCs w:val="24"/>
                <w:lang w:val="en-US" w:eastAsia="zh-CN"/>
              </w:rPr>
              <w:t xml:space="preserve">证书</w:t>
            </w:r>
            <w:r>
              <w:rPr>
                <w:rFonts w:hint="eastAsia" w:ascii="宋体" w:hAnsi="宋体" w:eastAsia="宋体" w:cs="宋体"/>
                <w:color w:val="000000"/>
                <w:sz w:val="24"/>
                <w:szCs w:val="24"/>
              </w:rPr>
              <w:t xml:space="preserve">的</w:t>
            </w:r>
            <w:r>
              <w:rPr>
                <w:rFonts w:hint="eastAsia" w:ascii="宋体" w:hAnsi="宋体" w:eastAsia="宋体" w:cs="宋体"/>
                <w:b/>
                <w:bCs/>
                <w:color w:val="000000"/>
                <w:sz w:val="24"/>
                <w:szCs w:val="24"/>
              </w:rPr>
              <w:t xml:space="preserve">得2分。</w:t>
            </w:r>
            <w:r/>
          </w:p>
          <w:p>
            <w:pPr>
              <w:keepLines w:val="0"/>
              <w:keepNext w:val="0"/>
              <w:pageBreakBefore w:val="0"/>
              <w:spacing w:line="360" w:lineRule="auto"/>
              <w:widowControl w:val="off"/>
              <w:rPr>
                <w:rFonts w:ascii="宋体" w:hAnsi="宋体" w:eastAsia="宋体" w:cs="宋体"/>
                <w:color w:val="000000"/>
                <w:sz w:val="24"/>
                <w:szCs w:val="24"/>
              </w:rPr>
            </w:pPr>
            <w:r>
              <w:rPr>
                <w:rFonts w:hint="eastAsia" w:ascii="宋体" w:hAnsi="宋体" w:eastAsia="宋体" w:cs="宋体"/>
                <w:b/>
                <w:bCs/>
                <w:color w:val="000000"/>
                <w:sz w:val="24"/>
                <w:szCs w:val="24"/>
              </w:rPr>
              <w:t xml:space="preserve">（上述1-3项投标文件中提供有效证书扫描件、复印件或电子件并加盖投标人公章，否则不得分）</w:t>
            </w:r>
            <w:r/>
          </w:p>
        </w:tc>
      </w:tr>
      <w:tr>
        <w:trPr>
          <w:jc w:val="center"/>
          <w:trHeight w:val="714"/>
        </w:trPr>
        <w:tc>
          <w:tcPr>
            <w:shd w:val="clear" w:color="auto" w:fill="auto"/>
            <w:tcW w:w="1804" w:type="dxa"/>
            <w:vAlign w:val="center"/>
            <w:textDirection w:val="lrTb"/>
            <w:noWrap w:val="false"/>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项目团队成员（6分）</w:t>
            </w:r>
            <w:r/>
          </w:p>
        </w:tc>
        <w:tc>
          <w:tcPr>
            <w:shd w:val="clear" w:color="auto" w:fill="auto"/>
            <w:tcW w:w="6493" w:type="dxa"/>
            <w:vAlign w:val="center"/>
            <w:textDirection w:val="lrTb"/>
            <w:noWrap w:val="false"/>
          </w:tcPr>
          <w:p>
            <w:pPr>
              <w:keepLines w:val="0"/>
              <w:keepNext w:val="0"/>
              <w:pageBreakBefore w:val="0"/>
              <w:spacing w:line="360" w:lineRule="auto"/>
              <w:widowControl w:val="off"/>
              <w:rPr>
                <w:rFonts w:ascii="宋体" w:hAnsi="宋体" w:eastAsia="宋体" w:cs="宋体"/>
                <w:b/>
                <w:bCs/>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拟派项目负责人具备数字经济(网络安全)</w:t>
            </w:r>
            <w:r>
              <w:rPr>
                <w:rFonts w:hint="eastAsia" w:ascii="宋体" w:hAnsi="宋体" w:eastAsia="宋体" w:cs="宋体"/>
                <w:color w:val="000000"/>
                <w:sz w:val="24"/>
                <w:szCs w:val="24"/>
                <w:lang w:val="en-US" w:eastAsia="zh-CN"/>
              </w:rPr>
              <w:t xml:space="preserve">相关</w:t>
            </w:r>
            <w:r>
              <w:rPr>
                <w:rFonts w:hint="eastAsia" w:ascii="宋体" w:hAnsi="宋体" w:eastAsia="宋体" w:cs="宋体"/>
                <w:color w:val="000000"/>
                <w:sz w:val="24"/>
                <w:szCs w:val="24"/>
              </w:rPr>
              <w:t xml:space="preserve">高级工程师</w:t>
            </w:r>
            <w:r>
              <w:rPr>
                <w:rFonts w:hint="eastAsia" w:ascii="宋体" w:hAnsi="宋体" w:eastAsia="宋体" w:cs="宋体"/>
                <w:color w:val="000000"/>
                <w:sz w:val="24"/>
                <w:szCs w:val="24"/>
                <w:lang w:val="en-US" w:eastAsia="zh-CN"/>
              </w:rPr>
              <w:t xml:space="preserve">证书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电子信息工程</w:t>
            </w:r>
            <w:r>
              <w:rPr>
                <w:rFonts w:hint="eastAsia" w:ascii="宋体" w:hAnsi="宋体" w:eastAsia="宋体" w:cs="宋体"/>
                <w:color w:val="000000"/>
                <w:sz w:val="24"/>
                <w:szCs w:val="24"/>
                <w:lang w:val="en-US" w:eastAsia="zh-CN"/>
              </w:rPr>
              <w:t xml:space="preserve">相关专业</w:t>
            </w:r>
            <w:r>
              <w:rPr>
                <w:rFonts w:hint="eastAsia" w:ascii="宋体" w:hAnsi="宋体" w:eastAsia="宋体" w:cs="宋体"/>
                <w:color w:val="000000"/>
                <w:sz w:val="24"/>
                <w:szCs w:val="24"/>
              </w:rPr>
              <w:t xml:space="preserve">工程师</w:t>
            </w:r>
            <w:r>
              <w:rPr>
                <w:rFonts w:hint="eastAsia" w:ascii="宋体" w:hAnsi="宋体" w:eastAsia="宋体" w:cs="宋体"/>
                <w:color w:val="000000"/>
                <w:sz w:val="24"/>
                <w:szCs w:val="24"/>
                <w:lang w:val="en-US" w:eastAsia="zh-CN"/>
              </w:rPr>
              <w:t xml:space="preserve">证书</w:t>
            </w:r>
            <w:r>
              <w:rPr>
                <w:rFonts w:hint="eastAsia" w:ascii="宋体" w:hAnsi="宋体" w:eastAsia="宋体" w:cs="宋体"/>
                <w:color w:val="000000"/>
                <w:sz w:val="24"/>
                <w:szCs w:val="24"/>
              </w:rPr>
              <w:t xml:space="preserve">的，每提供一个证书得1分，</w:t>
            </w:r>
            <w:r>
              <w:rPr>
                <w:rFonts w:hint="eastAsia" w:ascii="宋体" w:hAnsi="宋体" w:eastAsia="宋体" w:cs="宋体"/>
                <w:b/>
                <w:bCs/>
                <w:color w:val="000000"/>
                <w:sz w:val="24"/>
                <w:szCs w:val="24"/>
              </w:rPr>
              <w:t xml:space="preserve">最高得2分。</w:t>
            </w:r>
            <w:r/>
          </w:p>
          <w:p>
            <w:pPr>
              <w:keepLines w:val="0"/>
              <w:keepNext w:val="0"/>
              <w:pageBreakBefore w:val="0"/>
              <w:spacing w:line="360" w:lineRule="auto"/>
              <w:widowControl w:val="off"/>
              <w:rPr>
                <w:rFonts w:ascii="宋体" w:hAnsi="宋体" w:eastAsia="宋体" w:cs="宋体"/>
                <w:b/>
                <w:bCs/>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拟派技术负责人具备数字经济(电子信息)</w:t>
            </w:r>
            <w:r>
              <w:rPr>
                <w:rFonts w:hint="eastAsia" w:ascii="宋体" w:hAnsi="宋体" w:eastAsia="宋体" w:cs="宋体"/>
                <w:color w:val="000000"/>
                <w:sz w:val="24"/>
                <w:szCs w:val="24"/>
                <w:lang w:val="en-US" w:eastAsia="zh-CN"/>
              </w:rPr>
              <w:t xml:space="preserve">相关</w:t>
            </w:r>
            <w:r>
              <w:rPr>
                <w:rFonts w:hint="eastAsia" w:ascii="宋体" w:hAnsi="宋体" w:eastAsia="宋体" w:cs="宋体"/>
                <w:color w:val="000000"/>
                <w:sz w:val="24"/>
                <w:szCs w:val="24"/>
              </w:rPr>
              <w:t xml:space="preserve">工程师</w:t>
            </w:r>
            <w:r>
              <w:rPr>
                <w:rFonts w:hint="eastAsia" w:ascii="宋体" w:hAnsi="宋体" w:eastAsia="宋体" w:cs="宋体"/>
                <w:color w:val="000000"/>
                <w:sz w:val="24"/>
                <w:szCs w:val="24"/>
                <w:lang w:val="en-US" w:eastAsia="zh-CN"/>
              </w:rPr>
              <w:t xml:space="preserve">证书</w:t>
            </w:r>
            <w:r>
              <w:rPr>
                <w:rFonts w:hint="eastAsia" w:ascii="宋体" w:hAnsi="宋体" w:eastAsia="宋体" w:cs="宋体"/>
                <w:color w:val="000000"/>
                <w:sz w:val="24"/>
                <w:szCs w:val="24"/>
              </w:rPr>
              <w:t xml:space="preserve">、软件设计师证书的，每提供一个证书得1分，</w:t>
            </w:r>
            <w:r>
              <w:rPr>
                <w:rFonts w:hint="eastAsia" w:ascii="宋体" w:hAnsi="宋体" w:eastAsia="宋体" w:cs="宋体"/>
                <w:b/>
                <w:bCs/>
                <w:color w:val="000000"/>
                <w:sz w:val="24"/>
                <w:szCs w:val="24"/>
              </w:rPr>
              <w:t xml:space="preserve">最高得2分。</w:t>
            </w:r>
            <w:r/>
          </w:p>
          <w:p>
            <w:pPr>
              <w:keepLines w:val="0"/>
              <w:keepNext w:val="0"/>
              <w:pageBreakBefore w:val="0"/>
              <w:spacing w:line="36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拟投入项目组成员</w:t>
            </w:r>
            <w:r>
              <w:rPr>
                <w:rFonts w:hint="eastAsia" w:ascii="宋体" w:hAnsi="宋体" w:eastAsia="宋体" w:cs="宋体"/>
                <w:color w:val="000000"/>
                <w:sz w:val="24"/>
                <w:szCs w:val="24"/>
                <w:lang w:val="en-US" w:eastAsia="zh-CN"/>
              </w:rPr>
              <w:t xml:space="preserve">中</w:t>
            </w:r>
            <w:r>
              <w:rPr>
                <w:rFonts w:hint="eastAsia" w:ascii="宋体" w:hAnsi="宋体" w:eastAsia="宋体" w:cs="宋体"/>
                <w:color w:val="000000"/>
                <w:sz w:val="24"/>
                <w:szCs w:val="24"/>
              </w:rPr>
              <w:t xml:space="preserve">具备软件设计师</w:t>
            </w:r>
            <w:r>
              <w:rPr>
                <w:rFonts w:hint="eastAsia" w:ascii="宋体" w:hAnsi="宋体" w:eastAsia="宋体" w:cs="宋体"/>
                <w:color w:val="000000"/>
                <w:sz w:val="24"/>
                <w:szCs w:val="24"/>
                <w:lang w:val="en-US" w:eastAsia="zh-CN"/>
              </w:rPr>
              <w:t xml:space="preserve">证书</w:t>
            </w:r>
            <w:r>
              <w:rPr>
                <w:rFonts w:hint="eastAsia" w:ascii="宋体" w:hAnsi="宋体" w:eastAsia="宋体" w:cs="宋体"/>
                <w:color w:val="000000"/>
                <w:sz w:val="24"/>
                <w:szCs w:val="24"/>
              </w:rPr>
              <w:t xml:space="preserve">、网络工程师</w:t>
            </w:r>
            <w:r>
              <w:rPr>
                <w:rFonts w:hint="eastAsia" w:ascii="宋体" w:hAnsi="宋体" w:eastAsia="宋体" w:cs="宋体"/>
                <w:color w:val="000000"/>
                <w:sz w:val="24"/>
                <w:szCs w:val="24"/>
                <w:lang w:val="en-US" w:eastAsia="zh-CN"/>
              </w:rPr>
              <w:t xml:space="preserve">证书</w:t>
            </w:r>
            <w:r>
              <w:rPr>
                <w:rFonts w:hint="eastAsia" w:ascii="宋体" w:hAnsi="宋体" w:eastAsia="宋体" w:cs="宋体"/>
                <w:color w:val="000000"/>
                <w:sz w:val="24"/>
                <w:szCs w:val="24"/>
              </w:rPr>
              <w:t xml:space="preserve">、数据库工程师</w:t>
            </w:r>
            <w:r>
              <w:rPr>
                <w:rFonts w:hint="eastAsia" w:ascii="宋体" w:hAnsi="宋体" w:eastAsia="宋体" w:cs="宋体"/>
                <w:color w:val="000000"/>
                <w:sz w:val="24"/>
                <w:szCs w:val="24"/>
                <w:lang w:val="en-US" w:eastAsia="zh-CN"/>
              </w:rPr>
              <w:t xml:space="preserve">证书</w:t>
            </w:r>
            <w:r>
              <w:rPr>
                <w:rFonts w:hint="eastAsia" w:ascii="宋体" w:hAnsi="宋体" w:eastAsia="宋体" w:cs="宋体"/>
                <w:color w:val="000000"/>
                <w:sz w:val="24"/>
                <w:szCs w:val="24"/>
              </w:rPr>
              <w:t xml:space="preserve">、数字经济(电子信息)</w:t>
            </w:r>
            <w:r>
              <w:rPr>
                <w:rFonts w:hint="eastAsia" w:ascii="宋体" w:hAnsi="宋体" w:eastAsia="宋体" w:cs="宋体"/>
                <w:color w:val="000000"/>
                <w:sz w:val="24"/>
                <w:szCs w:val="24"/>
                <w:lang w:val="en-US" w:eastAsia="zh-CN"/>
              </w:rPr>
              <w:t xml:space="preserve">相关</w:t>
            </w:r>
            <w:r>
              <w:rPr>
                <w:rFonts w:hint="eastAsia" w:ascii="宋体" w:hAnsi="宋体" w:eastAsia="宋体" w:cs="宋体"/>
                <w:color w:val="000000"/>
                <w:sz w:val="24"/>
                <w:szCs w:val="24"/>
              </w:rPr>
              <w:t xml:space="preserve">工程师证书的，每提供一个证书得0.5分，</w:t>
            </w:r>
            <w:r>
              <w:rPr>
                <w:rFonts w:hint="eastAsia" w:ascii="宋体" w:hAnsi="宋体" w:eastAsia="宋体" w:cs="宋体"/>
                <w:b/>
                <w:bCs/>
                <w:color w:val="000000"/>
                <w:sz w:val="24"/>
                <w:szCs w:val="24"/>
              </w:rPr>
              <w:t xml:space="preserve">最高得2分。</w:t>
            </w:r>
            <w:r>
              <w:rPr>
                <w:rFonts w:hint="eastAsia" w:ascii="宋体" w:hAnsi="宋体" w:eastAsia="宋体" w:cs="宋体"/>
                <w:color w:val="000000"/>
                <w:sz w:val="24"/>
                <w:szCs w:val="24"/>
              </w:rPr>
              <w:t xml:space="preserve">本项一人多证不重复得分，不同人员提供相同证书可分别得分。</w:t>
            </w:r>
            <w:r/>
          </w:p>
          <w:p>
            <w:pPr>
              <w:keepLines w:val="0"/>
              <w:keepNext w:val="0"/>
              <w:pageBreakBefore w:val="0"/>
              <w:spacing w:line="360" w:lineRule="auto"/>
              <w:widowControl w:val="off"/>
              <w:rPr>
                <w:rFonts w:ascii="宋体" w:hAnsi="宋体" w:eastAsia="宋体" w:cs="宋体"/>
                <w:color w:val="000000"/>
                <w:sz w:val="24"/>
                <w:szCs w:val="24"/>
              </w:rPr>
            </w:pPr>
            <w:r>
              <w:rPr>
                <w:rFonts w:hint="eastAsia" w:ascii="宋体" w:hAnsi="宋体" w:eastAsia="宋体" w:cs="宋体"/>
                <w:b/>
                <w:bCs/>
                <w:color w:val="000000"/>
                <w:sz w:val="24"/>
                <w:szCs w:val="24"/>
              </w:rPr>
              <w:t xml:space="preserve">（上述1-3项投标文件中提供有效相关证书扫描件及2025年10月（含）以来任意1个月由投标人为其缴纳的社保证明材料，并加盖投标人公章，否则不得分）</w:t>
            </w:r>
            <w:r/>
          </w:p>
        </w:tc>
      </w:tr>
      <w:tr>
        <w:trPr>
          <w:jc w:val="center"/>
          <w:trHeight w:val="621"/>
        </w:trPr>
        <w:tc>
          <w:tcPr>
            <w:shd w:val="clear" w:color="auto" w:fill="auto"/>
            <w:tcW w:w="180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业绩</w:t>
            </w:r>
            <w:r/>
          </w:p>
          <w:p>
            <w:pPr>
              <w:jc w:val="center"/>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（9分）</w:t>
            </w:r>
            <w:r/>
          </w:p>
        </w:tc>
        <w:tc>
          <w:tcPr>
            <w:shd w:val="clear" w:color="auto" w:fill="auto"/>
            <w:tcW w:w="6493" w:type="dxa"/>
            <w:vAlign w:val="center"/>
            <w:textDirection w:val="lrTb"/>
            <w:noWrap w:val="false"/>
          </w:tcPr>
          <w:p>
            <w:pPr>
              <w:keepLines w:val="0"/>
              <w:keepNext w:val="0"/>
              <w:pageBreakBefore w:val="0"/>
              <w:spacing w:line="360" w:lineRule="auto"/>
              <w:widowControl w:val="off"/>
              <w:rPr>
                <w:rFonts w:ascii="宋体" w:hAnsi="宋体" w:eastAsia="宋体" w:cs="宋体"/>
                <w:b/>
                <w:bCs/>
                <w:color w:val="000000"/>
                <w:sz w:val="24"/>
                <w:szCs w:val="24"/>
              </w:rPr>
            </w:pPr>
            <w:r>
              <w:rPr>
                <w:rFonts w:hint="eastAsia" w:ascii="宋体" w:hAnsi="宋体" w:eastAsia="宋体" w:cs="宋体"/>
                <w:color w:val="000000"/>
                <w:sz w:val="24"/>
                <w:szCs w:val="24"/>
              </w:rPr>
              <w:t xml:space="preserve">自2023年1月1日至今，投标人具有软件开发项目业绩的，每提供一个得3分，</w:t>
            </w:r>
            <w:r>
              <w:rPr>
                <w:rFonts w:hint="eastAsia" w:ascii="宋体" w:hAnsi="宋体" w:eastAsia="宋体" w:cs="宋体"/>
                <w:b/>
                <w:bCs/>
                <w:color w:val="000000"/>
                <w:sz w:val="24"/>
                <w:szCs w:val="24"/>
              </w:rPr>
              <w:t xml:space="preserve">最高得9分。</w:t>
            </w:r>
            <w:r/>
          </w:p>
          <w:p>
            <w:pPr>
              <w:keepLines w:val="0"/>
              <w:keepNext w:val="0"/>
              <w:pageBreakBefore w:val="0"/>
              <w:spacing w:line="360" w:lineRule="auto"/>
              <w:widowControl w:val="off"/>
              <w:rPr>
                <w:rFonts w:ascii="宋体" w:hAnsi="宋体" w:eastAsia="宋体" w:cs="宋体"/>
                <w:color w:val="000000"/>
                <w:sz w:val="24"/>
                <w:szCs w:val="24"/>
              </w:rPr>
            </w:pPr>
            <w:r>
              <w:rPr>
                <w:rFonts w:hint="eastAsia" w:ascii="宋体" w:hAnsi="宋体" w:eastAsia="宋体" w:cs="宋体"/>
                <w:b/>
                <w:bCs/>
                <w:color w:val="000000"/>
                <w:sz w:val="24"/>
                <w:szCs w:val="24"/>
              </w:rPr>
              <w:t xml:space="preserve">(投标文件中提供合同扫描件并加盖投标人公章，否则不得分。合同至少包括日期、签字盖章页及能体现采购内容的关键页，时间以合同为准。合同内容经评审委员会一致认定)</w:t>
            </w:r>
            <w:r/>
          </w:p>
        </w:tc>
      </w:tr>
    </w:tbl>
    <w:p>
      <w:pPr>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注;</w:t>
      </w:r>
      <w:r/>
    </w:p>
    <w:p>
      <w:pPr>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1.本项目评标标准中的技术分（25分）采用暗标方式进行评审。</w:t>
      </w:r>
      <w:r/>
    </w:p>
    <w:p>
      <w:pPr>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2.编制要求：</w:t>
      </w:r>
      <w:r/>
    </w:p>
    <w:p>
      <w:pPr>
        <w:spacing w:line="400" w:lineRule="exact"/>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2.1方案内容、文字、各类型图表、框图均不得出现供应商名称、相关人员姓名和其他可识别供应商身份的字符、徽标、人员名称、投标人独享的企业标准或编号等内容；不得出现能显示企业特征或批注、底纹、阴影、水印等提示性的标记或标识；不得出现以前所承担过的项目名称，不得作任何标识或暗示该供应商单位名称或人员姓名的标记，相关人员姓名应以职务或职称代替。</w:t>
      </w:r>
      <w:r/>
    </w:p>
    <w:p>
      <w:pPr>
        <w:jc w:val="left"/>
        <w:spacing w:line="360" w:lineRule="auto"/>
        <w:widowControl/>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jc w:val="left"/>
        <w:spacing w:line="360" w:lineRule="auto"/>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2.3供应商需按照上述要求编制方案，未按要求编制的本项</w:t>
      </w:r>
      <w:r>
        <w:rPr>
          <w:rFonts w:hint="eastAsia" w:asciiTheme="minorEastAsia" w:hAnsiTheme="minorEastAsia" w:cstheme="minorEastAsia"/>
          <w:b/>
          <w:color w:val="000000"/>
          <w:sz w:val="24"/>
          <w:szCs w:val="24"/>
          <w:highlight w:val="none"/>
          <w:lang w:eastAsia="zh-CN"/>
        </w:rPr>
        <w:t xml:space="preserve">（</w:t>
      </w:r>
      <w:r>
        <w:rPr>
          <w:rFonts w:hint="eastAsia" w:asciiTheme="minorEastAsia" w:hAnsiTheme="minorEastAsia" w:cstheme="minorEastAsia"/>
          <w:b/>
          <w:color w:val="000000"/>
          <w:sz w:val="24"/>
          <w:szCs w:val="24"/>
          <w:highlight w:val="none"/>
          <w:lang w:val="en-US" w:eastAsia="zh-CN"/>
        </w:rPr>
        <w:t xml:space="preserve">25分）</w:t>
      </w:r>
      <w:r>
        <w:rPr>
          <w:rFonts w:hint="eastAsia" w:asciiTheme="minorEastAsia" w:hAnsiTheme="minorEastAsia" w:eastAsiaTheme="minorEastAsia" w:cstheme="minorEastAsia"/>
          <w:b/>
          <w:color w:val="000000"/>
          <w:sz w:val="24"/>
          <w:szCs w:val="24"/>
          <w:highlight w:val="none"/>
        </w:rPr>
        <w:t xml:space="preserve">不得分。</w:t>
      </w:r>
      <w:r/>
    </w:p>
    <w:p>
      <w:pPr>
        <w:jc w:val="left"/>
        <w:spacing w:line="360" w:lineRule="auto"/>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p>
      <w:pPr>
        <w:jc w:val="left"/>
        <w:spacing w:line="360" w:lineRule="auto"/>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p>
      <w:pPr>
        <w:jc w:val="left"/>
        <w:spacing w:line="360" w:lineRule="auto"/>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p>
      <w:pPr>
        <w:jc w:val="left"/>
        <w:spacing w:line="360" w:lineRule="auto"/>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p>
      <w:pPr>
        <w:jc w:val="left"/>
        <w:spacing w:line="360" w:lineRule="auto"/>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p>
      <w:pPr>
        <w:jc w:val="left"/>
        <w:spacing w:line="360" w:lineRule="auto"/>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p>
      <w:pPr>
        <w:jc w:val="left"/>
        <w:spacing w:line="360" w:lineRule="auto"/>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p>
      <w:pPr>
        <w:jc w:val="left"/>
        <w:spacing w:line="360" w:lineRule="auto"/>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p>
      <w:pPr>
        <w:jc w:val="left"/>
        <w:spacing w:line="360" w:lineRule="auto"/>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p>
      <w:pPr>
        <w:jc w:val="left"/>
        <w:spacing w:line="360" w:lineRule="auto"/>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p>
      <w:pPr>
        <w:jc w:val="left"/>
        <w:spacing w:line="360" w:lineRule="auto"/>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p>
      <w:pPr>
        <w:jc w:val="left"/>
        <w:spacing w:line="360" w:lineRule="auto"/>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p>
      <w:pPr>
        <w:jc w:val="left"/>
        <w:spacing w:line="360" w:lineRule="auto"/>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p>
      <w:pPr>
        <w:jc w:val="left"/>
        <w:spacing w:line="360" w:lineRule="auto"/>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p>
      <w:pPr>
        <w:jc w:val="left"/>
        <w:spacing w:line="360" w:lineRule="auto"/>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p>
      <w:pPr>
        <w:jc w:val="left"/>
        <w:spacing w:line="360" w:lineRule="auto"/>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p>
      <w:pPr>
        <w:jc w:val="left"/>
        <w:spacing w:line="360" w:lineRule="auto"/>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p>
      <w:pPr>
        <w:jc w:val="left"/>
        <w:spacing w:line="360" w:lineRule="auto"/>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p>
      <w:pPr>
        <w:jc w:val="left"/>
        <w:spacing w:line="360" w:lineRule="auto"/>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p>
      <w:pPr>
        <w:jc w:val="left"/>
        <w:spacing w:line="360" w:lineRule="auto"/>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p>
      <w:pPr>
        <w:jc w:val="left"/>
        <w:spacing w:line="360" w:lineRule="auto"/>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p>
      <w:pPr>
        <w:jc w:val="left"/>
        <w:spacing w:line="360" w:lineRule="auto"/>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p>
      <w:pPr>
        <w:jc w:val="left"/>
        <w:spacing w:line="360" w:lineRule="auto"/>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p>
      <w:pPr>
        <w:jc w:val="left"/>
        <w:spacing w:line="360" w:lineRule="auto"/>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p>
      <w:pPr>
        <w:ind w:firstLine="480"/>
        <w:jc w:val="left"/>
        <w:spacing w:line="500" w:lineRule="exact"/>
        <w:rPr>
          <w:sz w:val="24"/>
          <w:szCs w:val="24"/>
        </w:rPr>
      </w:pPr>
      <w:r>
        <w:rPr>
          <w:sz w:val="24"/>
          <w:szCs w:val="24"/>
        </w:rPr>
      </w:r>
      <w:r/>
    </w:p>
    <w:p>
      <w:pPr>
        <w:pStyle w:val="843"/>
        <w:jc w:val="center"/>
        <w:spacing w:line="360" w:lineRule="auto"/>
        <w:rPr>
          <w:rFonts w:ascii="黑体" w:hAnsi="黑体" w:eastAsia="黑体"/>
          <w:b w:val="0"/>
        </w:rPr>
      </w:pPr>
      <w:r/>
      <w:bookmarkStart w:id="10" w:name="_Toc162361615"/>
      <w:r>
        <w:rPr>
          <w:rFonts w:hint="eastAsia" w:ascii="黑体" w:hAnsi="黑体" w:eastAsia="黑体"/>
          <w:b w:val="0"/>
        </w:rPr>
        <w:t xml:space="preserve">第六章  投标文件格式</w:t>
      </w:r>
      <w:bookmarkEnd w:id="10"/>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b/>
          <w:sz w:val="36"/>
          <w:szCs w:val="36"/>
        </w:rPr>
        <w:outlineLvl w:val="1"/>
      </w:pPr>
      <w:r>
        <w:rPr>
          <w:rFonts w:hint="eastAsia" w:ascii="宋体" w:hAnsi="宋体" w:eastAsia="宋体" w:cs="宋体"/>
          <w:b/>
          <w:sz w:val="36"/>
          <w:szCs w:val="36"/>
        </w:rPr>
        <w:t xml:space="preserve">一、法人或者其他组织的营业执照等证明文件，自然人的身份证明</w:t>
      </w:r>
      <w:r/>
    </w:p>
    <w:p>
      <w:r/>
      <w:r/>
    </w:p>
    <w:p>
      <w:r/>
      <w:r/>
    </w:p>
    <w:p>
      <w:r/>
      <w:r/>
    </w:p>
    <w:p>
      <w:r/>
      <w:r/>
    </w:p>
    <w:p>
      <w:pPr>
        <w:jc w:val="left"/>
        <w:spacing w:line="500" w:lineRule="exact"/>
        <w:rPr>
          <w:sz w:val="24"/>
          <w:szCs w:val="24"/>
        </w:rPr>
      </w:pPr>
      <w:r>
        <w:rPr>
          <w:rFonts w:hint="eastAsia" w:ascii="Arial" w:hAnsi="Arial" w:eastAsia="宋体" w:cs="Arial"/>
          <w:b/>
          <w:sz w:val="36"/>
        </w:rPr>
        <w:t xml:space="preserve">二、上一年度的财务状况报告</w:t>
      </w:r>
      <w:r>
        <w:rPr>
          <w:rFonts w:hint="eastAsia"/>
          <w:sz w:val="24"/>
          <w:szCs w:val="24"/>
        </w:rPr>
        <w:t xml:space="preserve">（成立不满一年无需提供）</w:t>
      </w:r>
      <w:r/>
    </w:p>
    <w:p>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根据连财购〔2023〕4号文件精神，可以提供《财务状况报告及税收、社会保障资金缴纳情况承诺函》</w:t>
      </w:r>
      <w:r/>
    </w:p>
    <w:p>
      <w:pPr>
        <w:spacing w:line="360" w:lineRule="auto"/>
        <w:rPr>
          <w:rFonts w:asciiTheme="minorEastAsia" w:hAnsiTheme="minorEastAsia"/>
          <w:sz w:val="24"/>
          <w:szCs w:val="24"/>
        </w:rPr>
      </w:pPr>
      <w:r>
        <w:rPr>
          <w:rFonts w:asciiTheme="minorEastAsia" w:hAnsiTheme="minorEastAsia"/>
          <w:sz w:val="24"/>
          <w:szCs w:val="24"/>
        </w:rPr>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三、依法缴纳税收和社会保障资金的相关材料</w:t>
      </w:r>
      <w:r/>
    </w:p>
    <w:p>
      <w:pPr>
        <w:ind w:firstLine="480"/>
        <w:spacing w:line="360" w:lineRule="auto"/>
        <w:rPr>
          <w:rFonts w:asciiTheme="minorEastAsia" w:hAnsiTheme="minorEastAsia"/>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 xml:space="preserve">根据连财购〔2023〕4号文件精神，提供《财务状况报告及税收、社会保障资金缴纳情况承诺函》。</w:t>
      </w:r>
      <w:r/>
    </w:p>
    <w:p>
      <w:pPr>
        <w:ind w:firstLine="480"/>
        <w:jc w:val="left"/>
        <w:spacing w:line="500" w:lineRule="exact"/>
        <w:rPr>
          <w:sz w:val="24"/>
          <w:szCs w:val="24"/>
        </w:rPr>
      </w:pPr>
      <w:r>
        <w:rPr>
          <w:sz w:val="24"/>
          <w:szCs w:val="24"/>
        </w:rPr>
      </w:r>
      <w:r/>
    </w:p>
    <w:p>
      <w:r/>
      <w:r/>
    </w:p>
    <w:p>
      <w:pPr>
        <w:rPr>
          <w:b/>
          <w:sz w:val="24"/>
        </w:rPr>
      </w:pPr>
      <w:r>
        <w:rPr>
          <w:b/>
          <w:sz w:val="24"/>
        </w:rPr>
      </w:r>
      <w:r/>
    </w:p>
    <w:p>
      <w:pPr>
        <w:rPr>
          <w:b/>
          <w:sz w:val="24"/>
        </w:rPr>
      </w:pPr>
      <w:r>
        <w:rPr>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highlight w:val="none"/>
          <w:u w:val="single"/>
        </w:rPr>
        <w:t xml:space="preserve">数字连云港—花果山景区智慧旅游安保平台建设项目</w:t>
      </w:r>
      <w:r>
        <w:rPr>
          <w:rFonts w:hint="eastAsia" w:ascii="Calibri" w:hAnsi="Calibri" w:eastAsia="宋体" w:cs="Times New Roman"/>
          <w:sz w:val="24"/>
          <w:szCs w:val="24"/>
          <w:highlight w:val="none"/>
        </w:rPr>
        <w:t xml:space="preserve">（项目编号：</w:t>
      </w:r>
      <w:r>
        <w:rPr>
          <w:rFonts w:hint="eastAsia" w:ascii="Calibri" w:hAnsi="Calibri" w:eastAsia="宋体" w:cs="Times New Roman"/>
          <w:sz w:val="24"/>
          <w:szCs w:val="24"/>
          <w:highlight w:val="none"/>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四、具备履行合同所必需的设备和专业技术能力的声明及证明材料</w:t>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lang w:val="en-US" w:eastAsia="zh-CN"/>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lang w:val="en-US" w:eastAsia="zh-CN"/>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Times New Roman" w:hAnsi="Times New Roman" w:eastAsia="宋体" w:cs="Times New Roman"/>
          <w:color w:val="000000"/>
          <w:sz w:val="24"/>
          <w:szCs w:val="24"/>
        </w:rPr>
      </w:pPr>
      <w:r>
        <w:rPr>
          <w:rFonts w:hint="eastAsia" w:ascii="Calibri" w:hAnsi="Calibri" w:eastAsia="宋体" w:cs="Times New Roman"/>
          <w:sz w:val="24"/>
          <w:szCs w:val="24"/>
        </w:rPr>
        <w:t xml:space="preserve">日期：    年     月     日</w:t>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我方代理人，联系电话：。</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，联系电话：</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，联系电话：</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8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ind w:firstLine="480"/>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ind w:firstLine="468"/>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rPr>
        <w:t xml:space="preserve">，联系电话：</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pPr>
        <w:jc w:val="left"/>
        <w:keepLines/>
        <w:keepNext/>
        <w:spacing w:before="260" w:after="260" w:line="416" w:lineRule="auto"/>
        <w:rPr>
          <w:rFonts w:ascii="黑体" w:hAnsi="黑体" w:eastAsia="黑体" w:cs="Times New Roman"/>
          <w:b/>
          <w:color w:val="000000"/>
          <w:sz w:val="32"/>
          <w:szCs w:val="32"/>
        </w:rPr>
        <w:outlineLvl w:val="1"/>
      </w:pPr>
      <w:r>
        <w:rPr>
          <w:rFonts w:hint="eastAsia" w:ascii="Arial" w:hAnsi="Arial" w:eastAsia="宋体" w:cs="Arial"/>
          <w:b/>
          <w:iCs/>
          <w:sz w:val="36"/>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根据贵方的JSZC-________号招标文件，正式授权下述签字人______(姓名)代表我方__________（投标人的名称），全权处理本次项目投标的有关事宜。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1.按招标文件规定的各项要求，向买方提供所需服务（包含与服务相关的货物等）。</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十一、中小企业声明函（服务）</w:t>
      </w:r>
      <w:r>
        <w:rPr>
          <w:rFonts w:hint="eastAsia" w:ascii="Arial" w:hAnsi="Arial" w:eastAsia="宋体" w:cs="Arial"/>
          <w:b/>
          <w:sz w:val="36"/>
          <w:highlight w:val="none"/>
        </w:rPr>
        <w:t xml:space="preserve">（分包号：**）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，从业人员人，营业收入为万元，资产总额为万元，属于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r/>
      <w:r/>
    </w:p>
    <w:p>
      <w:pPr>
        <w:jc w:val="left"/>
        <w:keepLines/>
        <w:keepNext/>
        <w:spacing w:before="360" w:after="200" w:line="360" w:lineRule="auto"/>
        <w:rPr>
          <w:rFonts w:ascii="Arial" w:hAnsi="Arial" w:eastAsia="宋体" w:cs="Arial"/>
          <w:b/>
          <w:sz w:val="36"/>
          <w:highlight w:val="none"/>
        </w:rPr>
        <w:outlineLvl w:val="1"/>
      </w:pPr>
      <w:r>
        <w:rPr>
          <w:rFonts w:hint="eastAsia" w:ascii="Arial" w:hAnsi="Arial" w:eastAsia="宋体" w:cs="Arial"/>
          <w:b/>
          <w:sz w:val="36"/>
        </w:rPr>
        <w:t xml:space="preserve">十二、残疾人福利性单位声明函</w:t>
      </w:r>
      <w:r>
        <w:rPr>
          <w:rFonts w:hint="eastAsia" w:ascii="Arial" w:hAnsi="Arial" w:eastAsia="宋体" w:cs="Arial"/>
          <w:b/>
          <w:sz w:val="36"/>
          <w:highlight w:val="none"/>
        </w:rPr>
        <w:t xml:space="preserve">（分包号：**）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141号）的规定，本单位为符合条件的残疾人福利性单位，且本单位参加单位的项目（</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hint="eastAsia" w:ascii="Times New Roman" w:hAnsi="Times New Roman" w:eastAsia="宋体" w:cs="Times New Roman"/>
          <w:b/>
          <w:iCs/>
          <w:sz w:val="36"/>
          <w:lang w:eastAsia="zh-CN"/>
        </w:rPr>
        <w:outlineLvl w:val="1"/>
      </w:pPr>
      <w:r>
        <w:rPr>
          <w:rFonts w:hint="default" w:ascii="Times New Roman" w:hAnsi="Times New Roman" w:eastAsia="宋体" w:cs="Times New Roman"/>
          <w:b/>
          <w:iCs/>
          <w:sz w:val="36"/>
        </w:rPr>
        <w:t xml:space="preserve">十</w:t>
      </w:r>
      <w:r>
        <w:rPr>
          <w:rFonts w:hint="eastAsia" w:ascii="Times New Roman" w:hAnsi="Times New Roman" w:eastAsia="宋体" w:cs="Times New Roman"/>
          <w:b/>
          <w:iCs/>
          <w:sz w:val="36"/>
          <w:lang w:val="en-US" w:eastAsia="zh-CN"/>
        </w:rPr>
        <w:t xml:space="preserve">三</w:t>
      </w:r>
      <w:r>
        <w:rPr>
          <w:rFonts w:hint="default" w:ascii="Times New Roman" w:hAnsi="Times New Roman" w:eastAsia="宋体" w:cs="Times New Roman"/>
          <w:b/>
          <w:iCs/>
          <w:sz w:val="36"/>
        </w:rPr>
        <w:t xml:space="preserve">、投标分项报价表</w:t>
      </w:r>
      <w:r>
        <w:rPr>
          <w:rFonts w:hint="eastAsia" w:ascii="Times New Roman" w:hAnsi="Times New Roman" w:eastAsia="宋体" w:cs="Times New Roman"/>
          <w:b/>
          <w:iCs/>
          <w:sz w:val="36"/>
          <w:lang w:eastAsia="zh-CN"/>
        </w:rPr>
        <w:t xml:space="preserve">（</w:t>
      </w:r>
      <w:r>
        <w:rPr>
          <w:rFonts w:hint="eastAsia" w:ascii="Times New Roman" w:hAnsi="Times New Roman" w:eastAsia="宋体" w:cs="Times New Roman"/>
          <w:b/>
          <w:iCs/>
          <w:sz w:val="36"/>
          <w:lang w:val="en-US" w:eastAsia="zh-CN"/>
        </w:rPr>
        <w:t xml:space="preserve">2个</w:t>
      </w:r>
      <w:r>
        <w:rPr>
          <w:rFonts w:hint="eastAsia" w:ascii="Times New Roman" w:hAnsi="Times New Roman" w:eastAsia="宋体" w:cs="Times New Roman"/>
          <w:b/>
          <w:iCs/>
          <w:sz w:val="36"/>
          <w:lang w:eastAsia="zh-CN"/>
        </w:rPr>
        <w:t xml:space="preserve">）</w:t>
      </w:r>
      <w:r/>
    </w:p>
    <w:p>
      <w:pPr>
        <w:jc w:val="center"/>
        <w:spacing w:line="360" w:lineRule="auto"/>
        <w:tabs>
          <w:tab w:val="left" w:pos="360" w:leader="none"/>
        </w:tabs>
        <w:rPr>
          <w:rFonts w:hint="eastAsia" w:ascii="Times New Roman" w:hAnsi="Times New Roman" w:eastAsia="黑体" w:cs="Times New Roman"/>
          <w:bCs/>
          <w:sz w:val="36"/>
          <w:szCs w:val="28"/>
          <w:lang w:eastAsia="zh-CN"/>
        </w:rPr>
      </w:pPr>
      <w:r>
        <w:rPr>
          <w:rFonts w:hint="default" w:ascii="Times New Roman" w:hAnsi="Times New Roman" w:eastAsia="黑体" w:cs="Times New Roman"/>
          <w:bCs/>
          <w:sz w:val="36"/>
          <w:szCs w:val="28"/>
        </w:rPr>
        <w:t xml:space="preserve">投标分项报价</w:t>
      </w:r>
      <w:r>
        <w:rPr>
          <w:rFonts w:hint="eastAsia" w:ascii="Times New Roman" w:hAnsi="Times New Roman" w:eastAsia="黑体" w:cs="Times New Roman"/>
          <w:bCs/>
          <w:sz w:val="36"/>
          <w:szCs w:val="28"/>
          <w:lang w:val="en-US" w:eastAsia="zh-CN"/>
        </w:rPr>
        <w:t xml:space="preserve">总</w:t>
      </w:r>
      <w:r>
        <w:rPr>
          <w:rFonts w:hint="default" w:ascii="Times New Roman" w:hAnsi="Times New Roman" w:eastAsia="黑体" w:cs="Times New Roman"/>
          <w:bCs/>
          <w:sz w:val="36"/>
          <w:szCs w:val="28"/>
        </w:rPr>
        <w:t xml:space="preserve">表</w:t>
      </w:r>
      <w:r>
        <w:rPr>
          <w:rFonts w:hint="eastAsia" w:ascii="Times New Roman" w:hAnsi="Times New Roman" w:eastAsia="黑体" w:cs="Times New Roman"/>
          <w:bCs/>
          <w:sz w:val="36"/>
          <w:szCs w:val="28"/>
          <w:lang w:eastAsia="zh-CN"/>
        </w:rPr>
        <w:t xml:space="preserve">（</w:t>
      </w:r>
      <w:r>
        <w:rPr>
          <w:rFonts w:hint="eastAsia" w:ascii="Times New Roman" w:hAnsi="Times New Roman" w:eastAsia="黑体" w:cs="Times New Roman"/>
          <w:bCs/>
          <w:sz w:val="36"/>
          <w:szCs w:val="28"/>
          <w:lang w:val="en-US" w:eastAsia="zh-CN"/>
        </w:rPr>
        <w:t xml:space="preserve">一</w:t>
      </w:r>
      <w:r>
        <w:rPr>
          <w:rFonts w:hint="eastAsia" w:ascii="Times New Roman" w:hAnsi="Times New Roman" w:eastAsia="黑体" w:cs="Times New Roman"/>
          <w:bCs/>
          <w:sz w:val="36"/>
          <w:szCs w:val="28"/>
          <w:lang w:eastAsia="zh-CN"/>
        </w:rPr>
        <w:t xml:space="preserve">）</w:t>
      </w:r>
      <w:r/>
    </w:p>
    <w:p>
      <w:pPr>
        <w:jc w:val="left"/>
        <w:spacing w:line="560" w:lineRule="exact"/>
        <w:rPr>
          <w:rFonts w:hint="default" w:ascii="Times New Roman" w:hAnsi="Times New Roman" w:cs="Times New Roman"/>
          <w:b/>
          <w:bCs/>
          <w:color w:val="000000"/>
          <w:sz w:val="24"/>
          <w:lang w:val="en-US" w:eastAsia="zh-CN"/>
        </w:rPr>
      </w:pPr>
      <w:r>
        <w:rPr>
          <w:rFonts w:hint="eastAsia" w:ascii="Times New Roman" w:hAnsi="Times New Roman" w:cs="Times New Roman"/>
          <w:b/>
          <w:bCs/>
          <w:color w:val="000000"/>
          <w:sz w:val="24"/>
          <w:lang w:val="en-US" w:eastAsia="zh-CN"/>
        </w:rPr>
        <w:t xml:space="preserve">注：本表格为总报价表（包含服务、货物等涉及本项目所有报价）</w:t>
      </w:r>
      <w:r/>
    </w:p>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color w:val="000000"/>
          <w:sz w:val="24"/>
          <w:szCs w:val="24"/>
        </w:rPr>
        <w:t xml:space="preserve">项目名称：      项目编号：      分包号：</w:t>
      </w:r>
      <w:r>
        <w:rPr>
          <w:rFonts w:hint="default" w:ascii="Times New Roman" w:hAnsi="Times New Roman" w:eastAsia="宋体" w:cs="Times New Roman"/>
          <w:bCs/>
          <w:color w:val="000000"/>
          <w:sz w:val="24"/>
          <w:szCs w:val="24"/>
        </w:rPr>
        <w:t xml:space="preserve"> </w:t>
      </w:r>
      <w:r/>
    </w:p>
    <w:p>
      <w:pPr>
        <w:jc w:val="right"/>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单位：元</w:t>
      </w:r>
      <w:r/>
    </w:p>
    <w:tbl>
      <w:tblPr>
        <w:tblStyle w:val="847"/>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序号</w:t>
            </w:r>
            <w:r/>
          </w:p>
        </w:tc>
        <w:tc>
          <w:tcPr>
            <w:tcW w:w="208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eastAsia" w:ascii="Times New Roman" w:hAnsi="Times New Roman" w:cs="Times New Roman"/>
                <w:color w:val="000000"/>
                <w:sz w:val="24"/>
                <w:lang w:val="en-US" w:eastAsia="zh-CN"/>
              </w:rPr>
              <w:t xml:space="preserve">产品、</w:t>
            </w:r>
            <w:r>
              <w:rPr>
                <w:rFonts w:hint="default" w:ascii="Times New Roman" w:hAnsi="Times New Roman" w:cs="Times New Roman"/>
                <w:color w:val="000000"/>
                <w:sz w:val="24"/>
              </w:rPr>
              <w:t xml:space="preserve">服务（标的）名称</w:t>
            </w:r>
            <w:r/>
          </w:p>
        </w:tc>
        <w:tc>
          <w:tcPr>
            <w:tcW w:w="1461"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分项单位</w:t>
            </w:r>
            <w:r/>
          </w:p>
        </w:tc>
        <w:tc>
          <w:tcPr>
            <w:tcW w:w="1134"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数量</w:t>
            </w:r>
            <w:r/>
          </w:p>
        </w:tc>
        <w:tc>
          <w:tcPr>
            <w:tcW w:w="1134"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单价</w:t>
            </w:r>
            <w:r/>
          </w:p>
        </w:tc>
        <w:tc>
          <w:tcPr>
            <w:tcW w:w="1491"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单项</w:t>
            </w:r>
            <w:r/>
          </w:p>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208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461"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134"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134"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491"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208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461"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134"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134"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491"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208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461"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134"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134"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491"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r>
      <w:tr>
        <w:trPr>
          <w:cantSplit/>
          <w:jc w:val="center"/>
          <w:trHeight w:val="501"/>
        </w:trPr>
        <w:tc>
          <w:tcPr>
            <w:gridSpan w:val="5"/>
            <w:tcW w:w="6875" w:type="dxa"/>
            <w:vAlign w:val="center"/>
            <w:textDirection w:val="lrTb"/>
            <w:noWrap w:val="false"/>
          </w:tcPr>
          <w:p>
            <w:pPr>
              <w:jc w:val="center"/>
              <w:spacing w:line="560" w:lineRule="exact"/>
              <w:rPr>
                <w:rFonts w:hint="eastAsia" w:ascii="Times New Roman" w:hAnsi="Times New Roman" w:cs="Times New Roman" w:eastAsiaTheme="minorEastAsia"/>
                <w:color w:val="000000"/>
                <w:sz w:val="24"/>
                <w:lang w:eastAsia="zh-CN"/>
              </w:rPr>
            </w:pPr>
            <w:r>
              <w:rPr>
                <w:rFonts w:hint="default" w:ascii="Times New Roman" w:hAnsi="Times New Roman" w:cs="Times New Roman"/>
                <w:b/>
                <w:bCs/>
                <w:color w:val="000000"/>
                <w:sz w:val="24"/>
              </w:rPr>
              <w:t xml:space="preserve">总计（元）</w:t>
            </w:r>
            <w:r>
              <w:rPr>
                <w:rFonts w:hint="eastAsia" w:ascii="Times New Roman" w:hAnsi="Times New Roman" w:cs="Times New Roman"/>
                <w:b/>
                <w:bCs/>
                <w:color w:val="000000"/>
                <w:sz w:val="24"/>
                <w:lang w:eastAsia="zh-CN"/>
              </w:rPr>
              <w:t xml:space="preserve">（</w:t>
            </w:r>
            <w:r>
              <w:rPr>
                <w:rFonts w:hint="eastAsia" w:ascii="Times New Roman" w:hAnsi="Times New Roman" w:cs="Times New Roman"/>
                <w:b/>
                <w:bCs/>
                <w:color w:val="000000"/>
                <w:sz w:val="24"/>
                <w:lang w:val="en-US" w:eastAsia="zh-CN"/>
              </w:rPr>
              <w:t xml:space="preserve">须与开标一览表中总价一致</w:t>
            </w:r>
            <w:r>
              <w:rPr>
                <w:rFonts w:hint="eastAsia" w:ascii="Times New Roman" w:hAnsi="Times New Roman" w:cs="Times New Roman"/>
                <w:b/>
                <w:bCs/>
                <w:color w:val="000000"/>
                <w:sz w:val="24"/>
                <w:lang w:eastAsia="zh-CN"/>
              </w:rPr>
              <w:t xml:space="preserve">）</w:t>
            </w:r>
            <w:r/>
          </w:p>
        </w:tc>
        <w:tc>
          <w:tcPr>
            <w:tcW w:w="1491"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r>
    </w:tbl>
    <w:p>
      <w:pPr>
        <w:ind w:firstLine="420"/>
        <w:spacing w:line="360" w:lineRule="auto"/>
        <w:rPr>
          <w:rFonts w:hint="default" w:ascii="Times New Roman" w:hAnsi="Times New Roman" w:eastAsia="宋体" w:cs="Times New Roman"/>
          <w:color w:val="000000"/>
          <w:szCs w:val="24"/>
        </w:rPr>
      </w:pPr>
      <w:r>
        <w:rPr>
          <w:rFonts w:hint="default" w:ascii="Times New Roman" w:hAnsi="Times New Roman" w:eastAsia="宋体" w:cs="Times New Roman"/>
          <w:color w:val="000000"/>
          <w:szCs w:val="24"/>
        </w:rPr>
      </w:r>
      <w:r/>
    </w:p>
    <w:p>
      <w:pPr>
        <w:ind w:firstLine="480"/>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投标人（盖章）：</w:t>
      </w:r>
      <w:r/>
    </w:p>
    <w:p>
      <w:pPr>
        <w:ind w:firstLine="480"/>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法定代表人（单位负责人）或委托代理人（签字或盖章）：</w:t>
      </w:r>
      <w:r/>
    </w:p>
    <w:p>
      <w:pPr>
        <w:ind w:firstLine="480"/>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日期：    年     月     日</w:t>
      </w:r>
      <w:r/>
    </w:p>
    <w:p>
      <w:pPr>
        <w:ind w:firstLine="480"/>
        <w:spacing w:line="500" w:lineRule="exact"/>
        <w:rPr>
          <w:rFonts w:hint="default" w:ascii="Times New Roman" w:hAnsi="Times New Roman" w:eastAsia="宋体" w:cs="Times New Roman"/>
          <w:color w:val="000000"/>
          <w:sz w:val="24"/>
          <w:szCs w:val="24"/>
          <w:highlight w:val="yellow"/>
        </w:rPr>
      </w:pPr>
      <w:r>
        <w:rPr>
          <w:rFonts w:hint="default" w:ascii="Times New Roman" w:hAnsi="Times New Roman" w:eastAsia="宋体" w:cs="Times New Roman"/>
          <w:color w:val="000000"/>
          <w:sz w:val="24"/>
          <w:szCs w:val="24"/>
          <w:highlight w:val="yellow"/>
        </w:rPr>
      </w:r>
      <w:r/>
    </w:p>
    <w:p>
      <w:pPr>
        <w:jc w:val="center"/>
        <w:spacing w:line="360" w:lineRule="auto"/>
        <w:tabs>
          <w:tab w:val="left" w:pos="360" w:leader="none"/>
        </w:tabs>
        <w:rPr>
          <w:rFonts w:hint="default" w:ascii="Times New Roman" w:hAnsi="Times New Roman" w:cs="Times New Roman"/>
          <w:b/>
          <w:bCs/>
          <w:color w:val="000000"/>
          <w:sz w:val="24"/>
          <w:lang w:val="en-US" w:eastAsia="zh-CN"/>
        </w:rPr>
      </w:pPr>
      <w:r>
        <w:rPr>
          <w:rFonts w:hint="eastAsia" w:ascii="黑体" w:hAnsi="黑体" w:eastAsia="黑体" w:cs="宋体"/>
          <w:bCs/>
          <w:sz w:val="36"/>
          <w:szCs w:val="28"/>
          <w:lang w:val="en-US" w:eastAsia="zh-CN"/>
        </w:rPr>
        <w:t xml:space="preserve">货物</w:t>
      </w:r>
      <w:r>
        <w:rPr>
          <w:rFonts w:hint="eastAsia" w:ascii="黑体" w:hAnsi="黑体" w:eastAsia="黑体" w:cs="宋体"/>
          <w:bCs/>
          <w:sz w:val="36"/>
          <w:szCs w:val="28"/>
        </w:rPr>
        <w:t xml:space="preserve">投标分项报价表</w:t>
      </w:r>
      <w:r>
        <w:rPr>
          <w:rFonts w:hint="eastAsia" w:ascii="黑体" w:hAnsi="黑体" w:eastAsia="黑体" w:cs="宋体"/>
          <w:bCs/>
          <w:sz w:val="36"/>
          <w:szCs w:val="28"/>
          <w:lang w:eastAsia="zh-CN"/>
        </w:rPr>
        <w:t xml:space="preserve">（</w:t>
      </w:r>
      <w:r>
        <w:rPr>
          <w:rFonts w:hint="eastAsia" w:ascii="黑体" w:hAnsi="黑体" w:eastAsia="黑体" w:cs="宋体"/>
          <w:bCs/>
          <w:sz w:val="36"/>
          <w:szCs w:val="28"/>
          <w:lang w:val="en-US" w:eastAsia="zh-CN"/>
        </w:rPr>
        <w:t xml:space="preserve">二</w:t>
      </w:r>
      <w:r>
        <w:rPr>
          <w:rFonts w:hint="eastAsia" w:ascii="黑体" w:hAnsi="黑体" w:eastAsia="黑体" w:cs="宋体"/>
          <w:bCs/>
          <w:sz w:val="36"/>
          <w:szCs w:val="28"/>
          <w:lang w:eastAsia="zh-CN"/>
        </w:rPr>
        <w:t xml:space="preserve">）</w:t>
      </w:r>
      <w:r/>
    </w:p>
    <w:p>
      <w:pPr>
        <w:jc w:val="left"/>
        <w:spacing w:line="560" w:lineRule="exact"/>
        <w:rPr>
          <w:rFonts w:hint="default" w:ascii="Times New Roman" w:hAnsi="Times New Roman" w:cs="Times New Roman"/>
          <w:b/>
          <w:bCs/>
          <w:color w:val="000000"/>
          <w:sz w:val="24"/>
          <w:lang w:val="en-US" w:eastAsia="zh-CN"/>
        </w:rPr>
      </w:pPr>
      <w:r>
        <w:rPr>
          <w:rFonts w:hint="eastAsia" w:ascii="Times New Roman" w:hAnsi="Times New Roman" w:cs="Times New Roman"/>
          <w:b/>
          <w:bCs/>
          <w:color w:val="000000"/>
          <w:sz w:val="24"/>
          <w:lang w:val="en-US" w:eastAsia="zh-CN"/>
        </w:rPr>
        <w:t xml:space="preserve">注：本表格仅针对本项目中涉及的货物报价详细表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847"/>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722"/>
        <w:gridCol w:w="1060"/>
        <w:gridCol w:w="92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tcW w:w="1205"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1061" w:type="dxa"/>
            <w:vAlign w:val="center"/>
            <w:textDirection w:val="lrTb"/>
            <w:noWrap w:val="false"/>
          </w:tcPr>
          <w:p>
            <w:pPr>
              <w:jc w:val="center"/>
              <w:spacing w:line="360" w:lineRule="auto"/>
              <w:widowControl/>
              <w:rPr>
                <w:rFonts w:hint="default" w:ascii="Times New Roman" w:hAnsi="Times New Roman" w:eastAsia="宋体"/>
                <w:bCs/>
                <w:color w:val="000000"/>
                <w:szCs w:val="24"/>
                <w:lang w:val="en-US" w:eastAsia="zh-CN"/>
              </w:rPr>
            </w:pPr>
            <w:r>
              <w:rPr>
                <w:rFonts w:hint="eastAsia" w:ascii="Times New Roman" w:hAnsi="Times New Roman"/>
                <w:b/>
                <w:bCs w:val="0"/>
                <w:color w:val="000000"/>
                <w:szCs w:val="24"/>
                <w:highlight w:val="none"/>
                <w:lang w:val="en-US" w:eastAsia="zh-CN"/>
              </w:rPr>
              <w:t xml:space="preserve">是否符合本国产品标准</w:t>
            </w:r>
            <w:r/>
          </w:p>
        </w:tc>
        <w:tc>
          <w:tcPr>
            <w:tcW w:w="645"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gridSpan w:val="2"/>
            <w:tcW w:w="66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2"/>
            <w:tcW w:w="1042"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722"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106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92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2"/>
            <w:tcW w:w="794" w:type="dxa"/>
            <w:vAlign w:val="center"/>
            <w:textDirection w:val="lrTb"/>
            <w:noWrap w:val="false"/>
          </w:tcPr>
          <w:p>
            <w:pPr>
              <w:jc w:val="center"/>
              <w:spacing w:line="360" w:lineRule="auto"/>
              <w:widowControl/>
              <w:rPr>
                <w:rFonts w:hint="eastAsia" w:ascii="Times New Roman" w:hAnsi="Times New Roman"/>
                <w:color w:val="000000"/>
                <w:szCs w:val="24"/>
              </w:rPr>
            </w:pPr>
            <w:r>
              <w:rPr>
                <w:rFonts w:hint="eastAsia" w:ascii="Times New Roman" w:hAnsi="Times New Roman"/>
                <w:color w:val="000000"/>
                <w:szCs w:val="24"/>
              </w:rPr>
            </w:r>
            <w:r/>
          </w:p>
        </w:tc>
        <w:tc>
          <w:tcPr>
            <w:gridSpan w:val="5"/>
            <w:tcW w:w="3916"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13"/>
            <w:tcW w:w="9200" w:type="dxa"/>
            <w:vAlign w:val="center"/>
            <w:textDirection w:val="lrTb"/>
            <w:noWrap/>
          </w:tcPr>
          <w:p>
            <w:pPr>
              <w:spacing w:line="360" w:lineRule="auto"/>
              <w:widowControl/>
              <w:rPr>
                <w:rFonts w:hint="eastAsia" w:ascii="宋体" w:hAnsi="宋体" w:eastAsia="宋体" w:cs="Times New Roman"/>
                <w:b/>
                <w:bCs/>
                <w:color w:val="auto"/>
                <w:sz w:val="24"/>
                <w:szCs w:val="32"/>
                <w:highlight w:val="green"/>
              </w:rPr>
            </w:pPr>
            <w:r>
              <w:rPr>
                <w:rFonts w:hint="eastAsia" w:ascii="宋体" w:hAnsi="宋体" w:eastAsia="宋体" w:cs="Times New Roman"/>
                <w:b/>
                <w:bCs/>
                <w:color w:val="auto"/>
                <w:sz w:val="24"/>
                <w:szCs w:val="32"/>
                <w:highlight w:val="none"/>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ascii="宋体" w:hAnsi="宋体"/>
          <w:color w:val="000000"/>
          <w:szCs w:val="20"/>
        </w:rPr>
      </w:pPr>
      <w:r>
        <w:rPr>
          <w:rFonts w:ascii="宋体" w:hAnsi="宋体"/>
          <w:color w:val="000000"/>
          <w:szCs w:val="20"/>
        </w:rPr>
      </w:r>
      <w:r/>
    </w:p>
    <w:p>
      <w:pPr>
        <w:ind w:firstLine="480"/>
        <w:jc w:val="left"/>
        <w:spacing w:line="360" w:lineRule="auto"/>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填报说明：</w:t>
      </w:r>
      <w:r/>
    </w:p>
    <w:p>
      <w:pPr>
        <w:ind w:firstLine="480"/>
        <w:jc w:val="left"/>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w:t>
      </w:r>
      <w:r>
        <w:rPr>
          <w:rFonts w:hint="eastAsia" w:asciiTheme="minorEastAsia" w:hAnsiTheme="minorEastAsia" w:eastAsiaTheme="minorEastAsia" w:cstheme="minorEastAsia"/>
          <w:bCs/>
          <w:sz w:val="24"/>
          <w:szCs w:val="24"/>
          <w:lang w:val="en-US" w:eastAsia="zh-CN"/>
        </w:rPr>
        <w:t xml:space="preserve">.</w:t>
      </w:r>
      <w:r>
        <w:rPr>
          <w:rFonts w:hint="eastAsia" w:asciiTheme="minorEastAsia" w:hAnsiTheme="minorEastAsia" w:eastAsiaTheme="minorEastAsia" w:cstheme="minorEastAsia"/>
          <w:bCs/>
          <w:sz w:val="24"/>
          <w:szCs w:val="24"/>
        </w:rPr>
        <w:t xml:space="preserve">“制造商企业类型”栏填写内容为“大型”“中型”“小型”“微型”“监狱企业”或“残疾人福利性单位”。</w:t>
      </w:r>
      <w:r/>
    </w:p>
    <w:p>
      <w:pPr>
        <w:ind w:firstLine="480"/>
        <w:jc w:val="left"/>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lang w:val="en-US" w:eastAsia="zh-CN"/>
        </w:rPr>
        <w:t xml:space="preserve">2.</w:t>
      </w:r>
      <w:r>
        <w:rPr>
          <w:rFonts w:hint="eastAsia" w:asciiTheme="minorEastAsia" w:hAnsiTheme="minorEastAsia" w:eastAsiaTheme="minorEastAsia" w:cstheme="minorEastAsia"/>
          <w:bCs/>
          <w:sz w:val="24"/>
          <w:szCs w:val="24"/>
        </w:rPr>
        <w:t xml:space="preserve">请供应商如实、正确填写本表，所填内容将作为评审的依据，其内容应与对应的证明资料相符。</w:t>
      </w:r>
      <w:r/>
    </w:p>
    <w:p>
      <w:pPr>
        <w:ind w:firstLine="480"/>
        <w:jc w:val="left"/>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lang w:val="en-US" w:eastAsia="zh-CN"/>
        </w:rPr>
        <w:t xml:space="preserve">3.</w:t>
      </w:r>
      <w:r>
        <w:rPr>
          <w:rFonts w:hint="eastAsia" w:asciiTheme="minorEastAsia" w:hAnsiTheme="minorEastAsia" w:eastAsiaTheme="minorEastAsia" w:cstheme="minorEastAsia"/>
          <w:bCs/>
          <w:sz w:val="24"/>
          <w:szCs w:val="24"/>
        </w:rPr>
        <w:t xml:space="preserve">行数或事项不够，可自行增加。投标人需认真填写本报价表，尤其注意规格型号的准确填写。</w:t>
      </w:r>
      <w:r/>
    </w:p>
    <w:p>
      <w:pPr>
        <w:ind w:firstLine="480"/>
        <w:jc w:val="left"/>
        <w:spacing w:line="360" w:lineRule="auto"/>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jc w:val="left"/>
        <w:spacing w:line="360" w:lineRule="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r>
      <w:r/>
    </w:p>
    <w:p>
      <w:pPr>
        <w:ind w:firstLine="480"/>
        <w:jc w:val="left"/>
        <w:spacing w:line="360" w:lineRule="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r>
      <w:r/>
    </w:p>
    <w:p>
      <w:pPr>
        <w:ind w:firstLine="480"/>
        <w:jc w:val="left"/>
        <w:spacing w:line="360" w:lineRule="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r>
      <w:r/>
    </w:p>
    <w:p>
      <w:pPr>
        <w:ind w:firstLine="480"/>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480"/>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480"/>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480"/>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480"/>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480"/>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rPr>
          <w:rFonts w:hint="default" w:ascii="Times New Roman" w:hAnsi="Times New Roman" w:eastAsia="宋体" w:cs="Times New Roman"/>
          <w:sz w:val="24"/>
          <w:szCs w:val="24"/>
        </w:rPr>
      </w:r>
      <w:r/>
    </w:p>
    <w:p>
      <w:pPr>
        <w:ind w:firstLine="480"/>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rPr>
          <w:rFonts w:hint="default" w:ascii="Times New Roman" w:hAnsi="Times New Roman" w:eastAsia="宋体" w:cs="Times New Roman"/>
          <w:sz w:val="24"/>
          <w:szCs w:val="24"/>
        </w:rPr>
      </w:r>
      <w:r/>
    </w:p>
    <w:p>
      <w:pPr>
        <w:ind w:firstLine="480"/>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keepLines/>
        <w:keepNext/>
        <w:spacing w:before="360" w:after="200" w:line="360" w:lineRule="auto"/>
        <w:rPr>
          <w:rFonts w:hint="eastAsia" w:ascii="Times New Roman" w:hAnsi="Times New Roman" w:eastAsia="宋体" w:cs="Times New Roman"/>
          <w:b/>
          <w:iCs/>
          <w:sz w:val="36"/>
        </w:rPr>
        <w:outlineLvl w:val="1"/>
      </w:pPr>
      <w:r>
        <w:rPr>
          <w:rFonts w:hint="eastAsia" w:ascii="Times New Roman" w:hAnsi="Times New Roman" w:eastAsia="宋体" w:cs="Times New Roman"/>
          <w:b/>
          <w:iCs/>
          <w:sz w:val="36"/>
          <w:lang w:val="en-US" w:eastAsia="zh-CN"/>
        </w:rPr>
        <w:t xml:space="preserve">十四、</w:t>
      </w:r>
      <w:r>
        <w:rPr>
          <w:rFonts w:hint="eastAsia" w:ascii="Times New Roman" w:hAnsi="Times New Roman" w:eastAsia="宋体" w:cs="Times New Roman"/>
          <w:b/>
          <w:iCs/>
          <w:sz w:val="36"/>
        </w:rPr>
        <w:t xml:space="preserve">关于符合本国产品标准的声明函</w:t>
      </w:r>
      <w:r/>
    </w:p>
    <w:p>
      <w:pPr>
        <w:pStyle w:val="857"/>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857"/>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7"/>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2153285</wp:posOffset>
                </wp:positionH>
                <wp:positionV relativeFrom="paragraph">
                  <wp:posOffset>692150</wp:posOffset>
                </wp:positionV>
                <wp:extent cx="565785" cy="130810"/>
                <wp:effectExtent l="1270" t="4445" r="4445" b="17145"/>
                <wp:wrapNone/>
                <wp:docPr id="1" name="直接箭头连接符 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0" o:spid="_x0000_s0" o:spt="32" type="#_x0000_t32" style="position:absolute;z-index:251669504;o:allowoverlap:true;o:allowincell:true;mso-position-horizontal-relative:text;margin-left:169.5pt;mso-position-horizontal:absolute;mso-position-vertical-relative:text;margin-top:54.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3097530</wp:posOffset>
                </wp:positionH>
                <wp:positionV relativeFrom="paragraph">
                  <wp:posOffset>693420</wp:posOffset>
                </wp:positionV>
                <wp:extent cx="876300" cy="120015"/>
                <wp:effectExtent l="635" t="4445" r="12065" b="15240"/>
                <wp:wrapNone/>
                <wp:docPr id="2" name="直接箭头连接符 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243.9pt;mso-position-horizontal:absolute;mso-position-vertical-relative:text;margin-top:54.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86360</wp:posOffset>
                </wp:positionH>
                <wp:positionV relativeFrom="paragraph">
                  <wp:posOffset>709930</wp:posOffset>
                </wp:positionV>
                <wp:extent cx="364490" cy="97790"/>
                <wp:effectExtent l="1270" t="4445" r="2540" b="12065"/>
                <wp:wrapNone/>
                <wp:docPr id="3" name="直接箭头连接符 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 o:spid="_x0000_s2" o:spt="32" type="#_x0000_t32" style="position:absolute;z-index:251667456;o:allowoverlap:true;o:allowincell:true;mso-position-horizontal-relative:text;margin-left:6.8pt;mso-position-horizontal:absolute;mso-position-vertical-relative:text;margin-top:55.9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3977640</wp:posOffset>
                </wp:positionH>
                <wp:positionV relativeFrom="paragraph">
                  <wp:posOffset>389890</wp:posOffset>
                </wp:positionV>
                <wp:extent cx="816610" cy="103505"/>
                <wp:effectExtent l="635" t="4445" r="8255" b="6350"/>
                <wp:wrapNone/>
                <wp:docPr id="4"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313.2pt;mso-position-horizontal:absolute;mso-position-vertical-relative:text;margin-top:30.7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434975</wp:posOffset>
                </wp:positionV>
                <wp:extent cx="816610" cy="76200"/>
                <wp:effectExtent l="635" t="4445" r="8255" b="8255"/>
                <wp:wrapNone/>
                <wp:docPr id="5"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222.8pt;mso-position-horizontal:absolute;mso-position-vertical-relative:text;margin-top:34.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4728845</wp:posOffset>
                </wp:positionH>
                <wp:positionV relativeFrom="paragraph">
                  <wp:posOffset>96520</wp:posOffset>
                </wp:positionV>
                <wp:extent cx="577215" cy="92075"/>
                <wp:effectExtent l="635" t="4445" r="6350" b="5080"/>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72.3pt;mso-position-horizontal:absolute;mso-position-vertical-relative:text;margin-top:7.6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1.</w:t>
      </w:r>
      <w:r>
        <w:rPr>
          <w:rStyle w:val="860"/>
          <w:rFonts w:hint="eastAsia" w:ascii="宋体" w:hAnsi="宋体" w:eastAsia="宋体" w:cs="宋体"/>
          <w:i w:val="0"/>
          <w:color w:val="auto"/>
          <w:sz w:val="24"/>
          <w:szCs w:val="24"/>
          <w:highlight w:val="none"/>
          <w:u w:val="single"/>
          <w:shd w:val="clear" w:color="auto" w:fill="ffffff"/>
        </w:rPr>
        <w:t xml:space="preserve">（产品名称1）</w:t>
      </w:r>
      <w:r>
        <w:rPr>
          <w:rStyle w:val="860"/>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860"/>
          <w:rFonts w:hint="eastAsia" w:ascii="宋体" w:hAnsi="宋体" w:eastAsia="宋体" w:cs="宋体"/>
          <w:i w:val="0"/>
          <w:color w:val="auto"/>
          <w:sz w:val="24"/>
          <w:szCs w:val="24"/>
          <w:highlight w:val="none"/>
          <w:u w:val="single"/>
          <w:shd w:val="clear" w:color="auto" w:fill="ffffff"/>
        </w:rPr>
        <w:t xml:space="preserve">（厂名）</w:t>
      </w:r>
      <w:r>
        <w:rPr>
          <w:rStyle w:val="860"/>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860"/>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860"/>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860"/>
          <w:rFonts w:hint="eastAsia" w:ascii="宋体" w:hAnsi="宋体" w:eastAsia="宋体" w:cs="宋体"/>
          <w:i w:val="0"/>
          <w:color w:val="auto"/>
          <w:sz w:val="24"/>
          <w:szCs w:val="24"/>
          <w:highlight w:val="none"/>
          <w:u w:val="single"/>
          <w:shd w:val="clear" w:color="auto" w:fill="ffffff"/>
        </w:rPr>
        <w:t xml:space="preserve">（规定比例）</w:t>
      </w:r>
      <w:r>
        <w:rPr>
          <w:rStyle w:val="860"/>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860"/>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60"/>
          <w:rFonts w:hint="eastAsia" w:ascii="宋体" w:hAnsi="宋体" w:eastAsia="宋体" w:cs="宋体"/>
          <w:i w:val="0"/>
          <w:color w:val="auto"/>
          <w:sz w:val="24"/>
          <w:szCs w:val="24"/>
          <w:highlight w:val="none"/>
          <w:u w:val="single"/>
          <w:shd w:val="clear" w:color="auto" w:fill="ffffff"/>
        </w:rPr>
        <w:t xml:space="preserve">（关键组件）</w:t>
      </w:r>
      <w:r>
        <w:rPr>
          <w:rStyle w:val="860"/>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860"/>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60"/>
          <w:rFonts w:hint="eastAsia" w:ascii="宋体" w:hAnsi="宋体" w:eastAsia="宋体" w:cs="宋体"/>
          <w:i w:val="0"/>
          <w:color w:val="auto"/>
          <w:sz w:val="24"/>
          <w:szCs w:val="24"/>
          <w:highlight w:val="none"/>
          <w:u w:val="single"/>
          <w:shd w:val="clear" w:color="auto" w:fill="ffffff"/>
        </w:rPr>
        <w:t xml:space="preserve">（关键工序）</w:t>
      </w:r>
      <w:r>
        <w:rPr>
          <w:rStyle w:val="860"/>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857"/>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1677035</wp:posOffset>
                </wp:positionH>
                <wp:positionV relativeFrom="paragraph">
                  <wp:posOffset>692785</wp:posOffset>
                </wp:positionV>
                <wp:extent cx="908685" cy="140970"/>
                <wp:effectExtent l="635" t="4445" r="5080" b="6985"/>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4384;o:allowoverlap:true;o:allowincell:true;mso-position-horizontal-relative:text;margin-left:132.0pt;mso-position-horizontal:absolute;mso-position-vertical-relative:text;margin-top:54.5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4819015</wp:posOffset>
                </wp:positionH>
                <wp:positionV relativeFrom="paragraph">
                  <wp:posOffset>357505</wp:posOffset>
                </wp:positionV>
                <wp:extent cx="462280" cy="147320"/>
                <wp:effectExtent l="1270" t="4445" r="6350" b="13335"/>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379.4pt;mso-position-horizontal:absolute;mso-position-vertical-relative:text;margin-top:28.1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2861945</wp:posOffset>
                </wp:positionH>
                <wp:positionV relativeFrom="paragraph">
                  <wp:posOffset>686435</wp:posOffset>
                </wp:positionV>
                <wp:extent cx="816610" cy="147320"/>
                <wp:effectExtent l="635" t="4445" r="8255" b="13335"/>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225.3pt;mso-position-horizontal:absolute;mso-position-vertical-relative:text;margin-top:54.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4523740</wp:posOffset>
                </wp:positionH>
                <wp:positionV relativeFrom="paragraph">
                  <wp:posOffset>116840</wp:posOffset>
                </wp:positionV>
                <wp:extent cx="718185" cy="97790"/>
                <wp:effectExtent l="635" t="4445" r="5080" b="12065"/>
                <wp:wrapNone/>
                <wp:docPr id="10" name="直接箭头连接符 10"/>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356.2pt;mso-position-horizontal:absolute;mso-position-vertical-relative:text;margin-top:9.2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123190</wp:posOffset>
                </wp:positionH>
                <wp:positionV relativeFrom="paragraph">
                  <wp:posOffset>692785</wp:posOffset>
                </wp:positionV>
                <wp:extent cx="821690" cy="102870"/>
                <wp:effectExtent l="635" t="4445" r="3175" b="6985"/>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635" t="4445" r="6350" b="9525"/>
                <wp:wrapNone/>
                <wp:docPr id="12" name="直接箭头连接符 1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3682365</wp:posOffset>
                </wp:positionH>
                <wp:positionV relativeFrom="paragraph">
                  <wp:posOffset>372745</wp:posOffset>
                </wp:positionV>
                <wp:extent cx="849630" cy="120015"/>
                <wp:effectExtent l="635" t="4445" r="635" b="15240"/>
                <wp:wrapNone/>
                <wp:docPr id="13"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2.</w:t>
      </w:r>
      <w:r>
        <w:rPr>
          <w:rStyle w:val="860"/>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860"/>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860"/>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860"/>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860"/>
          <w:rFonts w:hint="eastAsia" w:ascii="宋体" w:hAnsi="宋体" w:eastAsia="宋体" w:cs="宋体"/>
          <w:i w:val="0"/>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860"/>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860"/>
          <w:rFonts w:hint="eastAsia" w:ascii="宋体" w:hAnsi="宋体" w:eastAsia="宋体" w:cs="宋体"/>
          <w:i w:val="0"/>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860"/>
          <w:rFonts w:hint="eastAsia" w:ascii="宋体" w:hAnsi="宋体" w:eastAsia="宋体" w:cs="宋体"/>
          <w:i w:val="0"/>
          <w:color w:val="auto"/>
          <w:sz w:val="24"/>
          <w:szCs w:val="24"/>
          <w:highlight w:val="none"/>
          <w:u w:val="single"/>
          <w:shd w:val="clear" w:color="auto" w:fill="ffffff"/>
        </w:rPr>
        <w:t xml:space="preserve">（产品名称</w:t>
      </w:r>
      <w:r>
        <w:rPr>
          <w:rStyle w:val="860"/>
          <w:rFonts w:hint="eastAsia" w:ascii="宋体" w:hAnsi="宋体" w:eastAsia="宋体" w:cs="宋体"/>
          <w:i w:val="0"/>
          <w:color w:val="auto"/>
          <w:sz w:val="24"/>
          <w:szCs w:val="24"/>
          <w:highlight w:val="none"/>
          <w:u w:val="single"/>
          <w:shd w:val="clear" w:color="auto" w:fill="ffffff"/>
          <w:lang w:val="en-US" w:eastAsia="zh-CN"/>
        </w:rPr>
        <w:t xml:space="preserve">2</w:t>
      </w:r>
      <w:r>
        <w:rPr>
          <w:rStyle w:val="860"/>
          <w:rFonts w:hint="eastAsia" w:ascii="宋体" w:hAnsi="宋体" w:eastAsia="宋体" w:cs="宋体"/>
          <w:i w:val="0"/>
          <w:color w:val="auto"/>
          <w:sz w:val="24"/>
          <w:szCs w:val="24"/>
          <w:highlight w:val="none"/>
          <w:u w:val="single"/>
          <w:shd w:val="clear" w:color="auto" w:fill="ffffff"/>
        </w:rPr>
        <w:t xml:space="preserve">）</w:t>
      </w:r>
      <w:r>
        <w:rPr>
          <w:rFonts w:hint="eastAsia" w:ascii="宋体" w:hAnsi="宋体" w:eastAsia="宋体" w:cs="宋体"/>
          <w:color w:val="auto"/>
          <w:sz w:val="24"/>
          <w:szCs w:val="24"/>
          <w:highlight w:val="none"/>
          <w:shd w:val="clear" w:color="auto" w:fill="ffffff"/>
        </w:rPr>
        <w:t xml:space="preserve">的</w:t>
      </w:r>
      <w:r>
        <w:rPr>
          <w:rStyle w:val="860"/>
          <w:rFonts w:hint="eastAsia" w:ascii="宋体" w:hAnsi="宋体" w:eastAsia="宋体" w:cs="宋体"/>
          <w:i w:val="0"/>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pStyle w:val="857"/>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857"/>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857"/>
        <w:ind w:right="480" w:firstLine="37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857"/>
        <w:jc w:val="center"/>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857"/>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857"/>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857"/>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857"/>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857"/>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jc w:val="left"/>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请供应商如实填写，如填写有误，将承担一切不利后果。</w:t>
      </w:r>
      <w:r/>
    </w:p>
    <w:p>
      <w:pPr>
        <w:pStyle w:val="857"/>
        <w:ind w:left="0" w:right="0" w:firstLine="0"/>
        <w:keepLines w:val="0"/>
        <w:keepNext w:val="0"/>
        <w:spacing w:before="0" w:beforeAutospacing="0" w:after="150" w:afterAutospacing="0" w:line="27" w:lineRule="atLeast"/>
        <w:shd w:val="clear" w:color="auto" w:fill="ffffff"/>
        <w:widowControl/>
        <w:rPr>
          <w:rFonts w:hint="eastAsia" w:ascii="宋体" w:hAnsi="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供应商提供虚假《声明函》、虚假证明文件谋取中标的，依照《中华人民共</w:t>
      </w:r>
      <w:r/>
    </w:p>
    <w:p>
      <w:pPr>
        <w:pStyle w:val="857"/>
        <w:ind w:left="0" w:right="0" w:firstLine="0"/>
        <w:keepLines w:val="0"/>
        <w:keepNext w:val="0"/>
        <w:spacing w:before="0" w:beforeAutospacing="0" w:after="150" w:afterAutospacing="0" w:line="27" w:lineRule="atLeast"/>
        <w:shd w:val="clear" w:color="auto" w:fill="ffffff"/>
        <w:widowControl/>
        <w:rPr>
          <w:rFonts w:hint="eastAsia" w:ascii="宋体" w:hAnsi="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sz w:val="24"/>
          <w:szCs w:val="24"/>
          <w:highlight w:val="none"/>
        </w:rPr>
        <w:t xml:space="preserve">国政府采购法》等法律法规规定追究相应责任。</w:t>
      </w:r>
      <w:r/>
    </w:p>
    <w:p>
      <w:pPr>
        <w:pStyle w:val="857"/>
        <w:ind w:left="0" w:right="0" w:firstLine="0"/>
        <w:keepLines w:val="0"/>
        <w:keepNext w:val="0"/>
        <w:spacing w:before="0" w:beforeAutospacing="0" w:after="150" w:afterAutospacing="0" w:line="27" w:lineRule="atLeast"/>
        <w:shd w:val="clear" w:color="auto" w:fill="ffffff"/>
        <w:widowControl/>
        <w:rPr>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9.</w:t>
      </w:r>
      <w:r>
        <w:rPr>
          <w:rFonts w:hint="eastAsia" w:ascii="宋体" w:hAnsi="宋体"/>
          <w:sz w:val="24"/>
          <w:szCs w:val="24"/>
          <w:highlight w:val="none"/>
        </w:rPr>
        <w:t xml:space="preserve">中标人的</w:t>
      </w:r>
      <w:r>
        <w:rPr>
          <w:rFonts w:hint="eastAsia" w:ascii="宋体" w:hAnsi="宋体" w:eastAsia="宋体" w:cs="宋体"/>
          <w:i w:val="0"/>
          <w:iCs w:val="0"/>
          <w:caps w:val="0"/>
          <w:color w:val="333333"/>
          <w:spacing w:val="0"/>
          <w:sz w:val="24"/>
          <w:szCs w:val="24"/>
          <w:highlight w:val="none"/>
          <w:shd w:val="clear" w:color="auto" w:fill="ffffff"/>
        </w:rPr>
        <w:t xml:space="preserve">《声明函》或有关证明文件</w:t>
      </w:r>
      <w:r>
        <w:rPr>
          <w:rFonts w:hint="eastAsia" w:ascii="宋体" w:hAnsi="宋体"/>
          <w:sz w:val="24"/>
          <w:szCs w:val="24"/>
          <w:highlight w:val="none"/>
        </w:rPr>
        <w:t xml:space="preserve">随中标结果公开，接受社会监督。</w:t>
      </w:r>
      <w:r/>
    </w:p>
    <w:p>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rPr>
        <w:t xml:space="preserve">十五、技术要求响应及偏离表</w:t>
      </w:r>
      <w:r>
        <w:rPr>
          <w:rFonts w:hint="eastAsia" w:ascii="Arial" w:hAnsi="Arial" w:eastAsia="宋体" w:cs="Arial"/>
          <w:b/>
          <w:iCs/>
          <w:sz w:val="36"/>
          <w:highlight w:val="none"/>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p>
    <w:tbl>
      <w:tblPr>
        <w:tblStyle w:val="847"/>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541"/>
        <w:gridCol w:w="3261"/>
        <w:gridCol w:w="1595"/>
      </w:tblGrid>
      <w:tr>
        <w:trPr>
          <w:cantSplit/>
          <w:jc w:val="center"/>
        </w:trPr>
        <w:tc>
          <w:tcPr>
            <w:tcW w:w="94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54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26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59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bookmarkStart w:id="11" w:name="_Hlt26955054"/>
      <w:r/>
      <w:bookmarkEnd w:id="11"/>
      <w:r>
        <w:rPr>
          <w:rFonts w:hint="eastAsia" w:ascii="Arial" w:hAnsi="Arial" w:eastAsia="宋体" w:cs="Arial"/>
          <w:b/>
          <w:iCs/>
          <w:sz w:val="36"/>
        </w:rPr>
        <w:t xml:space="preserve">十六、商务要求响应及偏离表</w:t>
      </w:r>
      <w:r>
        <w:rPr>
          <w:rFonts w:hint="eastAsia" w:ascii="Arial" w:hAnsi="Arial" w:eastAsia="宋体" w:cs="Arial"/>
          <w:b/>
          <w:iCs/>
          <w:sz w:val="36"/>
          <w:highlight w:val="none"/>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847"/>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2607"/>
        <w:gridCol w:w="2460"/>
        <w:gridCol w:w="2085"/>
      </w:tblGrid>
      <w:tr>
        <w:trPr>
          <w:cantSplit/>
        </w:trPr>
        <w:tc>
          <w:tcPr>
            <w:tcW w:w="1128" w:type="dxa"/>
            <w:vAlign w:val="center"/>
            <w:textDirection w:val="lrTb"/>
            <w:noWrap w:val="false"/>
          </w:tcPr>
          <w:p>
            <w:pPr>
              <w:jc w:val="center"/>
              <w:spacing w:line="360" w:lineRule="auto"/>
              <w:rPr>
                <w:rFonts w:ascii="宋体" w:hAnsi="宋体" w:eastAsia="宋体" w:cs="Times New Roman"/>
                <w:color w:val="000000"/>
                <w:sz w:val="24"/>
                <w:szCs w:val="24"/>
              </w:rPr>
            </w:pPr>
            <w:r/>
            <w:bookmarkStart w:id="12" w:name="_Hlt24879081"/>
            <w:r/>
            <w:bookmarkEnd w:id="12"/>
            <w:r/>
            <w:bookmarkStart w:id="13" w:name="_Hlt26580838"/>
            <w:r/>
            <w:bookmarkEnd w:id="13"/>
            <w:r/>
            <w:bookmarkStart w:id="14" w:name="_Hlt26955064"/>
            <w:r/>
            <w:bookmarkEnd w:id="14"/>
            <w:r/>
            <w:bookmarkStart w:id="15" w:name="_Hlt26955056"/>
            <w:r/>
            <w:bookmarkEnd w:id="15"/>
            <w:r/>
            <w:bookmarkStart w:id="16" w:name="_Hlt26782999"/>
            <w:r/>
            <w:bookmarkEnd w:id="16"/>
            <w:r/>
            <w:bookmarkStart w:id="17" w:name="_Hlt26671372"/>
            <w:r/>
            <w:bookmarkEnd w:id="17"/>
            <w:r/>
            <w:bookmarkStart w:id="18" w:name="_Hlt26609391"/>
            <w:r/>
            <w:bookmarkEnd w:id="18"/>
            <w:r/>
            <w:bookmarkStart w:id="19" w:name="_Hlt26671343"/>
            <w:r/>
            <w:bookmarkEnd w:id="19"/>
            <w:r>
              <w:rPr>
                <w:rFonts w:hint="eastAsia" w:ascii="宋体" w:hAnsi="宋体" w:eastAsia="宋体" w:cs="Times New Roman"/>
                <w:color w:val="000000"/>
                <w:sz w:val="24"/>
                <w:szCs w:val="24"/>
              </w:rPr>
              <w:t xml:space="preserve">序号</w:t>
            </w:r>
            <w:r/>
          </w:p>
        </w:tc>
        <w:tc>
          <w:tcPr>
            <w:tcW w:w="2607"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46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0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0" w:name="_Hlt26609389"/>
      <w:r/>
      <w:bookmarkEnd w:id="20"/>
      <w:r/>
      <w:bookmarkStart w:id="21" w:name="_Hlt26671374"/>
      <w:r/>
      <w:bookmarkEnd w:id="21"/>
      <w:r/>
      <w:bookmarkStart w:id="22" w:name="_Hlt26955066"/>
      <w:r/>
      <w:bookmarkEnd w:id="22"/>
      <w:r/>
      <w:bookmarkStart w:id="23" w:name="_格式2__法定代表人授权书"/>
      <w:r/>
      <w:bookmarkEnd w:id="23"/>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rPr>
        <w:t xml:space="preserve">十七、类似项目业绩一览表</w:t>
      </w:r>
      <w:r>
        <w:rPr>
          <w:rFonts w:hint="eastAsia" w:ascii="Arial" w:hAnsi="Arial" w:eastAsia="宋体" w:cs="Arial"/>
          <w:b/>
          <w:iCs/>
          <w:sz w:val="36"/>
          <w:highlight w:val="none"/>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ind w:firstLine="240"/>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847"/>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226"/>
        <w:gridCol w:w="1890"/>
        <w:gridCol w:w="1755"/>
        <w:gridCol w:w="1713"/>
      </w:tblGrid>
      <w:tr>
        <w:trPr>
          <w:cantSplit/>
          <w:jc w:val="center"/>
        </w:trPr>
        <w:tc>
          <w:tcPr>
            <w:tcW w:w="7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2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9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75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71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sz w:val="36"/>
          <w:szCs w:val="36"/>
        </w:rPr>
      </w:pPr>
      <w:r>
        <w:rPr>
          <w:rFonts w:ascii="Arial" w:hAnsi="Arial" w:eastAsia="宋体" w:cs="Arial"/>
          <w:iCs/>
          <w:sz w:val="36"/>
        </w:rPr>
      </w:r>
      <w:r>
        <w:rPr>
          <w:rFonts w:ascii="Arial" w:hAnsi="Arial" w:eastAsia="宋体" w:cs="Arial"/>
          <w:iCs/>
          <w:sz w:val="36"/>
        </w:rPr>
      </w:r>
      <w:r/>
    </w:p>
    <w:p>
      <w:pPr>
        <w:rPr>
          <w:rFonts w:ascii="Arial" w:hAnsi="Arial" w:eastAsia="宋体" w:cs="Arial"/>
          <w:sz w:val="36"/>
          <w:szCs w:val="36"/>
        </w:rPr>
      </w:pPr>
      <w:r>
        <w:rPr>
          <w:rFonts w:ascii="Arial" w:hAnsi="Arial" w:eastAsia="宋体" w:cs="Arial"/>
          <w:iCs/>
          <w:sz w:val="36"/>
          <w:szCs w:val="36"/>
        </w:rPr>
      </w:r>
      <w:r>
        <w:rPr>
          <w:rFonts w:ascii="Arial" w:hAnsi="Arial" w:eastAsia="宋体" w:cs="Arial"/>
          <w:iCs/>
          <w:sz w:val="36"/>
          <w:szCs w:val="36"/>
        </w:rPr>
      </w:r>
      <w:r/>
    </w:p>
    <w:p>
      <w:pPr>
        <w:rPr>
          <w:rFonts w:ascii="Arial" w:hAnsi="Arial" w:eastAsia="宋体" w:cs="Arial"/>
          <w:iCs/>
          <w:sz w:val="36"/>
          <w:szCs w:val="36"/>
        </w:rPr>
      </w:pPr>
      <w:r>
        <w:rPr>
          <w:rFonts w:ascii="Arial" w:hAnsi="Arial" w:eastAsia="宋体" w:cs="Arial"/>
          <w:iCs/>
          <w:sz w:val="36"/>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ind w:firstLine="600"/>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847"/>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2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56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pPr>
        <w:rPr>
          <w:sz w:val="24"/>
          <w:szCs w:val="24"/>
        </w:rPr>
      </w:pP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r/>
      <w:r/>
    </w:p>
    <w:p>
      <w:pPr>
        <w:jc w:val="left"/>
        <w:keepLines/>
        <w:keepNext/>
        <w:spacing w:before="360" w:after="200" w:line="360" w:lineRule="auto"/>
        <w:rPr>
          <w:rFonts w:ascii="Arial" w:hAnsi="Arial" w:eastAsia="宋体" w:cs="Arial"/>
          <w:b/>
          <w:sz w:val="36"/>
          <w:highlight w:val="none"/>
        </w:rPr>
        <w:outlineLvl w:val="1"/>
      </w:pPr>
      <w:r>
        <w:rPr>
          <w:rFonts w:hint="eastAsia" w:ascii="Arial" w:hAnsi="Arial" w:eastAsia="宋体" w:cs="Arial"/>
          <w:b/>
          <w:sz w:val="36"/>
          <w:highlight w:val="none"/>
        </w:rPr>
        <w:t xml:space="preserve">十九、开标一览表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分包号：</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858"/>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4"/>
        <w:gridCol w:w="2471"/>
        <w:gridCol w:w="3460"/>
      </w:tblGrid>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               元</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593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p>
    <w:p>
      <w:pPr>
        <w:spacing w:line="500" w:lineRule="exact"/>
        <w:rPr>
          <w:rFonts w:ascii="宋体" w:hAnsi="宋体" w:eastAsia="宋体" w:cs="仿宋"/>
          <w:color w:val="000000"/>
          <w:sz w:val="24"/>
          <w:szCs w:val="24"/>
        </w:rPr>
      </w:pPr>
      <w:r>
        <w:rPr>
          <w:rFonts w:ascii="宋体" w:hAnsi="宋体" w:eastAsia="宋体" w:cs="仿宋"/>
          <w:color w:val="000000"/>
          <w:sz w:val="24"/>
          <w:szCs w:val="24"/>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p>
    <w:p>
      <w:pPr>
        <w:spacing w:line="500" w:lineRule="exact"/>
        <w:rPr>
          <w:rFonts w:ascii="宋体" w:hAnsi="宋体" w:eastAsia="宋体" w:cs="仿宋"/>
          <w:color w:val="000000"/>
          <w:sz w:val="24"/>
          <w:szCs w:val="24"/>
          <w:u w:val="single"/>
        </w:rPr>
      </w:pPr>
      <w:r>
        <w:rPr>
          <w:rFonts w:ascii="宋体" w:hAnsi="宋体" w:eastAsia="宋体" w:cs="仿宋"/>
          <w:color w:val="000000"/>
          <w:sz w:val="24"/>
          <w:szCs w:val="24"/>
          <w:u w:val="single"/>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pPr>
        <w:pStyle w:val="851"/>
      </w:pPr>
      <w:r/>
      <w:r/>
    </w:p>
    <w:p>
      <w:pPr>
        <w:ind w:firstLine="480"/>
        <w:jc w:val="left"/>
        <w:spacing w:line="500" w:lineRule="exact"/>
        <w:widowControl/>
        <w:rPr>
          <w:sz w:val="24"/>
          <w:szCs w:val="24"/>
        </w:rPr>
      </w:pPr>
      <w:r>
        <w:rPr>
          <w:sz w:val="24"/>
          <w:szCs w:val="24"/>
        </w:rPr>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仿宋">
    <w:panose1 w:val="02010609060101010101"/>
  </w:font>
  <w:font w:name="等线">
    <w:panose1 w:val="02010600030101010101"/>
  </w:font>
  <w:font w:name="楷体_GB2312">
    <w:panose1 w:val="02010609060101010101"/>
  </w:font>
  <w:font w:name="黑体">
    <w:panose1 w:val="02010609060101010101"/>
  </w:font>
  <w:font w:name="仿宋_GB2312">
    <w:panose1 w:val="02010609060101010101"/>
  </w:font>
  <w:font w:name="Calibri">
    <w:panose1 w:val="020F0502020204030204"/>
  </w:font>
  <w:font w:name="MS Mincho">
    <w:panose1 w:val="020206030504050903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pPr>
    <w:r/>
    <w:r/>
  </w:p>
  <w:p>
    <w:pPr>
      <w:pStyle w:val="85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854"/>
          <w:jc w:val="center"/>
        </w:pPr>
        <w:r>
          <w:fldChar w:fldCharType="begin"/>
        </w:r>
        <w:r>
          <w:instrText xml:space="preserve"> PAGE   \* MERGEFORMAT </w:instrText>
        </w:r>
        <w:r>
          <w:fldChar w:fldCharType="separate"/>
        </w:r>
        <w:r>
          <w:rPr>
            <w:lang w:val="zh-CN"/>
          </w:rPr>
          <w:t xml:space="preserve">52</w:t>
        </w:r>
        <w:r>
          <w:rPr>
            <w:lang w:val="zh-CN"/>
          </w:rPr>
          <w:fldChar w:fldCharType="end"/>
        </w:r>
        <w:r/>
      </w:p>
    </w:sdtContent>
  </w:sdt>
  <w:p>
    <w:pPr>
      <w:pStyle w:val="8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2">
    <w:name w:val="Heading 1 Char"/>
    <w:basedOn w:val="846"/>
    <w:link w:val="843"/>
    <w:uiPriority w:val="9"/>
    <w:rPr>
      <w:rFonts w:ascii="Arial" w:hAnsi="Arial" w:eastAsia="Arial" w:cs="Arial"/>
      <w:sz w:val="40"/>
      <w:szCs w:val="40"/>
    </w:rPr>
  </w:style>
  <w:style w:type="character" w:styleId="673">
    <w:name w:val="Heading 2 Char"/>
    <w:basedOn w:val="846"/>
    <w:link w:val="844"/>
    <w:uiPriority w:val="9"/>
    <w:rPr>
      <w:rFonts w:ascii="Arial" w:hAnsi="Arial" w:eastAsia="Arial" w:cs="Arial"/>
      <w:sz w:val="34"/>
    </w:rPr>
  </w:style>
  <w:style w:type="character" w:styleId="674">
    <w:name w:val="Heading 3 Char"/>
    <w:basedOn w:val="846"/>
    <w:link w:val="845"/>
    <w:uiPriority w:val="9"/>
    <w:rPr>
      <w:rFonts w:ascii="Arial" w:hAnsi="Arial" w:eastAsia="Arial" w:cs="Arial"/>
      <w:sz w:val="30"/>
      <w:szCs w:val="30"/>
    </w:rPr>
  </w:style>
  <w:style w:type="paragraph" w:styleId="675">
    <w:name w:val="Heading 4"/>
    <w:basedOn w:val="842"/>
    <w:next w:val="842"/>
    <w:link w:val="676"/>
    <w:uiPriority w:val="9"/>
    <w:unhideWhenUsed/>
    <w:qFormat/>
    <w:pPr>
      <w:keepLines/>
      <w:keepNext/>
      <w:spacing w:before="320" w:after="200"/>
      <w:outlineLvl w:val="3"/>
    </w:pPr>
    <w:rPr>
      <w:rFonts w:ascii="Arial" w:hAnsi="Arial" w:eastAsia="Arial" w:cs="Arial"/>
      <w:b/>
      <w:bCs/>
      <w:sz w:val="26"/>
      <w:szCs w:val="26"/>
    </w:rPr>
  </w:style>
  <w:style w:type="character" w:styleId="676">
    <w:name w:val="Heading 4 Char"/>
    <w:basedOn w:val="846"/>
    <w:link w:val="675"/>
    <w:uiPriority w:val="9"/>
    <w:rPr>
      <w:rFonts w:ascii="Arial" w:hAnsi="Arial" w:eastAsia="Arial" w:cs="Arial"/>
      <w:b/>
      <w:bCs/>
      <w:sz w:val="26"/>
      <w:szCs w:val="26"/>
    </w:rPr>
  </w:style>
  <w:style w:type="paragraph" w:styleId="677">
    <w:name w:val="Heading 5"/>
    <w:basedOn w:val="842"/>
    <w:next w:val="842"/>
    <w:link w:val="678"/>
    <w:uiPriority w:val="9"/>
    <w:unhideWhenUsed/>
    <w:qFormat/>
    <w:pPr>
      <w:keepLines/>
      <w:keepNext/>
      <w:spacing w:before="320" w:after="200"/>
      <w:outlineLvl w:val="4"/>
    </w:pPr>
    <w:rPr>
      <w:rFonts w:ascii="Arial" w:hAnsi="Arial" w:eastAsia="Arial" w:cs="Arial"/>
      <w:b/>
      <w:bCs/>
      <w:sz w:val="24"/>
      <w:szCs w:val="24"/>
    </w:rPr>
  </w:style>
  <w:style w:type="character" w:styleId="678">
    <w:name w:val="Heading 5 Char"/>
    <w:basedOn w:val="846"/>
    <w:link w:val="677"/>
    <w:uiPriority w:val="9"/>
    <w:rPr>
      <w:rFonts w:ascii="Arial" w:hAnsi="Arial" w:eastAsia="Arial" w:cs="Arial"/>
      <w:b/>
      <w:bCs/>
      <w:sz w:val="24"/>
      <w:szCs w:val="24"/>
    </w:rPr>
  </w:style>
  <w:style w:type="paragraph" w:styleId="679">
    <w:name w:val="Heading 6"/>
    <w:basedOn w:val="842"/>
    <w:next w:val="842"/>
    <w:link w:val="680"/>
    <w:uiPriority w:val="9"/>
    <w:unhideWhenUsed/>
    <w:qFormat/>
    <w:pPr>
      <w:keepLines/>
      <w:keepNext/>
      <w:spacing w:before="320" w:after="200"/>
      <w:outlineLvl w:val="5"/>
    </w:pPr>
    <w:rPr>
      <w:rFonts w:ascii="Arial" w:hAnsi="Arial" w:eastAsia="Arial" w:cs="Arial"/>
      <w:b/>
      <w:bCs/>
      <w:sz w:val="22"/>
      <w:szCs w:val="22"/>
    </w:rPr>
  </w:style>
  <w:style w:type="character" w:styleId="680">
    <w:name w:val="Heading 6 Char"/>
    <w:basedOn w:val="846"/>
    <w:link w:val="679"/>
    <w:uiPriority w:val="9"/>
    <w:rPr>
      <w:rFonts w:ascii="Arial" w:hAnsi="Arial" w:eastAsia="Arial" w:cs="Arial"/>
      <w:b/>
      <w:bCs/>
      <w:sz w:val="22"/>
      <w:szCs w:val="22"/>
    </w:rPr>
  </w:style>
  <w:style w:type="paragraph" w:styleId="681">
    <w:name w:val="Heading 7"/>
    <w:basedOn w:val="842"/>
    <w:next w:val="842"/>
    <w:link w:val="682"/>
    <w:uiPriority w:val="9"/>
    <w:unhideWhenUsed/>
    <w:qFormat/>
    <w:pPr>
      <w:keepLines/>
      <w:keepNext/>
      <w:spacing w:before="320" w:after="200"/>
      <w:outlineLvl w:val="6"/>
    </w:pPr>
    <w:rPr>
      <w:rFonts w:ascii="Arial" w:hAnsi="Arial" w:eastAsia="Arial" w:cs="Arial"/>
      <w:b/>
      <w:bCs/>
      <w:i/>
      <w:iCs/>
      <w:sz w:val="22"/>
      <w:szCs w:val="22"/>
    </w:rPr>
  </w:style>
  <w:style w:type="character" w:styleId="682">
    <w:name w:val="Heading 7 Char"/>
    <w:basedOn w:val="846"/>
    <w:link w:val="681"/>
    <w:uiPriority w:val="9"/>
    <w:rPr>
      <w:rFonts w:ascii="Arial" w:hAnsi="Arial" w:eastAsia="Arial" w:cs="Arial"/>
      <w:b/>
      <w:bCs/>
      <w:i/>
      <w:iCs/>
      <w:sz w:val="22"/>
      <w:szCs w:val="22"/>
    </w:rPr>
  </w:style>
  <w:style w:type="paragraph" w:styleId="683">
    <w:name w:val="Heading 8"/>
    <w:basedOn w:val="842"/>
    <w:next w:val="842"/>
    <w:link w:val="684"/>
    <w:uiPriority w:val="9"/>
    <w:unhideWhenUsed/>
    <w:qFormat/>
    <w:pPr>
      <w:keepLines/>
      <w:keepNext/>
      <w:spacing w:before="320" w:after="200"/>
      <w:outlineLvl w:val="7"/>
    </w:pPr>
    <w:rPr>
      <w:rFonts w:ascii="Arial" w:hAnsi="Arial" w:eastAsia="Arial" w:cs="Arial"/>
      <w:i/>
      <w:iCs/>
      <w:sz w:val="22"/>
      <w:szCs w:val="22"/>
    </w:rPr>
  </w:style>
  <w:style w:type="character" w:styleId="684">
    <w:name w:val="Heading 8 Char"/>
    <w:basedOn w:val="846"/>
    <w:link w:val="683"/>
    <w:uiPriority w:val="9"/>
    <w:rPr>
      <w:rFonts w:ascii="Arial" w:hAnsi="Arial" w:eastAsia="Arial" w:cs="Arial"/>
      <w:i/>
      <w:iCs/>
      <w:sz w:val="22"/>
      <w:szCs w:val="22"/>
    </w:rPr>
  </w:style>
  <w:style w:type="paragraph" w:styleId="685">
    <w:name w:val="Heading 9"/>
    <w:basedOn w:val="842"/>
    <w:next w:val="842"/>
    <w:link w:val="686"/>
    <w:uiPriority w:val="9"/>
    <w:unhideWhenUsed/>
    <w:qFormat/>
    <w:pPr>
      <w:keepLines/>
      <w:keepNext/>
      <w:spacing w:before="320" w:after="200"/>
      <w:outlineLvl w:val="8"/>
    </w:pPr>
    <w:rPr>
      <w:rFonts w:ascii="Arial" w:hAnsi="Arial" w:eastAsia="Arial" w:cs="Arial"/>
      <w:i/>
      <w:iCs/>
      <w:sz w:val="21"/>
      <w:szCs w:val="21"/>
    </w:rPr>
  </w:style>
  <w:style w:type="character" w:styleId="686">
    <w:name w:val="Heading 9 Char"/>
    <w:basedOn w:val="846"/>
    <w:link w:val="685"/>
    <w:uiPriority w:val="9"/>
    <w:rPr>
      <w:rFonts w:ascii="Arial" w:hAnsi="Arial" w:eastAsia="Arial" w:cs="Arial"/>
      <w:i/>
      <w:iCs/>
      <w:sz w:val="21"/>
      <w:szCs w:val="21"/>
    </w:rPr>
  </w:style>
  <w:style w:type="paragraph" w:styleId="687">
    <w:name w:val="List Paragraph"/>
    <w:basedOn w:val="842"/>
    <w:uiPriority w:val="34"/>
    <w:qFormat/>
    <w:pPr>
      <w:contextualSpacing/>
      <w:ind w:left="720"/>
    </w:pPr>
  </w:style>
  <w:style w:type="paragraph" w:styleId="688">
    <w:name w:val="No Spacing"/>
    <w:uiPriority w:val="1"/>
    <w:qFormat/>
    <w:pPr>
      <w:spacing w:before="0" w:after="0" w:line="240" w:lineRule="auto"/>
    </w:pPr>
  </w:style>
  <w:style w:type="paragraph" w:styleId="689">
    <w:name w:val="Title"/>
    <w:basedOn w:val="842"/>
    <w:next w:val="842"/>
    <w:link w:val="690"/>
    <w:uiPriority w:val="10"/>
    <w:qFormat/>
    <w:pPr>
      <w:contextualSpacing/>
      <w:spacing w:before="300" w:after="200"/>
    </w:pPr>
    <w:rPr>
      <w:sz w:val="48"/>
      <w:szCs w:val="48"/>
    </w:rPr>
  </w:style>
  <w:style w:type="character" w:styleId="690">
    <w:name w:val="Title Char"/>
    <w:basedOn w:val="846"/>
    <w:link w:val="689"/>
    <w:uiPriority w:val="10"/>
    <w:rPr>
      <w:sz w:val="48"/>
      <w:szCs w:val="48"/>
    </w:rPr>
  </w:style>
  <w:style w:type="paragraph" w:styleId="691">
    <w:name w:val="Subtitle"/>
    <w:basedOn w:val="842"/>
    <w:next w:val="842"/>
    <w:link w:val="692"/>
    <w:uiPriority w:val="11"/>
    <w:qFormat/>
    <w:pPr>
      <w:spacing w:before="200" w:after="200"/>
    </w:pPr>
    <w:rPr>
      <w:sz w:val="24"/>
      <w:szCs w:val="24"/>
    </w:rPr>
  </w:style>
  <w:style w:type="character" w:styleId="692">
    <w:name w:val="Subtitle Char"/>
    <w:basedOn w:val="846"/>
    <w:link w:val="691"/>
    <w:uiPriority w:val="11"/>
    <w:rPr>
      <w:sz w:val="24"/>
      <w:szCs w:val="24"/>
    </w:rPr>
  </w:style>
  <w:style w:type="paragraph" w:styleId="693">
    <w:name w:val="Quote"/>
    <w:basedOn w:val="842"/>
    <w:next w:val="842"/>
    <w:link w:val="694"/>
    <w:uiPriority w:val="29"/>
    <w:qFormat/>
    <w:pPr>
      <w:ind w:left="720" w:right="720"/>
    </w:pPr>
    <w:rPr>
      <w:i/>
    </w:rPr>
  </w:style>
  <w:style w:type="character" w:styleId="694">
    <w:name w:val="Quote Char"/>
    <w:link w:val="693"/>
    <w:uiPriority w:val="29"/>
    <w:rPr>
      <w:i/>
    </w:rPr>
  </w:style>
  <w:style w:type="paragraph" w:styleId="695">
    <w:name w:val="Intense Quote"/>
    <w:basedOn w:val="842"/>
    <w:next w:val="842"/>
    <w:link w:val="6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6">
    <w:name w:val="Intense Quote Char"/>
    <w:link w:val="695"/>
    <w:uiPriority w:val="30"/>
    <w:rPr>
      <w:i/>
    </w:rPr>
  </w:style>
  <w:style w:type="character" w:styleId="697">
    <w:name w:val="Header Char"/>
    <w:basedOn w:val="846"/>
    <w:link w:val="855"/>
    <w:uiPriority w:val="99"/>
  </w:style>
  <w:style w:type="character" w:styleId="698">
    <w:name w:val="Footer Char"/>
    <w:basedOn w:val="846"/>
    <w:link w:val="854"/>
    <w:uiPriority w:val="99"/>
  </w:style>
  <w:style w:type="paragraph" w:styleId="699">
    <w:name w:val="Caption"/>
    <w:basedOn w:val="842"/>
    <w:next w:val="842"/>
    <w:uiPriority w:val="35"/>
    <w:semiHidden/>
    <w:unhideWhenUsed/>
    <w:qFormat/>
    <w:pPr>
      <w:spacing w:line="276" w:lineRule="auto"/>
    </w:pPr>
    <w:rPr>
      <w:b/>
      <w:bCs/>
      <w:color w:val="4f81bd" w:themeColor="accent1"/>
      <w:sz w:val="18"/>
      <w:szCs w:val="18"/>
    </w:rPr>
  </w:style>
  <w:style w:type="character" w:styleId="700">
    <w:name w:val="Caption Char"/>
    <w:basedOn w:val="699"/>
    <w:link w:val="854"/>
    <w:uiPriority w:val="99"/>
  </w:style>
  <w:style w:type="table" w:styleId="701">
    <w:name w:val="Table Grid Light"/>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2">
    <w:name w:val="Plain Table 1"/>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basedOn w:val="8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basedOn w:val="8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1 Light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9">
    <w:name w:val="Grid Table 1 Light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0">
    <w:name w:val="Grid Table 1 Light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1">
    <w:name w:val="Grid Table 1 Light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2">
    <w:name w:val="Grid Table 1 Light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3">
    <w:name w:val="Grid Table 1 Light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4">
    <w:name w:val="Grid Table 2"/>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2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6">
    <w:name w:val="Grid Table 2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7">
    <w:name w:val="Grid Table 2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8">
    <w:name w:val="Grid Table 2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9">
    <w:name w:val="Grid Table 2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0">
    <w:name w:val="Grid Table 2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1">
    <w:name w:val="Grid Table 3"/>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8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4 - Accent 1"/>
    <w:basedOn w:val="8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0">
    <w:name w:val="Grid Table 4 - Accent 2"/>
    <w:basedOn w:val="8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1">
    <w:name w:val="Grid Table 4 - Accent 3"/>
    <w:basedOn w:val="8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2">
    <w:name w:val="Grid Table 4 - Accent 4"/>
    <w:basedOn w:val="8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3">
    <w:name w:val="Grid Table 4 - Accent 5"/>
    <w:basedOn w:val="8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4">
    <w:name w:val="Grid Table 4 - Accent 6"/>
    <w:basedOn w:val="8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5">
    <w:name w:val="Grid Table 5 Dark"/>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6">
    <w:name w:val="Grid Table 5 Dark- Accent 1"/>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7">
    <w:name w:val="Grid Table 5 Dark - Accent 2"/>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8">
    <w:name w:val="Grid Table 5 Dark - Accent 3"/>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9">
    <w:name w:val="Grid Table 5 Dark- Accent 4"/>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0">
    <w:name w:val="Grid Table 5 Dark - Accent 5"/>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1">
    <w:name w:val="Grid Table 5 Dark - Accent 6"/>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2">
    <w:name w:val="Grid Table 6 Colorful"/>
    <w:basedOn w:val="8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6 Colorful - Accent 1"/>
    <w:basedOn w:val="8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4">
    <w:name w:val="Grid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5">
    <w:name w:val="Grid Table 6 Colorful - Accent 3"/>
    <w:basedOn w:val="8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6">
    <w:name w:val="Grid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7">
    <w:name w:val="Grid Table 6 Colorful - Accent 5"/>
    <w:basedOn w:val="8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8">
    <w:name w:val="Grid Table 6 Colorful - Accent 6"/>
    <w:basedOn w:val="8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9">
    <w:name w:val="Grid Table 7 Colorful"/>
    <w:basedOn w:val="8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Grid Table 7 Colorful - Accent 1"/>
    <w:basedOn w:val="8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1">
    <w:name w:val="Grid Table 7 Colorful - Accent 2"/>
    <w:basedOn w:val="8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7 Colorful - Accent 3"/>
    <w:basedOn w:val="8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7 Colorful - Accent 4"/>
    <w:basedOn w:val="8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7 Colorful - Accent 5"/>
    <w:basedOn w:val="8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5">
    <w:name w:val="Grid Table 7 Colorful - Accent 6"/>
    <w:basedOn w:val="8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6">
    <w:name w:val="List Table 1 Light"/>
    <w:basedOn w:val="8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1 Light - Accent 1"/>
    <w:basedOn w:val="84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8">
    <w:name w:val="List Table 1 Light - Accent 2"/>
    <w:basedOn w:val="84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9">
    <w:name w:val="List Table 1 Light - Accent 3"/>
    <w:basedOn w:val="84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0">
    <w:name w:val="List Table 1 Light - Accent 4"/>
    <w:basedOn w:val="84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1">
    <w:name w:val="List Table 1 Light - Accent 5"/>
    <w:basedOn w:val="84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2">
    <w:name w:val="List Table 1 Light - Accent 6"/>
    <w:basedOn w:val="84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3">
    <w:name w:val="List Table 2"/>
    <w:basedOn w:val="8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2 - Accent 1"/>
    <w:basedOn w:val="8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5">
    <w:name w:val="List Table 2 - Accent 2"/>
    <w:basedOn w:val="8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6">
    <w:name w:val="List Table 2 - Accent 3"/>
    <w:basedOn w:val="8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7">
    <w:name w:val="List Table 2 - Accent 4"/>
    <w:basedOn w:val="8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8">
    <w:name w:val="List Table 2 - Accent 5"/>
    <w:basedOn w:val="8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9">
    <w:name w:val="List Table 2 - Accent 6"/>
    <w:basedOn w:val="8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0">
    <w:name w:val="List Table 3"/>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3 - Accent 1"/>
    <w:basedOn w:val="8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2">
    <w:name w:val="List Table 3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3">
    <w:name w:val="List Table 3 - Accent 3"/>
    <w:basedOn w:val="8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4">
    <w:name w:val="List Table 3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5">
    <w:name w:val="List Table 3 - Accent 5"/>
    <w:basedOn w:val="8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6">
    <w:name w:val="List Table 3 - Accent 6"/>
    <w:basedOn w:val="8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7">
    <w:name w:val="List Table 4"/>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 Accent 1"/>
    <w:basedOn w:val="8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9">
    <w:name w:val="List Table 4 - Accent 2"/>
    <w:basedOn w:val="8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0">
    <w:name w:val="List Table 4 - Accent 3"/>
    <w:basedOn w:val="8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1">
    <w:name w:val="List Table 4 - Accent 4"/>
    <w:basedOn w:val="8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2">
    <w:name w:val="List Table 4 - Accent 5"/>
    <w:basedOn w:val="8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3">
    <w:name w:val="List Table 4 - Accent 6"/>
    <w:basedOn w:val="8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4">
    <w:name w:val="List Table 5 Dark"/>
    <w:basedOn w:val="8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1"/>
    <w:basedOn w:val="8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2"/>
    <w:basedOn w:val="8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3"/>
    <w:basedOn w:val="8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4"/>
    <w:basedOn w:val="8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5"/>
    <w:basedOn w:val="8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6"/>
    <w:basedOn w:val="8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basedOn w:val="8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6 Colorful - Accent 1"/>
    <w:basedOn w:val="8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3">
    <w:name w:val="List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4">
    <w:name w:val="List Table 6 Colorful - Accent 3"/>
    <w:basedOn w:val="8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5">
    <w:name w:val="List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6">
    <w:name w:val="List Table 6 Colorful - Accent 5"/>
    <w:basedOn w:val="8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7">
    <w:name w:val="List Table 6 Colorful - Accent 6"/>
    <w:basedOn w:val="8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8">
    <w:name w:val="List Table 7 Colorful"/>
    <w:basedOn w:val="8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9">
    <w:name w:val="List Table 7 Colorful - Accent 1"/>
    <w:basedOn w:val="8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0">
    <w:name w:val="List Table 7 Colorful - Accent 2"/>
    <w:basedOn w:val="8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1">
    <w:name w:val="List Table 7 Colorful - Accent 3"/>
    <w:basedOn w:val="8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2">
    <w:name w:val="List Table 7 Colorful - Accent 4"/>
    <w:basedOn w:val="8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3">
    <w:name w:val="List Table 7 Colorful - Accent 5"/>
    <w:basedOn w:val="8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4">
    <w:name w:val="List Table 7 Colorful - Accent 6"/>
    <w:basedOn w:val="8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5">
    <w:name w:val="Lined - Accent"/>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6">
    <w:name w:val="Lined - Accent 1"/>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7">
    <w:name w:val="Lined - Accent 2"/>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8">
    <w:name w:val="Lined - Accent 3"/>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9">
    <w:name w:val="Lined - Accent 4"/>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0">
    <w:name w:val="Lined - Accent 5"/>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1">
    <w:name w:val="Lined - Accent 6"/>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2">
    <w:name w:val="Bordered &amp; Lined - Accent"/>
    <w:basedOn w:val="8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Bordered &amp; Lined - Accent 1"/>
    <w:basedOn w:val="8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4">
    <w:name w:val="Bordered &amp; Lined - Accent 2"/>
    <w:basedOn w:val="8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5">
    <w:name w:val="Bordered &amp; Lined - Accent 3"/>
    <w:basedOn w:val="8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6">
    <w:name w:val="Bordered &amp; Lined - Accent 4"/>
    <w:basedOn w:val="8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7">
    <w:name w:val="Bordered &amp; Lined - Accent 5"/>
    <w:basedOn w:val="8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8">
    <w:name w:val="Bordered &amp; Lined - Accent 6"/>
    <w:basedOn w:val="8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9">
    <w:name w:val="Bordered"/>
    <w:basedOn w:val="8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0">
    <w:name w:val="Bordered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1">
    <w:name w:val="Bordered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2">
    <w:name w:val="Bordered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3">
    <w:name w:val="Bordered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4">
    <w:name w:val="Bordered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5">
    <w:name w:val="Bordered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6">
    <w:name w:val="footnote text"/>
    <w:basedOn w:val="842"/>
    <w:link w:val="827"/>
    <w:uiPriority w:val="99"/>
    <w:semiHidden/>
    <w:unhideWhenUsed/>
    <w:pPr>
      <w:spacing w:after="40" w:line="240" w:lineRule="auto"/>
    </w:pPr>
    <w:rPr>
      <w:sz w:val="18"/>
    </w:rPr>
  </w:style>
  <w:style w:type="character" w:styleId="827">
    <w:name w:val="Footnote Text Char"/>
    <w:link w:val="826"/>
    <w:uiPriority w:val="99"/>
    <w:rPr>
      <w:sz w:val="18"/>
    </w:rPr>
  </w:style>
  <w:style w:type="character" w:styleId="828">
    <w:name w:val="footnote reference"/>
    <w:basedOn w:val="846"/>
    <w:uiPriority w:val="99"/>
    <w:unhideWhenUsed/>
    <w:rPr>
      <w:vertAlign w:val="superscript"/>
    </w:rPr>
  </w:style>
  <w:style w:type="paragraph" w:styleId="829">
    <w:name w:val="endnote text"/>
    <w:basedOn w:val="842"/>
    <w:link w:val="830"/>
    <w:uiPriority w:val="99"/>
    <w:semiHidden/>
    <w:unhideWhenUsed/>
    <w:pPr>
      <w:spacing w:after="0" w:line="240" w:lineRule="auto"/>
    </w:pPr>
    <w:rPr>
      <w:sz w:val="20"/>
    </w:rPr>
  </w:style>
  <w:style w:type="character" w:styleId="830">
    <w:name w:val="Endnote Text Char"/>
    <w:link w:val="829"/>
    <w:uiPriority w:val="99"/>
    <w:rPr>
      <w:sz w:val="20"/>
    </w:rPr>
  </w:style>
  <w:style w:type="character" w:styleId="831">
    <w:name w:val="endnote reference"/>
    <w:basedOn w:val="846"/>
    <w:uiPriority w:val="99"/>
    <w:semiHidden/>
    <w:unhideWhenUsed/>
    <w:rPr>
      <w:vertAlign w:val="superscript"/>
    </w:rPr>
  </w:style>
  <w:style w:type="paragraph" w:styleId="832">
    <w:name w:val="toc 2"/>
    <w:basedOn w:val="842"/>
    <w:next w:val="842"/>
    <w:uiPriority w:val="39"/>
    <w:unhideWhenUsed/>
    <w:pPr>
      <w:ind w:left="283" w:right="0" w:firstLine="0"/>
      <w:spacing w:after="57"/>
    </w:pPr>
  </w:style>
  <w:style w:type="paragraph" w:styleId="833">
    <w:name w:val="toc 3"/>
    <w:basedOn w:val="842"/>
    <w:next w:val="842"/>
    <w:uiPriority w:val="39"/>
    <w:unhideWhenUsed/>
    <w:pPr>
      <w:ind w:left="567" w:right="0" w:firstLine="0"/>
      <w:spacing w:after="57"/>
    </w:pPr>
  </w:style>
  <w:style w:type="paragraph" w:styleId="834">
    <w:name w:val="toc 4"/>
    <w:basedOn w:val="842"/>
    <w:next w:val="842"/>
    <w:uiPriority w:val="39"/>
    <w:unhideWhenUsed/>
    <w:pPr>
      <w:ind w:left="850" w:right="0" w:firstLine="0"/>
      <w:spacing w:after="57"/>
    </w:pPr>
  </w:style>
  <w:style w:type="paragraph" w:styleId="835">
    <w:name w:val="toc 5"/>
    <w:basedOn w:val="842"/>
    <w:next w:val="842"/>
    <w:uiPriority w:val="39"/>
    <w:unhideWhenUsed/>
    <w:pPr>
      <w:ind w:left="1134" w:right="0" w:firstLine="0"/>
      <w:spacing w:after="57"/>
    </w:pPr>
  </w:style>
  <w:style w:type="paragraph" w:styleId="836">
    <w:name w:val="toc 6"/>
    <w:basedOn w:val="842"/>
    <w:next w:val="842"/>
    <w:uiPriority w:val="39"/>
    <w:unhideWhenUsed/>
    <w:pPr>
      <w:ind w:left="1417" w:right="0" w:firstLine="0"/>
      <w:spacing w:after="57"/>
    </w:pPr>
  </w:style>
  <w:style w:type="paragraph" w:styleId="837">
    <w:name w:val="toc 7"/>
    <w:basedOn w:val="842"/>
    <w:next w:val="842"/>
    <w:uiPriority w:val="39"/>
    <w:unhideWhenUsed/>
    <w:pPr>
      <w:ind w:left="1701" w:right="0" w:firstLine="0"/>
      <w:spacing w:after="57"/>
    </w:pPr>
  </w:style>
  <w:style w:type="paragraph" w:styleId="838">
    <w:name w:val="toc 8"/>
    <w:basedOn w:val="842"/>
    <w:next w:val="842"/>
    <w:uiPriority w:val="39"/>
    <w:unhideWhenUsed/>
    <w:pPr>
      <w:ind w:left="1984" w:right="0" w:firstLine="0"/>
      <w:spacing w:after="57"/>
    </w:pPr>
  </w:style>
  <w:style w:type="paragraph" w:styleId="839">
    <w:name w:val="toc 9"/>
    <w:basedOn w:val="842"/>
    <w:next w:val="842"/>
    <w:uiPriority w:val="39"/>
    <w:unhideWhenUsed/>
    <w:pPr>
      <w:ind w:left="2268" w:right="0" w:firstLine="0"/>
      <w:spacing w:after="57"/>
    </w:pPr>
  </w:style>
  <w:style w:type="paragraph" w:styleId="840">
    <w:name w:val="TOC Heading"/>
    <w:uiPriority w:val="39"/>
    <w:unhideWhenUsed/>
  </w:style>
  <w:style w:type="paragraph" w:styleId="841">
    <w:name w:val="table of figures"/>
    <w:basedOn w:val="842"/>
    <w:next w:val="842"/>
    <w:uiPriority w:val="99"/>
    <w:unhideWhenUsed/>
    <w:pPr>
      <w:spacing w:after="0" w:afterAutospacing="0"/>
    </w:pPr>
  </w:style>
  <w:style w:type="paragraph" w:styleId="842"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43">
    <w:name w:val="Heading 1"/>
    <w:basedOn w:val="842"/>
    <w:next w:val="842"/>
    <w:link w:val="865"/>
    <w:uiPriority w:val="9"/>
    <w:qFormat/>
    <w:pPr>
      <w:keepLines/>
      <w:keepNext/>
      <w:spacing w:before="340" w:after="330" w:line="578" w:lineRule="auto"/>
      <w:outlineLvl w:val="0"/>
    </w:pPr>
    <w:rPr>
      <w:b/>
      <w:bCs/>
      <w:sz w:val="44"/>
      <w:szCs w:val="44"/>
    </w:rPr>
  </w:style>
  <w:style w:type="paragraph" w:styleId="844">
    <w:name w:val="Heading 2"/>
    <w:basedOn w:val="842"/>
    <w:next w:val="842"/>
    <w:uiPriority w:val="9"/>
    <w:unhideWhenUsed/>
    <w:qFormat/>
    <w:pPr>
      <w:jc w:val="left"/>
      <w:spacing w:before="0" w:beforeAutospacing="1" w:after="0" w:afterAutospacing="1"/>
    </w:pPr>
    <w:rPr>
      <w:rFonts w:hint="eastAsia" w:ascii="宋体" w:hAnsi="宋体" w:eastAsia="宋体" w:cs="宋体"/>
      <w:b/>
      <w:bCs/>
      <w:color w:val="000000" w:themeColor="text1"/>
      <w:sz w:val="36"/>
      <w:szCs w:val="36"/>
      <w:highlight w:val="none"/>
      <w:lang w:val="en-US" w:eastAsia="zh-CN" w:bidi="ar"/>
      <w14:textFill>
        <w14:solidFill>
          <w14:schemeClr w14:val="tx1"/>
        </w14:solidFill>
      </w14:textFill>
    </w:rPr>
  </w:style>
  <w:style w:type="paragraph" w:styleId="845">
    <w:name w:val="Heading 3"/>
    <w:basedOn w:val="842"/>
    <w:next w:val="842"/>
    <w:link w:val="868"/>
    <w:uiPriority w:val="9"/>
    <w:unhideWhenUsed/>
    <w:qFormat/>
    <w:pPr>
      <w:keepLines/>
      <w:keepNext/>
      <w:spacing w:before="260" w:after="260" w:line="416" w:lineRule="auto"/>
      <w:outlineLvl w:val="2"/>
    </w:pPr>
    <w:rPr>
      <w:b/>
      <w:bCs/>
      <w:sz w:val="32"/>
      <w:szCs w:val="32"/>
    </w:rPr>
  </w:style>
  <w:style w:type="character" w:styleId="846" w:default="1">
    <w:name w:val="Default Paragraph Font"/>
    <w:uiPriority w:val="1"/>
    <w:semiHidden/>
    <w:unhideWhenUsed/>
    <w:qFormat/>
  </w:style>
  <w:style w:type="table" w:styleId="847" w:default="1">
    <w:name w:val="Normal Table"/>
    <w:uiPriority w:val="99"/>
    <w:semiHidden/>
    <w:unhideWhenUsed/>
    <w:qFormat/>
    <w:tblPr>
      <w:tblCellMar>
        <w:left w:w="108" w:type="dxa"/>
        <w:top w:w="0" w:type="dxa"/>
        <w:right w:w="108" w:type="dxa"/>
        <w:bottom w:w="0" w:type="dxa"/>
      </w:tblCellMar>
    </w:tblPr>
  </w:style>
  <w:style w:type="paragraph" w:styleId="848">
    <w:name w:val="Normal Indent"/>
    <w:basedOn w:val="842"/>
    <w:uiPriority w:val="0"/>
    <w:qFormat/>
    <w:pPr>
      <w:ind w:firstLine="420"/>
    </w:pPr>
  </w:style>
  <w:style w:type="paragraph" w:styleId="849">
    <w:name w:val="Document Map"/>
    <w:basedOn w:val="842"/>
    <w:link w:val="866"/>
    <w:uiPriority w:val="99"/>
    <w:semiHidden/>
    <w:unhideWhenUsed/>
    <w:qFormat/>
    <w:rPr>
      <w:rFonts w:ascii="宋体" w:eastAsia="宋体"/>
      <w:sz w:val="18"/>
      <w:szCs w:val="18"/>
    </w:rPr>
  </w:style>
  <w:style w:type="paragraph" w:styleId="850">
    <w:name w:val="annotation text"/>
    <w:basedOn w:val="842"/>
    <w:link w:val="870"/>
    <w:uiPriority w:val="0"/>
    <w:qFormat/>
    <w:pPr>
      <w:ind w:firstLine="922"/>
      <w:jc w:val="left"/>
      <w:spacing w:line="360" w:lineRule="auto"/>
    </w:pPr>
    <w:rPr>
      <w:rFonts w:ascii="Times New Roman" w:hAnsi="Times New Roman" w:eastAsia="宋体" w:cs="Times New Roman"/>
      <w:szCs w:val="24"/>
    </w:rPr>
  </w:style>
  <w:style w:type="paragraph" w:styleId="851">
    <w:name w:val="Plain Text"/>
    <w:basedOn w:val="842"/>
    <w:link w:val="874"/>
    <w:uiPriority w:val="0"/>
    <w:qFormat/>
    <w:rPr>
      <w:rFonts w:ascii="宋体" w:hAnsi="Courier New" w:eastAsia="宋体" w:cs="Times New Roman"/>
      <w:szCs w:val="20"/>
    </w:rPr>
  </w:style>
  <w:style w:type="paragraph" w:styleId="852">
    <w:name w:val="Date"/>
    <w:basedOn w:val="842"/>
    <w:next w:val="842"/>
    <w:link w:val="869"/>
    <w:uiPriority w:val="99"/>
    <w:semiHidden/>
    <w:unhideWhenUsed/>
    <w:qFormat/>
    <w:pPr>
      <w:ind w:left="100"/>
    </w:pPr>
  </w:style>
  <w:style w:type="paragraph" w:styleId="853">
    <w:name w:val="Balloon Text"/>
    <w:basedOn w:val="842"/>
    <w:link w:val="871"/>
    <w:uiPriority w:val="99"/>
    <w:semiHidden/>
    <w:unhideWhenUsed/>
    <w:qFormat/>
    <w:rPr>
      <w:sz w:val="18"/>
      <w:szCs w:val="18"/>
    </w:rPr>
  </w:style>
  <w:style w:type="paragraph" w:styleId="854">
    <w:name w:val="Footer"/>
    <w:basedOn w:val="842"/>
    <w:link w:val="864"/>
    <w:uiPriority w:val="99"/>
    <w:unhideWhenUsed/>
    <w:qFormat/>
    <w:pPr>
      <w:jc w:val="left"/>
      <w:tabs>
        <w:tab w:val="center" w:pos="4153" w:leader="none"/>
        <w:tab w:val="right" w:pos="8306" w:leader="none"/>
      </w:tabs>
    </w:pPr>
    <w:rPr>
      <w:sz w:val="18"/>
      <w:szCs w:val="18"/>
    </w:rPr>
  </w:style>
  <w:style w:type="paragraph" w:styleId="855">
    <w:name w:val="Header"/>
    <w:basedOn w:val="842"/>
    <w:link w:val="863"/>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56">
    <w:name w:val="toc 1"/>
    <w:basedOn w:val="842"/>
    <w:next w:val="842"/>
    <w:uiPriority w:val="39"/>
    <w:unhideWhenUsed/>
    <w:qFormat/>
    <w:pPr>
      <w:jc w:val="center"/>
      <w:spacing w:line="360" w:lineRule="auto"/>
      <w:tabs>
        <w:tab w:val="right" w:pos="9628" w:leader="dot"/>
      </w:tabs>
    </w:pPr>
    <w:rPr>
      <w:sz w:val="32"/>
    </w:rPr>
  </w:style>
  <w:style w:type="paragraph" w:styleId="857">
    <w:name w:val="Normal (Web)"/>
    <w:basedOn w:val="842"/>
    <w:uiPriority w:val="99"/>
    <w:unhideWhenUsed/>
    <w:qFormat/>
    <w:pPr>
      <w:jc w:val="left"/>
      <w:spacing w:before="100" w:beforeAutospacing="1" w:after="100" w:afterAutospacing="1"/>
      <w:widowControl/>
    </w:pPr>
    <w:rPr>
      <w:rFonts w:ascii="宋体" w:hAnsi="宋体" w:eastAsia="宋体" w:cs="宋体"/>
      <w:sz w:val="24"/>
      <w:szCs w:val="24"/>
    </w:rPr>
  </w:style>
  <w:style w:type="table" w:styleId="858">
    <w:name w:val="Table Grid"/>
    <w:basedOn w:val="84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9">
    <w:name w:val="Strong"/>
    <w:basedOn w:val="846"/>
    <w:uiPriority w:val="0"/>
    <w:qFormat/>
    <w:rPr>
      <w:b/>
    </w:rPr>
  </w:style>
  <w:style w:type="character" w:styleId="860">
    <w:name w:val="Emphasis"/>
    <w:uiPriority w:val="0"/>
    <w:qFormat/>
    <w:rPr>
      <w:i/>
    </w:rPr>
  </w:style>
  <w:style w:type="character" w:styleId="861">
    <w:name w:val="Hyperlink"/>
    <w:uiPriority w:val="99"/>
    <w:qFormat/>
    <w:rPr>
      <w:color w:val="0000ff"/>
      <w:u w:val="none"/>
    </w:rPr>
  </w:style>
  <w:style w:type="character" w:styleId="862">
    <w:name w:val="annotation reference"/>
    <w:uiPriority w:val="0"/>
    <w:qFormat/>
    <w:rPr>
      <w:sz w:val="21"/>
      <w:szCs w:val="21"/>
    </w:rPr>
  </w:style>
  <w:style w:type="character" w:styleId="863" w:customStyle="1">
    <w:name w:val="页眉 Char"/>
    <w:basedOn w:val="846"/>
    <w:link w:val="855"/>
    <w:uiPriority w:val="99"/>
    <w:semiHidden/>
    <w:qFormat/>
    <w:rPr>
      <w:sz w:val="18"/>
      <w:szCs w:val="18"/>
    </w:rPr>
  </w:style>
  <w:style w:type="character" w:styleId="864" w:customStyle="1">
    <w:name w:val="页脚 Char"/>
    <w:basedOn w:val="846"/>
    <w:link w:val="854"/>
    <w:uiPriority w:val="99"/>
    <w:qFormat/>
    <w:rPr>
      <w:sz w:val="18"/>
      <w:szCs w:val="18"/>
    </w:rPr>
  </w:style>
  <w:style w:type="character" w:styleId="865" w:customStyle="1">
    <w:name w:val="标题 1 Char"/>
    <w:basedOn w:val="846"/>
    <w:link w:val="843"/>
    <w:uiPriority w:val="9"/>
    <w:qFormat/>
    <w:rPr>
      <w:b/>
      <w:bCs/>
      <w:sz w:val="44"/>
      <w:szCs w:val="44"/>
    </w:rPr>
  </w:style>
  <w:style w:type="character" w:styleId="866" w:customStyle="1">
    <w:name w:val="文档结构图 Char"/>
    <w:basedOn w:val="846"/>
    <w:link w:val="849"/>
    <w:uiPriority w:val="99"/>
    <w:semiHidden/>
    <w:qFormat/>
    <w:rPr>
      <w:rFonts w:ascii="宋体" w:eastAsia="宋体"/>
      <w:sz w:val="18"/>
      <w:szCs w:val="18"/>
    </w:rPr>
  </w:style>
  <w:style w:type="character" w:styleId="867" w:customStyle="1">
    <w:name w:val="标题 2 Char"/>
    <w:basedOn w:val="846"/>
    <w:uiPriority w:val="9"/>
    <w:qFormat/>
    <w:rPr>
      <w:rFonts w:asciiTheme="majorHAnsi" w:hAnsiTheme="majorHAnsi" w:eastAsiaTheme="majorEastAsia" w:cstheme="majorBidi"/>
      <w:b/>
      <w:bCs/>
      <w:sz w:val="32"/>
      <w:szCs w:val="32"/>
    </w:rPr>
  </w:style>
  <w:style w:type="character" w:styleId="868" w:customStyle="1">
    <w:name w:val="标题 3 Char"/>
    <w:basedOn w:val="846"/>
    <w:link w:val="845"/>
    <w:uiPriority w:val="9"/>
    <w:qFormat/>
    <w:rPr>
      <w:b/>
      <w:bCs/>
      <w:sz w:val="32"/>
      <w:szCs w:val="32"/>
    </w:rPr>
  </w:style>
  <w:style w:type="character" w:styleId="869" w:customStyle="1">
    <w:name w:val="日期 Char"/>
    <w:basedOn w:val="846"/>
    <w:link w:val="852"/>
    <w:uiPriority w:val="99"/>
    <w:semiHidden/>
    <w:qFormat/>
  </w:style>
  <w:style w:type="character" w:styleId="870" w:customStyle="1">
    <w:name w:val="批注文字 Char"/>
    <w:basedOn w:val="846"/>
    <w:link w:val="850"/>
    <w:uiPriority w:val="0"/>
    <w:qFormat/>
    <w:rPr>
      <w:rFonts w:ascii="Times New Roman" w:hAnsi="Times New Roman" w:eastAsia="宋体" w:cs="Times New Roman"/>
      <w:szCs w:val="24"/>
    </w:rPr>
  </w:style>
  <w:style w:type="character" w:styleId="871" w:customStyle="1">
    <w:name w:val="批注框文本 Char"/>
    <w:basedOn w:val="846"/>
    <w:link w:val="853"/>
    <w:uiPriority w:val="99"/>
    <w:semiHidden/>
    <w:qFormat/>
    <w:rPr>
      <w:sz w:val="18"/>
      <w:szCs w:val="18"/>
    </w:rPr>
  </w:style>
  <w:style w:type="paragraph" w:styleId="872" w:customStyle="1">
    <w:name w:val="Default"/>
    <w:link w:val="873"/>
    <w:uiPriority w:val="99"/>
    <w:qFormat/>
    <w:pPr>
      <w:widowControl w:val="off"/>
    </w:pPr>
    <w:rPr>
      <w:rFonts w:ascii="MS Mincho" w:hAnsi="Calibri" w:eastAsia="宋体" w:cs="Times New Roman"/>
      <w:color w:val="000000"/>
      <w:sz w:val="21"/>
      <w:szCs w:val="24"/>
      <w:lang w:val="en-US" w:eastAsia="zh-CN" w:bidi="ar-SA"/>
    </w:rPr>
  </w:style>
  <w:style w:type="character" w:styleId="873" w:customStyle="1">
    <w:name w:val="Default Char"/>
    <w:link w:val="872"/>
    <w:uiPriority w:val="99"/>
    <w:qFormat/>
    <w:rPr>
      <w:rFonts w:ascii="MS Mincho" w:hAnsi="Calibri" w:eastAsia="宋体" w:cs="Times New Roman"/>
      <w:color w:val="000000"/>
      <w:szCs w:val="24"/>
    </w:rPr>
  </w:style>
  <w:style w:type="character" w:styleId="874" w:customStyle="1">
    <w:name w:val="纯文本 Char"/>
    <w:basedOn w:val="846"/>
    <w:link w:val="851"/>
    <w:uiPriority w:val="0"/>
    <w:qFormat/>
    <w:rPr>
      <w:rFonts w:ascii="宋体" w:hAnsi="Courier New" w:eastAsia="宋体" w:cs="Times New Roman"/>
      <w:szCs w:val="20"/>
    </w:rPr>
  </w:style>
  <w:style w:type="character" w:styleId="875" w:customStyle="1">
    <w:name w:val="font21"/>
    <w:basedOn w:val="846"/>
    <w:uiPriority w:val="0"/>
    <w:qFormat/>
    <w:rPr>
      <w:rFonts w:hint="eastAsia" w:ascii="宋体" w:hAnsi="宋体" w:eastAsia="宋体" w:cs="宋体"/>
      <w:color w:val="000000"/>
      <w:sz w:val="22"/>
      <w:szCs w:val="22"/>
      <w:u w:val="none"/>
    </w:rPr>
  </w:style>
  <w:style w:type="character" w:styleId="876" w:customStyle="1">
    <w:name w:val="font31"/>
    <w:basedOn w:val="846"/>
    <w:uiPriority w:val="0"/>
    <w:qFormat/>
    <w:rPr>
      <w:rFonts w:hint="default" w:ascii="Times New Roman" w:hAnsi="Times New Roman" w:cs="Times New Roman"/>
      <w:color w:val="000000"/>
      <w:sz w:val="22"/>
      <w:szCs w:val="22"/>
      <w:u w:val="none"/>
    </w:rPr>
  </w:style>
  <w:style w:type="paragraph" w:styleId="877" w:customStyle="1">
    <w:name w:val="*正文"/>
    <w:basedOn w:val="842"/>
    <w:uiPriority w:val="0"/>
    <w:qFormat/>
    <w:pPr>
      <w:ind w:firstLine="482"/>
      <w:spacing w:line="360" w:lineRule="auto"/>
    </w:pPr>
    <w:rPr>
      <w:rFonts w:ascii="宋体" w:hAnsi="宋体"/>
      <w:sz w:val="24"/>
    </w:rPr>
  </w:style>
  <w:style w:type="paragraph" w:styleId="878" w:customStyle="1">
    <w:name w:val="正文首行缩进2"/>
    <w:uiPriority w:val="0"/>
    <w:qFormat/>
    <w:pPr>
      <w:ind w:firstLine="480"/>
      <w:jc w:val="both"/>
      <w:spacing w:line="360" w:lineRule="auto"/>
    </w:pPr>
    <w:rPr>
      <w:rFonts w:ascii="宋体" w:hAnsi="宋体" w:eastAsia="宋体" w:cs="Times New Roman"/>
      <w:sz w:val="24"/>
      <w:szCs w:val="28"/>
      <w:lang w:val="en-US" w:eastAsia="zh-CN" w:bidi="ar-SA"/>
    </w:rPr>
  </w:style>
  <w:style w:type="character" w:styleId="879" w:customStyle="1">
    <w:name w:val="font11"/>
    <w:basedOn w:val="846"/>
    <w:uiPriority w:val="0"/>
    <w:qFormat/>
    <w:rPr>
      <w:rFonts w:hint="eastAsia" w:ascii="宋体" w:hAnsi="宋体" w:eastAsia="宋体" w:cs="宋体"/>
      <w:color w:val="000000"/>
      <w:sz w:val="22"/>
      <w:szCs w:val="22"/>
      <w:u w:val="none"/>
    </w:rPr>
  </w:style>
  <w:style w:type="paragraph" w:styleId="880" w:customStyle="1">
    <w:name w:val="正文首行缩进11"/>
    <w:basedOn w:val="881"/>
    <w:uiPriority w:val="0"/>
    <w:qFormat/>
    <w:pPr>
      <w:ind w:firstLine="200"/>
      <w:spacing w:line="360" w:lineRule="auto"/>
    </w:pPr>
    <w:rPr>
      <w:rFonts w:ascii="仿宋_GB2312" w:hAnsi="Times New Roman" w:eastAsia="仿宋_GB2312"/>
      <w:sz w:val="30"/>
      <w:szCs w:val="30"/>
    </w:rPr>
  </w:style>
  <w:style w:type="paragraph" w:styleId="881" w:customStyle="1">
    <w:name w:val="正文文本11"/>
    <w:basedOn w:val="842"/>
    <w:next w:val="842"/>
    <w:uiPriority w:val="0"/>
    <w:qFormat/>
    <w:rPr>
      <w:rFonts w:ascii="楷体_GB2312" w:hAnsi="Arial" w:eastAsia="楷体_GB2312"/>
      <w:sz w:val="28"/>
      <w:szCs w:val="28"/>
      <w:lang w:eastAsia="en-US"/>
    </w:rPr>
  </w:style>
  <w:style w:type="numbering" w:styleId="8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C85F2EE9-497F-4950-B707-651A72FA541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李俊怡</cp:lastModifiedBy>
  <cp:revision>5</cp:revision>
  <dcterms:created xsi:type="dcterms:W3CDTF">2026-08-20T06:57:00Z</dcterms:created>
  <dcterms:modified xsi:type="dcterms:W3CDTF">2026-10-21T07:29:07Z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eyJoZGlkIjoiMzY5YjJkNGZkMjA4ZGQ4NjQwYzFlOGRmOWQyN2I4MTUiLCJ1c2VySWQiOiIyMTUxOTU3MTcifQ==</vt:lpwstr>
  </property>
  <property fmtid="{D5CDD505-2E9C-101B-9397-08002B2CF9AE}" pid="3" name="KSOProductBuildVer">
    <vt:lpwstr>2052-12.1.0.29161</vt:lpwstr>
  </property>
  <property fmtid="{D5CDD505-2E9C-101B-9397-08002B2CF9AE}" pid="4" name="ICV">
    <vt:lpwstr>E50658C70E4B41339360B28B0223B724_13</vt:lpwstr>
  </property>
</Properties>
</file>