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 </w:t>
      </w:r>
      <w:r/>
    </w:p>
    <w:p>
      <w:pPr>
        <w:jc w:val="center"/>
        <w:spacing w:before="120" w:after="120" w:line="59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招　标　文　件</w:t>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ind w:firstLine="562"/>
        <w:jc w:val="left"/>
        <w:spacing w:before="120" w:after="120" w:line="400" w:lineRule="exact"/>
        <w:rPr>
          <w:rFonts w:ascii="Arial" w:hAnsi="Arial"/>
          <w:b/>
          <w:bCs/>
          <w:sz w:val="28"/>
          <w:szCs w:val="28"/>
        </w:rPr>
      </w:pPr>
      <w:r>
        <w:rPr>
          <w:rFonts w:ascii="Arial" w:hAnsi="Arial"/>
          <w:b/>
          <w:bCs/>
          <w:sz w:val="28"/>
          <w:szCs w:val="28"/>
        </w:rPr>
      </w:r>
      <w:r/>
    </w:p>
    <w:p>
      <w:pPr>
        <w:ind w:firstLine="560"/>
        <w:jc w:val="left"/>
        <w:spacing w:before="120" w:after="120" w:line="400" w:lineRule="exact"/>
        <w:rPr>
          <w:rFonts w:hint="eastAsia" w:ascii="方正公文黑体" w:hAnsi="方正公文黑体" w:eastAsia="黑体" w:cs="方正公文黑体"/>
          <w:sz w:val="28"/>
          <w:szCs w:val="28"/>
          <w:u w:val="single"/>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江苏省特检院业务用车采购</w:t>
      </w:r>
      <w:r/>
    </w:p>
    <w:p>
      <w:pPr>
        <w:ind w:firstLine="560"/>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JSZC-320000-SCZX-G2026-0486</w:t>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1032"/>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40275209"/>
      <w:r/>
      <w:bookmarkStart w:id="1" w:name="_Toc120614210"/>
      <w:r/>
      <w:bookmarkStart w:id="2" w:name="_Toc513029200"/>
      <w:r/>
      <w:bookmarkStart w:id="3" w:name="_Toc523127445"/>
      <w:r/>
      <w:bookmarkStart w:id="4" w:name="_Toc479757206"/>
      <w:r/>
      <w:bookmarkStart w:id="5" w:name="_Toc16938516"/>
      <w:r/>
      <w:bookmarkStart w:id="6" w:name="_Toc20823272"/>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r/>
    </w:p>
    <w:p>
      <w:pPr>
        <w:pStyle w:val="817"/>
        <w:rPr>
          <w:rFonts w:asciiTheme="minorHAnsi" w:hAnsiTheme="minorHAnsi" w:eastAsiaTheme="minorEastAsia" w:cstheme="minorBidi"/>
          <w:caps w:val="0"/>
          <w:sz w:val="22"/>
          <w14:ligatures w14:val="standardContextual"/>
        </w:rPr>
      </w:pPr>
      <w:r>
        <w:rPr>
          <w:rFonts w:hAnsi="Times New Roman"/>
          <w:b/>
          <w:bCs/>
          <w:sz w:val="36"/>
          <w:szCs w:val="36"/>
        </w:rPr>
        <w:fldChar w:fldCharType="begin"/>
      </w:r>
      <w:r>
        <w:rPr>
          <w:b/>
          <w:bCs/>
          <w:sz w:val="36"/>
          <w:szCs w:val="36"/>
        </w:rPr>
        <w:instrText xml:space="preserve"> TOC \o "1-1" \u </w:instrText>
      </w:r>
      <w:r>
        <w:rPr>
          <w:rFonts w:hAnsi="Times New Roman"/>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_Toc240275209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_Toc240275210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_Toc240275211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_Toc240275212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_Toc240275213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_Toc240275214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_Toc240275215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_Toc240275216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_Toc240275217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_Toc240275218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_Toc240275219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_Toc240275220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二、招标文件</w:t>
      </w:r>
      <w:r>
        <w:rPr>
          <w:rFonts w:hint="eastAsia"/>
        </w:rPr>
        <w:tab/>
      </w:r>
      <w:r>
        <w:rPr>
          <w:rFonts w:hint="eastAsia"/>
        </w:rPr>
        <w:fldChar w:fldCharType="begin"/>
      </w:r>
      <w:r>
        <w:rPr>
          <w:rFonts w:hint="eastAsia"/>
        </w:rPr>
        <w:instrText xml:space="preserve"> </w:instrText>
      </w:r>
      <w:r>
        <w:instrText xml:space="preserve">PAGEREF _Toc240275221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_Toc240275222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_Toc240275223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五、开标与评标</w:t>
      </w:r>
      <w:r>
        <w:rPr>
          <w:rFonts w:hint="eastAsia"/>
        </w:rPr>
        <w:tab/>
      </w:r>
      <w:r>
        <w:rPr>
          <w:rFonts w:hint="eastAsia"/>
        </w:rPr>
        <w:fldChar w:fldCharType="begin"/>
      </w:r>
      <w:r>
        <w:rPr>
          <w:rFonts w:hint="eastAsia"/>
        </w:rPr>
        <w:instrText xml:space="preserve"> </w:instrText>
      </w:r>
      <w:r>
        <w:instrText xml:space="preserve">PAGEREF _Toc240275224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六、定标</w:t>
      </w:r>
      <w:r>
        <w:rPr>
          <w:rFonts w:hint="eastAsia"/>
        </w:rPr>
        <w:tab/>
      </w:r>
      <w:r>
        <w:rPr>
          <w:rFonts w:hint="eastAsia"/>
        </w:rPr>
        <w:fldChar w:fldCharType="begin"/>
      </w:r>
      <w:r>
        <w:rPr>
          <w:rFonts w:hint="eastAsia"/>
        </w:rPr>
        <w:instrText xml:space="preserve"> </w:instrText>
      </w:r>
      <w:r>
        <w:instrText xml:space="preserve">PAGEREF _Toc240275225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_Toc240275226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_Toc240275227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_Toc240275228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_Toc240275229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p>
    <w:p>
      <w:pPr>
        <w:pStyle w:val="81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_Toc240275230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p>
    <w:p>
      <w:r>
        <w:rPr>
          <w:rFonts w:hAnsi="宋体"/>
          <w:bCs/>
          <w:szCs w:val="36"/>
        </w:rPr>
        <w:fldChar w:fldCharType="end"/>
      </w:r>
      <w:r/>
    </w:p>
    <w:p>
      <w:r/>
      <w:r/>
    </w:p>
    <w:p>
      <w:pPr>
        <w:jc w:val="left"/>
        <w:widowControl/>
      </w:pPr>
      <w:r>
        <w:br w:type="page" w:clear="all"/>
      </w:r>
      <w:r/>
    </w:p>
    <w:p>
      <w:pPr>
        <w:rPr>
          <w:szCs w:val="21"/>
        </w:rPr>
      </w:pPr>
      <w:r>
        <w:rPr>
          <w:szCs w:val="21"/>
        </w:rPr>
      </w:r>
      <w:r/>
    </w:p>
    <w:p>
      <w:pPr>
        <w:jc w:val="center"/>
        <w:keepNext/>
        <w:spacing w:line="400" w:lineRule="exact"/>
        <w:rPr>
          <w:rFonts w:hint="eastAsia" w:ascii="方正黑体_GBK" w:hAnsi="方正黑体_GBK" w:eastAsia="方正黑体_GBK" w:cs="方正黑体_GBK"/>
          <w:bCs/>
          <w:sz w:val="28"/>
          <w:szCs w:val="28"/>
        </w:rPr>
        <w:outlineLvl w:val="0"/>
      </w:pPr>
      <w:r/>
      <w:bookmarkStart w:id="7" w:name="_Toc240275210"/>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受江苏省特种设备安全监督检验研究院的委托，江苏省政府采购中心就江苏省特检院业务用车采购(</w:t>
      </w:r>
      <w:r>
        <w:rPr>
          <w:rFonts w:ascii="方正仿宋_GBK" w:hAnsi="方正仿宋_GBK" w:eastAsia="方正仿宋_GBK" w:cs="方正仿宋_GBK"/>
          <w:sz w:val="28"/>
          <w:szCs w:val="28"/>
        </w:rPr>
        <w:t xml:space="preserve">JSZC-320000-SCZX-G2026</w:t>
      </w:r>
      <w:r>
        <w:rPr>
          <w:rFonts w:ascii="方正仿宋_GBK" w:hAnsi="方正仿宋_GBK" w:eastAsia="方正仿宋_GBK" w:cs="方正仿宋_GBK"/>
          <w:sz w:val="28"/>
          <w:szCs w:val="28"/>
        </w:rPr>
        <w:t xml:space="preserve">-0486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(江苏省</w:t>
      </w:r>
      <w:r>
        <w:rPr>
          <w:rFonts w:hint="eastAsia" w:ascii="方正仿宋_GBK" w:hAnsi="方正仿宋_GBK" w:eastAsia="方正仿宋_GBK" w:cs="方正仿宋_GBK"/>
          <w:sz w:val="28"/>
          <w:szCs w:val="28"/>
          <w:u w:val="single"/>
        </w:rPr>
        <w:t xml:space="preserve">特检院业务用车</w:t>
      </w:r>
      <w:r>
        <w:rPr>
          <w:rFonts w:hint="eastAsia" w:ascii="方正仿宋_GBK" w:hAnsi="方正仿宋_GBK" w:eastAsia="方正仿宋_GBK" w:cs="方正仿宋_GBK"/>
          <w:sz w:val="28"/>
          <w:szCs w:val="28"/>
          <w:u w:val="single"/>
        </w:rPr>
        <w:t xml:space="preserve">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年11月3日9时</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 w:name="_Toc28359002"/>
      <w:r/>
      <w:bookmarkStart w:id="9" w:name="_Toc35393621"/>
      <w:r/>
      <w:bookmarkStart w:id="10" w:name="_Toc35393790"/>
      <w:r/>
      <w:bookmarkStart w:id="11" w:name="_Toc240275211"/>
      <w:r/>
      <w:bookmarkStart w:id="12" w:name="_Toc38985263"/>
      <w:r/>
      <w:bookmarkStart w:id="13" w:name="_Toc28359079"/>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eastAsia="方正仿宋_GBK"/>
          <w:sz w:val="28"/>
          <w:szCs w:val="28"/>
        </w:rPr>
        <w:t xml:space="preserve">JSZC-320000-SCZX-G2026-0486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eastAsia="方正仿宋_GBK"/>
          <w:sz w:val="28"/>
          <w:szCs w:val="28"/>
        </w:rPr>
        <w:t xml:space="preserve">江苏省特检院业务用车采购</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65"/>
        <w:gridCol w:w="5354"/>
      </w:tblGrid>
      <w:tr>
        <w:trPr>
          <w:trHeight w:val="789"/>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eastAsia="方正仿宋_GBK"/>
                <w:sz w:val="28"/>
                <w:szCs w:val="28"/>
              </w:rPr>
              <w:t xml:space="preserve">252</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54"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150</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5341"/>
      </w:tblGrid>
      <w:tr>
        <w:trPr>
          <w:trHeight w:val="709"/>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4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41" w:type="dxa"/>
            <w:textDirection w:val="lrTb"/>
            <w:noWrap w:val="false"/>
          </w:tcPr>
          <w:p>
            <w:pPr>
              <w:jc w:val="center"/>
              <w:spacing w:line="400" w:lineRule="exact"/>
              <w:rPr>
                <w:rFonts w:eastAsia="方正仿宋_GBK"/>
                <w:sz w:val="28"/>
                <w:szCs w:val="28"/>
              </w:rPr>
            </w:pPr>
            <w:r>
              <w:rPr>
                <w:rFonts w:eastAsia="方正仿宋_GBK"/>
                <w:sz w:val="28"/>
                <w:szCs w:val="28"/>
              </w:rPr>
              <w:t xml:space="preserve">252</w:t>
            </w:r>
            <w:r>
              <w:rPr>
                <w:rFonts w:hint="eastAsia" w:eastAsia="方正仿宋_GBK"/>
                <w:sz w:val="28"/>
                <w:szCs w:val="28"/>
              </w:rPr>
              <w:t xml:space="preserve">（轿车最高限价：</w:t>
            </w:r>
            <w:r>
              <w:rPr>
                <w:rFonts w:hint="eastAsia" w:eastAsia="方正仿宋_GBK"/>
                <w:sz w:val="28"/>
                <w:szCs w:val="28"/>
              </w:rPr>
              <w:t xml:space="preserve">18</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4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150</w:t>
            </w:r>
            <w:r>
              <w:rPr>
                <w:rFonts w:hint="eastAsia" w:eastAsia="方正仿宋_GBK"/>
                <w:sz w:val="28"/>
                <w:szCs w:val="28"/>
              </w:rPr>
              <w:t xml:space="preserve">（商务车最高限价：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bl>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根据工作需要，本院拟采购</w:t>
      </w:r>
      <w:r>
        <w:rPr>
          <w:rFonts w:hint="eastAsia" w:eastAsia="方正仿宋_GBK"/>
          <w:sz w:val="28"/>
          <w:szCs w:val="28"/>
        </w:rPr>
        <w:t xml:space="preserve">20</w:t>
      </w:r>
      <w:r>
        <w:rPr>
          <w:rFonts w:hint="eastAsia" w:eastAsia="方正仿宋_GBK"/>
          <w:sz w:val="28"/>
          <w:szCs w:val="28"/>
        </w:rPr>
        <w:t xml:space="preserve">辆业务用车，其中</w:t>
      </w:r>
      <w:r>
        <w:rPr>
          <w:rFonts w:hint="eastAsia" w:eastAsia="方正仿宋_GBK"/>
          <w:sz w:val="28"/>
          <w:szCs w:val="28"/>
        </w:rPr>
        <w:t xml:space="preserve">14</w:t>
      </w:r>
      <w:r>
        <w:rPr>
          <w:rFonts w:hint="eastAsia" w:eastAsia="方正仿宋_GBK"/>
          <w:sz w:val="28"/>
          <w:szCs w:val="28"/>
        </w:rPr>
        <w:t xml:space="preserve">辆为普通轿车、</w:t>
      </w:r>
      <w:r>
        <w:rPr>
          <w:rFonts w:hint="eastAsia" w:eastAsia="方正仿宋_GBK"/>
          <w:sz w:val="28"/>
          <w:szCs w:val="28"/>
        </w:rPr>
        <w:t xml:space="preserve">6</w:t>
      </w:r>
      <w:r>
        <w:rPr>
          <w:rFonts w:hint="eastAsia" w:eastAsia="方正仿宋_GBK"/>
          <w:sz w:val="28"/>
          <w:szCs w:val="28"/>
        </w:rPr>
        <w:t xml:space="preserve">辆为商务车，全部为新能源汽车。</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rPr>
          <w:rFonts w:hint="eastAsia" w:eastAsia="方正仿宋_GBK"/>
          <w:sz w:val="28"/>
          <w:szCs w:val="28"/>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5" w:name="_Toc35393622"/>
      <w:r/>
      <w:bookmarkStart w:id="16" w:name="_Toc38985264"/>
      <w:r/>
      <w:bookmarkStart w:id="17" w:name="_Toc35393791"/>
      <w:r/>
      <w:bookmarkStart w:id="18" w:name="_Toc28359003"/>
      <w:r/>
      <w:bookmarkStart w:id="19" w:name="_Toc28359080"/>
      <w:r/>
      <w:bookmarkStart w:id="20" w:name="_Toc240275212"/>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38985265"/>
      <w:r/>
      <w:bookmarkStart w:id="22" w:name="_Toc28359004"/>
      <w:r/>
      <w:bookmarkStart w:id="23" w:name="_Toc35393792"/>
      <w:r/>
      <w:bookmarkStart w:id="24" w:name="_Toc28359081"/>
      <w:r/>
      <w:bookmarkStart w:id="25" w:name="_Toc35393623"/>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w:t>
      </w:r>
      <w:r>
        <w:rPr>
          <w:rFonts w:hint="eastAsia" w:ascii="方正仿宋_GBK" w:hAnsi="方正仿宋_GBK" w:eastAsia="方正仿宋_GBK" w:cs="方正仿宋_GBK"/>
          <w:sz w:val="28"/>
          <w:szCs w:val="28"/>
        </w:rPr>
        <w:t xml:space="preserve">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4.联合体投标：不接受联合体投标</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bookmarkStart w:id="26" w:name="_Toc240275213"/>
      <w:r/>
      <w:r/>
    </w:p>
    <w:p>
      <w:pPr>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27" w:name="_Toc28359082"/>
      <w:r/>
      <w:bookmarkStart w:id="28" w:name="_Toc28359005"/>
      <w:r/>
      <w:bookmarkStart w:id="29" w:name="_Toc38985266"/>
      <w:r/>
      <w:bookmarkStart w:id="30" w:name="_Toc240275214"/>
      <w:r/>
      <w:bookmarkStart w:id="31" w:name="_Toc35393793"/>
      <w:r/>
      <w:bookmarkStart w:id="32" w:name="_Toc35393624"/>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sz w:val="28"/>
          <w:szCs w:val="28"/>
        </w:rPr>
        <w:t xml:space="preserve">年11月3日9时</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3" w:name="_Toc38985267"/>
      <w:r/>
      <w:bookmarkStart w:id="34" w:name="_Toc240275215"/>
      <w:r/>
      <w:bookmarkStart w:id="35" w:name="_Toc35393625"/>
      <w:r/>
      <w:bookmarkStart w:id="36" w:name="_Toc28359007"/>
      <w:r/>
      <w:bookmarkStart w:id="37" w:name="_Toc28359084"/>
      <w:r/>
      <w:bookmarkStart w:id="38" w:name="_Toc35393794"/>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9" w:name="_Toc240275216"/>
      <w:r/>
      <w:bookmarkStart w:id="40" w:name="_Toc38985268"/>
      <w:r/>
      <w:bookmarkStart w:id="41" w:name="_Toc35393626"/>
      <w:r/>
      <w:bookmarkStart w:id="42" w:name="_Toc35393795"/>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43" w:name="_Toc38985269"/>
      <w:r/>
      <w:bookmarkStart w:id="44" w:name="_Toc28359008"/>
      <w:r/>
      <w:bookmarkStart w:id="45" w:name="_Toc240275217"/>
      <w:r/>
      <w:bookmarkStart w:id="46" w:name="_Toc35393796"/>
      <w:r/>
      <w:bookmarkStart w:id="47" w:name="_Toc28359085"/>
      <w:r/>
      <w:bookmarkStart w:id="48" w:name="_Toc35393627"/>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江苏省特种设备安全监督检验研究院</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南京市鼓楼区草场门大街107号龙江大厦</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李风华</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025-89621099</w:t>
      </w:r>
      <w:r>
        <w:rPr>
          <w:rFonts w:hint="eastAsia" w:ascii="方正仿宋_GBK" w:hAnsi="方正仿宋_GBK" w:eastAsia="方正仿宋_GBK" w:cs="方正仿宋_GBK"/>
          <w:sz w:val="28"/>
          <w:szCs w:val="28"/>
          <w:u w:val="single"/>
        </w:rPr>
        <w:t xml:space="preserve">　　</w:t>
      </w:r>
      <w:bookmarkStart w:id="49" w:name="_Toc28359086"/>
      <w:r/>
      <w:bookmarkStart w:id="50" w:name="_Toc28359009"/>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hint="eastAsia" w:ascii="方正仿宋_GBK" w:hAnsi="方正仿宋_GBK" w:eastAsia="方正仿宋_GBK" w:cs="方正仿宋_GBK"/>
          <w:sz w:val="28"/>
          <w:szCs w:val="28"/>
        </w:rPr>
      </w:pPr>
      <w:r/>
      <w:bookmarkStart w:id="51" w:name="_Toc28359087"/>
      <w:r/>
      <w:bookmarkStart w:id="52" w:name="_Toc28359010"/>
      <w:r>
        <w:rPr>
          <w:rFonts w:hint="eastAsia" w:ascii="方正仿宋_GBK" w:hAnsi="方正仿宋_GBK" w:eastAsia="方正仿宋_GBK" w:cs="方正仿宋_GBK"/>
          <w:sz w:val="28"/>
          <w:szCs w:val="28"/>
        </w:rPr>
        <w:t xml:space="preserve">地址：南京市建邺区汉中门大街145号三楼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联系人：付钢、唐文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联系方式：025-83668520、83668519</w:t>
      </w:r>
      <w:r>
        <w:rPr>
          <w:rFonts w:hint="eastAsia" w:ascii="方正仿宋_GBK" w:hAnsi="方正仿宋_GBK" w:eastAsia="方正仿宋_GBK" w:cs="方正仿宋_GBK"/>
          <w:sz w:val="28"/>
          <w:szCs w:val="28"/>
          <w:u w:val="single"/>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53" w:name="_Toc240275218"/>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br w:type="page" w:clear="all"/>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40275219"/>
      <w:r>
        <w:rPr>
          <w:rFonts w:hint="eastAsia" w:ascii="方正黑体_GBK" w:hAnsi="方正黑体_GBK" w:eastAsia="方正黑体_GBK" w:cs="方正黑体_GBK"/>
          <w:sz w:val="28"/>
          <w:szCs w:val="28"/>
        </w:rPr>
        <w:t xml:space="preserve">第二章  </w:t>
      </w:r>
      <w:bookmarkStart w:id="56" w:name="_Toc20823274"/>
      <w:r/>
      <w:bookmarkStart w:id="57" w:name="_Toc120614213"/>
      <w:r/>
      <w:bookmarkStart w:id="58" w:name="_Toc16938518"/>
      <w:r/>
      <w:bookmarkStart w:id="59" w:name="_Toc513029202"/>
      <w:r/>
      <w:bookmarkEnd w:id="2"/>
      <w:r/>
      <w:bookmarkEnd w:id="3"/>
      <w:r/>
      <w:bookmarkEnd w:id="4"/>
      <w:r/>
      <w:bookmarkEnd w:id="5"/>
      <w:r/>
      <w:bookmarkEnd w:id="6"/>
      <w:r/>
      <w:bookmarkEnd w:id="54"/>
      <w:r>
        <w:rPr>
          <w:rFonts w:hint="eastAsia" w:ascii="方正黑体_GBK" w:hAnsi="方正黑体_GBK" w:eastAsia="方正黑体_GBK" w:cs="方正黑体_GBK"/>
          <w:sz w:val="28"/>
          <w:szCs w:val="28"/>
        </w:rPr>
        <w:t xml:space="preserve">投标人须知</w:t>
      </w:r>
      <w:bookmarkEnd w:id="55"/>
      <w:r/>
      <w:bookmarkEnd w:id="56"/>
      <w:r/>
      <w:bookmarkEnd w:id="57"/>
      <w:r/>
      <w:bookmarkEnd w:id="58"/>
      <w:r/>
      <w:bookmarkEnd w:id="59"/>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60" w:name="_Toc20823275"/>
      <w:r/>
      <w:bookmarkStart w:id="61" w:name="_Toc513029203"/>
      <w:r/>
      <w:bookmarkStart w:id="62" w:name="_Toc16938519"/>
      <w:r/>
      <w:bookmarkStart w:id="63" w:name="_Toc120614214"/>
      <w:r/>
      <w:bookmarkStart w:id="64" w:name="_Toc240275220"/>
      <w:r>
        <w:rPr>
          <w:rFonts w:hint="eastAsia" w:ascii="方正黑体_GBK" w:hAnsi="方正黑体_GBK" w:eastAsia="方正黑体_GBK" w:cs="方正黑体_GBK"/>
          <w:sz w:val="28"/>
          <w:szCs w:val="28"/>
        </w:rPr>
        <w:t xml:space="preserve">一、总则</w:t>
      </w:r>
      <w:bookmarkEnd w:id="60"/>
      <w:r/>
      <w:bookmarkEnd w:id="61"/>
      <w:r/>
      <w:bookmarkEnd w:id="62"/>
      <w:r/>
      <w:bookmarkEnd w:id="63"/>
      <w:r/>
      <w:bookmarkEnd w:id="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.招标方式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16938521"/>
      <w:r/>
      <w:bookmarkStart w:id="71" w:name="_Toc513029205"/>
      <w:r/>
      <w:bookmarkStart w:id="72" w:name="_Toc20823277"/>
      <w:r>
        <w:rPr>
          <w:rFonts w:hint="eastAsia" w:ascii="方正仿宋_GBK" w:hAnsi="方正仿宋_GBK" w:eastAsia="方正仿宋_GBK" w:cs="方正仿宋_GBK"/>
          <w:bCs/>
          <w:sz w:val="28"/>
          <w:szCs w:val="28"/>
        </w:rPr>
        <w:t xml:space="preserve">2.合格的投标人</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06"/>
      <w:r/>
      <w:bookmarkStart w:id="74" w:name="_Toc20823278"/>
      <w:r/>
      <w:bookmarkStart w:id="75" w:name="_Toc16938522"/>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513029207"/>
      <w:r/>
      <w:bookmarkStart w:id="77" w:name="_Toc20823279"/>
      <w:r/>
      <w:bookmarkStart w:id="78" w:name="_Toc462564067"/>
      <w:r/>
      <w:bookmarkStart w:id="79" w:name="_Toc16938523"/>
      <w:r>
        <w:rPr>
          <w:rFonts w:hint="eastAsia" w:ascii="方正仿宋_GBK" w:hAnsi="方正仿宋_GBK" w:eastAsia="方正仿宋_GBK" w:cs="方正仿宋_GBK"/>
          <w:bCs/>
          <w:sz w:val="28"/>
          <w:szCs w:val="28"/>
        </w:rPr>
        <w:t xml:space="preserve">4.投标费用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0" w:name="_Toc513029209"/>
      <w:r/>
      <w:bookmarkStart w:id="81" w:name="_Toc120614215"/>
      <w:r/>
      <w:bookmarkStart w:id="82" w:name="_Toc20823281"/>
      <w:r/>
      <w:bookmarkStart w:id="83" w:name="_Toc240275221"/>
      <w:r/>
      <w:bookmarkStart w:id="84" w:name="_Toc16938525"/>
      <w:r>
        <w:rPr>
          <w:rFonts w:hint="eastAsia" w:ascii="方正黑体_GBK" w:hAnsi="方正黑体_GBK" w:eastAsia="方正黑体_GBK" w:cs="方正黑体_GBK"/>
          <w:sz w:val="28"/>
          <w:szCs w:val="28"/>
        </w:rPr>
        <w:t xml:space="preserve">二、招标文件</w:t>
      </w:r>
      <w:bookmarkEnd w:id="80"/>
      <w:r/>
      <w:bookmarkEnd w:id="81"/>
      <w:r/>
      <w:bookmarkEnd w:id="82"/>
      <w:r/>
      <w:bookmarkEnd w:id="83"/>
      <w:r/>
      <w:bookmarkEnd w:id="8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5" w:name="_Toc20823282"/>
      <w:r/>
      <w:bookmarkStart w:id="86" w:name="_Toc16938526"/>
      <w:r/>
      <w:bookmarkStart w:id="87" w:name="_Toc513029210"/>
      <w:r>
        <w:rPr>
          <w:rFonts w:hint="eastAsia" w:ascii="方正仿宋_GBK" w:hAnsi="方正仿宋_GBK" w:eastAsia="方正仿宋_GBK" w:cs="方正仿宋_GBK"/>
          <w:bCs/>
          <w:sz w:val="28"/>
          <w:szCs w:val="28"/>
        </w:rPr>
        <w:t xml:space="preserve">6.招标文件构成</w:t>
      </w:r>
      <w:bookmarkEnd w:id="85"/>
      <w:r/>
      <w:bookmarkEnd w:id="86"/>
      <w:r/>
      <w:bookmarkEnd w:id="8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w:t>
      </w:r>
      <w:r>
        <w:rPr>
          <w:rFonts w:hint="eastAsia" w:ascii="方正仿宋_GBK" w:hAnsi="方正仿宋_GBK" w:eastAsia="方正仿宋_GBK" w:cs="方正仿宋_GBK"/>
          <w:bCs/>
          <w:sz w:val="28"/>
          <w:szCs w:val="28"/>
        </w:rPr>
        <w:t xml:space="preserve">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20823284"/>
      <w:r/>
      <w:bookmarkStart w:id="89" w:name="_Toc462564071"/>
      <w:r/>
      <w:bookmarkStart w:id="90" w:name="_Toc16938528"/>
      <w:r/>
      <w:bookmarkStart w:id="91" w:name="_Toc513029212"/>
      <w:r>
        <w:rPr>
          <w:rFonts w:hint="eastAsia" w:ascii="方正仿宋_GBK" w:hAnsi="方正仿宋_GBK" w:eastAsia="方正仿宋_GBK" w:cs="方正仿宋_GBK"/>
          <w:bCs/>
          <w:sz w:val="28"/>
          <w:szCs w:val="28"/>
        </w:rPr>
        <w:t xml:space="preserve">7.招标文件的修改</w:t>
      </w:r>
      <w:bookmarkEnd w:id="88"/>
      <w:r/>
      <w:bookmarkEnd w:id="89"/>
      <w:r/>
      <w:bookmarkEnd w:id="90"/>
      <w:r/>
      <w:bookmarkEnd w:id="9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92" w:name="_Toc120614216"/>
      <w:r/>
      <w:bookmarkStart w:id="93" w:name="_Toc20823285"/>
      <w:r/>
      <w:bookmarkStart w:id="94" w:name="_Toc513029213"/>
      <w:r/>
      <w:bookmarkStart w:id="95" w:name="_Toc16938529"/>
      <w:r/>
      <w:bookmarkStart w:id="96" w:name="_Toc462564072"/>
      <w:r/>
      <w:bookmarkStart w:id="97" w:name="_Toc240275222"/>
      <w:r>
        <w:rPr>
          <w:rFonts w:hint="eastAsia" w:ascii="方正黑体_GBK" w:hAnsi="方正黑体_GBK" w:eastAsia="方正黑体_GBK" w:cs="方正黑体_GBK"/>
          <w:sz w:val="28"/>
          <w:szCs w:val="28"/>
        </w:rPr>
        <w:t xml:space="preserve">三、投标文件的编制</w:t>
      </w:r>
      <w:bookmarkEnd w:id="92"/>
      <w:r/>
      <w:bookmarkEnd w:id="93"/>
      <w:r/>
      <w:bookmarkEnd w:id="94"/>
      <w:r/>
      <w:bookmarkEnd w:id="95"/>
      <w:r/>
      <w:bookmarkEnd w:id="96"/>
      <w:r/>
      <w:bookmarkEnd w:id="9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Toc16938530"/>
      <w:r/>
      <w:bookmarkStart w:id="99" w:name="_Toc20823286"/>
      <w:r/>
      <w:bookmarkStart w:id="100" w:name="_Toc513029214"/>
      <w:r/>
      <w:bookmarkStart w:id="101" w:name="_Toc462564073"/>
      <w:r>
        <w:rPr>
          <w:rFonts w:hint="eastAsia" w:ascii="方正仿宋_GBK" w:hAnsi="方正仿宋_GBK" w:eastAsia="方正仿宋_GBK" w:cs="方正仿宋_GBK"/>
          <w:bCs/>
          <w:sz w:val="28"/>
          <w:szCs w:val="28"/>
        </w:rPr>
        <w:t xml:space="preserve">8.投标文件的语言及度量衡单位</w:t>
      </w:r>
      <w:bookmarkEnd w:id="98"/>
      <w:r/>
      <w:bookmarkEnd w:id="99"/>
      <w:r/>
      <w:bookmarkEnd w:id="100"/>
      <w:r/>
      <w:bookmarkEnd w:id="10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2" w:name="_Toc16938531"/>
      <w:r/>
      <w:bookmarkStart w:id="103" w:name="_Toc20823287"/>
      <w:r/>
      <w:bookmarkStart w:id="104" w:name="_Toc462564074"/>
      <w:r/>
      <w:bookmarkStart w:id="105" w:name="_Toc513029215"/>
      <w:r>
        <w:rPr>
          <w:rFonts w:hint="eastAsia" w:ascii="方正仿宋_GBK" w:hAnsi="方正仿宋_GBK" w:eastAsia="方正仿宋_GBK" w:cs="方正仿宋_GBK"/>
          <w:bCs/>
          <w:sz w:val="28"/>
          <w:szCs w:val="28"/>
        </w:rPr>
        <w:t xml:space="preserve">9.投标文件构成</w:t>
      </w:r>
      <w:bookmarkEnd w:id="102"/>
      <w:r/>
      <w:bookmarkEnd w:id="103"/>
      <w:r/>
      <w:bookmarkEnd w:id="104"/>
      <w:r/>
      <w:bookmarkEnd w:id="10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670360"/>
      <w:r/>
      <w:bookmarkStart w:id="107" w:name="_Hlt26668975"/>
      <w:r/>
      <w:bookmarkStart w:id="108" w:name="_Hlt26954838"/>
      <w:r/>
      <w:bookmarkStart w:id="109" w:name="_Toc14577357"/>
      <w:r/>
      <w:bookmarkStart w:id="110" w:name="_Toc14577354"/>
      <w:r/>
      <w:bookmarkStart w:id="111" w:name="_Toc513029216"/>
      <w:r/>
      <w:bookmarkStart w:id="112" w:name="_Toc49090509"/>
      <w:r/>
      <w:bookmarkStart w:id="113" w:name="_Toc49090507"/>
      <w:r/>
      <w:bookmarkStart w:id="114" w:name="_Toc513029219"/>
      <w:r/>
      <w:bookmarkStart w:id="115" w:name="_Toc14577355"/>
      <w:r/>
      <w:bookmarkStart w:id="116" w:name="_Toc49090508"/>
      <w:r/>
      <w:bookmarkEnd w:id="106"/>
      <w:r/>
      <w:bookmarkEnd w:id="107"/>
      <w:r/>
      <w:bookmarkEnd w:id="108"/>
      <w:r>
        <w:rPr>
          <w:rFonts w:hint="eastAsia" w:ascii="方正仿宋_GBK" w:hAnsi="方正仿宋_GBK" w:eastAsia="方正仿宋_GBK" w:cs="方正仿宋_GBK"/>
          <w:bCs/>
          <w:sz w:val="28"/>
          <w:szCs w:val="28"/>
        </w:rPr>
        <w:t xml:space="preserve">10.证明投标人及投标标的符合招标文件规定的文件</w:t>
      </w:r>
      <w:bookmarkEnd w:id="109"/>
      <w:r/>
      <w:bookmarkEnd w:id="110"/>
      <w:r/>
      <w:bookmarkEnd w:id="111"/>
      <w:r/>
      <w:bookmarkEnd w:id="112"/>
      <w:r/>
      <w:bookmarkEnd w:id="113"/>
      <w:r/>
      <w:bookmarkEnd w:id="11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17" w:name="_Hlt26954840"/>
      <w:r/>
      <w:bookmarkEnd w:id="117"/>
      <w:r>
        <w:rPr>
          <w:rFonts w:hint="eastAsia" w:ascii="方正仿宋_GBK" w:hAnsi="方正仿宋_GBK" w:eastAsia="方正仿宋_GBK" w:cs="方正仿宋_GBK"/>
          <w:bCs/>
          <w:sz w:val="28"/>
          <w:szCs w:val="28"/>
        </w:rPr>
        <w:t xml:space="preserve">标人按照招标文件规定格式填报投标分项报价表</w:t>
      </w:r>
      <w:bookmarkStart w:id="118" w:name="_Hlt26670399"/>
      <w:r/>
      <w:bookmarkEnd w:id="118"/>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954846"/>
      <w:r/>
      <w:bookmarkStart w:id="120" w:name="_Hlt26670482"/>
      <w:r/>
      <w:bookmarkStart w:id="121" w:name="_Hlt26954848"/>
      <w:r/>
      <w:bookmarkStart w:id="122" w:name="_Hlt26670486"/>
      <w:r/>
      <w:bookmarkStart w:id="123" w:name="_Hlt26954731"/>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w:t>
      </w:r>
      <w:r>
        <w:rPr>
          <w:rFonts w:hint="eastAsia" w:ascii="方正仿宋_GBK" w:hAnsi="方正仿宋_GBK" w:eastAsia="方正仿宋_GBK" w:cs="方正仿宋_GBK"/>
          <w:bCs/>
          <w:sz w:val="28"/>
          <w:szCs w:val="28"/>
          <w:lang w:val="zh-CN"/>
        </w:rPr>
        <w:t xml:space="preserve">的的</w:t>
      </w:r>
      <w:r>
        <w:rPr>
          <w:rFonts w:hint="eastAsia" w:ascii="方正仿宋_GBK" w:hAnsi="方正仿宋_GBK" w:eastAsia="方正仿宋_GBK" w:cs="方正仿宋_GBK"/>
          <w:bCs/>
          <w:sz w:val="28"/>
          <w:szCs w:val="28"/>
          <w:lang w:val="zh-CN"/>
        </w:rPr>
        <w:t xml:space="preserve">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49090510"/>
      <w:r/>
      <w:bookmarkStart w:id="125" w:name="_Toc14577359"/>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4577360"/>
      <w:r/>
      <w:bookmarkStart w:id="127" w:name="_Toc49090511"/>
      <w:r/>
      <w:bookmarkEnd w:id="124"/>
      <w:r/>
      <w:bookmarkEnd w:id="125"/>
      <w:r>
        <w:rPr>
          <w:rFonts w:hint="eastAsia" w:ascii="方正仿宋_GBK" w:hAnsi="方正仿宋_GBK" w:eastAsia="方正仿宋_GBK" w:cs="方正仿宋_GBK"/>
          <w:bCs/>
          <w:sz w:val="28"/>
          <w:szCs w:val="28"/>
        </w:rPr>
        <w:t xml:space="preserve">15.投标有效期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28" w:name="_Hlt26954739"/>
      <w:r/>
      <w:bookmarkStart w:id="129" w:name="_Hlt26954852"/>
      <w:r/>
      <w:bookmarkStart w:id="130" w:name="_Toc16938540"/>
      <w:r/>
      <w:bookmarkStart w:id="131" w:name="_Toc513029224"/>
      <w:r/>
      <w:bookmarkStart w:id="132" w:name="_Toc120614217"/>
      <w:r/>
      <w:bookmarkStart w:id="133" w:name="_Toc20823296"/>
      <w:r/>
      <w:bookmarkStart w:id="134" w:name="_Toc240275223"/>
      <w:r/>
      <w:bookmarkEnd w:id="128"/>
      <w:r/>
      <w:bookmarkEnd w:id="129"/>
      <w:r>
        <w:rPr>
          <w:rFonts w:hint="eastAsia" w:ascii="方正黑体_GBK" w:hAnsi="方正黑体_GBK" w:eastAsia="方正黑体_GBK" w:cs="方正黑体_GBK"/>
          <w:sz w:val="28"/>
          <w:szCs w:val="28"/>
        </w:rPr>
        <w:t xml:space="preserve">四、投标文件的递交</w:t>
      </w:r>
      <w:bookmarkEnd w:id="130"/>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16938541"/>
      <w:r/>
      <w:bookmarkStart w:id="136" w:name="_Toc20823297"/>
      <w:r/>
      <w:bookmarkStart w:id="137" w:name="_Toc462564084"/>
      <w:r/>
      <w:bookmarkStart w:id="138" w:name="_Toc513029225"/>
      <w:r>
        <w:rPr>
          <w:rFonts w:hint="eastAsia" w:ascii="方正仿宋_GBK" w:hAnsi="方正仿宋_GBK" w:eastAsia="方正仿宋_GBK" w:cs="方正仿宋_GBK"/>
          <w:bCs/>
          <w:sz w:val="28"/>
          <w:szCs w:val="28"/>
        </w:rPr>
        <w:t xml:space="preserve">17.电子投标文件</w:t>
      </w:r>
      <w:bookmarkEnd w:id="135"/>
      <w:r/>
      <w:bookmarkEnd w:id="136"/>
      <w:r/>
      <w:bookmarkEnd w:id="137"/>
      <w:r/>
      <w:bookmarkEnd w:id="13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39" w:name="_Toc513029226"/>
      <w:r/>
      <w:bookmarkStart w:id="140" w:name="_Toc20823298"/>
      <w:r/>
      <w:bookmarkStart w:id="141" w:name="_Toc1693854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39"/>
      <w:r/>
      <w:bookmarkEnd w:id="140"/>
      <w:r/>
      <w:bookmarkEnd w:id="14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w:t>
      </w:r>
      <w:r>
        <w:rPr>
          <w:rFonts w:hint="eastAsia" w:ascii="方正仿宋_GBK" w:hAnsi="方正仿宋_GBK" w:eastAsia="方正仿宋_GBK" w:cs="方正仿宋_GBK"/>
          <w:bCs/>
          <w:sz w:val="28"/>
          <w:szCs w:val="28"/>
        </w:rPr>
        <w:t xml:space="preserve">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16938543"/>
      <w:r/>
      <w:bookmarkStart w:id="143" w:name="_Toc513029227"/>
      <w:r/>
      <w:bookmarkStart w:id="144" w:name="_Toc20823299"/>
      <w:r>
        <w:rPr>
          <w:rFonts w:hint="eastAsia" w:ascii="方正仿宋_GBK" w:hAnsi="方正仿宋_GBK" w:eastAsia="方正仿宋_GBK" w:cs="方正仿宋_GBK"/>
          <w:bCs/>
          <w:sz w:val="28"/>
          <w:szCs w:val="28"/>
        </w:rPr>
        <w:t xml:space="preserve">19.投标文件</w:t>
      </w:r>
      <w:bookmarkEnd w:id="142"/>
      <w:r/>
      <w:bookmarkEnd w:id="143"/>
      <w:r/>
      <w:bookmarkEnd w:id="14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5" w:name="_Toc16938544"/>
      <w:r/>
      <w:bookmarkStart w:id="146" w:name="_Toc513029228"/>
      <w:r/>
      <w:bookmarkStart w:id="147" w:name="_Toc20823300"/>
      <w:r>
        <w:rPr>
          <w:rFonts w:hint="eastAsia" w:ascii="方正仿宋_GBK" w:hAnsi="方正仿宋_GBK" w:eastAsia="方正仿宋_GBK" w:cs="方正仿宋_GBK"/>
          <w:bCs/>
          <w:sz w:val="28"/>
          <w:szCs w:val="28"/>
        </w:rPr>
        <w:t xml:space="preserve">20.投标文件的撤回和修改</w:t>
      </w:r>
      <w:bookmarkEnd w:id="145"/>
      <w:r/>
      <w:bookmarkEnd w:id="146"/>
      <w:r/>
      <w:bookmarkEnd w:id="14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48" w:name="_Toc20823301"/>
      <w:r/>
      <w:bookmarkStart w:id="149" w:name="_Toc240275224"/>
      <w:r/>
      <w:bookmarkStart w:id="150" w:name="_Toc16938545"/>
      <w:r/>
      <w:bookmarkStart w:id="151" w:name="_Toc120614218"/>
      <w:r/>
      <w:bookmarkStart w:id="152" w:name="_Toc513029229"/>
      <w:r>
        <w:rPr>
          <w:rFonts w:hint="eastAsia" w:ascii="方正黑体_GBK" w:hAnsi="方正黑体_GBK" w:eastAsia="方正黑体_GBK" w:cs="方正黑体_GBK"/>
          <w:sz w:val="28"/>
          <w:szCs w:val="28"/>
        </w:rPr>
        <w:t xml:space="preserve">五、开标与评标</w:t>
      </w:r>
      <w:bookmarkEnd w:id="148"/>
      <w:r/>
      <w:bookmarkEnd w:id="149"/>
      <w:r/>
      <w:bookmarkEnd w:id="150"/>
      <w:r/>
      <w:bookmarkEnd w:id="151"/>
      <w:r/>
      <w:bookmarkEnd w:id="15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513029230"/>
      <w:r/>
      <w:bookmarkStart w:id="154" w:name="_Toc16938546"/>
      <w:r/>
      <w:bookmarkStart w:id="155" w:name="_Toc20823302"/>
      <w:r>
        <w:rPr>
          <w:rFonts w:hint="eastAsia" w:ascii="方正仿宋_GBK" w:hAnsi="方正仿宋_GBK" w:eastAsia="方正仿宋_GBK" w:cs="方正仿宋_GBK"/>
          <w:bCs/>
          <w:sz w:val="28"/>
          <w:szCs w:val="28"/>
        </w:rPr>
        <w:t xml:space="preserve">21.开标</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513029231"/>
      <w:r/>
      <w:bookmarkStart w:id="157" w:name="_Toc20823303"/>
      <w:r/>
      <w:bookmarkStart w:id="158" w:name="_Toc16938547"/>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56"/>
      <w:r/>
      <w:bookmarkEnd w:id="157"/>
      <w:r/>
      <w:bookmarkEnd w:id="1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9" w:name="_Toc20823304"/>
      <w:r/>
      <w:bookmarkStart w:id="160" w:name="_Toc16938548"/>
      <w:r/>
      <w:bookmarkStart w:id="161" w:name="_Toc513029232"/>
      <w:r>
        <w:rPr>
          <w:rFonts w:hint="eastAsia" w:ascii="方正仿宋_GBK" w:hAnsi="方正仿宋_GBK" w:eastAsia="方正仿宋_GBK" w:cs="方正仿宋_GBK"/>
          <w:bCs/>
          <w:sz w:val="28"/>
          <w:szCs w:val="28"/>
        </w:rPr>
        <w:t xml:space="preserve">24.投标文件的澄清</w:t>
      </w:r>
      <w:bookmarkEnd w:id="159"/>
      <w:r/>
      <w:bookmarkEnd w:id="160"/>
      <w:r/>
      <w:bookmarkEnd w:id="16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2" w:name="_Toc16938549"/>
      <w:r/>
      <w:bookmarkStart w:id="163" w:name="_Toc513029233"/>
      <w:r/>
      <w:bookmarkStart w:id="164" w:name="_Toc20823305"/>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62"/>
      <w:r/>
      <w:bookmarkEnd w:id="163"/>
      <w:r/>
      <w:bookmarkEnd w:id="1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联合体成员中任何一方存在不良信用记录的，视同联合体存在不良应用记录。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5" w:name="_Toc20823306"/>
      <w:r/>
      <w:bookmarkStart w:id="166" w:name="_Toc16938550"/>
      <w:r/>
      <w:bookmarkStart w:id="167"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（1）投标报价低于全部通过符合性审查供应商投标报价平均值65%的，即投标报价&lt;全部通过符合性审查供应商投标报价平均值×65%；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（2）投标报价低于通过符合性审查的次低报价供应商投标报价65%的，即投标报价&lt;通过符合性审查的次低报价供应商投标报价×65%；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（3）投标报价低于采购项目最高限价65%的，即投标报价&lt;采购项目最高限价×65%；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w:t>
      </w:r>
      <w:r>
        <w:rPr>
          <w:rFonts w:hint="eastAsia" w:ascii="方正仿宋_GBK" w:hAnsi="方正仿宋_GBK" w:eastAsia="方正仿宋_GBK" w:cs="方正仿宋_GBK"/>
          <w:bCs/>
          <w:sz w:val="28"/>
          <w:szCs w:val="28"/>
        </w:rPr>
        <w:t xml:space="preserve">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bookmarkEnd w:id="165"/>
      <w:r/>
      <w:bookmarkEnd w:id="166"/>
      <w:r/>
      <w:bookmarkEnd w:id="167"/>
      <w:r>
        <w:rPr>
          <w:rFonts w:hint="eastAsia" w:ascii="方正仿宋_GBK" w:hAnsi="方正仿宋_GBK" w:eastAsia="方正仿宋_GBK" w:cs="方正仿宋_GBK"/>
          <w:bCs/>
          <w:sz w:val="28"/>
          <w:szCs w:val="28"/>
        </w:rPr>
        <w:t xml:space="preserve">6.无效投标条款和废标条款</w:t>
      </w:r>
      <w:bookmarkStart w:id="168" w:name="_Toc20823307"/>
      <w:r/>
      <w:bookmarkStart w:id="169" w:name="_Toc513029235"/>
      <w:r/>
      <w:bookmarkStart w:id="170" w:name="_Toc16938551"/>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w:t>
      </w:r>
      <w:r>
        <w:rPr>
          <w:rFonts w:hint="eastAsia" w:ascii="方正仿宋_GBK" w:hAnsi="方正仿宋_GBK" w:eastAsia="方正仿宋_GBK" w:cs="方正仿宋_GBK"/>
          <w:sz w:val="28"/>
          <w:szCs w:val="28"/>
        </w:rPr>
        <w:t xml:space="preserve">之内的该节能产品认证证书图片）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1" w:name="_Toc120614219"/>
      <w:r/>
      <w:bookmarkStart w:id="172" w:name="_Toc240275225"/>
      <w:r>
        <w:rPr>
          <w:rFonts w:hint="eastAsia" w:ascii="方正黑体_GBK" w:hAnsi="方正黑体_GBK" w:eastAsia="方正黑体_GBK" w:cs="方正黑体_GBK"/>
          <w:sz w:val="28"/>
          <w:szCs w:val="28"/>
        </w:rPr>
        <w:t xml:space="preserve">六、</w:t>
      </w:r>
      <w:bookmarkEnd w:id="168"/>
      <w:r/>
      <w:bookmarkEnd w:id="169"/>
      <w:r/>
      <w:bookmarkEnd w:id="170"/>
      <w:r>
        <w:rPr>
          <w:rFonts w:hint="eastAsia" w:ascii="方正黑体_GBK" w:hAnsi="方正黑体_GBK" w:eastAsia="方正黑体_GBK" w:cs="方正黑体_GBK"/>
          <w:sz w:val="28"/>
          <w:szCs w:val="28"/>
        </w:rPr>
        <w:t xml:space="preserve">定标</w:t>
      </w:r>
      <w:bookmarkEnd w:id="171"/>
      <w:r/>
      <w:bookmarkEnd w:id="1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3" w:name="_Toc513029238"/>
      <w:r/>
      <w:bookmarkStart w:id="174" w:name="_Toc20823310"/>
      <w:r/>
      <w:bookmarkStart w:id="175" w:name="_Toc16938554"/>
      <w:r>
        <w:rPr>
          <w:rFonts w:hint="eastAsia" w:ascii="方正仿宋_GBK" w:hAnsi="方正仿宋_GBK" w:eastAsia="方正仿宋_GBK" w:cs="方正仿宋_GBK"/>
          <w:bCs/>
          <w:sz w:val="28"/>
          <w:szCs w:val="28"/>
        </w:rPr>
        <w:t xml:space="preserve">27</w:t>
      </w:r>
      <w:bookmarkEnd w:id="173"/>
      <w:r>
        <w:rPr>
          <w:rFonts w:hint="eastAsia" w:ascii="方正仿宋_GBK" w:hAnsi="方正仿宋_GBK" w:eastAsia="方正仿宋_GBK" w:cs="方正仿宋_GBK"/>
          <w:bCs/>
          <w:sz w:val="28"/>
          <w:szCs w:val="28"/>
        </w:rPr>
        <w:t xml:space="preserve">.确定</w:t>
      </w:r>
      <w:bookmarkEnd w:id="174"/>
      <w:r/>
      <w:bookmarkEnd w:id="175"/>
      <w:r>
        <w:rPr>
          <w:rFonts w:hint="eastAsia" w:ascii="方正仿宋_GBK" w:hAnsi="方正仿宋_GBK" w:eastAsia="方正仿宋_GBK" w:cs="方正仿宋_GBK"/>
          <w:bCs/>
          <w:sz w:val="28"/>
          <w:szCs w:val="28"/>
        </w:rPr>
        <w:t xml:space="preserve">中标单位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76" w:name="_Toc200451960"/>
      <w:r>
        <w:rPr>
          <w:rFonts w:hint="eastAsia" w:ascii="方正仿宋_GBK" w:hAnsi="方正仿宋_GBK" w:eastAsia="方正仿宋_GBK" w:cs="方正仿宋_GBK"/>
          <w:sz w:val="28"/>
          <w:szCs w:val="28"/>
        </w:rPr>
        <w:t xml:space="preserve">27.5 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bookmarkEnd w:id="17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 xml:space="preserve">　　28.2.2对采购过程提出质疑的，为各采购程序环节结束之日；</w:t>
      </w:r>
      <w:r>
        <w:rPr>
          <w:rFonts w:hint="eastAsia" w:ascii="方正仿宋_GBK" w:hAnsi="方正仿宋_GBK" w:eastAsia="方正仿宋_GBK" w:cs="方正仿宋_GBK"/>
          <w:sz w:val="28"/>
          <w:szCs w:val="28"/>
        </w:rPr>
        <w:b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采购中心及采购人只接收以纸质原件形式送达的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w:t>
      </w:r>
      <w:r>
        <w:rPr>
          <w:rFonts w:hint="eastAsia" w:ascii="方正仿宋_GBK" w:hAnsi="方正仿宋_GBK" w:eastAsia="方正仿宋_GBK" w:cs="方正仿宋_GBK"/>
          <w:sz w:val="28"/>
          <w:szCs w:val="28"/>
        </w:rPr>
        <w:t xml:space="preserve">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w:t>
      </w:r>
      <w:r>
        <w:rPr>
          <w:rFonts w:hint="eastAsia" w:ascii="方正仿宋_GBK" w:hAnsi="方正仿宋_GBK" w:eastAsia="方正仿宋_GBK" w:cs="方正仿宋_GBK"/>
          <w:sz w:val="28"/>
          <w:szCs w:val="28"/>
        </w:rPr>
        <w:t xml:space="preserve">日内,</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t xml:space="preserve">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7" w:name="_Toc120614220"/>
      <w:r/>
      <w:bookmarkStart w:id="178" w:name="_Toc240275226"/>
      <w:r/>
      <w:bookmarkStart w:id="179" w:name="_Toc16938552"/>
      <w:r/>
      <w:bookmarkStart w:id="180" w:name="_Toc20823308"/>
      <w:r/>
      <w:bookmarkStart w:id="181" w:name="_Toc513029236"/>
      <w:r>
        <w:rPr>
          <w:rFonts w:hint="eastAsia" w:ascii="方正黑体_GBK" w:hAnsi="方正黑体_GBK" w:eastAsia="方正黑体_GBK" w:cs="方正黑体_GBK"/>
          <w:sz w:val="28"/>
          <w:szCs w:val="28"/>
        </w:rPr>
        <w:t xml:space="preserve">七、授予合同</w:t>
      </w:r>
      <w:bookmarkEnd w:id="177"/>
      <w:r/>
      <w:bookmarkEnd w:id="178"/>
      <w:r/>
      <w:r/>
    </w:p>
    <w:p>
      <w:pPr>
        <w:ind w:firstLine="560"/>
        <w:spacing w:line="400" w:lineRule="exact"/>
        <w:rPr>
          <w:rFonts w:hint="eastAsia" w:ascii="方正仿宋_GBK" w:hAnsi="方正仿宋_GBK" w:eastAsia="方正仿宋_GBK" w:cs="方正仿宋_GBK"/>
          <w:sz w:val="28"/>
          <w:szCs w:val="28"/>
        </w:rPr>
      </w:pPr>
      <w:r/>
      <w:bookmarkStart w:id="182" w:name="_Toc16938553"/>
      <w:r/>
      <w:bookmarkStart w:id="183" w:name="_Toc20823309"/>
      <w:r/>
      <w:bookmarkStart w:id="184" w:name="_Toc513029237"/>
      <w:r/>
      <w:bookmarkEnd w:id="179"/>
      <w:r/>
      <w:bookmarkEnd w:id="180"/>
      <w:r/>
      <w:bookmarkEnd w:id="181"/>
      <w:r>
        <w:rPr>
          <w:rFonts w:hint="eastAsia" w:ascii="方正仿宋_GBK" w:hAnsi="方正仿宋_GBK" w:eastAsia="方正仿宋_GBK" w:cs="方正仿宋_GBK"/>
          <w:sz w:val="28"/>
          <w:szCs w:val="28"/>
        </w:rPr>
        <w:t xml:space="preserve">30.签订合同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w:t>
      </w:r>
      <w:r>
        <w:rPr>
          <w:rFonts w:hint="eastAsia" w:ascii="方正仿宋_GBK" w:hAnsi="方正仿宋_GBK" w:eastAsia="方正仿宋_GBK" w:cs="方正仿宋_GBK"/>
          <w:sz w:val="28"/>
          <w:szCs w:val="28"/>
        </w:rPr>
        <w:t xml:space="preserve">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spacing w:line="400" w:lineRule="exact"/>
        <w:rPr>
          <w:rFonts w:hint="eastAsia" w:ascii="方正仿宋_GBK" w:hAnsi="方正仿宋_GBK" w:eastAsia="方正仿宋_GBK" w:cs="方正仿宋_GBK"/>
          <w:sz w:val="28"/>
          <w:szCs w:val="28"/>
        </w:rPr>
      </w:pPr>
      <w:r/>
      <w:bookmarkStart w:id="185" w:name="_Toc20823314"/>
      <w:r/>
      <w:bookmarkStart w:id="186" w:name="_Toc120614221"/>
      <w:r/>
      <w:bookmarkStart w:id="187" w:name="_Toc513029242"/>
      <w:r/>
      <w:bookmarkStart w:id="188" w:name="_Toc16938558"/>
      <w:r/>
      <w:bookmarkStart w:id="189" w:name="_Toc479757207"/>
      <w:r/>
      <w:bookmarkEnd w:id="182"/>
      <w:r/>
      <w:bookmarkEnd w:id="183"/>
      <w:r/>
      <w:bookmarkEnd w:id="184"/>
      <w:r>
        <w:rPr>
          <w:rFonts w:hint="eastAsia" w:ascii="方正仿宋_GBK" w:hAnsi="方正仿宋_GBK" w:eastAsia="方正仿宋_GBK" w:cs="方正仿宋_GBK"/>
          <w:sz w:val="28"/>
          <w:szCs w:val="28"/>
        </w:rPr>
        <w:t xml:space="preserve">32.政府采购履约资金扶持政策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190" w:name="_Toc240275227"/>
      <w:r>
        <w:rPr>
          <w:rFonts w:hint="eastAsia" w:ascii="方正黑体_GBK" w:hAnsi="方正黑体_GBK" w:eastAsia="方正黑体_GBK" w:cs="方正黑体_GBK"/>
          <w:bCs/>
          <w:sz w:val="28"/>
          <w:szCs w:val="28"/>
        </w:rPr>
        <w:t xml:space="preserve">第三章  合同</w:t>
      </w:r>
      <w:bookmarkEnd w:id="185"/>
      <w:r/>
      <w:bookmarkEnd w:id="186"/>
      <w:r/>
      <w:bookmarkEnd w:id="187"/>
      <w:r/>
      <w:bookmarkEnd w:id="188"/>
      <w:r/>
      <w:bookmarkEnd w:id="189"/>
      <w:r>
        <w:rPr>
          <w:rFonts w:hint="eastAsia" w:ascii="方正黑体_GBK" w:hAnsi="方正黑体_GBK" w:eastAsia="方正黑体_GBK" w:cs="方正黑体_GBK"/>
          <w:bCs/>
          <w:sz w:val="28"/>
          <w:szCs w:val="28"/>
        </w:rPr>
        <w:t xml:space="preserve">文本</w:t>
      </w:r>
      <w:bookmarkEnd w:id="190"/>
      <w:r/>
      <w:r/>
    </w:p>
    <w:p>
      <w:pPr>
        <w:spacing w:line="400" w:lineRule="exact"/>
        <w:rPr>
          <w:rFonts w:hint="eastAsia" w:ascii="宋体" w:hAnsi="宋体"/>
          <w:bCs/>
          <w:sz w:val="28"/>
          <w:szCs w:val="28"/>
        </w:rPr>
      </w:pPr>
      <w:r/>
      <w:bookmarkStart w:id="191" w:name="_Toc3995"/>
      <w:r/>
      <w:bookmarkStart w:id="192" w:name="_Toc20823315"/>
      <w:r/>
      <w:bookmarkStart w:id="193" w:name="_Toc513029243"/>
      <w:r/>
      <w:bookmarkStart w:id="194" w:name="_Toc16938559"/>
      <w:r/>
      <w:bookmarkStart w:id="195" w:name="_Hlt16619350"/>
      <w:r/>
      <w:bookmarkStart w:id="196" w:name="_Toc16938590"/>
      <w:r/>
      <w:bookmarkStart w:id="197" w:name="_Toc20823346"/>
      <w:r/>
      <w:bookmarkStart w:id="198" w:name="_Toc120614244"/>
      <w:r/>
      <w:bookmarkStart w:id="199" w:name="_Toc479757211"/>
      <w:r/>
      <w:bookmarkStart w:id="200" w:name="_Toc462564139"/>
      <w:r/>
      <w:bookmarkEnd w:id="191"/>
      <w:r/>
      <w:bookmarkEnd w:id="192"/>
      <w:r/>
      <w:bookmarkEnd w:id="193"/>
      <w:r/>
      <w:bookmarkEnd w:id="194"/>
      <w:r/>
      <w:r/>
    </w:p>
    <w:p>
      <w:pPr>
        <w:pStyle w:val="804"/>
        <w:jc w:val="center"/>
        <w:rPr>
          <w:rFonts w:hint="eastAsia" w:ascii="宋体" w:hAnsi="宋体" w:eastAsia="宋体" w:cs="宋体"/>
          <w:b/>
          <w:bCs/>
          <w:spacing w:val="-20"/>
        </w:rPr>
      </w:pPr>
      <w:r>
        <w:rPr>
          <w:rFonts w:hint="eastAsia" w:ascii="宋体" w:hAnsi="宋体" w:eastAsia="宋体" w:cs="宋体"/>
          <w:b/>
          <w:bCs/>
          <w:spacing w:val="-20"/>
        </w:rPr>
      </w:r>
      <w:r/>
    </w:p>
    <w:p>
      <w:pPr>
        <w:pStyle w:val="804"/>
        <w:jc w:val="center"/>
        <w:rPr>
          <w:rFonts w:hint="eastAsia" w:ascii="宋体" w:hAnsi="宋体" w:eastAsia="宋体" w:cs="宋体"/>
          <w:spacing w:val="-20"/>
        </w:rPr>
      </w:pPr>
      <w:r>
        <w:rPr>
          <w:rFonts w:hint="eastAsia" w:ascii="宋体" w:hAnsi="宋体" w:eastAsia="宋体" w:cs="宋体"/>
          <w:spacing w:val="-20"/>
        </w:rPr>
      </w:r>
      <w:r/>
    </w:p>
    <w:p>
      <w:pPr>
        <w:pStyle w:val="80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80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786"/>
        <w:spacing w:line="400" w:lineRule="exact"/>
        <w:rPr>
          <w:rFonts w:hint="eastAsia" w:ascii="黑体" w:hAnsi="华文中宋" w:eastAsia="黑体"/>
          <w:b/>
          <w:bCs/>
          <w:color w:val="auto"/>
          <w:sz w:val="28"/>
          <w:szCs w:val="28"/>
        </w:rPr>
      </w:pPr>
      <w:r>
        <w:rPr>
          <w:rFonts w:hint="eastAsia" w:ascii="黑体" w:hAnsi="黑体" w:eastAsia="黑体"/>
          <w:b/>
          <w:bCs/>
          <w:color w:val="auto"/>
          <w:sz w:val="28"/>
          <w:szCs w:val="28"/>
        </w:rPr>
        <w:t xml:space="preserve">第一节 </w:t>
      </w:r>
      <w:r>
        <w:rPr>
          <w:rFonts w:hint="eastAsia" w:ascii="黑体" w:hAnsi="华文中宋" w:eastAsia="黑体"/>
          <w:b/>
          <w:bCs/>
          <w:color w:val="auto"/>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80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805"/>
        <w:numPr>
          <w:ilvl w:val="0"/>
          <w:numId w:val="3"/>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805"/>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80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5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57"/>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5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57"/>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57"/>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w:t>
      </w:r>
      <w:r>
        <w:rPr>
          <w:rFonts w:hint="eastAsia" w:ascii="方正仿宋_GBK" w:hAnsi="方正仿宋_GBK" w:eastAsia="方正仿宋_GBK" w:cs="方正仿宋_GBK"/>
          <w:sz w:val="28"/>
          <w:szCs w:val="28"/>
        </w:rPr>
        <w:t xml:space="preserve">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26"/>
        <w:spacing w:line="400" w:lineRule="exact"/>
        <w:rPr>
          <w:sz w:val="28"/>
          <w:szCs w:val="28"/>
          <w:lang w:eastAsia="zh-CN"/>
        </w:rPr>
      </w:pPr>
      <w:r>
        <w:rPr>
          <w:sz w:val="28"/>
          <w:szCs w:val="28"/>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05"/>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86"/>
        <w:spacing w:line="400" w:lineRule="exact"/>
        <w:rPr>
          <w:rFonts w:hint="eastAsia"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b/>
          <w:bCs/>
          <w:color w:val="auto"/>
          <w:sz w:val="28"/>
          <w:szCs w:val="28"/>
        </w:rPr>
        <w:t xml:space="preserve">第二节 政府采购合同通用条款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w:t>
      </w:r>
      <w:r>
        <w:rPr>
          <w:rFonts w:hint="eastAsia" w:ascii="方正仿宋_GBK" w:hAnsi="方正仿宋_GBK" w:eastAsia="方正仿宋_GBK" w:cs="方正仿宋_GBK"/>
          <w:sz w:val="28"/>
          <w:szCs w:val="28"/>
        </w:rPr>
        <w:t xml:space="preserve">作分工、权利、义务、责任，联合体各方应共同与甲方签订合同，就合同约定的事项对甲方承担连带责任。联合体具体要求见【政府采购合同专用条款】。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57"/>
        <w:numPr>
          <w:ilvl w:val="0"/>
          <w:numId w:val="4"/>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w:t>
      </w:r>
      <w:r>
        <w:rPr>
          <w:rFonts w:hint="eastAsia" w:ascii="方正仿宋_GBK" w:hAnsi="方正仿宋_GBK" w:eastAsia="方正仿宋_GBK" w:cs="方正仿宋_GBK"/>
          <w:sz w:val="28"/>
          <w:szCs w:val="28"/>
        </w:rPr>
        <w:t xml:space="preserve">推荐性国家标准的，按照行业标准履行；没有国家标准、行业标准的，按照通常标准或者符合合同目的的特定标准履行。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57"/>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57"/>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5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86"/>
        <w:spacing w:line="400" w:lineRule="exact"/>
        <w:rPr>
          <w:rFonts w:hint="eastAsia"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黑体" w:eastAsia="黑体"/>
          <w:b/>
          <w:bCs/>
          <w:color w:val="auto"/>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57"/>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201" w:name="_Toc240275228"/>
      <w:r>
        <w:rPr>
          <w:rFonts w:hint="eastAsia" w:ascii="方正黑体_GBK" w:hAnsi="方正黑体_GBK" w:eastAsia="方正黑体_GBK" w:cs="方正黑体_GBK"/>
          <w:bCs/>
          <w:sz w:val="28"/>
          <w:szCs w:val="28"/>
        </w:rPr>
        <w:t xml:space="preserve">第</w:t>
      </w:r>
      <w:bookmarkEnd w:id="195"/>
      <w:r>
        <w:rPr>
          <w:rFonts w:hint="eastAsia" w:ascii="方正黑体_GBK" w:hAnsi="方正黑体_GBK" w:eastAsia="方正黑体_GBK" w:cs="方正黑体_GBK"/>
          <w:bCs/>
          <w:sz w:val="28"/>
          <w:szCs w:val="28"/>
        </w:rPr>
        <w:t xml:space="preserve">四章 采购需求</w:t>
      </w:r>
      <w:bookmarkEnd w:id="196"/>
      <w:r/>
      <w:bookmarkEnd w:id="197"/>
      <w:r/>
      <w:bookmarkEnd w:id="198"/>
      <w:r/>
      <w:bookmarkEnd w:id="201"/>
      <w:r/>
      <w:r/>
    </w:p>
    <w:p>
      <w:pPr>
        <w:pStyle w:val="786"/>
        <w:jc w:val="left"/>
        <w:spacing w:line="400" w:lineRule="exact"/>
        <w:rPr>
          <w:rFonts w:hint="eastAsia" w:ascii="黑体" w:hAnsi="黑体" w:eastAsia="黑体"/>
          <w:b/>
          <w:bCs/>
          <w:color w:val="auto"/>
          <w:sz w:val="28"/>
          <w:szCs w:val="28"/>
        </w:rPr>
      </w:pPr>
      <w:r/>
      <w:bookmarkStart w:id="202" w:name="_Toc26554093"/>
      <w:r/>
      <w:bookmarkStart w:id="203" w:name="_Toc49090575"/>
      <w:r>
        <w:rPr>
          <w:rFonts w:hint="eastAsia" w:ascii="黑体" w:hAnsi="黑体" w:eastAsia="黑体"/>
          <w:b/>
          <w:bCs/>
          <w:color w:val="auto"/>
          <w:sz w:val="28"/>
          <w:szCs w:val="28"/>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轿车</w:t>
            </w:r>
            <w:r>
              <w:rPr>
                <w:rFonts w:hint="eastAsia" w:ascii="方正仿宋_GBK" w:hAnsi="方正仿宋_GBK" w:eastAsia="方正仿宋_GBK" w:cs="方正仿宋_GBK"/>
                <w:sz w:val="28"/>
                <w:szCs w:val="28"/>
              </w:rPr>
              <w:t xml:space="preserve">14辆</w:t>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w:t>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商务车</w:t>
            </w:r>
            <w:r>
              <w:rPr>
                <w:rFonts w:hint="eastAsia" w:ascii="方正仿宋_GBK" w:hAnsi="方正仿宋_GBK" w:eastAsia="方正仿宋_GBK" w:cs="方正仿宋_GBK"/>
                <w:sz w:val="28"/>
                <w:szCs w:val="28"/>
              </w:rPr>
              <w:t xml:space="preserve">6辆</w:t>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r>
    </w:tbl>
    <w:p>
      <w:pPr>
        <w:numPr>
          <w:ilvl w:val="0"/>
          <w:numId w:val="7"/>
        </w:numPr>
        <w:rPr>
          <w:rFonts w:eastAsia="方正仿宋_GBK"/>
          <w:sz w:val="28"/>
          <w:szCs w:val="28"/>
        </w:rPr>
      </w:pPr>
      <w:r>
        <w:rPr>
          <w:rFonts w:hint="eastAsia" w:eastAsia="方正仿宋_GBK"/>
          <w:sz w:val="28"/>
          <w:szCs w:val="28"/>
        </w:rPr>
        <w:t xml:space="preserve">项目名称：</w:t>
      </w:r>
      <w:r>
        <w:rPr>
          <w:rFonts w:eastAsia="方正仿宋_GBK"/>
          <w:sz w:val="28"/>
          <w:szCs w:val="28"/>
        </w:rPr>
        <w:t xml:space="preserve">江苏省特检院业务用车采购</w:t>
      </w:r>
      <w:r/>
    </w:p>
    <w:p>
      <w:pPr>
        <w:numPr>
          <w:ilvl w:val="0"/>
          <w:numId w:val="7"/>
        </w:numP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采购编号：</w:t>
      </w:r>
      <w:r>
        <w:rPr>
          <w:rFonts w:eastAsia="方正仿宋_GBK"/>
          <w:sz w:val="28"/>
          <w:szCs w:val="28"/>
        </w:rPr>
        <w:t xml:space="preserve">JSZC-320000-SCZX-G2026-0486</w:t>
      </w:r>
      <w:r/>
    </w:p>
    <w:p>
      <w:pPr>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预算金额：</w:t>
      </w:r>
      <w:r>
        <w:rPr>
          <w:rFonts w:hint="eastAsia" w:eastAsia="方正仿宋_GBK"/>
          <w:sz w:val="28"/>
          <w:szCs w:val="28"/>
        </w:rPr>
        <w:t xml:space="preserve">402</w:t>
      </w:r>
      <w:r>
        <w:rPr>
          <w:rFonts w:hint="eastAsia" w:eastAsia="方正仿宋_GBK"/>
          <w:sz w:val="28"/>
          <w:szCs w:val="28"/>
        </w:rPr>
        <w:t xml:space="preserve">万元</w:t>
      </w:r>
      <w:r/>
    </w:p>
    <w:p>
      <w:pPr>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最高限价：</w:t>
      </w:r>
      <w:r/>
    </w:p>
    <w:p>
      <w:pPr>
        <w:ind w:firstLine="28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252</w:t>
      </w:r>
      <w:r>
        <w:rPr>
          <w:rFonts w:hint="eastAsia" w:eastAsia="方正仿宋_GBK"/>
          <w:sz w:val="28"/>
          <w:szCs w:val="28"/>
        </w:rPr>
        <w:t xml:space="preserve">万元（</w:t>
      </w:r>
      <w:r>
        <w:rPr>
          <w:rFonts w:eastAsia="方正仿宋_GBK"/>
          <w:sz w:val="28"/>
          <w:szCs w:val="28"/>
        </w:rPr>
        <w:t xml:space="preserve">轿车</w:t>
      </w:r>
      <w:r>
        <w:rPr>
          <w:rFonts w:hint="eastAsia" w:eastAsia="方正仿宋_GBK"/>
          <w:sz w:val="28"/>
          <w:szCs w:val="28"/>
        </w:rPr>
        <w:t xml:space="preserve">最高限价：</w:t>
      </w:r>
      <w:r>
        <w:rPr>
          <w:rFonts w:hint="eastAsia" w:eastAsia="方正仿宋_GBK"/>
          <w:sz w:val="28"/>
          <w:szCs w:val="28"/>
        </w:rPr>
        <w:t xml:space="preserve">18</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ind w:firstLine="28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150</w:t>
      </w:r>
      <w:r>
        <w:rPr>
          <w:rFonts w:hint="eastAsia" w:eastAsia="方正仿宋_GBK"/>
          <w:sz w:val="28"/>
          <w:szCs w:val="28"/>
        </w:rPr>
        <w:t xml:space="preserve">万元（商务车最高限价：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采购项目概况（简介）：江苏省特检院部分业务用车已达报废年限，安全性能存在隐患，无法保障日常业务需求。依据上级部门关于年度公车报废更新购置相关文件精神，拟采购</w:t>
      </w:r>
      <w:r>
        <w:rPr>
          <w:rFonts w:hint="eastAsia" w:eastAsia="方正仿宋_GBK"/>
          <w:sz w:val="28"/>
          <w:szCs w:val="28"/>
        </w:rPr>
        <w:t xml:space="preserve">20</w:t>
      </w:r>
      <w:r>
        <w:rPr>
          <w:rFonts w:hint="eastAsia" w:eastAsia="方正仿宋_GBK"/>
          <w:sz w:val="28"/>
          <w:szCs w:val="28"/>
        </w:rPr>
        <w:t xml:space="preserve">辆业务用车，其中</w:t>
      </w:r>
      <w:r>
        <w:rPr>
          <w:rFonts w:hint="eastAsia" w:eastAsia="方正仿宋_GBK"/>
          <w:sz w:val="28"/>
          <w:szCs w:val="28"/>
        </w:rPr>
        <w:t xml:space="preserve">14</w:t>
      </w:r>
      <w:r>
        <w:rPr>
          <w:rFonts w:hint="eastAsia" w:eastAsia="方正仿宋_GBK"/>
          <w:sz w:val="28"/>
          <w:szCs w:val="28"/>
        </w:rPr>
        <w:t xml:space="preserve">辆为普通轿车、</w:t>
      </w:r>
      <w:r>
        <w:rPr>
          <w:rFonts w:hint="eastAsia" w:eastAsia="方正仿宋_GBK"/>
          <w:sz w:val="28"/>
          <w:szCs w:val="28"/>
        </w:rPr>
        <w:t xml:space="preserve">6</w:t>
      </w:r>
      <w:r>
        <w:rPr>
          <w:rFonts w:hint="eastAsia" w:eastAsia="方正仿宋_GBK"/>
          <w:sz w:val="28"/>
          <w:szCs w:val="28"/>
        </w:rPr>
        <w:t xml:space="preserve">辆为商务车，全部为新能源汽车。</w:t>
      </w:r>
      <w:r/>
    </w:p>
    <w:p>
      <w:pPr>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合同履行期限：合同签订后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p>
    <w:p>
      <w:pPr>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否接受联合体投标：不接受</w:t>
      </w:r>
      <w:r/>
    </w:p>
    <w:p>
      <w:pPr>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否接受分支机构参与响应：不接受</w:t>
      </w:r>
      <w:r/>
    </w:p>
    <w:p>
      <w:pPr>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否接受进口产品投标：不接受</w:t>
      </w:r>
      <w:r/>
    </w:p>
    <w:p>
      <w:pPr>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否专门面向中小企业预留采购份额：不专门面向中小企业</w:t>
      </w:r>
      <w:r/>
    </w:p>
    <w:p>
      <w:pPr>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本项目的特定资格要求：无</w:t>
      </w:r>
      <w:r/>
    </w:p>
    <w:p>
      <w:pPr>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项目类别：货物类</w:t>
      </w:r>
      <w:r>
        <w:rPr>
          <w:rFonts w:hint="eastAsia" w:eastAsia="方正仿宋_GBK"/>
          <w:sz w:val="28"/>
          <w:szCs w:val="28"/>
        </w:rPr>
        <w:t xml:space="preserve"> </w:t>
      </w:r>
      <w:r/>
    </w:p>
    <w:p>
      <w:pPr>
        <w:pStyle w:val="78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w:t>
      </w:r>
      <w:r>
        <w:rPr>
          <w:rFonts w:hint="eastAsia" w:ascii="方正仿宋_GBK" w:hAnsi="方正仿宋_GBK" w:eastAsia="方正仿宋_GBK" w:cs="方正仿宋_GBK"/>
          <w:bCs/>
          <w:sz w:val="28"/>
          <w:szCs w:val="28"/>
        </w:rPr>
        <w:t xml:space="preserve">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三、技术要求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技术要求</w:t>
      </w:r>
      <w:r/>
    </w:p>
    <w:p>
      <w:pPr>
        <w:numPr>
          <w:ilvl w:val="255"/>
          <w:numId w:val="0"/>
        </w:numPr>
        <w:ind w:firstLine="240"/>
        <w:spacing w:line="360" w:lineRule="auto"/>
        <w:rPr>
          <w:rFonts w:hint="eastAsia" w:ascii="宋体" w:hAnsi="宋体" w:cs="宋体"/>
          <w:b/>
          <w:bCs/>
          <w:sz w:val="24"/>
          <w:szCs w:val="24"/>
          <w:lang w:bidi="ar"/>
        </w:rPr>
      </w:pPr>
      <w:r>
        <w:rPr>
          <w:rFonts w:hint="eastAsia" w:ascii="宋体" w:hAnsi="宋体" w:cs="宋体"/>
          <w:sz w:val="24"/>
          <w:szCs w:val="24"/>
        </w:rPr>
        <w:t xml:space="preserve">本技术参数表内所有技术指标，均为投标车型</w:t>
      </w:r>
      <w:r>
        <w:rPr>
          <w:rStyle w:val="835"/>
          <w:rFonts w:hint="eastAsia" w:ascii="宋体" w:hAnsi="宋体" w:cs="宋体"/>
          <w:sz w:val="24"/>
          <w:szCs w:val="24"/>
        </w:rPr>
        <w:t xml:space="preserve">出厂标准配置</w:t>
      </w:r>
      <w:r>
        <w:rPr>
          <w:rFonts w:hint="eastAsia" w:ascii="宋体" w:hAnsi="宋体" w:cs="宋体"/>
          <w:sz w:val="24"/>
          <w:szCs w:val="24"/>
        </w:rPr>
        <w:t xml:space="preserve">，不接受选装件、付费升级包、后期加装实现。投标人须提供车企官方公开配置资料佐证；评标阶段若查实该项为选装配置，视为负偏离。供货验收时，实车配置须与投标承诺的出厂标配保持一致。</w:t>
      </w:r>
      <w:r/>
    </w:p>
    <w:p>
      <w:pPr>
        <w:spacing w:line="360" w:lineRule="auto"/>
        <w:rPr>
          <w:rFonts w:hint="eastAsia" w:ascii="宋体" w:hAnsi="宋体" w:cs="宋体"/>
          <w:sz w:val="24"/>
          <w:szCs w:val="24"/>
        </w:rPr>
      </w:pPr>
      <w:r>
        <w:rPr>
          <w:rFonts w:hint="eastAsia" w:ascii="宋体" w:hAnsi="宋体" w:cs="宋体"/>
          <w:sz w:val="24"/>
          <w:szCs w:val="24"/>
          <w:lang w:bidi="ar"/>
        </w:rPr>
        <w:t xml:space="preserve">分包1：轿车14辆</w:t>
      </w:r>
      <w:r/>
    </w:p>
    <w:tbl>
      <w:tblPr>
        <w:tblStyle w:val="834"/>
        <w:tblW w:w="10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9"/>
        <w:gridCol w:w="3483"/>
        <w:gridCol w:w="5257"/>
      </w:tblGrid>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插电式混合动力轿车</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≥5060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≥1910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≥1480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★总质量（kg）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≤2650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≤2250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≥2870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≥840</w:t>
            </w:r>
            <w:r/>
          </w:p>
        </w:tc>
      </w:tr>
      <w:tr>
        <w:trPr>
          <w:jc w:val="center"/>
          <w:trHeight w:val="90"/>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≥950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接近角（°）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离去角（°）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≥14</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≥1680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≥1690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最小离地间隙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≥120mm</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CLTC纯电续航里程（km）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CLTC综合续航里程（km）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汽油/电混合动力</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≤1800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≥105</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电动机总功率（kw）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≥270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双电机四驱</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悬挂系统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w:t>
            </w:r>
            <w:r>
              <w:rPr>
                <w:rFonts w:ascii="宋体" w:hAnsi="宋体" w:cs="宋体"/>
                <w:sz w:val="24"/>
                <w:szCs w:val="24"/>
              </w:rPr>
              <w:t xml:space="preserve">前悬架不低于双叉臂/双横臂独立悬架，或等效及以上规格独立悬架</w:t>
            </w:r>
            <w:r/>
          </w:p>
          <w:p>
            <w:pPr>
              <w:spacing w:line="360" w:lineRule="auto"/>
              <w:rPr>
                <w:rFonts w:hint="eastAsia" w:ascii="宋体" w:hAnsi="宋体" w:cs="宋体"/>
                <w:sz w:val="24"/>
                <w:szCs w:val="24"/>
              </w:rPr>
            </w:pPr>
            <w:r>
              <w:rPr>
                <w:rFonts w:hint="eastAsia" w:ascii="宋体" w:hAnsi="宋体" w:cs="宋体"/>
                <w:sz w:val="24"/>
                <w:szCs w:val="24"/>
                <w:lang w:bidi="ar"/>
              </w:rPr>
              <w:t xml:space="preserve">后悬：多连杆式独立悬架</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制动器类型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前通风盘式/后通风盘式</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靠背电动调节</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多功能真皮方向盘</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≥12.3英寸</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座椅材质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仿皮</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自动空调，温度分区控制，后排独立空调</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空气净化系统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车载空气净化器+负离子发生器</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触控式阅读灯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后排侧隐私玻璃</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四门电动防夹</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全景天窗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遥控钥匙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蓝牙钥匙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远程启停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雨量感应式雨刷</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外观要求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★车身颜色</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黑色</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自适应巡航</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ABS+EBD+ESP</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刹车辅助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牵引力控制</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自动驻车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上坡辅助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陡坡缓降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自适应远近光</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自动大灯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循迹倒车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辅助泊车入位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540°超清全景影像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497"/>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哨兵模式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其他要求</w:t>
            </w:r>
            <w:r/>
          </w:p>
        </w:tc>
        <w:tc>
          <w:tcPr>
            <w:gridSpan w:val="2"/>
            <w:tcBorders>
              <w:top w:val="single" w:color="auto" w:sz="4" w:space="0"/>
              <w:left w:val="single" w:color="auto" w:sz="4" w:space="0"/>
              <w:bottom w:val="single" w:color="auto" w:sz="4" w:space="0"/>
              <w:right w:val="single" w:color="auto" w:sz="4" w:space="0"/>
            </w:tcBorders>
            <w:tcW w:w="874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整车要符合国家现行标准，并列入国家机动车辆正式公告，符合工信部发改委《道路机动车辆生产企业及产品公告》，可以办理上牌、强制保险、商业保险等。</w:t>
            </w:r>
            <w:r/>
          </w:p>
        </w:tc>
      </w:tr>
    </w:tbl>
    <w:p>
      <w:pPr>
        <w:spacing w:line="360" w:lineRule="auto"/>
        <w:rPr>
          <w:rFonts w:hint="eastAsia" w:ascii="宋体" w:hAnsi="宋体" w:cs="宋体"/>
          <w:sz w:val="24"/>
          <w:szCs w:val="24"/>
          <w:lang w:bidi="ar"/>
        </w:rPr>
      </w:pPr>
      <w:r>
        <w:rPr>
          <w:rFonts w:hint="eastAsia" w:ascii="宋体" w:hAnsi="宋体" w:cs="宋体"/>
          <w:sz w:val="24"/>
          <w:szCs w:val="24"/>
          <w:lang w:bidi="ar"/>
        </w:rPr>
      </w:r>
      <w:r/>
    </w:p>
    <w:p>
      <w:pPr>
        <w:spacing w:line="360" w:lineRule="auto"/>
        <w:rPr>
          <w:rFonts w:hint="eastAsia" w:ascii="宋体" w:hAnsi="宋体" w:cs="宋体"/>
          <w:sz w:val="24"/>
          <w:szCs w:val="24"/>
        </w:rPr>
      </w:pPr>
      <w:r>
        <w:rPr>
          <w:rFonts w:hint="eastAsia" w:ascii="宋体" w:hAnsi="宋体" w:cs="宋体"/>
          <w:sz w:val="24"/>
          <w:szCs w:val="24"/>
          <w:lang w:bidi="ar"/>
        </w:rPr>
        <w:t xml:space="preserve">分包2：商务车6辆</w:t>
      </w:r>
      <w:r/>
    </w:p>
    <w:tbl>
      <w:tblPr>
        <w:tblStyle w:val="834"/>
        <w:tblW w:w="10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5"/>
        <w:gridCol w:w="3483"/>
        <w:gridCol w:w="5257"/>
      </w:tblGrid>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插电式混合动力多用途乘用车</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≥5250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≥1985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≥1820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★总质量（kg）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≤3150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≤2600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≥3070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≥900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接近角（°）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离去角（°）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最小离地间隙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CLTC纯电续航里程（km）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≥230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CLTC综合续航里程（km）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电池电量（kWh）</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≥42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汽油/电混合动力</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电动机总功率（kw）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≥280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双电机四驱</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悬挂系统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w:t>
            </w:r>
            <w:r>
              <w:rPr>
                <w:rFonts w:ascii="宋体" w:hAnsi="宋体" w:cs="宋体"/>
                <w:sz w:val="24"/>
                <w:szCs w:val="24"/>
              </w:rPr>
              <w:t xml:space="preserve">前悬架不低于双叉臂/双横臂独立悬架，或等效及以上规格独立悬架</w:t>
            </w:r>
            <w:r/>
          </w:p>
          <w:p>
            <w:pPr>
              <w:spacing w:line="360" w:lineRule="auto"/>
              <w:rPr>
                <w:rFonts w:hint="eastAsia" w:ascii="宋体" w:hAnsi="宋体" w:cs="宋体"/>
                <w:sz w:val="24"/>
                <w:szCs w:val="24"/>
              </w:rPr>
            </w:pPr>
            <w:r>
              <w:rPr>
                <w:rFonts w:hint="eastAsia" w:ascii="宋体" w:hAnsi="宋体" w:cs="宋体"/>
                <w:sz w:val="24"/>
                <w:szCs w:val="24"/>
                <w:lang w:bidi="ar"/>
              </w:rPr>
              <w:t xml:space="preserve">后悬：多连杆式独立悬架</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制动器类型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前通风盘式/后通风盘式</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靠背电动调节</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多功能真皮方向盘</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≥12.3英寸</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无线快充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座椅材质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仿皮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自动空调，温度分区控制，后排独立空调</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触控式阅读灯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后排侧隐私玻璃</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侧滑门形式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双侧电动门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四门电动防夹</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电动天窗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遥控钥匙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蓝牙钥匙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远程启停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雨量感应式雨刷</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外观要求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★车身颜色</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黑色</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铝合金轮毂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定速巡航</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ABS+EBD+ESP</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刹车辅助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牵引力控制</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自动驻车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上坡辅助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陡坡缓降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LED日间行车灯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自动大灯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DMS疲劳监测系统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540°超清全景影像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哨兵模式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49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外放电功能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其他</w:t>
            </w:r>
            <w:r/>
          </w:p>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要求</w:t>
            </w:r>
            <w:r/>
          </w:p>
        </w:tc>
        <w:tc>
          <w:tcPr>
            <w:gridSpan w:val="2"/>
            <w:tcBorders>
              <w:top w:val="single" w:color="auto" w:sz="4" w:space="0"/>
              <w:left w:val="single" w:color="auto" w:sz="4" w:space="0"/>
              <w:bottom w:val="single" w:color="auto" w:sz="4" w:space="0"/>
              <w:right w:val="single" w:color="auto" w:sz="4" w:space="0"/>
            </w:tcBorders>
            <w:tcW w:w="874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整车要符合国家现行标准，并列入国家机动车辆正式公告，符合工信部发改委《道路机动车辆生产企业及产品公告》，可以办理上牌、强制保险、商业保险等。</w:t>
            </w:r>
            <w:r/>
          </w:p>
        </w:tc>
      </w:tr>
    </w:tbl>
    <w:p>
      <w:pPr>
        <w:spacing w:line="360" w:lineRule="auto"/>
        <w:tabs>
          <w:tab w:val="left" w:pos="312" w:leader="none"/>
        </w:tabs>
        <w:rPr>
          <w:rFonts w:hint="eastAsia" w:ascii="宋体" w:hAnsi="宋体" w:cs="宋体"/>
          <w:b/>
          <w:bCs/>
          <w:sz w:val="24"/>
          <w:szCs w:val="24"/>
          <w:lang w:bidi="ar"/>
        </w:rPr>
      </w:pPr>
      <w:r>
        <w:rPr>
          <w:rFonts w:hint="eastAsia" w:ascii="宋体" w:hAnsi="宋体" w:cs="宋体"/>
          <w:b/>
          <w:bCs/>
          <w:sz w:val="24"/>
          <w:szCs w:val="24"/>
          <w:lang w:bidi="ar"/>
        </w:rPr>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车辆</w:t>
      </w:r>
      <w:r>
        <w:rPr>
          <w:rFonts w:ascii="宋体" w:hAnsi="宋体" w:cs="宋体"/>
          <w:b/>
          <w:bCs/>
          <w:sz w:val="24"/>
          <w:szCs w:val="24"/>
          <w:lang w:bidi="ar"/>
        </w:rPr>
        <w:t xml:space="preserve">配置方案</w:t>
      </w:r>
      <w:r/>
    </w:p>
    <w:p>
      <w:pPr>
        <w:ind w:firstLine="440"/>
        <w:spacing w:line="360" w:lineRule="auto"/>
        <w:rPr>
          <w:sz w:val="24"/>
          <w:szCs w:val="24"/>
        </w:rPr>
      </w:pPr>
      <w:r>
        <w:rPr>
          <w:sz w:val="24"/>
          <w:szCs w:val="24"/>
        </w:rPr>
        <w:t xml:space="preserve">2.1</w:t>
      </w:r>
      <w:r>
        <w:rPr>
          <w:sz w:val="24"/>
          <w:szCs w:val="24"/>
        </w:rPr>
        <w:t xml:space="preserve">从外观、内饰、</w:t>
      </w:r>
      <w:r>
        <w:rPr>
          <w:rFonts w:hint="eastAsia"/>
          <w:sz w:val="24"/>
          <w:szCs w:val="24"/>
        </w:rPr>
        <w:t xml:space="preserve">舒适性配置</w:t>
      </w:r>
      <w:r>
        <w:rPr>
          <w:sz w:val="24"/>
          <w:szCs w:val="24"/>
        </w:rPr>
        <w:t xml:space="preserve">等方面提供投标车型证明材料：要求投标产品车型外观大方，内饰简洁、采用环保材料、无异味，体现人性化设计，使用空间宽敞。符合公务用车特点，提供相关产品说明、厂家宣传彩页等资料证明。</w:t>
      </w:r>
      <w:r/>
    </w:p>
    <w:p>
      <w:pPr>
        <w:ind w:firstLine="440"/>
        <w:spacing w:line="360" w:lineRule="auto"/>
        <w:rPr>
          <w:sz w:val="24"/>
          <w:szCs w:val="24"/>
        </w:rPr>
      </w:pPr>
      <w:r>
        <w:rPr>
          <w:sz w:val="24"/>
          <w:szCs w:val="24"/>
        </w:rPr>
        <w:t xml:space="preserve">2.2</w:t>
      </w:r>
      <w:r>
        <w:rPr>
          <w:sz w:val="24"/>
          <w:szCs w:val="24"/>
        </w:rPr>
        <w:t xml:space="preserve">从安全</w:t>
      </w:r>
      <w:r>
        <w:rPr>
          <w:rFonts w:hint="eastAsia"/>
          <w:sz w:val="24"/>
          <w:szCs w:val="24"/>
        </w:rPr>
        <w:t xml:space="preserve">性配置</w:t>
      </w:r>
      <w:r>
        <w:rPr>
          <w:sz w:val="24"/>
          <w:szCs w:val="24"/>
        </w:rPr>
        <w:t xml:space="preserve">等方面提供投标车型证明材料：投标人提供的车辆</w:t>
      </w:r>
      <w:r>
        <w:rPr>
          <w:rFonts w:ascii="宋体" w:hAnsi="宋体" w:cs="宋体"/>
          <w:sz w:val="24"/>
          <w:szCs w:val="24"/>
        </w:rPr>
        <w:t xml:space="preserve">安全设计理念先进，配备全套主动安全、智能辅助驾驶配置，主动安全性能高</w:t>
      </w:r>
      <w:r>
        <w:rPr>
          <w:rFonts w:hint="eastAsia" w:ascii="宋体" w:hAnsi="宋体" w:cs="宋体"/>
          <w:sz w:val="24"/>
          <w:szCs w:val="24"/>
        </w:rPr>
        <w:t xml:space="preserve">，</w:t>
      </w:r>
      <w:r>
        <w:rPr>
          <w:sz w:val="24"/>
          <w:szCs w:val="24"/>
        </w:rPr>
        <w:t xml:space="preserve">智能化配置高的车辆</w:t>
      </w:r>
      <w:r>
        <w:rPr>
          <w:rFonts w:hint="eastAsia"/>
          <w:sz w:val="24"/>
          <w:szCs w:val="24"/>
        </w:rPr>
        <w:t xml:space="preserve">，</w:t>
      </w:r>
      <w:r>
        <w:rPr>
          <w:sz w:val="24"/>
          <w:szCs w:val="24"/>
        </w:rPr>
        <w:t xml:space="preserve">提供相关产品说明、厂家宣传彩页等资料证明。</w:t>
      </w:r>
      <w:r/>
    </w:p>
    <w:p>
      <w:pPr>
        <w:ind w:firstLine="440"/>
        <w:spacing w:line="360" w:lineRule="auto"/>
        <w:rPr>
          <w:sz w:val="24"/>
          <w:szCs w:val="24"/>
        </w:rPr>
      </w:pPr>
      <w:r>
        <w:rPr>
          <w:sz w:val="24"/>
          <w:szCs w:val="24"/>
        </w:rPr>
        <w:t xml:space="preserve">2.3</w:t>
      </w:r>
      <w:r>
        <w:rPr>
          <w:sz w:val="24"/>
          <w:szCs w:val="24"/>
        </w:rPr>
        <w:t xml:space="preserve">从产品核心部件方面提供投标车型证明材料：投标人需提供车辆的发动机、</w:t>
      </w:r>
      <w:r>
        <w:rPr>
          <w:rFonts w:hint="eastAsia"/>
          <w:sz w:val="24"/>
          <w:szCs w:val="24"/>
        </w:rPr>
        <w:t xml:space="preserve">电动机</w:t>
      </w:r>
      <w:r>
        <w:rPr>
          <w:sz w:val="24"/>
          <w:szCs w:val="24"/>
        </w:rPr>
        <w:t xml:space="preserve">、</w:t>
      </w:r>
      <w:r>
        <w:rPr>
          <w:rFonts w:hint="eastAsia"/>
          <w:sz w:val="24"/>
          <w:szCs w:val="24"/>
        </w:rPr>
        <w:t xml:space="preserve">电池、底盘、整车参数</w:t>
      </w:r>
      <w:r>
        <w:rPr>
          <w:sz w:val="24"/>
          <w:szCs w:val="24"/>
        </w:rPr>
        <w:t xml:space="preserve">等核心部件技术材料</w:t>
      </w:r>
      <w:r>
        <w:rPr>
          <w:rFonts w:hint="eastAsia"/>
          <w:sz w:val="24"/>
          <w:szCs w:val="24"/>
        </w:rPr>
        <w:t xml:space="preserve">，</w:t>
      </w:r>
      <w:r>
        <w:rPr>
          <w:sz w:val="24"/>
          <w:szCs w:val="24"/>
        </w:rPr>
        <w:t xml:space="preserve">应提供相关的检测报告、产品说明、厂家宣传彩页等资料证明。</w:t>
      </w:r>
      <w:r/>
    </w:p>
    <w:p>
      <w:pPr>
        <w:pStyle w:val="78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四、商务要求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left="482"/>
        <w:spacing w:line="440" w:lineRule="exact"/>
        <w:rPr>
          <w:rFonts w:hint="eastAsia" w:ascii="宋体" w:hAnsi="宋体" w:cs="宋体"/>
          <w:sz w:val="24"/>
          <w:szCs w:val="24"/>
        </w:rPr>
      </w:pPr>
      <w:r>
        <w:rPr>
          <w:rFonts w:hint="eastAsia" w:ascii="宋体" w:hAnsi="宋体" w:cs="宋体"/>
          <w:sz w:val="24"/>
          <w:szCs w:val="24"/>
          <w:lang w:bidi="ar"/>
        </w:rPr>
        <w:t xml:space="preserve">（一）</w:t>
      </w:r>
      <w:r>
        <w:rPr>
          <w:rFonts w:hint="eastAsia" w:ascii="宋体" w:hAnsi="宋体" w:cs="宋体"/>
          <w:b/>
          <w:bCs/>
          <w:sz w:val="24"/>
          <w:szCs w:val="24"/>
          <w:lang w:bidi="ar"/>
        </w:rPr>
        <w:t xml:space="preserve">★交货周期：</w:t>
      </w:r>
      <w:r>
        <w:rPr>
          <w:rFonts w:hint="eastAsia" w:ascii="宋体" w:hAnsi="宋体" w:cs="宋体"/>
          <w:sz w:val="24"/>
          <w:szCs w:val="24"/>
          <w:lang w:bidi="ar"/>
        </w:rPr>
        <w:t xml:space="preserve">合同签订后20日历日内（含20日）。</w:t>
      </w:r>
      <w:r/>
    </w:p>
    <w:p>
      <w:pPr>
        <w:ind w:firstLine="482"/>
        <w:spacing w:line="400" w:lineRule="exact"/>
        <w:rPr>
          <w:rFonts w:hint="eastAsia" w:ascii="宋体" w:hAnsi="宋体" w:cs="宋体"/>
          <w:sz w:val="24"/>
          <w:szCs w:val="24"/>
        </w:rPr>
      </w:pPr>
      <w:r>
        <w:rPr>
          <w:rFonts w:hint="eastAsia" w:ascii="宋体" w:hAnsi="宋体" w:cs="宋体"/>
          <w:sz w:val="24"/>
          <w:szCs w:val="24"/>
          <w:lang w:bidi="ar"/>
        </w:rPr>
        <w:t xml:space="preserve">（二）</w:t>
      </w:r>
      <w:r>
        <w:rPr>
          <w:rFonts w:hint="eastAsia" w:ascii="宋体" w:hAnsi="宋体" w:cs="宋体"/>
          <w:b/>
          <w:bCs/>
          <w:sz w:val="24"/>
          <w:szCs w:val="24"/>
          <w:lang w:bidi="ar"/>
        </w:rPr>
        <w:t xml:space="preserve">交货地点：</w:t>
      </w:r>
      <w:r>
        <w:rPr>
          <w:rFonts w:hint="eastAsia" w:ascii="宋体" w:hAnsi="宋体" w:cs="宋体"/>
          <w:sz w:val="24"/>
          <w:szCs w:val="24"/>
          <w:lang w:bidi="ar"/>
        </w:rPr>
        <w:t xml:space="preserve">采购方指定地点。</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（三）</w:t>
      </w:r>
      <w:r>
        <w:rPr>
          <w:rFonts w:hint="eastAsia" w:ascii="宋体" w:hAnsi="宋体" w:cs="宋体"/>
          <w:b/>
          <w:bCs/>
          <w:color w:val="000000"/>
          <w:sz w:val="24"/>
          <w:szCs w:val="24"/>
          <w:lang w:bidi="ar"/>
        </w:rPr>
        <w:t xml:space="preserve">付款方式：</w:t>
      </w:r>
      <w:r>
        <w:rPr>
          <w:rFonts w:hint="eastAsia" w:ascii="宋体" w:hAnsi="宋体" w:cs="宋体"/>
          <w:sz w:val="24"/>
          <w:szCs w:val="24"/>
          <w:lang w:bidi="ar"/>
        </w:rPr>
        <w:t xml:space="preserve">合同签订后，货物全部到达甲方指定地点，在规定的时间调试、交付使用、并经甲方验收合格后，凭乙方全额销售发票，15个工作日内由甲方一次性支付全部货款。</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（四）报价要求：</w:t>
      </w:r>
      <w:r>
        <w:rPr>
          <w:rFonts w:hint="eastAsia" w:ascii="宋体" w:hAnsi="宋体" w:cs="宋体"/>
          <w:sz w:val="24"/>
          <w:szCs w:val="24"/>
          <w:lang w:bidi="ar"/>
        </w:rPr>
        <w:t xml:space="preserve">报价应包含与本次采购项目有关的所有费用。包含但不限于人员、货物、配送、安装、调试、验收、售后服务、伴随配套服务等所有含税费用。</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（五）组织实施：</w:t>
      </w:r>
      <w:r>
        <w:rPr>
          <w:rFonts w:hint="eastAsia" w:ascii="宋体" w:hAnsi="宋体" w:cs="宋体"/>
          <w:sz w:val="24"/>
          <w:szCs w:val="24"/>
          <w:lang w:bidi="ar"/>
        </w:rPr>
        <w:t xml:space="preserve">供应商应根据采购人需求，结合实际，制订项目组织实施方案，方案至少应包括但不限于以下内容：①车辆生产组织与质量保证，②供货进度保障措施，③交付查验及辅助上牌等。</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（六）验收要求：</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1.采购人按照国家规定标准验收，没有国家标准的按行业标准验收，无行业标准的按地方或企业标准验收，必要时采购人可以邀请具备合法资质和专业能力第三方机构参与验收，供应商应予以配合。</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2.车辆送到采购人指定地点后，供应商与采购人一起按采购文件、投标文件及合同进行验收。验收中发现货物达不到验收标准或合同规定的性能指标，中标人必须更换，并且赔偿由此给采购人造成的损失。</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（七）售后服务要求：</w:t>
      </w:r>
      <w:r/>
    </w:p>
    <w:p>
      <w:pPr>
        <w:ind w:firstLine="480"/>
        <w:spacing w:line="400" w:lineRule="exact"/>
        <w:rPr>
          <w:rFonts w:hint="eastAsia" w:ascii="宋体" w:hAnsi="宋体" w:cs="宋体"/>
          <w:sz w:val="24"/>
          <w:szCs w:val="24"/>
          <w:lang w:bidi="ar"/>
        </w:rPr>
      </w:pPr>
      <w:r>
        <w:rPr>
          <w:rFonts w:hint="eastAsia" w:ascii="宋体" w:hAnsi="宋体" w:cs="宋体"/>
          <w:sz w:val="24"/>
          <w:szCs w:val="24"/>
          <w:lang w:bidi="ar"/>
        </w:rPr>
        <w:t xml:space="preserve">1.售后服务方案。</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（1）服务范围：整车质保、三电系统专项质保、日常保养、故障维修、道路救援、技术咨询、上门服务、年检辅助等售后服务。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（2）响应标准：设立7×24小时售后服务专线，</w:t>
      </w:r>
      <w:r>
        <w:rPr>
          <w:rFonts w:hint="eastAsia"/>
        </w:rPr>
        <w:t xml:space="preserve">10</w:t>
      </w:r>
      <w:r>
        <w:rPr>
          <w:rFonts w:hint="eastAsia"/>
        </w:rPr>
        <w:t xml:space="preserve">分钟内电话响应</w:t>
      </w:r>
      <w:r>
        <w:rPr>
          <w:rFonts w:hint="eastAsia" w:ascii="宋体" w:hAnsi="宋体" w:cs="宋体"/>
          <w:sz w:val="24"/>
          <w:szCs w:val="24"/>
          <w:lang w:bidi="ar"/>
        </w:rPr>
        <w:t xml:space="preserve">；市区范围内</w:t>
      </w:r>
      <w:r>
        <w:rPr>
          <w:rFonts w:hint="eastAsia"/>
        </w:rPr>
        <w:t xml:space="preserve">1</w:t>
      </w:r>
      <w:r>
        <w:rPr>
          <w:rFonts w:hint="eastAsia"/>
        </w:rPr>
        <w:t xml:space="preserve">小时内到场抢修</w:t>
      </w:r>
      <w:r>
        <w:rPr>
          <w:rFonts w:hint="eastAsia" w:ascii="宋体" w:hAnsi="宋体" w:cs="宋体"/>
          <w:sz w:val="24"/>
          <w:szCs w:val="24"/>
          <w:lang w:bidi="ar"/>
        </w:rPr>
        <w:t xml:space="preserve">，周边50公里范围内</w:t>
      </w:r>
      <w:r>
        <w:rPr>
          <w:rFonts w:hint="eastAsia"/>
        </w:rPr>
        <w:t xml:space="preserve">3</w:t>
      </w:r>
      <w:r>
        <w:rPr>
          <w:rFonts w:hint="eastAsia"/>
        </w:rPr>
        <w:t xml:space="preserve">小时内到场</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（3）人员保障：配备技术团队，固定专人对接本项目车辆售后、维保、回访工作，全程跟踪服务。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（4）备件体系：本地储备原厂易损件、常规配件、三电核心备件，常用配件</w:t>
      </w:r>
      <w:r>
        <w:rPr>
          <w:rFonts w:hint="eastAsia"/>
        </w:rPr>
        <w:t xml:space="preserve">现货即时更换</w:t>
      </w:r>
      <w:r>
        <w:rPr>
          <w:rFonts w:hint="eastAsia" w:ascii="宋体" w:hAnsi="宋体" w:cs="宋体"/>
          <w:sz w:val="24"/>
          <w:szCs w:val="24"/>
          <w:lang w:bidi="ar"/>
        </w:rPr>
        <w:t xml:space="preserve">，非常规配件</w:t>
      </w:r>
      <w:r>
        <w:rPr>
          <w:rFonts w:hint="eastAsia"/>
        </w:rPr>
        <w:t xml:space="preserve">48</w:t>
      </w:r>
      <w:r>
        <w:rPr>
          <w:rFonts w:hint="eastAsia"/>
        </w:rPr>
        <w:t xml:space="preserve">小时内到货更换</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（5）故障排除时限：一般小故障</w:t>
      </w:r>
      <w:r>
        <w:rPr>
          <w:rFonts w:hint="eastAsia"/>
        </w:rPr>
        <w:t xml:space="preserve">当日修复</w:t>
      </w:r>
      <w:r>
        <w:rPr>
          <w:rFonts w:hint="eastAsia" w:ascii="宋体" w:hAnsi="宋体" w:cs="宋体"/>
          <w:sz w:val="24"/>
          <w:szCs w:val="24"/>
          <w:lang w:bidi="ar"/>
        </w:rPr>
        <w:t xml:space="preserve">；中度故障</w:t>
      </w:r>
      <w:r>
        <w:rPr>
          <w:rFonts w:hint="eastAsia"/>
        </w:rPr>
        <w:t xml:space="preserve">24</w:t>
      </w:r>
      <w:r>
        <w:rPr>
          <w:rFonts w:hint="eastAsia"/>
        </w:rPr>
        <w:t xml:space="preserve">小时内修复</w:t>
      </w:r>
      <w:r>
        <w:rPr>
          <w:rFonts w:hint="eastAsia" w:ascii="宋体" w:hAnsi="宋体" w:cs="宋体"/>
          <w:sz w:val="24"/>
          <w:szCs w:val="24"/>
          <w:lang w:bidi="ar"/>
        </w:rPr>
        <w:t xml:space="preserve">；重大疑难故障提供备用车，保障公务正常使用，</w:t>
      </w:r>
      <w:r>
        <w:rPr>
          <w:rFonts w:hint="eastAsia"/>
        </w:rPr>
        <w:t xml:space="preserve">72</w:t>
      </w:r>
      <w:r>
        <w:rPr>
          <w:rFonts w:hint="eastAsia"/>
        </w:rPr>
        <w:t xml:space="preserve">小时内完成维修交付</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（6）专项保障：提供整车及三电系统质保、定期免费检测、上门取送车、节假日应急值守、突发故障应急预案等增值服务。</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bidi="ar"/>
        </w:rPr>
        <w:t xml:space="preserve">2.售后服务网点。供应商或供应商所投车辆生产企业应具有完善的售后服务体系，在江苏省内所有地级市均设有售后服务网点，24小时为客户提供维修、配件、技术等服务支持。</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bidi="ar"/>
        </w:rPr>
        <w:t xml:space="preserve">3.免费质保期。供应商需提供不低于4年或10万公里整车质量保证，其中，</w:t>
      </w:r>
      <w:r>
        <w:rPr>
          <w:rFonts w:hint="eastAsia" w:ascii="宋体" w:hAnsi="宋体" w:cs="宋体"/>
          <w:b/>
          <w:bCs/>
          <w:i/>
          <w:iCs/>
          <w:color w:val="000000"/>
          <w:sz w:val="24"/>
          <w:szCs w:val="24"/>
          <w:u w:val="single"/>
          <w:lang w:bidi="ar"/>
        </w:rPr>
        <w:t xml:space="preserve">新能源车电池包需提供不低于8年或16万公里质量保证</w:t>
      </w:r>
      <w:r>
        <w:rPr>
          <w:rFonts w:hint="eastAsia" w:ascii="宋体" w:hAnsi="宋体" w:cs="宋体"/>
          <w:color w:val="000000"/>
          <w:sz w:val="24"/>
          <w:szCs w:val="24"/>
          <w:lang w:bidi="ar"/>
        </w:rPr>
        <w:t xml:space="preserve">。</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bidi="ar"/>
        </w:rPr>
        <w:t xml:space="preserve">4.免费保养要求。供应商应跟据所投车型厂家保养手册规定的标准保养周期，提供不低于一次的免费保养服务。</w:t>
      </w:r>
      <w:r/>
    </w:p>
    <w:p>
      <w:pPr>
        <w:ind w:firstLine="480"/>
        <w:spacing w:line="360" w:lineRule="auto"/>
        <w:rPr>
          <w:rFonts w:hint="eastAsia" w:ascii="宋体" w:hAnsi="宋体" w:cs="宋体"/>
          <w:sz w:val="24"/>
          <w:szCs w:val="24"/>
        </w:rPr>
      </w:pPr>
      <w:r>
        <w:rPr>
          <w:rFonts w:hint="eastAsia" w:ascii="宋体" w:hAnsi="宋体" w:cs="宋体"/>
          <w:color w:val="000000"/>
          <w:sz w:val="24"/>
          <w:szCs w:val="24"/>
          <w:lang w:bidi="ar"/>
        </w:rPr>
        <w:t xml:space="preserve">5.配件要求。中标供应商应保证采购人所购车辆在整车质保期或免费保养期内，维修或保养过程中提供的零配件应是原厂配件，因客观原因无法提供原厂配件时，应向采购人进行提醒和说明，征得采购人同意后方能使用非原厂配件。</w:t>
      </w:r>
      <w:r/>
    </w:p>
    <w:p>
      <w:pPr>
        <w:pStyle w:val="78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w:t>
      </w:r>
      <w:r>
        <w:rPr>
          <w:rFonts w:hint="eastAsia" w:ascii="方正仿宋_GBK" w:hAnsi="方正仿宋_GBK" w:eastAsia="方正仿宋_GBK" w:cs="方正仿宋_GBK"/>
          <w:bCs/>
          <w:sz w:val="28"/>
          <w:szCs w:val="28"/>
        </w:rPr>
        <w:t xml:space="preserve">属性:</w:t>
      </w:r>
      <w:r>
        <w:rPr>
          <w:rFonts w:hint="eastAsia" w:ascii="方正仿宋_GBK" w:hAnsi="方正仿宋_GBK" w:eastAsia="方正仿宋_GBK" w:cs="方正仿宋_GBK"/>
          <w:bCs/>
          <w:sz w:val="28"/>
          <w:szCs w:val="28"/>
        </w:rPr>
        <w:t xml:space="preserve">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76"/>
        <w:gridCol w:w="5163"/>
      </w:tblGrid>
      <w:tr>
        <w:trPr>
          <w:trHeight w:val="375"/>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51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1</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轿车</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ascii="方正仿宋_GBK" w:hAnsi="方正仿宋_GBK" w:eastAsia="方正仿宋_GBK" w:cs="方正仿宋_GBK"/>
                <w:sz w:val="28"/>
                <w:szCs w:val="28"/>
              </w:rPr>
              <w:t xml:space="preserve">商务车</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6"/>
        <w:gridCol w:w="5633"/>
      </w:tblGrid>
      <w:tr>
        <w:trPr>
          <w:trHeight w:val="716"/>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center"/>
        <w:keepNext/>
        <w:spacing w:line="660" w:lineRule="exact"/>
        <w:rPr>
          <w:rFonts w:hint="eastAsia" w:ascii="方正黑体_GBK" w:hAnsi="方正黑体_GBK" w:eastAsia="方正黑体_GBK" w:cs="方正黑体_GBK"/>
          <w:bCs/>
          <w:sz w:val="28"/>
          <w:szCs w:val="28"/>
        </w:rPr>
        <w:outlineLvl w:val="0"/>
      </w:pPr>
      <w:r/>
      <w:bookmarkStart w:id="204" w:name="_Toc120614281"/>
      <w:r>
        <w:rPr>
          <w:rFonts w:hint="eastAsia" w:ascii="方正仿宋_GBK" w:hAnsi="方正仿宋_GBK" w:eastAsia="方正仿宋_GBK" w:cs="方正仿宋_GBK"/>
          <w:bCs/>
          <w:sz w:val="28"/>
          <w:szCs w:val="28"/>
        </w:rPr>
        <w:br w:type="page" w:clear="all"/>
      </w:r>
      <w:bookmarkStart w:id="205" w:name="_Toc240275229"/>
      <w:r>
        <w:rPr>
          <w:rFonts w:hint="eastAsia" w:ascii="方正黑体_GBK" w:hAnsi="方正黑体_GBK" w:eastAsia="方正黑体_GBK" w:cs="方正黑体_GBK"/>
          <w:bCs/>
          <w:sz w:val="28"/>
          <w:szCs w:val="28"/>
        </w:rPr>
        <w:t xml:space="preserve">第五章  评标方法与评标标准</w:t>
      </w:r>
      <w:bookmarkEnd w:id="205"/>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1982"/>
        <w:gridCol w:w="5153"/>
      </w:tblGrid>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rHeight w:val="573"/>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restart"/>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continue"/>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方正仿宋_GBK" w:hAnsi="方正仿宋_GBK" w:eastAsia="方正仿宋_GBK" w:cs="方正仿宋_GBK"/>
          <w:sz w:val="28"/>
          <w:szCs w:val="28"/>
        </w:rPr>
        <w:t xml:space="preserve">准。</w:t>
      </w:r>
      <w:r/>
    </w:p>
    <w:p>
      <w:pPr>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本项目采用综合评分法确定中标候选人。评标委员会将按下列评分办法和标准进行评分，总分值为100分。</w:t>
      </w:r>
      <w:r/>
    </w:p>
    <w:p>
      <w:pPr>
        <w:ind w:firstLine="482"/>
        <w:spacing w:line="400" w:lineRule="exact"/>
        <w:rPr>
          <w:rFonts w:hint="eastAsia" w:ascii="宋体" w:hAnsi="宋体" w:cs="宋体"/>
          <w:bCs/>
          <w:sz w:val="24"/>
          <w:szCs w:val="24"/>
        </w:rPr>
      </w:pPr>
      <w:r>
        <w:rPr>
          <w:rFonts w:hint="eastAsia" w:ascii="宋体" w:hAnsi="宋体" w:cs="宋体"/>
          <w:b/>
          <w:bCs/>
          <w:sz w:val="24"/>
          <w:szCs w:val="24"/>
          <w:lang w:bidi="ar"/>
        </w:rPr>
        <w:t xml:space="preserve">（一）价格分（30分）</w:t>
      </w:r>
      <w:r/>
    </w:p>
    <w:p>
      <w:pPr>
        <w:pStyle w:val="828"/>
        <w:ind w:firstLine="480"/>
        <w:jc w:val="both"/>
        <w:spacing w:before="0" w:beforeAutospacing="0" w:after="0" w:afterAutospacing="0" w:line="400" w:lineRule="exact"/>
        <w:widowControl w:val="off"/>
        <w:rPr>
          <w:rFonts w:hint="eastAsia"/>
        </w:rPr>
      </w:pPr>
      <w:r>
        <w:rPr>
          <w:rFonts w:hint="eastAsia"/>
          <w:lang w:bidi="ar"/>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（二）技术要求响应情况（30分）</w:t>
      </w:r>
      <w:r/>
    </w:p>
    <w:p>
      <w:pPr>
        <w:pStyle w:val="828"/>
        <w:ind w:firstLine="480"/>
        <w:jc w:val="both"/>
        <w:spacing w:before="0" w:beforeAutospacing="0" w:after="0" w:afterAutospacing="0" w:line="400" w:lineRule="exact"/>
        <w:widowControl w:val="off"/>
        <w:rPr>
          <w:rFonts w:hint="eastAsia"/>
        </w:rPr>
      </w:pPr>
      <w:r>
        <w:rPr>
          <w:rFonts w:hint="eastAsia"/>
          <w:lang w:bidi="ar"/>
        </w:rPr>
        <w:t xml:space="preserve">2.1投标产品对采购文件具体需求的响应程度：全部响应即满足采购文件项目需求的，得30分；项目需求非实质性条款每有一项负偏离扣0.5分，扣完为止。标注“★”的为实质性指标，必须满足，否则按无效投标处理。（需提供工信部发改委《道路机动车辆生产企业及产品公告》查询截图以及相关检测报告、产品说明、厂家宣传彩页或参数配置表等资料证明，未提供相关材料的不得分）。</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（三）配置方案（4分）</w:t>
      </w:r>
      <w:r/>
    </w:p>
    <w:p>
      <w:pPr>
        <w:pStyle w:val="828"/>
        <w:ind w:firstLine="440"/>
        <w:spacing w:before="0" w:beforeAutospacing="0" w:after="0" w:afterAutospacing="0" w:line="400" w:lineRule="exact"/>
        <w:widowControl w:val="off"/>
        <w:rPr>
          <w:rFonts w:hint="eastAsia"/>
        </w:rPr>
      </w:pPr>
      <w:r>
        <w:rPr>
          <w:rFonts w:hint="eastAsia"/>
          <w:lang w:bidi="ar"/>
        </w:rPr>
        <w:t xml:space="preserve">3.1投标人提供所投车辆的详细配置方案，内容包括但不限于以下内容：①品牌、生产厂家、型号；②车辆发动机、电机、电池、底盘、安全装置等重要核心部件的配置和技术参数；③车辆座椅、仪表操作、空调系统等车辆舒适性配置。（投标人应提供相关检测报告、产品说明、厂家宣传彩页或参数配置表等资料证明）</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”要求的响应内容全部优于招标文件要求的（投标文件对“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”中除“</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”外其它要求响应内容符合招标文件要求），本项得4分。</w:t>
      </w:r>
      <w:r/>
    </w:p>
    <w:p>
      <w:pPr>
        <w:ind w:firstLine="442"/>
        <w:spacing w:line="400" w:lineRule="exact"/>
        <w:rPr>
          <w:rFonts w:hint="eastAsia" w:ascii="宋体" w:hAnsi="宋体" w:cs="宋体"/>
          <w:bCs/>
          <w:sz w:val="24"/>
          <w:szCs w:val="24"/>
        </w:rPr>
      </w:pPr>
      <w:r>
        <w:rPr>
          <w:rFonts w:hint="eastAsia" w:ascii="宋体" w:hAnsi="宋体" w:cs="宋体"/>
          <w:b/>
          <w:bCs/>
          <w:sz w:val="24"/>
          <w:szCs w:val="24"/>
          <w:lang w:bidi="ar"/>
        </w:rPr>
        <w:t xml:space="preserve">（四）售后服务能力（9分）</w:t>
      </w:r>
      <w:r/>
    </w:p>
    <w:p>
      <w:pPr>
        <w:pStyle w:val="828"/>
        <w:ind w:firstLine="440"/>
        <w:spacing w:before="0" w:beforeAutospacing="0" w:after="0" w:afterAutospacing="0" w:line="400" w:lineRule="exact"/>
        <w:widowControl w:val="off"/>
        <w:rPr>
          <w:rFonts w:hint="eastAsia"/>
          <w:lang w:bidi="ar"/>
        </w:rPr>
      </w:pPr>
      <w:r>
        <w:rPr>
          <w:rFonts w:hint="eastAsia"/>
          <w:lang w:bidi="ar"/>
        </w:rPr>
        <w:t xml:space="preserve">4.1售后服务整体方案（4分）：投标人提供售后服务整体方案，内容包括但不限于以下内容：①售后服务方案合理性、科学性；②紧急问题处理响应时间及反馈、故障排除时间；③服务措施、</w:t>
      </w:r>
      <w:r>
        <w:rPr>
          <w:rFonts w:hint="eastAsia"/>
          <w:color w:val="000000"/>
          <w:lang w:bidi="ar"/>
        </w:rPr>
        <w:t xml:space="preserve">备件体系</w:t>
      </w:r>
      <w:r>
        <w:rPr>
          <w:rFonts w:hint="eastAsia"/>
          <w:lang w:bidi="ar"/>
        </w:rPr>
        <w:t xml:space="preserve">及服务承诺等。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w:t>
      </w:r>
      <w:r>
        <w:rPr>
          <w:rStyle w:val="841"/>
          <w:rFonts w:hint="eastAsia" w:ascii="宋体" w:hAnsi="Arial" w:cs="宋体"/>
          <w:sz w:val="24"/>
          <w:szCs w:val="24"/>
        </w:rPr>
        <w:t xml:space="preserve">故障排除时限</w:t>
      </w:r>
      <w:r>
        <w:rPr>
          <w:rFonts w:hint="eastAsia" w:ascii="宋体" w:hAnsi="Arial" w:cs="宋体"/>
          <w:sz w:val="24"/>
          <w:szCs w:val="24"/>
          <w:lang w:val="zh-CN"/>
        </w:rPr>
        <w:t xml:space="preserve">”要求的响应内容全部优于招标文件要求的（投标文件对“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”中除“</w:t>
      </w:r>
      <w:r>
        <w:rPr>
          <w:rStyle w:val="841"/>
          <w:rFonts w:hint="eastAsia" w:ascii="宋体" w:hAnsi="Arial" w:cs="宋体"/>
          <w:sz w:val="24"/>
          <w:szCs w:val="24"/>
        </w:rPr>
        <w:t xml:space="preserve">故障排除时限</w:t>
      </w:r>
      <w:r>
        <w:rPr>
          <w:rFonts w:hint="eastAsia" w:ascii="宋体" w:hAnsi="Arial" w:cs="宋体"/>
          <w:sz w:val="24"/>
          <w:szCs w:val="24"/>
          <w:lang w:val="zh-CN"/>
        </w:rPr>
        <w:t xml:space="preserve">”外其它要求响应内容符合招标文件要求），本项得4分。</w:t>
      </w:r>
      <w:r/>
    </w:p>
    <w:p>
      <w:pPr>
        <w:ind w:firstLine="440"/>
        <w:spacing w:line="400" w:lineRule="exact"/>
        <w:rPr>
          <w:rFonts w:hint="eastAsia" w:ascii="宋体" w:hAnsi="宋体" w:cs="宋体"/>
          <w:sz w:val="24"/>
          <w:szCs w:val="24"/>
        </w:rPr>
      </w:pPr>
      <w:r>
        <w:rPr>
          <w:rFonts w:hint="eastAsia" w:ascii="宋体" w:hAnsi="宋体" w:cs="宋体"/>
          <w:sz w:val="24"/>
          <w:szCs w:val="24"/>
          <w:lang w:bidi="ar"/>
        </w:rPr>
        <w:t xml:space="preserve">4.2售后服务网络体系（5分）：投标人提供售后服务网点详细情况列表，江苏省13个地级市均设有服务网点的，得5分。其中，南京市、淮安市、宿迁市、连云港市、扬州市、泰州市、南通市每有一个未设立的，扣0.5分；苏州市、无锡市、常州市、镇江市、徐州市、盐城市每有一个未设立的，扣0.25分。</w:t>
      </w:r>
      <w:r/>
    </w:p>
    <w:p>
      <w:pPr>
        <w:ind w:firstLine="440"/>
        <w:spacing w:line="400" w:lineRule="exact"/>
        <w:rPr>
          <w:rFonts w:hint="eastAsia" w:ascii="宋体" w:hAnsi="宋体" w:cs="宋体"/>
          <w:sz w:val="24"/>
          <w:szCs w:val="24"/>
        </w:rPr>
      </w:pPr>
      <w:r>
        <w:rPr>
          <w:rFonts w:hint="eastAsia" w:ascii="宋体" w:hAnsi="宋体" w:cs="宋体"/>
          <w:sz w:val="24"/>
          <w:szCs w:val="24"/>
          <w:lang w:bidi="ar"/>
        </w:rPr>
        <w:t xml:space="preserve">投标人应提供“江苏省内服务网点分布情况一览表”，并按要求提供每个服务网点</w:t>
      </w:r>
      <w:r>
        <w:rPr>
          <w:rFonts w:hint="eastAsia" w:ascii="宋体" w:hAnsi="宋体" w:cs="宋体"/>
          <w:sz w:val="24"/>
          <w:szCs w:val="24"/>
          <w:lang w:bidi="ar"/>
        </w:rPr>
        <w:t xml:space="preserve">的的</w:t>
      </w:r>
      <w:r>
        <w:rPr>
          <w:rFonts w:hint="eastAsia" w:ascii="宋体" w:hAnsi="宋体" w:cs="宋体"/>
          <w:sz w:val="24"/>
          <w:szCs w:val="24"/>
          <w:lang w:bidi="ar"/>
        </w:rPr>
        <w:t xml:space="preserve">营业执照复印件。</w:t>
      </w:r>
      <w:r/>
    </w:p>
    <w:p>
      <w:pPr>
        <w:pStyle w:val="828"/>
        <w:ind w:firstLine="440"/>
        <w:spacing w:before="0" w:beforeAutospacing="0" w:after="0" w:afterAutospacing="0" w:line="400" w:lineRule="exact"/>
        <w:widowControl w:val="off"/>
        <w:rPr>
          <w:rFonts w:hint="eastAsia"/>
          <w:b/>
          <w:bCs/>
        </w:rPr>
      </w:pPr>
      <w:r>
        <w:rPr>
          <w:rFonts w:hint="eastAsia"/>
          <w:b/>
          <w:bCs/>
          <w:lang w:bidi="ar"/>
        </w:rPr>
        <w:t xml:space="preserve">（五）质保期（8分）</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5.1根据投标人提供的整车质保期进行评审（5分）：投标提供4年或10万公里车辆质保期的得2分，在此基础处上，每增加2年及4万公里的加1分，最高加3分。（投标人需提供整车质保期承诺书，并加盖单位公章）</w:t>
      </w:r>
      <w:r/>
    </w:p>
    <w:p>
      <w:pPr>
        <w:ind w:firstLine="480"/>
        <w:spacing w:line="400" w:lineRule="exact"/>
        <w:rPr>
          <w:rFonts w:hint="eastAsia" w:ascii="宋体" w:hAnsi="宋体" w:cs="宋体"/>
          <w:color w:val="000000"/>
          <w:sz w:val="24"/>
          <w:szCs w:val="24"/>
        </w:rPr>
      </w:pPr>
      <w:r>
        <w:rPr>
          <w:rFonts w:hint="eastAsia" w:ascii="宋体" w:hAnsi="宋体" w:cs="宋体"/>
          <w:sz w:val="24"/>
          <w:szCs w:val="24"/>
          <w:lang w:bidi="ar"/>
        </w:rPr>
        <w:t xml:space="preserve">5.2根据投标人提供的新能源电池包质保期进行评审（3分）：投标提供8年或16万公里新能源电池包质保期的得1分，在此基础处上，每增加1年及2万公里的加1分，最高加2分。（投标人需提供新能源电池包质保期承诺书，并加盖单位公章）。</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（六）免费保养（4分）</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6.1跟据所投车型厂家保养手册规定的标准保养周期，提供免费保养（包括人工费和材料费）次数进行评审：提供1次免费保养的得2分；每增加1次的加1分，最高加2分。（投标人需提供书面承诺，并加盖单位公章）。</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（七）业绩（6分）</w:t>
      </w:r>
      <w:r/>
    </w:p>
    <w:p>
      <w:pPr>
        <w:pStyle w:val="828"/>
        <w:ind w:firstLine="440"/>
        <w:spacing w:before="0" w:beforeAutospacing="0" w:after="0" w:afterAutospacing="0" w:line="400" w:lineRule="exact"/>
        <w:widowControl w:val="off"/>
        <w:rPr>
          <w:rFonts w:hint="eastAsia"/>
        </w:rPr>
      </w:pPr>
      <w:r>
        <w:rPr>
          <w:rFonts w:hint="eastAsia"/>
          <w:lang w:bidi="ar"/>
        </w:rPr>
        <w:t xml:space="preserve">7.1根据投标人提供的投标车型同型号车辆已完成的供货业绩进行评审：投标人2023年1月1日至今（以合同签订日期为准），每有1项对应标段投标车型同型号车辆已完供货业绩得1分，最多得6分。（已完成供货业绩提供的证明材料中须提供盖章合同复印件和发票复印件，原件备查，否则业绩不予认可。单个合同能体现多种车型业绩且符合业绩认定要求的，均予以认可）</w:t>
      </w:r>
      <w:r/>
    </w:p>
    <w:p>
      <w:pPr>
        <w:pStyle w:val="828"/>
        <w:ind w:firstLine="482"/>
        <w:spacing w:before="0" w:beforeAutospacing="0" w:after="0" w:afterAutospacing="0" w:line="400" w:lineRule="exact"/>
        <w:widowControl w:val="off"/>
        <w:rPr>
          <w:rFonts w:hint="eastAsia"/>
          <w:b/>
          <w:bCs/>
        </w:rPr>
      </w:pPr>
      <w:r>
        <w:rPr>
          <w:rFonts w:hint="eastAsia"/>
          <w:b/>
          <w:bCs/>
          <w:lang w:bidi="ar"/>
        </w:rPr>
        <w:t xml:space="preserve">（八）实施方案（4分）</w:t>
      </w:r>
      <w:r/>
    </w:p>
    <w:p>
      <w:pPr>
        <w:pStyle w:val="828"/>
        <w:ind w:firstLine="480"/>
        <w:spacing w:before="0" w:beforeAutospacing="0" w:after="0" w:afterAutospacing="0" w:line="400" w:lineRule="exact"/>
        <w:widowControl w:val="off"/>
        <w:rPr>
          <w:rFonts w:hint="eastAsia"/>
          <w:lang w:bidi="ar"/>
        </w:rPr>
      </w:pPr>
      <w:r>
        <w:rPr>
          <w:rFonts w:hint="eastAsia"/>
          <w:lang w:bidi="ar"/>
        </w:rPr>
        <w:t xml:space="preserve">8.1投标人应根据采购需求，结合项目实际，提供实施方案，方案至少应包括但不限于以下内容：①车辆生产组织和质量保证，②供货进度保障措施，③交付查验及辅助上牌等。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①投标文件未符合“实施方案”中全部条款要求的，视为不符合招标文件，本项得0分；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②投标文件符合“实施方案”中全部条款要求的，视为符合招标文件，本项得2分；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③经评委认定，投标文件对“实施方案”中“</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”要求的响应内容全部优于招标文件要求的（投标文件对“实施方案”中除“</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”外其它要求响应内容符合招标文件要求），本项得4分。</w:t>
      </w:r>
      <w:r/>
    </w:p>
    <w:p>
      <w:pPr>
        <w:pStyle w:val="828"/>
        <w:ind w:firstLine="482"/>
        <w:spacing w:before="0" w:beforeAutospacing="0" w:after="0" w:afterAutospacing="0" w:line="400" w:lineRule="exact"/>
        <w:widowControl w:val="off"/>
        <w:rPr>
          <w:rFonts w:hint="eastAsia"/>
          <w:b/>
          <w:bCs/>
        </w:rPr>
      </w:pPr>
      <w:r>
        <w:rPr>
          <w:rFonts w:hint="eastAsia"/>
          <w:b/>
          <w:bCs/>
          <w:lang w:bidi="ar"/>
        </w:rPr>
        <w:t xml:space="preserve">（九）原厂配件承诺（3分）</w:t>
      </w:r>
      <w:r/>
    </w:p>
    <w:p>
      <w:pPr>
        <w:pStyle w:val="828"/>
        <w:ind w:firstLine="480"/>
        <w:spacing w:before="0" w:beforeAutospacing="0" w:after="0" w:afterAutospacing="0" w:line="400" w:lineRule="exact"/>
        <w:widowControl w:val="off"/>
        <w:rPr>
          <w:rFonts w:hint="eastAsia"/>
        </w:rPr>
      </w:pPr>
      <w:r>
        <w:rPr>
          <w:rFonts w:hint="eastAsia"/>
          <w:lang w:bidi="ar"/>
        </w:rPr>
        <w:t xml:space="preserve">9.1中标供应商应保证采购人所购车辆在整车质保期或免费保养期内，维修或保养过程中所提供的零配件为原厂配件。投标人提供承诺书并加盖单位公章的，得3分；未提供承诺书的，不得分。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（十）节能环保（2分）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.1</w:t>
      </w:r>
      <w:r>
        <w:rPr>
          <w:rFonts w:hint="eastAsia" w:ascii="宋体" w:hAnsi="Arial" w:cs="宋体"/>
          <w:sz w:val="24"/>
          <w:szCs w:val="24"/>
          <w:lang w:val="zh-CN"/>
        </w:rPr>
        <w:t xml:space="preserve">投标产品属于财政部、国家发改委公布的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范围内的，投标人提供国家确定的认证机构出具的、处于有效期之内的该节能产品认证证书复印件的，得1分；未提供的不得分。</w:t>
      </w:r>
      <w:r/>
    </w:p>
    <w:p>
      <w:pPr>
        <w:ind w:firstLine="420"/>
        <w:jc w:val="left"/>
        <w:spacing w:before="120" w:after="120" w:line="400" w:lineRule="exac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范围内的，投标人提供国家确定的认证机构出具的、处于有效期内的该环保产品认证证书复印件的，得1分；未提供的不得分。</w:t>
      </w:r>
      <w:r/>
    </w:p>
    <w:p>
      <w:pPr>
        <w:ind w:firstLine="480"/>
        <w:spacing w:line="440" w:lineRule="atLeast"/>
        <w:rPr>
          <w:rFonts w:ascii="宋体" w:hAnsi="Arial" w:cs="宋体"/>
          <w:sz w:val="24"/>
          <w:szCs w:val="24"/>
          <w:lang w:val="zh-CN"/>
        </w:rPr>
      </w:pPr>
      <w:r>
        <w:rPr>
          <w:rFonts w:ascii="宋体" w:hAnsi="Arial" w:cs="宋体"/>
          <w:sz w:val="24"/>
          <w:szCs w:val="24"/>
          <w:lang w:val="zh-CN"/>
        </w:rPr>
      </w:r>
      <w:r/>
    </w:p>
    <w:p>
      <w:pPr>
        <w:jc w:val="center"/>
        <w:keepNext/>
        <w:spacing w:line="660" w:lineRule="exact"/>
        <w:rPr>
          <w:rFonts w:hint="eastAsia" w:ascii="方正黑体_GBK" w:hAnsi="方正黑体_GBK" w:eastAsia="方正黑体_GBK" w:cs="方正黑体_GBK"/>
          <w:bCs/>
          <w:sz w:val="28"/>
          <w:szCs w:val="28"/>
        </w:rPr>
        <w:outlineLvl w:val="0"/>
      </w:pPr>
      <w:r/>
      <w:bookmarkStart w:id="206" w:name="_Toc240275230"/>
      <w:r>
        <w:rPr>
          <w:rFonts w:ascii="宋体" w:hAnsi="Arial" w:cs="宋体"/>
          <w:sz w:val="24"/>
          <w:szCs w:val="24"/>
          <w:lang w:val="zh-CN"/>
        </w:rPr>
        <w:br w:type="page" w:clear="all"/>
      </w:r>
      <w:r>
        <w:rPr>
          <w:rFonts w:hint="eastAsia" w:ascii="方正黑体_GBK" w:hAnsi="方正黑体_GBK" w:eastAsia="方正黑体_GBK" w:cs="方正黑体_GBK"/>
          <w:bCs/>
          <w:sz w:val="28"/>
          <w:szCs w:val="28"/>
        </w:rPr>
        <w:t xml:space="preserve">第六章  投标</w:t>
      </w:r>
      <w:bookmarkEnd w:id="202"/>
      <w:r/>
      <w:bookmarkEnd w:id="203"/>
      <w:r/>
      <w:bookmarkEnd w:id="204"/>
      <w:r>
        <w:rPr>
          <w:rFonts w:hint="eastAsia" w:ascii="方正黑体_GBK" w:hAnsi="方正黑体_GBK" w:eastAsia="方正黑体_GBK" w:cs="方正黑体_GBK"/>
          <w:bCs/>
          <w:sz w:val="28"/>
          <w:szCs w:val="28"/>
        </w:rPr>
        <w:t xml:space="preserve">文件格式</w:t>
      </w:r>
      <w:bookmarkEnd w:id="206"/>
      <w:r/>
      <w:r/>
    </w:p>
    <w:p>
      <w:pPr>
        <w:jc w:val="center"/>
        <w:spacing w:line="400" w:lineRule="exact"/>
        <w:rPr>
          <w:rFonts w:hint="eastAsia" w:ascii="宋体" w:hAnsi="宋体"/>
          <w:b/>
          <w:sz w:val="28"/>
          <w:szCs w:val="28"/>
        </w:rPr>
      </w:pPr>
      <w:r/>
      <w:bookmarkStart w:id="207" w:name="_Hlt26671244"/>
      <w:r/>
      <w:bookmarkStart w:id="208" w:name="_Hlt26955039"/>
      <w:r/>
      <w:bookmarkStart w:id="209" w:name="_Toc120614282"/>
      <w:r/>
      <w:bookmarkStart w:id="210" w:name="_Toc26554094"/>
      <w:r/>
      <w:bookmarkStart w:id="211" w:name="_Toc49090576"/>
      <w:r/>
      <w:bookmarkEnd w:id="207"/>
      <w:r/>
      <w:bookmarkEnd w:id="208"/>
      <w:r/>
      <w:r/>
    </w:p>
    <w:p>
      <w:pPr>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12.联合体协议（如果本项目接受联合体参加投标，投标人是联合体的，则</w:t>
      </w:r>
      <w:r>
        <w:rPr>
          <w:rFonts w:hint="eastAsia" w:ascii="方正仿宋_GBK" w:hAnsi="方正仿宋_GBK" w:eastAsia="方正仿宋_GBK" w:cs="方正仿宋_GBK"/>
          <w:sz w:val="28"/>
          <w:szCs w:val="28"/>
        </w:rPr>
        <w:t xml:space="preserve">必须提供。格式见附件11）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JSZC-320000-SCZX-G2026-0486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828"/>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rPr>
        <w:t xml:space="preserve">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212" w:name="_Toc120614284"/>
      <w:r/>
      <w:bookmarkEnd w:id="209"/>
      <w:r/>
      <w:bookmarkEnd w:id="210"/>
      <w:r/>
      <w:bookmarkEnd w:id="211"/>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JSZC-320000-SCZX-G2026-0486</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13" w:name="_Hlt26955070"/>
      <w:r/>
      <w:bookmarkStart w:id="214" w:name="_格式3__银行出具的资信证明"/>
      <w:r/>
      <w:bookmarkStart w:id="215" w:name="_Hlt26671380"/>
      <w:r/>
      <w:bookmarkEnd w:id="213"/>
      <w:r/>
      <w:bookmarkEnd w:id="214"/>
      <w:r/>
      <w:bookmarkEnd w:id="215"/>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JSZC-320000-SCZX-G2026-0486</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中小微企业声明函</w:t>
      </w:r>
      <w:r>
        <w:rPr>
          <w:rFonts w:hint="eastAsia" w:ascii="方正黑体_GBK" w:hAnsi="方正黑体_GBK" w:eastAsia="方正黑体_GBK" w:cs="方正黑体_GBK"/>
          <w:bCs/>
          <w:sz w:val="28"/>
          <w:szCs w:val="28"/>
        </w:rPr>
        <w:t xml:space="preserve">（货物类项目）（采购包号：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JSZC-320000-SCZX-G2026-0486</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《国家统计局关于印发〈统计上大中小微型企业划分办法（2017）〉的通知》（国统字〔2017〕213号）的规定，自行勾选制造商的企业规模类型。     </w:t>
      </w:r>
      <w:r/>
    </w:p>
    <w:p>
      <w:pPr>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JSZC-320000-SCZX-G2026-0486</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72"/>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72"/>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JSZC-320000-SCZX-G2026-0486</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w:t>
      </w:r>
      <w:r>
        <w:rPr>
          <w:rFonts w:hint="eastAsia" w:ascii="方正仿宋_GBK" w:hAnsi="方正仿宋_GBK" w:eastAsia="方正仿宋_GBK" w:cs="方正仿宋_GBK"/>
          <w:sz w:val="28"/>
          <w:szCs w:val="28"/>
        </w:rPr>
        <w:t xml:space="preserve">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hint="eastAsia" w:ascii="宋体" w:hAnsi="宋体"/>
          <w:sz w:val="28"/>
          <w:szCs w:val="28"/>
        </w:rPr>
      </w:pPr>
      <w:r>
        <w:rPr>
          <w:rFonts w:hint="eastAsia" w:ascii="宋体" w:hAnsi="宋体"/>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关于符合本国产品标准的声明函</w:t>
      </w:r>
      <w:r>
        <w:rPr>
          <w:rFonts w:hint="eastAsia" w:ascii="方正黑体_GBK" w:hAnsi="方正黑体_GBK" w:eastAsia="方正黑体_GBK" w:cs="方正黑体_GBK"/>
          <w:bCs/>
          <w:sz w:val="28"/>
          <w:szCs w:val="28"/>
        </w:rPr>
        <w:t xml:space="preserve">（采购包号：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28"/>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39"/>
          <w:rFonts w:hint="eastAsia" w:ascii="方正仿宋_GBK" w:hAnsi="方正仿宋_GBK" w:eastAsia="方正仿宋_GBK" w:cs="方正仿宋_GBK"/>
          <w:i w:val="0"/>
          <w:sz w:val="28"/>
          <w:szCs w:val="28"/>
          <w:u w:val="single"/>
          <w:shd w:val="clear" w:color="auto" w:fill="ffffff"/>
        </w:rPr>
        <w:t xml:space="preserve">（产品名称1）</w:t>
      </w:r>
      <w:r>
        <w:rPr>
          <w:rStyle w:val="83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39"/>
          <w:rFonts w:hint="eastAsia" w:ascii="方正仿宋_GBK" w:hAnsi="方正仿宋_GBK" w:eastAsia="方正仿宋_GBK" w:cs="方正仿宋_GBK"/>
          <w:i w:val="0"/>
          <w:sz w:val="28"/>
          <w:szCs w:val="28"/>
          <w:u w:val="single"/>
          <w:shd w:val="clear" w:color="auto" w:fill="ffffff"/>
        </w:rPr>
        <w:t xml:space="preserve">（厂名）</w:t>
      </w:r>
      <w:r>
        <w:rPr>
          <w:rStyle w:val="83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3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w:t>
      </w:r>
      <w:r>
        <w:rPr>
          <w:rStyle w:val="839"/>
          <w:rFonts w:hint="eastAsia" w:ascii="方正仿宋_GBK" w:hAnsi="方正仿宋_GBK" w:eastAsia="方正仿宋_GBK" w:cs="方正仿宋_GBK"/>
          <w:i w:val="0"/>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2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3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3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3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w:t>
      </w:r>
      <w:r>
        <w:rPr>
          <w:rStyle w:val="839"/>
          <w:rFonts w:hint="eastAsia" w:ascii="方正仿宋_GBK" w:hAnsi="方正仿宋_GBK" w:eastAsia="方正仿宋_GBK" w:cs="方正仿宋_GBK"/>
          <w:i w:val="0"/>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82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2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28"/>
        <w:spacing w:before="30" w:beforeAutospacing="0" w:after="30" w:afterAutospacing="0" w:line="400" w:lineRule="exact"/>
        <w:rPr>
          <w:rFonts w:hint="eastAsia"/>
          <w:sz w:val="28"/>
          <w:szCs w:val="28"/>
        </w:rPr>
      </w:pPr>
      <w:r>
        <w:rPr>
          <w:rFonts w:hint="eastAsia"/>
          <w:sz w:val="28"/>
          <w:szCs w:val="28"/>
        </w:rPr>
      </w:r>
      <w:r/>
    </w:p>
    <w:p>
      <w:pPr>
        <w:pStyle w:val="828"/>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828"/>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82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82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82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82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82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2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83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99"/>
      <w:r/>
      <w:bookmarkEnd w:id="200"/>
      <w:r/>
      <w:bookmarkEnd w:id="212"/>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28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宋体" w:hAnsi="宋体"/>
          <w:sz w:val="24"/>
          <w:szCs w:val="24"/>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Arial">
    <w:panose1 w:val="020B0604020202020204"/>
  </w:font>
  <w:font w:name="方正公文黑体">
    <w:panose1 w:val="020B0503020202020204"/>
  </w:font>
  <w:font w:name="Arial Unicode MS">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49935" cy="23050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49935" cy="230505"/>
                      </a:xfrm>
                      <a:prstGeom prst="rect">
                        <a:avLst/>
                      </a:prstGeom>
                      <a:noFill/>
                      <a:ln>
                        <a:noFill/>
                      </a:ln>
                      <a:effectLst/>
                    </wps:spPr>
                    <wps:txbx>
                      <w:txbxContent>
                        <w:p>
                          <w:pPr>
                            <w:pStyle w:val="81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text-anchor:top;visibility:visible;" filled="f" stroked="f">
              <v:textbox inset="0,0,0,0">
                <w:txbxContent>
                  <w:p>
                    <w:pPr>
                      <w:pStyle w:val="81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8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38835" cy="230505"/>
                      </a:xfrm>
                      <a:prstGeom prst="rect">
                        <a:avLst/>
                      </a:prstGeom>
                      <a:noFill/>
                      <a:ln>
                        <a:noFill/>
                      </a:ln>
                      <a:effectLst/>
                    </wps:spPr>
                    <wps:txbx>
                      <w:txbxContent>
                        <w:p>
                          <w:pPr>
                            <w:pStyle w:val="81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text-anchor:top;visibility:visible;" filled="f" stroked="f">
              <v:textbox inset="0,0,0,0">
                <w:txbxContent>
                  <w:p>
                    <w:pPr>
                      <w:pStyle w:val="81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37"/>
      </w:rPr>
      <w:framePr w:wrap="around" w:vAnchor="text" w:hAnchor="margin" w:xAlign="center" w:y="1"/>
    </w:pPr>
    <w:r>
      <w:fldChar w:fldCharType="begin"/>
    </w:r>
    <w:r>
      <w:rPr>
        <w:rStyle w:val="837"/>
      </w:rPr>
      <w:instrText xml:space="preserve">PAGE  </w:instrText>
    </w:r>
    <w:r>
      <w:fldChar w:fldCharType="separate"/>
    </w:r>
    <w:r>
      <w:rPr>
        <w:rStyle w:val="837"/>
      </w:rPr>
      <w:t xml:space="preserve">1</w:t>
    </w:r>
    <w:r>
      <w:fldChar w:fldCharType="end"/>
    </w:r>
    <w:r/>
  </w:p>
  <w:p>
    <w:pPr>
      <w:pStyle w:val="8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7"/>
  </w:num>
  <w:num w:numId="3">
    <w:abstractNumId w:val="2"/>
  </w:num>
  <w:num w:numId="4">
    <w:abstractNumId w:val="6"/>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2">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Footnote Text Char"/>
    <w:link w:val="821"/>
    <w:uiPriority w:val="99"/>
    <w:rPr>
      <w:sz w:val="18"/>
    </w:rPr>
  </w:style>
  <w:style w:type="character" w:styleId="782">
    <w:name w:val="Endnote Text Char"/>
    <w:link w:val="813"/>
    <w:uiPriority w:val="99"/>
    <w:rPr>
      <w:sz w:val="20"/>
    </w:rPr>
  </w:style>
  <w:style w:type="paragraph" w:styleId="783">
    <w:name w:val="TOC Heading"/>
    <w:uiPriority w:val="39"/>
    <w:unhideWhenUsed/>
  </w:style>
  <w:style w:type="paragraph" w:styleId="784" w:default="1">
    <w:name w:val="Normal"/>
    <w:qFormat/>
    <w:pPr>
      <w:jc w:val="both"/>
      <w:widowControl w:val="off"/>
    </w:pPr>
    <w:rPr>
      <w:sz w:val="21"/>
      <w:szCs w:val="22"/>
    </w:rPr>
  </w:style>
  <w:style w:type="paragraph" w:styleId="785">
    <w:name w:val="Heading 1"/>
    <w:basedOn w:val="784"/>
    <w:next w:val="784"/>
    <w:link w:val="987"/>
    <w:qFormat/>
    <w:pPr>
      <w:keepLines/>
      <w:keepNext/>
      <w:spacing w:before="360" w:after="80"/>
      <w:outlineLvl w:val="0"/>
    </w:pPr>
    <w:rPr>
      <w:rFonts w:asciiTheme="majorHAnsi" w:hAnsiTheme="majorHAnsi" w:eastAsiaTheme="majorEastAsia" w:cstheme="majorBidi"/>
      <w:color w:val="0f4761" w:themeColor="accent1" w:themeShade="BF"/>
      <w:sz w:val="40"/>
      <w:szCs w:val="40"/>
    </w:rPr>
  </w:style>
  <w:style w:type="paragraph" w:styleId="786">
    <w:name w:val="Heading 2"/>
    <w:basedOn w:val="784"/>
    <w:next w:val="784"/>
    <w:link w:val="988"/>
    <w:unhideWhenUsed/>
    <w:qFormat/>
    <w:pPr>
      <w:keepLines/>
      <w:keepNext/>
      <w:spacing w:before="160" w:after="80"/>
      <w:outlineLvl w:val="1"/>
    </w:pPr>
    <w:rPr>
      <w:rFonts w:asciiTheme="majorHAnsi" w:hAnsiTheme="majorHAnsi" w:eastAsiaTheme="majorEastAsia" w:cstheme="majorBidi"/>
      <w:color w:val="0f4761" w:themeColor="accent1" w:themeShade="BF"/>
      <w:sz w:val="32"/>
      <w:szCs w:val="32"/>
    </w:rPr>
  </w:style>
  <w:style w:type="paragraph" w:styleId="787">
    <w:name w:val="Heading 3"/>
    <w:basedOn w:val="784"/>
    <w:next w:val="784"/>
    <w:link w:val="989"/>
    <w:unhideWhenUsed/>
    <w:qFormat/>
    <w:pPr>
      <w:keepLines/>
      <w:keepNext/>
      <w:spacing w:before="160" w:after="80"/>
      <w:outlineLvl w:val="2"/>
    </w:pPr>
    <w:rPr>
      <w:rFonts w:eastAsiaTheme="majorEastAsia" w:cstheme="majorBidi"/>
      <w:color w:val="0f4761" w:themeColor="accent1" w:themeShade="BF"/>
      <w:sz w:val="28"/>
      <w:szCs w:val="28"/>
    </w:rPr>
  </w:style>
  <w:style w:type="paragraph" w:styleId="788">
    <w:name w:val="Heading 4"/>
    <w:basedOn w:val="784"/>
    <w:next w:val="784"/>
    <w:link w:val="990"/>
    <w:unhideWhenUsed/>
    <w:qFormat/>
    <w:pPr>
      <w:keepLines/>
      <w:keepNext/>
      <w:spacing w:before="80" w:after="40"/>
      <w:outlineLvl w:val="3"/>
    </w:pPr>
    <w:rPr>
      <w:rFonts w:eastAsiaTheme="majorEastAsia" w:cstheme="majorBidi"/>
      <w:i/>
      <w:iCs/>
      <w:color w:val="0f4761" w:themeColor="accent1" w:themeShade="BF"/>
    </w:rPr>
  </w:style>
  <w:style w:type="paragraph" w:styleId="789">
    <w:name w:val="Heading 5"/>
    <w:basedOn w:val="784"/>
    <w:next w:val="784"/>
    <w:link w:val="991"/>
    <w:unhideWhenUsed/>
    <w:qFormat/>
    <w:pPr>
      <w:keepLines/>
      <w:keepNext/>
      <w:spacing w:before="80" w:after="40"/>
      <w:outlineLvl w:val="4"/>
    </w:pPr>
    <w:rPr>
      <w:rFonts w:eastAsiaTheme="majorEastAsia" w:cstheme="majorBidi"/>
      <w:color w:val="0f4761" w:themeColor="accent1" w:themeShade="BF"/>
    </w:rPr>
  </w:style>
  <w:style w:type="paragraph" w:styleId="790">
    <w:name w:val="Heading 6"/>
    <w:basedOn w:val="784"/>
    <w:next w:val="784"/>
    <w:link w:val="992"/>
    <w:unhideWhenUsed/>
    <w:qFormat/>
    <w:pPr>
      <w:keepLines/>
      <w:keepNext/>
      <w:spacing w:before="40"/>
      <w:outlineLvl w:val="5"/>
    </w:pPr>
    <w:rPr>
      <w:rFonts w:eastAsiaTheme="majorEastAsia" w:cstheme="majorBidi"/>
      <w:i/>
      <w:iCs/>
      <w:color w:val="595959" w:themeColor="text1" w:themeTint="A6"/>
    </w:rPr>
  </w:style>
  <w:style w:type="paragraph" w:styleId="791">
    <w:name w:val="Heading 7"/>
    <w:basedOn w:val="784"/>
    <w:next w:val="784"/>
    <w:link w:val="993"/>
    <w:unhideWhenUsed/>
    <w:qFormat/>
    <w:pPr>
      <w:keepLines/>
      <w:keepNext/>
      <w:spacing w:before="40"/>
      <w:outlineLvl w:val="6"/>
    </w:pPr>
    <w:rPr>
      <w:rFonts w:eastAsiaTheme="majorEastAsia" w:cstheme="majorBidi"/>
      <w:color w:val="595959" w:themeColor="text1" w:themeTint="A6"/>
    </w:rPr>
  </w:style>
  <w:style w:type="paragraph" w:styleId="792">
    <w:name w:val="Heading 8"/>
    <w:basedOn w:val="784"/>
    <w:next w:val="784"/>
    <w:link w:val="994"/>
    <w:unhideWhenUsed/>
    <w:qFormat/>
    <w:pPr>
      <w:keepLines/>
      <w:keepNext/>
      <w:outlineLvl w:val="7"/>
    </w:pPr>
    <w:rPr>
      <w:rFonts w:eastAsiaTheme="majorEastAsia" w:cstheme="majorBidi"/>
      <w:i/>
      <w:iCs/>
      <w:color w:val="262626" w:themeColor="text1" w:themeTint="D9"/>
    </w:rPr>
  </w:style>
  <w:style w:type="paragraph" w:styleId="793">
    <w:name w:val="Heading 9"/>
    <w:basedOn w:val="784"/>
    <w:next w:val="784"/>
    <w:link w:val="995"/>
    <w:unhideWhenUsed/>
    <w:qFormat/>
    <w:pPr>
      <w:keepLines/>
      <w:keepNext/>
      <w:outlineLvl w:val="8"/>
    </w:pPr>
    <w:rPr>
      <w:rFonts w:eastAsiaTheme="majorEastAsia" w:cstheme="majorBidi"/>
      <w:color w:val="262626" w:themeColor="text1" w:themeTint="D9"/>
    </w:rPr>
  </w:style>
  <w:style w:type="character" w:styleId="794" w:default="1">
    <w:name w:val="Default Paragraph Font"/>
    <w:uiPriority w:val="1"/>
    <w:semiHidden/>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paragraph" w:styleId="797">
    <w:name w:val="List 3"/>
    <w:basedOn w:val="784"/>
    <w:qFormat/>
    <w:pPr>
      <w:ind w:left="100" w:hanging="200"/>
    </w:pPr>
    <w:rPr>
      <w:szCs w:val="21"/>
    </w:rPr>
  </w:style>
  <w:style w:type="paragraph" w:styleId="798">
    <w:name w:val="toc 7"/>
    <w:basedOn w:val="784"/>
    <w:next w:val="784"/>
    <w:semiHidden/>
    <w:qFormat/>
    <w:pPr>
      <w:ind w:left="1260"/>
      <w:jc w:val="left"/>
    </w:pPr>
    <w:rPr>
      <w:szCs w:val="21"/>
    </w:rPr>
  </w:style>
  <w:style w:type="paragraph" w:styleId="799">
    <w:name w:val="Normal Indent"/>
    <w:basedOn w:val="784"/>
    <w:link w:val="1007"/>
    <w:qFormat/>
    <w:pPr>
      <w:ind w:firstLine="420"/>
    </w:pPr>
    <w:rPr>
      <w:szCs w:val="21"/>
    </w:rPr>
  </w:style>
  <w:style w:type="paragraph" w:styleId="800">
    <w:name w:val="Caption"/>
    <w:basedOn w:val="784"/>
    <w:next w:val="784"/>
    <w:uiPriority w:val="35"/>
    <w:semiHidden/>
    <w:unhideWhenUsed/>
    <w:qFormat/>
    <w:pPr>
      <w:spacing w:line="276" w:lineRule="auto"/>
    </w:pPr>
    <w:rPr>
      <w:b/>
      <w:bCs/>
      <w:color w:val="156082" w:themeColor="accent1"/>
      <w:sz w:val="18"/>
      <w:szCs w:val="18"/>
    </w:rPr>
  </w:style>
  <w:style w:type="paragraph" w:styleId="801">
    <w:name w:val="Document Map"/>
    <w:basedOn w:val="784"/>
    <w:link w:val="1008"/>
    <w:semiHidden/>
    <w:qFormat/>
    <w:pPr>
      <w:shd w:val="clear" w:color="auto" w:fill="000080"/>
    </w:pPr>
    <w:rPr>
      <w:szCs w:val="21"/>
    </w:rPr>
  </w:style>
  <w:style w:type="paragraph" w:styleId="802">
    <w:name w:val="annotation text"/>
    <w:basedOn w:val="784"/>
    <w:link w:val="1009"/>
    <w:unhideWhenUsed/>
    <w:qFormat/>
    <w:pPr>
      <w:jc w:val="left"/>
    </w:pPr>
  </w:style>
  <w:style w:type="paragraph" w:styleId="803">
    <w:name w:val="Body Text 3"/>
    <w:basedOn w:val="784"/>
    <w:link w:val="1010"/>
    <w:qFormat/>
    <w:rPr>
      <w:rFonts w:ascii="仿宋_GB2312" w:hAnsi="Arial" w:eastAsia="仿宋_GB2312"/>
      <w:sz w:val="32"/>
      <w:szCs w:val="32"/>
    </w:rPr>
  </w:style>
  <w:style w:type="paragraph" w:styleId="804">
    <w:name w:val="Body Text"/>
    <w:basedOn w:val="784"/>
    <w:link w:val="1011"/>
    <w:qFormat/>
    <w:rPr>
      <w:rFonts w:ascii="楷体_GB2312" w:hAnsi="Arial" w:eastAsia="楷体_GB2312"/>
      <w:sz w:val="28"/>
      <w:szCs w:val="28"/>
    </w:rPr>
  </w:style>
  <w:style w:type="paragraph" w:styleId="805">
    <w:name w:val="Body Text Indent"/>
    <w:basedOn w:val="784"/>
    <w:link w:val="1012"/>
    <w:unhideWhenUsed/>
    <w:qFormat/>
    <w:pPr>
      <w:ind w:left="420"/>
      <w:spacing w:after="120"/>
    </w:pPr>
  </w:style>
  <w:style w:type="paragraph" w:styleId="806">
    <w:name w:val="List 2"/>
    <w:basedOn w:val="784"/>
    <w:qFormat/>
    <w:pPr>
      <w:ind w:left="100" w:hanging="200"/>
    </w:pPr>
    <w:rPr>
      <w:szCs w:val="21"/>
    </w:rPr>
  </w:style>
  <w:style w:type="paragraph" w:styleId="807">
    <w:name w:val="toc 5"/>
    <w:basedOn w:val="784"/>
    <w:next w:val="784"/>
    <w:semiHidden/>
    <w:qFormat/>
    <w:pPr>
      <w:ind w:left="840"/>
      <w:jc w:val="left"/>
    </w:pPr>
    <w:rPr>
      <w:szCs w:val="21"/>
    </w:rPr>
  </w:style>
  <w:style w:type="paragraph" w:styleId="808">
    <w:name w:val="toc 3"/>
    <w:basedOn w:val="784"/>
    <w:next w:val="784"/>
    <w:semiHidden/>
    <w:qFormat/>
    <w:pPr>
      <w:ind w:left="420"/>
      <w:jc w:val="left"/>
    </w:pPr>
    <w:rPr>
      <w:i/>
      <w:iCs/>
      <w:szCs w:val="24"/>
    </w:rPr>
  </w:style>
  <w:style w:type="paragraph" w:styleId="809">
    <w:name w:val="Plain Text"/>
    <w:basedOn w:val="784"/>
    <w:link w:val="1013"/>
    <w:qFormat/>
    <w:rPr>
      <w:rFonts w:ascii="宋体" w:hAnsi="Courier New" w:cs="Courier New"/>
      <w:szCs w:val="21"/>
    </w:rPr>
  </w:style>
  <w:style w:type="paragraph" w:styleId="810">
    <w:name w:val="toc 8"/>
    <w:basedOn w:val="784"/>
    <w:next w:val="784"/>
    <w:semiHidden/>
    <w:qFormat/>
    <w:pPr>
      <w:ind w:left="1470"/>
      <w:jc w:val="left"/>
    </w:pPr>
    <w:rPr>
      <w:szCs w:val="21"/>
    </w:rPr>
  </w:style>
  <w:style w:type="paragraph" w:styleId="811">
    <w:name w:val="Date"/>
    <w:basedOn w:val="784"/>
    <w:next w:val="784"/>
    <w:link w:val="1014"/>
    <w:qFormat/>
    <w:rPr>
      <w:sz w:val="24"/>
      <w:szCs w:val="24"/>
    </w:rPr>
  </w:style>
  <w:style w:type="paragraph" w:styleId="812">
    <w:name w:val="Body Text Indent 2"/>
    <w:basedOn w:val="784"/>
    <w:link w:val="1015"/>
    <w:qFormat/>
    <w:pPr>
      <w:ind w:left="630" w:firstLine="645"/>
    </w:pPr>
    <w:rPr>
      <w:rFonts w:ascii="Arial" w:hAnsi="Arial" w:eastAsia="仿宋_GB2312" w:cs="Arial"/>
      <w:sz w:val="32"/>
      <w:szCs w:val="32"/>
    </w:rPr>
  </w:style>
  <w:style w:type="paragraph" w:styleId="813">
    <w:name w:val="endnote text"/>
    <w:basedOn w:val="784"/>
    <w:link w:val="985"/>
    <w:uiPriority w:val="99"/>
    <w:semiHidden/>
    <w:unhideWhenUsed/>
    <w:qFormat/>
    <w:rPr>
      <w:sz w:val="20"/>
    </w:rPr>
  </w:style>
  <w:style w:type="paragraph" w:styleId="814">
    <w:name w:val="Balloon Text"/>
    <w:basedOn w:val="784"/>
    <w:link w:val="1016"/>
    <w:semiHidden/>
    <w:qFormat/>
    <w:rPr>
      <w:sz w:val="18"/>
      <w:szCs w:val="18"/>
    </w:rPr>
  </w:style>
  <w:style w:type="paragraph" w:styleId="815">
    <w:name w:val="Footer"/>
    <w:basedOn w:val="784"/>
    <w:link w:val="1006"/>
    <w:uiPriority w:val="99"/>
    <w:unhideWhenUsed/>
    <w:qFormat/>
    <w:pPr>
      <w:tabs>
        <w:tab w:val="center" w:pos="4680" w:leader="none"/>
        <w:tab w:val="right" w:pos="9360" w:leader="none"/>
      </w:tabs>
    </w:pPr>
  </w:style>
  <w:style w:type="paragraph" w:styleId="816">
    <w:name w:val="Header"/>
    <w:basedOn w:val="784"/>
    <w:link w:val="1005"/>
    <w:unhideWhenUsed/>
    <w:qFormat/>
    <w:pPr>
      <w:tabs>
        <w:tab w:val="center" w:pos="4680" w:leader="none"/>
        <w:tab w:val="right" w:pos="9360" w:leader="none"/>
      </w:tabs>
    </w:pPr>
  </w:style>
  <w:style w:type="paragraph" w:styleId="817">
    <w:name w:val="toc 1"/>
    <w:basedOn w:val="784"/>
    <w:next w:val="784"/>
    <w:uiPriority w:val="39"/>
    <w:qFormat/>
    <w:pPr>
      <w:jc w:val="left"/>
      <w:spacing w:before="120" w:after="120" w:line="400" w:lineRule="exact"/>
      <w:tabs>
        <w:tab w:val="right" w:pos="8720" w:leader="dot"/>
      </w:tabs>
    </w:pPr>
    <w:rPr>
      <w:rFonts w:ascii="宋体" w:hAnsi="宋体"/>
      <w:caps/>
      <w:sz w:val="24"/>
      <w:szCs w:val="24"/>
    </w:rPr>
  </w:style>
  <w:style w:type="paragraph" w:styleId="818">
    <w:name w:val="toc 4"/>
    <w:basedOn w:val="784"/>
    <w:next w:val="784"/>
    <w:semiHidden/>
    <w:qFormat/>
    <w:pPr>
      <w:ind w:left="630"/>
      <w:jc w:val="left"/>
    </w:pPr>
    <w:rPr>
      <w:szCs w:val="21"/>
    </w:rPr>
  </w:style>
  <w:style w:type="paragraph" w:styleId="819">
    <w:name w:val="Subtitle"/>
    <w:basedOn w:val="784"/>
    <w:next w:val="784"/>
    <w:link w:val="997"/>
    <w:uiPriority w:val="11"/>
    <w:qFormat/>
    <w:rPr>
      <w:rFonts w:eastAsiaTheme="majorEastAsia" w:cstheme="majorBidi"/>
      <w:color w:val="595959" w:themeColor="text1" w:themeTint="A6"/>
      <w:spacing w:val="15"/>
      <w:sz w:val="28"/>
      <w:szCs w:val="28"/>
    </w:rPr>
  </w:style>
  <w:style w:type="paragraph" w:styleId="820">
    <w:name w:val="List"/>
    <w:basedOn w:val="784"/>
    <w:qFormat/>
    <w:pPr>
      <w:ind w:left="200" w:hanging="200"/>
    </w:pPr>
    <w:rPr>
      <w:szCs w:val="21"/>
    </w:rPr>
  </w:style>
  <w:style w:type="paragraph" w:styleId="821">
    <w:name w:val="footnote text"/>
    <w:basedOn w:val="784"/>
    <w:link w:val="984"/>
    <w:uiPriority w:val="99"/>
    <w:semiHidden/>
    <w:unhideWhenUsed/>
    <w:qFormat/>
    <w:pPr>
      <w:spacing w:after="40"/>
    </w:pPr>
    <w:rPr>
      <w:sz w:val="18"/>
    </w:rPr>
  </w:style>
  <w:style w:type="paragraph" w:styleId="822">
    <w:name w:val="toc 6"/>
    <w:basedOn w:val="784"/>
    <w:next w:val="784"/>
    <w:semiHidden/>
    <w:qFormat/>
    <w:pPr>
      <w:ind w:left="1050"/>
      <w:jc w:val="left"/>
    </w:pPr>
    <w:rPr>
      <w:szCs w:val="21"/>
    </w:rPr>
  </w:style>
  <w:style w:type="paragraph" w:styleId="823">
    <w:name w:val="Body Text Indent 3"/>
    <w:basedOn w:val="784"/>
    <w:link w:val="1017"/>
    <w:qFormat/>
    <w:pPr>
      <w:ind w:left="645" w:firstLine="645"/>
    </w:pPr>
    <w:rPr>
      <w:rFonts w:ascii="Arial" w:hAnsi="Arial" w:eastAsia="仿宋_GB2312" w:cs="Arial"/>
      <w:color w:val="ffff00"/>
      <w:sz w:val="32"/>
      <w:szCs w:val="32"/>
    </w:rPr>
  </w:style>
  <w:style w:type="paragraph" w:styleId="824">
    <w:name w:val="table of figures"/>
    <w:basedOn w:val="784"/>
    <w:next w:val="784"/>
    <w:semiHidden/>
    <w:qFormat/>
    <w:pPr>
      <w:ind w:left="840" w:hanging="420"/>
    </w:pPr>
    <w:rPr>
      <w:szCs w:val="21"/>
    </w:rPr>
  </w:style>
  <w:style w:type="paragraph" w:styleId="825">
    <w:name w:val="toc 2"/>
    <w:basedOn w:val="784"/>
    <w:next w:val="784"/>
    <w:semiHidden/>
    <w:qFormat/>
    <w:pPr>
      <w:ind w:left="210"/>
      <w:jc w:val="left"/>
    </w:pPr>
    <w:rPr>
      <w:smallCaps/>
      <w:szCs w:val="24"/>
    </w:rPr>
  </w:style>
  <w:style w:type="paragraph" w:styleId="826">
    <w:name w:val="toc 9"/>
    <w:basedOn w:val="784"/>
    <w:next w:val="784"/>
    <w:semiHidden/>
    <w:qFormat/>
    <w:pPr>
      <w:ind w:left="1680"/>
      <w:jc w:val="left"/>
    </w:pPr>
    <w:rPr>
      <w:szCs w:val="21"/>
    </w:rPr>
  </w:style>
  <w:style w:type="paragraph" w:styleId="827">
    <w:name w:val="Body Text 2"/>
    <w:basedOn w:val="784"/>
    <w:link w:val="1018"/>
    <w:qFormat/>
    <w:pPr>
      <w:jc w:val="center"/>
      <w:widowControl/>
    </w:pPr>
    <w:rPr>
      <w:rFonts w:ascii="楷体_GB2312" w:eastAsia="楷体_GB2312"/>
      <w:sz w:val="28"/>
      <w:szCs w:val="28"/>
    </w:rPr>
  </w:style>
  <w:style w:type="paragraph" w:styleId="828">
    <w:name w:val="Normal (Web)"/>
    <w:basedOn w:val="784"/>
    <w:uiPriority w:val="99"/>
    <w:qFormat/>
    <w:pPr>
      <w:jc w:val="left"/>
      <w:spacing w:before="100" w:beforeAutospacing="1" w:after="100" w:afterAutospacing="1"/>
      <w:widowControl/>
    </w:pPr>
    <w:rPr>
      <w:rFonts w:ascii="宋体" w:hAnsi="宋体" w:cs="宋体"/>
      <w:sz w:val="24"/>
      <w:szCs w:val="24"/>
    </w:rPr>
  </w:style>
  <w:style w:type="paragraph" w:styleId="829">
    <w:name w:val="index 1"/>
    <w:basedOn w:val="784"/>
    <w:next w:val="784"/>
    <w:semiHidden/>
    <w:qFormat/>
    <w:pPr>
      <w:spacing w:line="240" w:lineRule="atLeast"/>
    </w:pPr>
    <w:rPr>
      <w:b/>
      <w:bCs/>
      <w:szCs w:val="21"/>
    </w:rPr>
  </w:style>
  <w:style w:type="paragraph" w:styleId="830">
    <w:name w:val="Title"/>
    <w:basedOn w:val="784"/>
    <w:next w:val="784"/>
    <w:link w:val="996"/>
    <w:uiPriority w:val="10"/>
    <w:qFormat/>
    <w:pPr>
      <w:contextualSpacing/>
      <w:spacing w:after="80"/>
    </w:pPr>
    <w:rPr>
      <w:rFonts w:asciiTheme="majorHAnsi" w:hAnsiTheme="majorHAnsi" w:eastAsiaTheme="majorEastAsia" w:cstheme="majorBidi"/>
      <w:spacing w:val="-10"/>
      <w:sz w:val="56"/>
      <w:szCs w:val="56"/>
    </w:rPr>
  </w:style>
  <w:style w:type="paragraph" w:styleId="831">
    <w:name w:val="annotation subject"/>
    <w:basedOn w:val="802"/>
    <w:next w:val="802"/>
    <w:link w:val="1019"/>
    <w:semiHidden/>
    <w:qFormat/>
    <w:rPr>
      <w:b/>
      <w:bCs/>
      <w:szCs w:val="21"/>
    </w:rPr>
  </w:style>
  <w:style w:type="paragraph" w:styleId="832">
    <w:name w:val="Body Text First Indent"/>
    <w:basedOn w:val="784"/>
    <w:link w:val="1020"/>
    <w:qFormat/>
    <w:pPr>
      <w:ind w:firstLine="200"/>
      <w:spacing w:line="360" w:lineRule="auto"/>
    </w:pPr>
    <w:rPr>
      <w:rFonts w:ascii="仿宋_GB2312" w:eastAsia="仿宋_GB2312"/>
      <w:sz w:val="30"/>
      <w:szCs w:val="30"/>
    </w:rPr>
  </w:style>
  <w:style w:type="paragraph" w:styleId="833">
    <w:name w:val="Body Text First Indent 2"/>
    <w:basedOn w:val="805"/>
    <w:link w:val="1021"/>
    <w:qFormat/>
    <w:pPr>
      <w:ind w:left="0" w:firstLine="420"/>
      <w:spacing w:after="0" w:line="360" w:lineRule="auto"/>
    </w:pPr>
    <w:rPr>
      <w:rFonts w:ascii="宋体" w:hAnsi="宋体"/>
      <w:szCs w:val="20"/>
    </w:rPr>
  </w:style>
  <w:style w:type="table" w:styleId="834">
    <w:name w:val="Table Grid"/>
    <w:basedOn w:val="79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qFormat/>
    <w:rPr>
      <w:b/>
      <w:bCs/>
    </w:rPr>
  </w:style>
  <w:style w:type="character" w:styleId="836">
    <w:name w:val="endnote reference"/>
    <w:basedOn w:val="794"/>
    <w:uiPriority w:val="99"/>
    <w:semiHidden/>
    <w:unhideWhenUsed/>
    <w:qFormat/>
    <w:rPr>
      <w:vertAlign w:val="superscript"/>
    </w:rPr>
  </w:style>
  <w:style w:type="character" w:styleId="837">
    <w:name w:val="page number"/>
    <w:qFormat/>
  </w:style>
  <w:style w:type="character" w:styleId="838">
    <w:name w:val="FollowedHyperlink"/>
    <w:qFormat/>
    <w:rPr>
      <w:color w:val="800080"/>
      <w:u w:val="single"/>
    </w:rPr>
  </w:style>
  <w:style w:type="character" w:styleId="839">
    <w:name w:val="Emphasis"/>
    <w:qFormat/>
    <w:rPr>
      <w:i/>
    </w:rPr>
  </w:style>
  <w:style w:type="character" w:styleId="840">
    <w:name w:val="Hyperlink"/>
    <w:qFormat/>
    <w:rPr>
      <w:color w:val="0000ff"/>
      <w:u w:val="single"/>
    </w:rPr>
  </w:style>
  <w:style w:type="character" w:styleId="841">
    <w:name w:val="annotation reference"/>
    <w:semiHidden/>
    <w:qFormat/>
    <w:rPr>
      <w:sz w:val="21"/>
      <w:szCs w:val="21"/>
    </w:rPr>
  </w:style>
  <w:style w:type="character" w:styleId="842">
    <w:name w:val="footnote reference"/>
    <w:basedOn w:val="794"/>
    <w:uiPriority w:val="99"/>
    <w:unhideWhenUsed/>
    <w:qFormat/>
    <w:rPr>
      <w:vertAlign w:val="superscript"/>
    </w:rPr>
  </w:style>
  <w:style w:type="character" w:styleId="843" w:customStyle="1">
    <w:name w:val="Heading 1 Char"/>
    <w:basedOn w:val="794"/>
    <w:uiPriority w:val="9"/>
    <w:qFormat/>
    <w:rPr>
      <w:rFonts w:ascii="Arial" w:hAnsi="Arial" w:eastAsia="Arial" w:cs="Arial"/>
      <w:sz w:val="40"/>
      <w:szCs w:val="40"/>
    </w:rPr>
  </w:style>
  <w:style w:type="character" w:styleId="844" w:customStyle="1">
    <w:name w:val="Heading 2 Char"/>
    <w:basedOn w:val="794"/>
    <w:uiPriority w:val="9"/>
    <w:qFormat/>
    <w:rPr>
      <w:rFonts w:ascii="Arial" w:hAnsi="Arial" w:eastAsia="Arial" w:cs="Arial"/>
      <w:sz w:val="34"/>
    </w:rPr>
  </w:style>
  <w:style w:type="character" w:styleId="845" w:customStyle="1">
    <w:name w:val="Heading 3 Char"/>
    <w:basedOn w:val="794"/>
    <w:uiPriority w:val="9"/>
    <w:qFormat/>
    <w:rPr>
      <w:rFonts w:ascii="Arial" w:hAnsi="Arial" w:eastAsia="Arial" w:cs="Arial"/>
      <w:sz w:val="30"/>
      <w:szCs w:val="30"/>
    </w:rPr>
  </w:style>
  <w:style w:type="character" w:styleId="846" w:customStyle="1">
    <w:name w:val="Heading 4 Char"/>
    <w:basedOn w:val="794"/>
    <w:uiPriority w:val="9"/>
    <w:qFormat/>
    <w:rPr>
      <w:rFonts w:ascii="Arial" w:hAnsi="Arial" w:eastAsia="Arial" w:cs="Arial"/>
      <w:b/>
      <w:bCs/>
      <w:sz w:val="26"/>
      <w:szCs w:val="26"/>
    </w:rPr>
  </w:style>
  <w:style w:type="character" w:styleId="847" w:customStyle="1">
    <w:name w:val="Heading 5 Char"/>
    <w:basedOn w:val="794"/>
    <w:uiPriority w:val="9"/>
    <w:qFormat/>
    <w:rPr>
      <w:rFonts w:ascii="Arial" w:hAnsi="Arial" w:eastAsia="Arial" w:cs="Arial"/>
      <w:b/>
      <w:bCs/>
      <w:sz w:val="24"/>
      <w:szCs w:val="24"/>
    </w:rPr>
  </w:style>
  <w:style w:type="character" w:styleId="848" w:customStyle="1">
    <w:name w:val="Heading 6 Char"/>
    <w:basedOn w:val="794"/>
    <w:uiPriority w:val="9"/>
    <w:qFormat/>
    <w:rPr>
      <w:rFonts w:ascii="Arial" w:hAnsi="Arial" w:eastAsia="Arial" w:cs="Arial"/>
      <w:b/>
      <w:bCs/>
      <w:sz w:val="22"/>
      <w:szCs w:val="22"/>
    </w:rPr>
  </w:style>
  <w:style w:type="character" w:styleId="849" w:customStyle="1">
    <w:name w:val="Heading 7 Char"/>
    <w:basedOn w:val="794"/>
    <w:uiPriority w:val="9"/>
    <w:qFormat/>
    <w:rPr>
      <w:rFonts w:ascii="Arial" w:hAnsi="Arial" w:eastAsia="Arial" w:cs="Arial"/>
      <w:b/>
      <w:bCs/>
      <w:i/>
      <w:iCs/>
      <w:sz w:val="22"/>
      <w:szCs w:val="22"/>
    </w:rPr>
  </w:style>
  <w:style w:type="character" w:styleId="850" w:customStyle="1">
    <w:name w:val="Heading 8 Char"/>
    <w:basedOn w:val="794"/>
    <w:uiPriority w:val="9"/>
    <w:qFormat/>
    <w:rPr>
      <w:rFonts w:ascii="Arial" w:hAnsi="Arial" w:eastAsia="Arial" w:cs="Arial"/>
      <w:i/>
      <w:iCs/>
      <w:sz w:val="22"/>
      <w:szCs w:val="22"/>
    </w:rPr>
  </w:style>
  <w:style w:type="character" w:styleId="851" w:customStyle="1">
    <w:name w:val="Heading 9 Char"/>
    <w:basedOn w:val="794"/>
    <w:uiPriority w:val="9"/>
    <w:qFormat/>
    <w:rPr>
      <w:rFonts w:ascii="Arial" w:hAnsi="Arial" w:eastAsia="Arial" w:cs="Arial"/>
      <w:i/>
      <w:iCs/>
      <w:sz w:val="21"/>
      <w:szCs w:val="21"/>
    </w:rPr>
  </w:style>
  <w:style w:type="character" w:styleId="852" w:customStyle="1">
    <w:name w:val="Title Char"/>
    <w:basedOn w:val="794"/>
    <w:uiPriority w:val="10"/>
    <w:qFormat/>
    <w:rPr>
      <w:sz w:val="48"/>
      <w:szCs w:val="48"/>
    </w:rPr>
  </w:style>
  <w:style w:type="character" w:styleId="853" w:customStyle="1">
    <w:name w:val="Subtitle Char"/>
    <w:basedOn w:val="794"/>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794"/>
    <w:uiPriority w:val="99"/>
    <w:qFormat/>
  </w:style>
  <w:style w:type="character" w:styleId="857" w:customStyle="1">
    <w:name w:val="Footer Char"/>
    <w:basedOn w:val="794"/>
    <w:uiPriority w:val="99"/>
    <w:qFormat/>
  </w:style>
  <w:style w:type="character" w:styleId="858" w:customStyle="1">
    <w:name w:val="Caption Char"/>
    <w:uiPriority w:val="99"/>
    <w:qFormat/>
  </w:style>
  <w:style w:type="table" w:styleId="859" w:customStyle="1">
    <w:name w:val="Table Grid Light"/>
    <w:basedOn w:val="79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0" w:customStyle="1">
    <w:name w:val="无格式表格 11"/>
    <w:basedOn w:val="79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9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9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9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9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9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9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9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9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9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9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9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9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9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9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9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79" w:customStyle="1">
    <w:name w:val="网格表 31"/>
    <w:basedOn w:val="79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9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9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9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9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9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9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9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9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88" w:customStyle="1">
    <w:name w:val="Grid Table 4 - Accent 2"/>
    <w:basedOn w:val="79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89" w:customStyle="1">
    <w:name w:val="Grid Table 4 - Accent 3"/>
    <w:basedOn w:val="79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90" w:customStyle="1">
    <w:name w:val="Grid Table 4 - Accent 4"/>
    <w:basedOn w:val="79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91" w:customStyle="1">
    <w:name w:val="Grid Table 4 - Accent 5"/>
    <w:basedOn w:val="79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92" w:customStyle="1">
    <w:name w:val="Grid Table 4 - Accent 6"/>
    <w:basedOn w:val="79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93"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95" w:customStyle="1">
    <w:name w:val="Grid Table 5 Dark - Accent 2"/>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96" w:customStyle="1">
    <w:name w:val="Grid Table 5 Dark - Accent 3"/>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7" w:customStyle="1">
    <w:name w:val="Grid Table 5 Dark- Accent 4"/>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98" w:customStyle="1">
    <w:name w:val="Grid Table 5 Dark - Accent 5"/>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99" w:customStyle="1">
    <w:name w:val="Grid Table 5 Dark - Accent 6"/>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00" w:customStyle="1">
    <w:name w:val="网格表 6 彩色1"/>
    <w:basedOn w:val="79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1" w:customStyle="1">
    <w:name w:val="Grid Table 6 Colorful - Accent 1"/>
    <w:basedOn w:val="79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902" w:customStyle="1">
    <w:name w:val="Grid Table 6 Colorful - Accent 2"/>
    <w:basedOn w:val="79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03" w:customStyle="1">
    <w:name w:val="Grid Table 6 Colorful - Accent 3"/>
    <w:basedOn w:val="79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04" w:customStyle="1">
    <w:name w:val="Grid Table 6 Colorful - Accent 4"/>
    <w:basedOn w:val="79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05" w:customStyle="1">
    <w:name w:val="Grid Table 6 Colorful - Accent 5"/>
    <w:basedOn w:val="79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6" w:customStyle="1">
    <w:name w:val="Grid Table 6 Colorful - Accent 6"/>
    <w:basedOn w:val="79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7" w:customStyle="1">
    <w:name w:val="网格表 7 彩色1"/>
    <w:basedOn w:val="79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9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9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9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9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9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9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basedOn w:val="79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9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9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9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9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9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9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21" w:customStyle="1">
    <w:name w:val="清单表 21"/>
    <w:basedOn w:val="79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2" w:customStyle="1">
    <w:name w:val="List Table 2 - Accent 1"/>
    <w:basedOn w:val="79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23" w:customStyle="1">
    <w:name w:val="List Table 2 - Accent 2"/>
    <w:basedOn w:val="79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24" w:customStyle="1">
    <w:name w:val="List Table 2 - Accent 3"/>
    <w:basedOn w:val="79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25" w:customStyle="1">
    <w:name w:val="List Table 2 - Accent 4"/>
    <w:basedOn w:val="79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26" w:customStyle="1">
    <w:name w:val="List Table 2 - Accent 5"/>
    <w:basedOn w:val="79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7" w:customStyle="1">
    <w:name w:val="List Table 2 - Accent 6"/>
    <w:basedOn w:val="79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28"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79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0" w:customStyle="1">
    <w:name w:val="List Table 3 - Accent 2"/>
    <w:basedOn w:val="79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9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9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9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9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35"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79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7" w:customStyle="1">
    <w:name w:val="List Table 4 - Accent 2"/>
    <w:basedOn w:val="79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38" w:customStyle="1">
    <w:name w:val="List Table 4 - Accent 3"/>
    <w:basedOn w:val="79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39" w:customStyle="1">
    <w:name w:val="List Table 4 - Accent 4"/>
    <w:basedOn w:val="79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40" w:customStyle="1">
    <w:name w:val="List Table 4 - Accent 5"/>
    <w:basedOn w:val="79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41" w:customStyle="1">
    <w:name w:val="List Table 4 - Accent 6"/>
    <w:basedOn w:val="79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42" w:customStyle="1">
    <w:name w:val="清单表 5 深色1"/>
    <w:basedOn w:val="79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List Table 5 Dark - Accent 1"/>
    <w:basedOn w:val="79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44" w:customStyle="1">
    <w:name w:val="List Table 5 Dark - Accent 2"/>
    <w:basedOn w:val="79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45" w:customStyle="1">
    <w:name w:val="List Table 5 Dark - Accent 3"/>
    <w:basedOn w:val="79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46" w:customStyle="1">
    <w:name w:val="List Table 5 Dark - Accent 4"/>
    <w:basedOn w:val="79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7" w:customStyle="1">
    <w:name w:val="List Table 5 Dark - Accent 5"/>
    <w:basedOn w:val="79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48" w:customStyle="1">
    <w:name w:val="List Table 5 Dark - Accent 6"/>
    <w:basedOn w:val="79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49" w:customStyle="1">
    <w:name w:val="清单表 6 彩色1"/>
    <w:basedOn w:val="79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0" w:customStyle="1">
    <w:name w:val="List Table 6 Colorful - Accent 1"/>
    <w:basedOn w:val="79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51" w:customStyle="1">
    <w:name w:val="List Table 6 Colorful - Accent 2"/>
    <w:basedOn w:val="79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52" w:customStyle="1">
    <w:name w:val="List Table 6 Colorful - Accent 3"/>
    <w:basedOn w:val="79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53" w:customStyle="1">
    <w:name w:val="List Table 6 Colorful - Accent 4"/>
    <w:basedOn w:val="79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54" w:customStyle="1">
    <w:name w:val="List Table 6 Colorful - Accent 5"/>
    <w:basedOn w:val="79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55" w:customStyle="1">
    <w:name w:val="List Table 6 Colorful - Accent 6"/>
    <w:basedOn w:val="79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56" w:customStyle="1">
    <w:name w:val="清单表 7 彩色1"/>
    <w:basedOn w:val="79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9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9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9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9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9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9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4" w:customStyle="1">
    <w:name w:val="Lined - Accent 1"/>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5" w:customStyle="1">
    <w:name w:val="Lined - Accent 2"/>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6" w:customStyle="1">
    <w:name w:val="Lined - Accent 3"/>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7" w:customStyle="1">
    <w:name w:val="Lined - Accent 4"/>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68" w:customStyle="1">
    <w:name w:val="Lined - Accent 5"/>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69" w:customStyle="1">
    <w:name w:val="Lined - Accent 6"/>
    <w:basedOn w:val="7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0" w:customStyle="1">
    <w:name w:val="Bordered &amp; Lined - Accent"/>
    <w:basedOn w:val="79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Bordered &amp; Lined - Accent 1"/>
    <w:basedOn w:val="79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72" w:customStyle="1">
    <w:name w:val="Bordered &amp; Lined - Accent 2"/>
    <w:basedOn w:val="79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3" w:customStyle="1">
    <w:name w:val="Bordered &amp; Lined - Accent 3"/>
    <w:basedOn w:val="79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4" w:customStyle="1">
    <w:name w:val="Bordered &amp; Lined - Accent 4"/>
    <w:basedOn w:val="79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5" w:customStyle="1">
    <w:name w:val="Bordered &amp; Lined - Accent 5"/>
    <w:basedOn w:val="79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6" w:customStyle="1">
    <w:name w:val="Bordered &amp; Lined - Accent 6"/>
    <w:basedOn w:val="79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7" w:customStyle="1">
    <w:name w:val="Bordered"/>
    <w:basedOn w:val="79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8" w:customStyle="1">
    <w:name w:val="Bordered - Accent 1"/>
    <w:basedOn w:val="79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79" w:customStyle="1">
    <w:name w:val="Bordered - Accent 2"/>
    <w:basedOn w:val="79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80" w:customStyle="1">
    <w:name w:val="Bordered - Accent 3"/>
    <w:basedOn w:val="79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81" w:customStyle="1">
    <w:name w:val="Bordered - Accent 4"/>
    <w:basedOn w:val="79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82" w:customStyle="1">
    <w:name w:val="Bordered - Accent 5"/>
    <w:basedOn w:val="79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83" w:customStyle="1">
    <w:name w:val="Bordered - Accent 6"/>
    <w:basedOn w:val="79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84" w:customStyle="1">
    <w:name w:val="脚注文本 字符"/>
    <w:link w:val="821"/>
    <w:uiPriority w:val="99"/>
    <w:qFormat/>
    <w:rPr>
      <w:sz w:val="18"/>
    </w:rPr>
  </w:style>
  <w:style w:type="character" w:styleId="985" w:customStyle="1">
    <w:name w:val="尾注文本 字符"/>
    <w:link w:val="813"/>
    <w:uiPriority w:val="99"/>
    <w:qFormat/>
    <w:rPr>
      <w:sz w:val="20"/>
    </w:rPr>
  </w:style>
  <w:style w:type="paragraph" w:styleId="986" w:customStyle="1">
    <w:name w:val="TOC 标题1"/>
    <w:uiPriority w:val="39"/>
    <w:unhideWhenUsed/>
    <w:qFormat/>
    <w:rPr>
      <w:rFonts w:asciiTheme="minorHAnsi" w:hAnsiTheme="minorHAnsi" w:eastAsiaTheme="minorEastAsia" w:cstheme="minorBidi"/>
    </w:rPr>
  </w:style>
  <w:style w:type="character" w:styleId="987" w:customStyle="1">
    <w:name w:val="标题 1 字符"/>
    <w:basedOn w:val="794"/>
    <w:link w:val="785"/>
    <w:qFormat/>
    <w:rPr>
      <w:rFonts w:asciiTheme="majorHAnsi" w:hAnsiTheme="majorHAnsi" w:eastAsiaTheme="majorEastAsia" w:cstheme="majorBidi"/>
      <w:color w:val="0f4761" w:themeColor="accent1" w:themeShade="BF"/>
      <w:sz w:val="40"/>
      <w:szCs w:val="40"/>
    </w:rPr>
  </w:style>
  <w:style w:type="character" w:styleId="988" w:customStyle="1">
    <w:name w:val="标题 2 字符"/>
    <w:basedOn w:val="794"/>
    <w:link w:val="786"/>
    <w:qFormat/>
    <w:rPr>
      <w:rFonts w:asciiTheme="majorHAnsi" w:hAnsiTheme="majorHAnsi" w:eastAsiaTheme="majorEastAsia" w:cstheme="majorBidi"/>
      <w:color w:val="0f4761" w:themeColor="accent1" w:themeShade="BF"/>
      <w:sz w:val="32"/>
      <w:szCs w:val="32"/>
    </w:rPr>
  </w:style>
  <w:style w:type="character" w:styleId="989" w:customStyle="1">
    <w:name w:val="标题 3 字符"/>
    <w:basedOn w:val="794"/>
    <w:link w:val="787"/>
    <w:qFormat/>
    <w:rPr>
      <w:rFonts w:eastAsiaTheme="majorEastAsia" w:cstheme="majorBidi"/>
      <w:color w:val="0f4761" w:themeColor="accent1" w:themeShade="BF"/>
      <w:sz w:val="28"/>
      <w:szCs w:val="28"/>
    </w:rPr>
  </w:style>
  <w:style w:type="character" w:styleId="990" w:customStyle="1">
    <w:name w:val="标题 4 字符"/>
    <w:basedOn w:val="794"/>
    <w:link w:val="788"/>
    <w:qFormat/>
    <w:rPr>
      <w:rFonts w:eastAsiaTheme="majorEastAsia" w:cstheme="majorBidi"/>
      <w:i/>
      <w:iCs/>
      <w:color w:val="0f4761" w:themeColor="accent1" w:themeShade="BF"/>
    </w:rPr>
  </w:style>
  <w:style w:type="character" w:styleId="991" w:customStyle="1">
    <w:name w:val="标题 5 字符"/>
    <w:basedOn w:val="794"/>
    <w:link w:val="789"/>
    <w:qFormat/>
    <w:rPr>
      <w:rFonts w:eastAsiaTheme="majorEastAsia" w:cstheme="majorBidi"/>
      <w:color w:val="0f4761" w:themeColor="accent1" w:themeShade="BF"/>
    </w:rPr>
  </w:style>
  <w:style w:type="character" w:styleId="992" w:customStyle="1">
    <w:name w:val="标题 6 字符"/>
    <w:basedOn w:val="794"/>
    <w:link w:val="790"/>
    <w:qFormat/>
    <w:rPr>
      <w:rFonts w:eastAsiaTheme="majorEastAsia" w:cstheme="majorBidi"/>
      <w:i/>
      <w:iCs/>
      <w:color w:val="595959" w:themeColor="text1" w:themeTint="A6"/>
    </w:rPr>
  </w:style>
  <w:style w:type="character" w:styleId="993" w:customStyle="1">
    <w:name w:val="标题 7 字符"/>
    <w:basedOn w:val="794"/>
    <w:link w:val="791"/>
    <w:qFormat/>
    <w:rPr>
      <w:rFonts w:eastAsiaTheme="majorEastAsia" w:cstheme="majorBidi"/>
      <w:color w:val="595959" w:themeColor="text1" w:themeTint="A6"/>
    </w:rPr>
  </w:style>
  <w:style w:type="character" w:styleId="994" w:customStyle="1">
    <w:name w:val="标题 8 字符"/>
    <w:basedOn w:val="794"/>
    <w:link w:val="792"/>
    <w:qFormat/>
    <w:rPr>
      <w:rFonts w:eastAsiaTheme="majorEastAsia" w:cstheme="majorBidi"/>
      <w:i/>
      <w:iCs/>
      <w:color w:val="262626" w:themeColor="text1" w:themeTint="D9"/>
    </w:rPr>
  </w:style>
  <w:style w:type="character" w:styleId="995" w:customStyle="1">
    <w:name w:val="标题 9 字符"/>
    <w:basedOn w:val="794"/>
    <w:link w:val="793"/>
    <w:qFormat/>
    <w:rPr>
      <w:rFonts w:eastAsiaTheme="majorEastAsia" w:cstheme="majorBidi"/>
      <w:color w:val="262626" w:themeColor="text1" w:themeTint="D9"/>
    </w:rPr>
  </w:style>
  <w:style w:type="character" w:styleId="996" w:customStyle="1">
    <w:name w:val="标题 字符"/>
    <w:basedOn w:val="794"/>
    <w:link w:val="830"/>
    <w:uiPriority w:val="10"/>
    <w:qFormat/>
    <w:rPr>
      <w:rFonts w:asciiTheme="majorHAnsi" w:hAnsiTheme="majorHAnsi" w:eastAsiaTheme="majorEastAsia" w:cstheme="majorBidi"/>
      <w:spacing w:val="-10"/>
      <w:sz w:val="56"/>
      <w:szCs w:val="56"/>
    </w:rPr>
  </w:style>
  <w:style w:type="character" w:styleId="997" w:customStyle="1">
    <w:name w:val="副标题 字符"/>
    <w:basedOn w:val="794"/>
    <w:link w:val="819"/>
    <w:uiPriority w:val="11"/>
    <w:qFormat/>
    <w:rPr>
      <w:rFonts w:eastAsiaTheme="majorEastAsia" w:cstheme="majorBidi"/>
      <w:color w:val="595959" w:themeColor="text1" w:themeTint="A6"/>
      <w:spacing w:val="15"/>
      <w:sz w:val="28"/>
      <w:szCs w:val="28"/>
    </w:rPr>
  </w:style>
  <w:style w:type="paragraph" w:styleId="998">
    <w:name w:val="Quote"/>
    <w:basedOn w:val="784"/>
    <w:next w:val="784"/>
    <w:link w:val="999"/>
    <w:uiPriority w:val="29"/>
    <w:qFormat/>
    <w:pPr>
      <w:jc w:val="center"/>
      <w:spacing w:before="160"/>
    </w:pPr>
    <w:rPr>
      <w:i/>
      <w:iCs/>
      <w:color w:val="404040" w:themeColor="text1" w:themeTint="BF"/>
    </w:rPr>
  </w:style>
  <w:style w:type="character" w:styleId="999" w:customStyle="1">
    <w:name w:val="引用 字符"/>
    <w:basedOn w:val="794"/>
    <w:link w:val="998"/>
    <w:uiPriority w:val="29"/>
    <w:qFormat/>
    <w:rPr>
      <w:i/>
      <w:iCs/>
      <w:color w:val="404040" w:themeColor="text1" w:themeTint="BF"/>
    </w:rPr>
  </w:style>
  <w:style w:type="paragraph" w:styleId="1000">
    <w:name w:val="List Paragraph"/>
    <w:basedOn w:val="784"/>
    <w:qFormat/>
    <w:pPr>
      <w:contextualSpacing/>
      <w:ind w:left="720"/>
    </w:pPr>
  </w:style>
  <w:style w:type="character" w:styleId="1001" w:customStyle="1">
    <w:name w:val="明显强调1"/>
    <w:basedOn w:val="794"/>
    <w:uiPriority w:val="21"/>
    <w:qFormat/>
    <w:rPr>
      <w:i/>
      <w:iCs/>
      <w:color w:val="0f4761" w:themeColor="accent1" w:themeShade="BF"/>
    </w:rPr>
  </w:style>
  <w:style w:type="paragraph" w:styleId="1002">
    <w:name w:val="Intense Quote"/>
    <w:basedOn w:val="784"/>
    <w:next w:val="784"/>
    <w:link w:val="1003"/>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1003" w:customStyle="1">
    <w:name w:val="明显引用 字符"/>
    <w:basedOn w:val="794"/>
    <w:link w:val="1002"/>
    <w:uiPriority w:val="30"/>
    <w:qFormat/>
    <w:rPr>
      <w:i/>
      <w:iCs/>
      <w:color w:val="0f4761" w:themeColor="accent1" w:themeShade="BF"/>
    </w:rPr>
  </w:style>
  <w:style w:type="character" w:styleId="1004" w:customStyle="1">
    <w:name w:val="明显参考1"/>
    <w:basedOn w:val="794"/>
    <w:uiPriority w:val="32"/>
    <w:qFormat/>
    <w:rPr>
      <w:b/>
      <w:bCs/>
      <w:smallCaps/>
      <w:color w:val="0f4761" w:themeColor="accent1" w:themeShade="BF"/>
      <w:spacing w:val="5"/>
    </w:rPr>
  </w:style>
  <w:style w:type="character" w:styleId="1005" w:customStyle="1">
    <w:name w:val="页眉 字符"/>
    <w:basedOn w:val="794"/>
    <w:link w:val="816"/>
    <w:qFormat/>
  </w:style>
  <w:style w:type="character" w:styleId="1006" w:customStyle="1">
    <w:name w:val="页脚 字符"/>
    <w:basedOn w:val="794"/>
    <w:link w:val="815"/>
    <w:uiPriority w:val="99"/>
    <w:qFormat/>
  </w:style>
  <w:style w:type="character" w:styleId="1007" w:customStyle="1">
    <w:name w:val="正文缩进 字符"/>
    <w:link w:val="799"/>
    <w:qFormat/>
    <w:rPr>
      <w:rFonts w:ascii="Times New Roman" w:hAnsi="Times New Roman" w:eastAsia="宋体" w:cs="Times New Roman"/>
      <w:sz w:val="21"/>
      <w:szCs w:val="21"/>
      <w14:ligatures w14:val="none"/>
    </w:rPr>
  </w:style>
  <w:style w:type="character" w:styleId="1008" w:customStyle="1">
    <w:name w:val="文档结构图 字符"/>
    <w:basedOn w:val="794"/>
    <w:link w:val="801"/>
    <w:semiHidden/>
    <w:qFormat/>
    <w:rPr>
      <w:rFonts w:ascii="Times New Roman" w:hAnsi="Times New Roman" w:eastAsia="宋体" w:cs="Times New Roman"/>
      <w:sz w:val="21"/>
      <w:szCs w:val="21"/>
      <w:shd w:val="clear" w:color="auto" w:fill="000080"/>
      <w14:ligatures w14:val="none"/>
    </w:rPr>
  </w:style>
  <w:style w:type="character" w:styleId="1009" w:customStyle="1">
    <w:name w:val="批注文字 字符"/>
    <w:basedOn w:val="794"/>
    <w:link w:val="802"/>
    <w:qFormat/>
    <w:rPr>
      <w:rFonts w:ascii="Times New Roman" w:hAnsi="Times New Roman" w:eastAsia="宋体" w:cs="Times New Roman"/>
      <w:sz w:val="21"/>
      <w:szCs w:val="22"/>
      <w14:ligatures w14:val="none"/>
    </w:rPr>
  </w:style>
  <w:style w:type="character" w:styleId="1010" w:customStyle="1">
    <w:name w:val="正文文本 3 字符"/>
    <w:basedOn w:val="794"/>
    <w:link w:val="803"/>
    <w:qFormat/>
    <w:rPr>
      <w:rFonts w:ascii="仿宋_GB2312" w:hAnsi="Arial" w:eastAsia="仿宋_GB2312" w:cs="Times New Roman"/>
      <w:sz w:val="32"/>
      <w:szCs w:val="32"/>
      <w14:ligatures w14:val="none"/>
    </w:rPr>
  </w:style>
  <w:style w:type="character" w:styleId="1011" w:customStyle="1">
    <w:name w:val="正文文本 字符"/>
    <w:basedOn w:val="794"/>
    <w:link w:val="804"/>
    <w:qFormat/>
    <w:rPr>
      <w:rFonts w:ascii="楷体_GB2312" w:hAnsi="Arial" w:eastAsia="楷体_GB2312" w:cs="Times New Roman"/>
      <w:sz w:val="28"/>
      <w:szCs w:val="28"/>
      <w14:ligatures w14:val="none"/>
    </w:rPr>
  </w:style>
  <w:style w:type="character" w:styleId="1012" w:customStyle="1">
    <w:name w:val="正文文本缩进 字符"/>
    <w:basedOn w:val="794"/>
    <w:link w:val="805"/>
    <w:qFormat/>
    <w:rPr>
      <w:rFonts w:ascii="Times New Roman" w:hAnsi="Times New Roman" w:eastAsia="宋体" w:cs="Times New Roman"/>
      <w:sz w:val="21"/>
      <w:szCs w:val="22"/>
      <w14:ligatures w14:val="none"/>
    </w:rPr>
  </w:style>
  <w:style w:type="character" w:styleId="1013" w:customStyle="1">
    <w:name w:val="纯文本 字符"/>
    <w:basedOn w:val="794"/>
    <w:link w:val="809"/>
    <w:qFormat/>
    <w:rPr>
      <w:rFonts w:ascii="宋体" w:hAnsi="Courier New" w:eastAsia="宋体" w:cs="Courier New"/>
      <w:sz w:val="21"/>
      <w:szCs w:val="21"/>
      <w14:ligatures w14:val="none"/>
    </w:rPr>
  </w:style>
  <w:style w:type="character" w:styleId="1014" w:customStyle="1">
    <w:name w:val="日期 字符"/>
    <w:basedOn w:val="794"/>
    <w:link w:val="811"/>
    <w:qFormat/>
    <w:rPr>
      <w:rFonts w:ascii="Times New Roman" w:hAnsi="Times New Roman" w:eastAsia="宋体" w:cs="Times New Roman"/>
      <w14:ligatures w14:val="none"/>
    </w:rPr>
  </w:style>
  <w:style w:type="character" w:styleId="1015" w:customStyle="1">
    <w:name w:val="正文文本缩进 2 字符"/>
    <w:basedOn w:val="794"/>
    <w:link w:val="812"/>
    <w:qFormat/>
    <w:rPr>
      <w:rFonts w:ascii="Arial" w:hAnsi="Arial" w:eastAsia="仿宋_GB2312" w:cs="Arial"/>
      <w:sz w:val="32"/>
      <w:szCs w:val="32"/>
      <w14:ligatures w14:val="none"/>
    </w:rPr>
  </w:style>
  <w:style w:type="character" w:styleId="1016" w:customStyle="1">
    <w:name w:val="批注框文本 字符"/>
    <w:basedOn w:val="794"/>
    <w:link w:val="814"/>
    <w:semiHidden/>
    <w:qFormat/>
    <w:rPr>
      <w:rFonts w:ascii="Times New Roman" w:hAnsi="Times New Roman" w:eastAsia="宋体" w:cs="Times New Roman"/>
      <w:sz w:val="18"/>
      <w:szCs w:val="18"/>
      <w14:ligatures w14:val="none"/>
    </w:rPr>
  </w:style>
  <w:style w:type="character" w:styleId="1017" w:customStyle="1">
    <w:name w:val="正文文本缩进 3 字符"/>
    <w:basedOn w:val="794"/>
    <w:link w:val="823"/>
    <w:qFormat/>
    <w:rPr>
      <w:rFonts w:ascii="Arial" w:hAnsi="Arial" w:eastAsia="仿宋_GB2312" w:cs="Arial"/>
      <w:color w:val="ffff00"/>
      <w:sz w:val="32"/>
      <w:szCs w:val="32"/>
      <w14:ligatures w14:val="none"/>
    </w:rPr>
  </w:style>
  <w:style w:type="character" w:styleId="1018" w:customStyle="1">
    <w:name w:val="正文文本 2 字符"/>
    <w:basedOn w:val="794"/>
    <w:link w:val="827"/>
    <w:qFormat/>
    <w:rPr>
      <w:rFonts w:ascii="楷体_GB2312" w:hAnsi="Times New Roman" w:eastAsia="楷体_GB2312" w:cs="Times New Roman"/>
      <w:sz w:val="28"/>
      <w:szCs w:val="28"/>
      <w14:ligatures w14:val="none"/>
    </w:rPr>
  </w:style>
  <w:style w:type="character" w:styleId="1019" w:customStyle="1">
    <w:name w:val="批注主题 字符"/>
    <w:basedOn w:val="1009"/>
    <w:link w:val="831"/>
    <w:semiHidden/>
    <w:qFormat/>
    <w:rPr>
      <w:rFonts w:ascii="Times New Roman" w:hAnsi="Times New Roman" w:eastAsia="宋体" w:cs="Times New Roman"/>
      <w:b/>
      <w:bCs/>
      <w:sz w:val="21"/>
      <w:szCs w:val="21"/>
      <w14:ligatures w14:val="none"/>
    </w:rPr>
  </w:style>
  <w:style w:type="character" w:styleId="1020" w:customStyle="1">
    <w:name w:val="正文文本首行缩进 字符"/>
    <w:basedOn w:val="1011"/>
    <w:link w:val="832"/>
    <w:qFormat/>
    <w:rPr>
      <w:rFonts w:ascii="仿宋_GB2312" w:hAnsi="Times New Roman" w:eastAsia="仿宋_GB2312" w:cs="Times New Roman"/>
      <w:sz w:val="30"/>
      <w:szCs w:val="30"/>
      <w14:ligatures w14:val="none"/>
    </w:rPr>
  </w:style>
  <w:style w:type="character" w:styleId="1021" w:customStyle="1">
    <w:name w:val="正文文本首行缩进 2 字符"/>
    <w:basedOn w:val="1012"/>
    <w:link w:val="833"/>
    <w:qFormat/>
    <w:rPr>
      <w:rFonts w:ascii="宋体" w:hAnsi="宋体" w:eastAsia="宋体" w:cs="Times New Roman"/>
      <w:sz w:val="21"/>
      <w:szCs w:val="20"/>
      <w14:ligatures w14:val="none"/>
    </w:rPr>
  </w:style>
  <w:style w:type="character" w:styleId="1022" w:customStyle="1">
    <w:name w:val="font5 Char"/>
    <w:qFormat/>
    <w:rPr>
      <w:rFonts w:ascii="宋体" w:hAnsi="宋体" w:eastAsia="宋体"/>
      <w:sz w:val="28"/>
      <w:szCs w:val="28"/>
      <w:lang w:val="en-US" w:eastAsia="zh-CN" w:bidi="ar-SA"/>
    </w:rPr>
  </w:style>
  <w:style w:type="character" w:styleId="1023" w:customStyle="1">
    <w:name w:val="二级目录 Char"/>
    <w:link w:val="1024"/>
    <w:qFormat/>
    <w:rPr>
      <w:b/>
      <w:sz w:val="30"/>
      <w:szCs w:val="28"/>
    </w:rPr>
  </w:style>
  <w:style w:type="paragraph" w:styleId="1024" w:customStyle="1">
    <w:name w:val="二级目录"/>
    <w:next w:val="784"/>
    <w:link w:val="1023"/>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25" w:customStyle="1">
    <w:name w:val="列出段落 Char"/>
    <w:link w:val="1026"/>
    <w:qFormat/>
    <w:rPr>
      <w:rFonts w:ascii="Calibri" w:hAnsi="Calibri"/>
      <w:lang w:eastAsia="en-US" w:bidi="en-US"/>
    </w:rPr>
  </w:style>
  <w:style w:type="paragraph" w:styleId="1026" w:customStyle="1">
    <w:name w:val="列出段落1"/>
    <w:basedOn w:val="784"/>
    <w:link w:val="1025"/>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7" w:customStyle="1">
    <w:name w:val="Body Text(ch)"/>
    <w:basedOn w:val="784"/>
    <w:next w:val="804"/>
    <w:qFormat/>
    <w:pPr>
      <w:spacing w:after="120"/>
    </w:pPr>
    <w:rPr>
      <w:rFonts w:ascii="宋体" w:hAnsi="Arial"/>
      <w:bCs/>
      <w:iCs/>
      <w:szCs w:val="24"/>
    </w:rPr>
  </w:style>
  <w:style w:type="paragraph" w:styleId="1028" w:customStyle="1">
    <w:name w:val="xl27"/>
    <w:basedOn w:val="78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9" w:customStyle="1">
    <w:name w:val="xl26"/>
    <w:basedOn w:val="7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0" w:customStyle="1">
    <w:name w:val="Char"/>
    <w:basedOn w:val="784"/>
    <w:qFormat/>
    <w:pPr>
      <w:ind w:firstLine="200"/>
      <w:tabs>
        <w:tab w:val="left" w:pos="360" w:leader="none"/>
      </w:tabs>
    </w:pPr>
    <w:rPr>
      <w:sz w:val="28"/>
      <w:szCs w:val="30"/>
    </w:rPr>
  </w:style>
  <w:style w:type="paragraph" w:styleId="1031" w:customStyle="1">
    <w:name w:val="Char1"/>
    <w:basedOn w:val="801"/>
    <w:qFormat/>
    <w:rPr>
      <w:rFonts w:ascii="Tahoma" w:hAnsi="Tahoma"/>
      <w:sz w:val="24"/>
      <w:szCs w:val="24"/>
    </w:rPr>
  </w:style>
  <w:style w:type="paragraph" w:styleId="1032" w:customStyle="1">
    <w:name w:val="普通正文"/>
    <w:basedOn w:val="784"/>
    <w:qFormat/>
    <w:pPr>
      <w:ind w:firstLine="480"/>
      <w:jc w:val="left"/>
      <w:spacing w:before="120" w:after="120" w:line="360" w:lineRule="auto"/>
    </w:pPr>
    <w:rPr>
      <w:rFonts w:ascii="Arial" w:hAnsi="Arial"/>
      <w:sz w:val="24"/>
      <w:szCs w:val="24"/>
    </w:rPr>
  </w:style>
  <w:style w:type="paragraph" w:styleId="1033" w:customStyle="1">
    <w:name w:val="table_lines"/>
    <w:basedOn w:val="784"/>
    <w:qFormat/>
    <w:pPr>
      <w:jc w:val="left"/>
      <w:widowControl/>
    </w:pPr>
    <w:rPr>
      <w:sz w:val="20"/>
      <w:szCs w:val="20"/>
      <w:lang w:val="de-DE" w:eastAsia="de-DE"/>
    </w:rPr>
  </w:style>
  <w:style w:type="paragraph" w:styleId="1034" w:customStyle="1">
    <w:name w:val="附录1"/>
    <w:qFormat/>
    <w:pPr>
      <w:ind w:left="907" w:hanging="907"/>
      <w:spacing w:before="240" w:line="600" w:lineRule="atLeast"/>
      <w:tabs>
        <w:tab w:val="left" w:pos="907" w:leader="none"/>
      </w:tabs>
    </w:pPr>
    <w:rPr>
      <w:b/>
      <w:i/>
      <w:sz w:val="28"/>
    </w:rPr>
  </w:style>
  <w:style w:type="paragraph" w:styleId="1035" w:customStyle="1">
    <w:name w:val="font7"/>
    <w:basedOn w:val="784"/>
    <w:qFormat/>
    <w:pPr>
      <w:jc w:val="left"/>
      <w:spacing w:before="100" w:beforeAutospacing="1" w:after="100" w:afterAutospacing="1"/>
      <w:widowControl/>
    </w:pPr>
    <w:rPr>
      <w:rFonts w:hint="eastAsia" w:ascii="宋体" w:hAnsi="宋体"/>
      <w:sz w:val="18"/>
      <w:szCs w:val="18"/>
    </w:rPr>
  </w:style>
  <w:style w:type="paragraph" w:styleId="1036" w:customStyle="1">
    <w:name w:val="Char Char Char Char"/>
    <w:basedOn w:val="801"/>
    <w:qFormat/>
    <w:pPr>
      <w:spacing w:line="360" w:lineRule="auto"/>
    </w:pPr>
    <w:rPr>
      <w:rFonts w:ascii="Tahoma" w:hAnsi="Tahoma"/>
      <w:sz w:val="24"/>
      <w:szCs w:val="24"/>
    </w:rPr>
  </w:style>
  <w:style w:type="paragraph" w:styleId="1037" w:customStyle="1">
    <w:name w:val="4"/>
    <w:basedOn w:val="784"/>
    <w:next w:val="823"/>
    <w:qFormat/>
    <w:pPr>
      <w:ind w:firstLine="420"/>
      <w:spacing w:line="360" w:lineRule="auto"/>
    </w:pPr>
    <w:rPr>
      <w:color w:val="ff0000"/>
      <w:sz w:val="24"/>
      <w:szCs w:val="24"/>
    </w:rPr>
  </w:style>
  <w:style w:type="paragraph" w:styleId="1038" w:customStyle="1">
    <w:name w:val="普通 (Web)"/>
    <w:basedOn w:val="784"/>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84"/>
    <w:qFormat/>
    <w:pPr>
      <w:spacing w:line="360" w:lineRule="auto"/>
    </w:pPr>
    <w:rPr>
      <w:sz w:val="24"/>
      <w:szCs w:val="20"/>
    </w:rPr>
  </w:style>
  <w:style w:type="paragraph" w:styleId="1040" w:customStyle="1">
    <w:name w:val="样式1"/>
    <w:basedOn w:val="784"/>
    <w:qFormat/>
    <w:pPr>
      <w:numPr>
        <w:numId w:val="2"/>
      </w:numPr>
    </w:pPr>
    <w:rPr>
      <w:rFonts w:ascii="宋体" w:hAnsi="宋体"/>
      <w:szCs w:val="21"/>
    </w:rPr>
  </w:style>
  <w:style w:type="paragraph" w:styleId="1041" w:customStyle="1">
    <w:name w:val="font6"/>
    <w:basedOn w:val="784"/>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8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84"/>
    <w:next w:val="78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84"/>
    <w:next w:val="784"/>
    <w:qFormat/>
    <w:pPr>
      <w:ind w:firstLine="624"/>
      <w:spacing w:line="590" w:lineRule="atLeast"/>
    </w:pPr>
    <w:rPr>
      <w:rFonts w:ascii="方正黑体_GBK" w:eastAsia="方正黑体_GBK"/>
      <w:sz w:val="32"/>
      <w:szCs w:val="32"/>
    </w:rPr>
  </w:style>
  <w:style w:type="paragraph" w:styleId="1045" w:customStyle="1">
    <w:name w:val="xl24"/>
    <w:basedOn w:val="78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6" w:customStyle="1">
    <w:name w:val="xl29"/>
    <w:basedOn w:val="78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7" w:customStyle="1">
    <w:name w:val="Char Char Char Char Char Char Char Char"/>
    <w:basedOn w:val="784"/>
    <w:qFormat/>
    <w:pPr>
      <w:jc w:val="left"/>
      <w:spacing w:after="160" w:line="240" w:lineRule="exact"/>
      <w:widowControl/>
    </w:pPr>
    <w:rPr>
      <w:rFonts w:ascii="Verdana" w:hAnsi="Verdana"/>
      <w:sz w:val="20"/>
      <w:szCs w:val="20"/>
      <w:lang w:eastAsia="en-US"/>
    </w:rPr>
  </w:style>
  <w:style w:type="paragraph" w:styleId="1048" w:customStyle="1">
    <w:name w:val="xl28"/>
    <w:basedOn w:val="78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9" w:customStyle="1">
    <w:name w:val="Char Char Char Char Char Char Char Char1"/>
    <w:basedOn w:val="784"/>
    <w:qFormat/>
    <w:pPr>
      <w:jc w:val="left"/>
      <w:spacing w:after="160" w:line="240" w:lineRule="exact"/>
      <w:widowControl/>
    </w:pPr>
    <w:rPr>
      <w:rFonts w:ascii="Verdana" w:hAnsi="Verdana"/>
      <w:sz w:val="20"/>
      <w:szCs w:val="20"/>
      <w:lang w:eastAsia="en-US"/>
    </w:rPr>
  </w:style>
  <w:style w:type="paragraph" w:styleId="1050" w:customStyle="1">
    <w:name w:val="xl30"/>
    <w:basedOn w:val="784"/>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801"/>
    <w:qFormat/>
    <w:pPr>
      <w:spacing w:line="360" w:lineRule="auto"/>
    </w:pPr>
    <w:rPr>
      <w:rFonts w:ascii="Tahoma" w:hAnsi="Tahoma"/>
      <w:sz w:val="24"/>
      <w:szCs w:val="24"/>
    </w:rPr>
  </w:style>
  <w:style w:type="paragraph" w:styleId="1052" w:customStyle="1">
    <w:name w:val="table_1stline"/>
    <w:basedOn w:val="784"/>
    <w:qFormat/>
    <w:pPr>
      <w:jc w:val="left"/>
      <w:spacing w:before="120"/>
      <w:widowControl/>
    </w:pPr>
    <w:rPr>
      <w:bCs/>
      <w:sz w:val="20"/>
      <w:szCs w:val="20"/>
      <w:lang w:val="de-DE" w:eastAsia="de-DE"/>
    </w:rPr>
  </w:style>
  <w:style w:type="paragraph" w:styleId="1053" w:customStyle="1">
    <w:name w:val="font5"/>
    <w:basedOn w:val="784"/>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84"/>
    <w:next w:val="78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sz w:val="21"/>
      <w:szCs w:val="21"/>
    </w:rPr>
  </w:style>
  <w:style w:type="paragraph" w:styleId="1056">
    <w:name w:val="No Spacing"/>
    <w:uiPriority w:val="99"/>
    <w:qFormat/>
    <w:pPr>
      <w:jc w:val="both"/>
      <w:widowControl w:val="off"/>
    </w:pPr>
    <w:rPr>
      <w:sz w:val="21"/>
      <w:szCs w:val="21"/>
    </w:rPr>
  </w:style>
  <w:style w:type="paragraph" w:styleId="1057" w:customStyle="1">
    <w:name w:val="AONormal"/>
    <w:qFormat/>
    <w:pPr>
      <w:ind w:firstLine="440"/>
      <w:spacing w:line="400" w:lineRule="exact"/>
    </w:pPr>
    <w:rPr>
      <w:rFonts w:ascii="华文楷体" w:hAnsi="华文楷体" w:eastAsia="华文楷体" w:cs="华文楷体"/>
      <w:sz w:val="22"/>
      <w:szCs w:val="21"/>
    </w:rPr>
  </w:style>
  <w:style w:type="paragraph" w:styleId="1058" w:customStyle="1">
    <w:name w:val="修订2"/>
    <w:hidden/>
    <w:uiPriority w:val="99"/>
    <w:unhideWhenUsed/>
    <w:qFormat/>
    <w:rPr>
      <w:sz w:val="21"/>
      <w:szCs w:val="22"/>
    </w:rPr>
  </w:style>
  <w:style w:type="paragraph" w:styleId="1059" w:customStyle="1">
    <w:name w:val="修订3"/>
    <w:hidden/>
    <w:uiPriority w:val="99"/>
    <w:unhideWhenUsed/>
    <w:qFormat/>
    <w:rPr>
      <w:sz w:val="21"/>
      <w:szCs w:val="22"/>
    </w:rPr>
  </w:style>
  <w:style w:type="paragraph" w:styleId="1060" w:customStyle="1">
    <w:name w:val="修订4"/>
    <w:hidden/>
    <w:uiPriority w:val="99"/>
    <w:unhideWhenUsed/>
    <w:qFormat/>
    <w:rPr>
      <w:sz w:val="21"/>
      <w:szCs w:val="22"/>
    </w:rPr>
  </w:style>
  <w:style w:type="paragraph" w:styleId="1061" w:customStyle="1">
    <w:name w:val="修订5"/>
    <w:hidden/>
    <w:uiPriority w:val="99"/>
    <w:unhideWhenUsed/>
    <w:qFormat/>
    <w:rPr>
      <w:sz w:val="21"/>
      <w:szCs w:val="22"/>
    </w:rPr>
  </w:style>
  <w:style w:type="paragraph" w:styleId="1062" w:customStyle="1">
    <w:name w:val="修订6"/>
    <w:hidden/>
    <w:uiPriority w:val="99"/>
    <w:unhideWhenUsed/>
    <w:qFormat/>
    <w:rPr>
      <w:sz w:val="21"/>
      <w:szCs w:val="22"/>
    </w:rPr>
  </w:style>
  <w:style w:type="paragraph" w:styleId="1063" w:customStyle="1">
    <w:name w:val="修订7"/>
    <w:hidden/>
    <w:uiPriority w:val="99"/>
    <w:unhideWhenUsed/>
    <w:qFormat/>
    <w:rPr>
      <w:sz w:val="21"/>
      <w:szCs w:val="22"/>
    </w:rPr>
  </w:style>
  <w:style w:type="paragraph" w:styleId="106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DE83A5E-B784-4111-9BD2-3191E4DA6A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Siemens Healthineers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Yang</dc:creator>
  <cp:lastModifiedBy>付钢</cp:lastModifiedBy>
  <cp:revision>25</cp:revision>
  <dcterms:created xsi:type="dcterms:W3CDTF">2026-09-16T08:11:00Z</dcterms:created>
  <dcterms:modified xsi:type="dcterms:W3CDTF">2026-10-12T01:27:56Z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eyJoZGlkIjoiNWVjNWM4N2ZlZDE5ZDJlMjg1MmRlNjI5MDdiZDdhMzgiLCJ1c2VySWQiOiIxNjMwMjIxNTI2In0=</vt:lpwstr>
  </property>
  <property fmtid="{D5CDD505-2E9C-101B-9397-08002B2CF9AE}" pid="3" name="KSOProductBuildVer">
    <vt:lpwstr>2052-12.1.0.28505</vt:lpwstr>
  </property>
  <property fmtid="{D5CDD505-2E9C-101B-9397-08002B2CF9AE}" pid="4" name="ICV">
    <vt:lpwstr>D3EFEA3936F347559A82E82B8A3DCD12_13</vt:lpwstr>
  </property>
</Properties>
</file>