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31"/>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3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130"/>
        <w:rPr>
          <w:rFonts w:hint="eastAsia" w:ascii="宋体" w:hAnsi="宋体" w:cs="宋体"/>
          <w:color w:val="auto"/>
          <w:highlight w:val="none"/>
        </w:rPr>
      </w:pPr>
      <w:r>
        <w:rPr>
          <w:rFonts w:hint="eastAsia" w:ascii="宋体" w:hAnsi="宋体" w:cs="宋体"/>
          <w:color w:val="auto"/>
          <w:highlight w:val="none"/>
        </w:rPr>
      </w:r>
      <w:r/>
    </w:p>
    <w:p>
      <w:pPr>
        <w:pStyle w:val="1130"/>
        <w:ind w:left="0"/>
        <w:rPr>
          <w:rFonts w:hint="eastAsia" w:ascii="宋体" w:hAnsi="宋体" w:cs="宋体"/>
          <w:color w:val="auto"/>
          <w:highlight w:val="none"/>
        </w:rPr>
      </w:pPr>
      <w:r>
        <w:rPr>
          <w:rFonts w:hint="eastAsia" w:ascii="宋体" w:hAnsi="宋体" w:cs="宋体"/>
          <w:color w:val="auto"/>
          <w:highlight w:val="none"/>
        </w:rPr>
      </w:r>
      <w:r/>
    </w:p>
    <w:p>
      <w:pPr>
        <w:pStyle w:val="1131"/>
        <w:rPr>
          <w:rFonts w:hint="eastAsia" w:ascii="宋体" w:hAnsi="宋体" w:cs="宋体"/>
          <w:color w:val="auto"/>
          <w:highlight w:val="none"/>
        </w:rPr>
      </w:pPr>
      <w:r>
        <w:rPr>
          <w:rFonts w:hint="eastAsia" w:ascii="宋体" w:hAnsi="宋体" w:cs="宋体"/>
          <w:color w:val="auto"/>
          <w:highlight w:val="none"/>
        </w:rPr>
      </w:r>
      <w:r/>
    </w:p>
    <w:p>
      <w:pPr>
        <w:pStyle w:val="1131"/>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JSZC-320322-JSZR-C2026-0070</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沛县城市更新专项规划、片区策划和2026年度县城体检</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沛县住房和城乡建设局</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1130"/>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131"/>
        <w:rPr>
          <w:rFonts w:hint="eastAsia" w:ascii="宋体" w:hAnsi="宋体" w:cs="宋体"/>
          <w:color w:val="auto"/>
          <w:highlight w:val="none"/>
        </w:rPr>
      </w:pPr>
      <w:r>
        <w:rPr>
          <w:rFonts w:hint="eastAsia" w:ascii="宋体" w:hAnsi="宋体" w:cs="宋体"/>
          <w:color w:val="auto"/>
          <w:highlight w:val="none"/>
        </w:rPr>
      </w:r>
      <w:r/>
    </w:p>
    <w:p>
      <w:pPr>
        <w:ind w:right="-159"/>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ind w:right="-159"/>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采购代理机构：</w:t>
      </w:r>
      <w:r>
        <w:rPr>
          <w:rFonts w:hint="eastAsia" w:ascii="宋体" w:hAnsi="宋体" w:cs="宋体"/>
          <w:color w:val="auto"/>
          <w:sz w:val="30"/>
          <w:highlight w:val="none"/>
          <w:lang w:eastAsia="zh-CN"/>
        </w:rPr>
        <w:t xml:space="preserve">江苏中瑞建设项目管理有限公司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二〇二六年</w:t>
      </w:r>
      <w:r>
        <w:rPr>
          <w:rFonts w:hint="eastAsia" w:ascii="宋体" w:hAnsi="宋体" w:cs="宋体"/>
          <w:bCs/>
          <w:color w:val="auto"/>
          <w:sz w:val="30"/>
          <w:highlight w:val="none"/>
          <w:lang w:val="en-US" w:eastAsia="zh-CN"/>
        </w:rPr>
        <w:t xml:space="preserve">十</w:t>
      </w:r>
      <w:r>
        <w:rPr>
          <w:rFonts w:hint="eastAsia" w:ascii="宋体" w:hAnsi="宋体" w:cs="宋体"/>
          <w:bCs/>
          <w:color w:val="auto"/>
          <w:sz w:val="30"/>
          <w:highlight w:val="none"/>
        </w:rPr>
        <w:t xml:space="preserve">月</w:t>
      </w:r>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cs="宋体"/>
          <w:color w:val="auto"/>
          <w:sz w:val="24"/>
          <w:highlight w:val="none"/>
          <w:u w:val="single"/>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JSZC-320322-JSZR-C2026-0070</w:t>
      </w:r>
      <w:r>
        <w:rPr>
          <w:rFonts w:hint="eastAsia" w:ascii="宋体" w:hAnsi="宋体" w:cs="宋体"/>
          <w:b/>
          <w:bCs/>
          <w:color w:val="auto"/>
          <w:sz w:val="24"/>
          <w:highlight w:val="none"/>
        </w:rPr>
        <w:t xml:space="preserve">  </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none"/>
        </w:rPr>
        <w:t xml:space="preserve">受</w:t>
      </w:r>
      <w:r>
        <w:rPr>
          <w:rFonts w:hint="eastAsia" w:ascii="宋体" w:hAnsi="宋体" w:cs="宋体"/>
          <w:color w:val="auto"/>
          <w:sz w:val="24"/>
          <w:highlight w:val="none"/>
          <w:u w:val="single"/>
          <w:lang w:eastAsia="zh-CN"/>
        </w:rPr>
        <w:t xml:space="preserve">沛县住房和城乡建设局</w:t>
      </w:r>
      <w:r>
        <w:rPr>
          <w:rFonts w:hint="eastAsia" w:ascii="宋体" w:hAnsi="宋体" w:cs="宋体"/>
          <w:color w:val="auto"/>
          <w:sz w:val="24"/>
          <w:highlight w:val="none"/>
          <w:u w:val="single"/>
        </w:rPr>
        <w:t xml:space="preserve">（采购人）</w:t>
      </w:r>
      <w:r>
        <w:rPr>
          <w:rFonts w:hint="eastAsia" w:ascii="宋体" w:hAnsi="宋体" w:cs="宋体"/>
          <w:color w:val="auto"/>
          <w:sz w:val="24"/>
          <w:highlight w:val="none"/>
          <w:u w:val="none"/>
        </w:rPr>
        <w:t xml:space="preserve">委托，</w:t>
      </w:r>
      <w:r>
        <w:rPr>
          <w:rFonts w:hint="eastAsia" w:ascii="宋体" w:hAnsi="宋体" w:cs="宋体"/>
          <w:color w:val="auto"/>
          <w:sz w:val="24"/>
          <w:highlight w:val="none"/>
          <w:u w:val="single"/>
          <w:lang w:eastAsia="zh-CN"/>
        </w:rPr>
        <w:t xml:space="preserve">江苏中瑞建设项目管理有限公司</w:t>
      </w:r>
      <w:r>
        <w:rPr>
          <w:rFonts w:hint="eastAsia" w:ascii="宋体" w:hAnsi="宋体" w:cs="宋体"/>
          <w:color w:val="auto"/>
          <w:sz w:val="24"/>
          <w:highlight w:val="none"/>
          <w:u w:val="single"/>
        </w:rPr>
        <w:t xml:space="preserve">（采购代理机构</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沛县城市更新专项规划、片区策划和2026年度县城体检</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沛县住房和城乡建设局</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沛县城市更新专项规划、片区策划和2026年度县城体检</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JSZC-320322-JSZR-C2026-0070</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见《磋商文件》附件6、《拟签订的合同文本》。</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采购人或采购代理机构</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spacing w:before="0" w:after="0" w:line="360" w:lineRule="auto"/>
        <w:rPr>
          <w:rFonts w:hint="eastAsia" w:ascii="宋体" w:hAnsi="宋体" w:cs="宋体"/>
          <w:b/>
          <w:bCs/>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t xml:space="preserve">说明：</w:t>
      </w:r>
      <w:r/>
    </w:p>
    <w:p>
      <w:pPr>
        <w:ind w:left="0" w:right="0" w:firstLine="0"/>
        <w:spacing w:before="0" w:after="0" w:line="360" w:lineRule="auto"/>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1、本项目不允许分包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禁止转包</w:t>
      </w:r>
      <w:r>
        <w:rPr>
          <w:rFonts w:hint="eastAsia" w:ascii="宋体" w:hAnsi="宋体" w:eastAsia="宋体" w:cs="宋体"/>
          <w:color w:val="auto"/>
          <w:sz w:val="24"/>
          <w:highlight w:val="none"/>
        </w:rPr>
        <w:t xml:space="preserve">。</w:t>
      </w:r>
      <w:r/>
    </w:p>
    <w:p>
      <w:pPr>
        <w:ind w:left="0" w:right="0" w:firstLine="0"/>
        <w:spacing w:before="0" w:after="0" w:line="360" w:lineRule="auto"/>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2、本项目不接受联合体参与采购活动。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bCs/>
          <w:color w:val="auto"/>
          <w:sz w:val="24"/>
          <w:highlight w:val="none"/>
          <w:lang w:eastAsia="zh-CN"/>
        </w:rPr>
        <w:t xml:space="preserve">https://jszfcg.jsczt.cn/jszc/login</w:t>
      </w:r>
      <w:r>
        <w:rPr>
          <w:rFonts w:hint="eastAsia" w:ascii="宋体" w:hAnsi="宋体" w:cs="宋体"/>
          <w:bCs/>
          <w:color w:val="auto"/>
          <w:sz w:val="24"/>
          <w:highlight w:val="none"/>
        </w:rPr>
        <w:t xml:space="preserve">；或进入徐州政府采购网（网址：https://czj.xz.gov.cn/zfcg/index.html）--办事指南--供应商--供应商登录入口，点击“苏采云”进入系统，按照要求通过互联网方式提交首次响应文件。</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958"/>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9</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958"/>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lang w:val="en-US" w:eastAsia="zh-CN"/>
        </w:rPr>
        <w:t xml:space="preserve">9</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958"/>
        <w:numPr>
          <w:ilvl w:val="0"/>
          <w:numId w:val="2"/>
        </w:num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提交地点：</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eastAsia="zh-CN"/>
        </w:rPr>
        <w:t xml:space="preserve">https://jszfcg.jsczt.cn/jszc/login</w:t>
      </w:r>
      <w:r>
        <w:rPr>
          <w:rFonts w:hint="eastAsia" w:ascii="宋体" w:hAnsi="宋体" w:cs="宋体"/>
          <w:color w:val="auto"/>
          <w:sz w:val="24"/>
          <w:highlight w:val="none"/>
        </w:rPr>
        <w:t xml:space="preserve">）“开标大厅”</w:t>
      </w:r>
      <w:r>
        <w:rPr>
          <w:rFonts w:hint="eastAsia" w:ascii="宋体" w:hAnsi="宋体" w:cs="宋体"/>
          <w:bCs/>
          <w:color w:val="auto"/>
          <w:sz w:val="24"/>
          <w:highlight w:val="none"/>
        </w:rPr>
        <w:t xml:space="preserve">或进入徐州政府采购网（网址：https://czj.xz.gov.cn/zfcg/index.html）--办事指南--供应商--供应商登录入口，</w:t>
      </w:r>
      <w:r>
        <w:rPr>
          <w:rFonts w:hint="eastAsia" w:ascii="宋体" w:hAnsi="宋体" w:cs="宋体"/>
          <w:color w:val="auto"/>
          <w:sz w:val="24"/>
          <w:highlight w:val="none"/>
        </w:rPr>
        <w:t xml:space="preserve">点击“苏采云”进入系统“开标大厅”。 </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（四）首次响应文件开启时间：2026年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9</w:t>
      </w:r>
      <w:r>
        <w:rPr>
          <w:rFonts w:hint="eastAsia" w:ascii="宋体" w:hAnsi="宋体" w:cs="宋体"/>
          <w:b/>
          <w:bCs/>
          <w:color w:val="auto"/>
          <w:sz w:val="24"/>
          <w:highlight w:val="none"/>
        </w:rPr>
        <w:t xml:space="preserve">日上午09：30。</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eastAsia="zh-CN"/>
        </w:rPr>
        <w:t xml:space="preserve">https://jszfcg.jsczt.cn/jszc/login</w:t>
      </w:r>
      <w:r>
        <w:rPr>
          <w:rFonts w:hint="eastAsia" w:ascii="宋体" w:hAnsi="宋体" w:cs="宋体"/>
          <w:color w:val="auto"/>
          <w:sz w:val="24"/>
          <w:highlight w:val="none"/>
        </w:rPr>
        <w:t xml:space="preserve">）“开标大厅”或进入徐州政府采购网（网址：https://czj.xz.gov.cn/zfcg/index.html）-</w:t>
      </w:r>
      <w:r>
        <w:rPr>
          <w:rFonts w:hint="eastAsia" w:ascii="宋体" w:hAnsi="宋体" w:cs="宋体"/>
          <w:bCs/>
          <w:color w:val="auto"/>
          <w:sz w:val="24"/>
          <w:highlight w:val="none"/>
        </w:rPr>
        <w:t xml:space="preserve">办事指南--供应商--供应商登录入口</w:t>
      </w:r>
      <w:r>
        <w:rPr>
          <w:rFonts w:hint="eastAsia" w:ascii="宋体" w:hAnsi="宋体" w:cs="宋体"/>
          <w:color w:val="auto"/>
          <w:sz w:val="24"/>
          <w:highlight w:val="none"/>
        </w:rPr>
        <w:t xml:space="preserve">，点击“苏采云”进入系统“开标大厅”。</w:t>
      </w:r>
      <w:r/>
    </w:p>
    <w:p>
      <w:pPr>
        <w:pStyle w:val="958"/>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8"/>
        <w:jc w:val="left"/>
        <w:spacing w:line="360" w:lineRule="auto"/>
        <w:shd w:val="clear" w:color="auto" w:fill="ffffff"/>
        <w:widowControl/>
        <w:rPr>
          <w:rFonts w:hint="eastAsia" w:ascii="宋体" w:hAnsi="宋体" w:cs="宋体"/>
          <w:color w:val="auto"/>
          <w:sz w:val="24"/>
          <w:highlight w:val="none"/>
        </w:rPr>
        <w:outlineLvl w:val="0"/>
      </w:pPr>
      <w:r>
        <w:rPr>
          <w:rFonts w:hint="eastAsia" w:ascii="宋体" w:hAnsi="宋体" w:cs="宋体"/>
          <w:b/>
          <w:bCs/>
          <w:color w:val="auto"/>
          <w:sz w:val="24"/>
          <w:highlight w:val="none"/>
        </w:rPr>
        <w:t xml:space="preserve">（七）</w:t>
      </w:r>
      <w:r>
        <w:rPr>
          <w:rFonts w:hint="eastAsia" w:ascii="宋体" w:hAnsi="宋体" w:cs="宋体"/>
          <w:color w:val="auto"/>
          <w:sz w:val="24"/>
          <w:highlight w:val="none"/>
        </w:rPr>
        <w:t xml:space="preserve">不接受不按要求加盖公章（电子签章）的首次响应文件。电子签章相关要求见“苏采云”系统。</w:t>
      </w:r>
      <w:r/>
    </w:p>
    <w:p>
      <w:pPr>
        <w:pStyle w:val="958"/>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bCs/>
          <w:color w:val="auto"/>
          <w:sz w:val="24"/>
          <w:highlight w:val="none"/>
        </w:rPr>
        <w:t xml:space="preserve">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58"/>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采购文件（后缀名为“.kedt”）、供应商操作手册及政府采购客户端工具可通过“苏采云”系统（网址：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hint="eastAsia" w:ascii="宋体" w:hAnsi="宋体" w:cs="宋体"/>
          <w:color w:val="auto"/>
          <w:sz w:val="24"/>
          <w:highlight w:val="none"/>
          <w:lang w:eastAsia="zh-CN"/>
        </w:rPr>
        <w:t xml:space="preserve">https://jszfcg.jsczt.cn/jszc/login</w:t>
      </w:r>
      <w:r>
        <w:rPr>
          <w:color w:val="auto"/>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（十）相关说明：</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95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95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w:t>
      </w:r>
      <w:r>
        <w:rPr>
          <w:rFonts w:hint="eastAsia" w:ascii="宋体" w:hAnsi="宋体" w:cs="宋体"/>
          <w:color w:val="auto"/>
          <w:sz w:val="24"/>
          <w:highlight w:val="none"/>
        </w:rPr>
        <w:t xml:space="preserve">（加盖电子签章，政府采购客户端工具输入报价自动生成）；</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2、供应商认为需要提供的其他资料（如有）。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（二）资格条件（1～7项必须提供，否则响应无效）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ascii="宋体" w:hAnsi="宋体" w:eastAsia="宋体" w:cs="宋体"/>
          <w:color w:val="auto"/>
          <w:sz w:val="24"/>
          <w:highlight w:val="none"/>
        </w:rPr>
        <w:t xml:space="preserve">具有独立承担民事责任的能力，</w:t>
      </w:r>
      <w:r>
        <w:rPr>
          <w:rFonts w:hint="eastAsia" w:ascii="宋体" w:hAnsi="宋体" w:cs="宋体"/>
          <w:b/>
          <w:bCs/>
          <w:color w:val="auto"/>
          <w:sz w:val="24"/>
          <w:highlight w:val="none"/>
        </w:rPr>
        <w:t xml:space="preserve">供应商合法有效的法人的营业执照扫描件或法人证书扫描件；</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Cs/>
          <w:color w:val="auto"/>
          <w:sz w:val="24"/>
          <w:highlight w:val="none"/>
        </w:rPr>
        <w:t xml:space="preserve">2、供应商具有良好的商业信誉和健全的财务会计制度，</w:t>
      </w:r>
      <w:r>
        <w:rPr>
          <w:rFonts w:hint="eastAsia" w:ascii="宋体" w:hAnsi="宋体" w:cs="宋体"/>
          <w:b/>
          <w:color w:val="auto"/>
          <w:sz w:val="24"/>
          <w:highlight w:val="none"/>
        </w:rPr>
        <w:t xml:space="preserve">提供供应商的提交首次响应文件时间前六个月内（不含“首次响应文件提交的截止时间”当月）任何时间的资产负债表、利润表扫描件各一份，或其银行出具的资信证书（扫描件），或其2025年度经审计的财务报告（应包括审计报告正文、资产负债表、现金流量表、利润表（或损益表）扫描件加盖电子签章；</w:t>
      </w:r>
      <w:r/>
    </w:p>
    <w:p>
      <w:pPr>
        <w:ind w:right="26"/>
        <w:jc w:val="left"/>
        <w:spacing w:line="360" w:lineRule="auto"/>
        <w:widowControl/>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3、供应商有依法缴纳税收和社会保障资金的良好记录，提供供应商的提交首次响应文件时间前六个月内（不含“首次响应文件提交的截止时间”当月）任意一个月份的纳税凭据扫描件加盖电子签章（依法免税的应提供相应文件说明）</w:t>
      </w:r>
      <w:r>
        <w:rPr>
          <w:rFonts w:hint="eastAsia" w:ascii="宋体" w:hAnsi="宋体" w:cs="宋体"/>
          <w:b/>
          <w:color w:val="auto"/>
          <w:sz w:val="24"/>
          <w:highlight w:val="none"/>
          <w:lang w:val="en-US" w:eastAsia="zh-CN"/>
        </w:rPr>
        <w:t xml:space="preserve">和</w:t>
      </w:r>
      <w:r>
        <w:rPr>
          <w:rFonts w:hint="eastAsia" w:ascii="宋体" w:hAnsi="宋体" w:cs="宋体"/>
          <w:b/>
          <w:color w:val="auto"/>
          <w:sz w:val="24"/>
          <w:highlight w:val="none"/>
        </w:rPr>
        <w:t xml:space="preserve">依法缴纳社会保障资金的凭据扫描件加盖电子签章；</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、具备履行合同所必需的设备和专业技术能力，即提供具备履行合同所必需的设备和专业技术能力的书面声明(加</w:t>
      </w:r>
      <w:r>
        <w:rPr>
          <w:rFonts w:hint="eastAsia" w:ascii="宋体" w:hAnsi="宋体" w:cs="宋体"/>
          <w:b/>
          <w:bCs/>
          <w:color w:val="auto"/>
          <w:sz w:val="24"/>
          <w:highlight w:val="none"/>
          <w:lang w:val="en-US" w:eastAsia="zh-CN"/>
        </w:rPr>
        <w:t xml:space="preserve">盖</w:t>
      </w:r>
      <w:r>
        <w:rPr>
          <w:rFonts w:hint="eastAsia" w:ascii="宋体" w:hAnsi="宋体" w:cs="宋体"/>
          <w:b/>
          <w:bCs/>
          <w:color w:val="auto"/>
          <w:sz w:val="24"/>
          <w:highlight w:val="none"/>
        </w:rPr>
        <w:t xml:space="preserve">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、供应商参加采购活动前3年内在经营活动中没有重大违法记录的书面声明(加盖电子签章，格式见《磋商文件》附件)；</w:t>
      </w:r>
      <w:r/>
    </w:p>
    <w:p>
      <w:pPr>
        <w:ind w:right="-334"/>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、本项目特定资格要求：供应商具备城乡规划</w:t>
      </w:r>
      <w:r>
        <w:rPr>
          <w:rFonts w:hint="eastAsia" w:ascii="宋体" w:hAnsi="宋体" w:cs="宋体"/>
          <w:b/>
          <w:color w:val="auto"/>
          <w:sz w:val="24"/>
          <w:highlight w:val="none"/>
          <w:lang w:val="en-US" w:eastAsia="zh-CN"/>
        </w:rPr>
        <w:t xml:space="preserve">编制</w:t>
      </w:r>
      <w:r>
        <w:rPr>
          <w:rFonts w:hint="eastAsia" w:ascii="宋体" w:hAnsi="宋体" w:cs="宋体"/>
          <w:b/>
          <w:color w:val="auto"/>
          <w:sz w:val="24"/>
          <w:highlight w:val="none"/>
        </w:rPr>
        <w:t xml:space="preserve">乙级及以上资质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即提供证书原件扫描件加盖电子签章；</w:t>
      </w:r>
      <w:r/>
    </w:p>
    <w:p>
      <w:pPr>
        <w:ind w:right="-334"/>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7、法律、行政法规规定的其他条件</w:t>
      </w:r>
      <w:r/>
    </w:p>
    <w:p>
      <w:pPr>
        <w:ind w:right="-334"/>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7.1供应商信用信息满足磋商文件要求；</w:t>
      </w:r>
      <w:r/>
    </w:p>
    <w:p>
      <w:pPr>
        <w:ind w:right="-334"/>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7.2本项目不接受联合体参与采购活动，成交后不得转包或分包（提供承诺书，格式自拟）；</w:t>
      </w:r>
      <w:r/>
    </w:p>
    <w:p>
      <w:pPr>
        <w:ind w:right="-334"/>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7.3单位负责人为同一人或者存在直接控股、管理关系的不同供应商，不得参加同一合同项下的政府采购活动（提供承诺书，格式自拟）；</w:t>
      </w:r>
      <w:r/>
    </w:p>
    <w:p>
      <w:pPr>
        <w:ind w:right="-334"/>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7.4为本采购项目提供整体设计、规范编制或者项目管理、监理、检测等服务的供应商，不得再参加本采购项目的采购活动（提供承诺书，格式自拟）；</w:t>
      </w:r>
      <w:r/>
    </w:p>
    <w:p>
      <w:pPr>
        <w:ind w:right="-334"/>
        <w:spacing w:line="360" w:lineRule="auto"/>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7.5法律、行政法规、磋商文件规定的其他要求。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right="-334"/>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、分项价格表（加盖电子签章，格式见《磋商文件》附件）；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授权委托书（后附授权委托书中受托人身份证原件的扫描件）（提供原件的扫描件，格式见《磋商文件》附件）；（特别提醒：如公司法定代表人直接参与本项目投标的，提供法定代表人资格证明或声明（格式自拟，并附身份证扫描件），可不单独提供《授权委托书》）。</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、偏离表（加盖电子签章，格式见《磋商文件》附件）；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1、技术</w:t>
      </w:r>
      <w:r>
        <w:rPr>
          <w:rFonts w:hint="eastAsia" w:ascii="宋体" w:hAnsi="宋体" w:cs="宋体"/>
          <w:b w:val="0"/>
          <w:bCs w:val="0"/>
          <w:color w:val="auto"/>
          <w:sz w:val="24"/>
          <w:highlight w:val="none"/>
          <w:lang w:val="en-US" w:eastAsia="zh-CN"/>
        </w:rPr>
        <w:t xml:space="preserve">部分</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要求见《磋商文件》附件1、《评分细则》及附件：2、《项目要求（采购需求）》）；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、评分细则中评分得分需提供的相关证明文件或供应商认为需要提供的其他资料。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ind w:firstLine="0"/>
        <w:spacing w:line="360" w:lineRule="auto"/>
        <w:widowControl/>
        <w:rPr>
          <w:rFonts w:hint="eastAsia"/>
          <w:color w:val="auto"/>
          <w:highlight w:val="none"/>
        </w:rPr>
      </w:pPr>
      <w:r>
        <w:rPr>
          <w:rFonts w:hint="eastAsia" w:ascii="宋体" w:hAnsi="宋体" w:cs="宋体"/>
          <w:color w:val="auto"/>
          <w:sz w:val="24"/>
          <w:highlight w:val="none"/>
          <w:lang w:val="en-US" w:eastAsia="zh-CN"/>
        </w:rPr>
        <w:t xml:space="preserve">1</w:t>
      </w:r>
      <w:r>
        <w:rPr>
          <w:rStyle w:val="887"/>
          <w:rFonts w:hint="eastAsia" w:ascii="宋体" w:hAnsi="宋体" w:cs="宋体"/>
          <w:color w:val="auto"/>
          <w:sz w:val="24"/>
          <w:highlight w:val="none"/>
        </w:rPr>
        <w:t xml:space="preserve">、</w:t>
      </w:r>
      <w:r>
        <w:rPr>
          <w:rStyle w:val="887"/>
          <w:rFonts w:hint="eastAsia" w:ascii="宋体" w:hAnsi="宋体" w:cs="宋体"/>
          <w:color w:val="auto"/>
          <w:sz w:val="24"/>
          <w:highlight w:val="none"/>
          <w:lang w:val="en-US" w:eastAsia="zh-CN"/>
        </w:rPr>
        <w:t xml:space="preserve">业绩</w:t>
      </w:r>
      <w:r>
        <w:rPr>
          <w:rStyle w:val="887"/>
          <w:rFonts w:hint="eastAsia" w:ascii="宋体" w:hAnsi="宋体" w:cs="宋体"/>
          <w:color w:val="auto"/>
          <w:sz w:val="24"/>
          <w:highlight w:val="none"/>
        </w:rPr>
        <w:t xml:space="preserve">（要求见《磋商文件》附件1、《评分细则》）；</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评分细则中评分得分需提供的相关证明文件或供应商认为需要提供的其他资料。</w:t>
      </w:r>
      <w:r/>
    </w:p>
    <w:p>
      <w:pPr>
        <w:pStyle w:val="95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提供的服务全部由符合政策要求的中小企业承接的，提供《中小企业声明函》（电子签章，填写完整。格式见《磋商文件》附件）。《中小企业声明函》查询渠道参考工业和信息化部发布的中小企业规模自测小程序；</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ind w:firstLine="56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注：监狱企业和残疾人福利性单位等同于小微企业。</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投标人为监狱企业的，提供省级以上监狱管理局、戒毒管理局（含新疆生产建设兵团）出具的属于监狱企业的证明文件原件的扫描件。</w:t>
      </w:r>
      <w:r/>
    </w:p>
    <w:p>
      <w:pPr>
        <w:ind w:firstLine="56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司法部关于政府采购支持监狱企业发展有关问题的通知》（财库〔2014〕68号）的规定为准。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投标人为享受政府采购支持政策的残疾人福利性单位的，提供《残疾人福利性单位声明函》（加盖电子签章，格式见招标文件第七章《投标文件相关格式》）。</w:t>
      </w:r>
      <w:r/>
    </w:p>
    <w:p>
      <w:pPr>
        <w:ind w:firstLine="56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firstLine="56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①安置的残疾人占本单位在职职工人数的比例不低于25%（含25%），并且安置的残疾人人数不少于10人（含10人）；</w:t>
      </w:r>
      <w:r/>
    </w:p>
    <w:p>
      <w:pPr>
        <w:ind w:firstLine="56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②依法与安置的每位残疾人签订了一年以上（含一年）的劳动合同或服务协议；</w:t>
      </w:r>
      <w:r/>
    </w:p>
    <w:p>
      <w:pPr>
        <w:ind w:firstLine="56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③为安置的每位残疾人按月足额缴纳了基本养老保险、基本医疗保险、失业保险、工伤保险和生育保险等社会保险费；</w:t>
      </w:r>
      <w:r/>
    </w:p>
    <w:p>
      <w:pPr>
        <w:ind w:firstLine="56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ind w:firstLine="56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60"/>
        <w:spacing w:line="400" w:lineRule="exact"/>
        <w:widowControl/>
        <w:rPr>
          <w:rStyle w:val="887"/>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58"/>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958"/>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958"/>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1.</w:t>
      </w: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958"/>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2.供应商中标（成交）后，须向代理机构提供纸质版响应文件一正三副及电子响应文件（U盘）。采购人索取成交供应商的响应文件，须在双方签订政府采购合同后，由采购代理机构提供给采购人。</w:t>
      </w:r>
      <w:r/>
    </w:p>
    <w:p>
      <w:pPr>
        <w:pStyle w:val="958"/>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58"/>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5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58"/>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注：各供应商在未进行第二次报价前，请不要离开开标系统，随时接受磋商小组提出的二次报价，因供应商未能及时二次报价而引起的损失，由供应商负责。</w:t>
      </w:r>
      <w:r/>
    </w:p>
    <w:p>
      <w:pPr>
        <w:pStyle w:val="958"/>
        <w:spacing w:line="360" w:lineRule="auto"/>
        <w:rPr>
          <w:rFonts w:hint="eastAsia" w:ascii="宋体" w:hAnsi="宋体" w:cs="宋体"/>
          <w:color w:val="auto"/>
          <w:sz w:val="24"/>
          <w:szCs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958"/>
        <w:spacing w:line="360" w:lineRule="auto"/>
        <w:rPr>
          <w:rFonts w:hint="eastAsia" w:ascii="宋体" w:hAnsi="宋体" w:cs="宋体"/>
          <w:color w:val="auto"/>
          <w:sz w:val="24"/>
          <w:szCs w:val="24"/>
          <w:highlight w:val="none"/>
        </w:rPr>
      </w:pPr>
      <w:r>
        <w:rPr>
          <w:rFonts w:hint="eastAsia" w:ascii="宋体" w:hAnsi="宋体" w:cs="宋体"/>
          <w:bCs/>
          <w:color w:val="auto"/>
          <w:sz w:val="24"/>
          <w:highlight w:val="none"/>
        </w:rPr>
        <w:t xml:space="preserve">9、本项目无效响应判定（磋商文件的实质性要求）</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(1)电子响应文件未按规定期限提交的；</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(2)电子响应文件未按磋商文件要求签章的； </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(3)供应商未在规定时间内解密电子响应文件的； </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(4)供应商的法定代表人参加采购活动未提供法人资格证明的；授权代表无法定代表人授权委托书的； </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(5)不具备磋商文件中规定的资格要求或未按磋商文件规定的要求提供资格、资信证明文件的； </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(6)被列入“信用中国”网站（www.creditchina.gov.cn）失信被执行人、重大税收违法案件当事人名单、政府采购严重违法失信行为记录名单的；</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(7)响应文件未按磋商文件规定的内容和要求填写的；没有在系统指定位置上传对应文件、材料的；</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8</w:t>
      </w:r>
      <w:r>
        <w:rPr>
          <w:rFonts w:hint="eastAsia" w:ascii="宋体" w:hAnsi="宋体" w:cs="宋体"/>
          <w:bCs/>
          <w:color w:val="auto"/>
          <w:sz w:val="24"/>
          <w:highlight w:val="none"/>
        </w:rPr>
        <w:t xml:space="preserve">)响应文件含有采购人不能接受的附加条件的； </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9</w:t>
      </w:r>
      <w:r>
        <w:rPr>
          <w:rFonts w:hint="eastAsia" w:ascii="宋体" w:hAnsi="宋体" w:cs="宋体"/>
          <w:bCs/>
          <w:color w:val="auto"/>
          <w:sz w:val="24"/>
          <w:highlight w:val="none"/>
        </w:rPr>
        <w:t xml:space="preserve">)磋商报价超过本项目（采购包）预算或最高限价的； </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0</w:t>
      </w:r>
      <w:r>
        <w:rPr>
          <w:rFonts w:hint="eastAsia" w:ascii="宋体" w:hAnsi="宋体" w:cs="宋体"/>
          <w:bCs/>
          <w:color w:val="auto"/>
          <w:sz w:val="24"/>
          <w:highlight w:val="none"/>
        </w:rPr>
        <w:t xml:space="preserve">)不同供应商的响应文件以及响应文件制作过程出现了磋商小组认为不应当雷同的情况的； </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)以他人的名义投标、串通投标、以行贿手段谋取成交或者以其他弄虚作假方式投标的。</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)不同供应商委托同一单位或者个人办理磋商事宜的。</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)响应文件内容不全或不符合磋商文件中规定的其他实质性要求的； </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磋商小组认定供应商的报价明显低于其他通过符合性审查供应商的报价，有可能影响产品质量或者不能诚信履约，且供应商不能应磋商小组要求在评审过程中要求的合理时间内提供书面说明（必要时磋商小组可要求供应商提交相关证明材料），证明其报价合理性的；</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958"/>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rPr>
        <w:t xml:space="preserve">)法律法规和磋商文件规定的其他无效情形。</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1、经磋商确定最终采购需求和提交最后报价的供应商后，由磋商小组采用综合评分法对提交最后报价的供应商的响应文件和最后报价进行综合评分。</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磋商小组在阅读完所有磋商供应商的响应文件后，集中与单一供应商代表分别就技术参数等技术问题及价格和售后服务等内容进行磋商。</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color w:val="auto"/>
          <w:sz w:val="24"/>
          <w:highlight w:val="none"/>
          <w:lang w:val="en-US" w:eastAsia="zh-CN"/>
        </w:rPr>
        <w:t xml:space="preserve">技术</w:t>
      </w:r>
      <w:r>
        <w:rPr>
          <w:rFonts w:hint="eastAsia" w:ascii="宋体" w:hAnsi="宋体" w:cs="宋体"/>
          <w:color w:val="auto"/>
          <w:sz w:val="24"/>
          <w:highlight w:val="none"/>
        </w:rPr>
        <w:t xml:space="preserve">方案优劣顺序推荐。</w:t>
      </w:r>
      <w:r/>
    </w:p>
    <w:p>
      <w:pPr>
        <w:pStyle w:val="923"/>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3、评审过程中出现下列情形之一的，评审委员会应当启动异常低价投标（响应）审查程序：</w:t>
      </w:r>
      <w:r/>
    </w:p>
    <w:p>
      <w:pPr>
        <w:pStyle w:val="923"/>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（1）投标（响应）报价低于全部通过符合性审查供应商投标（响应）报价平均值50%的，即投标（响应）报价&lt;全部通过符合性审查供应商投标（响应）报价平均值×50%；</w:t>
      </w:r>
      <w:r/>
    </w:p>
    <w:p>
      <w:pPr>
        <w:pStyle w:val="923"/>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923"/>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highlight w:val="none"/>
          <w:lang w:val="en-US" w:eastAsia="zh-CN"/>
        </w:rPr>
        <w:t xml:space="preserve">45</w:t>
      </w:r>
      <w:r>
        <w:rPr>
          <w:rFonts w:hint="eastAsia" w:ascii="宋体" w:hAnsi="宋体" w:cs="宋体"/>
          <w:b/>
          <w:bCs/>
          <w:color w:val="auto"/>
          <w:sz w:val="24"/>
          <w:highlight w:val="none"/>
        </w:rPr>
        <w:t xml:space="preserve">%的，即投标（响应）报价&lt;采购项目最高限价×</w:t>
      </w:r>
      <w:r>
        <w:rPr>
          <w:rFonts w:hint="eastAsia" w:ascii="宋体" w:hAnsi="宋体" w:cs="宋体"/>
          <w:b/>
          <w:bCs/>
          <w:color w:val="auto"/>
          <w:sz w:val="24"/>
          <w:highlight w:val="none"/>
          <w:lang w:val="en-US" w:eastAsia="zh-CN"/>
        </w:rPr>
        <w:t xml:space="preserve">45</w:t>
      </w:r>
      <w:r>
        <w:rPr>
          <w:rFonts w:hint="eastAsia" w:ascii="宋体" w:hAnsi="宋体" w:cs="宋体"/>
          <w:b/>
          <w:bCs/>
          <w:color w:val="auto"/>
          <w:sz w:val="24"/>
          <w:highlight w:val="none"/>
        </w:rPr>
        <w:t xml:space="preserve">%；</w:t>
      </w:r>
      <w:r/>
    </w:p>
    <w:p>
      <w:pPr>
        <w:pStyle w:val="923"/>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（4）评审（评标）委员会基于专业判断，认为供应商报价过低，有可能影响产品质量或者不能诚信履约的其他情形。</w:t>
      </w:r>
      <w:r/>
    </w:p>
    <w:p>
      <w:pPr>
        <w:pStyle w:val="923"/>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相关法律法规对供应商报价有规定的，从其规定。</w:t>
      </w:r>
      <w:r/>
    </w:p>
    <w:p>
      <w:pPr>
        <w:pStyle w:val="923"/>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评审（评标）委员会启动异常低价投标（响应）审查后，属于前述第1项至第4项情形的，</w:t>
      </w:r>
      <w:r>
        <w:rPr>
          <w:rFonts w:hint="eastAsia" w:ascii="宋体" w:hAnsi="宋体" w:eastAsia="宋体" w:cs="宋体"/>
          <w:b/>
          <w:bCs/>
          <w:color w:val="auto"/>
          <w:sz w:val="24"/>
          <w:highlight w:val="none"/>
        </w:rPr>
        <w:t xml:space="preserve">磋商小组应当通过“苏采云”系统要求相关供应商在合理的时间内</w:t>
      </w:r>
      <w:r>
        <w:rPr>
          <w:rFonts w:hint="eastAsia" w:ascii="宋体" w:hAnsi="宋体" w:cs="宋体"/>
          <w:b/>
          <w:bCs/>
          <w:color w:val="auto"/>
          <w:sz w:val="24"/>
          <w:highlight w:val="none"/>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23"/>
        <w:ind w:firstLine="48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23"/>
        <w:ind w:firstLine="480"/>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5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（4）“信用中国(江苏徐州)”网（http://www.xuzhoucredit.gov.cn）。</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58"/>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8"/>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958"/>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58"/>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958"/>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958"/>
        <w:ind w:right="29"/>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958"/>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58"/>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958"/>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58"/>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58"/>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58"/>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58"/>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58"/>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958"/>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张素雅、卞彩彩</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0516-83906677</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通讯地址：徐州市云龙区郭庄路世茂广场SOHO3号楼17层</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沛县住房和城乡建设局</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汉邦路8号</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0516-89683360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江苏中瑞建设项目管理有限公司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地址：徐州市云龙区郭庄路世茂广场SOHO3号楼17层</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val="en-US" w:eastAsia="zh-CN"/>
        </w:rPr>
        <w:t xml:space="preserve">张素雅、卞彩彩    </w:t>
      </w:r>
      <w:r>
        <w:rPr>
          <w:rFonts w:hint="eastAsia" w:ascii="宋体" w:hAnsi="宋体" w:cs="宋体"/>
          <w:color w:val="auto"/>
          <w:sz w:val="24"/>
          <w:highlight w:val="none"/>
          <w:lang w:eastAsia="zh-CN"/>
        </w:rPr>
        <w:t xml:space="preserve">0516-83906677</w:t>
      </w:r>
      <w:r/>
    </w:p>
    <w:p>
      <w:pPr>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二十三、成交供应商在领取成交通知书前，向采购代理机构缴纳代理服务费</w:t>
      </w:r>
      <w:r>
        <w:rPr>
          <w:rFonts w:hint="eastAsia" w:ascii="宋体" w:hAnsi="宋体" w:cs="宋体"/>
          <w:b/>
          <w:bCs/>
          <w:color w:val="auto"/>
          <w:sz w:val="24"/>
          <w:highlight w:val="none"/>
          <w:lang w:eastAsia="zh-CN"/>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5、《偏离表》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、《拟签订的合同文本》</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、《具备履行合同所必需的设备和专业技术能力的书面声明》（附证明材料）</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0</w:t>
      </w:r>
      <w:r>
        <w:rPr>
          <w:rFonts w:hint="eastAsia" w:ascii="宋体" w:hAnsi="宋体" w:cs="宋体"/>
          <w:b w:val="0"/>
          <w:bCs w:val="0"/>
          <w:color w:val="auto"/>
          <w:sz w:val="24"/>
          <w:highlight w:val="none"/>
        </w:rPr>
        <w:t xml:space="preserve">、《中小企业声明函》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、《供应商参加政府采购活动前3年内在经营活动中没有重大违法记录的书面声明》</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、《残疾人福利性单位声明函》</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承诺书</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格式自拟</w:t>
      </w:r>
      <w:r>
        <w:rPr>
          <w:rFonts w:hint="eastAsia" w:ascii="宋体" w:hAnsi="宋体" w:cs="宋体"/>
          <w:color w:val="auto"/>
          <w:sz w:val="24"/>
          <w:highlight w:val="none"/>
          <w:lang w:eastAsia="zh-CN"/>
        </w:rPr>
        <w:t xml:space="preserve">）</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《预付款保函支付条款模板》</w:t>
      </w:r>
      <w:r/>
    </w:p>
    <w:p>
      <w:pPr>
        <w:spacing w:line="360" w:lineRule="auto"/>
        <w:rPr>
          <w:rFonts w:hint="default" w:ascii="宋体" w:hAnsi="宋体" w:eastAsia="宋体" w:cs="宋体"/>
          <w:color w:val="auto"/>
          <w:sz w:val="24"/>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、《招标代理服务收费标准》</w:t>
      </w:r>
      <w:r/>
    </w:p>
    <w:p>
      <w:pPr>
        <w:numPr>
          <w:ilvl w:val="0"/>
          <w:numId w:val="3"/>
        </w:numPr>
        <w:jc w:val="center"/>
        <w:spacing w:line="360" w:lineRule="auto"/>
        <w:rPr>
          <w:rFonts w:hint="eastAsia" w:ascii="宋体" w:hAnsi="宋体" w:cs="宋体"/>
          <w:b/>
          <w:bCs/>
          <w:color w:val="auto"/>
          <w:sz w:val="24"/>
          <w:highlight w:val="none"/>
        </w:rPr>
      </w:pPr>
      <w:r>
        <w:rPr>
          <w:rFonts w:hint="eastAsia" w:ascii="宋体" w:hAnsi="宋体" w:cs="宋体"/>
          <w:b/>
          <w:color w:val="auto"/>
          <w:sz w:val="36"/>
          <w:highlight w:val="none"/>
        </w:rPr>
        <w:t xml:space="preserve">评分细则</w:t>
      </w:r>
      <w:r/>
    </w:p>
    <w:tbl>
      <w:tblPr>
        <w:tblStyle w:val="888"/>
        <w:tblpPr w:horzAnchor="margin" w:tblpXSpec="center" w:vertAnchor="text" w:tblpY="494" w:leftFromText="180" w:topFromText="0" w:rightFromText="180" w:bottomFromText="0"/>
        <w:tblW w:w="10337" w:type="dxa"/>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1"/>
        <w:gridCol w:w="1598"/>
        <w:gridCol w:w="6778"/>
      </w:tblGrid>
      <w:tr>
        <w:trPr>
          <w:trHeight w:val="539"/>
        </w:trPr>
        <w:tc>
          <w:tcPr>
            <w:tcW w:w="196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4"/>
                <w:szCs w:val="24"/>
                <w:highlight w:val="none"/>
              </w:rPr>
              <w:outlineLvl w:val="9"/>
              <w:suppressLineNumbers w:val="0"/>
            </w:pPr>
            <w:r>
              <w:rPr>
                <w:rFonts w:hint="eastAsia" w:ascii="宋体" w:hAnsi="宋体" w:eastAsia="宋体" w:cs="宋体"/>
                <w:b/>
                <w:color w:val="auto"/>
                <w:sz w:val="24"/>
                <w:szCs w:val="24"/>
                <w:highlight w:val="none"/>
              </w:rPr>
              <w:t xml:space="preserve">评分项</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4"/>
                <w:szCs w:val="24"/>
                <w:highlight w:val="none"/>
              </w:rPr>
              <w:outlineLvl w:val="9"/>
              <w:suppressLineNumbers w:val="0"/>
            </w:pPr>
            <w:r>
              <w:rPr>
                <w:rFonts w:hint="eastAsia" w:ascii="宋体" w:hAnsi="宋体" w:eastAsia="宋体" w:cs="宋体"/>
                <w:b/>
                <w:color w:val="auto"/>
                <w:sz w:val="24"/>
                <w:szCs w:val="24"/>
                <w:highlight w:val="none"/>
              </w:rPr>
              <w:t xml:space="preserve">评分因素</w:t>
            </w:r>
            <w:r/>
          </w:p>
        </w:tc>
        <w:tc>
          <w:tcPr>
            <w:tcW w:w="677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4"/>
                <w:szCs w:val="24"/>
                <w:highlight w:val="none"/>
              </w:rPr>
              <w:outlineLvl w:val="9"/>
              <w:suppressLineNumbers w:val="0"/>
            </w:pPr>
            <w:r>
              <w:rPr>
                <w:rFonts w:hint="eastAsia" w:ascii="宋体" w:hAnsi="宋体" w:eastAsia="宋体" w:cs="宋体"/>
                <w:b/>
                <w:color w:val="auto"/>
                <w:sz w:val="24"/>
                <w:szCs w:val="24"/>
                <w:highlight w:val="none"/>
              </w:rPr>
              <w:t xml:space="preserve">评分细则</w:t>
            </w:r>
            <w:r/>
          </w:p>
        </w:tc>
      </w:tr>
      <w:tr>
        <w:trPr>
          <w:trHeight w:val="1403"/>
        </w:trPr>
        <w:tc>
          <w:tcPr>
            <w:tcW w:w="196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报价 （</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供应商报价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6778" w:type="dxa"/>
            <w:vAlign w:val="center"/>
            <w:textDirection w:val="lrTb"/>
            <w:noWrap w:val="false"/>
          </w:tcPr>
          <w:p>
            <w:pPr>
              <w:ind w:left="0" w:right="0" w:firstLine="0"/>
              <w:jc w:val="both"/>
              <w:keepLines w:val="0"/>
              <w:keepNext w:val="0"/>
              <w:spacing w:before="0" w:beforeAutospacing="0" w:after="0" w:afterAutospacing="0" w:line="68" w:lineRule="atLeas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采用低价优先法计算，即满足磋商文件要求且经磋商后报价最低的供应商的价格为磋商基准价，其价格分为满分。其他供应商的价格分统一按照下列公式计算：</w:t>
            </w:r>
            <w:r/>
          </w:p>
          <w:p>
            <w:pPr>
              <w:ind w:left="0" w:right="0" w:firstLine="0"/>
              <w:jc w:val="both"/>
              <w:keepLines w:val="0"/>
              <w:keepNext w:val="0"/>
              <w:spacing w:before="0" w:beforeAutospacing="0" w:after="0" w:afterAutospacing="0" w:line="68" w:lineRule="atLeast"/>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r>
            <w:r/>
          </w:p>
          <w:p>
            <w:pPr>
              <w:ind w:left="0" w:right="0" w:firstLine="0"/>
              <w:jc w:val="both"/>
              <w:keepLines w:val="0"/>
              <w:keepNext w:val="0"/>
              <w:spacing w:before="0" w:beforeAutospacing="0" w:after="0" w:afterAutospacing="0" w:line="68" w:lineRule="atLeas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t xml:space="preserve">服务全部由符合政策要求的小微企业、监狱企业、享受政府采购支持政策的残疾人福利性单位承接的（以</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提供的《中小企业声明函》、监狱企业证明文件和《残疾人福利性单位声明函》等相关材料为准），给予10%的价格扣除，用扣除后的价格参加评审。该供应商的评审价格=各供应商的最终报价*（100%-10%）</w:t>
            </w:r>
            <w:r/>
          </w:p>
          <w:p>
            <w:pPr>
              <w:ind w:left="0" w:right="0" w:firstLine="0"/>
              <w:jc w:val="both"/>
              <w:keepLines w:val="0"/>
              <w:keepNext w:val="0"/>
              <w:spacing w:before="0" w:beforeAutospacing="0" w:after="0" w:afterAutospacing="0" w:line="68" w:lineRule="atLeast"/>
              <w:widowControl/>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注：得分四舍五入保留小数点后2位。</w:t>
            </w:r>
            <w:r/>
          </w:p>
        </w:tc>
      </w:tr>
      <w:tr>
        <w:trPr>
          <w:trHeight w:val="1097"/>
        </w:trPr>
        <w:tc>
          <w:tcPr>
            <w:tcW w:w="196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商务部分</w:t>
            </w:r>
            <w:r/>
          </w:p>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（4分）</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Cs/>
                <w:color w:val="auto"/>
                <w:sz w:val="24"/>
                <w:szCs w:val="24"/>
                <w:highlight w:val="none"/>
                <w:lang w:val="en-US" w:eastAsia="zh-CN"/>
              </w:rPr>
              <w:outlineLvl w:val="9"/>
              <w:suppressLineNumbers w:val="0"/>
            </w:pPr>
            <w:r>
              <w:rPr>
                <w:rFonts w:hint="eastAsia" w:ascii="宋体" w:hAnsi="宋体" w:eastAsia="宋体" w:cs="宋体"/>
                <w:bCs/>
                <w:color w:val="auto"/>
                <w:sz w:val="24"/>
                <w:szCs w:val="24"/>
                <w:highlight w:val="none"/>
                <w:lang w:val="en-US" w:eastAsia="zh-CN"/>
              </w:rPr>
              <w:t xml:space="preserve">企业业绩</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Cs/>
                <w:color w:val="auto"/>
                <w:sz w:val="24"/>
                <w:szCs w:val="24"/>
                <w:highlight w:val="none"/>
                <w:lang w:val="en-US" w:eastAsia="zh-CN"/>
              </w:rPr>
              <w:outlineLvl w:val="9"/>
              <w:suppressLineNumbers w:val="0"/>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分)</w:t>
            </w:r>
            <w:r/>
          </w:p>
        </w:tc>
        <w:tc>
          <w:tcPr>
            <w:tcW w:w="6778" w:type="dxa"/>
            <w:vAlign w:val="center"/>
            <w:textDirection w:val="lrTb"/>
            <w:noWrap w:val="false"/>
          </w:tcPr>
          <w:p>
            <w:pPr>
              <w:numPr>
                <w:ilvl w:val="0"/>
                <w:numId w:val="0"/>
              </w:numPr>
              <w:ind w:left="0" w:right="8"/>
              <w:keepLines w:val="0"/>
              <w:keepNext w:val="0"/>
              <w:spacing w:before="51" w:beforeAutospacing="0" w:after="0" w:afterAutospacing="0" w:line="287"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供应商202</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1月1日</w:t>
            </w:r>
            <w:r>
              <w:rPr>
                <w:rFonts w:hint="eastAsia" w:ascii="宋体" w:hAnsi="宋体" w:eastAsia="宋体" w:cs="宋体"/>
                <w:color w:val="auto"/>
                <w:sz w:val="24"/>
                <w:szCs w:val="24"/>
                <w:highlight w:val="none"/>
                <w:lang w:eastAsia="zh-CN"/>
              </w:rPr>
              <w:t xml:space="preserve">以来（</w:t>
            </w:r>
            <w:r>
              <w:rPr>
                <w:rFonts w:hint="eastAsia" w:ascii="宋体" w:hAnsi="宋体" w:cs="宋体"/>
                <w:color w:val="auto"/>
                <w:sz w:val="24"/>
                <w:szCs w:val="24"/>
                <w:highlight w:val="none"/>
                <w:lang w:val="en-US" w:eastAsia="zh-CN"/>
              </w:rPr>
              <w:t xml:space="preserve">时间以合同签订日期为准</w:t>
            </w:r>
            <w:r>
              <w:rPr>
                <w:rFonts w:hint="eastAsia" w:ascii="宋体" w:hAnsi="宋体" w:eastAsia="宋体" w:cs="宋体"/>
                <w:color w:val="auto"/>
                <w:sz w:val="24"/>
                <w:szCs w:val="24"/>
                <w:highlight w:val="none"/>
                <w:lang w:eastAsia="zh-CN"/>
              </w:rPr>
              <w:t xml:space="preserve">）承担过</w:t>
            </w:r>
            <w:r>
              <w:rPr>
                <w:rFonts w:hint="eastAsia" w:ascii="宋体" w:hAnsi="宋体" w:cs="宋体"/>
                <w:color w:val="auto"/>
                <w:sz w:val="24"/>
                <w:szCs w:val="24"/>
                <w:highlight w:val="none"/>
                <w:lang w:val="en-US" w:eastAsia="zh-CN"/>
              </w:rPr>
              <w:t xml:space="preserve">类似项目业绩的</w:t>
            </w:r>
            <w:r>
              <w:rPr>
                <w:rFonts w:hint="eastAsia" w:ascii="宋体" w:hAnsi="宋体" w:eastAsia="宋体" w:cs="宋体"/>
                <w:color w:val="auto"/>
                <w:sz w:val="24"/>
                <w:szCs w:val="24"/>
                <w:highlight w:val="none"/>
                <w:lang w:eastAsia="zh-CN"/>
              </w:rPr>
              <w:t xml:space="preserve">，每</w:t>
            </w:r>
            <w:r>
              <w:rPr>
                <w:rFonts w:hint="eastAsia" w:ascii="宋体" w:hAnsi="宋体" w:cs="宋体"/>
                <w:color w:val="auto"/>
                <w:sz w:val="24"/>
                <w:szCs w:val="24"/>
                <w:highlight w:val="none"/>
                <w:lang w:val="en-US" w:eastAsia="zh-CN"/>
              </w:rPr>
              <w:t xml:space="preserve">有1</w:t>
            </w:r>
            <w:r>
              <w:rPr>
                <w:rFonts w:hint="eastAsia" w:ascii="宋体" w:hAnsi="宋体" w:eastAsia="宋体" w:cs="宋体"/>
                <w:color w:val="auto"/>
                <w:sz w:val="24"/>
                <w:szCs w:val="24"/>
                <w:highlight w:val="none"/>
                <w:lang w:eastAsia="zh-CN"/>
              </w:rPr>
              <w:t xml:space="preserve">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分（提供合同</w:t>
            </w:r>
            <w:r>
              <w:rPr>
                <w:rFonts w:hint="eastAsia" w:ascii="宋体" w:hAnsi="宋体" w:cs="宋体"/>
                <w:strike w:val="0"/>
                <w:color w:val="auto"/>
                <w:sz w:val="24"/>
                <w:szCs w:val="24"/>
                <w:highlight w:val="none"/>
                <w:lang w:val="en-US" w:eastAsia="zh-CN"/>
              </w:rPr>
              <w:t xml:space="preserve">原件</w:t>
            </w:r>
            <w:r>
              <w:rPr>
                <w:rFonts w:hint="eastAsia" w:ascii="宋体" w:hAnsi="宋体" w:eastAsia="宋体" w:cs="宋体"/>
                <w:color w:val="auto"/>
                <w:sz w:val="24"/>
                <w:szCs w:val="24"/>
                <w:highlight w:val="none"/>
                <w:lang w:eastAsia="zh-CN"/>
              </w:rPr>
              <w:t xml:space="preserve">扫描件，不提供不得分）。</w:t>
            </w:r>
            <w:r/>
          </w:p>
        </w:tc>
      </w:tr>
      <w:tr>
        <w:trPr>
          <w:trHeight w:val="317"/>
        </w:trPr>
        <w:tc>
          <w:tcPr>
            <w:tcW w:w="196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技术文件</w:t>
            </w:r>
            <w:r/>
          </w:p>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67</w:t>
            </w:r>
            <w:bookmarkStart w:id="33" w:name="_GoBack"/>
            <w:r/>
            <w:bookmarkEnd w:id="33"/>
            <w:r>
              <w:rPr>
                <w:rFonts w:hint="eastAsia" w:ascii="宋体" w:hAnsi="宋体" w:eastAsia="宋体" w:cs="宋体"/>
                <w:color w:val="auto"/>
                <w:sz w:val="24"/>
                <w:szCs w:val="24"/>
                <w:highlight w:val="none"/>
              </w:rPr>
              <w:t xml:space="preserve">分）</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Cs/>
                <w:color w:val="auto"/>
                <w:sz w:val="24"/>
                <w:szCs w:val="24"/>
                <w:highlight w:val="none"/>
                <w:lang w:eastAsia="zh-CN"/>
              </w:rPr>
              <w:outlineLvl w:val="9"/>
              <w:suppressLineNumbers w:val="0"/>
            </w:pPr>
            <w:r>
              <w:rPr>
                <w:rFonts w:hint="eastAsia" w:ascii="宋体" w:hAnsi="宋体" w:eastAsia="宋体" w:cs="宋体"/>
                <w:color w:val="auto"/>
                <w:sz w:val="24"/>
                <w:szCs w:val="24"/>
                <w:highlight w:val="none"/>
              </w:rPr>
              <w:t xml:space="preserve">项目基础分析（</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778" w:type="dxa"/>
            <w:vAlign w:val="center"/>
            <w:textDirection w:val="lrTb"/>
            <w:noWrap w:val="false"/>
          </w:tcPr>
          <w:p>
            <w:pPr>
              <w:ind w:firstLine="420"/>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包括对项目的总体认识及技术路线。</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供应商须基于项目要求对项目总体进行阐述，阐述内容须满足采购需求。对本项目理解透彻、分析准确、针对性强的，该项得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分；对本项目理解尚可、分析具有一定准确度、针对性的，该项得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分；对本项目理解不够透彻、分析不够准确、未有针对性的，该项得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分。缺少内容或内容存在不能满足采购需求，或存在逻辑错误、前后矛盾，或存在违反现行相关规范的，该项不得分。</w:t>
            </w:r>
            <w:r/>
          </w:p>
        </w:tc>
      </w:tr>
      <w:tr>
        <w:trPr>
          <w:trHeight w:val="317"/>
        </w:trPr>
        <w:tc>
          <w:tcPr>
            <w:tcW w:w="196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lang w:eastAsia="zh-CN"/>
              </w:rPr>
              <w:outlineLvl w:val="9"/>
              <w:suppressLineNumbers w:val="0"/>
            </w:pPr>
            <w:r>
              <w:rPr>
                <w:rFonts w:hint="eastAsia" w:ascii="宋体" w:hAnsi="宋体" w:eastAsia="宋体" w:cs="宋体"/>
                <w:color w:val="auto"/>
                <w:sz w:val="24"/>
                <w:szCs w:val="24"/>
                <w:highlight w:val="none"/>
              </w:rPr>
              <w:t xml:space="preserve">城市更新专项规划编制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W w:w="6778" w:type="dxa"/>
            <w:vAlign w:val="center"/>
            <w:textDirection w:val="lrTb"/>
            <w:noWrap w:val="false"/>
          </w:tcPr>
          <w:p>
            <w:pPr>
              <w:ind w:firstLine="420"/>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结合采购需求</w:t>
            </w:r>
            <w:r>
              <w:rPr>
                <w:rFonts w:hint="eastAsia" w:ascii="宋体" w:hAnsi="宋体" w:eastAsia="宋体" w:cs="宋体"/>
                <w:color w:val="auto"/>
                <w:sz w:val="24"/>
                <w:szCs w:val="24"/>
                <w:highlight w:val="none"/>
              </w:rPr>
              <w:t xml:space="preserve">针对此项内容、技术措施进行阐述。内容详实全面、需求贴合度高且条理清晰，技术措施有效的得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分；内容</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详实全面、需求贴合度</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高且条理较清晰，技术措施较有效的得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分；内容较为简单、可行、细节待完善，技术措施有效的得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分；内容粗略、无针对性的得1分。缺少内容或内容不能满足采购需求，或存在逻辑错误、前后矛盾，或存在违反现行相关规范的，该项不得分。</w:t>
            </w:r>
            <w:r/>
          </w:p>
        </w:tc>
      </w:tr>
      <w:tr>
        <w:trPr>
          <w:trHeight w:val="1905"/>
        </w:trPr>
        <w:tc>
          <w:tcPr>
            <w:tcW w:w="196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重点片区城市更新片区策划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W w:w="6778" w:type="dxa"/>
            <w:vAlign w:val="center"/>
            <w:textDirection w:val="lrTb"/>
            <w:noWrap w:val="false"/>
          </w:tcPr>
          <w:p>
            <w:pPr>
              <w:ind w:firstLine="420"/>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结合采购需求</w:t>
            </w:r>
            <w:r>
              <w:rPr>
                <w:rFonts w:hint="eastAsia" w:ascii="宋体" w:hAnsi="宋体" w:eastAsia="宋体" w:cs="宋体"/>
                <w:color w:val="auto"/>
                <w:sz w:val="24"/>
                <w:szCs w:val="24"/>
                <w:highlight w:val="none"/>
              </w:rPr>
              <w:t xml:space="preserve">针对此项内容、技术措施进行阐述。内容详实全面、需求贴合度高且条理清晰，技术措施有效的得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分；内容较详实全面、需求贴合度较高且条理较清晰，技术措施较有效的得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分；内容较为简单、可行、细节待完善，技术措施有效的得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分；内容粗略、无针对性的得1分。缺少内容或内容不能满足采购需求，或存在逻辑错误、前后矛盾，或存在违反现行相关规范的，该项不得分。</w:t>
            </w:r>
            <w:r/>
          </w:p>
        </w:tc>
      </w:tr>
      <w:tr>
        <w:trPr>
          <w:trHeight w:val="2277"/>
        </w:trPr>
        <w:tc>
          <w:tcPr>
            <w:tcW w:w="196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eastAsia="zh-CN"/>
              </w:rPr>
              <w:t xml:space="preserve">县城体检</w:t>
            </w:r>
            <w:r>
              <w:rPr>
                <w:rFonts w:hint="eastAsia" w:ascii="宋体" w:hAnsi="宋体" w:eastAsia="宋体" w:cs="宋体"/>
                <w:color w:val="auto"/>
                <w:sz w:val="24"/>
                <w:szCs w:val="24"/>
                <w:highlight w:val="none"/>
              </w:rPr>
              <w:t xml:space="preserve">技术方案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W w:w="6778" w:type="dxa"/>
            <w:vAlign w:val="center"/>
            <w:textDirection w:val="lrTb"/>
            <w:noWrap w:val="false"/>
          </w:tcPr>
          <w:p>
            <w:pPr>
              <w:ind w:firstLine="420"/>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结合采购需求</w:t>
            </w:r>
            <w:r>
              <w:rPr>
                <w:rFonts w:hint="eastAsia" w:ascii="宋体" w:hAnsi="宋体" w:eastAsia="宋体" w:cs="宋体"/>
                <w:color w:val="auto"/>
                <w:sz w:val="24"/>
                <w:szCs w:val="24"/>
                <w:highlight w:val="none"/>
              </w:rPr>
              <w:t xml:space="preserve">针对此项内容、技术措施进行阐述。内容详实全面、需求贴合度高且条理清晰，技术措施有效的得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分；内容较详实全面、需求贴合度较高且条理较清晰，技术措施较有效的得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分；内容较为简单、可行、细节待完善，技术措施有效的得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分；内容粗略、无针对性的得1分。缺少内容或内容不能满足采购需求，或存在逻辑错误、前后矛盾，或存在违反现行相关规范的，该项不得分。</w:t>
            </w:r>
            <w:r/>
          </w:p>
        </w:tc>
      </w:tr>
      <w:tr>
        <w:trPr>
          <w:trHeight w:val="1304"/>
        </w:trPr>
        <w:tc>
          <w:tcPr>
            <w:tcW w:w="196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Cs/>
                <w:color w:val="auto"/>
                <w:sz w:val="24"/>
                <w:szCs w:val="24"/>
                <w:highlight w:val="none"/>
                <w:lang w:eastAsia="zh-CN"/>
              </w:rPr>
              <w:outlineLvl w:val="9"/>
              <w:suppressLineNumbers w:val="0"/>
            </w:pPr>
            <w:r>
              <w:rPr>
                <w:rFonts w:hint="eastAsia" w:ascii="宋体" w:hAnsi="宋体" w:eastAsia="宋体" w:cs="宋体"/>
                <w:color w:val="auto"/>
                <w:sz w:val="24"/>
                <w:szCs w:val="24"/>
                <w:highlight w:val="none"/>
              </w:rPr>
              <w:t xml:space="preserve">重难点分析（</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6778" w:type="dxa"/>
            <w:vAlign w:val="center"/>
            <w:textDirection w:val="lrTb"/>
            <w:noWrap w:val="false"/>
          </w:tcPr>
          <w:p>
            <w:pPr>
              <w:ind w:firstLine="420"/>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对本项目任务的重点、难点分析</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应对措施；磋商供应商须针对每条内容进行阐述，阐述内容须满足采购需求。</w:t>
            </w:r>
            <w:r>
              <w:rPr>
                <w:rFonts w:hint="eastAsia" w:ascii="宋体" w:hAnsi="宋体" w:cs="宋体"/>
                <w:color w:val="auto"/>
                <w:sz w:val="24"/>
                <w:szCs w:val="24"/>
                <w:highlight w:val="none"/>
                <w:lang w:val="en-US" w:eastAsia="zh-CN"/>
              </w:rPr>
              <w:t xml:space="preserve">调查详尽、对</w:t>
            </w:r>
            <w:r>
              <w:rPr>
                <w:rFonts w:hint="eastAsia" w:ascii="宋体" w:hAnsi="宋体" w:eastAsia="宋体" w:cs="宋体"/>
                <w:color w:val="auto"/>
                <w:sz w:val="24"/>
                <w:szCs w:val="24"/>
                <w:highlight w:val="none"/>
              </w:rPr>
              <w:t xml:space="preserve">本项目任务重点、难点把握准确，且提出明确针对性方案的得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调查较详尽、</w:t>
            </w:r>
            <w:r>
              <w:rPr>
                <w:rFonts w:hint="eastAsia" w:ascii="宋体" w:hAnsi="宋体" w:eastAsia="宋体" w:cs="宋体"/>
                <w:color w:val="auto"/>
                <w:sz w:val="24"/>
                <w:szCs w:val="24"/>
                <w:highlight w:val="none"/>
              </w:rPr>
              <w:t xml:space="preserve">对本项目任务重点、难点把握较准确，且提出较</w:t>
            </w:r>
            <w:r>
              <w:rPr>
                <w:rFonts w:hint="eastAsia" w:ascii="宋体" w:hAnsi="宋体" w:eastAsia="宋体" w:cs="宋体"/>
                <w:color w:val="auto"/>
                <w:sz w:val="24"/>
                <w:szCs w:val="24"/>
                <w:highlight w:val="none"/>
                <w:lang w:val="en-US" w:eastAsia="zh-CN"/>
              </w:rPr>
              <w:t xml:space="preserve">好的</w:t>
            </w:r>
            <w:r>
              <w:rPr>
                <w:rFonts w:hint="eastAsia" w:ascii="宋体" w:hAnsi="宋体" w:eastAsia="宋体" w:cs="宋体"/>
                <w:color w:val="auto"/>
                <w:sz w:val="24"/>
                <w:szCs w:val="24"/>
                <w:highlight w:val="none"/>
              </w:rPr>
              <w:t xml:space="preserve">针对性方案的得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未进行详细调查、</w:t>
            </w:r>
            <w:r>
              <w:rPr>
                <w:rFonts w:hint="eastAsia" w:ascii="宋体" w:hAnsi="宋体" w:eastAsia="宋体" w:cs="宋体"/>
                <w:color w:val="auto"/>
                <w:sz w:val="24"/>
                <w:szCs w:val="24"/>
                <w:highlight w:val="none"/>
              </w:rPr>
              <w:t xml:space="preserve">对本项目任务重点、难点把握不够准确，且提出的方案针对性一般的得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分。内容粗略、无针对性的得1分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缺少内容或内容不能满足采购需求，或存在逻辑错误、前后矛盾，或存在违反现行相关规范的，该项不得分。</w:t>
            </w:r>
            <w:r/>
          </w:p>
        </w:tc>
      </w:tr>
      <w:tr>
        <w:trPr>
          <w:trHeight w:val="1627"/>
        </w:trPr>
        <w:tc>
          <w:tcPr>
            <w:tcW w:w="196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Cs/>
                <w:color w:val="auto"/>
                <w:sz w:val="24"/>
                <w:szCs w:val="24"/>
                <w:highlight w:val="none"/>
                <w:lang w:eastAsia="zh-CN"/>
              </w:rPr>
              <w:outlineLvl w:val="9"/>
              <w:suppressLineNumbers w:val="0"/>
            </w:pPr>
            <w:r>
              <w:rPr>
                <w:rFonts w:hint="eastAsia" w:ascii="宋体" w:hAnsi="宋体" w:eastAsia="宋体" w:cs="宋体"/>
                <w:color w:val="auto"/>
                <w:sz w:val="24"/>
                <w:szCs w:val="24"/>
                <w:highlight w:val="none"/>
              </w:rPr>
              <w:t xml:space="preserve">进度计划及质量保证措施(</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6778" w:type="dxa"/>
            <w:vAlign w:val="center"/>
            <w:textDirection w:val="lrTb"/>
            <w:noWrap w:val="false"/>
          </w:tcPr>
          <w:p>
            <w:pPr>
              <w:ind w:firstLine="420"/>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根据磋商供应商针对本项目制定的质量管理方案和工作计划安排，阐述内容须满足采购需求。对本项目进度安排合理、可实施性强，项目人事、技术、经营管理与进度计划匹配的，该项得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分；对本项目进度安排符合项目要求，项目人事、技术、经营管理与进度计划</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匹配的，该项得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分；对本项目进度安排不够合理、可实施性不强，项目人事、技术、经营管理与进度计划不匹配的，该项</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分。内容存在不能满足采购需求，或存在逻辑错误、前后矛盾，或存在违反现行相关规范的，该项不得分。</w:t>
            </w:r>
            <w:r/>
          </w:p>
        </w:tc>
      </w:tr>
      <w:tr>
        <w:trPr>
          <w:trHeight w:val="1627"/>
        </w:trPr>
        <w:tc>
          <w:tcPr>
            <w:tcW w:w="1961"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人员配备</w:t>
            </w:r>
            <w:r/>
          </w:p>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（14分）</w:t>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项目负责人要求（4分）</w:t>
            </w:r>
            <w:r/>
          </w:p>
        </w:tc>
        <w:tc>
          <w:tcPr>
            <w:tcW w:w="6778" w:type="dxa"/>
            <w:vAlign w:val="center"/>
            <w:textDirection w:val="lrTb"/>
            <w:noWrap w:val="false"/>
          </w:tcPr>
          <w:p>
            <w:pPr>
              <w:tabs>
                <w:tab w:val="left" w:pos="945" w:leader="none"/>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拟派的项目负责人具有规划类高级职称证书的得2分，具有规划类正高级（研究员级或教授级）职称证书的得4分。本项最高得4分。</w:t>
            </w:r>
            <w:r/>
          </w:p>
          <w:p>
            <w:pPr>
              <w:tabs>
                <w:tab w:val="left" w:pos="945" w:leader="none"/>
                <w:tab w:val="left" w:pos="1155" w:leader="none"/>
              </w:tabs>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注：以上提供职称证</w:t>
            </w:r>
            <w:r>
              <w:rPr>
                <w:rFonts w:hint="eastAsia" w:ascii="宋体" w:hAnsi="宋体" w:cs="宋体"/>
                <w:color w:val="auto"/>
                <w:sz w:val="24"/>
                <w:szCs w:val="24"/>
                <w:highlight w:val="none"/>
                <w:lang w:val="en-US" w:eastAsia="zh-CN"/>
              </w:rPr>
              <w:t xml:space="preserve">书</w:t>
            </w:r>
            <w:r>
              <w:rPr>
                <w:rFonts w:hint="eastAsia" w:ascii="宋体" w:hAnsi="宋体" w:cs="宋体"/>
                <w:color w:val="auto"/>
                <w:sz w:val="24"/>
                <w:szCs w:val="24"/>
                <w:highlight w:val="none"/>
                <w:lang w:val="en-US" w:eastAsia="zh-CN"/>
              </w:rPr>
              <w:t xml:space="preserve">原件扫描件，否则不得分。</w:t>
            </w:r>
            <w:r/>
          </w:p>
        </w:tc>
      </w:tr>
      <w:tr>
        <w:trPr>
          <w:trHeight w:val="1627"/>
        </w:trPr>
        <w:tc>
          <w:tcPr>
            <w:tcW w:w="1961"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5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项目组成员</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除</w:t>
            </w:r>
            <w:r>
              <w:rPr>
                <w:rFonts w:hint="eastAsia" w:ascii="宋体" w:hAnsi="宋体" w:eastAsia="宋体" w:cs="宋体"/>
                <w:color w:val="auto"/>
                <w:sz w:val="24"/>
                <w:szCs w:val="24"/>
                <w:highlight w:val="none"/>
                <w:lang w:val="en-US" w:eastAsia="zh-CN"/>
              </w:rPr>
              <w:t xml:space="preserve">项目负责人</w:t>
            </w:r>
            <w:r>
              <w:rPr>
                <w:rFonts w:hint="eastAsia" w:ascii="宋体" w:hAnsi="宋体" w:cs="宋体"/>
                <w:color w:val="auto"/>
                <w:sz w:val="24"/>
                <w:szCs w:val="24"/>
                <w:highlight w:val="none"/>
                <w:lang w:val="en-US" w:eastAsia="zh-CN"/>
              </w:rPr>
              <w:t xml:space="preserve">外</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（10分）</w:t>
            </w:r>
            <w:r/>
          </w:p>
        </w:tc>
        <w:tc>
          <w:tcPr>
            <w:tcW w:w="6778" w:type="dxa"/>
            <w:vAlign w:val="center"/>
            <w:textDirection w:val="lrTb"/>
            <w:noWrap w:val="false"/>
          </w:tcPr>
          <w:p>
            <w:pPr>
              <w:numPr>
                <w:ilvl w:val="0"/>
                <w:numId w:val="0"/>
              </w:numPr>
              <w:tabs>
                <w:tab w:val="left" w:pos="945" w:leader="none"/>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项目人员组成中（不包含项目负责人），具备规划类专业的，有一个得1.5分，最高得3分；具备道路（或交通）、生态学、建筑学、风景园林学、市政工程（或给排水）相关专业的，每有1个得1分,最高得3分。本项最高得6分。</w:t>
            </w:r>
            <w:r/>
          </w:p>
          <w:p>
            <w:pPr>
              <w:numPr>
                <w:ilvl w:val="0"/>
                <w:numId w:val="0"/>
              </w:numPr>
              <w:tabs>
                <w:tab w:val="left" w:pos="945" w:leader="none"/>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②项目人员组成中（不包含项目负责人），具备规划类高级职称证书的有一个得1分，具备规划类正高级（研究员级或教授级）职称证书的，有一个得2分；具备注册城乡规划师的，有一个得1分。本项最高得4分。</w:t>
            </w:r>
            <w:r/>
          </w:p>
          <w:p>
            <w:pPr>
              <w:numPr>
                <w:ilvl w:val="0"/>
                <w:numId w:val="0"/>
              </w:numPr>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注：以上提供相关证书原件扫描件，否则不得分。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w:t>
      </w:r>
      <w:r/>
    </w:p>
    <w:p>
      <w:pPr>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rPr>
          <w:rFonts w:hint="eastAsia" w:ascii="宋体" w:hAnsi="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b w:val="0"/>
          <w:bCs w:val="0"/>
          <w:color w:val="auto"/>
          <w:sz w:val="24"/>
          <w:szCs w:val="24"/>
          <w:highlight w:val="none"/>
          <w:lang w:eastAsia="zh-CN"/>
        </w:rPr>
        <w:t xml:space="preserve">沛县城市更新专项规划、片区策划和</w:t>
      </w:r>
      <w:r>
        <w:rPr>
          <w:rFonts w:hint="eastAsia" w:ascii="宋体" w:hAnsi="宋体" w:eastAsia="宋体" w:cs="宋体"/>
          <w:b w:val="0"/>
          <w:bCs w:val="0"/>
          <w:color w:val="auto"/>
          <w:sz w:val="24"/>
          <w:szCs w:val="24"/>
          <w:highlight w:val="none"/>
          <w:lang w:val="en-US" w:eastAsia="zh-CN"/>
        </w:rPr>
        <w:t xml:space="preserve">2026年度县城体检。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2.项目预算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本项目不接受超过</w:t>
      </w:r>
      <w:r>
        <w:rPr>
          <w:rFonts w:hint="eastAsia" w:ascii="宋体" w:hAnsi="宋体" w:eastAsia="宋体" w:cs="宋体"/>
          <w:b w:val="0"/>
          <w:bCs w:val="0"/>
          <w:color w:val="auto"/>
          <w:sz w:val="24"/>
          <w:szCs w:val="24"/>
          <w:highlight w:val="none"/>
          <w:lang w:val="en-US" w:eastAsia="zh-CN"/>
        </w:rPr>
        <w:t xml:space="preserve">230</w:t>
      </w:r>
      <w:r>
        <w:rPr>
          <w:rFonts w:hint="eastAsia" w:ascii="宋体" w:hAnsi="宋体" w:eastAsia="宋体" w:cs="宋体"/>
          <w:b w:val="0"/>
          <w:bCs w:val="0"/>
          <w:color w:val="auto"/>
          <w:sz w:val="24"/>
          <w:szCs w:val="24"/>
          <w:highlight w:val="none"/>
          <w:lang w:eastAsia="zh-CN"/>
        </w:rPr>
        <w:t xml:space="preserve">万元人民币（采购项目预算金额）的报价。（最后报价超过预算金额的为无效报价，按照无效响应处理。报价包括但不限于税金、劳务费、服务、供应商的利润等供应商所认为的与本项目相关的全部费用。采购人不再支付报价以外的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3.质量标准：符合国家及省、市相关法律法规、政策文件和相关规划，</w:t>
      </w:r>
      <w:r>
        <w:rPr>
          <w:rFonts w:hint="eastAsia" w:ascii="宋体" w:hAnsi="宋体" w:eastAsia="宋体" w:cs="宋体"/>
          <w:color w:val="auto"/>
          <w:sz w:val="24"/>
          <w:szCs w:val="24"/>
          <w:highlight w:val="none"/>
          <w:lang w:eastAsia="zh-CN"/>
        </w:rPr>
        <w:t xml:space="preserve">成果</w:t>
      </w:r>
      <w:r>
        <w:rPr>
          <w:rFonts w:hint="eastAsia" w:ascii="宋体" w:hAnsi="宋体" w:eastAsia="宋体" w:cs="宋体"/>
          <w:color w:val="auto"/>
          <w:sz w:val="24"/>
          <w:szCs w:val="24"/>
          <w:highlight w:val="none"/>
        </w:rPr>
        <w:t xml:space="preserve">满足采购人要求</w:t>
      </w:r>
      <w:r>
        <w:rPr>
          <w:rFonts w:hint="eastAsia" w:ascii="宋体" w:hAnsi="宋体" w:eastAsia="宋体" w:cs="宋体"/>
          <w:color w:val="auto"/>
          <w:sz w:val="24"/>
          <w:szCs w:val="24"/>
          <w:highlight w:val="none"/>
          <w:lang w:eastAsia="zh-CN"/>
        </w:rPr>
        <w:t xml:space="preserve">，并顺利通过论证审查。</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4.项目期限：自合同签订之日起</w:t>
      </w:r>
      <w:r>
        <w:rPr>
          <w:rFonts w:hint="eastAsia" w:ascii="宋体" w:hAnsi="宋体" w:eastAsia="宋体" w:cs="宋体"/>
          <w:color w:val="auto"/>
          <w:sz w:val="24"/>
          <w:szCs w:val="24"/>
          <w:highlight w:val="none"/>
          <w:lang w:val="en-US" w:eastAsia="zh-CN"/>
        </w:rPr>
        <w:t xml:space="preserve">180天。</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5.项目范围：本次规划严格衔接县域国土空间总体规划，全域覆盖县中心城区建成区，总面积约63.2平方公里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在总面积控制的前提下，具体工作范围将根据实际需要进行适当调整</w:t>
      </w:r>
      <w:r>
        <w:rPr>
          <w:rFonts w:hint="eastAsia" w:ascii="宋体" w:hAnsi="宋体" w:eastAsia="宋体" w:cs="宋体"/>
          <w:color w:val="auto"/>
          <w:sz w:val="24"/>
          <w:szCs w:val="24"/>
          <w:highlight w:val="none"/>
          <w:lang w:eastAsia="zh-CN"/>
        </w:rPr>
        <w:t xml:space="preserve">。</w:t>
      </w:r>
      <w:r/>
    </w:p>
    <w:p>
      <w:pPr>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二、项目背景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实施城市更新行动，是党中央立足新时代新征程作出的重大战略决策，是我国城市发展模式从大规模增量建设向存量提质增效转型的核心举措，也是推进城市治理现代化、夯实中国式现代化城市建设根基的重要抓手，对全面提升城市功能品质、优化人居环境、增进民生福祉、推动经济社会高质量可持续发展具有重大且深远的战略意义。开展年度城市体检、编制城市更新专项规划与片区策划方案，是严格贯彻落实国家、省、市关于城市更新工作系列决策部署的法定要求和关键基础性工作，是构建科学闭环城市更新工作体系的核心环节</w:t>
      </w:r>
      <w:r>
        <w:rPr>
          <w:rFonts w:hint="eastAsia" w:ascii="宋体" w:hAnsi="宋体" w:eastAsia="宋体" w:cs="宋体"/>
          <w:color w:val="auto"/>
          <w:sz w:val="24"/>
          <w:szCs w:val="24"/>
          <w:highlight w:val="none"/>
          <w:lang w:eastAsia="zh-CN"/>
        </w:rPr>
        <w:t xml:space="preserve">。</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三、项目实施依据</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1.《中华人民共和国国民经济和社会发展第十四个五年规划和2035年远景目标纲要》及党的二十大报告，2020-2025年</w:t>
      </w:r>
      <w:r>
        <w:rPr>
          <w:rFonts w:hint="eastAsia" w:ascii="宋体" w:hAnsi="宋体" w:eastAsia="宋体" w:cs="宋体"/>
          <w:color w:val="auto"/>
          <w:sz w:val="24"/>
          <w:szCs w:val="24"/>
          <w:highlight w:val="none"/>
          <w:lang w:eastAsia="zh-CN"/>
        </w:rPr>
        <w:t xml:space="preserve">。</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.《江苏省关于实施城市更新行动的指导意见》，2022年</w:t>
      </w:r>
      <w:r>
        <w:rPr>
          <w:rFonts w:hint="eastAsia" w:ascii="宋体" w:hAnsi="宋体" w:eastAsia="宋体" w:cs="宋体"/>
          <w:color w:val="auto"/>
          <w:sz w:val="24"/>
          <w:szCs w:val="24"/>
          <w:highlight w:val="none"/>
          <w:lang w:eastAsia="zh-CN"/>
        </w:rPr>
        <w:t xml:space="preserve">。</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.住房和城乡建设部《关于扎实有序推进城市更新工作的通知》，2023年</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.《江苏省关于支持城市更新行动的若干政策措施》，2024年</w:t>
      </w:r>
      <w:r>
        <w:rPr>
          <w:rFonts w:hint="eastAsia" w:ascii="宋体" w:hAnsi="宋体" w:eastAsia="宋体" w:cs="宋体"/>
          <w:color w:val="auto"/>
          <w:sz w:val="24"/>
          <w:szCs w:val="24"/>
          <w:highlight w:val="none"/>
          <w:lang w:eastAsia="zh-CN"/>
        </w:rPr>
        <w:t xml:space="preserve">。</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.中共中央办公厅、国务院办公厅印发《关于持续推进城市更新行动的意见》，2025年</w:t>
      </w:r>
      <w:r>
        <w:rPr>
          <w:rFonts w:hint="eastAsia" w:ascii="宋体" w:hAnsi="宋体" w:eastAsia="宋体" w:cs="宋体"/>
          <w:color w:val="auto"/>
          <w:sz w:val="24"/>
          <w:szCs w:val="24"/>
          <w:highlight w:val="none"/>
          <w:lang w:eastAsia="zh-CN"/>
        </w:rPr>
        <w:t xml:space="preserve">。</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.《徐州市城市更新管理办法》，2025年</w:t>
      </w:r>
      <w:r>
        <w:rPr>
          <w:rFonts w:hint="eastAsia" w:ascii="宋体" w:hAnsi="宋体" w:eastAsia="宋体" w:cs="宋体"/>
          <w:color w:val="auto"/>
          <w:sz w:val="24"/>
          <w:szCs w:val="24"/>
          <w:highlight w:val="none"/>
          <w:lang w:eastAsia="zh-CN"/>
        </w:rPr>
        <w:t xml:space="preserve">。</w:t>
      </w:r>
      <w:r/>
    </w:p>
    <w:p>
      <w:pPr>
        <w:ind w:firstLine="48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沛县</w:t>
      </w:r>
      <w:r>
        <w:rPr>
          <w:rFonts w:hint="eastAsia" w:ascii="宋体" w:hAnsi="宋体" w:eastAsia="宋体" w:cs="宋体"/>
          <w:color w:val="auto"/>
          <w:sz w:val="24"/>
          <w:szCs w:val="24"/>
          <w:highlight w:val="none"/>
        </w:rPr>
        <w:t xml:space="preserve">国土空间总体规划（2021-2035年）》，2021-2035年</w:t>
      </w:r>
      <w:r>
        <w:rPr>
          <w:rFonts w:hint="eastAsia" w:ascii="宋体" w:hAnsi="宋体" w:eastAsia="宋体" w:cs="宋体"/>
          <w:color w:val="auto"/>
          <w:sz w:val="24"/>
          <w:szCs w:val="24"/>
          <w:highlight w:val="none"/>
          <w:lang w:eastAsia="zh-CN"/>
        </w:rPr>
        <w:t xml:space="preserve">。</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沛县国民经济和社会发展第十五个五年规划纲要</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-203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.国家、江苏省和徐州市其他法律法规和标准规范。</w:t>
      </w:r>
      <w:r/>
    </w:p>
    <w:p>
      <w:pPr>
        <w:jc w:val="left"/>
        <w:spacing w:line="360" w:lineRule="auto"/>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四、项目具体内容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（一）沛县城市更新专项规划编制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立足沛县城市发展现状与国土空间总体规划管控要求，全面梳理中心城区城市建设、存量用地、建筑风貌、基础设施、生态环境、公共服务等现状基底，系统排查城市发展短板与存量资源潜力，统筹编制全域城市更新专项规划，明确未来城市更新总体布局、管控规则和实施体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1.现状基底研判：</w:t>
      </w:r>
      <w:r>
        <w:rPr>
          <w:rFonts w:hint="eastAsia" w:ascii="宋体" w:hAnsi="宋体" w:eastAsia="宋体" w:cs="宋体"/>
          <w:b w:val="0"/>
          <w:bCs/>
          <w:color w:val="auto"/>
          <w:sz w:val="24"/>
          <w:szCs w:val="24"/>
          <w:highlight w:val="none"/>
        </w:rPr>
        <w:t xml:space="preserve">开展中心城区全覆盖现状调研，梳理存量建设用地、老旧小区、老旧厂区、老旧街区、城中村等更新资源底数，摸排市政设施、公共服务、生态绿化、交通体系、人居环境等存在的短板问题，结合城市发展定位，研判城市更新发展机遇与挑战。</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2.总体定位与目标体系构建：</w:t>
      </w:r>
      <w:r>
        <w:rPr>
          <w:rFonts w:hint="eastAsia" w:ascii="宋体" w:hAnsi="宋体" w:eastAsia="宋体" w:cs="宋体"/>
          <w:b w:val="0"/>
          <w:bCs/>
          <w:color w:val="auto"/>
          <w:sz w:val="24"/>
          <w:szCs w:val="24"/>
          <w:highlight w:val="none"/>
        </w:rPr>
        <w:t xml:space="preserve">结合沛县城市功能定位、产业布局、历史文化特色，确定城市更新总体定位、发展目标、阶段性发展指标，构建生态宜居、功能完善、风貌协调、治理高效的城市更新发展体系，明确更新工作总体思路与核心原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3.更新分区与管控引导：</w:t>
      </w:r>
      <w:r>
        <w:rPr>
          <w:rFonts w:hint="eastAsia" w:ascii="宋体" w:hAnsi="宋体" w:eastAsia="宋体" w:cs="宋体"/>
          <w:b w:val="0"/>
          <w:bCs/>
          <w:color w:val="auto"/>
          <w:sz w:val="24"/>
          <w:szCs w:val="24"/>
          <w:highlight w:val="none"/>
        </w:rPr>
        <w:t xml:space="preserve">结合国土空间总体规划功能分区，划分城市更新重点片区、一般更新片区、保留提升片区等不同管控单元，明确各片区更新导向、更新模式、管控要求，细化用地功能优化、建筑提质、设施完善、风貌整治、生态修复等管控细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4.重点任务梳理：</w:t>
      </w:r>
      <w:r>
        <w:rPr>
          <w:rFonts w:hint="eastAsia" w:ascii="宋体" w:hAnsi="宋体" w:eastAsia="宋体" w:cs="宋体"/>
          <w:b w:val="0"/>
          <w:bCs/>
          <w:color w:val="auto"/>
          <w:sz w:val="24"/>
          <w:szCs w:val="24"/>
          <w:highlight w:val="none"/>
        </w:rPr>
        <w:t xml:space="preserve">围绕老旧空间提质、基础设施补短板、公共服务升级、生态环境修复、历史文化传承、产业空间优化、城市风貌提升等方面，梳理城市更新重点任务，明确各项任务实施路径与推进方向。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5.项目库与实施计划编制：</w:t>
      </w:r>
      <w:r>
        <w:rPr>
          <w:rFonts w:hint="eastAsia" w:ascii="宋体" w:hAnsi="宋体" w:eastAsia="宋体" w:cs="宋体"/>
          <w:b w:val="0"/>
          <w:bCs/>
          <w:color w:val="auto"/>
          <w:sz w:val="24"/>
          <w:szCs w:val="24"/>
          <w:highlight w:val="none"/>
        </w:rPr>
        <w:t xml:space="preserve">结合城市发展需求与建设时序，筛选梳理近期、中期、远期城市更新重点项目，建立城市更新项目储备库，明确项目选址、建设内容、实施周期、责任方向，制定分年度实施计划，保障规划可落地、可实施。</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6.保障机制制定：</w:t>
      </w:r>
      <w:r>
        <w:rPr>
          <w:rFonts w:hint="eastAsia" w:ascii="宋体" w:hAnsi="宋体" w:eastAsia="宋体" w:cs="宋体"/>
          <w:b w:val="0"/>
          <w:bCs/>
          <w:color w:val="auto"/>
          <w:sz w:val="24"/>
          <w:szCs w:val="24"/>
          <w:highlight w:val="none"/>
        </w:rPr>
        <w:t xml:space="preserve">结合沛县本地政策实际，制定规划落地实施的政策保障、资金保障、管理保障、监督考核机制，明确更新审批流程、主体权责、运营模式，为城市更新常态化推进提供制度支撑。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（二）重点片区城市更新片区策划</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结合沛县城市发展重点、民生需求及更新潜力，选取中心城区核心重点片区开展精细化更新策划，聚焦片区现状痛点、功能短板、发展短板，打造标杆性更新片区，形成可复制、可推广的更新模式。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1.片区现状深度研判：</w:t>
      </w:r>
      <w:r>
        <w:rPr>
          <w:rFonts w:hint="eastAsia" w:ascii="宋体" w:hAnsi="宋体" w:eastAsia="宋体" w:cs="宋体"/>
          <w:b w:val="0"/>
          <w:bCs/>
          <w:color w:val="auto"/>
          <w:sz w:val="24"/>
          <w:szCs w:val="24"/>
          <w:highlight w:val="none"/>
        </w:rPr>
        <w:t xml:space="preserve">针对选定重点片区，开展用地、建筑、人口、产业、交通、配套、风貌、民生诉求等全方位摸底调研，精准识别片区发展瓶颈、民生短板、资源优势，结合区域发展定位，明确片区更新核心诉求。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2.片区更新定位与方案策划：</w:t>
      </w:r>
      <w:r>
        <w:rPr>
          <w:rFonts w:hint="eastAsia" w:ascii="宋体" w:hAnsi="宋体" w:eastAsia="宋体" w:cs="宋体"/>
          <w:b w:val="0"/>
          <w:bCs/>
          <w:color w:val="auto"/>
          <w:sz w:val="24"/>
          <w:szCs w:val="24"/>
          <w:highlight w:val="none"/>
        </w:rPr>
        <w:t xml:space="preserve">立足片区区位优势和功能短板，确定片区更新总体定位、功能布局、发展主题，统筹开展空间布局优化、老旧空间改造、基础设施升级、公共服务增补、景观风貌提升、产业业态升级等专项策划，打造宜居、宜业、宜游的高品质城市片区。</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3.细分单元管控与业态引导：</w:t>
      </w:r>
      <w:r>
        <w:rPr>
          <w:rFonts w:hint="eastAsia" w:ascii="宋体" w:hAnsi="宋体" w:eastAsia="宋体" w:cs="宋体"/>
          <w:b w:val="0"/>
          <w:bCs/>
          <w:color w:val="auto"/>
          <w:sz w:val="24"/>
          <w:szCs w:val="24"/>
          <w:highlight w:val="none"/>
        </w:rPr>
        <w:t xml:space="preserve">将重点片区细化为若干更新单元，明确各单元更新方式、改造强度、用地管控、建筑风貌、业态布局等细化要求，区分拆除重建、微改造、整治提升等不同更新模式，实现精细化管控。</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4.实施路径与效益分析：</w:t>
      </w:r>
      <w:r>
        <w:rPr>
          <w:rFonts w:hint="eastAsia" w:ascii="宋体" w:hAnsi="宋体" w:eastAsia="宋体" w:cs="宋体"/>
          <w:b w:val="0"/>
          <w:bCs/>
          <w:color w:val="auto"/>
          <w:sz w:val="24"/>
          <w:szCs w:val="24"/>
          <w:highlight w:val="none"/>
        </w:rPr>
        <w:t xml:space="preserve">制定片区更新分步实施计划，明确重点落地项目、建设时序、投资导向，同步开展社会效益、环境效益、民生效益分析，结合沛县实际探索多元化更新运营模式，保障片区更新可持续推进。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（三）2026年度沛县</w:t>
      </w:r>
      <w:r>
        <w:rPr>
          <w:rFonts w:hint="eastAsia" w:ascii="宋体" w:hAnsi="宋体" w:eastAsia="宋体" w:cs="宋体"/>
          <w:b w:val="0"/>
          <w:bCs/>
          <w:color w:val="auto"/>
          <w:sz w:val="24"/>
          <w:szCs w:val="24"/>
          <w:highlight w:val="none"/>
          <w:lang w:eastAsia="zh-CN"/>
        </w:rPr>
        <w:t xml:space="preserve">县城</w:t>
      </w:r>
      <w:r>
        <w:rPr>
          <w:rFonts w:hint="eastAsia" w:ascii="宋体" w:hAnsi="宋体" w:eastAsia="宋体" w:cs="宋体"/>
          <w:b w:val="0"/>
          <w:bCs/>
          <w:color w:val="auto"/>
          <w:sz w:val="24"/>
          <w:szCs w:val="24"/>
          <w:highlight w:val="none"/>
        </w:rPr>
        <w:t xml:space="preserve">体检工作</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严格按照国家、省、市城市</w:t>
      </w:r>
      <w:r>
        <w:rPr>
          <w:rFonts w:hint="eastAsia" w:ascii="宋体" w:hAnsi="宋体" w:eastAsia="宋体" w:cs="宋体"/>
          <w:b w:val="0"/>
          <w:bCs/>
          <w:color w:val="auto"/>
          <w:sz w:val="24"/>
          <w:szCs w:val="24"/>
          <w:highlight w:val="none"/>
          <w:lang w:eastAsia="zh-CN"/>
        </w:rPr>
        <w:t xml:space="preserve">（县城）</w:t>
      </w:r>
      <w:r>
        <w:rPr>
          <w:rFonts w:hint="eastAsia" w:ascii="宋体" w:hAnsi="宋体" w:eastAsia="宋体" w:cs="宋体"/>
          <w:b w:val="0"/>
          <w:bCs/>
          <w:color w:val="auto"/>
          <w:sz w:val="24"/>
          <w:szCs w:val="24"/>
          <w:highlight w:val="none"/>
        </w:rPr>
        <w:t xml:space="preserve">体检工作标准及指标体系，结合沛县城市发展实际，开展2026年度县城建成区城市体检工作，全面排查城市发展问题，建立问题清单、整改清单、责任清单，形成“体检—诊断—整改—提升”闭环机制。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1.体检指标体系落地：</w:t>
      </w:r>
      <w:r>
        <w:rPr>
          <w:rFonts w:hint="eastAsia" w:ascii="宋体" w:hAnsi="宋体" w:eastAsia="宋体" w:cs="宋体"/>
          <w:b w:val="0"/>
          <w:bCs/>
          <w:color w:val="auto"/>
          <w:sz w:val="24"/>
          <w:szCs w:val="24"/>
          <w:highlight w:val="none"/>
        </w:rPr>
        <w:t xml:space="preserve">对照省级城市</w:t>
      </w:r>
      <w:r>
        <w:rPr>
          <w:rFonts w:hint="eastAsia" w:ascii="宋体" w:hAnsi="宋体" w:eastAsia="宋体" w:cs="宋体"/>
          <w:b w:val="0"/>
          <w:bCs/>
          <w:color w:val="auto"/>
          <w:sz w:val="24"/>
          <w:szCs w:val="24"/>
          <w:highlight w:val="none"/>
          <w:lang w:eastAsia="zh-CN"/>
        </w:rPr>
        <w:t xml:space="preserve">（县城）</w:t>
      </w:r>
      <w:r>
        <w:rPr>
          <w:rFonts w:hint="eastAsia" w:ascii="宋体" w:hAnsi="宋体" w:eastAsia="宋体" w:cs="宋体"/>
          <w:b w:val="0"/>
          <w:bCs/>
          <w:color w:val="auto"/>
          <w:sz w:val="24"/>
          <w:szCs w:val="24"/>
          <w:highlight w:val="none"/>
        </w:rPr>
        <w:t xml:space="preserve">体检指标框架，结合沛县城市特色，构建包含生态宜居、健康舒适、安全韧性、交通便捷、风貌特色、整洁有序、多元包容、创新活力八大维度的体检指标体系，细化适配沛县的本地化指标。</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2.数据采集与现状核查：</w:t>
      </w:r>
      <w:r>
        <w:rPr>
          <w:rFonts w:hint="eastAsia" w:ascii="宋体" w:hAnsi="宋体" w:eastAsia="宋体" w:cs="宋体"/>
          <w:b w:val="0"/>
          <w:bCs/>
          <w:color w:val="auto"/>
          <w:sz w:val="24"/>
          <w:szCs w:val="24"/>
          <w:highlight w:val="none"/>
        </w:rPr>
        <w:t xml:space="preserve">通过部门数据收集、实地踏勘、问卷调研、大数据分析、座谈访谈等多种方式，全面采集年度城市建设、民生保障、生态环境、公共服务等相关数据，核查城市建成区现状建设情况，精准摸排城市发展短板与突出问题。</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3.问题诊断与短板分析：</w:t>
      </w:r>
      <w:r>
        <w:rPr>
          <w:rFonts w:hint="eastAsia" w:ascii="宋体" w:hAnsi="宋体" w:eastAsia="宋体" w:cs="宋体"/>
          <w:b w:val="0"/>
          <w:bCs/>
          <w:color w:val="auto"/>
          <w:sz w:val="24"/>
          <w:szCs w:val="24"/>
          <w:highlight w:val="none"/>
        </w:rPr>
        <w:t xml:space="preserve">对照指标标准、规划要求、民生需求，对各项指标进行综合研判，精准诊断城市建设、管理、运营中的薄弱环节，梳理形成年度城市体检问题清单，分析问题成因、影响范围及整改难点。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4.整改方案与提升建议：</w:t>
      </w:r>
      <w:r>
        <w:rPr>
          <w:rFonts w:hint="eastAsia" w:ascii="宋体" w:hAnsi="宋体" w:eastAsia="宋体" w:cs="宋体"/>
          <w:b w:val="0"/>
          <w:bCs/>
          <w:color w:val="auto"/>
          <w:sz w:val="24"/>
          <w:szCs w:val="24"/>
          <w:highlight w:val="none"/>
        </w:rPr>
        <w:t xml:space="preserve">针对排查出的各类问题，分类制定针对性整改措施、提升方案，明确整改重点、实施路径、时序安排，结合城市更新、基础设施建设、民生工程等工作，提出年度城市品质提升重点任务和项目建议。</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5.形成年度体检成果：</w:t>
      </w:r>
      <w:r>
        <w:rPr>
          <w:rFonts w:hint="eastAsia" w:ascii="宋体" w:hAnsi="宋体" w:eastAsia="宋体" w:cs="宋体"/>
          <w:b w:val="0"/>
          <w:bCs/>
          <w:color w:val="auto"/>
          <w:sz w:val="24"/>
          <w:szCs w:val="24"/>
          <w:highlight w:val="none"/>
        </w:rPr>
        <w:t xml:space="preserve">编制2026年度沛县城市体检总报告、专项分析报告、问题整改清单、提升行动方案，完成数据入库、成果汇总，通过主管部门审核备案。</w:t>
      </w:r>
      <w:r/>
    </w:p>
    <w:p>
      <w:pPr>
        <w:numPr>
          <w:ilvl w:val="0"/>
          <w:numId w:val="0"/>
        </w:numPr>
        <w:spacing w:after="120" w:line="360" w:lineRule="auto"/>
        <w:widowControl/>
        <w:tabs>
          <w:tab w:val="left" w:pos="18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五、</w:t>
      </w:r>
      <w:r>
        <w:rPr>
          <w:rFonts w:hint="eastAsia" w:ascii="宋体" w:hAnsi="宋体" w:eastAsia="宋体" w:cs="宋体"/>
          <w:b/>
          <w:bCs w:val="0"/>
          <w:color w:val="auto"/>
          <w:sz w:val="24"/>
          <w:szCs w:val="24"/>
          <w:highlight w:val="none"/>
        </w:rPr>
        <w:t xml:space="preserve">成果</w:t>
      </w:r>
      <w:r>
        <w:rPr>
          <w:rFonts w:hint="eastAsia" w:ascii="宋体" w:hAnsi="宋体" w:eastAsia="宋体" w:cs="宋体"/>
          <w:b/>
          <w:bCs w:val="0"/>
          <w:color w:val="auto"/>
          <w:sz w:val="24"/>
          <w:szCs w:val="24"/>
          <w:highlight w:val="none"/>
          <w:lang w:eastAsia="zh-CN"/>
        </w:rPr>
        <w:t xml:space="preserve">交付</w:t>
      </w:r>
      <w:r>
        <w:rPr>
          <w:rFonts w:hint="eastAsia" w:ascii="宋体" w:hAnsi="宋体" w:eastAsia="宋体" w:cs="宋体"/>
          <w:b/>
          <w:bCs w:val="0"/>
          <w:color w:val="auto"/>
          <w:sz w:val="24"/>
          <w:szCs w:val="24"/>
          <w:highlight w:val="none"/>
        </w:rPr>
        <w:t xml:space="preserve">要求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供应商需按采购人及行业规范要求，完成全套成果编制、修改、评审、报批工作，最终交付完整、规范、可落地的成果资料，具体交付内容如下：</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1.文字报告成果：</w:t>
      </w:r>
      <w:r>
        <w:rPr>
          <w:rFonts w:hint="eastAsia" w:ascii="宋体" w:hAnsi="宋体" w:eastAsia="宋体" w:cs="宋体"/>
          <w:color w:val="auto"/>
          <w:sz w:val="24"/>
          <w:szCs w:val="24"/>
          <w:highlight w:val="none"/>
          <w:lang w:val="en-US" w:eastAsia="zh-CN" w:bidi="ar-SA"/>
        </w:rPr>
        <w:t xml:space="preserve">包含城市更新专项规划文本、说明书、图集；重点片区更新策划方案文本、图集、实施说明；2026年度城市体检总报告、专项报告、问题清单、整改方案等全套文字资料。</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2.图纸成果：</w:t>
      </w:r>
      <w:r>
        <w:rPr>
          <w:rFonts w:hint="eastAsia" w:ascii="宋体" w:hAnsi="宋体" w:eastAsia="宋体" w:cs="宋体"/>
          <w:color w:val="auto"/>
          <w:sz w:val="24"/>
          <w:szCs w:val="24"/>
          <w:highlight w:val="none"/>
          <w:lang w:val="en-US" w:eastAsia="zh-CN" w:bidi="ar-SA"/>
        </w:rPr>
        <w:t xml:space="preserve">包含现状分析图、规划布局图、分区管控图、重点片区改造效果图、交通分析图、生态管控图、设施布局图等全套规范图纸，图纸分辨率、精度符合行业评审标准。</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3.数据成果：</w:t>
      </w:r>
      <w:r>
        <w:rPr>
          <w:rFonts w:hint="eastAsia" w:ascii="宋体" w:hAnsi="宋体" w:eastAsia="宋体" w:cs="宋体"/>
          <w:color w:val="auto"/>
          <w:sz w:val="24"/>
          <w:szCs w:val="24"/>
          <w:highlight w:val="none"/>
          <w:lang w:val="en-US" w:eastAsia="zh-CN" w:bidi="ar-SA"/>
        </w:rPr>
        <w:t xml:space="preserve">提交符合国土空间规划数据标准的矢量数据、体检指标数据库、项目库台账等电子数据，确保数据完整、精准、可对接主管部门信息平台。</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4.交付份数：</w:t>
      </w:r>
      <w:r>
        <w:rPr>
          <w:rFonts w:hint="eastAsia" w:ascii="宋体" w:hAnsi="宋体" w:eastAsia="宋体" w:cs="宋体"/>
          <w:color w:val="auto"/>
          <w:sz w:val="24"/>
          <w:szCs w:val="24"/>
          <w:highlight w:val="none"/>
          <w:lang w:val="en-US" w:eastAsia="zh-CN" w:bidi="ar-SA"/>
        </w:rPr>
        <w:t xml:space="preserve">纸质成果每套完整资料10套，高清电子成果（PDF、CAD、矢量数据、PPT汇报文件）全套交付，满足评审、报批、归档、公示使用需求。</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5.成果修改服务：</w:t>
      </w:r>
      <w:r>
        <w:rPr>
          <w:rFonts w:hint="eastAsia" w:ascii="宋体" w:hAnsi="宋体" w:eastAsia="宋体" w:cs="宋体"/>
          <w:color w:val="auto"/>
          <w:sz w:val="24"/>
          <w:szCs w:val="24"/>
          <w:highlight w:val="none"/>
          <w:lang w:val="en-US" w:eastAsia="zh-CN" w:bidi="ar-SA"/>
        </w:rPr>
        <w:t xml:space="preserve">全过程配合采购人、主管部门、评审专家开展成果修改、汇报答辩、公示答疑、报批完善等工作，直至成果全部通过审查备案。</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六、服务期限与进度要求</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本项目总服务周期为合同签订之日起180日历天，具体分阶段进度要求如下：</w:t>
      </w:r>
      <w:r/>
    </w:p>
    <w:p>
      <w:pPr>
        <w:ind w:firstLine="48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1.现状调研与初稿阶段（60日历天）：</w:t>
      </w:r>
      <w:r>
        <w:rPr>
          <w:rFonts w:hint="eastAsia" w:ascii="宋体" w:hAnsi="宋体" w:eastAsia="宋体" w:cs="宋体"/>
          <w:b w:val="0"/>
          <w:bCs/>
          <w:color w:val="auto"/>
          <w:sz w:val="24"/>
          <w:szCs w:val="24"/>
          <w:highlight w:val="none"/>
        </w:rPr>
        <w:t xml:space="preserve">完成全域现状调研、数据收集、民意调研，完成城市更新专项规划、片区策划、城市体检初步成果编制，提交采购人初审。</w:t>
      </w:r>
      <w:r/>
    </w:p>
    <w:p>
      <w:pPr>
        <w:ind w:firstLine="48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2.成果完善与评审阶段（90日历天）：</w:t>
      </w:r>
      <w:r>
        <w:rPr>
          <w:rFonts w:hint="eastAsia" w:ascii="宋体" w:hAnsi="宋体" w:eastAsia="宋体" w:cs="宋体"/>
          <w:b w:val="0"/>
          <w:bCs/>
          <w:color w:val="auto"/>
          <w:sz w:val="24"/>
          <w:szCs w:val="24"/>
          <w:highlight w:val="none"/>
        </w:rPr>
        <w:t xml:space="preserve">根据初审意见修改完善成果，组织专家评审、部门会商，完成成果公示，形成评审修改后的正式成果。</w:t>
      </w:r>
      <w:r/>
    </w:p>
    <w:p>
      <w:pPr>
        <w:ind w:firstLine="48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3.报批归档阶段（180日历天内）：</w:t>
      </w:r>
      <w:r>
        <w:rPr>
          <w:rFonts w:hint="eastAsia" w:ascii="宋体" w:hAnsi="宋体" w:eastAsia="宋体" w:cs="宋体"/>
          <w:b w:val="0"/>
          <w:bCs/>
          <w:color w:val="auto"/>
          <w:sz w:val="24"/>
          <w:szCs w:val="24"/>
          <w:highlight w:val="none"/>
        </w:rPr>
        <w:t xml:space="preserve">完成全部成果报批、备案、数据入库、资料归档工作，交付全套合格成果。</w:t>
      </w:r>
      <w:r/>
    </w:p>
    <w:p>
      <w:pPr>
        <w:ind w:firstLine="480"/>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服务期内，供应商需无条件配合采购人各项工作调整、汇报、检查、整改要求，确保项目按期保质完成。</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七、人员与服务要求</w:t>
      </w:r>
      <w:r/>
    </w:p>
    <w:p>
      <w:pPr>
        <w:ind w:firstLine="48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1.团队配置要求：</w:t>
      </w:r>
      <w:r>
        <w:rPr>
          <w:rFonts w:hint="eastAsia" w:ascii="宋体" w:hAnsi="宋体" w:eastAsia="宋体" w:cs="宋体"/>
          <w:b w:val="0"/>
          <w:bCs/>
          <w:color w:val="auto"/>
          <w:sz w:val="24"/>
          <w:szCs w:val="24"/>
          <w:highlight w:val="none"/>
        </w:rPr>
        <w:t xml:space="preserve">供应商需组建专业、稳定的项目服务团队，配备项目负责人、规划主创、专项技术人员等，团队人员需具备城乡规划、城市更新、国土空间规划、城市体检相关工作经验，能够熟练完成本项目各项编制、调研、落地指导工作。项目实施期间不得随意更换核心主创人员，确需更换的需提前征得采购人同意。</w:t>
      </w:r>
      <w:r/>
    </w:p>
    <w:p>
      <w:pPr>
        <w:ind w:firstLine="48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2.驻地服务要求：</w:t>
      </w:r>
      <w:r>
        <w:rPr>
          <w:rFonts w:hint="eastAsia" w:ascii="宋体" w:hAnsi="宋体" w:eastAsia="宋体" w:cs="宋体"/>
          <w:b w:val="0"/>
          <w:bCs/>
          <w:color w:val="auto"/>
          <w:sz w:val="24"/>
          <w:szCs w:val="24"/>
          <w:highlight w:val="none"/>
        </w:rPr>
        <w:t xml:space="preserve">项目关键阶段（现状调研、评审汇报、成果整改、报批对接）需安排人员驻场服务，及时响应采购人工作需求，高效对接各主管部门，保障项目推进效率。</w:t>
      </w:r>
      <w:r/>
    </w:p>
    <w:p>
      <w:pPr>
        <w:ind w:firstLine="48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3.全程配合服务：</w:t>
      </w:r>
      <w:r>
        <w:rPr>
          <w:rFonts w:hint="eastAsia" w:ascii="宋体" w:hAnsi="宋体" w:eastAsia="宋体" w:cs="宋体"/>
          <w:b w:val="0"/>
          <w:bCs/>
          <w:color w:val="auto"/>
          <w:sz w:val="24"/>
          <w:szCs w:val="24"/>
          <w:highlight w:val="none"/>
        </w:rPr>
        <w:t xml:space="preserve">无条件配合采购人完成项目汇报、答辩、公示、答疑、资料上报、督查整改等全部相关工作，服务范围覆盖项目全周期，直至成果完全落地归档。</w:t>
      </w:r>
      <w:r/>
    </w:p>
    <w:p>
      <w:pPr>
        <w:ind w:firstLine="482"/>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4.保密要求：</w:t>
      </w:r>
      <w:r>
        <w:rPr>
          <w:rFonts w:hint="eastAsia" w:ascii="宋体" w:hAnsi="宋体" w:eastAsia="宋体" w:cs="宋体"/>
          <w:b w:val="0"/>
          <w:bCs/>
          <w:color w:val="auto"/>
          <w:sz w:val="24"/>
          <w:szCs w:val="24"/>
          <w:highlight w:val="none"/>
        </w:rPr>
        <w:t xml:space="preserve">供应商对项目调研数据、城市现状数据、规划成果、涉密资料等严格保密，不得外泄、不得用于本项目以外其他用途，项目完成后需销毁临时涉密资料，承担相应保密责任。</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八、验收标准与方式</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验收标准：项目成果符合国家、省、市现行法律法规、技术规范、政策文件要求，完全响应本采购需求全部内容；通过采购人、相关主管部门及专家评审；成果资料完整、数据精准、图纸规范、方案可落地，顺利完成备案归档，即为验收合格。</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2.验收方式：项目全部成果完成后，供应商提交验收申请及全套成果资料，采购人组织内部审核、专家复核、部门核验，结合成果评审、备案情况进行综合验收，出具验收意见</w:t>
      </w:r>
      <w:r>
        <w:rPr>
          <w:rFonts w:hint="eastAsia" w:ascii="宋体" w:hAnsi="宋体" w:eastAsia="宋体" w:cs="宋体"/>
          <w:b w:val="0"/>
          <w:bCs/>
          <w:color w:val="auto"/>
          <w:sz w:val="24"/>
          <w:szCs w:val="24"/>
          <w:highlight w:val="none"/>
        </w:rPr>
        <w:t xml:space="preserve">。</w:t>
      </w:r>
      <w:r/>
    </w:p>
    <w:p>
      <w:pPr>
        <w:jc w:val="both"/>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九、其他要求</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1.本项目所有成果知识产权归采购人所有，供应商不得擅自使用、传播、转让，未经采购人许可不得用于其他项目。</w:t>
      </w:r>
      <w:r/>
    </w:p>
    <w:p>
      <w:pPr>
        <w:ind w:firstLine="480"/>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2.项目实施过程中产生的一切费用（调研费、差旅费、专家评审费、资料打印费、数据采购费、税费等）均包含在总报价内，采购人不另行支付任何费用。</w:t>
      </w:r>
      <w:r/>
    </w:p>
    <w:p>
      <w:pPr>
        <w:ind w:firstLine="480"/>
        <w:jc w:val="both"/>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3.供应商需主动对接各级主管部门，确保成果符合最新政策、规范及审批要求，因供应商编制问题导致成果无法通过评审、报批的，需无偿整改直至合格，并承担相应违约责任</w:t>
      </w:r>
      <w:r>
        <w:rPr>
          <w:rFonts w:hint="eastAsia" w:ascii="宋体" w:hAnsi="宋体" w:eastAsia="宋体" w:cs="宋体"/>
          <w:b w:val="0"/>
          <w:bCs/>
          <w:color w:val="auto"/>
          <w:sz w:val="24"/>
          <w:szCs w:val="24"/>
          <w:highlight w:val="none"/>
          <w:lang w:eastAsia="zh-CN"/>
        </w:rPr>
        <w:t xml:space="preserve">。</w:t>
      </w:r>
      <w:r/>
    </w:p>
    <w:p>
      <w:pPr>
        <w:ind w:firstLine="480"/>
        <w:jc w:val="left"/>
        <w:spacing w:line="240" w:lineRule="auto"/>
        <w:rPr>
          <w:rFonts w:hint="eastAsia" w:ascii="宋体" w:hAnsi="宋体" w:cs="宋体"/>
          <w:b/>
          <w:bCs/>
          <w:color w:val="auto"/>
          <w:sz w:val="36"/>
          <w:highlight w:val="none"/>
        </w:rPr>
      </w:pPr>
      <w:r>
        <w:rPr>
          <w:rFonts w:hint="eastAsia" w:ascii="宋体" w:hAnsi="宋体" w:eastAsia="宋体" w:cs="宋体"/>
          <w:b w:val="0"/>
          <w:bCs/>
          <w:color w:val="auto"/>
          <w:sz w:val="24"/>
          <w:szCs w:val="24"/>
          <w:highlight w:val="none"/>
          <w:lang w:val="en-US" w:eastAsia="zh-CN"/>
        </w:rPr>
        <w:t xml:space="preserve">4.其他内容见磋商文件附件《拟签订的合同文本》。</w:t>
      </w:r>
      <w:r>
        <w:rPr>
          <w:rFonts w:hint="eastAsia" w:ascii="宋体" w:hAnsi="宋体" w:cs="宋体"/>
          <w:b/>
          <w:bCs/>
          <w:color w:val="auto"/>
          <w:sz w:val="36"/>
          <w:highlight w:val="none"/>
        </w:rPr>
        <w:br w:type="page" w:clear="all"/>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3、磋商报价表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88"/>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eastAsia="zh-CN"/>
              </w:rPr>
              <w:t xml:space="preserve">沛县城市更新专项规划、片区策划和2026年度县城体检</w:t>
            </w:r>
            <w:r/>
          </w:p>
        </w:tc>
        <w:tc>
          <w:tcPr>
            <w:tcW w:w="203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21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4726"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2"/>
            <w:tcW w:w="4215"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供应商承诺：本报价（总价）为供应商本企业提供的服务。</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numPr>
          <w:ilvl w:val="0"/>
          <w:numId w:val="4"/>
        </w:numPr>
        <w:spacing w:line="52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报价包括完成项目的所有费用。采购人不再支付报价以外的任何费用。。</w:t>
      </w:r>
      <w:r/>
    </w:p>
    <w:p>
      <w:pPr>
        <w:numPr>
          <w:ilvl w:val="0"/>
          <w:numId w:val="4"/>
        </w:num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958"/>
        <w:rPr>
          <w:rFonts w:hint="eastAsia" w:ascii="宋体" w:hAnsi="宋体" w:cs="宋体"/>
          <w:color w:val="auto"/>
          <w:highlight w:val="none"/>
        </w:rPr>
      </w:pPr>
      <w:r>
        <w:rPr>
          <w:rFonts w:hint="eastAsia" w:ascii="宋体" w:hAnsi="宋体" w:cs="宋体"/>
          <w:color w:val="auto"/>
          <w:highlight w:val="none"/>
        </w:rPr>
      </w:r>
      <w:r/>
    </w:p>
    <w:p>
      <w:pPr>
        <w:pStyle w:val="913"/>
        <w:ind w:left="0"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格式自拟。</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916"/>
        <w:rPr>
          <w:rFonts w:hint="eastAsia" w:ascii="宋体" w:hAnsi="宋体" w:cs="宋体"/>
          <w:color w:val="auto"/>
          <w:sz w:val="24"/>
          <w:highlight w:val="none"/>
        </w:rPr>
      </w:pPr>
      <w:r>
        <w:rPr>
          <w:rFonts w:hint="eastAsia" w:ascii="宋体" w:hAnsi="宋体" w:cs="宋体"/>
          <w:color w:val="auto"/>
          <w:sz w:val="24"/>
          <w:highlight w:val="none"/>
        </w:rPr>
      </w:r>
      <w:r/>
    </w:p>
    <w:p>
      <w:pPr>
        <w:pStyle w:val="91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供应商（供应商电子签章）：</w:t>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rPr>
          <w:rFonts w:hint="eastAsia" w:ascii="宋体" w:hAnsi="宋体" w:cs="宋体"/>
          <w:b/>
          <w:bCs/>
          <w:color w:val="auto"/>
          <w:sz w:val="24"/>
          <w:highlight w:val="none"/>
        </w:rPr>
      </w:pPr>
      <w:r>
        <w:rPr>
          <w:rFonts w:hint="eastAsia" w:ascii="宋体" w:hAnsi="宋体" w:cs="宋体"/>
          <w:b/>
          <w:bCs/>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rPr>
          <w:rFonts w:hint="eastAsia" w:ascii="宋体" w:hAnsi="宋体" w:cs="宋体"/>
          <w:color w:val="auto"/>
          <w:sz w:val="24"/>
          <w:highlight w:val="none"/>
        </w:rPr>
      </w:pPr>
      <w:r>
        <w:rPr>
          <w:rFonts w:hint="eastAsia" w:ascii="宋体" w:hAnsi="宋体" w:cs="宋体"/>
          <w:color w:val="auto"/>
          <w:sz w:val="24"/>
          <w:highlight w:val="none"/>
        </w:rPr>
        <w:t xml:space="preserve">1、如果不提供详细分项报价将视为没有实质性响应。</w:t>
      </w:r>
      <w:r/>
    </w:p>
    <w:p>
      <w:pP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5</w:t>
      </w:r>
      <w:r>
        <w:rPr>
          <w:rFonts w:hint="eastAsia" w:ascii="宋体" w:hAnsi="宋体" w:cs="宋体"/>
          <w:b/>
          <w:bCs/>
          <w:color w:val="auto"/>
          <w:sz w:val="36"/>
          <w:highlight w:val="none"/>
        </w:rPr>
        <w:t xml:space="preserve">、偏离表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888"/>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34"/>
        <w:jc w:val="center"/>
        <w:spacing w:after="312" w:line="520" w:lineRule="exact"/>
        <w:rPr>
          <w:rFonts w:hint="eastAsia" w:hAnsi="宋体" w:cs="宋体"/>
          <w:b/>
          <w:color w:val="auto"/>
          <w:sz w:val="32"/>
          <w:szCs w:val="32"/>
          <w:highlight w:val="none"/>
        </w:rPr>
      </w:pPr>
      <w:r>
        <w:rPr>
          <w:rFonts w:hint="eastAsia" w:hAnsi="宋体" w:cs="宋体"/>
          <w:b/>
          <w:color w:val="auto"/>
          <w:sz w:val="36"/>
          <w:highlight w:val="none"/>
        </w:rPr>
        <w:br w:type="page" w:clear="all"/>
      </w:r>
      <w:r>
        <w:rPr>
          <w:rFonts w:hint="eastAsia" w:hAnsi="宋体" w:cs="宋体"/>
          <w:b/>
          <w:bCs/>
          <w:color w:val="auto"/>
          <w:sz w:val="36"/>
          <w:szCs w:val="36"/>
          <w:highlight w:val="none"/>
          <w:lang w:val="en-US" w:eastAsia="zh-CN"/>
        </w:rPr>
        <w:t xml:space="preserve">6</w:t>
      </w:r>
      <w:r>
        <w:rPr>
          <w:rFonts w:hint="eastAsia" w:hAnsi="宋体" w:cs="宋体"/>
          <w:b/>
          <w:bCs/>
          <w:color w:val="auto"/>
          <w:sz w:val="36"/>
          <w:szCs w:val="36"/>
          <w:highlight w:val="none"/>
        </w:rPr>
        <w:t xml:space="preserve">、拟签订的合同文本</w:t>
      </w:r>
      <w:r/>
    </w:p>
    <w:p>
      <w:pPr>
        <w:pStyle w:val="1135"/>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widowControl/>
        <w:rPr>
          <w:rFonts w:ascii="宋体" w:hAnsi="宋体"/>
          <w:b/>
          <w:color w:val="auto"/>
          <w:sz w:val="52"/>
          <w:szCs w:val="52"/>
          <w:highlight w:val="none"/>
        </w:rPr>
      </w:pPr>
      <w:r>
        <w:rPr>
          <w:rFonts w:ascii="宋体" w:hAnsi="宋体"/>
          <w:b/>
          <w:color w:val="auto"/>
          <w:sz w:val="52"/>
          <w:szCs w:val="52"/>
          <w:highlight w:val="none"/>
        </w:rPr>
        <w:t xml:space="preserve">政府采购合同</w:t>
      </w:r>
      <w:r/>
    </w:p>
    <w:p>
      <w:pPr>
        <w:ind w:firstLine="315"/>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ind w:firstLine="1807"/>
        <w:jc w:val="left"/>
        <w:widowControl/>
        <w:rPr>
          <w:rFonts w:ascii="宋体" w:hAnsi="宋体"/>
          <w:b/>
          <w:bCs/>
          <w:color w:val="auto"/>
          <w:sz w:val="24"/>
          <w:szCs w:val="24"/>
          <w:highlight w:val="none"/>
        </w:rPr>
      </w:pPr>
      <w:r>
        <w:rPr>
          <w:rFonts w:ascii="宋体" w:hAnsi="宋体"/>
          <w:b/>
          <w:bCs/>
          <w:color w:val="auto"/>
          <w:sz w:val="24"/>
          <w:szCs w:val="24"/>
          <w:highlight w:val="none"/>
        </w:rPr>
      </w:r>
      <w:r/>
    </w:p>
    <w:p>
      <w:pPr>
        <w:numPr>
          <w:ilvl w:val="0"/>
          <w:numId w:val="0"/>
        </w:numPr>
        <w:ind w:left="720"/>
        <w:keepLines/>
        <w:keepNext/>
        <w:spacing w:before="260" w:after="260" w:line="416" w:lineRule="auto"/>
        <w:tabs>
          <w:tab w:val="left" w:pos="720" w:leader="none"/>
        </w:tabs>
        <w:rPr>
          <w:rFonts w:hint="default" w:ascii="Cambria" w:hAnsi="Cambria" w:eastAsia="宋体" w:cs="Times New Roman"/>
          <w:b/>
          <w:bCs/>
          <w:color w:val="auto"/>
          <w:sz w:val="24"/>
          <w:szCs w:val="24"/>
          <w:highlight w:val="none"/>
          <w:lang w:val="en-US" w:eastAsia="zh-CN" w:bidi="ar-SA"/>
        </w:rPr>
        <w:outlineLvl w:val="1"/>
      </w:pPr>
      <w:r>
        <w:rPr>
          <w:rFonts w:hint="default" w:ascii="Cambria" w:hAnsi="Cambria" w:eastAsia="宋体" w:cs="Times New Roman"/>
          <w:b/>
          <w:bCs/>
          <w:color w:val="auto"/>
          <w:sz w:val="24"/>
          <w:szCs w:val="24"/>
          <w:highlight w:val="none"/>
          <w:lang w:val="en-US" w:eastAsia="zh-CN" w:bidi="ar-SA"/>
        </w:rPr>
      </w:r>
      <w:r/>
    </w:p>
    <w:p>
      <w:pPr>
        <w:jc w:val="left"/>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t xml:space="preserve">项目编号：</w:t>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r>
      <w:r/>
    </w:p>
    <w:p>
      <w:pPr>
        <w:ind w:firstLine="723"/>
        <w:jc w:val="left"/>
        <w:widowControl/>
        <w:rPr>
          <w:rFonts w:hint="eastAsia" w:ascii="宋体" w:hAnsi="宋体" w:eastAsia="宋体"/>
          <w:b/>
          <w:color w:val="auto"/>
          <w:sz w:val="24"/>
          <w:szCs w:val="24"/>
          <w:highlight w:val="none"/>
          <w:lang w:eastAsia="zh-CN"/>
        </w:rPr>
      </w:pPr>
      <w:r>
        <w:rPr>
          <w:rFonts w:ascii="宋体" w:hAnsi="宋体"/>
          <w:b/>
          <w:color w:val="auto"/>
          <w:sz w:val="24"/>
          <w:szCs w:val="24"/>
          <w:highlight w:val="none"/>
        </w:rPr>
        <w:t xml:space="preserve">项目名称：</w:t>
      </w:r>
      <w:r>
        <w:rPr>
          <w:rFonts w:hint="eastAsia" w:ascii="宋体" w:hAnsi="宋体"/>
          <w:b/>
          <w:color w:val="auto"/>
          <w:sz w:val="24"/>
          <w:szCs w:val="24"/>
          <w:highlight w:val="none"/>
          <w:lang w:eastAsia="zh-CN"/>
        </w:rPr>
        <w:t xml:space="preserve">沛县城市更新专项规划、片区策划和2026年度县城体检</w:t>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r>
      <w:r/>
    </w:p>
    <w:p>
      <w:pPr>
        <w:ind w:firstLine="708"/>
        <w:jc w:val="left"/>
        <w:widowControl/>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委托单位（甲方）：</w:t>
      </w:r>
      <w:r>
        <w:rPr>
          <w:rFonts w:hint="eastAsia" w:ascii="宋体" w:hAnsi="宋体"/>
          <w:b/>
          <w:color w:val="auto"/>
          <w:sz w:val="24"/>
          <w:szCs w:val="24"/>
          <w:highlight w:val="none"/>
          <w:lang w:eastAsia="zh-CN"/>
        </w:rPr>
        <w:t xml:space="preserve">沛县住房和城乡建设局</w:t>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r>
      <w:r/>
    </w:p>
    <w:p>
      <w:pPr>
        <w:ind w:firstLine="708"/>
        <w:jc w:val="left"/>
        <w:widowControl/>
        <w:rPr>
          <w:rFonts w:ascii="宋体" w:hAnsi="宋体"/>
          <w:b/>
          <w:color w:val="auto"/>
          <w:sz w:val="24"/>
          <w:szCs w:val="24"/>
          <w:highlight w:val="none"/>
        </w:rPr>
      </w:pPr>
      <w:r>
        <w:rPr>
          <w:rFonts w:hint="eastAsia" w:ascii="宋体" w:hAnsi="宋体"/>
          <w:b/>
          <w:color w:val="auto"/>
          <w:sz w:val="24"/>
          <w:szCs w:val="24"/>
          <w:highlight w:val="none"/>
        </w:rPr>
        <w:t xml:space="preserve">承担单位（乙方）：</w:t>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r>
      <w:r/>
    </w:p>
    <w:p>
      <w:pPr>
        <w:ind w:firstLine="708"/>
        <w:jc w:val="left"/>
        <w:widowControl/>
        <w:rPr>
          <w:rFonts w:ascii="宋体" w:hAnsi="宋体"/>
          <w:b/>
          <w:color w:val="auto"/>
          <w:sz w:val="24"/>
          <w:szCs w:val="24"/>
          <w:highlight w:val="none"/>
        </w:rPr>
      </w:pPr>
      <w:r>
        <w:rPr>
          <w:rFonts w:ascii="宋体" w:hAnsi="宋体"/>
          <w:b/>
          <w:color w:val="auto"/>
          <w:sz w:val="24"/>
          <w:szCs w:val="24"/>
          <w:highlight w:val="none"/>
        </w:rPr>
        <w:t xml:space="preserve">签订日期：    年  月  日</w:t>
      </w:r>
      <w:r/>
    </w:p>
    <w:p>
      <w:pPr>
        <w:numPr>
          <w:ilvl w:val="0"/>
          <w:numId w:val="0"/>
        </w:numPr>
        <w:ind w:left="720"/>
        <w:keepLines/>
        <w:keepNext/>
        <w:pageBreakBefore w:val="0"/>
        <w:spacing w:before="260" w:after="260" w:line="360" w:lineRule="auto"/>
        <w:widowControl/>
        <w:tabs>
          <w:tab w:val="left" w:pos="720" w:leader="none"/>
        </w:tabs>
        <w:rPr>
          <w:rFonts w:hint="default" w:ascii="Cambria" w:hAnsi="Cambria" w:eastAsia="宋体" w:cs="Times New Roman"/>
          <w:b/>
          <w:bCs/>
          <w:color w:val="auto"/>
          <w:sz w:val="24"/>
          <w:szCs w:val="24"/>
          <w:highlight w:val="none"/>
          <w:lang w:val="en-US" w:eastAsia="zh-CN" w:bidi="ar-SA"/>
        </w:rPr>
        <w:outlineLvl w:val="1"/>
      </w:pPr>
      <w:r>
        <w:rPr>
          <w:rFonts w:hint="default" w:ascii="Cambria" w:hAnsi="Cambria" w:eastAsia="宋体" w:cs="Times New Roman"/>
          <w:b/>
          <w:bCs/>
          <w:color w:val="auto"/>
          <w:sz w:val="24"/>
          <w:szCs w:val="24"/>
          <w:highlight w:val="none"/>
          <w:lang w:val="en-US" w:eastAsia="zh-CN" w:bidi="ar-SA"/>
        </w:rPr>
      </w:r>
      <w:r/>
    </w:p>
    <w:p>
      <w:pPr>
        <w:ind w:firstLine="482"/>
        <w:jc w:val="both"/>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r>
      <w:r/>
    </w:p>
    <w:p>
      <w:pPr>
        <w:ind w:firstLine="482"/>
        <w:jc w:val="both"/>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友情提醒：</w:t>
      </w:r>
      <w:r/>
    </w:p>
    <w:p>
      <w:pPr>
        <w:ind w:firstLine="482"/>
        <w:jc w:val="both"/>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bidi="ar-SA"/>
        </w:rPr>
        <w:outlineLvl w:val="9"/>
      </w:pPr>
      <w:r>
        <w:rPr>
          <w:rFonts w:hint="eastAsia" w:ascii="宋体" w:hAnsi="宋体" w:eastAsia="宋体" w:cs="宋体"/>
          <w:b/>
          <w:bCs w:val="0"/>
          <w:color w:val="auto"/>
          <w:sz w:val="24"/>
          <w:szCs w:val="24"/>
          <w:highlight w:val="none"/>
          <w:lang w:val="en-US" w:eastAsia="zh-CN" w:bidi="ar-SA"/>
        </w:rPr>
        <w:t xml:space="preserve">采购人与成交人应当在成交通知书发出之日起三十日内，按照采购文件确定的事项签订政府采购合同。</w:t>
      </w:r>
      <w:r/>
    </w:p>
    <w:p>
      <w:pPr>
        <w:ind w:firstLine="560"/>
        <w:jc w:val="left"/>
        <w:pageBreakBefore w:val="0"/>
        <w:spacing w:line="360" w:lineRule="auto"/>
        <w:widowControl/>
        <w:rPr>
          <w:rFonts w:ascii="宋体" w:hAnsi="宋体"/>
          <w:color w:val="auto"/>
          <w:sz w:val="24"/>
          <w:szCs w:val="24"/>
          <w:highlight w:val="none"/>
        </w:rPr>
      </w:pPr>
      <w:r>
        <w:rPr>
          <w:rFonts w:hint="eastAsia" w:ascii="宋体" w:hAnsi="宋体" w:eastAsia="宋体" w:cs="宋体"/>
          <w:b/>
          <w:bCs w:val="0"/>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40"/>
        <w:jc w:val="left"/>
        <w:widowControl/>
        <w:rPr>
          <w:rFonts w:ascii="宋体" w:hAnsi="宋体"/>
          <w:color w:val="auto"/>
          <w:sz w:val="24"/>
          <w:szCs w:val="24"/>
          <w:highlight w:val="none"/>
        </w:rPr>
      </w:pPr>
      <w:r>
        <w:rPr>
          <w:rFonts w:ascii="宋体" w:hAnsi="宋体"/>
          <w:color w:val="auto"/>
          <w:sz w:val="24"/>
          <w:szCs w:val="24"/>
          <w:highlight w:val="none"/>
        </w:rPr>
      </w:r>
      <w:r/>
    </w:p>
    <w:p>
      <w:pPr>
        <w:ind w:firstLine="700"/>
        <w:jc w:val="left"/>
        <w:spacing w:line="380" w:lineRule="exact"/>
        <w:widowControl w:val="off"/>
        <w:rPr>
          <w:rFonts w:ascii="宋体" w:hAnsi="宋体"/>
          <w:color w:val="auto"/>
          <w:sz w:val="24"/>
          <w:szCs w:val="24"/>
          <w:highlight w:val="none"/>
        </w:rPr>
      </w:pPr>
      <w:r>
        <w:rPr>
          <w:rFonts w:ascii="Times New Roman" w:hAnsi="Times New Roman"/>
          <w:color w:val="auto"/>
          <w:sz w:val="24"/>
          <w:szCs w:val="24"/>
          <w:highlight w:val="none"/>
        </w:rPr>
        <w:br w:type="page" w:clear="all"/>
      </w:r>
      <w:r/>
    </w:p>
    <w:p>
      <w:pPr>
        <w:rPr>
          <w:rFonts w:hint="eastAsia" w:hAnsi="宋体"/>
          <w:color w:val="auto"/>
          <w:highlight w:val="none"/>
        </w:rPr>
      </w:pPr>
      <w:r>
        <w:rPr>
          <w:rFonts w:hint="eastAsia" w:hAnsi="宋体"/>
          <w:color w:val="auto"/>
          <w:highlight w:val="none"/>
        </w:rPr>
        <w:t xml:space="preserve">甲方：</w:t>
      </w:r>
      <w:r/>
    </w:p>
    <w:p>
      <w:pPr>
        <w:rPr>
          <w:rFonts w:hint="eastAsia" w:hAnsi="宋体"/>
          <w:color w:val="auto"/>
          <w:highlight w:val="none"/>
        </w:rPr>
      </w:pPr>
      <w:r>
        <w:rPr>
          <w:rFonts w:hint="eastAsia" w:hAnsi="宋体"/>
          <w:color w:val="auto"/>
          <w:highlight w:val="none"/>
        </w:rPr>
        <w:t xml:space="preserve">乙方</w:t>
      </w:r>
      <w:r>
        <w:rPr>
          <w:rFonts w:hint="eastAsia" w:hAnsi="宋体"/>
          <w:color w:val="auto"/>
          <w:highlight w:val="none"/>
          <w:lang w:eastAsia="zh-CN"/>
        </w:rPr>
        <w:t xml:space="preserve">：</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年</w:t>
      </w:r>
      <w:r>
        <w:rPr>
          <w:rFonts w:hint="eastAsia" w:hAnsi="宋体"/>
          <w:color w:val="auto"/>
          <w:sz w:val="24"/>
          <w:highlight w:val="none"/>
          <w:lang w:val="en-US" w:eastAsia="zh-CN"/>
        </w:rPr>
        <w:t xml:space="preserve"> </w:t>
      </w:r>
      <w:r>
        <w:rPr>
          <w:rFonts w:hint="eastAsia" w:hAnsi="宋体"/>
          <w:color w:val="auto"/>
          <w:sz w:val="24"/>
          <w:highlight w:val="none"/>
          <w:lang w:val="zh-CN"/>
        </w:rPr>
        <w:t xml:space="preserve">月</w:t>
      </w:r>
      <w:r>
        <w:rPr>
          <w:rFonts w:hint="eastAsia" w:hAnsi="宋体"/>
          <w:color w:val="auto"/>
          <w:sz w:val="24"/>
          <w:highlight w:val="none"/>
          <w:lang w:val="en-US" w:eastAsia="zh-CN"/>
        </w:rPr>
        <w:t xml:space="preserve"> </w:t>
      </w:r>
      <w:r>
        <w:rPr>
          <w:rFonts w:hint="eastAsia" w:hAnsi="宋体"/>
          <w:color w:val="auto"/>
          <w:sz w:val="24"/>
          <w:highlight w:val="none"/>
          <w:lang w:val="zh-CN"/>
        </w:rPr>
        <w:t xml:space="preserve">日</w:t>
      </w:r>
      <w:r>
        <w:rPr>
          <w:rFonts w:hint="eastAsia" w:hAnsi="宋体"/>
          <w:color w:val="auto"/>
          <w:sz w:val="24"/>
          <w:highlight w:val="none"/>
        </w:rPr>
        <w:t xml:space="preserve">，</w:t>
      </w:r>
      <w:r>
        <w:rPr>
          <w:rFonts w:hint="eastAsia" w:hAnsi="宋体"/>
          <w:color w:val="auto"/>
          <w:sz w:val="24"/>
          <w:highlight w:val="none"/>
          <w:u w:val="single"/>
          <w:lang w:eastAsia="zh-CN"/>
        </w:rPr>
        <w:t xml:space="preserve">沛县住房和城乡建设局</w:t>
      </w:r>
      <w:r>
        <w:rPr>
          <w:rFonts w:hint="eastAsia" w:hAnsi="宋体"/>
          <w:color w:val="auto"/>
          <w:sz w:val="24"/>
          <w:highlight w:val="none"/>
        </w:rPr>
        <w:t xml:space="preserve">以</w:t>
      </w:r>
      <w:r>
        <w:rPr>
          <w:rFonts w:hint="eastAsia" w:hAnsi="宋体"/>
          <w:color w:val="auto"/>
          <w:sz w:val="24"/>
          <w:highlight w:val="none"/>
          <w:u w:val="single"/>
        </w:rPr>
        <w:t xml:space="preserve">竞争性磋商采购方式 </w:t>
      </w:r>
      <w:r>
        <w:rPr>
          <w:rFonts w:hint="eastAsia" w:hAnsi="宋体"/>
          <w:color w:val="auto"/>
          <w:sz w:val="24"/>
          <w:highlight w:val="none"/>
        </w:rPr>
        <w:t xml:space="preserve">对</w:t>
      </w:r>
      <w:r>
        <w:rPr>
          <w:rFonts w:hint="eastAsia" w:hAnsi="宋体"/>
          <w:strike w:val="0"/>
          <w:color w:val="auto"/>
          <w:sz w:val="24"/>
          <w:highlight w:val="none"/>
          <w:u w:val="single"/>
          <w:lang w:eastAsia="zh-CN"/>
        </w:rPr>
        <w:t xml:space="preserve">沛县城市更新专项规划、片区策划和2026年度县城体检</w:t>
      </w:r>
      <w:r>
        <w:rPr>
          <w:rFonts w:hint="eastAsia" w:hAnsi="宋体"/>
          <w:color w:val="auto"/>
          <w:sz w:val="24"/>
          <w:highlight w:val="none"/>
        </w:rPr>
        <w:t xml:space="preserve">进行了采购。经评标委员会评审，确定 </w:t>
      </w:r>
      <w:r>
        <w:rPr>
          <w:rFonts w:hint="eastAsia" w:hAnsi="宋体"/>
          <w:color w:val="auto"/>
          <w:sz w:val="24"/>
          <w:highlight w:val="none"/>
          <w:u w:val="single"/>
        </w:rPr>
        <w:t xml:space="preserve">（成交供应商名称）</w:t>
      </w:r>
      <w:r>
        <w:rPr>
          <w:rFonts w:hint="eastAsia" w:hAnsi="宋体"/>
          <w:color w:val="auto"/>
          <w:sz w:val="24"/>
          <w:highlight w:val="none"/>
        </w:rPr>
        <w:t xml:space="preserve">为该项目成交供应商。现于成交通知书发出之日起三十日内，按照采购文件确定的事项签订本合同。</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根据《中华人民共和国</w:t>
      </w:r>
      <w:r>
        <w:rPr>
          <w:rFonts w:hint="eastAsia" w:hAnsi="宋体"/>
          <w:color w:val="auto"/>
          <w:sz w:val="24"/>
          <w:highlight w:val="none"/>
          <w:lang w:val="en-US" w:eastAsia="zh-CN"/>
        </w:rPr>
        <w:t xml:space="preserve">民法典</w:t>
      </w:r>
      <w:r>
        <w:rPr>
          <w:rFonts w:hint="eastAsia" w:hAnsi="宋体"/>
          <w:color w:val="auto"/>
          <w:sz w:val="24"/>
          <w:highlight w:val="none"/>
          <w:lang w:val="zh-CN"/>
        </w:rPr>
        <w:t xml:space="preserve">》《中华人民共和国政府采购法》等相关法律法规之规定，按照平等、自愿、公平和诚实信用的原则，经</w:t>
      </w:r>
      <w:r>
        <w:rPr>
          <w:rFonts w:hint="eastAsia" w:hAnsi="宋体"/>
          <w:color w:val="auto"/>
          <w:sz w:val="24"/>
          <w:highlight w:val="none"/>
          <w:u w:val="single"/>
          <w:lang w:eastAsia="zh-CN"/>
        </w:rPr>
        <w:t xml:space="preserve">沛县住房和城乡建设局</w:t>
      </w:r>
      <w:r>
        <w:rPr>
          <w:rFonts w:hint="eastAsia" w:hAnsi="宋体"/>
          <w:color w:val="auto"/>
          <w:sz w:val="24"/>
          <w:highlight w:val="none"/>
          <w:lang w:val="zh-CN"/>
        </w:rPr>
        <w:t xml:space="preserve">(以下简称：甲方)和</w:t>
      </w:r>
      <w:r>
        <w:rPr>
          <w:rFonts w:hint="eastAsia" w:hAnsi="宋体"/>
          <w:color w:val="auto"/>
          <w:sz w:val="24"/>
          <w:highlight w:val="none"/>
          <w:u w:val="single"/>
        </w:rPr>
        <w:t xml:space="preserve"> （成交供应商名称）</w:t>
      </w:r>
      <w:r>
        <w:rPr>
          <w:rFonts w:hint="eastAsia" w:hAnsi="宋体"/>
          <w:color w:val="auto"/>
          <w:sz w:val="24"/>
          <w:highlight w:val="none"/>
          <w:lang w:val="zh-CN"/>
        </w:rPr>
        <w:t xml:space="preserve">(以下简称：乙方)协商一致，约定以下合同</w:t>
      </w:r>
      <w:r>
        <w:rPr>
          <w:rFonts w:hint="eastAsia" w:hAnsi="宋体"/>
          <w:color w:val="auto"/>
          <w:sz w:val="24"/>
          <w:highlight w:val="none"/>
        </w:rPr>
        <w:t xml:space="preserve">条款，以兹共同遵守、全面履行。</w:t>
      </w:r>
      <w:r/>
    </w:p>
    <w:p>
      <w:pPr>
        <w:ind w:firstLine="482"/>
        <w:spacing w:beforeAutospacing="0" w:afterAutospacing="0" w:line="560" w:lineRule="exact"/>
        <w:rPr>
          <w:rFonts w:hint="eastAsia" w:hAnsi="宋体"/>
          <w:b/>
          <w:color w:val="auto"/>
          <w:sz w:val="24"/>
          <w:highlight w:val="none"/>
        </w:rPr>
      </w:pPr>
      <w:r/>
      <w:bookmarkStart w:id="0" w:name="_Toc15367"/>
      <w:r/>
      <w:bookmarkEnd w:id="0"/>
      <w:r/>
      <w:bookmarkStart w:id="1" w:name="_Toc20421"/>
      <w:r/>
      <w:bookmarkEnd w:id="1"/>
      <w:r/>
      <w:bookmarkStart w:id="2" w:name="_Toc22185"/>
      <w:r/>
      <w:bookmarkEnd w:id="2"/>
      <w:r/>
      <w:bookmarkStart w:id="3" w:name="_Toc28855"/>
      <w:r/>
      <w:bookmarkEnd w:id="3"/>
      <w:r/>
      <w:bookmarkStart w:id="4" w:name="_Toc18585"/>
      <w:r/>
      <w:bookmarkEnd w:id="4"/>
      <w:r/>
      <w:bookmarkStart w:id="5" w:name="_Toc19273"/>
      <w:r/>
      <w:bookmarkEnd w:id="5"/>
      <w:r/>
      <w:bookmarkStart w:id="6" w:name="_Toc22967"/>
      <w:r/>
      <w:bookmarkEnd w:id="6"/>
      <w:r/>
      <w:bookmarkStart w:id="7" w:name="_Toc6311"/>
      <w:r/>
      <w:bookmarkEnd w:id="7"/>
      <w:r/>
      <w:bookmarkStart w:id="8" w:name="_Toc6773"/>
      <w:r/>
      <w:bookmarkEnd w:id="8"/>
      <w:r/>
      <w:bookmarkStart w:id="9" w:name="_Toc2918"/>
      <w:r/>
      <w:bookmarkEnd w:id="9"/>
      <w:r>
        <w:rPr>
          <w:rFonts w:hint="eastAsia" w:hAnsi="宋体"/>
          <w:b/>
          <w:color w:val="auto"/>
          <w:sz w:val="24"/>
          <w:highlight w:val="none"/>
        </w:rPr>
        <w:t xml:space="preserve">1.</w:t>
      </w:r>
      <w:r>
        <w:rPr>
          <w:rFonts w:hint="eastAsia" w:hAnsi="宋体"/>
          <w:b/>
          <w:color w:val="auto"/>
          <w:sz w:val="24"/>
          <w:highlight w:val="none"/>
          <w:lang w:val="en-US" w:eastAsia="zh-CN"/>
        </w:rPr>
        <w:t xml:space="preserve">1</w:t>
      </w:r>
      <w:r>
        <w:rPr>
          <w:rFonts w:hint="eastAsia" w:hAnsi="宋体"/>
          <w:b/>
          <w:color w:val="auto"/>
          <w:sz w:val="24"/>
          <w:highlight w:val="none"/>
        </w:rPr>
        <w:t xml:space="preserve"> 标的</w:t>
      </w:r>
      <w:r/>
    </w:p>
    <w:p>
      <w:pPr>
        <w:ind w:firstLine="480"/>
        <w:spacing w:beforeAutospacing="0" w:afterAutospacing="0" w:line="560" w:lineRule="exact"/>
        <w:rPr>
          <w:rFonts w:hint="eastAsia" w:hAnsi="宋体"/>
          <w:color w:val="auto"/>
          <w:sz w:val="24"/>
          <w:highlight w:val="none"/>
        </w:rPr>
      </w:pPr>
      <w:r>
        <w:rPr>
          <w:rFonts w:hint="eastAsia" w:hAnsi="宋体"/>
          <w:color w:val="auto"/>
          <w:sz w:val="24"/>
          <w:highlight w:val="none"/>
        </w:rPr>
        <w:t xml:space="preserve">1.</w:t>
      </w:r>
      <w:r>
        <w:rPr>
          <w:rFonts w:hint="eastAsia" w:hAnsi="宋体"/>
          <w:color w:val="auto"/>
          <w:sz w:val="24"/>
          <w:highlight w:val="none"/>
          <w:lang w:val="en-US" w:eastAsia="zh-CN"/>
        </w:rPr>
        <w:t xml:space="preserve">1</w:t>
      </w:r>
      <w:r>
        <w:rPr>
          <w:rFonts w:hint="eastAsia" w:hAnsi="宋体"/>
          <w:color w:val="auto"/>
          <w:sz w:val="24"/>
          <w:highlight w:val="none"/>
        </w:rPr>
        <w:t xml:space="preserve">.1 项目名称：</w:t>
      </w:r>
      <w:r>
        <w:rPr>
          <w:rFonts w:hint="eastAsia" w:ascii="宋体" w:hAnsi="宋体" w:cs="宋体"/>
          <w:color w:val="auto"/>
          <w:sz w:val="24"/>
          <w:highlight w:val="none"/>
          <w:lang w:eastAsia="zh-CN"/>
        </w:rPr>
        <w:t xml:space="preserve">沛县城市更新专项规划、片区策划和2026年度县城体检。</w:t>
      </w:r>
      <w:r/>
    </w:p>
    <w:p>
      <w:pPr>
        <w:ind w:firstLine="482"/>
        <w:spacing w:beforeAutospacing="0" w:afterAutospacing="0" w:line="560" w:lineRule="exact"/>
        <w:rPr>
          <w:rFonts w:hint="eastAsia" w:hAnsi="宋体"/>
          <w:b/>
          <w:color w:val="auto"/>
          <w:sz w:val="24"/>
          <w:highlight w:val="none"/>
        </w:rPr>
      </w:pPr>
      <w:r/>
      <w:bookmarkStart w:id="10" w:name="_Toc13918"/>
      <w:r/>
      <w:bookmarkEnd w:id="10"/>
      <w:r/>
      <w:bookmarkStart w:id="11" w:name="_Toc5635"/>
      <w:r/>
      <w:bookmarkEnd w:id="11"/>
      <w:r/>
      <w:bookmarkStart w:id="12" w:name="_Toc1386"/>
      <w:r/>
      <w:bookmarkEnd w:id="12"/>
      <w:r/>
      <w:bookmarkStart w:id="13" w:name="_Toc4929"/>
      <w:r/>
      <w:bookmarkEnd w:id="13"/>
      <w:r/>
      <w:bookmarkStart w:id="14" w:name="_Toc21124"/>
      <w:r/>
      <w:bookmarkEnd w:id="14"/>
      <w:r>
        <w:rPr>
          <w:rFonts w:hint="eastAsia" w:hAnsi="宋体"/>
          <w:b/>
          <w:color w:val="auto"/>
          <w:sz w:val="24"/>
          <w:highlight w:val="none"/>
        </w:rPr>
        <w:t xml:space="preserve">1.</w:t>
      </w:r>
      <w:r>
        <w:rPr>
          <w:rFonts w:hint="eastAsia" w:hAnsi="宋体"/>
          <w:b/>
          <w:color w:val="auto"/>
          <w:sz w:val="24"/>
          <w:highlight w:val="none"/>
          <w:lang w:val="en-US" w:eastAsia="zh-CN"/>
        </w:rPr>
        <w:t xml:space="preserve">2</w:t>
      </w:r>
      <w:r>
        <w:rPr>
          <w:rFonts w:hint="eastAsia" w:hAnsi="宋体"/>
          <w:color w:val="auto"/>
          <w:sz w:val="24"/>
          <w:highlight w:val="none"/>
        </w:rPr>
        <w:t xml:space="preserve">项目</w:t>
      </w:r>
      <w:r>
        <w:rPr>
          <w:rFonts w:hint="eastAsia" w:hAnsi="宋体"/>
          <w:color w:val="auto"/>
          <w:sz w:val="24"/>
          <w:highlight w:val="none"/>
          <w:lang w:val="en-US" w:eastAsia="zh-CN"/>
        </w:rPr>
        <w:t xml:space="preserve">内容：（详见采购需求）。</w:t>
      </w:r>
      <w:r/>
    </w:p>
    <w:p>
      <w:pPr>
        <w:ind w:firstLine="482"/>
        <w:spacing w:beforeAutospacing="0" w:afterAutospacing="0" w:line="560" w:lineRule="exact"/>
        <w:rPr>
          <w:rFonts w:hint="eastAsia" w:hAnsi="宋体"/>
          <w:b/>
          <w:color w:val="auto"/>
          <w:sz w:val="24"/>
          <w:highlight w:val="none"/>
        </w:rPr>
      </w:pPr>
      <w:r>
        <w:rPr>
          <w:rFonts w:hint="eastAsia" w:hAnsi="宋体"/>
          <w:b/>
          <w:color w:val="auto"/>
          <w:sz w:val="24"/>
          <w:highlight w:val="none"/>
        </w:rPr>
        <w:t xml:space="preserve">1.</w:t>
      </w:r>
      <w:r>
        <w:rPr>
          <w:rFonts w:hint="eastAsia" w:hAnsi="宋体"/>
          <w:b/>
          <w:color w:val="auto"/>
          <w:sz w:val="24"/>
          <w:highlight w:val="none"/>
          <w:lang w:val="en-US" w:eastAsia="zh-CN"/>
        </w:rPr>
        <w:t xml:space="preserve">3</w:t>
      </w:r>
      <w:r>
        <w:rPr>
          <w:rFonts w:hint="eastAsia" w:hAnsi="宋体"/>
          <w:b/>
          <w:color w:val="auto"/>
          <w:sz w:val="24"/>
          <w:highlight w:val="none"/>
        </w:rPr>
        <w:t xml:space="preserve"> 付款方式</w:t>
      </w:r>
      <w:r/>
    </w:p>
    <w:p>
      <w:pPr>
        <w:jc w:val="left"/>
        <w:keepLines w:val="0"/>
        <w:keepNext w:val="0"/>
        <w:pageBreakBefore w:val="0"/>
        <w:spacing w:line="420" w:lineRule="exact"/>
        <w:widowControl/>
        <w:rPr>
          <w:rFonts w:ascii="宋体" w:hAnsi="宋体" w:eastAsia="宋体" w:cs="黑体"/>
          <w:b/>
          <w:bCs/>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付款方式一：</w:t>
      </w:r>
      <w:r>
        <w:rPr>
          <w:rFonts w:ascii="宋体" w:hAnsi="宋体" w:eastAsia="宋体" w:cs="黑体"/>
          <w:b/>
          <w:bCs/>
          <w:color w:val="auto"/>
          <w:szCs w:val="24"/>
          <w:highlight w:val="none"/>
        </w:rPr>
        <w:t xml:space="preserve">不提交预付款保函的 </w:t>
      </w:r>
      <w:r/>
    </w:p>
    <w:p>
      <w:pPr>
        <w:ind w:firstLine="420"/>
        <w:jc w:val="left"/>
        <w:keepLines w:val="0"/>
        <w:keepNext w:val="0"/>
        <w:pageBreakBefore w:val="0"/>
        <w:spacing w:line="420" w:lineRule="exact"/>
        <w:widowControl/>
        <w:rPr>
          <w:rFonts w:ascii="宋体" w:hAnsi="宋体" w:eastAsia="宋体" w:cs="黑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黑体"/>
          <w:color w:val="auto"/>
          <w:sz w:val="24"/>
          <w:szCs w:val="24"/>
          <w:highlight w:val="none"/>
        </w:rPr>
        <w:t xml:space="preserve">合同总金额为人民币大写金额</w:t>
      </w:r>
      <w:r>
        <w:rPr>
          <w:rFonts w:hint="eastAsia" w:ascii="宋体" w:hAnsi="宋体" w:eastAsia="宋体" w:cs="仿宋"/>
          <w:color w:val="auto"/>
          <w:sz w:val="24"/>
          <w:szCs w:val="24"/>
          <w:highlight w:val="none"/>
          <w:u w:val="single"/>
        </w:rPr>
        <w:t xml:space="preserve">  </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u w:val="single"/>
        </w:rPr>
        <w:t xml:space="preserve">（¥</w:t>
      </w:r>
      <w:r>
        <w:rPr>
          <w:rFonts w:ascii="宋体" w:hAnsi="宋体" w:eastAsia="宋体" w:cs="仿宋"/>
          <w:color w:val="auto"/>
          <w:sz w:val="24"/>
          <w:szCs w:val="24"/>
          <w:highlight w:val="none"/>
          <w:u w:val="single"/>
        </w:rPr>
        <w:t xml:space="preserve">      ）</w:t>
      </w:r>
      <w:r>
        <w:rPr>
          <w:rFonts w:ascii="宋体" w:hAnsi="宋体" w:eastAsia="宋体" w:cs="黑体"/>
          <w:color w:val="auto"/>
          <w:sz w:val="24"/>
          <w:szCs w:val="24"/>
          <w:highlight w:val="none"/>
        </w:rPr>
        <w:t xml:space="preserve">，经双方协商一致，选择以下第</w:t>
      </w:r>
      <w:r>
        <w:rPr>
          <w:rFonts w:ascii="宋体" w:hAnsi="宋体" w:eastAsia="宋体" w:cs="黑体"/>
          <w:color w:val="auto"/>
          <w:sz w:val="24"/>
          <w:szCs w:val="24"/>
          <w:highlight w:val="none"/>
          <w:u w:val="single"/>
        </w:rPr>
        <w:t xml:space="preserve">    </w:t>
      </w:r>
      <w:r>
        <w:rPr>
          <w:rFonts w:ascii="宋体" w:hAnsi="宋体" w:eastAsia="宋体" w:cs="黑体"/>
          <w:color w:val="auto"/>
          <w:sz w:val="24"/>
          <w:szCs w:val="24"/>
          <w:highlight w:val="none"/>
        </w:rPr>
        <w:t xml:space="preserve">种付款方式： </w:t>
      </w:r>
      <w:r/>
    </w:p>
    <w:p>
      <w:pPr>
        <w:ind w:firstLine="420"/>
        <w:jc w:val="left"/>
        <w:keepLines w:val="0"/>
        <w:keepNext w:val="0"/>
        <w:pageBreakBefore w:val="0"/>
        <w:spacing w:line="420" w:lineRule="exact"/>
        <w:widowControl/>
        <w:rPr>
          <w:rFonts w:ascii="宋体" w:hAnsi="宋体" w:eastAsia="宋体" w:cs="黑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黑体"/>
          <w:color w:val="auto"/>
          <w:sz w:val="24"/>
          <w:szCs w:val="24"/>
          <w:highlight w:val="none"/>
        </w:rPr>
        <w:t xml:space="preserve">付款方式一：提交预付款保函的 </w:t>
      </w:r>
      <w:r/>
    </w:p>
    <w:p>
      <w:pPr>
        <w:ind w:firstLine="420"/>
        <w:jc w:val="left"/>
        <w:keepLines w:val="0"/>
        <w:keepNext w:val="0"/>
        <w:pageBreakBefore w:val="0"/>
        <w:spacing w:line="420" w:lineRule="exact"/>
        <w:widowControl/>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4"/>
          <w:highlight w:val="none"/>
        </w:rPr>
        <w:t xml:space="preserve">合同价款的百分之</w:t>
      </w:r>
      <w:r>
        <w:rPr>
          <w:rFonts w:hint="eastAsia" w:ascii="宋体" w:hAnsi="宋体" w:cs="仿宋"/>
          <w:color w:val="auto"/>
          <w:sz w:val="24"/>
          <w:szCs w:val="24"/>
          <w:highlight w:val="none"/>
          <w:lang w:val="en-US" w:eastAsia="zh-CN"/>
        </w:rPr>
        <w:t xml:space="preserve">三十</w:t>
      </w:r>
      <w:r>
        <w:rPr>
          <w:rFonts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30</w:t>
      </w:r>
      <w:r>
        <w:rPr>
          <w:rFonts w:ascii="宋体" w:hAnsi="宋体" w:eastAsia="宋体" w:cs="仿宋"/>
          <w:color w:val="auto"/>
          <w:sz w:val="24"/>
          <w:szCs w:val="24"/>
          <w:highlight w:val="none"/>
        </w:rPr>
        <w:t xml:space="preserve">%）即人民币（大写）</w:t>
      </w:r>
      <w:r>
        <w:rPr>
          <w:rFonts w:hint="eastAsia" w:ascii="宋体" w:hAnsi="宋体" w:eastAsia="宋体" w:cs="仿宋"/>
          <w:color w:val="auto"/>
          <w:sz w:val="24"/>
          <w:szCs w:val="24"/>
          <w:highlight w:val="none"/>
          <w:u w:val="single"/>
        </w:rPr>
        <w:t xml:space="preserve">  </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u w:val="single"/>
        </w:rPr>
        <w:t xml:space="preserve">（¥</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，合同签订后</w:t>
      </w:r>
      <w:r>
        <w:rPr>
          <w:rFonts w:hint="eastAsia" w:ascii="宋体" w:hAnsi="宋体" w:cs="仿宋"/>
          <w:color w:val="auto"/>
          <w:sz w:val="24"/>
          <w:szCs w:val="24"/>
          <w:highlight w:val="none"/>
          <w:lang w:val="en-US" w:eastAsia="zh-CN"/>
        </w:rPr>
        <w:t xml:space="preserve">15</w:t>
      </w:r>
      <w:r>
        <w:rPr>
          <w:rFonts w:hint="eastAsia" w:ascii="宋体" w:hAnsi="宋体" w:eastAsia="宋体" w:cs="仿宋"/>
          <w:color w:val="auto"/>
          <w:sz w:val="24"/>
          <w:szCs w:val="24"/>
          <w:highlight w:val="none"/>
        </w:rPr>
        <w:t xml:space="preserve">日内</w:t>
      </w:r>
      <w:r>
        <w:rPr>
          <w:rFonts w:hint="eastAsia" w:ascii="宋体" w:hAnsi="宋体" w:cs="仿宋"/>
          <w:color w:val="auto"/>
          <w:sz w:val="24"/>
          <w:szCs w:val="24"/>
          <w:highlight w:val="none"/>
          <w:lang w:val="en-US" w:eastAsia="zh-CN"/>
        </w:rPr>
        <w:t xml:space="preserve">且乙方向</w:t>
      </w:r>
      <w:r>
        <w:rPr>
          <w:rFonts w:hint="eastAsia" w:ascii="宋体" w:hAnsi="宋体" w:eastAsia="宋体" w:cs="仿宋"/>
          <w:color w:val="auto"/>
          <w:sz w:val="24"/>
          <w:szCs w:val="24"/>
          <w:highlight w:val="none"/>
        </w:rPr>
        <w:t xml:space="preserve">甲方出具预付款保函，乙方提供合规发票后，由甲方办理政府采购资金结算手续，经审核后支付给乙方</w:t>
      </w:r>
      <w:r>
        <w:rPr>
          <w:rFonts w:ascii="宋体" w:hAnsi="宋体" w:eastAsia="宋体" w:cs="仿宋"/>
          <w:color w:val="auto"/>
          <w:sz w:val="24"/>
          <w:szCs w:val="24"/>
          <w:highlight w:val="none"/>
        </w:rPr>
        <w:t xml:space="preserve">。</w:t>
      </w:r>
      <w:r/>
    </w:p>
    <w:p>
      <w:pPr>
        <w:ind w:firstLine="420"/>
        <w:jc w:val="left"/>
        <w:keepLines w:val="0"/>
        <w:keepNext w:val="0"/>
        <w:pageBreakBefore w:val="0"/>
        <w:spacing w:line="420" w:lineRule="exact"/>
        <w:widowControl/>
        <w:rPr>
          <w:rFonts w:ascii="宋体" w:hAnsi="宋体" w:eastAsia="宋体" w:cs="黑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4"/>
          <w:highlight w:val="none"/>
        </w:rPr>
        <w:t xml:space="preserve">合同价款的百分之</w:t>
      </w:r>
      <w:r>
        <w:rPr>
          <w:rFonts w:hint="eastAsia" w:ascii="宋体" w:hAnsi="宋体" w:cs="仿宋"/>
          <w:color w:val="auto"/>
          <w:sz w:val="24"/>
          <w:szCs w:val="24"/>
          <w:highlight w:val="none"/>
          <w:lang w:val="en-US" w:eastAsia="zh-CN"/>
        </w:rPr>
        <w:t xml:space="preserve">四十</w:t>
      </w:r>
      <w:r>
        <w:rPr>
          <w:rFonts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40</w:t>
      </w:r>
      <w:r>
        <w:rPr>
          <w:rFonts w:ascii="宋体" w:hAnsi="宋体" w:eastAsia="宋体" w:cs="仿宋"/>
          <w:color w:val="auto"/>
          <w:sz w:val="24"/>
          <w:szCs w:val="24"/>
          <w:highlight w:val="none"/>
        </w:rPr>
        <w:t xml:space="preserve">%）即人民币（大写）</w:t>
      </w:r>
      <w:r>
        <w:rPr>
          <w:rFonts w:hint="eastAsia" w:ascii="宋体" w:hAnsi="宋体" w:eastAsia="宋体" w:cs="仿宋"/>
          <w:color w:val="auto"/>
          <w:sz w:val="24"/>
          <w:szCs w:val="24"/>
          <w:highlight w:val="none"/>
          <w:u w:val="single"/>
        </w:rPr>
        <w:t xml:space="preserve">  </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u w:val="single"/>
        </w:rPr>
        <w:t xml:space="preserve">（¥</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乙方提交中期成果并经甲方同意后</w:t>
      </w:r>
      <w:r>
        <w:rPr>
          <w:rFonts w:hint="eastAsia" w:ascii="宋体" w:hAnsi="宋体" w:eastAsia="宋体" w:cs="仿宋"/>
          <w:color w:val="auto"/>
          <w:sz w:val="24"/>
          <w:szCs w:val="24"/>
          <w:highlight w:val="none"/>
        </w:rPr>
        <w:t xml:space="preserve">，乙方提供合规发票后，由甲方办理政府采购资金结算手续，经审核后支付给乙方。</w:t>
      </w:r>
      <w:r>
        <w:rPr>
          <w:rFonts w:ascii="宋体" w:hAnsi="宋体" w:eastAsia="宋体" w:cs="黑体"/>
          <w:color w:val="auto"/>
          <w:sz w:val="24"/>
          <w:szCs w:val="24"/>
          <w:highlight w:val="none"/>
        </w:rPr>
        <w:t xml:space="preserve"> </w:t>
      </w:r>
      <w:r/>
    </w:p>
    <w:p>
      <w:pPr>
        <w:ind w:firstLine="420"/>
        <w:jc w:val="left"/>
        <w:keepLines w:val="0"/>
        <w:keepNext w:val="0"/>
        <w:pageBreakBefore w:val="0"/>
        <w:spacing w:line="420" w:lineRule="exact"/>
        <w:widowControl/>
        <w:rPr>
          <w:rFonts w:ascii="宋体" w:hAnsi="宋体" w:eastAsia="宋体" w:cs="黑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4"/>
          <w:highlight w:val="none"/>
        </w:rPr>
        <w:t xml:space="preserve">合同价款的百分之</w:t>
      </w:r>
      <w:r>
        <w:rPr>
          <w:rFonts w:hint="eastAsia" w:ascii="宋体" w:hAnsi="宋体" w:cs="仿宋"/>
          <w:color w:val="auto"/>
          <w:sz w:val="24"/>
          <w:szCs w:val="24"/>
          <w:highlight w:val="none"/>
          <w:lang w:val="en-US" w:eastAsia="zh-CN"/>
        </w:rPr>
        <w:t xml:space="preserve">三十</w:t>
      </w:r>
      <w:r>
        <w:rPr>
          <w:rFonts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30</w:t>
      </w:r>
      <w:r>
        <w:rPr>
          <w:rFonts w:ascii="宋体" w:hAnsi="宋体" w:eastAsia="宋体" w:cs="仿宋"/>
          <w:color w:val="auto"/>
          <w:sz w:val="24"/>
          <w:szCs w:val="24"/>
          <w:highlight w:val="none"/>
        </w:rPr>
        <w:t xml:space="preserve">%）即人民币（大写）</w:t>
      </w:r>
      <w:r>
        <w:rPr>
          <w:rFonts w:hint="eastAsia" w:ascii="宋体" w:hAnsi="宋体" w:eastAsia="宋体" w:cs="仿宋"/>
          <w:color w:val="auto"/>
          <w:sz w:val="24"/>
          <w:szCs w:val="24"/>
          <w:highlight w:val="none"/>
          <w:u w:val="single"/>
        </w:rPr>
        <w:t xml:space="preserve">  </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u w:val="single"/>
        </w:rPr>
        <w:t xml:space="preserve">（¥</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乙方提交最终成果并经甲方及相关部门评审通过后</w:t>
      </w:r>
      <w:r>
        <w:rPr>
          <w:rFonts w:hint="eastAsia" w:ascii="宋体" w:hAnsi="宋体" w:eastAsia="宋体" w:cs="仿宋"/>
          <w:color w:val="auto"/>
          <w:sz w:val="24"/>
          <w:szCs w:val="24"/>
          <w:highlight w:val="none"/>
        </w:rPr>
        <w:t xml:space="preserve">，乙方提供合规发票后，由甲方办理政府采购资金结算手续，经审核后支付给乙方。</w:t>
      </w:r>
      <w:r>
        <w:rPr>
          <w:rFonts w:ascii="宋体" w:hAnsi="宋体" w:eastAsia="宋体" w:cs="黑体"/>
          <w:color w:val="auto"/>
          <w:sz w:val="24"/>
          <w:szCs w:val="24"/>
          <w:highlight w:val="none"/>
        </w:rPr>
        <w:t xml:space="preserve"> </w:t>
      </w:r>
      <w:r/>
    </w:p>
    <w:p>
      <w:pPr>
        <w:pStyle w:val="889"/>
        <w:ind w:left="0" w:firstLine="0"/>
        <w:jc w:val="both"/>
        <w:rPr>
          <w:color w:val="auto"/>
          <w:highlight w:val="none"/>
        </w:rPr>
      </w:pPr>
      <w:r>
        <w:rPr>
          <w:color w:val="auto"/>
          <w:highlight w:val="none"/>
        </w:rPr>
      </w:r>
      <w:r/>
    </w:p>
    <w:p>
      <w:pPr>
        <w:jc w:val="left"/>
        <w:keepLines w:val="0"/>
        <w:keepNext w:val="0"/>
        <w:pageBreakBefore w:val="0"/>
        <w:spacing w:line="420" w:lineRule="exact"/>
        <w:widowControl/>
        <w:rPr>
          <w:rFonts w:ascii="宋体" w:hAnsi="宋体" w:eastAsia="宋体" w:cs="黑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黑体"/>
          <w:b/>
          <w:bCs/>
          <w:color w:val="auto"/>
          <w:szCs w:val="24"/>
          <w:highlight w:val="none"/>
        </w:rPr>
        <w:t xml:space="preserve">付款方式二：不提交预付款保函的 </w:t>
      </w:r>
      <w:r/>
    </w:p>
    <w:p>
      <w:pPr>
        <w:ind w:firstLine="420"/>
        <w:jc w:val="left"/>
        <w:keepLines w:val="0"/>
        <w:keepNext w:val="0"/>
        <w:pageBreakBefore w:val="0"/>
        <w:spacing w:line="420" w:lineRule="exact"/>
        <w:widowControl/>
        <w:rPr>
          <w:rFonts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4"/>
          <w:highlight w:val="none"/>
        </w:rPr>
        <w:t xml:space="preserve">合同价款的百分之</w:t>
      </w:r>
      <w:r>
        <w:rPr>
          <w:rFonts w:hint="eastAsia" w:ascii="宋体" w:hAnsi="宋体" w:cs="仿宋"/>
          <w:color w:val="auto"/>
          <w:sz w:val="24"/>
          <w:szCs w:val="24"/>
          <w:highlight w:val="none"/>
          <w:lang w:val="en-US" w:eastAsia="zh-CN"/>
        </w:rPr>
        <w:t xml:space="preserve">三十</w:t>
      </w:r>
      <w:r>
        <w:rPr>
          <w:rFonts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30</w:t>
      </w:r>
      <w:r>
        <w:rPr>
          <w:rFonts w:ascii="宋体" w:hAnsi="宋体" w:eastAsia="宋体" w:cs="仿宋"/>
          <w:color w:val="auto"/>
          <w:sz w:val="24"/>
          <w:szCs w:val="24"/>
          <w:highlight w:val="none"/>
        </w:rPr>
        <w:t xml:space="preserve">%）即人民币（大写）</w:t>
      </w:r>
      <w:r>
        <w:rPr>
          <w:rFonts w:hint="eastAsia" w:ascii="宋体" w:hAnsi="宋体" w:eastAsia="宋体" w:cs="仿宋"/>
          <w:color w:val="auto"/>
          <w:sz w:val="24"/>
          <w:szCs w:val="24"/>
          <w:highlight w:val="none"/>
          <w:u w:val="single"/>
        </w:rPr>
        <w:t xml:space="preserve">  </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u w:val="single"/>
        </w:rPr>
        <w:t xml:space="preserve">（¥</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，合同签订后</w:t>
      </w:r>
      <w:r>
        <w:rPr>
          <w:rFonts w:hint="eastAsia" w:ascii="宋体" w:hAnsi="宋体" w:cs="仿宋"/>
          <w:color w:val="auto"/>
          <w:sz w:val="24"/>
          <w:szCs w:val="24"/>
          <w:highlight w:val="none"/>
          <w:lang w:val="en-US" w:eastAsia="zh-CN"/>
        </w:rPr>
        <w:t xml:space="preserve">15</w:t>
      </w:r>
      <w:r>
        <w:rPr>
          <w:rFonts w:hint="eastAsia" w:ascii="宋体" w:hAnsi="宋体" w:eastAsia="宋体" w:cs="仿宋"/>
          <w:color w:val="auto"/>
          <w:sz w:val="24"/>
          <w:szCs w:val="24"/>
          <w:highlight w:val="none"/>
        </w:rPr>
        <w:t xml:space="preserve">日内，乙方提供合规发票后，由甲方办理政府采购资金结算手续，经审核后支付给乙方</w:t>
      </w:r>
      <w:r>
        <w:rPr>
          <w:rFonts w:ascii="宋体" w:hAnsi="宋体" w:eastAsia="宋体" w:cs="仿宋"/>
          <w:color w:val="auto"/>
          <w:sz w:val="24"/>
          <w:szCs w:val="24"/>
          <w:highlight w:val="none"/>
        </w:rPr>
        <w:t xml:space="preserve">。</w:t>
      </w:r>
      <w:r/>
    </w:p>
    <w:p>
      <w:pPr>
        <w:ind w:firstLine="420"/>
        <w:jc w:val="left"/>
        <w:keepLines w:val="0"/>
        <w:keepNext w:val="0"/>
        <w:pageBreakBefore w:val="0"/>
        <w:spacing w:line="420" w:lineRule="exact"/>
        <w:widowControl/>
        <w:rPr>
          <w:rFonts w:ascii="宋体" w:hAnsi="宋体" w:eastAsia="宋体" w:cs="黑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4"/>
          <w:highlight w:val="none"/>
        </w:rPr>
        <w:t xml:space="preserve">合同价款的百分之</w:t>
      </w:r>
      <w:r>
        <w:rPr>
          <w:rFonts w:hint="eastAsia" w:ascii="宋体" w:hAnsi="宋体" w:cs="仿宋"/>
          <w:color w:val="auto"/>
          <w:sz w:val="24"/>
          <w:szCs w:val="24"/>
          <w:highlight w:val="none"/>
          <w:lang w:val="en-US" w:eastAsia="zh-CN"/>
        </w:rPr>
        <w:t xml:space="preserve">四十</w:t>
      </w:r>
      <w:r>
        <w:rPr>
          <w:rFonts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40</w:t>
      </w:r>
      <w:r>
        <w:rPr>
          <w:rFonts w:ascii="宋体" w:hAnsi="宋体" w:eastAsia="宋体" w:cs="仿宋"/>
          <w:color w:val="auto"/>
          <w:sz w:val="24"/>
          <w:szCs w:val="24"/>
          <w:highlight w:val="none"/>
        </w:rPr>
        <w:t xml:space="preserve">%）即人民币（大写）</w:t>
      </w:r>
      <w:r>
        <w:rPr>
          <w:rFonts w:hint="eastAsia" w:ascii="宋体" w:hAnsi="宋体" w:eastAsia="宋体" w:cs="仿宋"/>
          <w:color w:val="auto"/>
          <w:sz w:val="24"/>
          <w:szCs w:val="24"/>
          <w:highlight w:val="none"/>
          <w:u w:val="single"/>
        </w:rPr>
        <w:t xml:space="preserve">  </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u w:val="single"/>
        </w:rPr>
        <w:t xml:space="preserve">（¥</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乙方提交中期成果并经甲方同意后</w:t>
      </w:r>
      <w:r>
        <w:rPr>
          <w:rFonts w:hint="eastAsia" w:ascii="宋体" w:hAnsi="宋体" w:eastAsia="宋体" w:cs="仿宋"/>
          <w:color w:val="auto"/>
          <w:sz w:val="24"/>
          <w:szCs w:val="24"/>
          <w:highlight w:val="none"/>
        </w:rPr>
        <w:t xml:space="preserve">，乙方提供合规发票后，由甲方办理政府采购资金结算手续，经审核后支付给乙方。</w:t>
      </w:r>
      <w:r>
        <w:rPr>
          <w:rFonts w:ascii="宋体" w:hAnsi="宋体" w:eastAsia="宋体" w:cs="黑体"/>
          <w:color w:val="auto"/>
          <w:sz w:val="24"/>
          <w:szCs w:val="24"/>
          <w:highlight w:val="none"/>
        </w:rPr>
        <w:t xml:space="preserve"> </w:t>
      </w:r>
      <w:r/>
    </w:p>
    <w:p>
      <w:pPr>
        <w:ind w:firstLine="420"/>
        <w:jc w:val="left"/>
        <w:keepLines w:val="0"/>
        <w:keepNext w:val="0"/>
        <w:pageBreakBefore w:val="0"/>
        <w:spacing w:line="420" w:lineRule="exact"/>
        <w:widowControl/>
        <w:rPr>
          <w:rFonts w:ascii="宋体" w:hAnsi="宋体" w:eastAsia="宋体" w:cs="黑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仿宋"/>
          <w:color w:val="auto"/>
          <w:sz w:val="24"/>
          <w:szCs w:val="24"/>
          <w:highlight w:val="none"/>
        </w:rPr>
        <w:t xml:space="preserve">合同价款的百分之</w:t>
      </w:r>
      <w:r>
        <w:rPr>
          <w:rFonts w:hint="eastAsia" w:ascii="宋体" w:hAnsi="宋体" w:cs="仿宋"/>
          <w:color w:val="auto"/>
          <w:sz w:val="24"/>
          <w:szCs w:val="24"/>
          <w:highlight w:val="none"/>
          <w:lang w:val="en-US" w:eastAsia="zh-CN"/>
        </w:rPr>
        <w:t xml:space="preserve">三十</w:t>
      </w:r>
      <w:r>
        <w:rPr>
          <w:rFonts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30</w:t>
      </w:r>
      <w:r>
        <w:rPr>
          <w:rFonts w:ascii="宋体" w:hAnsi="宋体" w:eastAsia="宋体" w:cs="仿宋"/>
          <w:color w:val="auto"/>
          <w:sz w:val="24"/>
          <w:szCs w:val="24"/>
          <w:highlight w:val="none"/>
        </w:rPr>
        <w:t xml:space="preserve">%）即人民币（大写）</w:t>
      </w:r>
      <w:r>
        <w:rPr>
          <w:rFonts w:hint="eastAsia" w:ascii="宋体" w:hAnsi="宋体" w:eastAsia="宋体" w:cs="仿宋"/>
          <w:color w:val="auto"/>
          <w:sz w:val="24"/>
          <w:szCs w:val="24"/>
          <w:highlight w:val="none"/>
          <w:u w:val="single"/>
        </w:rPr>
        <w:t xml:space="preserve">  </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u w:val="single"/>
        </w:rPr>
        <w:t xml:space="preserve">（¥</w:t>
      </w:r>
      <w:r>
        <w:rPr>
          <w:rFonts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w:t>
      </w:r>
      <w:r>
        <w:rPr>
          <w:rFonts w:hint="eastAsia" w:ascii="宋体" w:hAnsi="宋体" w:cs="仿宋"/>
          <w:color w:val="auto"/>
          <w:sz w:val="24"/>
          <w:szCs w:val="24"/>
          <w:highlight w:val="none"/>
          <w:lang w:val="en-US" w:eastAsia="zh-CN"/>
        </w:rPr>
        <w:t xml:space="preserve">乙方提交最终成果并经甲方及相关部门评审通过后</w:t>
      </w:r>
      <w:r>
        <w:rPr>
          <w:rFonts w:hint="eastAsia" w:ascii="宋体" w:hAnsi="宋体" w:eastAsia="宋体" w:cs="仿宋"/>
          <w:color w:val="auto"/>
          <w:sz w:val="24"/>
          <w:szCs w:val="24"/>
          <w:highlight w:val="none"/>
        </w:rPr>
        <w:t xml:space="preserve">，由甲方办理政府采购资金结算手续，经审核后支付给乙方。</w:t>
      </w:r>
      <w:r>
        <w:rPr>
          <w:rFonts w:ascii="宋体" w:hAnsi="宋体" w:eastAsia="宋体" w:cs="黑体"/>
          <w:color w:val="auto"/>
          <w:sz w:val="24"/>
          <w:szCs w:val="24"/>
          <w:highlight w:val="none"/>
        </w:rPr>
        <w:t xml:space="preserve"> </w:t>
      </w:r>
      <w:r/>
    </w:p>
    <w:p>
      <w:pPr>
        <w:ind w:firstLine="482"/>
        <w:spacing w:beforeAutospacing="0" w:afterAutospacing="0" w:line="560" w:lineRule="exact"/>
        <w:rPr>
          <w:rFonts w:hint="eastAsia" w:hAnsi="宋体"/>
          <w:b/>
          <w:color w:val="auto"/>
          <w:sz w:val="24"/>
          <w:highlight w:val="none"/>
        </w:rPr>
      </w:pPr>
      <w:r>
        <w:rPr>
          <w:rFonts w:hint="eastAsia" w:hAnsi="宋体"/>
          <w:b/>
          <w:color w:val="auto"/>
          <w:sz w:val="24"/>
          <w:highlight w:val="none"/>
        </w:rPr>
        <w:t xml:space="preserve">1.</w:t>
      </w:r>
      <w:r>
        <w:rPr>
          <w:rFonts w:hint="eastAsia" w:hAnsi="宋体"/>
          <w:b/>
          <w:color w:val="auto"/>
          <w:sz w:val="24"/>
          <w:highlight w:val="none"/>
          <w:lang w:val="en-US" w:eastAsia="zh-CN"/>
        </w:rPr>
        <w:t xml:space="preserve">4</w:t>
      </w:r>
      <w:r>
        <w:rPr>
          <w:rFonts w:hint="eastAsia" w:hAnsi="宋体"/>
          <w:b/>
          <w:color w:val="auto"/>
          <w:sz w:val="24"/>
          <w:highlight w:val="none"/>
        </w:rPr>
        <w:t xml:space="preserve"> 履行期限、地点和方式</w:t>
      </w:r>
      <w:r/>
    </w:p>
    <w:p>
      <w:pPr>
        <w:ind w:firstLine="480"/>
        <w:spacing w:beforeAutospacing="0" w:afterAutospacing="0" w:line="560" w:lineRule="exact"/>
        <w:rPr>
          <w:rFonts w:hint="eastAsia" w:hAnsi="宋体"/>
          <w:color w:val="auto"/>
          <w:sz w:val="24"/>
          <w:highlight w:val="none"/>
        </w:rPr>
      </w:pPr>
      <w:r>
        <w:rPr>
          <w:rFonts w:hint="eastAsia" w:hAnsi="宋体"/>
          <w:color w:val="auto"/>
          <w:sz w:val="24"/>
          <w:highlight w:val="none"/>
        </w:rPr>
        <w:t xml:space="preserve">1.</w:t>
      </w:r>
      <w:r>
        <w:rPr>
          <w:rFonts w:hint="eastAsia" w:hAnsi="宋体"/>
          <w:color w:val="auto"/>
          <w:sz w:val="24"/>
          <w:highlight w:val="none"/>
          <w:lang w:val="en-US" w:eastAsia="zh-CN"/>
        </w:rPr>
        <w:t xml:space="preserve">4</w:t>
      </w:r>
      <w:r>
        <w:rPr>
          <w:rFonts w:hint="eastAsia" w:hAnsi="宋体"/>
          <w:color w:val="auto"/>
          <w:sz w:val="24"/>
          <w:highlight w:val="none"/>
        </w:rPr>
        <w:t xml:space="preserve">.1 履行期限：</w:t>
      </w:r>
      <w:r>
        <w:rPr>
          <w:rFonts w:hint="eastAsia" w:ascii="宋体" w:hAnsi="宋体" w:eastAsia="宋体" w:cs="宋体"/>
          <w:color w:val="auto"/>
          <w:sz w:val="24"/>
          <w:szCs w:val="24"/>
          <w:highlight w:val="none"/>
        </w:rPr>
        <w:t xml:space="preserve">自合同签订之日起</w:t>
      </w:r>
      <w:r>
        <w:rPr>
          <w:rFonts w:hint="eastAsia" w:ascii="宋体" w:hAnsi="宋体" w:eastAsia="宋体" w:cs="宋体"/>
          <w:color w:val="auto"/>
          <w:sz w:val="24"/>
          <w:szCs w:val="24"/>
          <w:highlight w:val="none"/>
          <w:lang w:val="en-US" w:eastAsia="zh-CN"/>
        </w:rPr>
        <w:t xml:space="preserve">180天</w:t>
      </w:r>
      <w:r>
        <w:rPr>
          <w:rFonts w:hint="eastAsia" w:ascii="宋体" w:hAnsi="宋体" w:cs="宋体"/>
          <w:color w:val="auto"/>
          <w:sz w:val="24"/>
          <w:szCs w:val="24"/>
          <w:highlight w:val="none"/>
          <w:lang w:val="en-US" w:eastAsia="zh-CN"/>
        </w:rPr>
        <w:t xml:space="preserve">。</w:t>
      </w:r>
      <w:r/>
    </w:p>
    <w:p>
      <w:pPr>
        <w:ind w:firstLine="480"/>
        <w:spacing w:beforeAutospacing="0" w:afterAutospacing="0" w:line="560" w:lineRule="exact"/>
        <w:rPr>
          <w:rFonts w:hint="eastAsia" w:hAnsi="宋体"/>
          <w:color w:val="auto"/>
          <w:sz w:val="24"/>
          <w:highlight w:val="none"/>
        </w:rPr>
      </w:pPr>
      <w:r>
        <w:rPr>
          <w:rFonts w:hint="eastAsia" w:hAnsi="宋体"/>
          <w:color w:val="auto"/>
          <w:sz w:val="24"/>
          <w:highlight w:val="none"/>
        </w:rPr>
        <w:t xml:space="preserve">1.</w:t>
      </w:r>
      <w:r>
        <w:rPr>
          <w:rFonts w:hint="eastAsia" w:hAnsi="宋体"/>
          <w:color w:val="auto"/>
          <w:sz w:val="24"/>
          <w:highlight w:val="none"/>
          <w:lang w:val="en-US" w:eastAsia="zh-CN"/>
        </w:rPr>
        <w:t xml:space="preserve">4</w:t>
      </w:r>
      <w:r>
        <w:rPr>
          <w:rFonts w:hint="eastAsia" w:hAnsi="宋体"/>
          <w:color w:val="auto"/>
          <w:sz w:val="24"/>
          <w:highlight w:val="none"/>
        </w:rPr>
        <w:t xml:space="preserve">.2 履行地点：</w:t>
      </w:r>
      <w:r>
        <w:rPr>
          <w:rFonts w:hint="eastAsia" w:hAnsi="宋体"/>
          <w:color w:val="auto"/>
          <w:sz w:val="24"/>
          <w:highlight w:val="none"/>
          <w:lang w:eastAsia="zh-CN"/>
        </w:rPr>
        <w:t xml:space="preserve">江苏沛县。</w:t>
      </w:r>
      <w:r/>
    </w:p>
    <w:p>
      <w:pPr>
        <w:ind w:firstLine="480"/>
        <w:spacing w:beforeAutospacing="0" w:afterAutospacing="0" w:line="560" w:lineRule="exact"/>
        <w:rPr>
          <w:rFonts w:hint="default" w:eastAsia="宋体"/>
          <w:color w:val="auto"/>
          <w:highlight w:val="none"/>
          <w:lang w:val="en-US" w:eastAsia="zh-CN"/>
        </w:rPr>
      </w:pPr>
      <w:r>
        <w:rPr>
          <w:rFonts w:hint="eastAsia" w:hAnsi="宋体"/>
          <w:color w:val="auto"/>
          <w:sz w:val="24"/>
          <w:highlight w:val="none"/>
        </w:rPr>
        <w:t xml:space="preserve">1.</w:t>
      </w:r>
      <w:r>
        <w:rPr>
          <w:rFonts w:hint="eastAsia" w:hAnsi="宋体"/>
          <w:color w:val="auto"/>
          <w:sz w:val="24"/>
          <w:highlight w:val="none"/>
          <w:lang w:val="en-US" w:eastAsia="zh-CN"/>
        </w:rPr>
        <w:t xml:space="preserve">4</w:t>
      </w:r>
      <w:r>
        <w:rPr>
          <w:rFonts w:hint="eastAsia" w:hAnsi="宋体"/>
          <w:color w:val="auto"/>
          <w:sz w:val="24"/>
          <w:highlight w:val="none"/>
        </w:rPr>
        <w:t xml:space="preserve">.3 履行方式：</w:t>
      </w:r>
      <w:r>
        <w:rPr>
          <w:rFonts w:hint="eastAsia" w:hAnsi="宋体"/>
          <w:color w:val="auto"/>
          <w:sz w:val="24"/>
          <w:highlight w:val="none"/>
          <w:lang w:eastAsia="zh-CN"/>
        </w:rPr>
        <w:t xml:space="preserve">按照国家标准、行业相关标准履行，规划通过评审</w:t>
      </w:r>
      <w:r>
        <w:rPr>
          <w:rFonts w:hint="eastAsia" w:hAnsi="宋体"/>
          <w:color w:val="auto"/>
          <w:sz w:val="24"/>
          <w:highlight w:val="none"/>
        </w:rPr>
        <w:t xml:space="preserve">。</w:t>
      </w:r>
      <w:r/>
    </w:p>
    <w:p>
      <w:pPr>
        <w:ind w:firstLine="482"/>
        <w:spacing w:beforeAutospacing="0" w:afterAutospacing="0" w:line="560" w:lineRule="exact"/>
        <w:rPr>
          <w:rFonts w:hint="eastAsia" w:hAnsi="宋体"/>
          <w:b/>
          <w:color w:val="auto"/>
          <w:sz w:val="24"/>
          <w:highlight w:val="none"/>
          <w:lang w:val="zh-CN"/>
        </w:rPr>
      </w:pPr>
      <w:r/>
      <w:bookmarkStart w:id="15" w:name="_Toc2375"/>
      <w:r/>
      <w:bookmarkEnd w:id="15"/>
      <w:r/>
      <w:bookmarkStart w:id="16" w:name="_Toc24662"/>
      <w:r/>
      <w:bookmarkEnd w:id="16"/>
      <w:r/>
      <w:bookmarkStart w:id="17" w:name="_Toc3079"/>
      <w:r/>
      <w:bookmarkEnd w:id="17"/>
      <w:r/>
      <w:bookmarkStart w:id="18" w:name="_Toc8586"/>
      <w:r/>
      <w:bookmarkEnd w:id="18"/>
      <w:r/>
      <w:bookmarkStart w:id="19" w:name="_Toc5698"/>
      <w:r/>
      <w:bookmarkEnd w:id="19"/>
      <w:r>
        <w:rPr>
          <w:rFonts w:hint="eastAsia" w:hAnsi="宋体"/>
          <w:b/>
          <w:color w:val="auto"/>
          <w:sz w:val="24"/>
          <w:highlight w:val="none"/>
          <w:lang w:val="zh-CN"/>
        </w:rPr>
        <w:t xml:space="preserve">1.</w:t>
      </w:r>
      <w:r>
        <w:rPr>
          <w:rFonts w:hint="eastAsia" w:hAnsi="宋体"/>
          <w:b/>
          <w:color w:val="auto"/>
          <w:sz w:val="24"/>
          <w:highlight w:val="none"/>
          <w:lang w:val="en-US" w:eastAsia="zh-CN"/>
        </w:rPr>
        <w:t xml:space="preserve">5</w:t>
      </w:r>
      <w:r>
        <w:rPr>
          <w:rFonts w:hint="eastAsia" w:hAnsi="宋体"/>
          <w:b/>
          <w:color w:val="auto"/>
          <w:sz w:val="24"/>
          <w:highlight w:val="none"/>
          <w:lang w:val="zh-CN"/>
        </w:rPr>
        <w:t xml:space="preserve"> 甲、乙双方的权利和义务</w:t>
      </w:r>
      <w:r/>
    </w:p>
    <w:p>
      <w:pPr>
        <w:ind w:firstLine="480"/>
        <w:spacing w:beforeAutospacing="0" w:afterAutospacing="0" w:line="560" w:lineRule="exact"/>
        <w:rPr>
          <w:rFonts w:hint="eastAsia" w:hAnsi="宋体"/>
          <w:b/>
          <w:bCs/>
          <w:color w:val="auto"/>
          <w:sz w:val="24"/>
          <w:highlight w:val="none"/>
          <w:lang w:val="zh-CN"/>
        </w:rPr>
      </w:pPr>
      <w:r>
        <w:rPr>
          <w:rFonts w:hint="eastAsia" w:hAnsi="宋体"/>
          <w:b/>
          <w:bCs/>
          <w:color w:val="auto"/>
          <w:sz w:val="24"/>
          <w:highlight w:val="none"/>
          <w:lang w:val="zh-CN"/>
        </w:rPr>
        <w:t xml:space="preserve">1.</w:t>
      </w:r>
      <w:r>
        <w:rPr>
          <w:rFonts w:hint="eastAsia" w:hAnsi="宋体"/>
          <w:b/>
          <w:bCs/>
          <w:color w:val="auto"/>
          <w:sz w:val="24"/>
          <w:highlight w:val="none"/>
          <w:lang w:val="en-US" w:eastAsia="zh-CN"/>
        </w:rPr>
        <w:t xml:space="preserve">5</w:t>
      </w:r>
      <w:r>
        <w:rPr>
          <w:rFonts w:hint="eastAsia" w:hAnsi="宋体"/>
          <w:b/>
          <w:bCs/>
          <w:color w:val="auto"/>
          <w:sz w:val="24"/>
          <w:highlight w:val="none"/>
          <w:lang w:val="zh-CN"/>
        </w:rPr>
        <w:t xml:space="preserve">.1甲方的权利义务</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(1)甲方审查乙方项目初步方案，应按合同约定足额将工作经费拨付给乙方。保证项目款及时到位，以保证项目的顺利进行。</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(2)甲方变更委托项目内容，或对所提供的资料作较大修改时，应及时告知乙方，双方可视具体情况另行协商签订补充合同，重新明确有关条款。</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(3)甲方负责基础资料收集、工作的统筹协调及成果审查、验收、论证等工作安排，并为乙方提供必要的工作场所和工作条件。</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(4)甲方应对乙方承担的项目提出成果要求，并督促乙方按计划完成项目并提交符合验收标准的成果。(5)甲方有权纠正和制止乙方在项目实施过程中出现的，未按执行标准及本合同要求开展工作的情形，情节严重的，甲方有权取消乙方承担项目的资格。</w:t>
      </w:r>
      <w:r/>
    </w:p>
    <w:p>
      <w:pPr>
        <w:ind w:firstLine="480"/>
        <w:spacing w:beforeAutospacing="0" w:afterAutospacing="0" w:line="560" w:lineRule="exact"/>
        <w:rPr>
          <w:rFonts w:hint="eastAsia" w:hAnsi="宋体"/>
          <w:b/>
          <w:bCs/>
          <w:color w:val="auto"/>
          <w:sz w:val="24"/>
          <w:highlight w:val="none"/>
          <w:lang w:val="zh-CN"/>
        </w:rPr>
      </w:pPr>
      <w:r>
        <w:rPr>
          <w:rFonts w:hint="eastAsia" w:hAnsi="宋体"/>
          <w:b/>
          <w:bCs/>
          <w:color w:val="auto"/>
          <w:sz w:val="24"/>
          <w:highlight w:val="none"/>
          <w:lang w:val="zh-CN"/>
        </w:rPr>
        <w:t xml:space="preserve">1.</w:t>
      </w:r>
      <w:r>
        <w:rPr>
          <w:rFonts w:hint="eastAsia" w:hAnsi="宋体"/>
          <w:b/>
          <w:bCs/>
          <w:color w:val="auto"/>
          <w:sz w:val="24"/>
          <w:highlight w:val="none"/>
          <w:lang w:val="en-US" w:eastAsia="zh-CN"/>
        </w:rPr>
        <w:t xml:space="preserve">5.</w:t>
      </w:r>
      <w:r>
        <w:rPr>
          <w:rFonts w:hint="eastAsia" w:hAnsi="宋体"/>
          <w:b/>
          <w:bCs/>
          <w:color w:val="auto"/>
          <w:sz w:val="24"/>
          <w:highlight w:val="none"/>
          <w:lang w:val="zh-CN"/>
        </w:rPr>
        <w:t xml:space="preserve">2乙方的权利义务</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(1)乙方按照相关管理行业标准和相关规定进行工作。乙方工作人员应遵守职业道德规范，按计划开展规划编制工作。</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(2)乙方有权按照合同规定获得甲方的帮助和配合，查阅与本项目有关的技术资料。</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(3)乙方负责对资料收集的指导，参与与本项目有关的业务会议。</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(4)乙方逾期提交成果报告(提交成果报告不符合要求亦视为未提交，直至返工修改后的提交视为实际提交时间)，或因乙方提交成果报告存在重大缺陷或错误导致甲方被追究责任的，乙方均应就甲方因此发生的损失向甲方承担损失赔偿责任。</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(5)乙方须以保密方式处理双方直接或间接提供的任何资料，以及因本项目研究工作所直接或间接取得、处理或接触的任何其他资料。未经甲方书面同意，不得向第三方透露任何有关项目的内容，或公开项目中间成果或最终成果。</w:t>
      </w:r>
      <w:r/>
    </w:p>
    <w:p>
      <w:pPr>
        <w:ind w:firstLine="480"/>
        <w:spacing w:beforeAutospacing="0" w:afterAutospacing="0" w:line="560" w:lineRule="exact"/>
        <w:rPr>
          <w:rFonts w:hint="eastAsia" w:hAnsi="宋体"/>
          <w:b/>
          <w:bCs/>
          <w:color w:val="auto"/>
          <w:sz w:val="24"/>
          <w:highlight w:val="none"/>
          <w:lang w:val="zh-CN"/>
        </w:rPr>
      </w:pPr>
      <w:r>
        <w:rPr>
          <w:rFonts w:hint="eastAsia" w:hAnsi="宋体"/>
          <w:b/>
          <w:bCs/>
          <w:color w:val="auto"/>
          <w:sz w:val="24"/>
          <w:highlight w:val="none"/>
          <w:lang w:val="zh-CN"/>
        </w:rPr>
        <w:t xml:space="preserve">1.</w:t>
      </w:r>
      <w:r>
        <w:rPr>
          <w:rFonts w:hint="eastAsia" w:hAnsi="宋体"/>
          <w:b/>
          <w:bCs/>
          <w:color w:val="auto"/>
          <w:sz w:val="24"/>
          <w:highlight w:val="none"/>
          <w:lang w:val="en-US" w:eastAsia="zh-CN"/>
        </w:rPr>
        <w:t xml:space="preserve">6</w:t>
      </w:r>
      <w:r>
        <w:rPr>
          <w:rFonts w:hint="eastAsia" w:hAnsi="宋体"/>
          <w:b/>
          <w:bCs/>
          <w:color w:val="auto"/>
          <w:sz w:val="24"/>
          <w:highlight w:val="none"/>
          <w:lang w:val="zh-CN"/>
        </w:rPr>
        <w:t xml:space="preserve">甲乙双方违约责任</w:t>
      </w:r>
      <w:r/>
    </w:p>
    <w:p>
      <w:pPr>
        <w:ind w:firstLine="480"/>
        <w:spacing w:beforeAutospacing="0" w:afterAutospacing="0" w:line="560" w:lineRule="exact"/>
        <w:rPr>
          <w:rFonts w:hint="eastAsia" w:hAnsi="宋体"/>
          <w:b/>
          <w:bCs/>
          <w:color w:val="auto"/>
          <w:sz w:val="24"/>
          <w:highlight w:val="none"/>
          <w:lang w:val="zh-CN"/>
        </w:rPr>
      </w:pPr>
      <w:r>
        <w:rPr>
          <w:rFonts w:hint="eastAsia" w:hAnsi="宋体"/>
          <w:b/>
          <w:bCs/>
          <w:color w:val="auto"/>
          <w:sz w:val="24"/>
          <w:highlight w:val="none"/>
          <w:lang w:val="zh-CN"/>
        </w:rPr>
        <w:t xml:space="preserve">1.</w:t>
      </w:r>
      <w:r>
        <w:rPr>
          <w:rFonts w:hint="eastAsia" w:hAnsi="宋体"/>
          <w:b/>
          <w:bCs/>
          <w:color w:val="auto"/>
          <w:sz w:val="24"/>
          <w:highlight w:val="none"/>
          <w:lang w:val="en-US" w:eastAsia="zh-CN"/>
        </w:rPr>
        <w:t xml:space="preserve">6</w:t>
      </w:r>
      <w:r>
        <w:rPr>
          <w:rFonts w:hint="eastAsia" w:hAnsi="宋体"/>
          <w:b/>
          <w:bCs/>
          <w:color w:val="auto"/>
          <w:sz w:val="24"/>
          <w:highlight w:val="none"/>
          <w:lang w:val="zh-CN"/>
        </w:rPr>
        <w:t xml:space="preserve">.1甲方违约责任</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(1)合同签订后，由于甲方停止项目而终止合同的，乙方未进入现场工作前，甲方无权请求返还预付款;乙方已进入现场工作，甲方应按完成的实际工作量支付项目价款。</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(2)除不可抗力外，如果甲方没有按照本合同约定的付款方式付款，那么乙方可要求甲方支付违约金，违约金按每迟延付款一日的应付而未付款的万分之五计算，最高限额为本合同总价的15%。</w:t>
      </w:r>
      <w:r/>
    </w:p>
    <w:p>
      <w:pPr>
        <w:ind w:firstLine="241"/>
        <w:spacing w:beforeAutospacing="0" w:afterAutospacing="0" w:line="560" w:lineRule="exact"/>
        <w:rPr>
          <w:rFonts w:hint="eastAsia" w:hAnsi="宋体"/>
          <w:b/>
          <w:bCs/>
          <w:color w:val="auto"/>
          <w:sz w:val="24"/>
          <w:highlight w:val="none"/>
          <w:lang w:val="zh-CN"/>
        </w:rPr>
      </w:pPr>
      <w:r>
        <w:rPr>
          <w:rFonts w:hint="eastAsia" w:hAnsi="宋体"/>
          <w:b/>
          <w:bCs/>
          <w:color w:val="auto"/>
          <w:sz w:val="24"/>
          <w:highlight w:val="none"/>
          <w:lang w:val="zh-CN"/>
        </w:rPr>
        <w:t xml:space="preserve">1.</w:t>
      </w:r>
      <w:r>
        <w:rPr>
          <w:rFonts w:hint="eastAsia" w:hAnsi="宋体"/>
          <w:b/>
          <w:bCs/>
          <w:color w:val="auto"/>
          <w:sz w:val="24"/>
          <w:highlight w:val="none"/>
          <w:lang w:val="en-US" w:eastAsia="zh-CN"/>
        </w:rPr>
        <w:t xml:space="preserve">6</w:t>
      </w:r>
      <w:r>
        <w:rPr>
          <w:rFonts w:hint="eastAsia" w:hAnsi="宋体"/>
          <w:b/>
          <w:bCs/>
          <w:color w:val="auto"/>
          <w:sz w:val="24"/>
          <w:highlight w:val="none"/>
          <w:lang w:val="zh-CN"/>
        </w:rPr>
        <w:t xml:space="preserve">.2乙方违约责任</w:t>
      </w:r>
      <w:r/>
    </w:p>
    <w:p>
      <w:pPr>
        <w:numPr>
          <w:ilvl w:val="0"/>
          <w:numId w:val="5"/>
        </w:num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除不可抗力外，如果乙方没有按照本合同约定的期限和内容和方式履行，那么甲方可要求乙方支付违约金，违约金按每迟延履行一日的应提供而未提供服务价格的万分之五计算，最高限额为本合同总价的15%。因天气、交通、政府行为、甲方提供的资料不准确等影响作业的客观原因造成的项目拖期，乙方不承担赔偿责任。(2)乙方提供服务不合格的，乙方应负责无偿采取补救措施，以达到项目要求因不合要求造成损失后果时，乙方应对因此造成的直接损失负赔偿责任，并承担相应的法律责任(由于甲方提供的资料原因产生的责任由甲方自己负责)。</w:t>
      </w:r>
      <w:r/>
    </w:p>
    <w:p>
      <w:pPr>
        <w:numPr>
          <w:ilvl w:val="0"/>
          <w:numId w:val="0"/>
        </w:num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1.</w:t>
      </w:r>
      <w:r>
        <w:rPr>
          <w:rFonts w:hint="eastAsia" w:hAnsi="宋体"/>
          <w:color w:val="auto"/>
          <w:sz w:val="24"/>
          <w:highlight w:val="none"/>
          <w:lang w:val="en-US" w:eastAsia="zh-CN"/>
        </w:rPr>
        <w:t xml:space="preserve">6</w:t>
      </w:r>
      <w:r>
        <w:rPr>
          <w:rFonts w:hint="eastAsia" w:hAnsi="宋体"/>
          <w:color w:val="auto"/>
          <w:sz w:val="24"/>
          <w:highlight w:val="none"/>
          <w:lang w:val="zh-CN"/>
        </w:rPr>
        <w:t xml:space="preserve">.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1.</w:t>
      </w:r>
      <w:r>
        <w:rPr>
          <w:rFonts w:hint="eastAsia" w:hAnsi="宋体"/>
          <w:color w:val="auto"/>
          <w:sz w:val="24"/>
          <w:highlight w:val="none"/>
          <w:lang w:val="en-US" w:eastAsia="zh-CN"/>
        </w:rPr>
        <w:t xml:space="preserve">7</w:t>
      </w:r>
      <w:r>
        <w:rPr>
          <w:rFonts w:hint="eastAsia" w:hAnsi="宋体"/>
          <w:color w:val="auto"/>
          <w:sz w:val="24"/>
          <w:highlight w:val="none"/>
          <w:lang w:val="zh-CN"/>
        </w:rPr>
        <w:t xml:space="preserve">成果权属</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1.</w:t>
      </w:r>
      <w:r>
        <w:rPr>
          <w:rFonts w:hint="eastAsia" w:hAnsi="宋体"/>
          <w:color w:val="auto"/>
          <w:sz w:val="24"/>
          <w:highlight w:val="none"/>
          <w:lang w:val="en-US" w:eastAsia="zh-CN"/>
        </w:rPr>
        <w:t xml:space="preserve">7</w:t>
      </w:r>
      <w:r>
        <w:rPr>
          <w:rFonts w:hint="eastAsia" w:hAnsi="宋体"/>
          <w:color w:val="auto"/>
          <w:sz w:val="24"/>
          <w:highlight w:val="none"/>
          <w:lang w:val="zh-CN"/>
        </w:rPr>
        <w:t xml:space="preserve">.1在本合同有效期内所完成新的技术成果、知识产权，归甲方所有。</w:t>
      </w:r>
      <w:r/>
    </w:p>
    <w:p>
      <w:pPr>
        <w:ind w:firstLine="480"/>
        <w:spacing w:beforeAutospacing="0" w:afterAutospacing="0" w:line="560" w:lineRule="exact"/>
        <w:rPr>
          <w:rFonts w:hint="eastAsia" w:hAnsi="宋体"/>
          <w:color w:val="auto"/>
          <w:sz w:val="24"/>
          <w:highlight w:val="none"/>
          <w:lang w:val="zh-CN"/>
        </w:rPr>
      </w:pPr>
      <w:r>
        <w:rPr>
          <w:rFonts w:hint="eastAsia" w:hAnsi="宋体"/>
          <w:color w:val="auto"/>
          <w:sz w:val="24"/>
          <w:highlight w:val="none"/>
          <w:lang w:val="zh-CN"/>
        </w:rPr>
        <w:t xml:space="preserve">1.</w:t>
      </w:r>
      <w:r>
        <w:rPr>
          <w:rFonts w:hint="eastAsia" w:hAnsi="宋体"/>
          <w:color w:val="auto"/>
          <w:sz w:val="24"/>
          <w:highlight w:val="none"/>
          <w:lang w:val="en-US" w:eastAsia="zh-CN"/>
        </w:rPr>
        <w:t xml:space="preserve">7</w:t>
      </w:r>
      <w:r>
        <w:rPr>
          <w:rFonts w:hint="eastAsia" w:hAnsi="宋体"/>
          <w:color w:val="auto"/>
          <w:sz w:val="24"/>
          <w:highlight w:val="none"/>
          <w:lang w:val="zh-CN"/>
        </w:rPr>
        <w:t xml:space="preserve">.2乙方可以享有本合同项目中间成果或最终成果的下列相关权利:利用本合同项目中间成果或最终成果用于学术研究，发表论文或著作，申报行业奖项的权利;相关科技成果享受国家政策奖励的权利;以受委托人的身份利用甲方己公开的成果对外宣传的权利。</w:t>
      </w:r>
      <w:r/>
    </w:p>
    <w:p>
      <w:pPr>
        <w:ind w:firstLine="480"/>
        <w:spacing w:beforeAutospacing="0" w:afterAutospacing="0" w:line="560" w:lineRule="exact"/>
        <w:rPr>
          <w:rFonts w:hint="eastAsia"/>
          <w:color w:val="auto"/>
          <w:highlight w:val="none"/>
        </w:rPr>
      </w:pPr>
      <w:r>
        <w:rPr>
          <w:rFonts w:hint="eastAsia" w:hAnsi="宋体"/>
          <w:color w:val="auto"/>
          <w:sz w:val="24"/>
          <w:highlight w:val="none"/>
          <w:lang w:val="zh-CN"/>
        </w:rPr>
        <w:t xml:space="preserve">1.</w:t>
      </w:r>
      <w:r>
        <w:rPr>
          <w:rFonts w:hint="eastAsia" w:hAnsi="宋体"/>
          <w:color w:val="auto"/>
          <w:sz w:val="24"/>
          <w:highlight w:val="none"/>
          <w:lang w:val="en-US" w:eastAsia="zh-CN"/>
        </w:rPr>
        <w:t xml:space="preserve">7</w:t>
      </w:r>
      <w:r>
        <w:rPr>
          <w:rFonts w:hint="eastAsia" w:hAnsi="宋体"/>
          <w:color w:val="auto"/>
          <w:sz w:val="24"/>
          <w:highlight w:val="none"/>
          <w:lang w:val="zh-CN"/>
        </w:rPr>
        <w:t xml:space="preserve">.3乙方为甲方提供的服务工作成果如有引发侵权责任由乙方承担，与甲方无关。</w:t>
      </w:r>
      <w:r/>
    </w:p>
    <w:p>
      <w:pPr>
        <w:ind w:firstLine="482"/>
        <w:spacing w:beforeAutospacing="0" w:afterAutospacing="0" w:line="560" w:lineRule="exact"/>
        <w:rPr>
          <w:rFonts w:hint="eastAsia" w:hAnsi="宋体"/>
          <w:b/>
          <w:color w:val="auto"/>
          <w:sz w:val="24"/>
          <w:highlight w:val="none"/>
        </w:rPr>
      </w:pPr>
      <w:r/>
      <w:bookmarkStart w:id="20" w:name="_Toc32454"/>
      <w:r/>
      <w:bookmarkEnd w:id="20"/>
      <w:r/>
      <w:bookmarkStart w:id="21" w:name="_Toc9497"/>
      <w:r/>
      <w:bookmarkEnd w:id="21"/>
      <w:r/>
      <w:bookmarkStart w:id="22" w:name="_Toc26807"/>
      <w:r/>
      <w:bookmarkEnd w:id="22"/>
      <w:r/>
      <w:bookmarkStart w:id="23" w:name="_Toc18683"/>
      <w:r/>
      <w:bookmarkEnd w:id="23"/>
      <w:r/>
      <w:bookmarkStart w:id="24" w:name="_Toc30329"/>
      <w:r/>
      <w:bookmarkEnd w:id="24"/>
      <w:r>
        <w:rPr>
          <w:rFonts w:hint="eastAsia" w:hAnsi="宋体"/>
          <w:b/>
          <w:color w:val="auto"/>
          <w:sz w:val="24"/>
          <w:highlight w:val="none"/>
        </w:rPr>
        <w:t xml:space="preserve">1.</w:t>
      </w:r>
      <w:r>
        <w:rPr>
          <w:rFonts w:hint="eastAsia" w:hAnsi="宋体"/>
          <w:b/>
          <w:color w:val="auto"/>
          <w:sz w:val="24"/>
          <w:highlight w:val="none"/>
          <w:lang w:val="en-US" w:eastAsia="zh-CN"/>
        </w:rPr>
        <w:t xml:space="preserve">8</w:t>
      </w:r>
      <w:r>
        <w:rPr>
          <w:rFonts w:hint="eastAsia" w:hAnsi="宋体"/>
          <w:b/>
          <w:color w:val="auto"/>
          <w:sz w:val="24"/>
          <w:highlight w:val="none"/>
        </w:rPr>
        <w:t xml:space="preserve"> 合同争议的解决</w:t>
      </w:r>
      <w:r/>
    </w:p>
    <w:p>
      <w:pPr>
        <w:ind w:firstLine="480"/>
        <w:spacing w:beforeAutospacing="0" w:afterAutospacing="0" w:line="560" w:lineRule="exact"/>
        <w:rPr>
          <w:rFonts w:hint="eastAsia" w:hAnsi="宋体"/>
          <w:color w:val="auto"/>
          <w:sz w:val="24"/>
          <w:highlight w:val="none"/>
        </w:rPr>
      </w:pPr>
      <w:r>
        <w:rPr>
          <w:rFonts w:hint="eastAsia" w:hAnsi="宋体"/>
          <w:color w:val="auto"/>
          <w:sz w:val="24"/>
          <w:highlight w:val="none"/>
        </w:rPr>
        <w:t xml:space="preserve">1.</w:t>
      </w:r>
      <w:r>
        <w:rPr>
          <w:rFonts w:hint="eastAsia" w:hAnsi="宋体"/>
          <w:color w:val="auto"/>
          <w:sz w:val="24"/>
          <w:highlight w:val="none"/>
          <w:lang w:val="en-US" w:eastAsia="zh-CN"/>
        </w:rPr>
        <w:t xml:space="preserve">8.</w:t>
      </w:r>
      <w:r>
        <w:rPr>
          <w:rFonts w:hint="eastAsia" w:hAnsi="宋体"/>
          <w:color w:val="auto"/>
          <w:sz w:val="24"/>
          <w:highlight w:val="none"/>
        </w:rPr>
        <w:t xml:space="preserve">1 本合同履行过程中发生的任何争议，双方当事人均可通过和解或者调解解决；不愿和解、调解或者和解、调解不成的，可以选择下列第</w:t>
      </w:r>
      <w:r>
        <w:rPr>
          <w:rFonts w:hint="eastAsia" w:hAnsi="宋体"/>
          <w:color w:val="auto"/>
          <w:sz w:val="24"/>
          <w:highlight w:val="none"/>
          <w:lang w:val="en-US" w:eastAsia="zh-CN"/>
        </w:rPr>
        <w:t xml:space="preserve">-----</w:t>
      </w:r>
      <w:r>
        <w:rPr>
          <w:rFonts w:hint="eastAsia" w:hAnsi="宋体"/>
          <w:color w:val="auto"/>
          <w:sz w:val="24"/>
          <w:highlight w:val="none"/>
        </w:rPr>
        <w:t xml:space="preserve">种方式解决：</w:t>
      </w:r>
      <w:r/>
    </w:p>
    <w:p>
      <w:pPr>
        <w:ind w:firstLine="480"/>
        <w:spacing w:beforeAutospacing="0" w:afterAutospacing="0" w:line="560" w:lineRule="exact"/>
        <w:rPr>
          <w:rFonts w:hint="eastAsia" w:hAnsi="宋体"/>
          <w:color w:val="auto"/>
          <w:sz w:val="24"/>
          <w:highlight w:val="none"/>
        </w:rPr>
      </w:pPr>
      <w:r>
        <w:rPr>
          <w:rFonts w:hint="eastAsia" w:hAnsi="宋体"/>
          <w:color w:val="auto"/>
          <w:sz w:val="24"/>
          <w:highlight w:val="none"/>
        </w:rPr>
        <w:t xml:space="preserve">①将争议提交甲方所在地（徐州沛县）仲裁委员会依申请仲裁时其现行有效的仲裁规则裁决；</w:t>
      </w:r>
      <w:r/>
    </w:p>
    <w:p>
      <w:pPr>
        <w:ind w:firstLine="480"/>
        <w:spacing w:beforeAutospacing="0" w:afterAutospacing="0" w:line="560" w:lineRule="exact"/>
        <w:rPr>
          <w:rFonts w:hint="eastAsia" w:hAnsi="宋体"/>
          <w:color w:val="auto"/>
          <w:sz w:val="24"/>
          <w:highlight w:val="none"/>
        </w:rPr>
      </w:pPr>
      <w:r>
        <w:rPr>
          <w:rFonts w:hint="eastAsia" w:hAnsi="宋体"/>
          <w:color w:val="auto"/>
          <w:sz w:val="24"/>
          <w:highlight w:val="none"/>
        </w:rPr>
        <w:t xml:space="preserve">②向甲方所在地（徐州沛县）人民法院起诉。</w:t>
      </w:r>
      <w:r/>
    </w:p>
    <w:p>
      <w:pPr>
        <w:ind w:firstLine="482"/>
        <w:spacing w:beforeAutospacing="0" w:afterAutospacing="0" w:line="560" w:lineRule="exact"/>
        <w:rPr>
          <w:rFonts w:hint="eastAsia" w:hAnsi="宋体"/>
          <w:b/>
          <w:color w:val="auto"/>
          <w:sz w:val="24"/>
          <w:highlight w:val="none"/>
        </w:rPr>
      </w:pPr>
      <w:r/>
      <w:bookmarkStart w:id="25" w:name="_Toc23784"/>
      <w:r/>
      <w:bookmarkEnd w:id="25"/>
      <w:r/>
      <w:bookmarkStart w:id="26" w:name="_Toc16417"/>
      <w:r/>
      <w:bookmarkEnd w:id="26"/>
      <w:r/>
      <w:bookmarkStart w:id="27" w:name="_Toc12273"/>
      <w:r/>
      <w:bookmarkEnd w:id="27"/>
      <w:r/>
      <w:bookmarkStart w:id="28" w:name="_Toc15827"/>
      <w:r/>
      <w:bookmarkEnd w:id="28"/>
      <w:r/>
      <w:bookmarkStart w:id="29" w:name="_Toc26227"/>
      <w:r/>
      <w:bookmarkEnd w:id="29"/>
      <w:r>
        <w:rPr>
          <w:rFonts w:hint="eastAsia" w:hAnsi="宋体"/>
          <w:b/>
          <w:color w:val="auto"/>
          <w:sz w:val="24"/>
          <w:highlight w:val="none"/>
        </w:rPr>
        <w:t xml:space="preserve">1.</w:t>
      </w:r>
      <w:r>
        <w:rPr>
          <w:rFonts w:hint="eastAsia" w:hAnsi="宋体"/>
          <w:b/>
          <w:color w:val="auto"/>
          <w:sz w:val="24"/>
          <w:highlight w:val="none"/>
          <w:lang w:val="en-US" w:eastAsia="zh-CN"/>
        </w:rPr>
        <w:t xml:space="preserve">9</w:t>
      </w:r>
      <w:r>
        <w:rPr>
          <w:rFonts w:hint="eastAsia" w:hAnsi="宋体"/>
          <w:b/>
          <w:color w:val="auto"/>
          <w:sz w:val="24"/>
          <w:highlight w:val="none"/>
        </w:rPr>
        <w:t xml:space="preserve"> 合同生效</w:t>
      </w:r>
      <w:r/>
    </w:p>
    <w:p>
      <w:pPr>
        <w:ind w:firstLine="480"/>
        <w:spacing w:beforeAutospacing="0" w:afterAutospacing="0" w:line="560" w:lineRule="exact"/>
        <w:rPr>
          <w:rFonts w:hint="eastAsia" w:hAnsi="宋体"/>
          <w:color w:val="auto"/>
          <w:sz w:val="24"/>
          <w:highlight w:val="none"/>
        </w:rPr>
      </w:pPr>
      <w:r>
        <w:rPr>
          <w:rFonts w:hint="eastAsia" w:hAnsi="宋体"/>
          <w:color w:val="auto"/>
          <w:sz w:val="24"/>
          <w:highlight w:val="none"/>
        </w:rPr>
        <w:t xml:space="preserve">1.</w:t>
      </w:r>
      <w:r>
        <w:rPr>
          <w:rFonts w:hint="eastAsia" w:hAnsi="宋体"/>
          <w:color w:val="auto"/>
          <w:sz w:val="24"/>
          <w:highlight w:val="none"/>
          <w:lang w:val="en-US" w:eastAsia="zh-CN"/>
        </w:rPr>
        <w:t xml:space="preserve">9</w:t>
      </w:r>
      <w:r>
        <w:rPr>
          <w:rFonts w:hint="eastAsia" w:hAnsi="宋体"/>
          <w:color w:val="auto"/>
          <w:sz w:val="24"/>
          <w:highlight w:val="none"/>
        </w:rPr>
        <w:t xml:space="preserve">.1 本合同</w:t>
      </w:r>
      <w:r>
        <w:rPr>
          <w:rFonts w:hint="eastAsia" w:hAnsi="宋体"/>
          <w:color w:val="auto"/>
          <w:sz w:val="24"/>
          <w:highlight w:val="none"/>
          <w:lang w:val="zh-CN"/>
        </w:rPr>
        <w:t xml:space="preserve">经甲乙双方代表签字并加盖公章（或合同章）后即生效。</w:t>
      </w:r>
      <w:r/>
    </w:p>
    <w:p>
      <w:pPr>
        <w:ind w:firstLine="480"/>
        <w:spacing w:beforeAutospacing="0" w:afterAutospacing="0" w:line="560" w:lineRule="exact"/>
        <w:rPr>
          <w:rFonts w:hint="eastAsia" w:hAnsi="宋体"/>
          <w:color w:val="auto"/>
          <w:sz w:val="24"/>
          <w:highlight w:val="none"/>
        </w:rPr>
      </w:pPr>
      <w:r>
        <w:rPr>
          <w:rFonts w:hint="eastAsia" w:hAnsi="宋体"/>
          <w:color w:val="auto"/>
          <w:sz w:val="24"/>
          <w:highlight w:val="none"/>
        </w:rPr>
        <w:t xml:space="preserve">1.</w:t>
      </w:r>
      <w:r>
        <w:rPr>
          <w:rFonts w:hint="eastAsia" w:hAnsi="宋体"/>
          <w:color w:val="auto"/>
          <w:sz w:val="24"/>
          <w:highlight w:val="none"/>
          <w:lang w:val="en-US" w:eastAsia="zh-CN"/>
        </w:rPr>
        <w:t xml:space="preserve">9</w:t>
      </w:r>
      <w:r>
        <w:rPr>
          <w:rFonts w:hint="eastAsia" w:hAnsi="宋体"/>
          <w:color w:val="auto"/>
          <w:sz w:val="24"/>
          <w:highlight w:val="none"/>
        </w:rPr>
        <w:t xml:space="preserve">.2 本合同一式</w:t>
      </w:r>
      <w:r>
        <w:rPr>
          <w:rFonts w:hint="eastAsia" w:hAnsi="宋体"/>
          <w:color w:val="auto"/>
          <w:sz w:val="24"/>
          <w:highlight w:val="none"/>
          <w:lang w:val="en-US" w:eastAsia="zh-CN"/>
        </w:rPr>
        <w:t xml:space="preserve">伍</w:t>
      </w:r>
      <w:r>
        <w:rPr>
          <w:rFonts w:hint="eastAsia" w:hAnsi="宋体"/>
          <w:color w:val="auto"/>
          <w:sz w:val="24"/>
          <w:highlight w:val="none"/>
        </w:rPr>
        <w:t xml:space="preserve">份，供需双方各持</w:t>
      </w:r>
      <w:r>
        <w:rPr>
          <w:rFonts w:hint="eastAsia" w:hAnsi="宋体"/>
          <w:color w:val="auto"/>
          <w:sz w:val="24"/>
          <w:highlight w:val="none"/>
          <w:lang w:val="en-US" w:eastAsia="zh-CN"/>
        </w:rPr>
        <w:t xml:space="preserve">贰</w:t>
      </w:r>
      <w:r>
        <w:rPr>
          <w:rFonts w:hint="eastAsia" w:hAnsi="宋体"/>
          <w:color w:val="auto"/>
          <w:sz w:val="24"/>
          <w:highlight w:val="none"/>
        </w:rPr>
        <w:t xml:space="preserve">份，</w:t>
      </w:r>
      <w:r>
        <w:rPr>
          <w:rFonts w:hint="eastAsia" w:hAnsi="宋体"/>
          <w:color w:val="auto"/>
          <w:sz w:val="24"/>
          <w:highlight w:val="none"/>
          <w:lang w:val="en-US" w:eastAsia="zh-CN"/>
        </w:rPr>
        <w:t xml:space="preserve">采购</w:t>
      </w:r>
      <w:r>
        <w:rPr>
          <w:rFonts w:hint="eastAsia" w:hAnsi="宋体"/>
          <w:color w:val="auto"/>
          <w:sz w:val="24"/>
          <w:highlight w:val="none"/>
        </w:rPr>
        <w:t xml:space="preserve">代理公司存档各一份。</w:t>
      </w:r>
      <w:r/>
    </w:p>
    <w:p>
      <w:pPr>
        <w:ind w:firstLine="480"/>
        <w:spacing w:beforeAutospacing="0" w:afterAutospacing="0" w:line="560" w:lineRule="exact"/>
        <w:rPr>
          <w:rFonts w:hAnsi="宋体"/>
          <w:color w:val="auto"/>
          <w:sz w:val="24"/>
          <w:highlight w:val="none"/>
          <w:lang w:val="zh-CN"/>
        </w:rPr>
      </w:pPr>
      <w:r>
        <w:rPr>
          <w:rFonts w:hAnsi="宋体"/>
          <w:color w:val="auto"/>
          <w:sz w:val="24"/>
          <w:highlight w:val="none"/>
          <w:lang w:val="zh-CN"/>
        </w:rPr>
      </w:r>
      <w:r/>
    </w:p>
    <w:tbl>
      <w:tblPr>
        <w:tblStyle w:val="888"/>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Height w:val="782"/>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rPr>
                <w:rFonts w:hAnsi="宋体"/>
                <w:color w:val="auto"/>
                <w:sz w:val="24"/>
                <w:highlight w:val="none"/>
                <w:lang w:val="zh-CN"/>
              </w:rPr>
            </w:pPr>
            <w:r/>
            <w:bookmarkStart w:id="30" w:name="OLE_LINK46"/>
            <w:r/>
            <w:bookmarkEnd w:id="30"/>
            <w:r/>
            <w:r/>
          </w:p>
          <w:p>
            <w:pPr>
              <w:ind w:firstLine="480"/>
              <w:jc w:val="left"/>
              <w:rPr>
                <w:rFonts w:hint="eastAsia" w:hAnsi="宋体"/>
                <w:color w:val="auto"/>
                <w:sz w:val="24"/>
                <w:highlight w:val="none"/>
                <w:lang w:val="zh-CN"/>
              </w:rPr>
            </w:pPr>
            <w:r>
              <w:rPr>
                <w:rFonts w:hint="eastAsia" w:hAnsi="宋体"/>
                <w:color w:val="auto"/>
                <w:sz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jc w:val="left"/>
              <w:rPr>
                <w:rFonts w:hAnsi="宋体"/>
                <w:color w:val="auto"/>
                <w:sz w:val="24"/>
                <w:highlight w:val="none"/>
                <w:lang w:val="zh-CN"/>
              </w:rPr>
            </w:pPr>
            <w:r>
              <w:rPr>
                <w:rFonts w:hAnsi="宋体"/>
                <w:color w:val="auto"/>
                <w:sz w:val="24"/>
                <w:highlight w:val="none"/>
                <w:lang w:val="zh-CN"/>
              </w:rPr>
            </w:r>
            <w:r/>
          </w:p>
          <w:p>
            <w:pPr>
              <w:ind w:firstLine="480"/>
              <w:jc w:val="left"/>
              <w:rPr>
                <w:rFonts w:hint="eastAsia" w:hAnsi="宋体"/>
                <w:color w:val="auto"/>
                <w:sz w:val="24"/>
                <w:highlight w:val="none"/>
                <w:lang w:val="zh-CN"/>
              </w:rPr>
            </w:pPr>
            <w:r>
              <w:rPr>
                <w:rFonts w:hint="eastAsia" w:hAnsi="宋体"/>
                <w:color w:val="auto"/>
                <w:sz w:val="24"/>
                <w:highlight w:val="none"/>
                <w:lang w:val="zh-CN"/>
              </w:rPr>
              <w:t xml:space="preserve">乙方（供应商）：（盖章）</w:t>
            </w:r>
            <w:r/>
          </w:p>
        </w:tc>
      </w:tr>
      <w:tr>
        <w:trPr>
          <w:jc w:val="center"/>
          <w:trHeight w:val="461"/>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hAnsi="宋体"/>
                <w:color w:val="auto"/>
                <w:sz w:val="24"/>
                <w:highlight w:val="none"/>
                <w:lang w:val="zh-CN"/>
              </w:rPr>
            </w:pPr>
            <w:r>
              <w:rPr>
                <w:rFonts w:hint="eastAsia" w:hAnsi="宋体"/>
                <w:color w:val="auto"/>
                <w:sz w:val="24"/>
                <w:highlight w:val="none"/>
                <w:lang w:val="zh-CN"/>
              </w:rPr>
              <w:t xml:space="preserve">代表人签字：</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hAnsi="宋体"/>
                <w:color w:val="auto"/>
                <w:sz w:val="24"/>
                <w:highlight w:val="none"/>
                <w:lang w:val="zh-CN"/>
              </w:rPr>
            </w:pPr>
            <w:r>
              <w:rPr>
                <w:rFonts w:hint="eastAsia" w:hAnsi="宋体"/>
                <w:color w:val="auto"/>
                <w:sz w:val="24"/>
                <w:highlight w:val="none"/>
                <w:lang w:val="zh-CN"/>
              </w:rPr>
              <w:t xml:space="preserve">代表人签字</w:t>
            </w:r>
            <w:r>
              <w:rPr>
                <w:rFonts w:hint="eastAsia" w:hAnsi="宋体"/>
                <w:color w:val="auto"/>
                <w:sz w:val="24"/>
                <w:highlight w:val="none"/>
              </w:rPr>
              <w:t xml:space="preserve">：</w:t>
            </w:r>
            <w:r/>
          </w:p>
        </w:tc>
      </w:tr>
      <w:tr>
        <w:trPr>
          <w:jc w:val="center"/>
          <w:trHeight w:val="407"/>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Ansi="宋体"/>
                <w:color w:val="auto"/>
                <w:sz w:val="24"/>
                <w:highlight w:val="none"/>
              </w:rPr>
            </w:pPr>
            <w:r>
              <w:rPr>
                <w:rFonts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hAnsi="宋体"/>
                <w:color w:val="auto"/>
                <w:sz w:val="24"/>
                <w:highlight w:val="none"/>
                <w:lang w:val="zh-CN"/>
              </w:rPr>
            </w:pPr>
            <w:r>
              <w:rPr>
                <w:rFonts w:hint="eastAsia" w:hAnsi="宋体"/>
                <w:color w:val="auto"/>
                <w:sz w:val="24"/>
                <w:highlight w:val="none"/>
                <w:lang w:val="zh-CN"/>
              </w:rPr>
              <w:t xml:space="preserve">电话：</w:t>
            </w:r>
            <w:r/>
          </w:p>
        </w:tc>
      </w:tr>
      <w:tr>
        <w:trPr>
          <w:jc w:val="center"/>
          <w:trHeight w:val="461"/>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Ansi="宋体"/>
                <w:color w:val="auto"/>
                <w:sz w:val="24"/>
                <w:highlight w:val="none"/>
              </w:rPr>
            </w:pPr>
            <w:r>
              <w:rPr>
                <w:rFonts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hAnsi="宋体"/>
                <w:color w:val="auto"/>
                <w:sz w:val="24"/>
                <w:highlight w:val="none"/>
                <w:lang w:val="zh-CN"/>
              </w:rPr>
            </w:pPr>
            <w:r>
              <w:rPr>
                <w:rFonts w:hint="eastAsia" w:hAnsi="宋体"/>
                <w:color w:val="auto"/>
                <w:sz w:val="24"/>
                <w:highlight w:val="none"/>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Ansi="宋体"/>
                <w:color w:val="auto"/>
                <w:sz w:val="24"/>
                <w:highlight w:val="none"/>
              </w:rPr>
            </w:pPr>
            <w:r>
              <w:rPr>
                <w:rFonts w:hAnsi="宋体"/>
                <w:color w:val="auto"/>
                <w:sz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hAnsi="宋体"/>
                <w:color w:val="auto"/>
                <w:sz w:val="24"/>
                <w:highlight w:val="none"/>
                <w:lang w:val="zh-CN"/>
              </w:rPr>
            </w:pPr>
            <w:r>
              <w:rPr>
                <w:rFonts w:hint="eastAsia" w:hAnsi="宋体"/>
                <w:color w:val="auto"/>
                <w:sz w:val="24"/>
                <w:highlight w:val="none"/>
                <w:lang w:val="zh-CN"/>
              </w:rPr>
              <w:t xml:space="preserve">账号：</w:t>
            </w:r>
            <w:r/>
          </w:p>
          <w:p>
            <w:pPr>
              <w:jc w:val="left"/>
              <w:rPr>
                <w:rFonts w:hAnsi="宋体"/>
                <w:color w:val="auto"/>
                <w:sz w:val="24"/>
                <w:highlight w:val="none"/>
                <w:lang w:val="zh-CN"/>
              </w:rPr>
            </w:pPr>
            <w:r>
              <w:rPr>
                <w:rFonts w:hAnsi="宋体"/>
                <w:color w:val="auto"/>
                <w:sz w:val="24"/>
                <w:highlight w:val="none"/>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Ansi="宋体"/>
                <w:color w:val="auto"/>
                <w:sz w:val="24"/>
                <w:highlight w:val="none"/>
                <w:lang w:val="zh-CN"/>
              </w:rPr>
            </w:pPr>
            <w:r>
              <w:rPr>
                <w:rFonts w:hAnsi="宋体"/>
                <w:color w:val="auto"/>
                <w:sz w:val="24"/>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tcPr>
          <w:p>
            <w:pPr>
              <w:ind w:firstLine="480"/>
              <w:jc w:val="left"/>
              <w:rPr>
                <w:rFonts w:hint="eastAsia" w:hAnsi="宋体"/>
                <w:color w:val="auto"/>
                <w:sz w:val="24"/>
                <w:highlight w:val="none"/>
                <w:lang w:val="zh-CN"/>
              </w:rPr>
            </w:pPr>
            <w:r>
              <w:rPr>
                <w:rFonts w:hint="eastAsia" w:hAnsi="宋体"/>
                <w:color w:val="auto"/>
                <w:sz w:val="24"/>
                <w:highlight w:val="none"/>
                <w:lang w:val="zh-CN"/>
              </w:rPr>
              <w:t xml:space="preserve">日    期：     年    月    日</w:t>
            </w:r>
            <w:r/>
          </w:p>
        </w:tc>
      </w:tr>
    </w:tbl>
    <w:p>
      <w:pPr>
        <w:jc w:val="center"/>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br w:type="page" w:clear="all"/>
      </w:r>
      <w:r/>
    </w:p>
    <w:p>
      <w:pPr>
        <w:pStyle w:val="1134"/>
        <w:jc w:val="center"/>
        <w:spacing w:after="312" w:line="520" w:lineRule="exact"/>
        <w:rPr>
          <w:rFonts w:hint="eastAsia" w:hAnsi="宋体" w:cs="宋体"/>
          <w:b/>
          <w:bCs/>
          <w:color w:val="auto"/>
          <w:sz w:val="36"/>
          <w:szCs w:val="36"/>
          <w:highlight w:val="none"/>
        </w:rPr>
      </w:pPr>
      <w:r>
        <w:rPr>
          <w:rFonts w:hint="eastAsia" w:hAnsi="宋体" w:cs="宋体"/>
          <w:b/>
          <w:bCs/>
          <w:color w:val="auto"/>
          <w:sz w:val="36"/>
          <w:szCs w:val="36"/>
          <w:highlight w:val="none"/>
          <w:lang w:val="en-US" w:eastAsia="zh-CN"/>
        </w:rPr>
        <w:t xml:space="preserve">7</w:t>
      </w:r>
      <w:r>
        <w:rPr>
          <w:rFonts w:hint="eastAsia" w:hAnsi="宋体" w:cs="宋体"/>
          <w:b/>
          <w:bCs/>
          <w:color w:val="auto"/>
          <w:sz w:val="36"/>
          <w:szCs w:val="36"/>
          <w:highlight w:val="none"/>
        </w:rPr>
        <w:t xml:space="preserve">、承诺书</w:t>
      </w:r>
      <w:r/>
    </w:p>
    <w:p>
      <w:pPr>
        <w:jc w:val="center"/>
        <w:spacing w:line="288"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沛县住房和城乡建设局</w:t>
      </w:r>
      <w:r>
        <w:rPr>
          <w:rFonts w:hint="eastAsia" w:ascii="宋体" w:hAnsi="宋体" w:cs="宋体"/>
          <w:b/>
          <w:bCs/>
          <w:color w:val="auto"/>
          <w:sz w:val="24"/>
          <w:highlight w:val="none"/>
        </w:rPr>
        <w:t xml:space="preserve">：</w:t>
      </w:r>
      <w:r/>
    </w:p>
    <w:p>
      <w:pPr>
        <w:pStyle w:val="1141"/>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1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6"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1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1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1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1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41"/>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如我单位被确定为成交供应商，采购人或采购代理机构有权将我单位本项目</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中的《中小企业声明函》（如有）、《残疾人福利性单位声明函》（如有）和《关于符合本国产品标准的声明函》（如有）或财政部会同有关部门规定的符合本国产品标准的有关证明文件（如有）作为《成交结果公告》的附件予以公告。</w:t>
      </w:r>
      <w:r/>
    </w:p>
    <w:p>
      <w:pPr>
        <w:ind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供应商（供应商电子签章）：</w:t>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lang w:val="en-US" w:eastAsia="zh-CN"/>
        </w:rPr>
        <w:t xml:space="preserve">8</w:t>
      </w:r>
      <w:r>
        <w:rPr>
          <w:rFonts w:hint="eastAsia" w:ascii="宋体" w:hAnsi="宋体" w:cs="宋体"/>
          <w:b/>
          <w:bCs/>
          <w:color w:val="auto"/>
          <w:sz w:val="36"/>
          <w:szCs w:val="36"/>
          <w:highlight w:val="none"/>
        </w:rPr>
        <w:t xml:space="preserve">、授权委托书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委托人（全称）：</w:t>
      </w:r>
      <w:r/>
    </w:p>
    <w:p>
      <w:pPr>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地  址：</w:t>
      </w:r>
      <w:r/>
    </w:p>
    <w:p>
      <w:pPr>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法定代表人（负责人）：               </w:t>
      </w:r>
      <w:r/>
    </w:p>
    <w:p>
      <w:pPr>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统一社会信用代码：</w:t>
      </w:r>
      <w:r/>
    </w:p>
    <w:p>
      <w:pPr>
        <w:jc w:val="both"/>
        <w:spacing w:beforeAutospacing="0" w:afterAutospacing="0" w:line="5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受托人：                  先生（女士）</w:t>
      </w:r>
      <w:r/>
    </w:p>
    <w:p>
      <w:pPr>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身份证号：</w:t>
      </w:r>
      <w:r/>
    </w:p>
    <w:p>
      <w:pPr>
        <w:jc w:val="center"/>
        <w:spacing w:beforeAutospacing="0" w:afterAutospacing="0" w:line="0" w:lineRule="atLeas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both"/>
        <w:spacing w:beforeAutospacing="0" w:afterAutospacing="0" w:line="5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630"/>
        <w:jc w:val="both"/>
        <w:spacing w:beforeAutospacing="0" w:afterAutospacing="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兹委托（            ）全权代表我企业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（公司）参与</w:t>
      </w:r>
      <w:r>
        <w:rPr>
          <w:rFonts w:hint="eastAsia" w:ascii="宋体" w:hAnsi="宋体" w:cs="Times New Roman"/>
          <w:strike w:val="0"/>
          <w:color w:val="auto"/>
          <w:sz w:val="24"/>
          <w:szCs w:val="24"/>
          <w:highlight w:val="none"/>
          <w:lang w:val="en-US" w:eastAsia="zh-CN" w:bidi="ar-SA"/>
        </w:rPr>
        <w:t xml:space="preserve">沛县城市更新专项规划、片区策划和2026年度县城体检</w:t>
      </w:r>
      <w:r>
        <w:rPr>
          <w:rFonts w:hint="eastAsia" w:ascii="宋体" w:hAnsi="宋体" w:eastAsia="宋体" w:cs="Times New Roman"/>
          <w:color w:val="auto"/>
          <w:sz w:val="24"/>
          <w:szCs w:val="24"/>
          <w:highlight w:val="none"/>
          <w:lang w:val="en-US" w:eastAsia="zh-CN" w:bidi="ar-SA"/>
        </w:rPr>
        <w:t xml:space="preserve">[项目编号：]的磋商活动及签订合同。（   ）以我企业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（公司）名义所为的行为及签署的文件，我企业</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（公司）均予以认可。有关法律责任均由我企业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（公司）承担。（         ）无转委托权。委托期限自年  月   日起至年  月    日止。</w:t>
      </w:r>
      <w:r/>
    </w:p>
    <w:p>
      <w:pPr>
        <w:jc w:val="both"/>
        <w:spacing w:beforeAutospacing="0" w:afterAutospacing="0"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委托人（公章）：</w:t>
      </w:r>
      <w:r/>
    </w:p>
    <w:p>
      <w:pPr>
        <w:jc w:val="both"/>
        <w:spacing w:beforeAutospacing="0" w:afterAutospacing="0" w:line="5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法定代表人（负责人）（签字）：</w:t>
      </w:r>
      <w:r/>
    </w:p>
    <w:p>
      <w:pPr>
        <w:jc w:val="both"/>
        <w:spacing w:beforeAutospacing="0" w:afterAutospacing="0" w:line="5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受托人（签字）：</w:t>
      </w:r>
      <w:r/>
    </w:p>
    <w:p>
      <w:pPr>
        <w:ind w:firstLine="6451"/>
        <w:jc w:val="both"/>
        <w:spacing w:beforeAutospacing="0" w:afterAutospacing="0" w:line="50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年   月   日</w:t>
      </w:r>
      <w:r/>
    </w:p>
    <w:p>
      <w:pPr>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both"/>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jc w:val="both"/>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(受托人身份证原件扫描件附后)</w:t>
      </w:r>
      <w:r/>
    </w:p>
    <w:p>
      <w:pPr>
        <w:jc w:val="both"/>
        <w:spacing w:before="100" w:beforeAutospacing="1" w:after="100" w:afterAutospacing="1" w:line="450" w:lineRule="atLeast"/>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(法定代表人身份证原件扫描件附后)</w:t>
      </w:r>
      <w:r/>
    </w:p>
    <w:p>
      <w:pPr>
        <w:spacing w:line="24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jc w:val="left"/>
        <w:spacing w:line="360" w:lineRule="auto"/>
        <w:rPr>
          <w:rFonts w:hint="eastAsia" w:ascii="宋体" w:hAnsi="宋体" w:cs="宋体"/>
          <w:b/>
          <w:bCs/>
          <w:color w:val="auto"/>
          <w:sz w:val="24"/>
          <w:szCs w:val="24"/>
          <w:highlight w:val="none"/>
        </w:rPr>
      </w:pPr>
      <w:r>
        <w:rPr>
          <w:rFonts w:hint="eastAsia" w:cs="宋体"/>
          <w:b/>
          <w:bCs/>
          <w:color w:val="auto"/>
          <w:sz w:val="36"/>
          <w:szCs w:val="36"/>
          <w:highlight w:val="none"/>
          <w:lang w:val="en-US" w:eastAsia="zh-CN"/>
        </w:rPr>
        <w:t xml:space="preserve">9</w:t>
      </w:r>
      <w:r>
        <w:rPr>
          <w:rFonts w:hint="eastAsia" w:ascii="宋体" w:hAnsi="宋体" w:cs="宋体"/>
          <w:b/>
          <w:bCs/>
          <w:color w:val="auto"/>
          <w:sz w:val="24"/>
          <w:szCs w:val="24"/>
          <w:highlight w:val="none"/>
        </w:rPr>
        <w:t xml:space="preserve">、具备履行合同所必需的设备和专业技术能力的书面声明（附证明材料）格式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具备履行合同（项目名称：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所必需的设备和专业技术能力，具体为：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1、（证明材料</w:t>
      </w:r>
      <w:r>
        <w:rPr>
          <w:rFonts w:hint="eastAsia" w:ascii="宋体" w:hAnsi="宋体" w:cs="宋体"/>
          <w:color w:val="auto"/>
          <w:sz w:val="24"/>
          <w:szCs w:val="24"/>
          <w:highlight w:val="none"/>
          <w:lang w:eastAsia="zh-CN"/>
        </w:rPr>
        <w:t xml:space="preserve">复印件</w:t>
      </w:r>
      <w:r>
        <w:rPr>
          <w:rFonts w:hint="eastAsia" w:ascii="宋体" w:hAnsi="宋体" w:eastAsia="宋体" w:cs="宋体"/>
          <w:color w:val="auto"/>
          <w:sz w:val="24"/>
          <w:szCs w:val="24"/>
          <w:highlight w:val="none"/>
        </w:rPr>
        <w:t xml:space="preserve">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w:t>
      </w:r>
      <w:r>
        <w:rPr>
          <w:rFonts w:hint="eastAsia" w:ascii="宋体" w:hAnsi="宋体" w:cs="宋体"/>
          <w:color w:val="auto"/>
          <w:sz w:val="24"/>
          <w:szCs w:val="24"/>
          <w:highlight w:val="none"/>
          <w:lang w:eastAsia="zh-CN"/>
        </w:rPr>
        <w:t xml:space="preserve">复印件</w:t>
      </w:r>
      <w:r>
        <w:rPr>
          <w:rFonts w:hint="eastAsia" w:ascii="宋体" w:hAnsi="宋体" w:eastAsia="宋体" w:cs="宋体"/>
          <w:color w:val="auto"/>
          <w:sz w:val="24"/>
          <w:szCs w:val="24"/>
          <w:highlight w:val="none"/>
        </w:rPr>
        <w:t xml:space="preserve">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3、（证明材料</w:t>
      </w:r>
      <w:r>
        <w:rPr>
          <w:rFonts w:hint="eastAsia" w:ascii="宋体" w:hAnsi="宋体" w:cs="宋体"/>
          <w:color w:val="auto"/>
          <w:sz w:val="24"/>
          <w:szCs w:val="24"/>
          <w:highlight w:val="none"/>
          <w:lang w:eastAsia="zh-CN"/>
        </w:rPr>
        <w:t xml:space="preserve">复印件</w:t>
      </w:r>
      <w:r>
        <w:rPr>
          <w:rFonts w:hint="eastAsia" w:ascii="宋体" w:hAnsi="宋体" w:eastAsia="宋体" w:cs="宋体"/>
          <w:color w:val="auto"/>
          <w:sz w:val="24"/>
          <w:szCs w:val="24"/>
          <w:highlight w:val="none"/>
        </w:rPr>
        <w:t xml:space="preserve">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1、（证明材料</w:t>
      </w:r>
      <w:r>
        <w:rPr>
          <w:rFonts w:hint="eastAsia" w:ascii="宋体" w:hAnsi="宋体" w:cs="宋体"/>
          <w:color w:val="auto"/>
          <w:sz w:val="24"/>
          <w:szCs w:val="24"/>
          <w:highlight w:val="none"/>
          <w:lang w:eastAsia="zh-CN"/>
        </w:rPr>
        <w:t xml:space="preserve">复印件</w:t>
      </w:r>
      <w:r>
        <w:rPr>
          <w:rFonts w:hint="eastAsia" w:ascii="宋体" w:hAnsi="宋体" w:eastAsia="宋体" w:cs="宋体"/>
          <w:color w:val="auto"/>
          <w:sz w:val="24"/>
          <w:szCs w:val="24"/>
          <w:highlight w:val="none"/>
        </w:rPr>
        <w:t xml:space="preserve">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w:t>
      </w:r>
      <w:r>
        <w:rPr>
          <w:rFonts w:hint="eastAsia" w:ascii="宋体" w:hAnsi="宋体" w:cs="宋体"/>
          <w:color w:val="auto"/>
          <w:sz w:val="24"/>
          <w:szCs w:val="24"/>
          <w:highlight w:val="none"/>
          <w:lang w:eastAsia="zh-CN"/>
        </w:rPr>
        <w:t xml:space="preserve">复印件</w:t>
      </w:r>
      <w:r>
        <w:rPr>
          <w:rFonts w:hint="eastAsia" w:ascii="宋体" w:hAnsi="宋体" w:eastAsia="宋体" w:cs="宋体"/>
          <w:color w:val="auto"/>
          <w:sz w:val="24"/>
          <w:szCs w:val="24"/>
          <w:highlight w:val="none"/>
        </w:rPr>
        <w:t xml:space="preserve">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3、（证明材料</w:t>
      </w:r>
      <w:r>
        <w:rPr>
          <w:rFonts w:hint="eastAsia" w:ascii="宋体" w:hAnsi="宋体" w:cs="宋体"/>
          <w:color w:val="auto"/>
          <w:sz w:val="24"/>
          <w:szCs w:val="24"/>
          <w:highlight w:val="none"/>
          <w:lang w:eastAsia="zh-CN"/>
        </w:rPr>
        <w:t xml:space="preserve">复印件</w:t>
      </w:r>
      <w:r>
        <w:rPr>
          <w:rFonts w:hint="eastAsia" w:ascii="宋体" w:hAnsi="宋体" w:eastAsia="宋体" w:cs="宋体"/>
          <w:color w:val="auto"/>
          <w:sz w:val="24"/>
          <w:szCs w:val="24"/>
          <w:highlight w:val="none"/>
        </w:rPr>
        <w:t xml:space="preserve">附后）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供应商（供应商电子签章）：</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left"/>
        <w:spacing w:before="0" w:beforeAutospacing="0" w:after="0" w:afterAutospacing="0" w:line="24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jc w:val="center"/>
        <w:spacing w:before="100" w:beforeAutospacing="1" w:after="100" w:afterAutospacing="1" w:line="450" w:lineRule="atLeast"/>
        <w:widowControl/>
        <w:rPr>
          <w:rFonts w:hint="eastAsia" w:ascii="宋体" w:hAnsi="宋体" w:cs="宋体"/>
          <w:b/>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、中小企业声明函</w:t>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项目编号：</w:t>
      </w:r>
      <w:r/>
    </w:p>
    <w:p>
      <w:pPr>
        <w:spacing w:line="360" w:lineRule="auto"/>
        <w:rPr>
          <w:rFonts w:hint="eastAsia" w:ascii="宋体" w:hAnsi="宋体" w:cs="宋体"/>
          <w:color w:val="auto"/>
          <w:spacing w:val="6"/>
          <w:sz w:val="24"/>
          <w:szCs w:val="24"/>
          <w:highlight w:val="none"/>
          <w:u w:val="single"/>
        </w:rPr>
      </w:pPr>
      <w:r>
        <w:rPr>
          <w:rFonts w:hint="eastAsia" w:ascii="宋体" w:hAnsi="宋体" w:cs="宋体"/>
          <w:color w:val="auto"/>
          <w:spacing w:val="6"/>
          <w:sz w:val="24"/>
          <w:szCs w:val="24"/>
          <w:highlight w:val="none"/>
        </w:rPr>
        <w:t xml:space="preserve">项目名称：</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沛县住房和城乡建设局</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沛县城市更新专项规划、片区策划和2026年度县城体检</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采购活动，服务全部由符合政策要求的中小企业承接。相关企业的具体情况如下：</w:t>
      </w:r>
      <w:r/>
    </w:p>
    <w:p>
      <w:pPr>
        <w:ind w:firstLine="560"/>
        <w:spacing w:line="360" w:lineRule="auto"/>
        <w:rPr>
          <w:rFonts w:hint="eastAsia" w:ascii="宋体" w:hAnsi="宋体" w:cs="宋体"/>
          <w:b/>
          <w:color w:val="auto"/>
          <w:spacing w:val="6"/>
          <w:sz w:val="24"/>
          <w:szCs w:val="24"/>
          <w:highlight w:val="none"/>
        </w:rPr>
      </w:pP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沛县城市更新专项规划、片区策划和2026年度县城体检</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 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Fonts w:hint="eastAsia" w:ascii="宋体" w:hAnsi="宋体" w:cs="宋体"/>
          <w:b/>
          <w:color w:val="auto"/>
          <w:sz w:val="24"/>
          <w:szCs w:val="24"/>
          <w:highlight w:val="none"/>
        </w:rPr>
        <w:t xml:space="preserve">属于</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（□中型企业、□小型企业、□微型企业，请填写或勾选！）；</w:t>
      </w:r>
      <w:r/>
    </w:p>
    <w:p>
      <w:pPr>
        <w:ind w:firstLine="560"/>
        <w:spacing w:line="360" w:lineRule="auto"/>
        <w:rPr>
          <w:rFonts w:hint="eastAsia" w:ascii="宋体" w:hAnsi="宋体" w:cs="宋体"/>
          <w:color w:val="auto"/>
          <w:spacing w:val="6"/>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注：本项目采购属于</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rPr>
        <w:t xml:space="preserve">。</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企业名称（供应商电子签章）：</w:t>
      </w:r>
      <w:r/>
    </w:p>
    <w:p>
      <w:pPr>
        <w:ind w:firstLine="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953"/>
        <w:ind w:firstLine="60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6.《中小企业声明函》查询渠道用微信搜索“中小企业规模类型自测小程序”。</w:t>
      </w:r>
      <w:r/>
    </w:p>
    <w:p>
      <w:pPr>
        <w:pStyle w:val="1156"/>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2331085" cy="4370070"/>
                <wp:effectExtent l="0" t="0" r="12065" b="11430"/>
                <wp:docPr id="11" name="图片 3"/>
                <wp:cNvGraphicFramePr/>
                <a:graphic xmlns:a="http://schemas.openxmlformats.org/drawingml/2006/main">
                  <a:graphicData uri="http://schemas.openxmlformats.org/drawingml/2006/picture">
                    <pic:pic xmlns:pic="http://schemas.openxmlformats.org/drawingml/2006/picture">
                      <pic:nvPicPr>
                        <pic:cNvPr id="12" name="图片 3"/>
                        <pic:cNvPicPr/>
                        <pic:nvPr/>
                      </pic:nvPicPr>
                      <pic:blipFill>
                        <a:blip r:embed="rId17"/>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83.5pt;height:344.1pt;mso-wrap-distance-left:0.0pt;mso-wrap-distance-top:0.0pt;mso-wrap-distance-right:0.0pt;mso-wrap-distance-bottom:0.0pt;" stroked="f">
                <v:path textboxrect="0,0,0,0"/>
                <v:imagedata r:id="rId17" o:title=""/>
              </v:shape>
            </w:pict>
          </mc:Fallback>
        </mc:AlternateContent>
      </w:r>
      <w:r/>
    </w:p>
    <w:p>
      <w:pPr>
        <w:jc w:val="center"/>
        <w:spacing w:line="360" w:lineRule="auto"/>
        <w:rPr>
          <w:rFonts w:hint="eastAsia" w:ascii="宋体" w:hAnsi="宋体" w:cs="宋体"/>
          <w:b/>
          <w:color w:val="auto"/>
          <w:sz w:val="24"/>
          <w:szCs w:val="24"/>
          <w:highlight w:val="none"/>
        </w:rPr>
      </w:pPr>
      <w:r>
        <w:rPr>
          <w:rFonts w:hint="eastAsia" w:ascii="宋体" w:hAnsi="宋体" w:cs="宋体"/>
          <w:color w:val="auto"/>
          <w:sz w:val="30"/>
          <w:szCs w:val="30"/>
          <w:highlight w:val="none"/>
        </w:rPr>
        <w:br w:type="page" w:clear="all"/>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w:t>
      </w:r>
      <w:r>
        <w:rPr>
          <w:rFonts w:hint="eastAsia" w:ascii="宋体" w:hAnsi="宋体" w:cs="宋体"/>
          <w:b/>
          <w:color w:val="auto"/>
          <w:sz w:val="24"/>
          <w:szCs w:val="24"/>
          <w:highlight w:val="none"/>
        </w:rPr>
        <w:t xml:space="preserve">供应商参加政府采购活动前3年内在经营活动中没有重大违法记录的书面声明</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84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沛县城市更新专项规划、片区策划和2026年度县城体检</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供应商（供应商电子签章）：</w:t>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29"/>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1133"/>
        <w:ind w:left="239" w:firstLine="2640"/>
        <w:rPr>
          <w:rFonts w:hint="eastAsia"/>
          <w:color w:val="auto"/>
          <w:sz w:val="24"/>
          <w:szCs w:val="24"/>
          <w:highlight w:val="none"/>
        </w:rPr>
      </w:pPr>
      <w:r>
        <w:rPr>
          <w:rFonts w:hint="eastAsia"/>
          <w:color w:val="auto"/>
          <w:sz w:val="24"/>
          <w:szCs w:val="24"/>
          <w:highlight w:val="none"/>
        </w:rPr>
      </w:r>
      <w:r/>
    </w:p>
    <w:p>
      <w:pPr>
        <w:pStyle w:val="1133"/>
        <w:ind w:left="239" w:firstLine="2640"/>
        <w:rPr>
          <w:rFonts w:hint="eastAsia"/>
          <w:color w:val="auto"/>
          <w:highlight w:val="none"/>
        </w:rPr>
      </w:pPr>
      <w:r>
        <w:rPr>
          <w:rFonts w:hint="eastAsia"/>
          <w:color w:val="auto"/>
          <w:highlight w:val="none"/>
        </w:rPr>
      </w:r>
      <w:r/>
    </w:p>
    <w:p>
      <w:pPr>
        <w:pStyle w:val="1133"/>
        <w:ind w:left="239" w:firstLine="2640"/>
        <w:rPr>
          <w:rFonts w:hint="eastAsia"/>
          <w:color w:val="auto"/>
          <w:highlight w:val="none"/>
        </w:rPr>
      </w:pPr>
      <w:r>
        <w:rPr>
          <w:rFonts w:hint="eastAsia"/>
          <w:color w:val="auto"/>
          <w:highlight w:val="none"/>
        </w:rPr>
      </w:r>
      <w:r/>
    </w:p>
    <w:p>
      <w:pPr>
        <w:pStyle w:val="1133"/>
        <w:ind w:left="239" w:firstLine="2640"/>
        <w:rPr>
          <w:rFonts w:hint="eastAsia"/>
          <w:color w:val="auto"/>
          <w:highlight w:val="none"/>
        </w:rPr>
      </w:pPr>
      <w:r>
        <w:rPr>
          <w:rFonts w:hint="eastAsia"/>
          <w:color w:val="auto"/>
          <w:highlight w:val="none"/>
        </w:rPr>
      </w:r>
      <w:r/>
    </w:p>
    <w:p>
      <w:pPr>
        <w:pStyle w:val="1133"/>
        <w:ind w:left="239" w:firstLine="2640"/>
        <w:rPr>
          <w:rFonts w:hint="eastAsia"/>
          <w:color w:val="auto"/>
          <w:highlight w:val="none"/>
        </w:rPr>
      </w:pPr>
      <w:r>
        <w:rPr>
          <w:rFonts w:hint="eastAsia"/>
          <w:color w:val="auto"/>
          <w:highlight w:val="none"/>
        </w:rPr>
      </w:r>
      <w:r/>
    </w:p>
    <w:p>
      <w:pPr>
        <w:pStyle w:val="1133"/>
        <w:ind w:left="239" w:firstLine="2640"/>
        <w:rPr>
          <w:rFonts w:hint="eastAsia"/>
          <w:color w:val="auto"/>
          <w:highlight w:val="none"/>
        </w:rPr>
      </w:pPr>
      <w:r>
        <w:rPr>
          <w:rFonts w:hint="eastAsia"/>
          <w:color w:val="auto"/>
          <w:highlight w:val="none"/>
        </w:rPr>
      </w:r>
      <w:r/>
    </w:p>
    <w:p>
      <w:pPr>
        <w:pStyle w:val="1133"/>
        <w:ind w:left="239" w:firstLine="2640"/>
        <w:rPr>
          <w:rFonts w:hint="eastAsia"/>
          <w:color w:val="auto"/>
          <w:highlight w:val="none"/>
        </w:rPr>
      </w:pPr>
      <w:r>
        <w:rPr>
          <w:rFonts w:hint="eastAsia"/>
          <w:color w:val="auto"/>
          <w:highlight w:val="none"/>
        </w:rPr>
      </w:r>
      <w:r/>
    </w:p>
    <w:p>
      <w:pPr>
        <w:pStyle w:val="1133"/>
        <w:ind w:left="239" w:firstLine="2640"/>
        <w:rPr>
          <w:rFonts w:hint="eastAsia"/>
          <w:color w:val="auto"/>
          <w:highlight w:val="none"/>
        </w:rPr>
      </w:pPr>
      <w:r>
        <w:rPr>
          <w:rFonts w:hint="eastAsia"/>
          <w:color w:val="auto"/>
          <w:highlight w:val="none"/>
        </w:rPr>
      </w:r>
      <w:r/>
    </w:p>
    <w:p>
      <w:pPr>
        <w:pStyle w:val="1133"/>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headerReference w:type="default" r:id="rId11"/>
          <w:footerReference w:type="default" r:id="rId14"/>
          <w:footerReference w:type="first" r:id="rId15"/>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24"/>
          <w:szCs w:val="24"/>
          <w:highlight w:val="none"/>
        </w:rPr>
      </w:pPr>
      <w:r/>
      <w:bookmarkStart w:id="31" w:name="OLE_LINK13"/>
      <w:r/>
      <w:bookmarkStart w:id="32" w:name="OLE_LINK14"/>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、残疾人福利性单位声明函</w:t>
      </w:r>
      <w:bookmarkEnd w:id="31"/>
      <w:r/>
      <w:bookmarkEnd w:id="32"/>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项目名称：</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单位名称（供应商电子签章）：</w:t>
      </w:r>
      <w:r/>
    </w:p>
    <w:p>
      <w:pPr>
        <w:ind w:right="1560" w:firstLine="584"/>
        <w:spacing w:line="588" w:lineRule="exact"/>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日  期：  年  月  日</w:t>
      </w:r>
      <w:r/>
    </w:p>
    <w:p>
      <w:pPr>
        <w:pStyle w:val="1130"/>
        <w:ind w:left="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（二）依法与安置的每位残疾人签订了一年以上（含一年）的劳动合同或服务协议；</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供应商提供的《残疾人福利性单位声明函》与事实不符的，依照《政府采购法》第七十七条第一款的规定追究法律责任。</w:t>
      </w:r>
      <w:r/>
    </w:p>
    <w:p>
      <w:pPr>
        <w:jc w:val="left"/>
        <w:spacing w:line="24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numPr>
          <w:ilvl w:val="0"/>
          <w:numId w:val="6"/>
        </w:numPr>
        <w:jc w:val="cente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承诺书</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8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89"/>
        <w:numPr>
          <w:ilvl w:val="0"/>
          <w:numId w:val="0"/>
        </w:numPr>
        <w:ind w:right="30"/>
        <w:jc w:val="both"/>
        <w:rPr>
          <w:rFonts w:hint="default"/>
          <w:color w:val="auto"/>
          <w:highlight w:val="none"/>
          <w:lang w:val="en-US" w:eastAsia="zh-CN"/>
        </w:rPr>
      </w:pPr>
      <w:r>
        <w:rPr>
          <w:rFonts w:hint="eastAsia"/>
          <w:color w:val="auto"/>
          <w:highlight w:val="none"/>
          <w:lang w:val="en-US" w:eastAsia="zh-CN"/>
        </w:rPr>
        <w:t xml:space="preserve">格式自拟。</w:t>
      </w:r>
      <w:r/>
    </w:p>
    <w:p>
      <w:pPr>
        <w:pStyle w:val="88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8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8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8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rPr>
        <w:t xml:space="preserve">供应商（供应商电子签章）：</w:t>
      </w:r>
      <w:r/>
    </w:p>
    <w:p>
      <w:pPr>
        <w:pStyle w:val="88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8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                          日期：  年  月  日</w:t>
      </w:r>
      <w:r/>
    </w:p>
    <w:p>
      <w:pPr>
        <w:pStyle w:val="89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89"/>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892"/>
        <w:rPr>
          <w:rFonts w:hint="eastAsia"/>
          <w:color w:val="auto"/>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color w:val="auto"/>
          <w:highlight w:val="none"/>
        </w:rPr>
      </w:r>
      <w:r/>
    </w:p>
    <w:p>
      <w:pPr>
        <w:pStyle w:val="889"/>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w:t>
      </w:r>
      <w:r>
        <w:rPr>
          <w:rFonts w:hint="eastAsia" w:ascii="宋体" w:hAnsi="宋体" w:cs="宋体"/>
          <w:b/>
          <w:bCs/>
          <w:color w:val="auto"/>
          <w:sz w:val="24"/>
          <w:szCs w:val="24"/>
          <w:highlight w:val="none"/>
        </w:rPr>
        <w:t xml:space="preserve">预付款保函支付条款模板</w:t>
      </w:r>
      <w:r/>
    </w:p>
    <w:p>
      <w:pPr>
        <w:ind w:firstLine="565"/>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ind w:firstLine="48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符合条件二：不提交预付款保函的</w:t>
      </w:r>
      <w:r/>
    </w:p>
    <w:p>
      <w:pPr>
        <w:ind w:firstLine="482"/>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left="140" w:firstLine="484"/>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482"/>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widowControl/>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b/>
          <w:color w:val="auto"/>
          <w:sz w:val="28"/>
          <w:szCs w:val="28"/>
          <w:highlight w:val="none"/>
        </w:rPr>
        <w:t xml:space="preserve">招标代理服务收费标准</w:t>
      </w:r>
      <w:r/>
    </w:p>
    <w:tbl>
      <w:tblPr>
        <w:tblStyle w:val="9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1"/>
        <w:gridCol w:w="427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420" w:firstLine="420"/>
        <w:jc w:val="both"/>
        <w:spacing w:after="120"/>
        <w:rPr>
          <w:rFonts w:hint="eastAsia" w:ascii="宋体" w:hAnsi="宋体" w:eastAsia="宋体" w:cs="Times New Roman"/>
          <w:color w:val="auto"/>
          <w:spacing w:val="6"/>
          <w:sz w:val="21"/>
          <w:szCs w:val="16"/>
          <w:highlight w:val="none"/>
          <w:lang w:val="en-US" w:eastAsia="zh-CN" w:bidi="ar-SA"/>
        </w:rPr>
      </w:pPr>
      <w:r>
        <w:rPr>
          <w:rFonts w:hint="eastAsia" w:ascii="宋体" w:hAnsi="宋体" w:eastAsia="宋体" w:cs="Times New Roman"/>
          <w:color w:val="auto"/>
          <w:spacing w:val="6"/>
          <w:sz w:val="21"/>
          <w:szCs w:val="16"/>
          <w:highlight w:val="none"/>
          <w:lang w:val="en-US" w:eastAsia="zh-CN" w:bidi="ar-SA"/>
        </w:rPr>
      </w:r>
      <w:r/>
    </w:p>
    <w:p>
      <w:pP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r>
      <w:r/>
    </w:p>
    <w:p>
      <w:pPr>
        <w:ind w:firstLine="505"/>
        <w:jc w:val="left"/>
        <w:spacing w:line="360" w:lineRule="auto"/>
        <w:widowControl w:val="off"/>
        <w:rPr>
          <w:rFonts w:hint="default" w:ascii="宋体" w:hAnsi="宋体" w:eastAsia="宋体" w:cs="Times New Roman"/>
          <w:color w:val="auto"/>
          <w:spacing w:val="6"/>
          <w:sz w:val="21"/>
          <w:szCs w:val="16"/>
          <w:highlight w:val="none"/>
          <w:lang w:val="en-US" w:eastAsia="zh-CN" w:bidi="ar-SA"/>
        </w:rPr>
      </w:pPr>
      <w:r>
        <w:rPr>
          <w:rFonts w:hint="eastAsia" w:ascii="宋体" w:hAnsi="宋体" w:eastAsia="宋体" w:cs="Times New Roman"/>
          <w:color w:val="auto"/>
          <w:spacing w:val="6"/>
          <w:sz w:val="21"/>
          <w:szCs w:val="16"/>
          <w:highlight w:val="none"/>
          <w:lang w:val="en-US" w:eastAsia="zh-CN" w:bidi="ar-SA"/>
        </w:rPr>
        <w:t xml:space="preserve">说明:</w:t>
      </w:r>
      <w:r/>
    </w:p>
    <w:p>
      <w:pPr>
        <w:ind w:firstLine="505"/>
        <w:jc w:val="left"/>
        <w:spacing w:line="360" w:lineRule="auto"/>
        <w:widowControl w:val="off"/>
        <w:rPr>
          <w:rFonts w:hint="default" w:ascii="宋体" w:hAnsi="宋体" w:eastAsia="宋体" w:cs="Times New Roman"/>
          <w:color w:val="auto"/>
          <w:spacing w:val="6"/>
          <w:sz w:val="21"/>
          <w:szCs w:val="16"/>
          <w:highlight w:val="none"/>
          <w:lang w:val="en-US" w:eastAsia="zh-CN" w:bidi="ar-SA"/>
        </w:rPr>
      </w:pPr>
      <w:r>
        <w:rPr>
          <w:rFonts w:hint="eastAsia" w:ascii="宋体" w:hAnsi="宋体" w:eastAsia="宋体" w:cs="Times New Roman"/>
          <w:color w:val="auto"/>
          <w:spacing w:val="6"/>
          <w:sz w:val="21"/>
          <w:szCs w:val="16"/>
          <w:highlight w:val="none"/>
          <w:lang w:val="en-US" w:eastAsia="zh-CN" w:bidi="ar-SA"/>
        </w:rPr>
        <w:t xml:space="preserve">1.按上表计算的收费为代理服务全过程的收费金额。各社会代理机构不再收取采购文件制作售卖费用。</w:t>
      </w:r>
      <w:r/>
    </w:p>
    <w:p>
      <w:pPr>
        <w:ind w:firstLine="505"/>
        <w:jc w:val="left"/>
        <w:spacing w:line="360" w:lineRule="auto"/>
        <w:widowControl w:val="off"/>
        <w:rPr>
          <w:rFonts w:hint="default" w:ascii="宋体" w:hAnsi="宋体" w:eastAsia="宋体" w:cs="Times New Roman"/>
          <w:color w:val="auto"/>
          <w:spacing w:val="6"/>
          <w:sz w:val="21"/>
          <w:szCs w:val="16"/>
          <w:highlight w:val="none"/>
          <w:lang w:val="en-US" w:eastAsia="zh-CN" w:bidi="ar-SA"/>
        </w:rPr>
      </w:pPr>
      <w:r>
        <w:rPr>
          <w:rFonts w:hint="eastAsia" w:ascii="宋体" w:hAnsi="宋体" w:eastAsia="宋体" w:cs="Times New Roman"/>
          <w:color w:val="auto"/>
          <w:spacing w:val="6"/>
          <w:sz w:val="21"/>
          <w:szCs w:val="16"/>
          <w:highlight w:val="none"/>
          <w:lang w:val="en-US" w:eastAsia="zh-CN" w:bidi="ar-SA"/>
        </w:rPr>
        <w:t xml:space="preserve">2.代理服务费按差额定率累进法计算。</w:t>
      </w:r>
      <w:r/>
    </w:p>
    <w:p>
      <w:pPr>
        <w:ind w:firstLine="505"/>
        <w:jc w:val="left"/>
        <w:spacing w:line="360" w:lineRule="auto"/>
        <w:widowControl w:val="off"/>
        <w:rPr>
          <w:rFonts w:hint="default" w:ascii="宋体" w:hAnsi="宋体" w:eastAsia="宋体" w:cs="Times New Roman"/>
          <w:color w:val="auto"/>
          <w:spacing w:val="6"/>
          <w:sz w:val="21"/>
          <w:szCs w:val="16"/>
          <w:highlight w:val="none"/>
          <w:lang w:val="en-US" w:eastAsia="zh-CN" w:bidi="ar-SA"/>
        </w:rPr>
      </w:pPr>
      <w:r>
        <w:rPr>
          <w:rFonts w:hint="eastAsia" w:ascii="宋体" w:hAnsi="宋体" w:eastAsia="宋体" w:cs="Times New Roman"/>
          <w:color w:val="auto"/>
          <w:spacing w:val="6"/>
          <w:sz w:val="21"/>
          <w:szCs w:val="16"/>
          <w:highlight w:val="none"/>
          <w:lang w:val="en-US" w:eastAsia="zh-CN" w:bidi="ar-SA"/>
        </w:rPr>
        <w:t xml:space="preserve">3.代理服务费基准金额(按差额定率累进法计算的)=中标金额(按差额定率累进法计算的)*费率(%)</w:t>
      </w:r>
      <w:r/>
    </w:p>
    <w:p>
      <w:pPr>
        <w:ind w:firstLine="505"/>
        <w:jc w:val="left"/>
        <w:spacing w:line="360" w:lineRule="auto"/>
        <w:widowControl w:val="off"/>
        <w:rPr>
          <w:rFonts w:hint="default" w:ascii="宋体" w:hAnsi="宋体" w:eastAsia="宋体" w:cs="Times New Roman"/>
          <w:color w:val="auto"/>
          <w:spacing w:val="6"/>
          <w:sz w:val="21"/>
          <w:szCs w:val="16"/>
          <w:highlight w:val="none"/>
          <w:lang w:val="en-US" w:eastAsia="zh-CN" w:bidi="ar-SA"/>
        </w:rPr>
      </w:pPr>
      <w:r>
        <w:rPr>
          <w:rFonts w:hint="eastAsia" w:ascii="宋体" w:hAnsi="宋体" w:eastAsia="宋体" w:cs="Times New Roman"/>
          <w:color w:val="auto"/>
          <w:spacing w:val="6"/>
          <w:sz w:val="21"/>
          <w:szCs w:val="16"/>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default" w:ascii="宋体" w:hAnsi="宋体" w:eastAsia="宋体" w:cs="Times New Roman"/>
          <w:color w:val="auto"/>
          <w:spacing w:val="6"/>
          <w:sz w:val="21"/>
          <w:szCs w:val="16"/>
          <w:highlight w:val="none"/>
          <w:lang w:val="en-US" w:eastAsia="zh-CN" w:bidi="ar-SA"/>
        </w:rPr>
      </w:pPr>
      <w:r>
        <w:rPr>
          <w:rFonts w:hint="eastAsia" w:ascii="宋体" w:hAnsi="宋体" w:eastAsia="宋体" w:cs="Times New Roman"/>
          <w:color w:val="auto"/>
          <w:spacing w:val="6"/>
          <w:sz w:val="21"/>
          <w:szCs w:val="16"/>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hint="eastAsia" w:ascii="宋体" w:hAnsi="宋体" w:eastAsia="宋体" w:cs="Times New Roman"/>
          <w:color w:val="auto"/>
          <w:spacing w:val="6"/>
          <w:sz w:val="21"/>
          <w:szCs w:val="16"/>
          <w:highlight w:val="none"/>
          <w:lang w:val="en-US" w:eastAsia="zh-CN" w:bidi="ar-SA"/>
        </w:rPr>
      </w:pPr>
      <w:r>
        <w:rPr>
          <w:rFonts w:hint="eastAsia" w:ascii="宋体" w:hAnsi="宋体" w:eastAsia="宋体" w:cs="Times New Roman"/>
          <w:color w:val="auto"/>
          <w:spacing w:val="6"/>
          <w:sz w:val="21"/>
          <w:szCs w:val="16"/>
          <w:highlight w:val="none"/>
          <w:lang w:val="en-US" w:eastAsia="zh-CN" w:bidi="ar-SA"/>
        </w:rPr>
        <w:t xml:space="preserve">6.有分包(分标段)的按一个项目计算。</w:t>
      </w:r>
      <w:r/>
    </w:p>
    <w:p>
      <w:pPr>
        <w:ind w:firstLine="505"/>
        <w:jc w:val="left"/>
        <w:spacing w:line="360" w:lineRule="auto"/>
        <w:widowControl w:val="off"/>
        <w:rPr>
          <w:rFonts w:hint="default" w:ascii="宋体" w:hAnsi="宋体" w:eastAsia="宋体" w:cs="Times New Roman"/>
          <w:b/>
          <w:bCs/>
          <w:color w:val="auto"/>
          <w:spacing w:val="6"/>
          <w:sz w:val="21"/>
          <w:szCs w:val="16"/>
          <w:highlight w:val="none"/>
          <w:lang w:val="en-US" w:eastAsia="zh-CN" w:bidi="ar-SA"/>
        </w:rPr>
      </w:pPr>
      <w:r>
        <w:rPr>
          <w:rFonts w:hint="eastAsia" w:ascii="宋体" w:hAnsi="宋体" w:eastAsia="宋体" w:cs="Times New Roman"/>
          <w:b/>
          <w:bCs/>
          <w:color w:val="auto"/>
          <w:spacing w:val="6"/>
          <w:sz w:val="21"/>
          <w:szCs w:val="16"/>
          <w:highlight w:val="none"/>
          <w:lang w:val="en-US" w:eastAsia="zh-CN" w:bidi="ar-SA"/>
        </w:rPr>
        <w:t xml:space="preserve">7.根据苏财规[2026]1号文件有关规定，本项目代理服务费由中标人支付，各投标人在投标报价时应充分考虑在内。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Times New Roman"/>
          <w:color w:val="auto"/>
          <w:spacing w:val="6"/>
          <w:sz w:val="21"/>
          <w:szCs w:val="16"/>
          <w:highlight w:val="none"/>
          <w:lang w:val="en-US" w:eastAsia="zh-CN" w:bidi="ar-SA"/>
        </w:rPr>
      </w:pPr>
      <w:r>
        <w:rPr>
          <w:rFonts w:hint="eastAsia" w:ascii="宋体" w:hAnsi="宋体" w:eastAsia="宋体" w:cs="Times New Roman"/>
          <w:color w:val="auto"/>
          <w:spacing w:val="6"/>
          <w:sz w:val="21"/>
          <w:szCs w:val="16"/>
          <w:highlight w:val="none"/>
          <w:lang w:val="en-US" w:eastAsia="zh-CN" w:bidi="ar-SA"/>
        </w:rPr>
        <w:t xml:space="preserve">8.账户信息：</w:t>
      </w:r>
      <w:r/>
    </w:p>
    <w:p>
      <w:pPr>
        <w:ind w:firstLine="723"/>
        <w:jc w:val="left"/>
        <w:spacing w:line="360" w:lineRule="auto"/>
        <w:rPr>
          <w:rFonts w:hint="eastAsia" w:ascii="宋体" w:hAnsi="宋体" w:eastAsia="宋体" w:cs="Times New Roman"/>
          <w:color w:val="auto"/>
          <w:spacing w:val="6"/>
          <w:sz w:val="21"/>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pacing w:val="6"/>
          <w:sz w:val="21"/>
          <w:szCs w:val="16"/>
          <w:highlight w:val="none"/>
          <w:lang w:val="en-US" w:eastAsia="zh-CN" w:bidi="ar-SA"/>
        </w:rPr>
        <w:t xml:space="preserve">账户信息名称：江苏中瑞建设项目管理有限公司</w:t>
      </w:r>
      <w:r/>
    </w:p>
    <w:p>
      <w:pPr>
        <w:ind w:firstLine="723"/>
        <w:jc w:val="left"/>
        <w:spacing w:line="360" w:lineRule="auto"/>
        <w:rPr>
          <w:rFonts w:hint="eastAsia" w:ascii="宋体" w:hAnsi="宋体" w:eastAsia="宋体" w:cs="Times New Roman"/>
          <w:color w:val="auto"/>
          <w:spacing w:val="6"/>
          <w:sz w:val="21"/>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pacing w:val="6"/>
          <w:sz w:val="21"/>
          <w:szCs w:val="16"/>
          <w:highlight w:val="none"/>
          <w:lang w:val="en-US" w:eastAsia="zh-CN" w:bidi="ar-SA"/>
        </w:rPr>
        <w:t xml:space="preserve">开户行：中国建设银行徐州永安支行</w:t>
      </w:r>
      <w:r/>
    </w:p>
    <w:p>
      <w:pPr>
        <w:ind w:firstLine="723"/>
        <w:jc w:val="left"/>
        <w:spacing w:line="360" w:lineRule="auto"/>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pacing w:val="6"/>
          <w:sz w:val="21"/>
          <w:szCs w:val="16"/>
          <w:highlight w:val="none"/>
          <w:lang w:val="en-US" w:eastAsia="zh-CN" w:bidi="ar-SA"/>
        </w:rPr>
        <w:t xml:space="preserve">银行账号：32001718336052501620</w:t>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Light">
    <w:panose1 w:val="020F0302020204030204"/>
  </w:font>
  <w:font w:name="Courier New">
    <w:panose1 w:val="02070309020205020404"/>
  </w:font>
  <w:font w:name="仿宋">
    <w:panose1 w:val="02010609060101010101"/>
  </w:font>
  <w:font w:name="方正书宋简体">
    <w:panose1 w:val="020B0503020202020204"/>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widowControl/>
      <w:rPr>
        <w:rStyle w:val="1145"/>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145"/>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41"/>
                            <w:widowControl/>
                            <w:tabs>
                              <w:tab w:val="clear" w:pos="4153" w:leader="none"/>
                              <w:tab w:val="clear" w:pos="8306" w:leader="none"/>
                            </w:tabs>
                            <w:rPr>
                              <w:rStyle w:val="1145"/>
                              <w:sz w:val="18"/>
                              <w:szCs w:val="18"/>
                            </w:rPr>
                          </w:pPr>
                          <w:r>
                            <w:rPr>
                              <w:sz w:val="18"/>
                              <w:szCs w:val="18"/>
                            </w:rPr>
                          </w:r>
                          <w:r/>
                        </w:p>
                        <w:p>
                          <w:pPr>
                            <w:widowControl/>
                            <w:rPr>
                              <w:rStyle w:val="1145"/>
                            </w:rPr>
                          </w:pPr>
                          <w:r/>
                          <w:r/>
                        </w:p>
                        <w:p>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41"/>
                      <w:widowControl/>
                      <w:tabs>
                        <w:tab w:val="clear" w:pos="4153" w:leader="none"/>
                        <w:tab w:val="clear" w:pos="8306" w:leader="none"/>
                      </w:tabs>
                      <w:rPr>
                        <w:rStyle w:val="1145"/>
                        <w:sz w:val="18"/>
                        <w:szCs w:val="18"/>
                      </w:rPr>
                    </w:pPr>
                    <w:r>
                      <w:rPr>
                        <w:sz w:val="18"/>
                        <w:szCs w:val="18"/>
                      </w:rPr>
                    </w:r>
                    <w:r/>
                  </w:p>
                  <w:p>
                    <w:pPr>
                      <w:widowControl/>
                      <w:rPr>
                        <w:rStyle w:val="1145"/>
                      </w:rPr>
                    </w:p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145"/>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default="1">
    <w:name w:val="Normal"/>
    <w:next w:val="889"/>
    <w:uiPriority w:val="0"/>
    <w:qFormat/>
    <w:pPr>
      <w:jc w:val="both"/>
      <w:widowControl w:val="off"/>
    </w:pPr>
    <w:rPr>
      <w:rFonts w:hint="default" w:ascii="Calibri" w:hAnsi="Calibri" w:eastAsia="宋体" w:cs="Times New Roman"/>
      <w:sz w:val="21"/>
      <w:szCs w:val="24"/>
      <w:lang w:val="en-US" w:eastAsia="zh-CN" w:bidi="ar-SA"/>
    </w:rPr>
  </w:style>
  <w:style w:type="paragraph" w:styleId="878">
    <w:name w:val="Heading 1"/>
    <w:basedOn w:val="877"/>
    <w:next w:val="877"/>
    <w:link w:val="956"/>
    <w:uiPriority w:val="9"/>
    <w:qFormat/>
    <w:pPr>
      <w:keepLines/>
      <w:keepNext/>
      <w:spacing w:before="480" w:after="200"/>
      <w:outlineLvl w:val="0"/>
    </w:pPr>
    <w:rPr>
      <w:rFonts w:ascii="Arial" w:hAnsi="Arial" w:eastAsia="Arial" w:cs="Arial"/>
      <w:sz w:val="40"/>
      <w:szCs w:val="40"/>
    </w:rPr>
  </w:style>
  <w:style w:type="paragraph" w:styleId="879">
    <w:name w:val="Heading 2"/>
    <w:basedOn w:val="877"/>
    <w:next w:val="877"/>
    <w:link w:val="954"/>
    <w:uiPriority w:val="9"/>
    <w:unhideWhenUsed/>
    <w:qFormat/>
    <w:pPr>
      <w:keepLines/>
      <w:keepNext/>
      <w:spacing w:before="360" w:after="200"/>
      <w:outlineLvl w:val="1"/>
    </w:pPr>
    <w:rPr>
      <w:rFonts w:ascii="Arial" w:hAnsi="Arial" w:eastAsia="Arial" w:cs="Arial"/>
      <w:sz w:val="34"/>
    </w:rPr>
  </w:style>
  <w:style w:type="paragraph" w:styleId="880">
    <w:name w:val="Heading 3"/>
    <w:basedOn w:val="877"/>
    <w:next w:val="877"/>
    <w:link w:val="955"/>
    <w:uiPriority w:val="9"/>
    <w:unhideWhenUsed/>
    <w:qFormat/>
    <w:pPr>
      <w:keepLines/>
      <w:keepNext/>
      <w:spacing w:before="320" w:after="200"/>
      <w:outlineLvl w:val="2"/>
    </w:pPr>
    <w:rPr>
      <w:rFonts w:ascii="Arial" w:hAnsi="Arial" w:eastAsia="Arial" w:cs="Arial"/>
      <w:sz w:val="30"/>
      <w:szCs w:val="30"/>
    </w:rPr>
  </w:style>
  <w:style w:type="paragraph" w:styleId="881">
    <w:name w:val="Heading 4"/>
    <w:basedOn w:val="877"/>
    <w:next w:val="877"/>
    <w:link w:val="1004"/>
    <w:uiPriority w:val="9"/>
    <w:unhideWhenUsed/>
    <w:qFormat/>
    <w:pPr>
      <w:keepLines/>
      <w:keepNext/>
      <w:spacing w:before="320" w:after="200"/>
      <w:outlineLvl w:val="3"/>
    </w:pPr>
    <w:rPr>
      <w:rFonts w:ascii="Arial" w:hAnsi="Arial" w:eastAsia="Arial" w:cs="Arial"/>
      <w:b/>
      <w:bCs/>
      <w:sz w:val="26"/>
      <w:szCs w:val="26"/>
    </w:rPr>
  </w:style>
  <w:style w:type="paragraph" w:styleId="882">
    <w:name w:val="Heading 5"/>
    <w:basedOn w:val="877"/>
    <w:next w:val="877"/>
    <w:link w:val="1005"/>
    <w:uiPriority w:val="9"/>
    <w:unhideWhenUsed/>
    <w:qFormat/>
    <w:pPr>
      <w:keepLines/>
      <w:keepNext/>
      <w:spacing w:before="320" w:after="200"/>
      <w:outlineLvl w:val="4"/>
    </w:pPr>
    <w:rPr>
      <w:rFonts w:ascii="Arial" w:hAnsi="Arial" w:eastAsia="Arial" w:cs="Arial"/>
      <w:b/>
      <w:bCs/>
      <w:sz w:val="24"/>
    </w:rPr>
  </w:style>
  <w:style w:type="paragraph" w:styleId="883">
    <w:name w:val="Heading 6"/>
    <w:basedOn w:val="877"/>
    <w:next w:val="877"/>
    <w:link w:val="1006"/>
    <w:uiPriority w:val="9"/>
    <w:unhideWhenUsed/>
    <w:qFormat/>
    <w:pPr>
      <w:keepLines/>
      <w:keepNext/>
      <w:spacing w:before="320" w:after="200"/>
      <w:outlineLvl w:val="5"/>
    </w:pPr>
    <w:rPr>
      <w:rFonts w:ascii="Arial" w:hAnsi="Arial" w:eastAsia="Arial" w:cs="Arial"/>
      <w:b/>
      <w:bCs/>
      <w:sz w:val="22"/>
      <w:szCs w:val="22"/>
    </w:rPr>
  </w:style>
  <w:style w:type="paragraph" w:styleId="884">
    <w:name w:val="Heading 7"/>
    <w:basedOn w:val="877"/>
    <w:next w:val="877"/>
    <w:link w:val="1007"/>
    <w:uiPriority w:val="9"/>
    <w:unhideWhenUsed/>
    <w:qFormat/>
    <w:pPr>
      <w:keepLines/>
      <w:keepNext/>
      <w:spacing w:before="320" w:after="200"/>
      <w:outlineLvl w:val="6"/>
    </w:pPr>
    <w:rPr>
      <w:rFonts w:ascii="Arial" w:hAnsi="Arial" w:eastAsia="Arial" w:cs="Arial"/>
      <w:b/>
      <w:bCs/>
      <w:i/>
      <w:iCs/>
      <w:sz w:val="22"/>
      <w:szCs w:val="22"/>
    </w:rPr>
  </w:style>
  <w:style w:type="paragraph" w:styleId="885">
    <w:name w:val="Heading 8"/>
    <w:basedOn w:val="877"/>
    <w:next w:val="877"/>
    <w:link w:val="1008"/>
    <w:uiPriority w:val="9"/>
    <w:unhideWhenUsed/>
    <w:qFormat/>
    <w:pPr>
      <w:keepLines/>
      <w:keepNext/>
      <w:spacing w:before="320" w:after="200"/>
      <w:outlineLvl w:val="7"/>
    </w:pPr>
    <w:rPr>
      <w:rFonts w:ascii="Arial" w:hAnsi="Arial" w:eastAsia="Arial" w:cs="Arial"/>
      <w:i/>
      <w:iCs/>
      <w:sz w:val="22"/>
      <w:szCs w:val="22"/>
    </w:rPr>
  </w:style>
  <w:style w:type="paragraph" w:styleId="886">
    <w:name w:val="Heading 9"/>
    <w:basedOn w:val="877"/>
    <w:next w:val="877"/>
    <w:link w:val="1009"/>
    <w:uiPriority w:val="9"/>
    <w:unhideWhenUsed/>
    <w:qFormat/>
    <w:pPr>
      <w:keepLines/>
      <w:keepNext/>
      <w:spacing w:before="320" w:after="200"/>
      <w:outlineLvl w:val="8"/>
    </w:pPr>
    <w:rPr>
      <w:rFonts w:ascii="Arial" w:hAnsi="Arial" w:eastAsia="Arial" w:cs="Arial"/>
      <w:i/>
      <w:iCs/>
      <w:szCs w:val="21"/>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Body Text"/>
    <w:basedOn w:val="877"/>
    <w:next w:val="890"/>
    <w:link w:val="1147"/>
    <w:uiPriority w:val="0"/>
    <w:qFormat/>
    <w:pPr>
      <w:ind w:left="72" w:right="30"/>
      <w:jc w:val="center"/>
      <w:spacing w:after="60" w:line="360" w:lineRule="atLeast"/>
    </w:pPr>
    <w:rPr>
      <w:rFonts w:ascii="Times New Roman" w:hAnsi="Times New Roman"/>
      <w:sz w:val="20"/>
      <w:szCs w:val="20"/>
    </w:rPr>
  </w:style>
  <w:style w:type="paragraph" w:styleId="890" w:customStyle="1">
    <w:name w:val="一级条标题"/>
    <w:basedOn w:val="891"/>
    <w:next w:val="8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1" w:customStyle="1">
    <w:name w:val="章标题"/>
    <w:next w:val="87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92" w:customStyle="1">
    <w:name w:val="段"/>
    <w:basedOn w:val="877"/>
    <w:next w:val="877"/>
    <w:uiPriority w:val="0"/>
    <w:qFormat/>
    <w:pPr>
      <w:ind w:firstLine="200"/>
      <w:widowControl/>
    </w:pPr>
    <w:rPr>
      <w:rFonts w:hint="eastAsia" w:ascii="宋体"/>
      <w:szCs w:val="20"/>
    </w:rPr>
  </w:style>
  <w:style w:type="paragraph" w:styleId="893">
    <w:name w:val="toc 7"/>
    <w:basedOn w:val="877"/>
    <w:next w:val="877"/>
    <w:uiPriority w:val="39"/>
    <w:unhideWhenUsed/>
    <w:qFormat/>
    <w:pPr>
      <w:ind w:left="1701"/>
      <w:spacing w:after="57"/>
    </w:pPr>
  </w:style>
  <w:style w:type="paragraph" w:styleId="894">
    <w:name w:val="Caption"/>
    <w:basedOn w:val="877"/>
    <w:next w:val="87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95">
    <w:name w:val="annotation text"/>
    <w:basedOn w:val="877"/>
    <w:link w:val="1150"/>
    <w:uiPriority w:val="99"/>
    <w:semiHidden/>
    <w:unhideWhenUsed/>
    <w:qFormat/>
    <w:pPr>
      <w:jc w:val="left"/>
    </w:pPr>
  </w:style>
  <w:style w:type="paragraph" w:styleId="896">
    <w:name w:val="Body Text Indent"/>
    <w:basedOn w:val="877"/>
    <w:uiPriority w:val="0"/>
    <w:qFormat/>
    <w:pPr>
      <w:ind w:firstLine="600"/>
      <w:spacing w:line="317" w:lineRule="auto"/>
    </w:pPr>
    <w:rPr>
      <w:rFonts w:ascii="方正书宋简体" w:eastAsia="方正书宋简体"/>
      <w:sz w:val="30"/>
    </w:rPr>
  </w:style>
  <w:style w:type="paragraph" w:styleId="897">
    <w:name w:val="Block Text"/>
    <w:basedOn w:val="877"/>
    <w:uiPriority w:val="0"/>
    <w:qFormat/>
    <w:pPr>
      <w:ind w:left="256" w:right="6" w:firstLine="624"/>
    </w:pPr>
    <w:rPr>
      <w:rFonts w:eastAsia="仿宋"/>
      <w:sz w:val="28"/>
      <w:szCs w:val="20"/>
    </w:rPr>
  </w:style>
  <w:style w:type="paragraph" w:styleId="898">
    <w:name w:val="toc 5"/>
    <w:basedOn w:val="877"/>
    <w:next w:val="877"/>
    <w:uiPriority w:val="39"/>
    <w:unhideWhenUsed/>
    <w:qFormat/>
    <w:pPr>
      <w:ind w:left="1134"/>
      <w:spacing w:after="57"/>
    </w:pPr>
  </w:style>
  <w:style w:type="paragraph" w:styleId="899">
    <w:name w:val="toc 3"/>
    <w:basedOn w:val="877"/>
    <w:next w:val="877"/>
    <w:uiPriority w:val="39"/>
    <w:unhideWhenUsed/>
    <w:qFormat/>
    <w:pPr>
      <w:ind w:left="567"/>
      <w:spacing w:after="57"/>
    </w:pPr>
  </w:style>
  <w:style w:type="paragraph" w:styleId="900">
    <w:name w:val="Plain Text"/>
    <w:basedOn w:val="877"/>
    <w:uiPriority w:val="0"/>
    <w:qFormat/>
    <w:rPr>
      <w:rFonts w:hint="eastAsia" w:ascii="宋体" w:hAnsi="Courier New" w:eastAsia="仿宋_GB2312"/>
      <w:sz w:val="30"/>
      <w:szCs w:val="20"/>
    </w:rPr>
  </w:style>
  <w:style w:type="paragraph" w:styleId="901">
    <w:name w:val="toc 8"/>
    <w:basedOn w:val="877"/>
    <w:next w:val="877"/>
    <w:uiPriority w:val="39"/>
    <w:unhideWhenUsed/>
    <w:qFormat/>
    <w:pPr>
      <w:ind w:left="1984"/>
      <w:spacing w:after="57"/>
    </w:pPr>
  </w:style>
  <w:style w:type="paragraph" w:styleId="902">
    <w:name w:val="Date"/>
    <w:basedOn w:val="877"/>
    <w:next w:val="877"/>
    <w:uiPriority w:val="0"/>
    <w:unhideWhenUsed/>
    <w:qFormat/>
    <w:rPr>
      <w:rFonts w:ascii="宋体" w:hAnsi="Times New Roman"/>
    </w:rPr>
  </w:style>
  <w:style w:type="paragraph" w:styleId="903">
    <w:name w:val="endnote text"/>
    <w:basedOn w:val="877"/>
    <w:link w:val="1128"/>
    <w:uiPriority w:val="99"/>
    <w:semiHidden/>
    <w:unhideWhenUsed/>
    <w:qFormat/>
    <w:rPr>
      <w:sz w:val="20"/>
    </w:rPr>
  </w:style>
  <w:style w:type="paragraph" w:styleId="904">
    <w:name w:val="Balloon Text"/>
    <w:basedOn w:val="877"/>
    <w:link w:val="1149"/>
    <w:uiPriority w:val="99"/>
    <w:semiHidden/>
    <w:unhideWhenUsed/>
    <w:qFormat/>
    <w:rPr>
      <w:sz w:val="18"/>
      <w:szCs w:val="18"/>
    </w:rPr>
  </w:style>
  <w:style w:type="paragraph" w:styleId="905">
    <w:name w:val="Footer"/>
    <w:basedOn w:val="877"/>
    <w:link w:val="1020"/>
    <w:uiPriority w:val="99"/>
    <w:unhideWhenUsed/>
    <w:qFormat/>
    <w:pPr>
      <w:tabs>
        <w:tab w:val="center" w:pos="7143" w:leader="none"/>
        <w:tab w:val="right" w:pos="14287" w:leader="none"/>
      </w:tabs>
    </w:pPr>
  </w:style>
  <w:style w:type="paragraph" w:styleId="906">
    <w:name w:val="Header"/>
    <w:basedOn w:val="877"/>
    <w:link w:val="1018"/>
    <w:uiPriority w:val="99"/>
    <w:unhideWhenUsed/>
    <w:qFormat/>
    <w:pPr>
      <w:tabs>
        <w:tab w:val="center" w:pos="7143" w:leader="none"/>
        <w:tab w:val="right" w:pos="14287" w:leader="none"/>
      </w:tabs>
    </w:pPr>
  </w:style>
  <w:style w:type="paragraph" w:styleId="907">
    <w:name w:val="toc 1"/>
    <w:basedOn w:val="877"/>
    <w:next w:val="877"/>
    <w:uiPriority w:val="39"/>
    <w:unhideWhenUsed/>
    <w:qFormat/>
    <w:pPr>
      <w:spacing w:after="57"/>
    </w:pPr>
  </w:style>
  <w:style w:type="paragraph" w:styleId="908">
    <w:name w:val="toc 4"/>
    <w:basedOn w:val="877"/>
    <w:next w:val="877"/>
    <w:uiPriority w:val="39"/>
    <w:unhideWhenUsed/>
    <w:qFormat/>
    <w:pPr>
      <w:ind w:left="850"/>
      <w:spacing w:after="57"/>
    </w:pPr>
  </w:style>
  <w:style w:type="paragraph" w:styleId="909">
    <w:name w:val="Subtitle"/>
    <w:basedOn w:val="877"/>
    <w:next w:val="877"/>
    <w:link w:val="1013"/>
    <w:uiPriority w:val="11"/>
    <w:qFormat/>
    <w:pPr>
      <w:spacing w:before="200" w:after="200"/>
    </w:pPr>
    <w:rPr>
      <w:sz w:val="24"/>
    </w:rPr>
  </w:style>
  <w:style w:type="paragraph" w:styleId="910">
    <w:name w:val="footnote text"/>
    <w:basedOn w:val="877"/>
    <w:link w:val="1127"/>
    <w:uiPriority w:val="99"/>
    <w:semiHidden/>
    <w:unhideWhenUsed/>
    <w:qFormat/>
    <w:pPr>
      <w:spacing w:after="40"/>
    </w:pPr>
    <w:rPr>
      <w:sz w:val="18"/>
    </w:rPr>
  </w:style>
  <w:style w:type="paragraph" w:styleId="911">
    <w:name w:val="toc 6"/>
    <w:basedOn w:val="877"/>
    <w:next w:val="877"/>
    <w:uiPriority w:val="39"/>
    <w:unhideWhenUsed/>
    <w:qFormat/>
    <w:pPr>
      <w:ind w:left="1417"/>
      <w:spacing w:after="57"/>
    </w:pPr>
  </w:style>
  <w:style w:type="paragraph" w:styleId="912">
    <w:name w:val="table of figures"/>
    <w:basedOn w:val="877"/>
    <w:next w:val="877"/>
    <w:uiPriority w:val="99"/>
    <w:unhideWhenUsed/>
    <w:qFormat/>
  </w:style>
  <w:style w:type="paragraph" w:styleId="913">
    <w:name w:val="toc 2"/>
    <w:basedOn w:val="877"/>
    <w:next w:val="877"/>
    <w:uiPriority w:val="39"/>
    <w:unhideWhenUsed/>
    <w:qFormat/>
    <w:pPr>
      <w:ind w:left="283"/>
      <w:spacing w:after="57"/>
    </w:pPr>
  </w:style>
  <w:style w:type="paragraph" w:styleId="914">
    <w:name w:val="toc 9"/>
    <w:basedOn w:val="877"/>
    <w:next w:val="877"/>
    <w:uiPriority w:val="39"/>
    <w:unhideWhenUsed/>
    <w:qFormat/>
    <w:pPr>
      <w:ind w:left="2268"/>
      <w:spacing w:after="57"/>
    </w:pPr>
  </w:style>
  <w:style w:type="paragraph" w:styleId="915">
    <w:name w:val="Normal (Web)"/>
    <w:basedOn w:val="877"/>
    <w:uiPriority w:val="0"/>
    <w:unhideWhenUsed/>
    <w:qFormat/>
    <w:pPr>
      <w:jc w:val="left"/>
      <w:spacing w:before="100" w:beforeAutospacing="1" w:after="100" w:afterAutospacing="1"/>
      <w:widowControl/>
    </w:pPr>
    <w:rPr>
      <w:rFonts w:ascii="宋体" w:hAnsi="宋体" w:cs="宋体"/>
      <w:sz w:val="24"/>
    </w:rPr>
  </w:style>
  <w:style w:type="paragraph" w:styleId="916">
    <w:name w:val="Title"/>
    <w:basedOn w:val="877"/>
    <w:next w:val="877"/>
    <w:link w:val="1012"/>
    <w:uiPriority w:val="10"/>
    <w:qFormat/>
    <w:pPr>
      <w:contextualSpacing/>
      <w:spacing w:before="300" w:after="200"/>
    </w:pPr>
    <w:rPr>
      <w:sz w:val="48"/>
      <w:szCs w:val="48"/>
    </w:rPr>
  </w:style>
  <w:style w:type="paragraph" w:styleId="917">
    <w:name w:val="annotation subject"/>
    <w:basedOn w:val="895"/>
    <w:next w:val="895"/>
    <w:link w:val="1151"/>
    <w:uiPriority w:val="99"/>
    <w:semiHidden/>
    <w:unhideWhenUsed/>
    <w:qFormat/>
    <w:rPr>
      <w:b/>
      <w:bCs/>
    </w:rPr>
  </w:style>
  <w:style w:type="table" w:styleId="918">
    <w:name w:val="Table Grid"/>
    <w:basedOn w:val="8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endnote reference"/>
    <w:basedOn w:val="887"/>
    <w:uiPriority w:val="99"/>
    <w:semiHidden/>
    <w:unhideWhenUsed/>
    <w:qFormat/>
    <w:rPr>
      <w:vertAlign w:val="superscript"/>
    </w:rPr>
  </w:style>
  <w:style w:type="character" w:styleId="920">
    <w:name w:val="Hyperlink"/>
    <w:uiPriority w:val="99"/>
    <w:unhideWhenUsed/>
    <w:qFormat/>
    <w:rPr>
      <w:color w:val="0563c1" w:themeColor="hyperlink"/>
      <w:u w:val="single"/>
      <w14:textFill>
        <w14:solidFill>
          <w14:schemeClr w14:val="hlink"/>
        </w14:solidFill>
      </w14:textFill>
    </w:rPr>
  </w:style>
  <w:style w:type="character" w:styleId="921">
    <w:name w:val="annotation reference"/>
    <w:basedOn w:val="887"/>
    <w:uiPriority w:val="99"/>
    <w:semiHidden/>
    <w:unhideWhenUsed/>
    <w:qFormat/>
    <w:rPr>
      <w:sz w:val="21"/>
      <w:szCs w:val="21"/>
    </w:rPr>
  </w:style>
  <w:style w:type="character" w:styleId="922">
    <w:name w:val="footnote reference"/>
    <w:basedOn w:val="887"/>
    <w:uiPriority w:val="99"/>
    <w:unhideWhenUsed/>
    <w:qFormat/>
    <w:rPr>
      <w:vertAlign w:val="superscript"/>
    </w:rPr>
  </w:style>
  <w:style w:type="paragraph" w:styleId="923" w:customStyle="1">
    <w:name w:val="正文文本11"/>
    <w:basedOn w:val="924"/>
    <w:next w:val="927"/>
    <w:uiPriority w:val="0"/>
    <w:qFormat/>
    <w:pPr>
      <w:spacing w:after="120"/>
    </w:pPr>
  </w:style>
  <w:style w:type="paragraph" w:styleId="924" w:customStyle="1">
    <w:name w:val="正文11"/>
    <w:basedOn w:val="877"/>
    <w:next w:val="925"/>
    <w:uiPriority w:val="0"/>
    <w:qFormat/>
  </w:style>
  <w:style w:type="paragraph" w:styleId="925" w:customStyle="1">
    <w:name w:val="标题 211"/>
    <w:basedOn w:val="926"/>
    <w:next w:val="924"/>
    <w:uiPriority w:val="0"/>
    <w:qFormat/>
    <w:pPr>
      <w:keepLines/>
      <w:keepNext/>
      <w:spacing w:before="260" w:after="260" w:line="416" w:lineRule="auto"/>
      <w:outlineLvl w:val="1"/>
    </w:pPr>
    <w:rPr>
      <w:rFonts w:ascii="Calibri Light" w:hAnsi="Calibri Light"/>
      <w:bCs/>
      <w:sz w:val="32"/>
      <w:szCs w:val="32"/>
    </w:rPr>
  </w:style>
  <w:style w:type="paragraph" w:styleId="926" w:customStyle="1">
    <w:name w:val="正文11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正文111"/>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信息标题1"/>
    <w:basedOn w:val="877"/>
    <w:next w:val="92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29" w:customStyle="1">
    <w:name w:val="正文文本12"/>
    <w:basedOn w:val="877"/>
    <w:next w:val="877"/>
    <w:uiPriority w:val="99"/>
    <w:qFormat/>
    <w:pPr>
      <w:spacing w:after="120"/>
    </w:pPr>
  </w:style>
  <w:style w:type="table" w:styleId="930" w:customStyle="1">
    <w:name w:val="Plain Table 1"/>
    <w:basedOn w:val="8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basedOn w:val="8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basedOn w:val="8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basedOn w:val="8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basedOn w:val="8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basedOn w:val="8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2"/>
    <w:basedOn w:val="8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3"/>
    <w:basedOn w:val="8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4"/>
    <w:basedOn w:val="8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customStyle="1">
    <w:name w:val="Grid Table 5 Dark"/>
    <w:basedOn w:val="8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6 Colorful"/>
    <w:basedOn w:val="8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1" w:customStyle="1">
    <w:name w:val="Grid Table 7 Colorful"/>
    <w:basedOn w:val="8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1 Light"/>
    <w:basedOn w:val="8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2"/>
    <w:basedOn w:val="8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3"/>
    <w:basedOn w:val="8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w:basedOn w:val="8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5 Dark"/>
    <w:basedOn w:val="8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basedOn w:val="8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7 Colorful"/>
    <w:basedOn w:val="8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正文112"/>
    <w:next w:val="9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正文首行缩进1"/>
    <w:basedOn w:val="929"/>
    <w:next w:val="952"/>
    <w:uiPriority w:val="0"/>
    <w:qFormat/>
    <w:pPr>
      <w:ind w:firstLine="420"/>
    </w:pPr>
    <w:rPr>
      <w:szCs w:val="22"/>
    </w:rPr>
  </w:style>
  <w:style w:type="paragraph" w:styleId="952" w:customStyle="1">
    <w:name w:val="正文首行缩进 211"/>
    <w:basedOn w:val="953"/>
    <w:next w:val="950"/>
    <w:uiPriority w:val="0"/>
    <w:qFormat/>
    <w:pPr>
      <w:ind w:firstLine="420"/>
    </w:pPr>
    <w:rPr>
      <w:sz w:val="24"/>
    </w:rPr>
  </w:style>
  <w:style w:type="paragraph" w:styleId="953" w:customStyle="1">
    <w:name w:val="正文文本缩进11"/>
    <w:basedOn w:val="950"/>
    <w:next w:val="950"/>
    <w:uiPriority w:val="0"/>
    <w:qFormat/>
    <w:pPr>
      <w:ind w:firstLine="538"/>
    </w:pPr>
    <w:rPr>
      <w:sz w:val="28"/>
    </w:rPr>
  </w:style>
  <w:style w:type="character" w:styleId="954" w:customStyle="1">
    <w:name w:val="标题 2 字符"/>
    <w:basedOn w:val="887"/>
    <w:link w:val="879"/>
    <w:uiPriority w:val="9"/>
    <w:qFormat/>
    <w:rPr>
      <w:rFonts w:ascii="Arial" w:hAnsi="Arial" w:eastAsia="Arial" w:cs="Arial"/>
      <w:sz w:val="34"/>
    </w:rPr>
  </w:style>
  <w:style w:type="character" w:styleId="955" w:customStyle="1">
    <w:name w:val="标题 3 字符"/>
    <w:basedOn w:val="887"/>
    <w:link w:val="880"/>
    <w:uiPriority w:val="9"/>
    <w:qFormat/>
    <w:rPr>
      <w:rFonts w:ascii="Arial" w:hAnsi="Arial" w:eastAsia="Arial" w:cs="Arial"/>
      <w:sz w:val="30"/>
      <w:szCs w:val="30"/>
    </w:rPr>
  </w:style>
  <w:style w:type="character" w:styleId="956" w:customStyle="1">
    <w:name w:val="标题 1 字符"/>
    <w:basedOn w:val="887"/>
    <w:link w:val="878"/>
    <w:uiPriority w:val="9"/>
    <w:qFormat/>
    <w:rPr>
      <w:rFonts w:ascii="Arial" w:hAnsi="Arial" w:eastAsia="Arial" w:cs="Arial"/>
      <w:sz w:val="40"/>
      <w:szCs w:val="40"/>
    </w:rPr>
  </w:style>
  <w:style w:type="paragraph" w:styleId="957" w:customStyle="1">
    <w:name w:val="列表段落1"/>
    <w:basedOn w:val="958"/>
    <w:next w:val="877"/>
    <w:uiPriority w:val="99"/>
    <w:qFormat/>
    <w:pPr>
      <w:ind w:firstLine="420"/>
    </w:pPr>
  </w:style>
  <w:style w:type="paragraph" w:styleId="958" w:customStyle="1">
    <w:name w:val="正文1"/>
    <w:basedOn w:val="924"/>
    <w:next w:val="959"/>
    <w:uiPriority w:val="0"/>
    <w:qFormat/>
  </w:style>
  <w:style w:type="paragraph" w:styleId="959" w:customStyle="1">
    <w:name w:val="正文文本1"/>
    <w:basedOn w:val="958"/>
    <w:next w:val="958"/>
    <w:uiPriority w:val="0"/>
    <w:qFormat/>
    <w:pPr>
      <w:spacing w:after="120"/>
    </w:pPr>
    <w:rPr>
      <w:lang w:eastAsia="en-US"/>
    </w:rPr>
  </w:style>
  <w:style w:type="paragraph" w:styleId="960" w:customStyle="1">
    <w:name w:val="目录 11"/>
    <w:basedOn w:val="961"/>
    <w:next w:val="924"/>
    <w:uiPriority w:val="39"/>
    <w:unhideWhenUsed/>
    <w:qFormat/>
    <w:pPr>
      <w:jc w:val="left"/>
      <w:spacing w:after="100" w:line="259" w:lineRule="auto"/>
      <w:widowControl/>
    </w:pPr>
    <w:rPr>
      <w:rFonts w:ascii="Calibri" w:hAnsi="Calibri"/>
      <w:sz w:val="22"/>
      <w:szCs w:val="22"/>
    </w:rPr>
  </w:style>
  <w:style w:type="paragraph" w:styleId="961" w:customStyle="1">
    <w:name w:val="正文12"/>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标题 21"/>
    <w:basedOn w:val="877"/>
    <w:next w:val="96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63" w:customStyle="1">
    <w:name w:val="脚注文本1"/>
    <w:basedOn w:val="958"/>
    <w:next w:val="964"/>
    <w:uiPriority w:val="0"/>
    <w:qFormat/>
    <w:pPr>
      <w:jc w:val="left"/>
      <w:spacing w:line="360" w:lineRule="atLeast"/>
    </w:pPr>
    <w:rPr>
      <w:rFonts w:ascii="宋体" w:eastAsia="Times New Roman"/>
      <w:sz w:val="18"/>
      <w:szCs w:val="18"/>
    </w:rPr>
  </w:style>
  <w:style w:type="paragraph" w:styleId="964" w:customStyle="1">
    <w:name w:val="索引 51"/>
    <w:basedOn w:val="958"/>
    <w:next w:val="958"/>
    <w:uiPriority w:val="0"/>
    <w:qFormat/>
    <w:pPr>
      <w:ind w:left="798"/>
      <w:jc w:val="left"/>
      <w:spacing w:line="360" w:lineRule="atLeast"/>
    </w:pPr>
    <w:rPr>
      <w:sz w:val="24"/>
      <w:szCs w:val="20"/>
    </w:rPr>
  </w:style>
  <w:style w:type="table" w:styleId="965" w:customStyle="1">
    <w:name w:val="无格式表格 11"/>
    <w:basedOn w:val="8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21"/>
    <w:basedOn w:val="8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31"/>
    <w:basedOn w:val="8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无格式表格 41"/>
    <w:basedOn w:val="8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无格式表格 51"/>
    <w:basedOn w:val="8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网格表 1 浅色1"/>
    <w:basedOn w:val="8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网格表 2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2" w:customStyle="1">
    <w:name w:val="网格表 3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网格表 41"/>
    <w:basedOn w:val="8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网格表 5 深色1"/>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5" w:customStyle="1">
    <w:name w:val="网格表 6 彩色1"/>
    <w:basedOn w:val="8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网格表 7 彩色1"/>
    <w:basedOn w:val="8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清单表 1 浅色1"/>
    <w:basedOn w:val="8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清单表 21"/>
    <w:basedOn w:val="8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9" w:customStyle="1">
    <w:name w:val="清单表 3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清单表 4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清单表 5 深色1"/>
    <w:basedOn w:val="8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basedOn w:val="8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清单表 7 彩色1"/>
    <w:basedOn w:val="8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4" w:customStyle="1">
    <w:name w:val="TOC 标题1"/>
    <w:uiPriority w:val="39"/>
    <w:unhideWhenUsed/>
    <w:qFormat/>
    <w:rPr>
      <w:rFonts w:hint="default" w:ascii="Times New Roman" w:hAnsi="Times New Roman" w:eastAsia="宋体" w:cs="Times New Roman"/>
      <w:lang w:val="en-US" w:eastAsia="zh-CN" w:bidi="ar-SA"/>
    </w:rPr>
  </w:style>
  <w:style w:type="paragraph" w:styleId="985" w:customStyle="1">
    <w:name w:val="TOC 标题112"/>
    <w:uiPriority w:val="39"/>
    <w:unhideWhenUsed/>
    <w:qFormat/>
    <w:rPr>
      <w:rFonts w:hint="default" w:ascii="Times New Roman" w:hAnsi="Times New Roman" w:eastAsia="宋体" w:cs="Times New Roman"/>
      <w:lang w:val="en-US" w:eastAsia="zh-CN" w:bidi="ar-SA"/>
    </w:rPr>
  </w:style>
  <w:style w:type="character" w:styleId="986" w:customStyle="1">
    <w:name w:val="Heading 1 Char"/>
    <w:basedOn w:val="887"/>
    <w:uiPriority w:val="9"/>
    <w:qFormat/>
    <w:rPr>
      <w:rFonts w:ascii="Arial" w:hAnsi="Arial" w:eastAsia="Arial" w:cs="Arial"/>
      <w:sz w:val="40"/>
      <w:szCs w:val="40"/>
    </w:rPr>
  </w:style>
  <w:style w:type="character" w:styleId="987" w:customStyle="1">
    <w:name w:val="Heading 2 Char"/>
    <w:basedOn w:val="887"/>
    <w:uiPriority w:val="9"/>
    <w:qFormat/>
    <w:rPr>
      <w:rFonts w:ascii="Arial" w:hAnsi="Arial" w:eastAsia="Arial" w:cs="Arial"/>
      <w:sz w:val="34"/>
    </w:rPr>
  </w:style>
  <w:style w:type="character" w:styleId="988" w:customStyle="1">
    <w:name w:val="Heading 3 Char"/>
    <w:basedOn w:val="887"/>
    <w:uiPriority w:val="9"/>
    <w:qFormat/>
    <w:rPr>
      <w:rFonts w:ascii="Arial" w:hAnsi="Arial" w:eastAsia="Arial" w:cs="Arial"/>
      <w:sz w:val="30"/>
      <w:szCs w:val="30"/>
    </w:rPr>
  </w:style>
  <w:style w:type="character" w:styleId="989" w:customStyle="1">
    <w:name w:val="Heading 4 Char"/>
    <w:basedOn w:val="887"/>
    <w:uiPriority w:val="9"/>
    <w:qFormat/>
    <w:rPr>
      <w:rFonts w:ascii="Arial" w:hAnsi="Arial" w:eastAsia="Arial" w:cs="Arial"/>
      <w:b/>
      <w:bCs/>
      <w:sz w:val="26"/>
      <w:szCs w:val="26"/>
    </w:rPr>
  </w:style>
  <w:style w:type="character" w:styleId="990" w:customStyle="1">
    <w:name w:val="Heading 5 Char"/>
    <w:basedOn w:val="887"/>
    <w:uiPriority w:val="9"/>
    <w:qFormat/>
    <w:rPr>
      <w:rFonts w:ascii="Arial" w:hAnsi="Arial" w:eastAsia="Arial" w:cs="Arial"/>
      <w:b/>
      <w:bCs/>
      <w:sz w:val="24"/>
      <w:szCs w:val="24"/>
    </w:rPr>
  </w:style>
  <w:style w:type="character" w:styleId="991" w:customStyle="1">
    <w:name w:val="Heading 6 Char"/>
    <w:basedOn w:val="887"/>
    <w:uiPriority w:val="9"/>
    <w:qFormat/>
    <w:rPr>
      <w:rFonts w:ascii="Arial" w:hAnsi="Arial" w:eastAsia="Arial" w:cs="Arial"/>
      <w:b/>
      <w:bCs/>
      <w:sz w:val="22"/>
      <w:szCs w:val="22"/>
    </w:rPr>
  </w:style>
  <w:style w:type="character" w:styleId="992" w:customStyle="1">
    <w:name w:val="Heading 7 Char"/>
    <w:basedOn w:val="887"/>
    <w:uiPriority w:val="9"/>
    <w:qFormat/>
    <w:rPr>
      <w:rFonts w:ascii="Arial" w:hAnsi="Arial" w:eastAsia="Arial" w:cs="Arial"/>
      <w:b/>
      <w:bCs/>
      <w:i/>
      <w:iCs/>
      <w:sz w:val="22"/>
      <w:szCs w:val="22"/>
    </w:rPr>
  </w:style>
  <w:style w:type="character" w:styleId="993" w:customStyle="1">
    <w:name w:val="Heading 8 Char"/>
    <w:basedOn w:val="887"/>
    <w:uiPriority w:val="9"/>
    <w:qFormat/>
    <w:rPr>
      <w:rFonts w:ascii="Arial" w:hAnsi="Arial" w:eastAsia="Arial" w:cs="Arial"/>
      <w:i/>
      <w:iCs/>
      <w:sz w:val="22"/>
      <w:szCs w:val="22"/>
    </w:rPr>
  </w:style>
  <w:style w:type="character" w:styleId="994" w:customStyle="1">
    <w:name w:val="Heading 9 Char"/>
    <w:basedOn w:val="887"/>
    <w:uiPriority w:val="9"/>
    <w:qFormat/>
    <w:rPr>
      <w:rFonts w:ascii="Arial" w:hAnsi="Arial" w:eastAsia="Arial" w:cs="Arial"/>
      <w:i/>
      <w:iCs/>
      <w:sz w:val="21"/>
      <w:szCs w:val="21"/>
    </w:rPr>
  </w:style>
  <w:style w:type="character" w:styleId="995" w:customStyle="1">
    <w:name w:val="Title Char"/>
    <w:basedOn w:val="887"/>
    <w:uiPriority w:val="10"/>
    <w:qFormat/>
    <w:rPr>
      <w:sz w:val="48"/>
      <w:szCs w:val="48"/>
    </w:rPr>
  </w:style>
  <w:style w:type="character" w:styleId="996" w:customStyle="1">
    <w:name w:val="Subtitle Char"/>
    <w:basedOn w:val="887"/>
    <w:uiPriority w:val="11"/>
    <w:qFormat/>
    <w:rPr>
      <w:sz w:val="24"/>
      <w:szCs w:val="24"/>
    </w:rPr>
  </w:style>
  <w:style w:type="character" w:styleId="997" w:customStyle="1">
    <w:name w:val="Quote Char"/>
    <w:uiPriority w:val="29"/>
    <w:qFormat/>
    <w:rPr>
      <w:i/>
    </w:rPr>
  </w:style>
  <w:style w:type="character" w:styleId="998" w:customStyle="1">
    <w:name w:val="Intense Quote Char"/>
    <w:uiPriority w:val="30"/>
    <w:qFormat/>
    <w:rPr>
      <w:i/>
    </w:rPr>
  </w:style>
  <w:style w:type="character" w:styleId="999" w:customStyle="1">
    <w:name w:val="Header Char"/>
    <w:basedOn w:val="887"/>
    <w:uiPriority w:val="99"/>
    <w:qFormat/>
  </w:style>
  <w:style w:type="character" w:styleId="1000" w:customStyle="1">
    <w:name w:val="Caption Char"/>
    <w:uiPriority w:val="99"/>
    <w:qFormat/>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paragraph" w:styleId="1003" w:customStyle="1">
    <w:name w:val="TOC 标题111"/>
    <w:uiPriority w:val="39"/>
    <w:unhideWhenUsed/>
    <w:qFormat/>
    <w:rPr>
      <w:rFonts w:hint="default" w:ascii="Calibri" w:hAnsi="Calibri" w:eastAsia="宋体" w:cs="Times New Roman"/>
      <w:lang w:val="en-US" w:eastAsia="zh-CN" w:bidi="ar-SA"/>
    </w:rPr>
  </w:style>
  <w:style w:type="character" w:styleId="1004" w:customStyle="1">
    <w:name w:val="标题 4 字符"/>
    <w:basedOn w:val="887"/>
    <w:link w:val="881"/>
    <w:uiPriority w:val="9"/>
    <w:qFormat/>
    <w:rPr>
      <w:rFonts w:ascii="Arial" w:hAnsi="Arial" w:eastAsia="Arial" w:cs="Arial"/>
      <w:b/>
      <w:bCs/>
      <w:sz w:val="26"/>
      <w:szCs w:val="26"/>
    </w:rPr>
  </w:style>
  <w:style w:type="character" w:styleId="1005" w:customStyle="1">
    <w:name w:val="标题 5 字符"/>
    <w:basedOn w:val="887"/>
    <w:link w:val="882"/>
    <w:uiPriority w:val="9"/>
    <w:qFormat/>
    <w:rPr>
      <w:rFonts w:ascii="Arial" w:hAnsi="Arial" w:eastAsia="Arial" w:cs="Arial"/>
      <w:b/>
      <w:bCs/>
      <w:sz w:val="24"/>
      <w:szCs w:val="24"/>
    </w:rPr>
  </w:style>
  <w:style w:type="character" w:styleId="1006" w:customStyle="1">
    <w:name w:val="标题 6 字符"/>
    <w:basedOn w:val="887"/>
    <w:link w:val="883"/>
    <w:uiPriority w:val="9"/>
    <w:qFormat/>
    <w:rPr>
      <w:rFonts w:ascii="Arial" w:hAnsi="Arial" w:eastAsia="Arial" w:cs="Arial"/>
      <w:b/>
      <w:bCs/>
      <w:sz w:val="22"/>
      <w:szCs w:val="22"/>
    </w:rPr>
  </w:style>
  <w:style w:type="character" w:styleId="1007" w:customStyle="1">
    <w:name w:val="标题 7 字符"/>
    <w:basedOn w:val="887"/>
    <w:link w:val="884"/>
    <w:uiPriority w:val="9"/>
    <w:qFormat/>
    <w:rPr>
      <w:rFonts w:ascii="Arial" w:hAnsi="Arial" w:eastAsia="Arial" w:cs="Arial"/>
      <w:b/>
      <w:bCs/>
      <w:i/>
      <w:iCs/>
      <w:sz w:val="22"/>
      <w:szCs w:val="22"/>
    </w:rPr>
  </w:style>
  <w:style w:type="character" w:styleId="1008" w:customStyle="1">
    <w:name w:val="标题 8 字符"/>
    <w:basedOn w:val="887"/>
    <w:link w:val="885"/>
    <w:uiPriority w:val="9"/>
    <w:qFormat/>
    <w:rPr>
      <w:rFonts w:ascii="Arial" w:hAnsi="Arial" w:eastAsia="Arial" w:cs="Arial"/>
      <w:i/>
      <w:iCs/>
      <w:sz w:val="22"/>
      <w:szCs w:val="22"/>
    </w:rPr>
  </w:style>
  <w:style w:type="character" w:styleId="1009" w:customStyle="1">
    <w:name w:val="标题 9 字符"/>
    <w:basedOn w:val="887"/>
    <w:link w:val="886"/>
    <w:uiPriority w:val="9"/>
    <w:qFormat/>
    <w:rPr>
      <w:rFonts w:ascii="Arial" w:hAnsi="Arial" w:eastAsia="Arial" w:cs="Arial"/>
      <w:i/>
      <w:iCs/>
      <w:sz w:val="21"/>
      <w:szCs w:val="21"/>
    </w:rPr>
  </w:style>
  <w:style w:type="paragraph" w:styleId="1010">
    <w:name w:val="List Paragraph"/>
    <w:basedOn w:val="877"/>
    <w:uiPriority w:val="34"/>
    <w:qFormat/>
    <w:pPr>
      <w:contextualSpacing/>
      <w:ind w:left="720"/>
    </w:pPr>
  </w:style>
  <w:style w:type="paragraph" w:styleId="1011">
    <w:name w:val="No Spacing"/>
    <w:uiPriority w:val="1"/>
    <w:qFormat/>
    <w:rPr>
      <w:rFonts w:hint="default" w:asciiTheme="minorHAnsi" w:hAnsiTheme="minorHAnsi" w:eastAsiaTheme="minorEastAsia" w:cstheme="minorBidi"/>
      <w:lang w:val="en-US" w:eastAsia="zh-CN" w:bidi="ar-SA"/>
    </w:rPr>
  </w:style>
  <w:style w:type="character" w:styleId="1012" w:customStyle="1">
    <w:name w:val="标题 字符"/>
    <w:basedOn w:val="887"/>
    <w:link w:val="916"/>
    <w:uiPriority w:val="10"/>
    <w:qFormat/>
    <w:rPr>
      <w:sz w:val="48"/>
      <w:szCs w:val="48"/>
    </w:rPr>
  </w:style>
  <w:style w:type="character" w:styleId="1013" w:customStyle="1">
    <w:name w:val="副标题 字符"/>
    <w:basedOn w:val="887"/>
    <w:link w:val="909"/>
    <w:uiPriority w:val="11"/>
    <w:qFormat/>
    <w:rPr>
      <w:sz w:val="24"/>
      <w:szCs w:val="24"/>
    </w:rPr>
  </w:style>
  <w:style w:type="paragraph" w:styleId="1014">
    <w:name w:val="Quote"/>
    <w:basedOn w:val="877"/>
    <w:next w:val="877"/>
    <w:link w:val="1015"/>
    <w:uiPriority w:val="29"/>
    <w:qFormat/>
    <w:pPr>
      <w:ind w:left="720" w:right="720"/>
    </w:pPr>
    <w:rPr>
      <w:i/>
    </w:rPr>
  </w:style>
  <w:style w:type="character" w:styleId="1015" w:customStyle="1">
    <w:name w:val="引用 字符"/>
    <w:link w:val="1014"/>
    <w:uiPriority w:val="29"/>
    <w:qFormat/>
    <w:rPr>
      <w:i/>
    </w:rPr>
  </w:style>
  <w:style w:type="paragraph" w:styleId="1016">
    <w:name w:val="Intense Quote"/>
    <w:basedOn w:val="877"/>
    <w:next w:val="877"/>
    <w:link w:val="10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明显引用 字符"/>
    <w:link w:val="1016"/>
    <w:uiPriority w:val="30"/>
    <w:qFormat/>
    <w:rPr>
      <w:i/>
    </w:rPr>
  </w:style>
  <w:style w:type="character" w:styleId="1018" w:customStyle="1">
    <w:name w:val="页眉 字符"/>
    <w:basedOn w:val="887"/>
    <w:link w:val="906"/>
    <w:uiPriority w:val="99"/>
    <w:qFormat/>
  </w:style>
  <w:style w:type="character" w:styleId="1019" w:customStyle="1">
    <w:name w:val="Footer Char"/>
    <w:basedOn w:val="887"/>
    <w:uiPriority w:val="99"/>
    <w:qFormat/>
  </w:style>
  <w:style w:type="character" w:styleId="1020" w:customStyle="1">
    <w:name w:val="页脚 字符"/>
    <w:link w:val="905"/>
    <w:uiPriority w:val="99"/>
    <w:qFormat/>
  </w:style>
  <w:style w:type="table" w:styleId="1021" w:customStyle="1">
    <w:name w:val="Table Grid Light"/>
    <w:basedOn w:val="8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22" w:customStyle="1">
    <w:name w:val="Grid Table 1 Light - Accent 1"/>
    <w:basedOn w:val="8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2"/>
    <w:basedOn w:val="8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3"/>
    <w:basedOn w:val="8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4"/>
    <w:basedOn w:val="8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5"/>
    <w:basedOn w:val="8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6"/>
    <w:basedOn w:val="8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8" w:customStyle="1">
    <w:name w:val="Grid Table 2 - Accent 1"/>
    <w:basedOn w:val="8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9" w:customStyle="1">
    <w:name w:val="Grid Table 2 - Accent 2"/>
    <w:basedOn w:val="8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0" w:customStyle="1">
    <w:name w:val="Grid Table 2 - Accent 3"/>
    <w:basedOn w:val="8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1" w:customStyle="1">
    <w:name w:val="Grid Table 2 - Accent 4"/>
    <w:basedOn w:val="8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2" w:customStyle="1">
    <w:name w:val="Grid Table 2 - Accent 5"/>
    <w:basedOn w:val="8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33" w:customStyle="1">
    <w:name w:val="Grid Table 2 - Accent 6"/>
    <w:basedOn w:val="8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34" w:customStyle="1">
    <w:name w:val="Grid Table 3 - Accent 1"/>
    <w:basedOn w:val="8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2"/>
    <w:basedOn w:val="8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3"/>
    <w:basedOn w:val="8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4"/>
    <w:basedOn w:val="8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5"/>
    <w:basedOn w:val="8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6"/>
    <w:basedOn w:val="8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4 - Accent 1"/>
    <w:basedOn w:val="8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41" w:customStyle="1">
    <w:name w:val="Grid Table 4 - Accent 2"/>
    <w:basedOn w:val="8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42" w:customStyle="1">
    <w:name w:val="Grid Table 4 - Accent 3"/>
    <w:basedOn w:val="8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43" w:customStyle="1">
    <w:name w:val="Grid Table 4 - Accent 4"/>
    <w:basedOn w:val="8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44" w:customStyle="1">
    <w:name w:val="Grid Table 4 - Accent 5"/>
    <w:basedOn w:val="8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45" w:customStyle="1">
    <w:name w:val="Grid Table 4 - Accent 6"/>
    <w:basedOn w:val="8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46" w:customStyle="1">
    <w:name w:val="Grid Table 5 Dark- Accent 1"/>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7" w:customStyle="1">
    <w:name w:val="Grid Table 5 Dark - Accent 2"/>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8" w:customStyle="1">
    <w:name w:val="Grid Table 5 Dark - Accent 3"/>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9" w:customStyle="1">
    <w:name w:val="Grid Table 5 Dark- Accent 4"/>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50" w:customStyle="1">
    <w:name w:val="Grid Table 5 Dark - Accent 5"/>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51" w:customStyle="1">
    <w:name w:val="Grid Table 5 Dark - Accent 6"/>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52" w:customStyle="1">
    <w:name w:val="Grid Table 6 Colorful - Accent 1"/>
    <w:basedOn w:val="8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53" w:customStyle="1">
    <w:name w:val="Grid Table 6 Colorful - Accent 2"/>
    <w:basedOn w:val="8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54" w:customStyle="1">
    <w:name w:val="Grid Table 6 Colorful - Accent 3"/>
    <w:basedOn w:val="8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55" w:customStyle="1">
    <w:name w:val="Grid Table 6 Colorful - Accent 4"/>
    <w:basedOn w:val="8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56" w:customStyle="1">
    <w:name w:val="Grid Table 6 Colorful - Accent 5"/>
    <w:basedOn w:val="8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7" w:customStyle="1">
    <w:name w:val="Grid Table 6 Colorful - Accent 6"/>
    <w:basedOn w:val="8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8" w:customStyle="1">
    <w:name w:val="Grid Table 7 Colorful - Accent 1"/>
    <w:basedOn w:val="8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9" w:customStyle="1">
    <w:name w:val="Grid Table 7 Colorful - Accent 2"/>
    <w:basedOn w:val="8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60" w:customStyle="1">
    <w:name w:val="Grid Table 7 Colorful - Accent 3"/>
    <w:basedOn w:val="8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61" w:customStyle="1">
    <w:name w:val="Grid Table 7 Colorful - Accent 4"/>
    <w:basedOn w:val="8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62" w:customStyle="1">
    <w:name w:val="Grid Table 7 Colorful - Accent 5"/>
    <w:basedOn w:val="8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63" w:customStyle="1">
    <w:name w:val="Grid Table 7 Colorful - Accent 6"/>
    <w:basedOn w:val="8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64" w:customStyle="1">
    <w:name w:val="List Table 1 Light - Accent 1"/>
    <w:basedOn w:val="8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65" w:customStyle="1">
    <w:name w:val="List Table 1 Light - Accent 2"/>
    <w:basedOn w:val="8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66" w:customStyle="1">
    <w:name w:val="List Table 1 Light - Accent 3"/>
    <w:basedOn w:val="8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7" w:customStyle="1">
    <w:name w:val="List Table 1 Light - Accent 4"/>
    <w:basedOn w:val="8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8" w:customStyle="1">
    <w:name w:val="List Table 1 Light - Accent 5"/>
    <w:basedOn w:val="8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9" w:customStyle="1">
    <w:name w:val="List Table 1 Light - Accent 6"/>
    <w:basedOn w:val="8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70" w:customStyle="1">
    <w:name w:val="List Table 2 - Accent 1"/>
    <w:basedOn w:val="8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71" w:customStyle="1">
    <w:name w:val="List Table 2 - Accent 2"/>
    <w:basedOn w:val="8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72" w:customStyle="1">
    <w:name w:val="List Table 2 - Accent 3"/>
    <w:basedOn w:val="8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73" w:customStyle="1">
    <w:name w:val="List Table 2 - Accent 4"/>
    <w:basedOn w:val="8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74" w:customStyle="1">
    <w:name w:val="List Table 2 - Accent 5"/>
    <w:basedOn w:val="8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75" w:customStyle="1">
    <w:name w:val="List Table 2 - Accent 6"/>
    <w:basedOn w:val="8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76" w:customStyle="1">
    <w:name w:val="List Table 3 - Accent 1"/>
    <w:basedOn w:val="8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7" w:customStyle="1">
    <w:name w:val="List Table 3 - Accent 2"/>
    <w:basedOn w:val="8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8" w:customStyle="1">
    <w:name w:val="List Table 3 - Accent 3"/>
    <w:basedOn w:val="8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9" w:customStyle="1">
    <w:name w:val="List Table 3 - Accent 4"/>
    <w:basedOn w:val="8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80" w:customStyle="1">
    <w:name w:val="List Table 3 - Accent 5"/>
    <w:basedOn w:val="8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81" w:customStyle="1">
    <w:name w:val="List Table 3 - Accent 6"/>
    <w:basedOn w:val="8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82" w:customStyle="1">
    <w:name w:val="List Table 4 - Accent 1"/>
    <w:basedOn w:val="8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83" w:customStyle="1">
    <w:name w:val="List Table 4 - Accent 2"/>
    <w:basedOn w:val="8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84" w:customStyle="1">
    <w:name w:val="List Table 4 - Accent 3"/>
    <w:basedOn w:val="8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85" w:customStyle="1">
    <w:name w:val="List Table 4 - Accent 4"/>
    <w:basedOn w:val="8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86" w:customStyle="1">
    <w:name w:val="List Table 4 - Accent 5"/>
    <w:basedOn w:val="8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7" w:customStyle="1">
    <w:name w:val="List Table 4 - Accent 6"/>
    <w:basedOn w:val="8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8" w:customStyle="1">
    <w:name w:val="List Table 5 Dark - Accent 1"/>
    <w:basedOn w:val="8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2"/>
    <w:basedOn w:val="8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3"/>
    <w:basedOn w:val="8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4"/>
    <w:basedOn w:val="8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5"/>
    <w:basedOn w:val="8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6"/>
    <w:basedOn w:val="8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6 Colorful - Accent 1"/>
    <w:basedOn w:val="8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95" w:customStyle="1">
    <w:name w:val="List Table 6 Colorful - Accent 2"/>
    <w:basedOn w:val="8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96" w:customStyle="1">
    <w:name w:val="List Table 6 Colorful - Accent 3"/>
    <w:basedOn w:val="8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7" w:customStyle="1">
    <w:name w:val="List Table 6 Colorful - Accent 4"/>
    <w:basedOn w:val="8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8" w:customStyle="1">
    <w:name w:val="List Table 6 Colorful - Accent 5"/>
    <w:basedOn w:val="8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9" w:customStyle="1">
    <w:name w:val="List Table 6 Colorful - Accent 6"/>
    <w:basedOn w:val="8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00" w:customStyle="1">
    <w:name w:val="List Table 7 Colorful - Accent 1"/>
    <w:basedOn w:val="8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01" w:customStyle="1">
    <w:name w:val="List Table 7 Colorful - Accent 2"/>
    <w:basedOn w:val="8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2" w:customStyle="1">
    <w:name w:val="List Table 7 Colorful - Accent 3"/>
    <w:basedOn w:val="8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03" w:customStyle="1">
    <w:name w:val="List Table 7 Colorful - Accent 4"/>
    <w:basedOn w:val="8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4" w:customStyle="1">
    <w:name w:val="List Table 7 Colorful - Accent 5"/>
    <w:basedOn w:val="8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05" w:customStyle="1">
    <w:name w:val="List Table 7 Colorful - Accent 6"/>
    <w:basedOn w:val="8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06" w:customStyle="1">
    <w:name w:val="Lined - Accent"/>
    <w:basedOn w:val="8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Lined - Accent 1"/>
    <w:basedOn w:val="8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8" w:customStyle="1">
    <w:name w:val="Lined - Accent 2"/>
    <w:basedOn w:val="8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9" w:customStyle="1">
    <w:name w:val="Lined - Accent 3"/>
    <w:basedOn w:val="8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0" w:customStyle="1">
    <w:name w:val="Lined - Accent 4"/>
    <w:basedOn w:val="8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1" w:customStyle="1">
    <w:name w:val="Lined - Accent 5"/>
    <w:basedOn w:val="8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2" w:customStyle="1">
    <w:name w:val="Lined - Accent 6"/>
    <w:basedOn w:val="8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3" w:customStyle="1">
    <w:name w:val="Bordered &amp; Lined - Accent"/>
    <w:basedOn w:val="8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4" w:customStyle="1">
    <w:name w:val="Bordered &amp; Lined - Accent 1"/>
    <w:basedOn w:val="8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15" w:customStyle="1">
    <w:name w:val="Bordered &amp; Lined - Accent 2"/>
    <w:basedOn w:val="8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16" w:customStyle="1">
    <w:name w:val="Bordered &amp; Lined - Accent 3"/>
    <w:basedOn w:val="8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7" w:customStyle="1">
    <w:name w:val="Bordered &amp; Lined - Accent 4"/>
    <w:basedOn w:val="8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8" w:customStyle="1">
    <w:name w:val="Bordered &amp; Lined - Accent 5"/>
    <w:basedOn w:val="8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9" w:customStyle="1">
    <w:name w:val="Bordered &amp; Lined - Accent 6"/>
    <w:basedOn w:val="8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20" w:customStyle="1">
    <w:name w:val="Bordered"/>
    <w:basedOn w:val="8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1" w:customStyle="1">
    <w:name w:val="Bordered - Accent 1"/>
    <w:basedOn w:val="8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22" w:customStyle="1">
    <w:name w:val="Bordered - Accent 2"/>
    <w:basedOn w:val="8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23" w:customStyle="1">
    <w:name w:val="Bordered - Accent 3"/>
    <w:basedOn w:val="8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24" w:customStyle="1">
    <w:name w:val="Bordered - Accent 4"/>
    <w:basedOn w:val="8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25" w:customStyle="1">
    <w:name w:val="Bordered - Accent 5"/>
    <w:basedOn w:val="8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26" w:customStyle="1">
    <w:name w:val="Bordered - Accent 6"/>
    <w:basedOn w:val="8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7" w:customStyle="1">
    <w:name w:val="脚注文本 字符"/>
    <w:link w:val="910"/>
    <w:uiPriority w:val="99"/>
    <w:qFormat/>
    <w:rPr>
      <w:sz w:val="18"/>
    </w:rPr>
  </w:style>
  <w:style w:type="character" w:styleId="1128" w:customStyle="1">
    <w:name w:val="尾注文本 字符"/>
    <w:link w:val="903"/>
    <w:uiPriority w:val="99"/>
    <w:qFormat/>
    <w:rPr>
      <w:sz w:val="20"/>
    </w:rPr>
  </w:style>
  <w:style w:type="paragraph" w:styleId="1129"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130" w:customStyle="1">
    <w:name w:val="正文文本缩进1"/>
    <w:basedOn w:val="958"/>
    <w:next w:val="1131"/>
    <w:uiPriority w:val="0"/>
    <w:qFormat/>
    <w:pPr>
      <w:ind w:left="420"/>
      <w:spacing w:after="120"/>
    </w:pPr>
  </w:style>
  <w:style w:type="paragraph" w:styleId="1131" w:customStyle="1">
    <w:name w:val="寄信人地址1"/>
    <w:basedOn w:val="877"/>
    <w:uiPriority w:val="0"/>
    <w:qFormat/>
    <w:rPr>
      <w:rFonts w:ascii="Arial" w:hAnsi="Arial"/>
    </w:rPr>
  </w:style>
  <w:style w:type="paragraph" w:styleId="1132" w:customStyle="1">
    <w:name w:val="彩色列表 - 着色 11"/>
    <w:basedOn w:val="877"/>
    <w:uiPriority w:val="0"/>
    <w:qFormat/>
    <w:pPr>
      <w:ind w:firstLine="420"/>
    </w:pPr>
    <w:rPr>
      <w:rFonts w:ascii="Times New Roman" w:hAnsi="Times New Roman"/>
      <w:sz w:val="20"/>
    </w:rPr>
  </w:style>
  <w:style w:type="paragraph" w:styleId="1133" w:customStyle="1">
    <w:name w:val="普通(网站)1"/>
    <w:basedOn w:val="877"/>
    <w:uiPriority w:val="99"/>
    <w:qFormat/>
    <w:pPr>
      <w:jc w:val="left"/>
      <w:spacing w:before="100" w:beforeAutospacing="1" w:after="100" w:afterAutospacing="1"/>
      <w:widowControl/>
    </w:pPr>
    <w:rPr>
      <w:rFonts w:ascii="宋体" w:hAnsi="宋体" w:cs="宋体"/>
      <w:sz w:val="24"/>
    </w:rPr>
  </w:style>
  <w:style w:type="paragraph" w:styleId="1134" w:customStyle="1">
    <w:name w:val="纯文本1"/>
    <w:basedOn w:val="877"/>
    <w:uiPriority w:val="0"/>
    <w:qFormat/>
    <w:rPr>
      <w:rFonts w:ascii="宋体" w:hAnsi="Courier New"/>
      <w:szCs w:val="21"/>
    </w:rPr>
  </w:style>
  <w:style w:type="paragraph" w:styleId="113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_Style 2"/>
    <w:basedOn w:val="1137"/>
    <w:next w:val="877"/>
    <w:uiPriority w:val="0"/>
    <w:qFormat/>
    <w:pPr>
      <w:jc w:val="both"/>
      <w:spacing w:line="576" w:lineRule="auto"/>
      <w:outlineLvl w:val="9"/>
    </w:pPr>
    <w:rPr>
      <w:rFonts w:ascii="Times New Roman" w:hAnsi="Times New Roman"/>
    </w:rPr>
  </w:style>
  <w:style w:type="paragraph" w:styleId="1137" w:customStyle="1">
    <w:name w:val="标题 11"/>
    <w:basedOn w:val="877"/>
    <w:next w:val="877"/>
    <w:uiPriority w:val="0"/>
    <w:qFormat/>
    <w:pPr>
      <w:jc w:val="center"/>
      <w:keepLines/>
      <w:keepNext/>
      <w:spacing w:before="340" w:after="330" w:line="578" w:lineRule="auto"/>
      <w:outlineLvl w:val="0"/>
    </w:pPr>
    <w:rPr>
      <w:b/>
      <w:bCs/>
      <w:sz w:val="44"/>
      <w:szCs w:val="44"/>
    </w:rPr>
  </w:style>
  <w:style w:type="paragraph" w:styleId="1138" w:customStyle="1">
    <w:name w:val="标题 31"/>
    <w:basedOn w:val="877"/>
    <w:next w:val="877"/>
    <w:uiPriority w:val="0"/>
    <w:qFormat/>
    <w:pPr>
      <w:keepLines/>
      <w:keepNext/>
      <w:spacing w:before="260" w:after="260" w:line="416" w:lineRule="auto"/>
      <w:outlineLvl w:val="2"/>
    </w:pPr>
    <w:rPr>
      <w:b/>
      <w:bCs/>
      <w:sz w:val="32"/>
      <w:szCs w:val="32"/>
    </w:rPr>
  </w:style>
  <w:style w:type="paragraph" w:styleId="1139" w:customStyle="1">
    <w:name w:val="标题 41"/>
    <w:basedOn w:val="877"/>
    <w:next w:val="877"/>
    <w:uiPriority w:val="0"/>
    <w:qFormat/>
    <w:pPr>
      <w:keepLines/>
      <w:keepNext/>
      <w:spacing w:before="280" w:after="290" w:line="372" w:lineRule="auto"/>
      <w:outlineLvl w:val="3"/>
    </w:pPr>
    <w:rPr>
      <w:rFonts w:ascii="Cambria" w:hAnsi="Cambria"/>
      <w:b/>
      <w:bCs/>
      <w:sz w:val="28"/>
      <w:szCs w:val="28"/>
    </w:rPr>
  </w:style>
  <w:style w:type="paragraph" w:styleId="1140" w:customStyle="1">
    <w:name w:val="文本块1"/>
    <w:basedOn w:val="927"/>
    <w:uiPriority w:val="6"/>
    <w:qFormat/>
    <w:pPr>
      <w:ind w:left="256" w:right="6" w:firstLine="624"/>
    </w:pPr>
    <w:rPr>
      <w:rFonts w:eastAsia="仿宋"/>
      <w:sz w:val="28"/>
      <w:szCs w:val="20"/>
    </w:rPr>
  </w:style>
  <w:style w:type="paragraph" w:styleId="1141" w:customStyle="1">
    <w:name w:val="页脚1"/>
    <w:basedOn w:val="877"/>
    <w:uiPriority w:val="0"/>
    <w:qFormat/>
    <w:pPr>
      <w:jc w:val="left"/>
      <w:tabs>
        <w:tab w:val="center" w:pos="4153" w:leader="none"/>
        <w:tab w:val="right" w:pos="8306" w:leader="none"/>
      </w:tabs>
    </w:pPr>
    <w:rPr>
      <w:sz w:val="18"/>
      <w:szCs w:val="18"/>
    </w:rPr>
  </w:style>
  <w:style w:type="paragraph" w:styleId="1142" w:customStyle="1">
    <w:name w:val="页眉1"/>
    <w:basedOn w:val="877"/>
    <w:uiPriority w:val="0"/>
    <w:qFormat/>
    <w:pPr>
      <w:jc w:val="center"/>
      <w:tabs>
        <w:tab w:val="center" w:pos="4153" w:leader="none"/>
        <w:tab w:val="right" w:pos="8306" w:leader="none"/>
      </w:tabs>
      <w:pBdr>
        <w:bottom w:val="single" w:color="000000" w:sz="6" w:space="1"/>
      </w:pBdr>
    </w:pPr>
    <w:rPr>
      <w:sz w:val="18"/>
      <w:szCs w:val="18"/>
    </w:rPr>
  </w:style>
  <w:style w:type="character" w:styleId="1143" w:customStyle="1">
    <w:name w:val="页码1"/>
    <w:basedOn w:val="1144"/>
    <w:uiPriority w:val="0"/>
    <w:qFormat/>
    <w:rPr>
      <w:rFonts w:hint="default" w:ascii="Calibri" w:hAnsi="Calibri" w:eastAsia="宋体" w:cs="Times New Roman"/>
      <w:sz w:val="21"/>
      <w:szCs w:val="24"/>
      <w:lang w:val="en-US" w:eastAsia="zh-CN" w:bidi="ar-SA"/>
    </w:rPr>
  </w:style>
  <w:style w:type="character" w:styleId="1144" w:customStyle="1">
    <w:name w:val="默认段落字体1"/>
    <w:uiPriority w:val="0"/>
    <w:semiHidden/>
    <w:qFormat/>
  </w:style>
  <w:style w:type="character" w:styleId="1145" w:customStyle="1">
    <w:name w:val="NormalCharacter1"/>
    <w:uiPriority w:val="0"/>
    <w:semiHidden/>
    <w:qFormat/>
    <w:rPr>
      <w:sz w:val="21"/>
      <w:szCs w:val="24"/>
      <w:lang w:val="en-US" w:eastAsia="zh-CN" w:bidi="ar-SA"/>
    </w:rPr>
  </w:style>
  <w:style w:type="paragraph" w:styleId="1146" w:customStyle="1">
    <w:name w:val="Blockquote"/>
    <w:basedOn w:val="877"/>
    <w:uiPriority w:val="0"/>
    <w:qFormat/>
    <w:pPr>
      <w:ind w:left="764" w:right="567"/>
      <w:jc w:val="left"/>
      <w:spacing w:before="100" w:after="100"/>
    </w:pPr>
    <w:rPr>
      <w:rFonts w:ascii="Times New Roman" w:hAnsi="Times New Roman"/>
      <w:sz w:val="24"/>
      <w:szCs w:val="20"/>
    </w:rPr>
  </w:style>
  <w:style w:type="character" w:styleId="1147" w:customStyle="1">
    <w:name w:val="正文文本 字符"/>
    <w:link w:val="889"/>
    <w:uiPriority w:val="0"/>
    <w:qFormat/>
  </w:style>
  <w:style w:type="character" w:styleId="1148" w:customStyle="1">
    <w:name w:val="正文文本 字符1"/>
    <w:basedOn w:val="887"/>
    <w:uiPriority w:val="99"/>
    <w:semiHidden/>
    <w:qFormat/>
    <w:rPr>
      <w:rFonts w:ascii="Calibri" w:hAnsi="Calibri"/>
      <w:sz w:val="21"/>
      <w:szCs w:val="24"/>
    </w:rPr>
  </w:style>
  <w:style w:type="character" w:styleId="1149" w:customStyle="1">
    <w:name w:val="批注框文本 字符"/>
    <w:basedOn w:val="887"/>
    <w:link w:val="904"/>
    <w:uiPriority w:val="99"/>
    <w:semiHidden/>
    <w:qFormat/>
    <w:rPr>
      <w:rFonts w:ascii="Calibri" w:hAnsi="Calibri"/>
      <w:sz w:val="18"/>
      <w:szCs w:val="18"/>
    </w:rPr>
  </w:style>
  <w:style w:type="character" w:styleId="1150" w:customStyle="1">
    <w:name w:val="批注文字 字符"/>
    <w:basedOn w:val="887"/>
    <w:link w:val="895"/>
    <w:uiPriority w:val="99"/>
    <w:semiHidden/>
    <w:qFormat/>
    <w:rPr>
      <w:sz w:val="21"/>
      <w:szCs w:val="24"/>
    </w:rPr>
  </w:style>
  <w:style w:type="character" w:styleId="1151" w:customStyle="1">
    <w:name w:val="批注主题 字符"/>
    <w:basedOn w:val="1150"/>
    <w:link w:val="917"/>
    <w:uiPriority w:val="99"/>
    <w:semiHidden/>
    <w:qFormat/>
    <w:rPr>
      <w:b/>
      <w:bCs/>
      <w:sz w:val="21"/>
      <w:szCs w:val="24"/>
    </w:rPr>
  </w:style>
  <w:style w:type="paragraph" w:styleId="1152" w:customStyle="1">
    <w:name w:val="寄信人地址11"/>
    <w:basedOn w:val="877"/>
    <w:uiPriority w:val="0"/>
    <w:qFormat/>
    <w:rPr>
      <w:rFonts w:ascii="Arial" w:hAnsi="Arial"/>
    </w:rPr>
  </w:style>
  <w:style w:type="character" w:styleId="1153" w:customStyle="1">
    <w:name w:val="NormalCharacter"/>
    <w:uiPriority w:val="0"/>
    <w:semiHidden/>
    <w:qFormat/>
  </w:style>
  <w:style w:type="paragraph" w:styleId="1154"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155" w:customStyle="1">
    <w:name w:val="PlainText"/>
    <w:basedOn w:val="877"/>
    <w:uiPriority w:val="0"/>
    <w:qFormat/>
    <w:rPr>
      <w:rFonts w:ascii="宋体" w:hAnsi="Courier New"/>
      <w:sz w:val="20"/>
      <w:szCs w:val="21"/>
    </w:rPr>
  </w:style>
  <w:style w:type="paragraph" w:styleId="1156" w:customStyle="1">
    <w:name w:val="索引 5111"/>
    <w:basedOn w:val="877"/>
    <w:next w:val="877"/>
    <w:uiPriority w:val="0"/>
    <w:qFormat/>
    <w:pPr>
      <w:ind w:left="798"/>
      <w:jc w:val="left"/>
    </w:pPr>
    <w:rPr>
      <w:rFonts w:ascii="Calibri" w:hAnsi="Calibri"/>
    </w:rPr>
  </w:style>
  <w:style w:type="paragraph" w:styleId="1157" w:customStyle="1">
    <w:name w:val="正文13"/>
    <w:next w:val="951"/>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中瑞事业一部</cp:lastModifiedBy>
  <cp:revision>24</cp:revision>
  <dcterms:created xsi:type="dcterms:W3CDTF">2025-06-19T08:51:00Z</dcterms:created>
  <dcterms:modified xsi:type="dcterms:W3CDTF">2026-10-29T01:49:23Z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B4D2D1F095A94523A26218919AC6F31A_13</vt:lpwstr>
  </property>
  <property fmtid="{D5CDD505-2E9C-101B-9397-08002B2CF9AE}" pid="4" name="KSOTemplateDocerSaveRecord">
    <vt:lpwstr>eyJoZGlkIjoiNDEzOGYyYzU3YjMzOGU4OTg4ODMwZTU1OTczMDNhNTIiLCJ1c2VySWQiOiI3MjMzOTkxMjUifQ==</vt:lpwstr>
  </property>
</Properties>
</file>