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编号：</w:t>
      </w:r>
      <w:r>
        <w:rPr>
          <w:rFonts w:hint="eastAsia" w:ascii="宋体" w:hAnsi="宋体" w:cs="宋体"/>
          <w:b/>
          <w:bCs/>
          <w:color w:val="auto"/>
          <w:sz w:val="28"/>
          <w:szCs w:val="28"/>
          <w:lang w:eastAsia="zh-CN"/>
        </w:rPr>
        <w:t xml:space="preserve">JSZC-321000-YZCC-G2026-0005</w:t>
      </w:r>
      <w:r>
        <w:rPr>
          <w:rFonts w:hint="eastAsia" w:ascii="宋体" w:hAnsi="宋体" w:eastAsia="宋体" w:cs="宋体"/>
          <w:b/>
          <w:bCs/>
          <w:color w:val="auto"/>
          <w:sz w:val="28"/>
          <w:szCs w:val="28"/>
          <w:lang w:eastAsia="zh-CN"/>
        </w:rPr>
        <w:t xml:space="preserve">号</w:t>
      </w:r>
      <w:r/>
    </w:p>
    <w:p>
      <w:pPr>
        <w:jc w:val="center"/>
        <w:rPr>
          <w:rFonts w:hint="eastAsia" w:ascii="宋体" w:hAnsi="宋体" w:eastAsia="宋体" w:cs="宋体"/>
          <w:b/>
          <w:bCs/>
          <w:color w:val="auto"/>
          <w:sz w:val="36"/>
        </w:rPr>
      </w:pPr>
      <w:r>
        <w:rPr>
          <w:rFonts w:hint="eastAsia" w:ascii="宋体" w:hAnsi="宋体" w:eastAsia="宋体" w:cs="宋体"/>
          <w:b/>
          <w:bCs/>
          <w:color w:val="auto"/>
          <w:sz w:val="36"/>
        </w:rPr>
      </w:r>
      <w:r/>
    </w:p>
    <w:p>
      <w:pPr>
        <w:jc w:val="center"/>
        <w:spacing w:line="560" w:lineRule="exact"/>
        <w:rPr>
          <w:rFonts w:hint="eastAsia" w:ascii="宋体" w:hAnsi="宋体" w:eastAsia="宋体" w:cs="宋体"/>
          <w:b/>
          <w:bCs/>
          <w:color w:val="auto"/>
          <w:sz w:val="40"/>
          <w:szCs w:val="24"/>
        </w:rPr>
      </w:pPr>
      <w:r>
        <w:rPr>
          <w:rFonts w:hint="eastAsia" w:ascii="宋体" w:hAnsi="宋体" w:eastAsia="宋体" w:cs="宋体"/>
          <w:b/>
          <w:bCs/>
          <w:color w:val="auto"/>
          <w:sz w:val="40"/>
          <w:szCs w:val="24"/>
        </w:rPr>
      </w:r>
      <w:r/>
    </w:p>
    <w:p>
      <w:pPr>
        <w:jc w:val="center"/>
        <w:spacing w:line="560" w:lineRule="exact"/>
        <w:rPr>
          <w:rFonts w:hint="eastAsia" w:ascii="宋体" w:hAnsi="宋体" w:eastAsia="宋体" w:cs="宋体"/>
          <w:b/>
          <w:bCs/>
          <w:color w:val="auto"/>
          <w:sz w:val="40"/>
          <w:szCs w:val="24"/>
          <w:lang w:eastAsia="zh-CN"/>
        </w:rPr>
      </w:pPr>
      <w:r>
        <w:rPr>
          <w:rFonts w:hint="eastAsia" w:ascii="宋体" w:hAnsi="宋体" w:cs="宋体"/>
          <w:b/>
          <w:bCs/>
          <w:color w:val="auto"/>
          <w:sz w:val="40"/>
          <w:szCs w:val="24"/>
          <w:lang w:eastAsia="zh-CN"/>
        </w:rPr>
        <w:t xml:space="preserve">扬州市应急管理局2026年信息化运维项目</w:t>
      </w:r>
      <w:r/>
    </w:p>
    <w:p>
      <w:pPr>
        <w:jc w:val="center"/>
        <w:spacing w:line="560" w:lineRule="exact"/>
        <w:rPr>
          <w:rFonts w:hint="eastAsia" w:ascii="宋体" w:hAnsi="宋体" w:eastAsia="宋体" w:cs="宋体"/>
          <w:b/>
          <w:bCs/>
          <w:color w:val="auto"/>
          <w:sz w:val="40"/>
          <w:szCs w:val="24"/>
        </w:rPr>
      </w:pPr>
      <w:r>
        <w:rPr>
          <w:rFonts w:hint="eastAsia" w:ascii="宋体" w:hAnsi="宋体" w:eastAsia="宋体" w:cs="宋体"/>
          <w:b/>
          <w:bCs/>
          <w:color w:val="auto"/>
          <w:sz w:val="40"/>
          <w:szCs w:val="24"/>
        </w:rPr>
        <w:t xml:space="preserve">公开招标文件</w:t>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6"/>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5356860" cy="3995420"/>
                <wp:effectExtent l="0" t="0" r="1524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356860" cy="3995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1.8pt;height:314.6pt;mso-wrap-distance-left:0.0pt;mso-wrap-distance-top:0.0pt;mso-wrap-distance-right:0.0pt;mso-wrap-distance-bottom:0.0pt;" stroked="f">
                <v:path textboxrect="0,0,0,0"/>
                <v:imagedata r:id="rId14" o:title=""/>
              </v:shape>
            </w:pict>
          </mc:Fallback>
        </mc:AlternateContent>
      </w:r>
      <w:r/>
    </w:p>
    <w:p>
      <w:pPr>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36"/>
        </w:rPr>
      </w:pPr>
      <w:r>
        <w:rPr>
          <w:rFonts w:hint="eastAsia" w:ascii="宋体" w:hAnsi="宋体" w:eastAsia="宋体" w:cs="宋体"/>
          <w:b/>
          <w:bCs/>
          <w:color w:val="auto"/>
          <w:sz w:val="36"/>
        </w:rPr>
      </w:r>
      <w:r/>
    </w:p>
    <w:p>
      <w:pPr>
        <w:jc w:val="center"/>
        <w:spacing w:line="360" w:lineRule="auto"/>
        <w:rPr>
          <w:rFonts w:hint="eastAsia" w:ascii="宋体" w:hAnsi="宋体" w:eastAsia="宋体" w:cs="宋体"/>
          <w:b/>
          <w:bCs/>
          <w:color w:val="auto"/>
          <w:sz w:val="36"/>
        </w:rPr>
      </w:pPr>
      <w:r>
        <w:rPr>
          <w:rFonts w:hint="eastAsia" w:ascii="宋体" w:hAnsi="宋体" w:eastAsia="宋体" w:cs="宋体"/>
          <w:b/>
          <w:bCs/>
          <w:color w:val="auto"/>
          <w:sz w:val="36"/>
        </w:rPr>
      </w:r>
      <w:r/>
    </w:p>
    <w:p>
      <w:pPr>
        <w:ind w:right="120" w:firstLine="1285"/>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    购   人：</w:t>
      </w:r>
      <w:r>
        <w:rPr>
          <w:rFonts w:hint="eastAsia" w:ascii="宋体" w:hAnsi="宋体" w:eastAsia="宋体" w:cs="宋体"/>
          <w:b/>
          <w:bCs/>
          <w:color w:val="auto"/>
          <w:sz w:val="32"/>
          <w:szCs w:val="32"/>
          <w:highlight w:val="none"/>
          <w:lang w:eastAsia="zh-CN"/>
        </w:rPr>
        <w:t xml:space="preserve">扬州市应急管理局</w:t>
      </w:r>
      <w:r/>
    </w:p>
    <w:p>
      <w:pPr>
        <w:ind w:firstLine="1285"/>
        <w:jc w:val="both"/>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rPr>
        <w:t xml:space="preserve">江苏辰诚工程咨询有限公司</w:t>
      </w:r>
      <w:r/>
    </w:p>
    <w:p>
      <w:pPr>
        <w:ind w:firstLine="1285"/>
        <w:jc w:val="both"/>
        <w:spacing w:line="360" w:lineRule="auto"/>
        <w:rPr>
          <w:rFonts w:hint="eastAsia" w:ascii="宋体" w:hAnsi="宋体" w:eastAsia="宋体" w:cs="宋体"/>
          <w:color w:val="auto"/>
          <w:sz w:val="32"/>
          <w:szCs w:val="32"/>
          <w:lang w:eastAsia="zh-CN"/>
        </w:rPr>
      </w:pPr>
      <w:r>
        <w:rPr>
          <w:rFonts w:hint="eastAsia" w:ascii="宋体" w:hAnsi="宋体" w:eastAsia="宋体" w:cs="宋体"/>
          <w:b/>
          <w:bCs/>
          <w:color w:val="auto"/>
          <w:sz w:val="32"/>
          <w:szCs w:val="32"/>
          <w:lang w:val="en-US" w:eastAsia="zh-CN"/>
        </w:rPr>
        <w:t xml:space="preserve">发布时间：</w:t>
      </w:r>
      <w:r>
        <w:rPr>
          <w:rFonts w:hint="eastAsia" w:ascii="宋体" w:hAnsi="宋体" w:eastAsia="宋体" w:cs="宋体"/>
          <w:b/>
          <w:bCs/>
          <w:color w:val="auto"/>
          <w:sz w:val="32"/>
          <w:szCs w:val="32"/>
          <w:lang w:eastAsia="zh-CN"/>
        </w:rPr>
        <w:t xml:space="preserve">2026年</w:t>
      </w:r>
      <w:r>
        <w:rPr>
          <w:rFonts w:hint="eastAsia" w:ascii="宋体" w:hAnsi="宋体" w:cs="宋体"/>
          <w:b/>
          <w:bCs/>
          <w:color w:val="auto"/>
          <w:sz w:val="32"/>
          <w:szCs w:val="32"/>
          <w:lang w:val="en-US" w:eastAsia="zh-CN"/>
        </w:rPr>
        <w:t xml:space="preserve">10</w:t>
      </w:r>
      <w:r>
        <w:rPr>
          <w:rFonts w:hint="eastAsia" w:ascii="宋体" w:hAnsi="宋体" w:eastAsia="宋体" w:cs="宋体"/>
          <w:b/>
          <w:bCs/>
          <w:color w:val="auto"/>
          <w:sz w:val="32"/>
          <w:szCs w:val="32"/>
          <w:lang w:eastAsia="zh-CN"/>
        </w:rPr>
        <w:t xml:space="preserve">月</w:t>
      </w:r>
      <w:r>
        <w:rPr>
          <w:rFonts w:hint="eastAsia" w:ascii="宋体" w:hAnsi="宋体" w:cs="宋体"/>
          <w:b/>
          <w:bCs/>
          <w:color w:val="auto"/>
          <w:sz w:val="32"/>
          <w:szCs w:val="32"/>
          <w:lang w:val="en-US" w:eastAsia="zh-CN"/>
        </w:rPr>
        <w:t xml:space="preserve">9</w:t>
      </w:r>
      <w:r>
        <w:rPr>
          <w:rFonts w:hint="eastAsia" w:ascii="宋体" w:hAnsi="宋体" w:eastAsia="宋体" w:cs="宋体"/>
          <w:b/>
          <w:bCs/>
          <w:color w:val="auto"/>
          <w:sz w:val="32"/>
          <w:szCs w:val="32"/>
          <w:lang w:eastAsia="zh-CN"/>
        </w:rPr>
        <w:t xml:space="preserve">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2"/>
        </w:rPr>
        <w:sectPr>
          <w:headerReference w:type="default" r:id="rId8"/>
          <w:footerReference w:type="default" r:id="rId11"/>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color w:val="auto"/>
          <w:sz w:val="32"/>
        </w:rPr>
      </w:r>
      <w:r/>
    </w:p>
    <w:p>
      <w:pPr>
        <w:jc w:val="center"/>
        <w:spacing w:line="480" w:lineRule="auto"/>
        <w:rPr>
          <w:rFonts w:hint="eastAsia" w:ascii="宋体" w:hAnsi="宋体" w:eastAsia="宋体" w:cs="宋体"/>
          <w:b/>
          <w:bCs/>
          <w:color w:val="auto"/>
          <w:sz w:val="32"/>
        </w:rPr>
      </w:pPr>
      <w:r>
        <w:rPr>
          <w:rFonts w:hint="eastAsia" w:ascii="宋体" w:hAnsi="宋体" w:eastAsia="宋体" w:cs="宋体"/>
          <w:b/>
          <w:bCs/>
          <w:color w:val="auto"/>
          <w:sz w:val="32"/>
        </w:rPr>
        <w:t xml:space="preserve">目 录</w:t>
      </w:r>
      <w:r/>
    </w:p>
    <w:p>
      <w:pPr>
        <w:pStyle w:val="697"/>
        <w:spacing w:after="0" w:line="48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"1-3" \f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第一章 采购公告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_Toc1443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fldChar w:fldCharType="end"/>
      </w:r>
      <w:r/>
    </w:p>
    <w:p>
      <w:pPr>
        <w:pStyle w:val="697"/>
        <w:spacing w:after="0" w:line="48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投标人须知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_Toc9486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fldChar w:fldCharType="end"/>
      </w:r>
      <w:r/>
    </w:p>
    <w:p>
      <w:pPr>
        <w:pStyle w:val="697"/>
        <w:spacing w:after="0" w:line="48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 合同条款及格式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_Toc29369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fldChar w:fldCharType="end"/>
      </w:r>
      <w:r/>
    </w:p>
    <w:p>
      <w:pPr>
        <w:pStyle w:val="697"/>
        <w:spacing w:after="0" w:line="48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 项目需求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_Toc23844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fldChar w:fldCharType="end"/>
      </w:r>
      <w:r/>
    </w:p>
    <w:p>
      <w:pPr>
        <w:pStyle w:val="697"/>
        <w:spacing w:after="0" w:line="48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 评标方法及评标标准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_Toc24742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fldChar w:fldCharType="end"/>
      </w:r>
      <w:r/>
    </w:p>
    <w:p>
      <w:pPr>
        <w:pStyle w:val="697"/>
        <w:spacing w:after="0" w:line="48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投标文件格式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_Toc32516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33</w:t>
      </w:r>
      <w:r>
        <w:rPr>
          <w:rFonts w:hint="eastAsia" w:ascii="宋体" w:hAnsi="宋体" w:eastAsia="宋体" w:cs="宋体"/>
          <w:color w:val="auto"/>
          <w:sz w:val="24"/>
          <w:szCs w:val="24"/>
        </w:rPr>
        <w:fldChar w:fldCharType="end"/>
      </w:r>
      <w:r/>
    </w:p>
    <w:p>
      <w:p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end"/>
      </w:r>
      <w:r/>
    </w:p>
    <w:p>
      <w:pPr>
        <w:rPr>
          <w:rFonts w:hint="eastAsia" w:ascii="宋体" w:hAnsi="宋体" w:eastAsia="宋体" w:cs="宋体"/>
          <w:color w:val="auto"/>
        </w:rPr>
      </w:pPr>
      <w:r>
        <w:rPr>
          <w:rFonts w:hint="eastAsia" w:ascii="宋体" w:hAnsi="宋体" w:eastAsia="宋体" w:cs="宋体"/>
          <w:color w:val="auto"/>
          <w:sz w:val="28"/>
        </w:rPr>
        <w:br w:type="page" w:clear="all"/>
      </w:r>
      <w:bookmarkStart w:id="77" w:name="_GoBack"/>
      <w:r/>
      <w:bookmarkEnd w:id="77"/>
      <w:r/>
      <w:r/>
    </w:p>
    <w:p>
      <w:pPr>
        <w:pStyle w:val="887"/>
        <w:jc w:val="center"/>
        <w:spacing w:before="0" w:after="0" w:line="440" w:lineRule="exact"/>
        <w:rPr>
          <w:rFonts w:hint="eastAsia" w:ascii="宋体" w:hAnsi="宋体" w:eastAsia="宋体" w:cs="宋体"/>
          <w:color w:val="auto"/>
          <w:sz w:val="36"/>
          <w:szCs w:val="36"/>
          <w:lang w:eastAsia="zh-CN"/>
        </w:rPr>
      </w:pPr>
      <w:r/>
      <w:bookmarkStart w:id="0" w:name="_Toc55204177"/>
      <w:r/>
      <w:bookmarkStart w:id="1" w:name="_Toc1443"/>
      <w:r>
        <w:rPr>
          <w:rFonts w:hint="eastAsia" w:ascii="宋体" w:hAnsi="宋体" w:eastAsia="宋体" w:cs="宋体"/>
          <w:color w:val="auto"/>
          <w:sz w:val="36"/>
          <w:szCs w:val="36"/>
        </w:rPr>
        <w:t xml:space="preserve">第一章 </w:t>
      </w:r>
      <w:r>
        <w:rPr>
          <w:rFonts w:hint="eastAsia" w:ascii="宋体" w:hAnsi="宋体" w:cs="宋体"/>
          <w:color w:val="auto"/>
          <w:sz w:val="36"/>
          <w:szCs w:val="36"/>
          <w:lang w:eastAsia="zh-CN"/>
        </w:rPr>
        <w:t xml:space="preserve">扬州市应急管理局2026年信息化运维项目</w:t>
      </w:r>
      <w:r/>
    </w:p>
    <w:p>
      <w:pPr>
        <w:jc w:val="center"/>
        <w:spacing w:line="44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lang w:val="en-US" w:eastAsia="zh-CN"/>
        </w:rPr>
        <w:t xml:space="preserve">招标</w:t>
      </w:r>
      <w:r>
        <w:rPr>
          <w:rFonts w:hint="eastAsia" w:ascii="宋体" w:hAnsi="宋体" w:eastAsia="宋体" w:cs="宋体"/>
          <w:b/>
          <w:bCs/>
          <w:color w:val="auto"/>
          <w:sz w:val="36"/>
          <w:szCs w:val="36"/>
        </w:rPr>
        <w:t xml:space="preserve">公告</w:t>
      </w:r>
      <w:bookmarkEnd w:id="0"/>
      <w:r/>
      <w:bookmarkEnd w:id="1"/>
      <w:r/>
      <w:r/>
    </w:p>
    <w:p>
      <w:pPr>
        <w:spacing w:line="440" w:lineRule="exact"/>
        <w:rPr>
          <w:rFonts w:hint="eastAsia" w:ascii="宋体" w:hAnsi="宋体" w:eastAsia="宋体" w:cs="宋体"/>
          <w:b/>
          <w:bCs/>
          <w:color w:va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rPr>
        <w:t xml:space="preserve">项目概况</w:t>
      </w:r>
      <w:r/>
    </w:p>
    <w:p>
      <w:pPr>
        <w:ind w:firstLine="420"/>
        <w:spacing w:line="440" w:lineRule="exact"/>
        <w:rPr>
          <w:rFonts w:hint="eastAsia" w:ascii="宋体" w:hAnsi="宋体" w:eastAsia="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u w:val="single"/>
          <w:lang w:eastAsia="zh-CN"/>
        </w:rPr>
        <w:t xml:space="preserve">扬州市应急管理局2026年信息化运维项目</w:t>
      </w:r>
      <w:r>
        <w:rPr>
          <w:rFonts w:hint="eastAsia" w:ascii="宋体" w:hAnsi="宋体" w:eastAsia="宋体" w:cs="宋体"/>
          <w:color w:val="auto"/>
        </w:rPr>
        <w:t xml:space="preserve">的潜在投标人可在</w:t>
      </w:r>
      <w:r>
        <w:rPr>
          <w:rFonts w:hint="eastAsia" w:ascii="宋体" w:hAnsi="宋体" w:cs="宋体"/>
          <w:color w:val="auto"/>
          <w:u w:val="single"/>
          <w:lang w:eastAsia="zh-CN"/>
        </w:rPr>
        <w:t xml:space="preserve">“中国政府采购网”、“江苏省政府采购网”、“扬州市政府采购网”</w:t>
      </w:r>
      <w:r>
        <w:rPr>
          <w:rFonts w:hint="eastAsia" w:ascii="宋体" w:hAnsi="宋体" w:eastAsia="宋体" w:cs="宋体"/>
          <w:color w:val="auto"/>
          <w:u w:val="none"/>
        </w:rPr>
        <w:t xml:space="preserve">自行免费下载</w:t>
      </w:r>
      <w:r>
        <w:rPr>
          <w:rFonts w:hint="eastAsia" w:ascii="宋体" w:hAnsi="宋体" w:eastAsia="宋体" w:cs="宋体"/>
          <w:color w:val="auto"/>
        </w:rPr>
        <w:t xml:space="preserve">招标文件，并于</w:t>
      </w:r>
      <w:r>
        <w:rPr>
          <w:rFonts w:hint="eastAsia" w:ascii="宋体" w:hAnsi="宋体" w:eastAsia="宋体" w:cs="宋体"/>
          <w:bCs/>
          <w:color w:val="auto"/>
          <w:u w:val="single"/>
        </w:rPr>
        <w:t xml:space="preserve">202</w:t>
      </w:r>
      <w:r>
        <w:rPr>
          <w:rFonts w:hint="eastAsia" w:ascii="宋体" w:hAnsi="宋体" w:eastAsia="宋体" w:cs="宋体"/>
          <w:bCs/>
          <w:color w:val="auto"/>
          <w:u w:val="single"/>
          <w:lang w:val="en-US" w:eastAsia="zh-CN"/>
        </w:rPr>
        <w:t xml:space="preserve">6</w:t>
      </w:r>
      <w:r>
        <w:rPr>
          <w:rFonts w:hint="eastAsia" w:ascii="宋体" w:hAnsi="宋体" w:eastAsia="宋体" w:cs="宋体"/>
          <w:bCs/>
          <w:color w:val="auto"/>
          <w:u w:val="single"/>
        </w:rPr>
        <w:t xml:space="preserve">年</w:t>
      </w:r>
      <w:r>
        <w:rPr>
          <w:rFonts w:hint="eastAsia" w:ascii="宋体" w:hAnsi="宋体" w:eastAsia="宋体" w:cs="宋体"/>
          <w:bCs/>
          <w:color w:val="auto"/>
          <w:u w:val="single"/>
          <w:lang w:val="en-US" w:eastAsia="zh-CN"/>
        </w:rPr>
        <w:t xml:space="preserve">10</w:t>
      </w:r>
      <w:r>
        <w:rPr>
          <w:rFonts w:hint="eastAsia" w:ascii="宋体" w:hAnsi="宋体" w:eastAsia="宋体" w:cs="宋体"/>
          <w:bCs/>
          <w:color w:val="auto"/>
          <w:u w:val="single"/>
        </w:rPr>
        <w:t xml:space="preserve">月</w:t>
      </w:r>
      <w:r>
        <w:rPr>
          <w:rFonts w:hint="eastAsia" w:ascii="宋体" w:hAnsi="宋体" w:cs="宋体"/>
          <w:bCs/>
          <w:color w:val="auto"/>
          <w:u w:val="single"/>
          <w:lang w:val="en-US" w:eastAsia="zh-CN"/>
        </w:rPr>
        <w:t xml:space="preserve">30</w:t>
      </w:r>
      <w:r>
        <w:rPr>
          <w:rFonts w:hint="eastAsia" w:ascii="宋体" w:hAnsi="宋体" w:eastAsia="宋体" w:cs="宋体"/>
          <w:bCs/>
          <w:color w:val="auto"/>
          <w:u w:val="single"/>
        </w:rPr>
        <w:t xml:space="preserve">日上午9</w:t>
      </w:r>
      <w:r>
        <w:rPr>
          <w:rFonts w:hint="eastAsia" w:ascii="宋体" w:hAnsi="宋体" w:eastAsia="宋体" w:cs="宋体"/>
          <w:bCs/>
          <w:color w:val="auto"/>
          <w:u w:val="single"/>
          <w:lang w:eastAsia="zh-CN"/>
        </w:rPr>
        <w:t xml:space="preserve">：</w:t>
      </w:r>
      <w:r>
        <w:rPr>
          <w:rFonts w:hint="eastAsia" w:ascii="宋体" w:hAnsi="宋体" w:eastAsia="宋体" w:cs="宋体"/>
          <w:bCs/>
          <w:color w:val="auto"/>
          <w:u w:val="single"/>
        </w:rPr>
        <w:t xml:space="preserve">30</w:t>
      </w:r>
      <w:r>
        <w:rPr>
          <w:rFonts w:hint="eastAsia" w:ascii="宋体" w:hAnsi="宋体" w:eastAsia="宋体" w:cs="宋体"/>
          <w:bCs/>
          <w:color w:val="auto"/>
        </w:rPr>
        <w:t xml:space="preserve">（北京时间）前递交投标文件</w:t>
      </w:r>
      <w:r>
        <w:rPr>
          <w:rFonts w:hint="eastAsia" w:ascii="宋体" w:hAnsi="宋体" w:eastAsia="宋体" w:cs="宋体"/>
          <w:color w:val="auto"/>
        </w:rPr>
        <w:t xml:space="preserve">。</w:t>
      </w:r>
      <w:r/>
    </w:p>
    <w:p>
      <w:pPr>
        <w:ind w:firstLine="422"/>
        <w:spacing w:line="440" w:lineRule="exact"/>
        <w:tabs>
          <w:tab w:val="left" w:pos="266" w:leader="none"/>
        </w:tabs>
        <w:rPr>
          <w:rFonts w:hint="eastAsia" w:ascii="宋体" w:hAnsi="宋体" w:eastAsia="宋体" w:cs="宋体"/>
          <w:b/>
          <w:bCs/>
          <w:color w:val="auto"/>
        </w:rPr>
      </w:pPr>
      <w:r/>
      <w:bookmarkStart w:id="2" w:name="_Toc35393621"/>
      <w:r/>
      <w:bookmarkStart w:id="3" w:name="_Toc38985263"/>
      <w:r/>
      <w:bookmarkStart w:id="4" w:name="_Toc28359002"/>
      <w:r/>
      <w:bookmarkStart w:id="5" w:name="_Toc28359079"/>
      <w:r/>
      <w:bookmarkStart w:id="6" w:name="_Toc35393790"/>
      <w:r/>
      <w:bookmarkStart w:id="7" w:name="_Hlk24379207"/>
      <w:r>
        <w:rPr>
          <w:rFonts w:hint="eastAsia" w:ascii="宋体" w:hAnsi="宋体" w:eastAsia="宋体" w:cs="宋体"/>
          <w:b/>
          <w:bCs/>
          <w:color w:val="auto"/>
        </w:rPr>
        <w:t xml:space="preserve">一、项目基本情况</w:t>
      </w:r>
      <w:bookmarkEnd w:id="2"/>
      <w:r/>
      <w:bookmarkEnd w:id="3"/>
      <w:r/>
      <w:bookmarkEnd w:id="4"/>
      <w:r/>
      <w:bookmarkEnd w:id="5"/>
      <w:r/>
      <w:bookmarkEnd w:id="6"/>
      <w:r/>
      <w:r/>
    </w:p>
    <w:p>
      <w:pPr>
        <w:ind w:firstLine="420"/>
        <w:spacing w:line="440" w:lineRule="exact"/>
        <w:rPr>
          <w:rFonts w:hint="eastAsia" w:ascii="宋体" w:hAnsi="宋体" w:eastAsia="宋体" w:cs="宋体"/>
          <w:color w:val="auto"/>
          <w:szCs w:val="21"/>
          <w:lang w:eastAsia="zh-CN"/>
        </w:rPr>
      </w:pPr>
      <w:r>
        <w:rPr>
          <w:rFonts w:hint="eastAsia" w:ascii="宋体" w:hAnsi="宋体" w:eastAsia="宋体" w:cs="宋体"/>
          <w:color w:val="auto"/>
        </w:rPr>
        <w:t xml:space="preserve">项目编号：</w:t>
      </w:r>
      <w:r>
        <w:rPr>
          <w:rFonts w:hint="eastAsia" w:ascii="宋体" w:hAnsi="宋体" w:cs="宋体"/>
          <w:color w:val="auto"/>
          <w:lang w:eastAsia="zh-CN"/>
        </w:rPr>
        <w:t xml:space="preserve">JSZC-321000-YZCC-G2026-0005</w:t>
      </w:r>
      <w:r>
        <w:rPr>
          <w:rFonts w:hint="eastAsia" w:ascii="宋体" w:hAnsi="宋体" w:eastAsia="宋体" w:cs="宋体"/>
          <w:color w:val="auto"/>
          <w:lang w:eastAsia="zh-CN"/>
        </w:rPr>
        <w:t xml:space="preserve">号</w:t>
      </w:r>
      <w:r>
        <w:rPr>
          <w:rFonts w:hint="eastAsia" w:ascii="宋体" w:hAnsi="宋体" w:cs="宋体"/>
          <w:color w:val="auto"/>
          <w:lang w:eastAsia="zh-CN"/>
        </w:rPr>
        <w:t xml:space="preserve">；</w:t>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rPr>
        <w:t xml:space="preserve">项目名称：</w:t>
      </w:r>
      <w:bookmarkEnd w:id="7"/>
      <w:r>
        <w:rPr>
          <w:rFonts w:hint="eastAsia" w:ascii="宋体" w:hAnsi="宋体" w:cs="宋体"/>
          <w:color w:val="auto"/>
          <w:lang w:eastAsia="zh-CN"/>
        </w:rPr>
        <w:t xml:space="preserve">扬州市应急管理局2026年信息化运维项目；</w:t>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rPr>
        <w:t xml:space="preserve">预算金额：</w:t>
      </w:r>
      <w:r>
        <w:rPr>
          <w:rFonts w:hint="eastAsia" w:ascii="宋体" w:hAnsi="宋体" w:eastAsia="宋体" w:cs="宋体"/>
          <w:color w:val="auto"/>
          <w:lang w:eastAsia="zh-CN"/>
        </w:rPr>
        <w:t xml:space="preserve">178.74万元</w:t>
      </w:r>
      <w:r>
        <w:rPr>
          <w:rFonts w:hint="eastAsia" w:ascii="宋体" w:hAnsi="宋体" w:cs="宋体"/>
          <w:color w:val="auto"/>
          <w:lang w:eastAsia="zh-CN"/>
        </w:rPr>
        <w:t xml:space="preserve">；</w:t>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rPr>
        <w:t xml:space="preserve">最高限价（如有）：</w:t>
      </w:r>
      <w:r>
        <w:rPr>
          <w:rFonts w:hint="eastAsia" w:ascii="宋体" w:hAnsi="宋体" w:eastAsia="宋体" w:cs="宋体"/>
          <w:color w:val="auto"/>
          <w:lang w:eastAsia="zh-CN"/>
        </w:rPr>
        <w:t xml:space="preserve">178.74万元，</w:t>
      </w:r>
      <w:r>
        <w:rPr>
          <w:rFonts w:hint="eastAsia" w:ascii="宋体" w:hAnsi="宋体" w:eastAsia="宋体" w:cs="宋体"/>
          <w:color w:val="auto"/>
          <w:szCs w:val="21"/>
          <w:highlight w:val="none"/>
          <w:lang w:val="zh-CN"/>
        </w:rPr>
        <w:t xml:space="preserve">报价超过最高限价的为无效报价，按照无效响应处理</w:t>
      </w:r>
      <w:r>
        <w:rPr>
          <w:rFonts w:hint="eastAsia" w:ascii="宋体" w:hAnsi="宋体" w:cs="宋体"/>
          <w:color w:val="auto"/>
          <w:szCs w:val="21"/>
          <w:highlight w:val="none"/>
          <w:lang w:val="zh-CN"/>
        </w:rPr>
        <w:t xml:space="preserve">；</w:t>
      </w:r>
      <w:r/>
    </w:p>
    <w:p>
      <w:pPr>
        <w:pStyle w:val="768"/>
        <w:ind w:firstLine="420"/>
        <w:spacing w:line="440" w:lineRule="exact"/>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采购需求：1.应急管理信息化项目相关软件运维</w:t>
      </w:r>
      <w:r>
        <w:rPr>
          <w:rFonts w:hint="eastAsia" w:ascii="宋体" w:hAnsi="宋体" w:cs="宋体"/>
          <w:color w:val="auto"/>
          <w:sz w:val="21"/>
          <w:szCs w:val="22"/>
          <w:lang w:val="en-US" w:eastAsia="zh-CN" w:bidi="ar-SA"/>
        </w:rPr>
        <w:t xml:space="preserve">；</w:t>
      </w:r>
      <w:r>
        <w:rPr>
          <w:rFonts w:hint="eastAsia" w:ascii="宋体" w:hAnsi="宋体" w:eastAsia="宋体" w:cs="宋体"/>
          <w:color w:val="auto"/>
          <w:sz w:val="21"/>
          <w:szCs w:val="22"/>
          <w:lang w:val="en-US" w:eastAsia="zh-CN" w:bidi="ar-SA"/>
        </w:rPr>
        <w:t xml:space="preserve">2.应急管理信息化项目相关硬件运维</w:t>
      </w:r>
      <w:r>
        <w:rPr>
          <w:rFonts w:hint="eastAsia" w:ascii="宋体" w:hAnsi="宋体" w:cs="宋体"/>
          <w:color w:val="auto"/>
          <w:sz w:val="21"/>
          <w:szCs w:val="22"/>
          <w:lang w:val="en-US" w:eastAsia="zh-CN" w:bidi="ar-SA"/>
        </w:rPr>
        <w:t xml:space="preserve">；</w:t>
      </w:r>
      <w:r>
        <w:rPr>
          <w:rFonts w:hint="eastAsia" w:ascii="宋体" w:hAnsi="宋体" w:eastAsia="宋体" w:cs="宋体"/>
          <w:color w:val="auto"/>
          <w:sz w:val="21"/>
          <w:szCs w:val="22"/>
          <w:lang w:val="en-US" w:eastAsia="zh-CN" w:bidi="ar-SA"/>
        </w:rPr>
        <w:t xml:space="preserve">3.应急通信保障装备运维及相关通信服务费</w:t>
      </w:r>
      <w:r>
        <w:rPr>
          <w:rFonts w:hint="eastAsia" w:ascii="宋体" w:hAnsi="宋体" w:cs="宋体"/>
          <w:color w:val="auto"/>
          <w:sz w:val="21"/>
          <w:szCs w:val="22"/>
          <w:lang w:val="en-US" w:eastAsia="zh-CN" w:bidi="ar-SA"/>
        </w:rPr>
        <w:t xml:space="preserve">；</w:t>
      </w:r>
      <w:r>
        <w:rPr>
          <w:rFonts w:hint="eastAsia" w:ascii="宋体" w:hAnsi="宋体" w:eastAsia="宋体" w:cs="宋体"/>
          <w:color w:val="auto"/>
          <w:sz w:val="21"/>
          <w:szCs w:val="22"/>
          <w:lang w:val="en-US" w:eastAsia="zh-CN" w:bidi="ar-SA"/>
        </w:rPr>
        <w:t xml:space="preserve">4.7*24小时人员驻场服务；5.网络安全技术支持及服务；6.市局其他信息化相关运维工作。</w:t>
      </w:r>
      <w:r>
        <w:rPr>
          <w:rFonts w:hint="eastAsia" w:ascii="宋体" w:hAnsi="宋体" w:cs="宋体"/>
          <w:color w:val="auto"/>
          <w:sz w:val="21"/>
          <w:szCs w:val="22"/>
          <w:lang w:val="en-US" w:eastAsia="zh-CN" w:bidi="ar-SA"/>
        </w:rPr>
        <w:t xml:space="preserve">具体内容</w:t>
      </w:r>
      <w:r>
        <w:rPr>
          <w:rFonts w:hint="eastAsia" w:ascii="宋体" w:hAnsi="宋体" w:eastAsia="宋体" w:cs="宋体"/>
          <w:color w:val="auto"/>
          <w:sz w:val="21"/>
          <w:szCs w:val="22"/>
          <w:lang w:val="en-US" w:eastAsia="zh-CN" w:bidi="ar-SA"/>
        </w:rPr>
        <w:t xml:space="preserve">详见招标文件第四章</w:t>
      </w:r>
      <w:r>
        <w:rPr>
          <w:rFonts w:hint="eastAsia" w:ascii="宋体" w:hAnsi="宋体" w:cs="宋体"/>
          <w:color w:val="auto"/>
          <w:sz w:val="21"/>
          <w:szCs w:val="22"/>
          <w:lang w:val="en-US" w:eastAsia="zh-CN" w:bidi="ar-SA"/>
        </w:rPr>
        <w:t xml:space="preserve">；</w:t>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rPr>
        <w:t xml:space="preserve">合同履行期限：自合同签订之日起壹年</w:t>
      </w:r>
      <w:r>
        <w:rPr>
          <w:rFonts w:hint="eastAsia" w:ascii="宋体" w:hAnsi="宋体" w:cs="宋体"/>
          <w:color w:val="auto"/>
          <w:lang w:eastAsia="zh-CN"/>
        </w:rPr>
        <w:t xml:space="preserve">；</w:t>
      </w:r>
      <w:r/>
    </w:p>
    <w:p>
      <w:pPr>
        <w:ind w:firstLine="420"/>
        <w:spacing w:line="440" w:lineRule="exact"/>
        <w:rPr>
          <w:rFonts w:hint="eastAsia" w:ascii="宋体" w:hAnsi="宋体" w:eastAsia="宋体" w:cs="宋体"/>
          <w:color w:val="auto"/>
          <w:lang w:eastAsia="zh-CN"/>
        </w:rPr>
      </w:pPr>
      <w:r>
        <w:rPr>
          <w:rFonts w:hint="eastAsia" w:ascii="宋体" w:hAnsi="宋体" w:cs="宋体"/>
          <w:color w:val="auto"/>
          <w:lang w:eastAsia="zh-CN"/>
        </w:rPr>
        <w:t xml:space="preserve">本项目（是/否）接受联合体投标：否；</w:t>
      </w:r>
      <w:r/>
    </w:p>
    <w:p>
      <w:pPr>
        <w:ind w:firstLine="422"/>
        <w:spacing w:line="440" w:lineRule="exact"/>
        <w:tabs>
          <w:tab w:val="left" w:pos="266" w:leader="none"/>
        </w:tabs>
        <w:rPr>
          <w:rFonts w:hint="eastAsia" w:ascii="宋体" w:hAnsi="宋体" w:eastAsia="宋体" w:cs="宋体"/>
          <w:b/>
          <w:bCs/>
          <w:color w:val="auto"/>
        </w:rPr>
      </w:pPr>
      <w:r/>
      <w:bookmarkStart w:id="8" w:name="_Toc28359003"/>
      <w:r/>
      <w:bookmarkStart w:id="9" w:name="_Toc35393791"/>
      <w:r/>
      <w:bookmarkStart w:id="10" w:name="_Toc38985264"/>
      <w:r/>
      <w:bookmarkStart w:id="11" w:name="_Toc28359080"/>
      <w:r/>
      <w:bookmarkStart w:id="12" w:name="_Toc35393622"/>
      <w:r>
        <w:rPr>
          <w:rFonts w:hint="eastAsia" w:ascii="宋体" w:hAnsi="宋体" w:eastAsia="宋体" w:cs="宋体"/>
          <w:b/>
          <w:bCs/>
          <w:color w:val="auto"/>
        </w:rPr>
        <w:t xml:space="preserve">二、申请人的资格要求：</w:t>
      </w:r>
      <w:bookmarkEnd w:id="8"/>
      <w:r/>
      <w:bookmarkEnd w:id="9"/>
      <w:r/>
      <w:bookmarkEnd w:id="10"/>
      <w:r/>
      <w:bookmarkEnd w:id="11"/>
      <w:r/>
      <w:bookmarkEnd w:id="12"/>
      <w:r/>
      <w:r/>
    </w:p>
    <w:p>
      <w:pPr>
        <w:ind w:firstLine="420"/>
        <w:spacing w:line="440" w:lineRule="exact"/>
        <w:rPr>
          <w:rFonts w:hint="eastAsia" w:ascii="宋体" w:hAnsi="宋体" w:eastAsia="宋体" w:cs="宋体"/>
          <w:color w:val="auto"/>
          <w:szCs w:val="21"/>
        </w:rPr>
      </w:pPr>
      <w:r/>
      <w:bookmarkStart w:id="13" w:name="_Toc35393792"/>
      <w:r/>
      <w:bookmarkStart w:id="14" w:name="_Toc35393623"/>
      <w:r/>
      <w:bookmarkStart w:id="15" w:name="_Toc38985265"/>
      <w:r/>
      <w:bookmarkStart w:id="16" w:name="_Toc28359081"/>
      <w:r/>
      <w:bookmarkStart w:id="17" w:name="_Toc28359004"/>
      <w:r>
        <w:rPr>
          <w:rFonts w:hint="eastAsia" w:ascii="宋体" w:hAnsi="宋体" w:eastAsia="宋体" w:cs="宋体"/>
          <w:color w:val="auto"/>
          <w:szCs w:val="21"/>
        </w:rPr>
        <w:t xml:space="preserve">1.满足《中华人民共和国政府采购法》第二十二条规定： </w:t>
      </w:r>
      <w:r/>
    </w:p>
    <w:p>
      <w:pPr>
        <w:ind w:firstLine="420"/>
        <w:spacing w:line="440" w:lineRule="exact"/>
        <w:rPr>
          <w:rFonts w:hint="eastAsia" w:ascii="宋体" w:hAnsi="宋体" w:eastAsia="宋体" w:cs="宋体"/>
          <w:i/>
          <w:iCs/>
          <w:color w:val="auto"/>
          <w:szCs w:val="21"/>
          <w:u w:val="single"/>
        </w:rPr>
      </w:pPr>
      <w:r>
        <w:rPr>
          <w:rFonts w:hint="eastAsia" w:ascii="宋体" w:hAnsi="宋体" w:eastAsia="宋体" w:cs="宋体"/>
          <w:i/>
          <w:iCs/>
          <w:color w:val="auto"/>
          <w:szCs w:val="21"/>
          <w:u w:val="single"/>
        </w:rPr>
        <w:t xml:space="preserve">1.1法人或者其他组织的营业执照等证明文件，自然人的身份证明</w:t>
      </w:r>
      <w:r/>
    </w:p>
    <w:p>
      <w:pPr>
        <w:ind w:firstLine="420"/>
        <w:spacing w:line="440" w:lineRule="exact"/>
        <w:rPr>
          <w:rFonts w:hint="eastAsia" w:ascii="宋体" w:hAnsi="宋体" w:eastAsia="宋体" w:cs="宋体"/>
          <w:b/>
          <w:bCs/>
          <w:i/>
          <w:iCs/>
          <w:color w:val="auto"/>
          <w:u w:val="single"/>
        </w:rPr>
      </w:pPr>
      <w:r>
        <w:rPr>
          <w:rFonts w:hint="eastAsia" w:ascii="宋体" w:hAnsi="宋体" w:eastAsia="宋体" w:cs="宋体"/>
          <w:i/>
          <w:iCs/>
          <w:color w:val="auto"/>
          <w:szCs w:val="21"/>
          <w:u w:val="single"/>
        </w:rPr>
        <w:t xml:space="preserve">1.2 依法缴纳税收和社会保障资金的相关材料</w:t>
      </w:r>
      <w:r>
        <w:rPr>
          <w:rFonts w:hint="eastAsia" w:ascii="宋体" w:hAnsi="宋体" w:eastAsia="宋体" w:cs="宋体"/>
          <w:b/>
          <w:bCs/>
          <w:i/>
          <w:iCs/>
          <w:color w:val="auto"/>
          <w:szCs w:val="21"/>
          <w:u w:val="single"/>
        </w:rPr>
        <w:t xml:space="preserve">（提供提交投标文件截止时间前一年内至少一个月依法缴纳税收及缴纳社会保障资金的证明材料。投标人依法享受缓缴、免缴税收、社会保障资金的提供证明材料）</w:t>
      </w:r>
      <w:r/>
    </w:p>
    <w:p>
      <w:pPr>
        <w:ind w:firstLine="420"/>
        <w:spacing w:line="440" w:lineRule="exact"/>
        <w:rPr>
          <w:rFonts w:hint="eastAsia" w:ascii="宋体" w:hAnsi="宋体" w:eastAsia="宋体" w:cs="宋体"/>
          <w:b/>
          <w:bCs/>
          <w:i/>
          <w:iCs/>
          <w:color w:val="auto"/>
          <w:szCs w:val="21"/>
          <w:u w:val="single"/>
        </w:rPr>
      </w:pPr>
      <w:r>
        <w:rPr>
          <w:rFonts w:hint="eastAsia" w:ascii="宋体" w:hAnsi="宋体" w:eastAsia="宋体" w:cs="宋体"/>
          <w:i/>
          <w:iCs/>
          <w:color w:val="auto"/>
          <w:szCs w:val="21"/>
          <w:u w:val="single"/>
        </w:rPr>
        <w:t xml:space="preserve">1.3 上一年度的财务状况报告</w:t>
      </w:r>
      <w:r>
        <w:rPr>
          <w:rFonts w:hint="eastAsia" w:ascii="宋体" w:hAnsi="宋体" w:eastAsia="宋体" w:cs="宋体"/>
          <w:b/>
          <w:bCs/>
          <w:i/>
          <w:iCs/>
          <w:color w:val="auto"/>
          <w:szCs w:val="21"/>
          <w:u w:val="single"/>
        </w:rPr>
        <w:t xml:space="preserve">（成立不满一年无需提供）</w:t>
      </w:r>
      <w:r/>
    </w:p>
    <w:p>
      <w:pPr>
        <w:ind w:firstLine="420"/>
        <w:spacing w:line="440" w:lineRule="exact"/>
        <w:rPr>
          <w:rFonts w:hint="eastAsia" w:ascii="宋体" w:hAnsi="宋体" w:eastAsia="宋体" w:cs="宋体"/>
          <w:i/>
          <w:iCs/>
          <w:color w:val="auto"/>
          <w:szCs w:val="21"/>
          <w:u w:val="single"/>
        </w:rPr>
      </w:pPr>
      <w:r>
        <w:rPr>
          <w:rFonts w:hint="eastAsia" w:ascii="宋体" w:hAnsi="宋体" w:eastAsia="宋体" w:cs="宋体"/>
          <w:i/>
          <w:iCs/>
          <w:color w:val="auto"/>
          <w:szCs w:val="21"/>
          <w:u w:val="single"/>
        </w:rPr>
        <w:t xml:space="preserve">1.4 具备履行合同所必需的设备和专业技术能力的证明材料</w:t>
      </w:r>
      <w:r/>
    </w:p>
    <w:p>
      <w:pPr>
        <w:ind w:firstLine="420"/>
        <w:spacing w:line="440" w:lineRule="exact"/>
        <w:rPr>
          <w:rFonts w:hint="eastAsia" w:ascii="宋体" w:hAnsi="宋体" w:eastAsia="宋体" w:cs="宋体"/>
          <w:i/>
          <w:iCs/>
          <w:color w:val="auto"/>
          <w:szCs w:val="21"/>
          <w:u w:val="single"/>
        </w:rPr>
      </w:pPr>
      <w:r>
        <w:rPr>
          <w:rFonts w:hint="eastAsia" w:ascii="宋体" w:hAnsi="宋体" w:eastAsia="宋体" w:cs="宋体"/>
          <w:i/>
          <w:iCs/>
          <w:color w:val="auto"/>
          <w:szCs w:val="21"/>
          <w:u w:val="single"/>
        </w:rPr>
        <w:t xml:space="preserve">1.5 参加本次政府采购活动前3年内在经营活动中没有重大违法记录的书面声明</w:t>
      </w:r>
      <w:r/>
    </w:p>
    <w:p>
      <w:pPr>
        <w:ind w:firstLine="420"/>
        <w:spacing w:line="440" w:lineRule="exact"/>
        <w:rPr>
          <w:rFonts w:hint="eastAsia" w:ascii="宋体" w:hAnsi="宋体" w:eastAsia="宋体" w:cs="宋体"/>
          <w:i/>
          <w:iCs/>
          <w:color w:val="auto"/>
          <w:szCs w:val="21"/>
          <w:u w:val="single"/>
        </w:rPr>
      </w:pPr>
      <w:r>
        <w:rPr>
          <w:rFonts w:hint="eastAsia" w:ascii="宋体" w:hAnsi="宋体" w:eastAsia="宋体" w:cs="宋体"/>
          <w:i/>
          <w:iCs/>
          <w:color w:val="auto"/>
          <w:szCs w:val="21"/>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ind w:firstLine="420"/>
        <w:spacing w:line="440" w:lineRule="exact"/>
        <w:rPr>
          <w:rFonts w:hint="eastAsia" w:ascii="宋体" w:hAnsi="宋体" w:eastAsia="宋体" w:cs="宋体"/>
          <w:i/>
          <w:iCs/>
          <w:color w:val="auto"/>
          <w:szCs w:val="21"/>
        </w:rPr>
      </w:pPr>
      <w:r>
        <w:rPr>
          <w:rFonts w:hint="eastAsia" w:ascii="宋体" w:hAnsi="宋体" w:eastAsia="宋体" w:cs="宋体"/>
          <w:i/>
          <w:iCs/>
          <w:color w:val="auto"/>
          <w:szCs w:val="21"/>
          <w:u w:val="single"/>
        </w:rPr>
        <w:t xml:space="preserve">1.7供应商信用承诺函</w:t>
      </w:r>
      <w:r/>
    </w:p>
    <w:p>
      <w:pPr>
        <w:ind w:firstLine="420"/>
        <w:spacing w:line="440" w:lineRule="exact"/>
        <w:rPr>
          <w:rFonts w:hint="eastAsia" w:ascii="宋体" w:hAnsi="宋体" w:eastAsia="宋体" w:cs="宋体"/>
          <w:i/>
          <w:iCs/>
          <w:color w:val="auto"/>
          <w:szCs w:val="21"/>
          <w:u w:val="single"/>
        </w:rPr>
      </w:pPr>
      <w:r>
        <w:rPr>
          <w:rFonts w:hint="eastAsia" w:ascii="宋体" w:hAnsi="宋体" w:eastAsia="宋体" w:cs="宋体"/>
          <w:color w:val="auto"/>
          <w:szCs w:val="21"/>
        </w:rPr>
        <w:t xml:space="preserve">2.落实政府采购政策需满足的资格要求：无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3.本项目的特定资格要求：无</w:t>
      </w:r>
      <w:r/>
    </w:p>
    <w:p>
      <w:pPr>
        <w:ind w:firstLine="422"/>
        <w:spacing w:line="440" w:lineRule="exact"/>
        <w:tabs>
          <w:tab w:val="left" w:pos="266" w:leader="none"/>
        </w:tabs>
        <w:rPr>
          <w:rFonts w:hint="eastAsia" w:ascii="宋体" w:hAnsi="宋体" w:eastAsia="宋体" w:cs="宋体"/>
          <w:b/>
          <w:bCs/>
          <w:color w:val="auto"/>
        </w:rPr>
      </w:pPr>
      <w:r>
        <w:rPr>
          <w:rFonts w:hint="eastAsia" w:ascii="宋体" w:hAnsi="宋体" w:eastAsia="宋体" w:cs="宋体"/>
          <w:b/>
          <w:bCs/>
          <w:color w:val="auto"/>
        </w:rPr>
        <w:t xml:space="preserve">三、获取招标文件</w:t>
      </w:r>
      <w:bookmarkEnd w:id="13"/>
      <w:r/>
      <w:bookmarkEnd w:id="14"/>
      <w:r/>
      <w:bookmarkEnd w:id="15"/>
      <w:r/>
      <w:bookmarkEnd w:id="16"/>
      <w:r/>
      <w:bookmarkEnd w:id="17"/>
      <w:r/>
      <w:r/>
    </w:p>
    <w:p>
      <w:pPr>
        <w:ind w:firstLine="420"/>
        <w:spacing w:line="440" w:lineRule="exact"/>
        <w:rPr>
          <w:rFonts w:hint="eastAsia" w:ascii="宋体" w:hAnsi="宋体" w:eastAsia="宋体" w:cs="宋体"/>
          <w:color w:val="auto"/>
        </w:rPr>
      </w:pPr>
      <w:r/>
      <w:bookmarkStart w:id="18" w:name="_Toc28359082"/>
      <w:r/>
      <w:bookmarkStart w:id="19" w:name="_Toc28359005"/>
      <w:r/>
      <w:bookmarkStart w:id="20" w:name="_Toc35393624"/>
      <w:r/>
      <w:bookmarkStart w:id="21" w:name="_Toc38985266"/>
      <w:r/>
      <w:bookmarkStart w:id="22" w:name="_Toc35393793"/>
      <w:r>
        <w:rPr>
          <w:rFonts w:hint="eastAsia" w:ascii="宋体" w:hAnsi="宋体" w:eastAsia="宋体" w:cs="宋体"/>
          <w:color w:val="auto"/>
        </w:rPr>
        <w:t xml:space="preserve">时间：自招标文件公告发布之日起5个工作日。</w:t>
      </w:r>
      <w:r/>
    </w:p>
    <w:p>
      <w:pPr>
        <w:ind w:firstLine="420"/>
        <w:spacing w:line="440" w:lineRule="exact"/>
        <w:rPr>
          <w:rFonts w:hint="eastAsia" w:ascii="宋体" w:hAnsi="宋体" w:eastAsia="宋体" w:cs="宋体"/>
          <w:b/>
          <w:bCs/>
          <w:color w:val="auto"/>
        </w:rPr>
      </w:pPr>
      <w:r>
        <w:rPr>
          <w:rFonts w:hint="eastAsia" w:ascii="宋体" w:hAnsi="宋体" w:eastAsia="宋体" w:cs="宋体"/>
          <w:b w:val="0"/>
          <w:bCs w:val="0"/>
          <w:color w:val="auto"/>
          <w:highlight w:val="none"/>
        </w:rPr>
        <w:t xml:space="preserve">地点：</w:t>
      </w:r>
      <w:r>
        <w:rPr>
          <w:rFonts w:hint="eastAsia" w:ascii="宋体" w:hAnsi="宋体" w:eastAsia="宋体" w:cs="宋体"/>
          <w:b w:val="0"/>
          <w:bCs w:val="0"/>
          <w:color w:val="auto"/>
          <w:highlight w:val="none"/>
          <w:lang w:eastAsia="zh-CN"/>
        </w:rPr>
        <w:t xml:space="preserve">“中国政府采购网”、“江苏省政府采购网”、“扬州市政府采购网”</w:t>
      </w:r>
      <w:r>
        <w:rPr>
          <w:rFonts w:hint="eastAsia" w:ascii="宋体" w:hAnsi="宋体" w:cs="宋体"/>
          <w:b w:val="0"/>
          <w:bCs w:val="0"/>
          <w:color w:val="auto"/>
          <w:highlight w:val="none"/>
          <w:lang w:eastAsia="zh-CN"/>
        </w:rPr>
        <w:t xml:space="preserve">。</w:t>
      </w:r>
      <w:r/>
    </w:p>
    <w:p>
      <w:pPr>
        <w:ind w:firstLine="420"/>
        <w:spacing w:line="440" w:lineRule="exact"/>
        <w:rPr>
          <w:rFonts w:hint="eastAsia" w:ascii="宋体" w:hAnsi="宋体" w:eastAsia="宋体" w:cs="宋体"/>
          <w:b w:val="0"/>
          <w:bCs w:val="0"/>
          <w:color w:val="auto"/>
          <w:szCs w:val="21"/>
        </w:rPr>
      </w:pPr>
      <w:r>
        <w:rPr>
          <w:rFonts w:hint="eastAsia" w:ascii="宋体" w:hAnsi="宋体" w:eastAsia="宋体" w:cs="宋体"/>
          <w:b w:val="0"/>
          <w:bCs w:val="0"/>
          <w:color w:val="auto"/>
        </w:rPr>
        <w:t xml:space="preserve">获取方式：</w:t>
      </w:r>
      <w:r>
        <w:rPr>
          <w:rFonts w:hint="eastAsia" w:ascii="宋体" w:hAnsi="宋体" w:eastAsia="宋体" w:cs="宋体"/>
          <w:b w:val="0"/>
          <w:bCs w:val="0"/>
          <w:color w:val="auto"/>
          <w:szCs w:val="21"/>
        </w:rPr>
        <w:t xml:space="preserve">本项目采用网上注册登记方式。</w:t>
      </w:r>
      <w:bookmarkEnd w:id="18"/>
      <w:r/>
      <w:bookmarkEnd w:id="19"/>
      <w:r/>
      <w:bookmarkEnd w:id="20"/>
      <w:r/>
      <w:bookmarkEnd w:id="21"/>
      <w:r/>
      <w:bookmarkEnd w:id="22"/>
      <w:r/>
      <w:r/>
    </w:p>
    <w:p>
      <w:pPr>
        <w:ind w:firstLine="420"/>
        <w:spacing w:line="440" w:lineRule="exact"/>
        <w:rPr>
          <w:rFonts w:hint="default" w:ascii="宋体" w:hAnsi="宋体" w:eastAsia="宋体" w:cs="宋体"/>
          <w:b w:val="0"/>
          <w:bCs w:val="0"/>
          <w:color w:val="auto"/>
          <w:szCs w:val="21"/>
          <w:lang w:val="en-US" w:eastAsia="zh-CN"/>
        </w:rPr>
      </w:pPr>
      <w:r>
        <w:rPr>
          <w:rFonts w:hint="eastAsia" w:ascii="宋体" w:hAnsi="宋体" w:cs="宋体"/>
          <w:b w:val="0"/>
          <w:bCs w:val="0"/>
          <w:color w:val="auto"/>
          <w:szCs w:val="21"/>
          <w:lang w:val="en-US" w:eastAsia="zh-CN"/>
        </w:rPr>
        <w:t xml:space="preserve">售价：0元。</w:t>
      </w:r>
      <w:r/>
    </w:p>
    <w:p>
      <w:pPr>
        <w:ind w:firstLine="422"/>
        <w:spacing w:line="440" w:lineRule="exact"/>
        <w:tabs>
          <w:tab w:val="left" w:pos="266" w:leader="none"/>
        </w:tabs>
        <w:rPr>
          <w:rFonts w:hint="eastAsia" w:ascii="宋体" w:hAnsi="宋体" w:eastAsia="宋体" w:cs="宋体"/>
          <w:b/>
          <w:bCs/>
          <w:color w:val="auto"/>
        </w:rPr>
      </w:pPr>
      <w:r/>
      <w:bookmarkStart w:id="23" w:name="_Toc35393794"/>
      <w:r/>
      <w:bookmarkStart w:id="24" w:name="_Toc28359007"/>
      <w:r/>
      <w:bookmarkStart w:id="25" w:name="_Toc35393625"/>
      <w:r/>
      <w:bookmarkStart w:id="26" w:name="_Toc28359084"/>
      <w:r/>
      <w:bookmarkStart w:id="27" w:name="_Toc38985267"/>
      <w:r>
        <w:rPr>
          <w:rFonts w:hint="eastAsia" w:ascii="宋体" w:hAnsi="宋体" w:eastAsia="宋体" w:cs="宋体"/>
          <w:b/>
          <w:bCs/>
          <w:color w:val="auto"/>
        </w:rPr>
        <w:t xml:space="preserve">四、提交投标文件截止时间、开标时间和地点</w:t>
      </w:r>
      <w:bookmarkEnd w:id="23"/>
      <w:bookmarkEnd w:id="24"/>
      <w:bookmarkEnd w:id="25"/>
      <w:bookmarkEnd w:id="26"/>
      <w:bookmarkEnd w:id="27"/>
      <w:r/>
    </w:p>
    <w:p>
      <w:pPr>
        <w:ind w:firstLine="420"/>
        <w:spacing w:line="440" w:lineRule="exact"/>
        <w:rPr>
          <w:rFonts w:hint="eastAsia" w:ascii="宋体" w:hAnsi="宋体" w:eastAsia="宋体" w:cs="宋体"/>
          <w:b w:val="0"/>
          <w:bCs w:val="0"/>
          <w:color w:val="auto"/>
        </w:rPr>
      </w:pPr>
      <w:r/>
      <w:bookmarkStart w:id="28" w:name="_Toc38985268"/>
      <w:r/>
      <w:bookmarkStart w:id="29" w:name="_Toc35393626"/>
      <w:r/>
      <w:bookmarkStart w:id="30" w:name="_Toc35393795"/>
      <w:r>
        <w:rPr>
          <w:rFonts w:hint="eastAsia" w:ascii="宋体" w:hAnsi="宋体" w:eastAsia="宋体" w:cs="宋体"/>
          <w:b w:val="0"/>
          <w:bCs w:val="0"/>
          <w:color w:val="auto"/>
        </w:rPr>
        <w:t xml:space="preserve">投标文件接收截止时间：2026年</w:t>
      </w:r>
      <w:r>
        <w:rPr>
          <w:rFonts w:hint="eastAsia" w:ascii="宋体" w:hAnsi="宋体" w:eastAsia="宋体" w:cs="宋体"/>
          <w:b w:val="0"/>
          <w:bCs w:val="0"/>
          <w:color w:val="auto"/>
          <w:lang w:val="en-US" w:eastAsia="zh-CN"/>
        </w:rPr>
        <w:t xml:space="preserve">10</w:t>
      </w:r>
      <w:r>
        <w:rPr>
          <w:rFonts w:hint="eastAsia" w:ascii="宋体" w:hAnsi="宋体" w:eastAsia="宋体" w:cs="宋体"/>
          <w:b w:val="0"/>
          <w:bCs w:val="0"/>
          <w:color w:val="auto"/>
        </w:rPr>
        <w:t xml:space="preserve">月</w:t>
      </w:r>
      <w:r>
        <w:rPr>
          <w:rFonts w:hint="eastAsia" w:ascii="宋体" w:hAnsi="宋体" w:cs="宋体"/>
          <w:b w:val="0"/>
          <w:bCs w:val="0"/>
          <w:color w:val="auto"/>
          <w:lang w:val="en-US" w:eastAsia="zh-CN"/>
        </w:rPr>
        <w:t xml:space="preserve">30</w:t>
      </w:r>
      <w:r>
        <w:rPr>
          <w:rFonts w:hint="eastAsia" w:ascii="宋体" w:hAnsi="宋体" w:eastAsia="宋体" w:cs="宋体"/>
          <w:b w:val="0"/>
          <w:bCs w:val="0"/>
          <w:color w:val="auto"/>
        </w:rPr>
        <w:t xml:space="preserve">日上午9点30分（北京时间）</w:t>
      </w:r>
      <w:r/>
    </w:p>
    <w:p>
      <w:pPr>
        <w:ind w:firstLine="420"/>
        <w:spacing w:line="44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投标文件开标时间：2026年</w:t>
      </w:r>
      <w:r>
        <w:rPr>
          <w:rFonts w:hint="eastAsia" w:ascii="宋体" w:hAnsi="宋体" w:eastAsia="宋体" w:cs="宋体"/>
          <w:b w:val="0"/>
          <w:bCs w:val="0"/>
          <w:color w:val="auto"/>
          <w:lang w:val="en-US" w:eastAsia="zh-CN"/>
        </w:rPr>
        <w:t xml:space="preserve">10</w:t>
      </w:r>
      <w:r>
        <w:rPr>
          <w:rFonts w:hint="eastAsia" w:ascii="宋体" w:hAnsi="宋体" w:eastAsia="宋体" w:cs="宋体"/>
          <w:b w:val="0"/>
          <w:bCs w:val="0"/>
          <w:color w:val="auto"/>
        </w:rPr>
        <w:t xml:space="preserve">月</w:t>
      </w:r>
      <w:r>
        <w:rPr>
          <w:rFonts w:hint="eastAsia" w:ascii="宋体" w:hAnsi="宋体" w:cs="宋体"/>
          <w:b w:val="0"/>
          <w:bCs w:val="0"/>
          <w:color w:val="auto"/>
          <w:lang w:val="en-US" w:eastAsia="zh-CN"/>
        </w:rPr>
        <w:t xml:space="preserve">30</w:t>
      </w:r>
      <w:r>
        <w:rPr>
          <w:rFonts w:hint="eastAsia" w:ascii="宋体" w:hAnsi="宋体" w:eastAsia="宋体" w:cs="宋体"/>
          <w:b w:val="0"/>
          <w:bCs w:val="0"/>
          <w:color w:val="auto"/>
        </w:rPr>
        <w:t xml:space="preserve">日上午9点30分（北京时间）</w:t>
      </w:r>
      <w:r/>
    </w:p>
    <w:p>
      <w:pPr>
        <w:ind w:firstLine="420"/>
        <w:spacing w:line="44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地点：“苏采云”系统（网址：</w:t>
      </w:r>
      <w:r>
        <w:rPr>
          <w:rFonts w:hint="eastAsia" w:ascii="宋体" w:hAnsi="宋体" w:eastAsia="宋体" w:cs="宋体"/>
          <w:b w:val="0"/>
          <w:bCs w:val="0"/>
          <w:color w:val="auto"/>
        </w:rPr>
        <w:fldChar w:fldCharType="begin"/>
      </w:r>
      <w:r>
        <w:rPr>
          <w:rFonts w:hint="eastAsia" w:ascii="宋体" w:hAnsi="宋体" w:eastAsia="宋体" w:cs="宋体"/>
          <w:b w:val="0"/>
          <w:bCs w:val="0"/>
          <w:color w:val="auto"/>
        </w:rPr>
        <w:instrText xml:space="preserve"> HYPERLINK "http://jszfcg.jsczt.cn/%EF%BC%89/%E2%80%9C%E5%BC%80%E6%A0%87%E5%A4%A7%E5%8E%85/%E2%80%9D" \o "http://jszfcg.jsczt.cn/%EF%BC%89/%E2%80%9C%E5%BC%80%E6%A0%87%E5%A4%A7%E5%8E%85/%E2%80%9D" </w:instrText>
      </w:r>
      <w:r>
        <w:rPr>
          <w:rFonts w:hint="eastAsia" w:ascii="宋体" w:hAnsi="宋体" w:eastAsia="宋体" w:cs="宋体"/>
          <w:b w:val="0"/>
          <w:bCs w:val="0"/>
          <w:color w:val="auto"/>
        </w:rPr>
        <w:fldChar w:fldCharType="separate"/>
      </w:r>
      <w:r>
        <w:rPr>
          <w:rFonts w:hint="eastAsia" w:ascii="宋体" w:hAnsi="宋体" w:eastAsia="宋体" w:cs="宋体"/>
          <w:b w:val="0"/>
          <w:bCs w:val="0"/>
          <w:color w:val="auto"/>
        </w:rPr>
        <w:t xml:space="preserve">http://jszfcg.jsczt.cn/）</w:t>
      </w:r>
      <w:r>
        <w:rPr>
          <w:rFonts w:hint="eastAsia" w:ascii="宋体" w:hAnsi="宋体" w:eastAsia="宋体" w:cs="宋体"/>
          <w:b w:val="0"/>
          <w:bCs w:val="0"/>
          <w:color w:val="auto"/>
        </w:rPr>
        <w:fldChar w:fldCharType="end"/>
      </w:r>
      <w:r/>
    </w:p>
    <w:p>
      <w:pPr>
        <w:ind w:firstLine="422"/>
        <w:spacing w:line="440" w:lineRule="exact"/>
        <w:tabs>
          <w:tab w:val="left" w:pos="266" w:leader="none"/>
        </w:tabs>
        <w:rPr>
          <w:rFonts w:hint="eastAsia" w:ascii="宋体" w:hAnsi="宋体" w:eastAsia="宋体" w:cs="宋体"/>
          <w:b/>
          <w:bCs/>
          <w:color w:val="auto"/>
        </w:rPr>
      </w:pPr>
      <w:r>
        <w:rPr>
          <w:rFonts w:hint="eastAsia" w:ascii="宋体" w:hAnsi="宋体" w:eastAsia="宋体" w:cs="宋体"/>
          <w:b/>
          <w:bCs/>
          <w:color w:val="auto"/>
        </w:rPr>
        <w:t xml:space="preserve">五、公告期限</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自本公告发布之日起5个工作日。</w:t>
      </w:r>
      <w:r/>
    </w:p>
    <w:p>
      <w:pPr>
        <w:ind w:firstLine="422"/>
        <w:spacing w:line="440" w:lineRule="exact"/>
        <w:tabs>
          <w:tab w:val="left" w:pos="266" w:leader="none"/>
        </w:tabs>
        <w:rPr>
          <w:rFonts w:hint="eastAsia" w:ascii="宋体" w:hAnsi="宋体" w:eastAsia="宋体" w:cs="宋体"/>
          <w:b/>
          <w:bCs/>
          <w:color w:val="auto"/>
        </w:rPr>
      </w:pPr>
      <w:r>
        <w:rPr>
          <w:rFonts w:hint="eastAsia" w:ascii="宋体" w:hAnsi="宋体" w:eastAsia="宋体" w:cs="宋体"/>
          <w:b/>
          <w:bCs/>
          <w:color w:val="auto"/>
        </w:rPr>
        <w:t xml:space="preserve">六、其他补充事宜</w:t>
      </w:r>
      <w:bookmarkEnd w:id="28"/>
      <w:r/>
      <w:bookmarkEnd w:id="29"/>
      <w:r/>
      <w:bookmarkEnd w:id="30"/>
      <w:r/>
      <w:r/>
    </w:p>
    <w:p>
      <w:pPr>
        <w:ind w:firstLine="422"/>
        <w:spacing w:line="440" w:lineRule="exact"/>
        <w:rPr>
          <w:rFonts w:hint="eastAsia" w:ascii="宋体" w:hAnsi="宋体" w:eastAsia="宋体" w:cs="宋体"/>
          <w:b/>
          <w:bCs/>
          <w:color w:val="auto"/>
        </w:rPr>
      </w:pPr>
      <w:r/>
      <w:bookmarkStart w:id="31" w:name="_Toc35393627"/>
      <w:r/>
      <w:bookmarkStart w:id="32" w:name="_Toc28359008"/>
      <w:r/>
      <w:bookmarkStart w:id="33" w:name="_Toc35393796"/>
      <w:r/>
      <w:bookmarkStart w:id="34" w:name="_Toc38985269"/>
      <w:r/>
      <w:bookmarkStart w:id="35" w:name="_Toc28359085"/>
      <w:r>
        <w:rPr>
          <w:rFonts w:hint="eastAsia" w:ascii="宋体" w:hAnsi="宋体" w:eastAsia="宋体" w:cs="宋体"/>
          <w:b/>
          <w:bCs/>
          <w:color w:val="auto"/>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40" w:lineRule="exact"/>
        <w:shd w:val="clear" w:color="auto" w:fill="ffffff"/>
        <w:rPr>
          <w:rFonts w:hint="eastAsia" w:ascii="宋体" w:hAnsi="宋体" w:eastAsia="宋体" w:cs="宋体"/>
          <w:b/>
          <w:bCs/>
          <w:color w:val="auto"/>
          <w:szCs w:val="21"/>
        </w:rPr>
      </w:pPr>
      <w:r>
        <w:rPr>
          <w:rFonts w:hint="eastAsia" w:ascii="宋体" w:hAnsi="宋体" w:eastAsia="宋体" w:cs="宋体"/>
          <w:b/>
          <w:bCs/>
          <w:color w:val="auto"/>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440" w:lineRule="exact"/>
        <w:rPr>
          <w:rFonts w:hint="eastAsia" w:ascii="宋体" w:hAnsi="宋体" w:eastAsia="宋体" w:cs="宋体"/>
          <w:bCs/>
          <w:color w:val="auto"/>
        </w:rPr>
      </w:pPr>
      <w:r>
        <w:rPr>
          <w:rFonts w:hint="eastAsia" w:ascii="宋体" w:hAnsi="宋体" w:eastAsia="宋体" w:cs="宋体"/>
          <w:bCs/>
          <w:color w:val="auto"/>
          <w:szCs w:val="21"/>
        </w:rPr>
        <w:t xml:space="preserve">3.</w:t>
      </w:r>
      <w:r>
        <w:rPr>
          <w:rFonts w:hint="eastAsia" w:ascii="宋体" w:hAnsi="宋体" w:eastAsia="宋体" w:cs="宋体"/>
          <w:color w:val="auto"/>
        </w:rPr>
        <w:t xml:space="preserve">本次招标</w:t>
      </w:r>
      <w:r>
        <w:rPr>
          <w:rFonts w:hint="eastAsia" w:ascii="宋体" w:hAnsi="宋体" w:eastAsia="宋体" w:cs="宋体"/>
          <w:b/>
          <w:bCs/>
          <w:color w:val="auto"/>
          <w:u w:val="single"/>
        </w:rPr>
        <w:t xml:space="preserve">不收取</w:t>
      </w:r>
      <w:r>
        <w:rPr>
          <w:rFonts w:hint="eastAsia" w:ascii="宋体" w:hAnsi="宋体" w:eastAsia="宋体" w:cs="宋体"/>
          <w:color w:val="auto"/>
        </w:rPr>
        <w:t xml:space="preserve">投标保证金</w:t>
      </w:r>
      <w:r>
        <w:rPr>
          <w:rFonts w:hint="eastAsia" w:ascii="宋体" w:hAnsi="宋体" w:eastAsia="宋体" w:cs="宋体"/>
          <w:color w:val="auto"/>
          <w:lang w:eastAsia="zh-CN"/>
        </w:rPr>
        <w:t xml:space="preserve">；</w:t>
      </w:r>
      <w:r>
        <w:rPr>
          <w:rFonts w:hint="eastAsia" w:ascii="宋体" w:hAnsi="宋体" w:eastAsia="宋体" w:cs="宋体"/>
          <w:b/>
          <w:bCs/>
          <w:color w:val="auto"/>
          <w:u w:val="single"/>
        </w:rPr>
        <w:t xml:space="preserve">不收取</w:t>
      </w:r>
      <w:r>
        <w:rPr>
          <w:rFonts w:hint="eastAsia" w:ascii="宋体" w:hAnsi="宋体" w:eastAsia="宋体" w:cs="宋体"/>
          <w:color w:val="auto"/>
        </w:rPr>
        <w:t xml:space="preserve">履约保证金。</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4.潜在投标人对采购文件项目需求部分的询问、质疑请向采购人提出，由采购人负责答复。</w:t>
      </w:r>
      <w:r/>
    </w:p>
    <w:p>
      <w:pPr>
        <w:ind w:firstLine="420"/>
        <w:spacing w:line="440" w:lineRule="exact"/>
        <w:rPr>
          <w:rFonts w:hint="eastAsia" w:ascii="宋体" w:hAnsi="宋体" w:eastAsia="宋体" w:cs="宋体"/>
          <w:bCs/>
          <w:color w:val="auto"/>
        </w:rPr>
      </w:pPr>
      <w:r>
        <w:rPr>
          <w:rFonts w:hint="eastAsia" w:ascii="宋体" w:hAnsi="宋体" w:eastAsia="宋体" w:cs="宋体"/>
          <w:color w:val="auto"/>
          <w:szCs w:val="21"/>
        </w:rPr>
        <w:t xml:space="preserve">5.</w:t>
      </w:r>
      <w:r>
        <w:rPr>
          <w:rFonts w:hint="eastAsia" w:ascii="宋体" w:hAnsi="宋体" w:eastAsia="宋体" w:cs="宋体"/>
          <w:bCs/>
          <w:color w:val="auto"/>
        </w:rPr>
        <w:t xml:space="preserve">有关本次招标的事项若存在变动或修改，敬请及时关注</w:t>
      </w:r>
      <w:r>
        <w:rPr>
          <w:rFonts w:hint="eastAsia" w:ascii="宋体" w:hAnsi="宋体" w:cs="宋体"/>
          <w:bCs/>
          <w:color w:val="auto"/>
          <w:lang w:eastAsia="zh-CN"/>
        </w:rPr>
        <w:t xml:space="preserve">“中国政府采购网”、“江苏省政府采购网”、“扬州市政府采购网”</w:t>
      </w:r>
      <w:r>
        <w:rPr>
          <w:rFonts w:hint="eastAsia" w:ascii="宋体" w:hAnsi="宋体" w:eastAsia="宋体" w:cs="宋体"/>
          <w:bCs/>
          <w:color w:val="auto"/>
        </w:rPr>
        <w:t xml:space="preserve">发布的信息。</w:t>
      </w:r>
      <w:r/>
    </w:p>
    <w:p>
      <w:pPr>
        <w:ind w:firstLine="422"/>
        <w:spacing w:line="440" w:lineRule="exact"/>
        <w:rPr>
          <w:rFonts w:hint="eastAsia" w:ascii="宋体" w:hAnsi="宋体" w:eastAsia="宋体" w:cs="宋体"/>
          <w:b/>
          <w:i/>
          <w:iCs/>
          <w:color w:val="auto"/>
          <w:u w:val="single"/>
        </w:rPr>
      </w:pPr>
      <w:r>
        <w:rPr>
          <w:rFonts w:hint="eastAsia" w:ascii="宋体" w:hAnsi="宋体" w:eastAsia="宋体" w:cs="宋体"/>
          <w:b/>
          <w:i/>
          <w:iCs/>
          <w:color w:val="auto"/>
          <w:u w:val="single"/>
        </w:rPr>
        <w:t xml:space="preserve">6.本项目招标文件中所有斜体下划线部分为实质性条款，如不满足，则为无效投标</w:t>
      </w:r>
      <w:r>
        <w:rPr>
          <w:rFonts w:hint="eastAsia" w:ascii="宋体" w:hAnsi="宋体" w:eastAsia="宋体" w:cs="宋体"/>
          <w:b/>
          <w:i/>
          <w:iCs/>
          <w:color w:val="auto"/>
        </w:rPr>
        <w:t xml:space="preserve">。</w:t>
      </w:r>
      <w:r/>
    </w:p>
    <w:p>
      <w:pPr>
        <w:ind w:firstLine="420"/>
        <w:spacing w:line="440" w:lineRule="exact"/>
        <w:tabs>
          <w:tab w:val="left" w:pos="266" w:leader="none"/>
        </w:tabs>
        <w:rPr>
          <w:rFonts w:hint="eastAsia" w:ascii="宋体" w:hAnsi="宋体" w:eastAsia="宋体" w:cs="宋体"/>
          <w:bCs/>
          <w:color w:val="auto"/>
        </w:rPr>
      </w:pPr>
      <w:r>
        <w:rPr>
          <w:rFonts w:hint="eastAsia" w:ascii="宋体" w:hAnsi="宋体" w:eastAsia="宋体" w:cs="宋体"/>
          <w:bCs/>
          <w:color w:val="auto"/>
        </w:rPr>
        <w:t xml:space="preserve">7.如在开标时间发生系统崩溃等不可预见的情况，造成开评标活动无法正常进行的，将延迟开评标，具体开评标时间另行通知。</w:t>
      </w:r>
      <w:r/>
    </w:p>
    <w:p>
      <w:pPr>
        <w:ind w:firstLine="422"/>
        <w:spacing w:line="440" w:lineRule="exact"/>
        <w:tabs>
          <w:tab w:val="left" w:pos="266" w:leader="none"/>
        </w:tabs>
        <w:rPr>
          <w:rFonts w:hint="eastAsia" w:ascii="宋体" w:hAnsi="宋体" w:eastAsia="宋体" w:cs="宋体"/>
          <w:b/>
          <w:color w:val="auto"/>
        </w:rPr>
      </w:pPr>
      <w:r>
        <w:rPr>
          <w:rFonts w:hint="eastAsia" w:ascii="宋体" w:hAnsi="宋体" w:cs="宋体"/>
          <w:b/>
          <w:color w:val="auto"/>
          <w:lang w:val="en-US" w:eastAsia="zh-CN"/>
        </w:rPr>
        <w:t xml:space="preserve">8</w:t>
      </w:r>
      <w:r>
        <w:rPr>
          <w:rFonts w:hint="eastAsia" w:ascii="宋体" w:hAnsi="宋体" w:eastAsia="宋体" w:cs="宋体"/>
          <w:b/>
          <w:color w:val="auto"/>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440" w:lineRule="exact"/>
        <w:tabs>
          <w:tab w:val="left" w:pos="266" w:leader="none"/>
        </w:tabs>
        <w:rPr>
          <w:rFonts w:hint="eastAsia" w:ascii="宋体" w:hAnsi="宋体" w:eastAsia="宋体" w:cs="宋体"/>
          <w:b/>
          <w:color w:val="auto"/>
        </w:rPr>
      </w:pPr>
      <w:r>
        <w:rPr>
          <w:rFonts w:hint="eastAsia" w:ascii="宋体" w:hAnsi="宋体" w:cs="宋体"/>
          <w:b/>
          <w:color w:val="auto"/>
          <w:lang w:val="en-US" w:eastAsia="zh-CN"/>
        </w:rPr>
        <w:t xml:space="preserve">9</w:t>
      </w:r>
      <w:r>
        <w:rPr>
          <w:rFonts w:hint="eastAsia" w:ascii="宋体" w:hAnsi="宋体" w:eastAsia="宋体" w:cs="宋体"/>
          <w:b/>
          <w:color w:val="auto"/>
        </w:rPr>
        <w:t xml:space="preserve">.本项目严格执行政府采购关于支持节能产品</w:t>
      </w:r>
      <w:r>
        <w:rPr>
          <w:rFonts w:hint="eastAsia" w:ascii="宋体" w:hAnsi="宋体" w:eastAsia="宋体" w:cs="宋体"/>
          <w:b/>
          <w:color w:val="auto"/>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2"/>
        <w:spacing w:line="440" w:lineRule="exact"/>
        <w:tabs>
          <w:tab w:val="left" w:pos="266" w:leader="none"/>
        </w:tabs>
        <w:rPr>
          <w:rFonts w:hint="eastAsia" w:ascii="宋体" w:hAnsi="宋体" w:eastAsia="宋体" w:cs="宋体"/>
          <w:b/>
          <w:color w:val="auto"/>
        </w:rPr>
      </w:pPr>
      <w:r>
        <w:rPr>
          <w:rFonts w:hint="eastAsia" w:ascii="宋体" w:hAnsi="宋体" w:eastAsia="宋体" w:cs="宋体"/>
          <w:b/>
          <w:color w:val="auto"/>
        </w:rPr>
        <w:t xml:space="preserve">1</w:t>
      </w:r>
      <w:r>
        <w:rPr>
          <w:rFonts w:hint="eastAsia" w:ascii="宋体" w:hAnsi="宋体" w:cs="宋体"/>
          <w:b/>
          <w:color w:val="auto"/>
          <w:lang w:val="en-US" w:eastAsia="zh-CN"/>
        </w:rPr>
        <w:t xml:space="preserve">0</w:t>
      </w:r>
      <w:r>
        <w:rPr>
          <w:rFonts w:hint="eastAsia" w:ascii="宋体" w:hAnsi="宋体" w:eastAsia="宋体" w:cs="宋体"/>
          <w:b/>
          <w:color w:val="auto"/>
        </w:rPr>
        <w:t xml:space="preserve">.供应商对于所投产品的包装应按照“财办库〔2020〕123号《关于印发《商品包装政府采购需求标准（试行）》、《快递包装政府采购需求标准（试行）》的通知》”执行。</w:t>
      </w:r>
      <w:r/>
    </w:p>
    <w:p>
      <w:pPr>
        <w:ind w:firstLine="422"/>
        <w:spacing w:line="440" w:lineRule="exact"/>
        <w:tabs>
          <w:tab w:val="left" w:pos="266" w:leader="none"/>
        </w:tabs>
        <w:rPr>
          <w:rFonts w:ascii="宋体" w:hAnsi="宋体" w:eastAsia="宋体" w:cs="宋体"/>
          <w:color w:val="auto"/>
          <w:sz w:val="21"/>
          <w:szCs w:val="21"/>
        </w:rPr>
      </w:pPr>
      <w:r>
        <w:rPr>
          <w:rFonts w:hint="eastAsia" w:ascii="宋体" w:hAnsi="宋体" w:cs="宋体"/>
          <w:b/>
          <w:color w:val="auto"/>
          <w:sz w:val="21"/>
          <w:szCs w:val="21"/>
          <w:lang w:val="en-US" w:eastAsia="zh-CN"/>
        </w:rPr>
        <w:t xml:space="preserve">11.</w:t>
      </w:r>
      <w:r>
        <w:rPr>
          <w:rFonts w:ascii="宋体" w:hAnsi="宋体" w:eastAsia="宋体" w:cs="宋体"/>
          <w:color w:val="auto"/>
          <w:sz w:val="21"/>
          <w:szCs w:val="21"/>
        </w:rPr>
        <w:t xml:space="preserve">潜在投标供应商访问政府采购管理交易系统（苏采云）的网络地址和方法：</w:t>
      </w:r>
      <w:r/>
    </w:p>
    <w:p>
      <w:pPr>
        <w:ind w:firstLine="315"/>
        <w:keepLines w:val="0"/>
        <w:keepNext w:val="0"/>
        <w:pageBreakBefore w:val="0"/>
        <w:spacing w:line="440" w:lineRule="exact"/>
        <w:widowControl w:val="off"/>
        <w:tabs>
          <w:tab w:val="left" w:pos="266" w:leader="none"/>
        </w:tabs>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15"/>
        <w:keepLines w:val="0"/>
        <w:keepNext w:val="0"/>
        <w:pageBreakBefore w:val="0"/>
        <w:spacing w:line="440" w:lineRule="exact"/>
        <w:widowControl w:val="off"/>
        <w:tabs>
          <w:tab w:val="left" w:pos="266" w:leader="none"/>
        </w:tabs>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（2）“CA数字证书”的获取：供应商需办理CA锁，“苏采云”系统目前仅支持“苏采云”系统下的政务CA，省内各地区办理的“苏采云”系统下的政务CA全省通用。</w:t>
      </w:r>
      <w:r/>
    </w:p>
    <w:p>
      <w:pPr>
        <w:ind w:firstLine="315"/>
        <w:keepLines w:val="0"/>
        <w:keepNext w:val="0"/>
        <w:pageBreakBefore w:val="0"/>
        <w:spacing w:line="440" w:lineRule="exact"/>
        <w:widowControl w:val="off"/>
        <w:tabs>
          <w:tab w:val="left" w:pos="266" w:leader="none"/>
        </w:tabs>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（3）“CA数字证书”的办理材料以及供应商操作手册详见：</w:t>
      </w:r>
      <w:r/>
    </w:p>
    <w:p>
      <w:pPr>
        <w:ind w:firstLine="315"/>
        <w:keepLines w:val="0"/>
        <w:keepNext w:val="0"/>
        <w:pageBreakBefore w:val="0"/>
        <w:spacing w:line="440" w:lineRule="exact"/>
        <w:widowControl w:val="off"/>
        <w:tabs>
          <w:tab w:val="left" w:pos="266" w:leader="none"/>
        </w:tabs>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http://zfcg.yangzhou.gov.cn/zfcg/xzzx/202309/4d7de1f7865f4a2894fc22bc452f94d8.shtml。</w:t>
      </w:r>
      <w:r/>
    </w:p>
    <w:p>
      <w:pPr>
        <w:ind w:firstLine="315"/>
        <w:keepLines w:val="0"/>
        <w:keepNext w:val="0"/>
        <w:pageBreakBefore w:val="0"/>
        <w:spacing w:line="440" w:lineRule="exact"/>
        <w:widowControl w:val="off"/>
        <w:tabs>
          <w:tab w:val="left" w:pos="266" w:leader="none"/>
        </w:tabs>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（4）潜在供应商访问“苏采云”系统的网络地址和方法：“苏采云”系统的网址：http://jszfcg.jsczt.cn/。</w:t>
      </w:r>
      <w:r/>
    </w:p>
    <w:p>
      <w:pPr>
        <w:ind w:firstLine="315"/>
        <w:keepLines w:val="0"/>
        <w:keepNext w:val="0"/>
        <w:pageBreakBefore w:val="0"/>
        <w:spacing w:line="440" w:lineRule="exact"/>
        <w:widowControl w:val="off"/>
        <w:tabs>
          <w:tab w:val="left" w:pos="266" w:leader="none"/>
        </w:tabs>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（5）采购文件（后缀名为“.kedt”）、供应商操作手册及政府采购客户端工具也可通过“苏采云”系统--已报名项目--报名详情页面内相应链接进行下载。</w:t>
      </w:r>
      <w:r/>
    </w:p>
    <w:p>
      <w:pPr>
        <w:ind w:firstLine="315"/>
        <w:keepLines w:val="0"/>
        <w:keepNext w:val="0"/>
        <w:pageBreakBefore w:val="0"/>
        <w:spacing w:line="440" w:lineRule="exact"/>
        <w:widowControl w:val="off"/>
        <w:tabs>
          <w:tab w:val="left" w:pos="266" w:leader="none"/>
        </w:tabs>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（6）招标代理机构（采购代理机构）将数据电文形式的采购文件加载至“苏采云”系统，供潜在供应商下载或者查阅。     </w:t>
      </w:r>
      <w:r/>
    </w:p>
    <w:p>
      <w:pPr>
        <w:ind w:firstLine="315"/>
        <w:keepLines w:val="0"/>
        <w:keepNext w:val="0"/>
        <w:pageBreakBefore w:val="0"/>
        <w:spacing w:line="440" w:lineRule="exact"/>
        <w:widowControl w:val="off"/>
        <w:tabs>
          <w:tab w:val="left" w:pos="266" w:leader="none"/>
        </w:tabs>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（7）苏采云系统使用谷歌浏览器参与不见面开标。</w:t>
      </w:r>
      <w:r/>
    </w:p>
    <w:p>
      <w:pPr>
        <w:ind w:firstLine="422"/>
        <w:spacing w:line="440" w:lineRule="exact"/>
        <w:tabs>
          <w:tab w:val="left" w:pos="266" w:leader="none"/>
        </w:tabs>
        <w:rPr>
          <w:rFonts w:hint="eastAsia" w:ascii="宋体" w:hAnsi="宋体" w:eastAsia="宋体" w:cs="宋体"/>
          <w:b/>
          <w:bCs/>
          <w:color w:val="auto"/>
        </w:rPr>
      </w:pPr>
      <w:r>
        <w:rPr>
          <w:rFonts w:hint="eastAsia" w:ascii="宋体" w:hAnsi="宋体" w:eastAsia="宋体" w:cs="宋体"/>
          <w:b/>
          <w:bCs/>
          <w:color w:val="auto"/>
        </w:rPr>
        <w:t xml:space="preserve">七、本次招标联系方式</w:t>
      </w:r>
      <w:bookmarkEnd w:id="31"/>
      <w:r/>
      <w:bookmarkEnd w:id="32"/>
      <w:r/>
      <w:bookmarkEnd w:id="33"/>
      <w:r/>
      <w:bookmarkEnd w:id="34"/>
      <w:r/>
      <w:bookmarkEnd w:id="35"/>
      <w:r/>
      <w:r/>
    </w:p>
    <w:p>
      <w:pPr>
        <w:ind w:firstLine="420"/>
        <w:jc w:val="left"/>
        <w:spacing w:line="440" w:lineRule="exact"/>
        <w:widowControl/>
        <w:rPr>
          <w:rFonts w:hint="eastAsia" w:ascii="宋体" w:hAnsi="宋体" w:eastAsia="宋体" w:cs="宋体"/>
          <w:color w:val="auto"/>
          <w:szCs w:val="21"/>
        </w:rPr>
      </w:pPr>
      <w:r>
        <w:rPr>
          <w:rFonts w:hint="eastAsia" w:ascii="宋体" w:hAnsi="宋体" w:eastAsia="宋体" w:cs="宋体"/>
          <w:color w:val="auto"/>
        </w:rPr>
        <w:t xml:space="preserve">1.采购人信息</w:t>
      </w:r>
      <w:r/>
    </w:p>
    <w:p>
      <w:pPr>
        <w:ind w:firstLine="420"/>
        <w:jc w:val="left"/>
        <w:spacing w:line="440" w:lineRule="exact"/>
        <w:rPr>
          <w:rFonts w:hint="eastAsia" w:ascii="宋体" w:hAnsi="宋体" w:eastAsia="宋体" w:cs="宋体"/>
          <w:color w:val="auto"/>
        </w:rPr>
      </w:pPr>
      <w:r>
        <w:rPr>
          <w:rFonts w:hint="eastAsia" w:ascii="宋体" w:hAnsi="宋体" w:eastAsia="宋体" w:cs="宋体"/>
          <w:color w:val="auto"/>
        </w:rPr>
        <w:t xml:space="preserve">名 称：</w:t>
      </w:r>
      <w:r>
        <w:rPr>
          <w:rFonts w:hint="eastAsia" w:ascii="宋体" w:hAnsi="宋体" w:eastAsia="宋体" w:cs="宋体"/>
          <w:color w:val="auto"/>
          <w:szCs w:val="21"/>
        </w:rPr>
        <w:t xml:space="preserve">扬州市应急管理局</w:t>
      </w:r>
      <w:r/>
    </w:p>
    <w:p>
      <w:pPr>
        <w:ind w:firstLine="420"/>
        <w:jc w:val="left"/>
        <w:spacing w:line="440" w:lineRule="exact"/>
        <w:rPr>
          <w:rFonts w:hint="eastAsia" w:ascii="宋体" w:hAnsi="宋体" w:eastAsia="宋体" w:cs="宋体"/>
          <w:color w:val="auto"/>
        </w:rPr>
      </w:pPr>
      <w:r>
        <w:rPr>
          <w:rFonts w:hint="eastAsia" w:ascii="宋体" w:hAnsi="宋体" w:eastAsia="宋体" w:cs="宋体"/>
          <w:color w:val="auto"/>
        </w:rPr>
        <w:t xml:space="preserve">地 址：</w:t>
      </w:r>
      <w:r>
        <w:rPr>
          <w:rFonts w:hint="eastAsia" w:ascii="宋体" w:hAnsi="宋体" w:eastAsia="宋体" w:cs="宋体"/>
          <w:color w:val="auto"/>
          <w:szCs w:val="21"/>
        </w:rPr>
        <w:t xml:space="preserve">扬州市江阳中路240号</w:t>
      </w:r>
      <w:r/>
    </w:p>
    <w:p>
      <w:pPr>
        <w:ind w:firstLine="420"/>
        <w:jc w:val="left"/>
        <w:spacing w:line="440" w:lineRule="exact"/>
        <w:rPr>
          <w:rFonts w:hint="eastAsia" w:ascii="宋体" w:hAnsi="宋体" w:eastAsia="宋体" w:cs="宋体"/>
          <w:color w:val="auto"/>
        </w:rPr>
      </w:pPr>
      <w:r>
        <w:rPr>
          <w:rFonts w:hint="eastAsia" w:ascii="宋体" w:hAnsi="宋体" w:eastAsia="宋体" w:cs="宋体"/>
          <w:color w:val="auto"/>
        </w:rPr>
        <w:t xml:space="preserve">联系人：</w:t>
      </w:r>
      <w:r>
        <w:rPr>
          <w:rFonts w:hint="eastAsia" w:ascii="宋体" w:hAnsi="宋体" w:eastAsia="宋体" w:cs="宋体"/>
          <w:color w:val="auto"/>
          <w:szCs w:val="21"/>
        </w:rPr>
        <w:t xml:space="preserve">史尚哲</w:t>
      </w:r>
      <w:r/>
    </w:p>
    <w:p>
      <w:pPr>
        <w:ind w:firstLine="420"/>
        <w:jc w:val="left"/>
        <w:spacing w:line="440" w:lineRule="exact"/>
        <w:rPr>
          <w:rFonts w:hint="eastAsia" w:ascii="宋体" w:hAnsi="宋体" w:eastAsia="宋体" w:cs="宋体"/>
          <w:color w:val="auto"/>
          <w:u w:val="single"/>
        </w:rPr>
      </w:pPr>
      <w:r>
        <w:rPr>
          <w:rFonts w:hint="eastAsia" w:ascii="宋体" w:hAnsi="宋体" w:eastAsia="宋体" w:cs="宋体"/>
          <w:color w:val="auto"/>
        </w:rPr>
        <w:t xml:space="preserve">联系方式：</w:t>
      </w:r>
      <w:r>
        <w:rPr>
          <w:rFonts w:hint="eastAsia" w:ascii="宋体" w:hAnsi="宋体" w:eastAsia="宋体" w:cs="宋体"/>
          <w:color w:val="auto"/>
          <w:szCs w:val="21"/>
        </w:rPr>
        <w:t xml:space="preserve">0514-80597532</w:t>
      </w:r>
      <w:r/>
    </w:p>
    <w:p>
      <w:pPr>
        <w:ind w:firstLine="420"/>
        <w:jc w:val="left"/>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2.代理机构信息</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rPr>
        <w:t xml:space="preserve">名 称：</w:t>
      </w:r>
      <w:r>
        <w:rPr>
          <w:rFonts w:hint="eastAsia" w:ascii="宋体" w:hAnsi="宋体" w:eastAsia="宋体" w:cs="宋体"/>
          <w:color w:val="auto"/>
          <w:szCs w:val="21"/>
        </w:rPr>
        <w:t xml:space="preserve">江苏辰诚工程咨询有限公司</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rPr>
        <w:t xml:space="preserve">地　址：</w:t>
      </w:r>
      <w:r>
        <w:rPr>
          <w:rFonts w:hint="eastAsia" w:ascii="宋体" w:hAnsi="宋体" w:eastAsia="宋体" w:cs="宋体"/>
          <w:color w:val="auto"/>
          <w:szCs w:val="21"/>
        </w:rPr>
        <w:t xml:space="preserve">扬州市邗江区</w:t>
      </w:r>
      <w:bookmarkStart w:id="36" w:name="_Toc28359010"/>
      <w:r/>
      <w:bookmarkStart w:id="37" w:name="_Toc28359087"/>
      <w:r>
        <w:rPr>
          <w:rFonts w:hint="eastAsia" w:ascii="宋体" w:hAnsi="宋体" w:eastAsia="宋体" w:cs="宋体"/>
          <w:color w:val="auto"/>
          <w:szCs w:val="21"/>
        </w:rPr>
        <w:t xml:space="preserve">天润国际大厦21楼</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联系人：</w:t>
      </w:r>
      <w:r>
        <w:rPr>
          <w:rFonts w:hint="eastAsia" w:ascii="宋体" w:hAnsi="宋体" w:eastAsia="宋体" w:cs="宋体"/>
          <w:color w:val="auto"/>
          <w:szCs w:val="21"/>
        </w:rPr>
        <w:t xml:space="preserve">任杰</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联系方式：0514-82055005</w:t>
      </w:r>
      <w:bookmarkEnd w:id="36"/>
      <w:r/>
      <w:bookmarkEnd w:id="37"/>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3.项目联系方式</w:t>
      </w:r>
      <w:r/>
    </w:p>
    <w:p>
      <w:pPr>
        <w:ind w:firstLine="420"/>
        <w:spacing w:line="440" w:lineRule="exact"/>
        <w:rPr>
          <w:rFonts w:hint="eastAsia" w:ascii="宋体" w:hAnsi="宋体" w:eastAsia="宋体" w:cs="宋体"/>
          <w:color w:val="auto"/>
        </w:rPr>
        <w:sectPr>
          <w:footerReference w:type="default" r:id="rId12"/>
          <w:footnotePr/>
          <w:endnotePr/>
          <w:type w:val="nextPage"/>
          <w:pgSz w:w="11906" w:h="16838" w:orient="portrait"/>
          <w:pgMar w:top="1440" w:right="1800" w:bottom="1440" w:left="1800" w:header="851" w:footer="992" w:gutter="0"/>
          <w:pgNumType w:start="2"/>
          <w:cols w:num="1" w:sep="0" w:space="0" w:equalWidth="1"/>
          <w:docGrid w:linePitch="360"/>
        </w:sectPr>
      </w:pPr>
      <w:r>
        <w:rPr>
          <w:rFonts w:hint="eastAsia" w:ascii="宋体" w:hAnsi="宋体" w:eastAsia="宋体" w:cs="宋体"/>
          <w:color w:val="auto"/>
        </w:rPr>
        <w:t xml:space="preserve">联系方式：</w:t>
      </w:r>
      <w:r>
        <w:rPr>
          <w:rFonts w:hint="eastAsia" w:ascii="宋体" w:hAnsi="宋体" w:eastAsia="宋体" w:cs="宋体"/>
          <w:color w:val="auto"/>
          <w:szCs w:val="21"/>
        </w:rPr>
        <w:t xml:space="preserve">任杰</w:t>
      </w:r>
      <w:r>
        <w:rPr>
          <w:rFonts w:hint="eastAsia" w:ascii="宋体" w:hAnsi="宋体" w:eastAsia="宋体" w:cs="宋体"/>
          <w:color w:val="auto"/>
        </w:rPr>
        <w:t xml:space="preserve"> 15895775155</w:t>
      </w:r>
      <w:r/>
    </w:p>
    <w:p>
      <w:pPr>
        <w:pStyle w:val="887"/>
        <w:jc w:val="center"/>
        <w:spacing w:before="0" w:after="0" w:line="440" w:lineRule="exact"/>
        <w:rPr>
          <w:rFonts w:hint="eastAsia" w:ascii="宋体" w:hAnsi="宋体" w:eastAsia="宋体" w:cs="宋体"/>
          <w:color w:val="auto"/>
          <w:sz w:val="36"/>
          <w:szCs w:val="36"/>
        </w:rPr>
      </w:pPr>
      <w:r/>
      <w:bookmarkStart w:id="38" w:name="_Toc55204178"/>
      <w:r/>
      <w:bookmarkStart w:id="39" w:name="_Toc9486"/>
      <w:r>
        <w:rPr>
          <w:rFonts w:hint="eastAsia" w:ascii="宋体" w:hAnsi="宋体" w:eastAsia="宋体" w:cs="宋体"/>
          <w:color w:val="auto"/>
          <w:sz w:val="36"/>
          <w:szCs w:val="36"/>
        </w:rPr>
        <w:t xml:space="preserve">第二章 投标人须知</w:t>
      </w:r>
      <w:bookmarkEnd w:id="38"/>
      <w:r/>
      <w:bookmarkEnd w:id="39"/>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1、招标方式</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1.1本次招标采取公开招标方式，本招标文件仅适用于</w:t>
      </w:r>
      <w:r>
        <w:rPr>
          <w:rFonts w:hint="eastAsia" w:ascii="宋体" w:hAnsi="宋体" w:cs="宋体"/>
          <w:bCs/>
          <w:color w:val="auto"/>
          <w:szCs w:val="21"/>
          <w:lang w:eastAsia="zh-CN"/>
        </w:rPr>
        <w:t xml:space="preserve">JSZC-321000-YZCC-G2026-0005</w:t>
      </w:r>
      <w:r>
        <w:rPr>
          <w:rFonts w:hint="eastAsia" w:ascii="宋体" w:hAnsi="宋体" w:eastAsia="宋体" w:cs="宋体"/>
          <w:bCs/>
          <w:color w:val="auto"/>
          <w:szCs w:val="21"/>
          <w:lang w:eastAsia="zh-CN"/>
        </w:rPr>
        <w:t xml:space="preserve">号</w:t>
      </w:r>
      <w:r>
        <w:rPr>
          <w:rFonts w:hint="eastAsia" w:ascii="宋体" w:hAnsi="宋体" w:eastAsia="宋体" w:cs="宋体"/>
          <w:bCs/>
          <w:color w:val="auto"/>
          <w:szCs w:val="21"/>
        </w:rPr>
        <w:t xml:space="preserve">项目。</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2、投标人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2.1本招标文件中“供应商”，即“投标人”，是指参加投标竞争，并符合招标文件规定资格条件的法人、其他组织或者自然人。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2.2合格的投标人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2.2.1 满足招标公告中供应商的资格条件要求的规定。</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2.2.2 满足本文件实质性条款的规定。</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3、适用法律</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4、投标费用</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4.2采购人依据苏财规〔2026〕1号规定，结合本项目实际采购需求，鉴于政府采购资金支付流程相对复杂，为简化支付环节、避免因资金拨付审批等原因导致代理服务费支付延迟，保障代理机构合法权益，切实提升采购效率，本项目代理服务费</w:t>
      </w:r>
      <w:r>
        <w:rPr>
          <w:rFonts w:hint="eastAsia" w:ascii="宋体" w:hAnsi="宋体" w:eastAsia="宋体" w:cs="宋体"/>
          <w:color w:val="auto"/>
          <w:lang w:val="en-US" w:eastAsia="zh-CN"/>
        </w:rPr>
        <w:t xml:space="preserve">已包含在</w:t>
      </w:r>
      <w:r>
        <w:rPr>
          <w:rFonts w:hint="eastAsia" w:ascii="宋体" w:hAnsi="宋体" w:eastAsia="宋体" w:cs="宋体"/>
          <w:color w:val="auto"/>
        </w:rPr>
        <w:t xml:space="preserve">采购预算</w:t>
      </w:r>
      <w:r>
        <w:rPr>
          <w:rFonts w:hint="eastAsia" w:ascii="宋体" w:hAnsi="宋体" w:eastAsia="宋体" w:cs="宋体"/>
          <w:color w:val="auto"/>
          <w:lang w:val="en-US" w:eastAsia="zh-CN"/>
        </w:rPr>
        <w:t xml:space="preserve">中，</w:t>
      </w:r>
      <w:r>
        <w:rPr>
          <w:rFonts w:hint="eastAsia" w:ascii="宋体" w:hAnsi="宋体" w:eastAsia="宋体" w:cs="宋体"/>
          <w:color w:val="auto"/>
        </w:rPr>
        <w:t xml:space="preserve">由</w:t>
      </w:r>
      <w:r>
        <w:rPr>
          <w:rFonts w:hint="eastAsia" w:ascii="宋体" w:hAnsi="宋体" w:eastAsia="宋体" w:cs="宋体"/>
          <w:color w:val="auto"/>
          <w:lang w:val="en-US" w:eastAsia="zh-CN"/>
        </w:rPr>
        <w:t xml:space="preserve">中标</w:t>
      </w:r>
      <w:r>
        <w:rPr>
          <w:rFonts w:hint="eastAsia" w:ascii="宋体" w:hAnsi="宋体" w:eastAsia="宋体" w:cs="宋体"/>
          <w:color w:val="auto"/>
        </w:rPr>
        <w:t xml:space="preserve">供应商支付代理服务费。供应商应充分考虑该</w:t>
      </w:r>
      <w:r>
        <w:rPr>
          <w:rFonts w:hint="eastAsia" w:ascii="宋体" w:hAnsi="宋体" w:eastAsia="宋体" w:cs="宋体"/>
          <w:color w:val="auto"/>
          <w:lang w:val="en-US" w:eastAsia="zh-CN"/>
        </w:rPr>
        <w:t xml:space="preserve">项</w:t>
      </w:r>
      <w:r>
        <w:rPr>
          <w:rFonts w:hint="eastAsia" w:ascii="宋体" w:hAnsi="宋体" w:eastAsia="宋体" w:cs="宋体"/>
          <w:color w:val="auto"/>
        </w:rPr>
        <w:t xml:space="preserve">费用，</w:t>
      </w:r>
      <w:r>
        <w:rPr>
          <w:rFonts w:hint="eastAsia" w:ascii="宋体" w:hAnsi="宋体" w:eastAsia="宋体" w:cs="宋体"/>
          <w:color w:val="auto"/>
          <w:lang w:val="en-US" w:eastAsia="zh-CN"/>
        </w:rPr>
        <w:t xml:space="preserve">在投标</w:t>
      </w:r>
      <w:r>
        <w:rPr>
          <w:rFonts w:hint="eastAsia" w:ascii="宋体" w:hAnsi="宋体" w:eastAsia="宋体" w:cs="宋体"/>
          <w:color w:val="auto"/>
        </w:rPr>
        <w:t xml:space="preserve">报价</w:t>
      </w:r>
      <w:r>
        <w:rPr>
          <w:rFonts w:hint="eastAsia" w:ascii="宋体" w:hAnsi="宋体" w:eastAsia="宋体" w:cs="宋体"/>
          <w:color w:val="auto"/>
          <w:lang w:val="en-US" w:eastAsia="zh-CN"/>
        </w:rPr>
        <w:t xml:space="preserve">时</w:t>
      </w:r>
      <w:r>
        <w:rPr>
          <w:rFonts w:hint="eastAsia" w:ascii="宋体" w:hAnsi="宋体" w:eastAsia="宋体" w:cs="宋体"/>
          <w:color w:val="auto"/>
        </w:rPr>
        <w:t xml:space="preserve">应当包含代理服务费，采购人不再另行支付。</w:t>
      </w:r>
      <w:r/>
    </w:p>
    <w:p>
      <w:pPr>
        <w:ind w:firstLine="422"/>
        <w:spacing w:line="440" w:lineRule="exact"/>
        <w:rPr>
          <w:rFonts w:hint="eastAsia" w:ascii="宋体" w:hAnsi="宋体" w:eastAsia="宋体" w:cs="宋体"/>
          <w:b/>
          <w:bCs/>
          <w:color w:val="auto"/>
          <w:szCs w:val="21"/>
        </w:rPr>
      </w:pPr>
      <w:r>
        <w:rPr>
          <w:rFonts w:hint="eastAsia" w:ascii="宋体" w:hAnsi="宋体" w:eastAsia="宋体" w:cs="宋体"/>
          <w:b/>
          <w:color w:val="auto"/>
          <w:szCs w:val="21"/>
        </w:rPr>
        <w:t xml:space="preserve">4.</w:t>
      </w:r>
      <w:r>
        <w:rPr>
          <w:rFonts w:hint="eastAsia" w:ascii="宋体" w:hAnsi="宋体" w:cs="宋体"/>
          <w:b/>
          <w:color w:val="auto"/>
          <w:szCs w:val="21"/>
          <w:lang w:val="en-US" w:eastAsia="zh-CN"/>
        </w:rPr>
        <w:t xml:space="preserve">3</w:t>
      </w:r>
      <w:r>
        <w:rPr>
          <w:rFonts w:hint="eastAsia" w:ascii="宋体" w:hAnsi="宋体" w:eastAsia="宋体" w:cs="宋体"/>
          <w:b/>
          <w:color w:val="auto"/>
          <w:szCs w:val="21"/>
        </w:rPr>
        <w:t xml:space="preserve">本次采购由中标人在领取中标通知书前按照国家计委印发的《招标代理服务收费管理暂行办法》(计价格【2002】1980 号文)服务类标准一次性支付给招标代理机构代理服务费。</w:t>
      </w:r>
      <w:r>
        <w:rPr>
          <w:rFonts w:hint="eastAsia" w:ascii="宋体" w:hAnsi="宋体" w:eastAsia="宋体" w:cs="宋体"/>
          <w:b/>
          <w:bCs/>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（1）代理服务费以人民币支付；</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（2）代理服务费一次性以电汇、转账等非现金形式支付；</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（3）招标代理服务费不在投标报价中单列，包含在投标总价中，由中标单位支付给代理机构。</w:t>
      </w:r>
      <w:r/>
    </w:p>
    <w:p>
      <w:pPr>
        <w:ind w:firstLine="420"/>
        <w:spacing w:line="440" w:lineRule="exact"/>
        <w:rPr>
          <w:rFonts w:hint="eastAsia" w:ascii="宋体" w:hAnsi="宋体" w:eastAsia="宋体" w:cs="宋体"/>
          <w:color w:val="auto"/>
          <w:szCs w:val="21"/>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rPr>
        <w:t xml:space="preserve">招标代理服务费开户银行：</w:t>
      </w:r>
      <w:r>
        <w:rPr>
          <w:rFonts w:hint="eastAsia" w:ascii="宋体" w:hAnsi="宋体" w:eastAsia="宋体" w:cs="宋体"/>
          <w:color w:val="auto"/>
          <w:szCs w:val="21"/>
        </w:rPr>
        <w:t xml:space="preserve">交通银行扬州分行 </w:t>
      </w:r>
      <w:r/>
    </w:p>
    <w:p>
      <w:pPr>
        <w:ind w:firstLine="420"/>
        <w:spacing w:line="440" w:lineRule="exact"/>
        <w:rPr>
          <w:rFonts w:hint="eastAsia" w:ascii="宋体" w:hAnsi="宋体" w:eastAsia="宋体" w:cs="宋体"/>
          <w:color w:val="auto"/>
          <w:szCs w:val="21"/>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rPr>
        <w:t xml:space="preserve">开户名称：江苏辰诚工程咨询有限公司</w:t>
      </w:r>
      <w:r/>
    </w:p>
    <w:p>
      <w:pPr>
        <w:ind w:firstLine="420"/>
        <w:spacing w:line="440" w:lineRule="exact"/>
        <w:rPr>
          <w:rFonts w:hint="eastAsia" w:ascii="宋体" w:hAnsi="宋体" w:eastAsia="宋体" w:cs="宋体"/>
          <w:color w:val="auto"/>
          <w:szCs w:val="21"/>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rPr>
        <w:t xml:space="preserve">开户帐号：395067000018150168946</w:t>
      </w:r>
      <w:r/>
    </w:p>
    <w:p>
      <w:pPr>
        <w:ind w:firstLine="422"/>
        <w:spacing w:line="44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4.</w:t>
      </w:r>
      <w:r>
        <w:rPr>
          <w:rFonts w:hint="eastAsia" w:ascii="宋体" w:hAnsi="宋体" w:cs="宋体"/>
          <w:b/>
          <w:bCs/>
          <w:color w:val="auto"/>
          <w:szCs w:val="21"/>
          <w:lang w:val="en-US" w:eastAsia="zh-CN"/>
        </w:rPr>
        <w:t xml:space="preserve">4</w:t>
      </w:r>
      <w:r>
        <w:rPr>
          <w:rFonts w:hint="eastAsia" w:ascii="宋体" w:hAnsi="宋体" w:eastAsia="宋体" w:cs="宋体"/>
          <w:b/>
          <w:bCs/>
          <w:color w:val="auto"/>
          <w:szCs w:val="21"/>
        </w:rPr>
        <w:t xml:space="preserve">专家评审费按《扬州市财政局关于进一步规范扬州市政府采购专家评审费标准的通知》（扬财购〔2020〕40号）执行。</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5、招标文件的约束力</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5.1 投标人一旦参加本项目采购活动，即被认为接受了本招标文件的规定和约束。</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6、招标文件构成</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6.1 招标文件有以下部分组成：</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（1）招标公告</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（2）投标人须知</w:t>
      </w:r>
      <w:r>
        <w:rPr>
          <w:rFonts w:hint="eastAsia" w:ascii="宋体" w:hAnsi="宋体" w:eastAsia="宋体" w:cs="宋体"/>
          <w:bCs/>
          <w:color w:val="auto"/>
          <w:szCs w:val="21"/>
        </w:rPr>
        <w:tab/>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（3）合同条款及格式</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（4）项目需求</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（5）评标方法与评标标准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（6）投标文件格式</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请仔细检查招标文件是否齐全，如有缺漏请立即与代理机构联系解决。</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6.3 招标文件如果要求供应商提交备选投标方案的，供应商可以提交备选方案；否则，备选方案将被拒绝。</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7、招标文件的澄清</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7.1 任何要求对招标文件进行澄清的投标人，应在投标截止日期的十日前按招标公告中的通讯地址，以书面形式通知代理机构。</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8、招标文件的修改</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8.1 在投标截止时间前，代理机构可以对招标文件进行修改。</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8.2代理机构在招标文件要求提交投标文件截止时间前，有权按照法定要求推迟投标截止时间和开标时间。</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8.3招标文件的修改将在</w:t>
      </w:r>
      <w:r>
        <w:rPr>
          <w:rFonts w:hint="eastAsia" w:ascii="宋体" w:hAnsi="宋体" w:cs="宋体"/>
          <w:bCs/>
          <w:color w:val="auto"/>
          <w:szCs w:val="21"/>
          <w:lang w:eastAsia="zh-CN"/>
        </w:rPr>
        <w:t xml:space="preserve">“中国政府采购网”、“江苏省政府采购网”、“扬州市政府采购网”</w:t>
      </w:r>
      <w:r>
        <w:rPr>
          <w:rFonts w:hint="eastAsia" w:ascii="宋体" w:hAnsi="宋体" w:eastAsia="宋体" w:cs="宋体"/>
          <w:bCs/>
          <w:color w:val="auto"/>
          <w:szCs w:val="21"/>
        </w:rPr>
        <w:t xml:space="preserve">公布，补充文件将作为招标文件的组成部分，并对投标人具有约束力。</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9、投标文件的语言、度量衡单位、货币</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9.1投标人提交的投标文件以及投标人与代理机构就有关投标的所有来往通知、函件和文件均应使用简体中文。</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9.2 除技术性能另有规定外，投标文件所使用的度量衡单位，均须采用国家法定计量单位。</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9.3投标人应使用人民币报价。</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10、投标文件构成</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10.1投标文件由以下部分组成</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（1）资格审查响应对照表</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（2）符合性审查响应对照表</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（3）非实质性响应对照表</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（4）开标一览表 </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（5）分项报价表 </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（6）技术参数响应及偏离表 </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（7）商务条款响应及偏离表 </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（8）其他 （投标人认为有必要提供的声明和文件，如有自拟并自行添加）</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11、证明投标人资格及符合招标文件规定的文件</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11.1投标人应按要求提交资格证明文件及符合招标文件规定的文件。</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11.2投标人应提交证明其有资格参加投标和中标后有能力独立履行合同的文件。</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11.3投标人除必须具有履行合同所需提供的产品或服务的能力外，还必须具备相应的财务、技术方面的能力。</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11.4投标人应提交根据合同要求提供的证明服务质量合格以及符合招标文件规定的证明文件。</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11.5证明投标人所提供服务与招标文件的要求相一致的文件可以是手册、图纸、文字资料和数据。</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12、</w:t>
      </w:r>
      <w:r>
        <w:rPr>
          <w:rFonts w:hint="eastAsia" w:ascii="宋体" w:hAnsi="宋体" w:eastAsia="宋体" w:cs="宋体"/>
          <w:b/>
          <w:bCs/>
          <w:color w:val="auto"/>
        </w:rPr>
        <w:t xml:space="preserve">分项报价表</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12.1 </w:t>
      </w:r>
      <w:r>
        <w:rPr>
          <w:rFonts w:ascii="宋体" w:hAnsi="宋体" w:eastAsia="宋体" w:cs="宋体"/>
          <w:color w:val="auto"/>
          <w:sz w:val="22"/>
        </w:rPr>
        <w:t xml:space="preserve">投标供应商应按照招标文件规定格式填报分项报价表，每项服务只允许有一个报价，任何有选择的报价将不予接受。</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12.2 标的物</w:t>
      </w:r>
      <w:r/>
    </w:p>
    <w:p>
      <w:pPr>
        <w:ind w:left="0" w:right="0" w:firstLine="44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采购人需求的服务等。</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12.3其它费用处理</w:t>
      </w:r>
      <w:r/>
    </w:p>
    <w:p>
      <w:pPr>
        <w:ind w:left="0" w:right="0" w:firstLine="44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招标报价采用总承包方式，投标供应商的报价应包含为完成本项目所有服务内容所涉及的一切费用。</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12.4投标货币</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投标文件中的服务单价和总价无特殊规定的采用人民币报价，以元为单位标注。招标文件中另有规定的按规定执行。</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13、技术参数响应及偏离表、商务条款响应及偏离表及投标货物说明</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13.1 对招标文件中的技术与商务条款要求逐项作出响应或偏离，并说明原因；</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13.</w:t>
      </w:r>
      <w:r>
        <w:rPr>
          <w:rFonts w:hint="eastAsia" w:ascii="宋体" w:hAnsi="宋体" w:cs="宋体"/>
          <w:bCs/>
          <w:color w:val="auto"/>
          <w:szCs w:val="21"/>
          <w:lang w:val="en-US" w:eastAsia="zh-CN"/>
        </w:rPr>
        <w:t xml:space="preserve">2</w:t>
      </w:r>
      <w:r>
        <w:rPr>
          <w:rFonts w:hint="eastAsia" w:ascii="宋体" w:hAnsi="宋体" w:eastAsia="宋体" w:cs="宋体"/>
          <w:bCs/>
          <w:color w:val="auto"/>
          <w:szCs w:val="21"/>
        </w:rPr>
        <w:t xml:space="preserve"> 投标人认为需要的其他技术文件或说明。</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14、服务承诺及售后服务机构、人员的情况介绍</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14.1投标人的服务承诺应按不低于招标文件中商务要求的标准。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14.2提供投标人有关售后服务的管理制度、售后服务机构的分布情况、售后服务人员的数量、素质、技术水平及售后服务的反应能力。</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15、投标函和开标一览表</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15.1 投标人应按照招标文件中提供的格式完整、正确填写投标函、开标一览表。</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16、投标有效期</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16.1 投标有效期为开标之日起</w:t>
      </w:r>
      <w:r>
        <w:rPr>
          <w:rFonts w:hint="eastAsia" w:ascii="宋体" w:hAnsi="宋体" w:eastAsia="宋体" w:cs="宋体"/>
          <w:b/>
          <w:bCs w:val="0"/>
          <w:color w:val="auto"/>
          <w:szCs w:val="21"/>
        </w:rPr>
        <w:t xml:space="preserve">六十（60）天</w:t>
      </w:r>
      <w:r>
        <w:rPr>
          <w:rFonts w:hint="eastAsia" w:ascii="宋体" w:hAnsi="宋体" w:eastAsia="宋体" w:cs="宋体"/>
          <w:bCs/>
          <w:color w:val="auto"/>
          <w:szCs w:val="21"/>
        </w:rPr>
        <w:t xml:space="preserve">。投标有效期比规定短的将被视为非响应性投标而予以拒绝。</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hint="eastAsia" w:ascii="宋体" w:hAnsi="宋体" w:eastAsia="宋体" w:cs="宋体"/>
          <w:b/>
          <w:color w:val="auto"/>
          <w:szCs w:val="21"/>
        </w:rPr>
      </w:pPr>
      <w:r/>
      <w:bookmarkStart w:id="40" w:name="_Toc462564084"/>
      <w:r/>
      <w:bookmarkStart w:id="41" w:name="_Toc513029225"/>
      <w:r/>
      <w:bookmarkStart w:id="42" w:name="_Toc16938541"/>
      <w:r/>
      <w:bookmarkStart w:id="43" w:name="_Toc20823297"/>
      <w:r>
        <w:rPr>
          <w:rFonts w:hint="eastAsia" w:ascii="宋体" w:hAnsi="宋体" w:eastAsia="宋体" w:cs="宋体"/>
          <w:b/>
          <w:color w:val="auto"/>
          <w:szCs w:val="21"/>
        </w:rPr>
        <w:t xml:space="preserve">17、投标文件</w:t>
      </w:r>
      <w:bookmarkEnd w:id="40"/>
      <w:r/>
      <w:bookmarkEnd w:id="41"/>
      <w:r/>
      <w:bookmarkEnd w:id="42"/>
      <w:r/>
      <w:bookmarkEnd w:id="43"/>
      <w:r>
        <w:rPr>
          <w:rFonts w:hint="eastAsia" w:ascii="宋体" w:hAnsi="宋体" w:eastAsia="宋体" w:cs="宋体"/>
          <w:b/>
          <w:color w:val="auto"/>
          <w:szCs w:val="21"/>
        </w:rPr>
        <w:t xml:space="preserve">的递交</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17.1 电子投标文件的递交投标人应当按照《操作手册》规定，在投标截止时间前制作并上传电子投标文件。</w:t>
      </w:r>
      <w:bookmarkStart w:id="44" w:name="_Toc20823298"/>
      <w:r/>
      <w:bookmarkStart w:id="45" w:name="_Toc16938542"/>
      <w:r/>
      <w:bookmarkStart w:id="46" w:name="_Toc513029226"/>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17.2</w:t>
      </w:r>
      <w:r>
        <w:rPr>
          <w:rFonts w:hint="eastAsia" w:ascii="宋体" w:hAnsi="宋体" w:eastAsia="宋体" w:cs="宋体"/>
          <w:b/>
          <w:bCs/>
          <w:color w:val="auto"/>
          <w:szCs w:val="21"/>
        </w:rPr>
        <w:t xml:space="preserve">政府采购管理交易系统（苏采云）</w:t>
      </w:r>
      <w:r>
        <w:rPr>
          <w:rFonts w:hint="eastAsia" w:ascii="宋体" w:hAnsi="宋体" w:eastAsia="宋体" w:cs="宋体"/>
          <w:b/>
          <w:color w:val="auto"/>
          <w:szCs w:val="21"/>
        </w:rPr>
        <w:t xml:space="preserve">相关要求是本招标文件的组成部分。</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17.3投标人应对 CA 证书妥善保管，如被他人盗用投标，因此带来的结果均由投标人自行承担。</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17.4投标人应当对招标文件提出的要求和条件作出实质性响应，并在电子投标系统逐条应答。</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17.5投标人应对要求提供的资格证明文件（如资质证书、资格证书）、技术资料（如白皮书、彩页、手册、检测报告等）扫描上传至投标系统。</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17.6投标人应当在招标文件要求提交投标文件的截止时间前，将投标文件提交至“苏采云”系统，逾期提交的投标文件，“苏采云”系统将自动拒收。</w:t>
      </w:r>
      <w:r/>
    </w:p>
    <w:p>
      <w:pPr>
        <w:ind w:firstLine="422"/>
        <w:spacing w:line="440" w:lineRule="exact"/>
        <w:rPr>
          <w:rFonts w:hint="eastAsia" w:ascii="宋体" w:hAnsi="宋体" w:eastAsia="宋体" w:cs="宋体"/>
          <w:color w:val="auto"/>
        </w:rPr>
      </w:pPr>
      <w:r>
        <w:rPr>
          <w:rFonts w:hint="eastAsia" w:ascii="宋体" w:hAnsi="宋体" w:eastAsia="宋体" w:cs="宋体"/>
          <w:b/>
          <w:color w:val="auto"/>
          <w:szCs w:val="21"/>
        </w:rPr>
        <w:t xml:space="preserve">17.7各投标人应在规定时间内凭CA证书进行网上解密。</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18、投标截止日期</w:t>
      </w:r>
      <w:bookmarkEnd w:id="44"/>
      <w:r/>
      <w:bookmarkEnd w:id="45"/>
      <w:r/>
      <w:bookmarkEnd w:id="46"/>
      <w:r/>
      <w:r/>
    </w:p>
    <w:p>
      <w:pPr>
        <w:ind w:firstLine="420"/>
        <w:spacing w:line="440" w:lineRule="exact"/>
        <w:rPr>
          <w:rFonts w:hint="eastAsia" w:ascii="宋体" w:hAnsi="宋体" w:eastAsia="宋体" w:cs="宋体"/>
          <w:bCs/>
          <w:i/>
          <w:iCs/>
          <w:color w:val="auto"/>
          <w:szCs w:val="21"/>
          <w:u w:val="single"/>
        </w:rPr>
      </w:pPr>
      <w:r>
        <w:rPr>
          <w:rFonts w:hint="eastAsia" w:ascii="宋体" w:hAnsi="宋体" w:eastAsia="宋体" w:cs="宋体"/>
          <w:bCs/>
          <w:i/>
          <w:iCs/>
          <w:color w:val="auto"/>
          <w:szCs w:val="21"/>
          <w:u w:val="single"/>
        </w:rPr>
        <w:t xml:space="preserve">18.1 投标人上传电子投标文件的时间不得迟于招标公告中规定的投标截止时间</w:t>
      </w:r>
      <w:r>
        <w:rPr>
          <w:rFonts w:hint="eastAsia" w:ascii="宋体" w:hAnsi="宋体" w:eastAsia="宋体" w:cs="宋体"/>
          <w:bCs/>
          <w:i/>
          <w:iCs/>
          <w:color w:val="auto"/>
          <w:szCs w:val="21"/>
        </w:rPr>
        <w:t xml:space="preserve">。</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hint="eastAsia" w:ascii="宋体" w:hAnsi="宋体" w:eastAsia="宋体" w:cs="宋体"/>
          <w:b/>
          <w:color w:val="auto"/>
          <w:szCs w:val="21"/>
        </w:rPr>
      </w:pPr>
      <w:r/>
      <w:bookmarkStart w:id="47" w:name="_Toc20823299"/>
      <w:r/>
      <w:bookmarkStart w:id="48" w:name="_Toc16938543"/>
      <w:r/>
      <w:bookmarkStart w:id="49" w:name="_Toc513029227"/>
      <w:r>
        <w:rPr>
          <w:rFonts w:hint="eastAsia" w:ascii="宋体" w:hAnsi="宋体" w:eastAsia="宋体" w:cs="宋体"/>
          <w:b/>
          <w:color w:val="auto"/>
          <w:szCs w:val="21"/>
        </w:rPr>
        <w:t xml:space="preserve">19、投标文件</w:t>
      </w:r>
      <w:bookmarkEnd w:id="47"/>
      <w:r/>
      <w:bookmarkEnd w:id="48"/>
      <w:r/>
      <w:bookmarkEnd w:id="49"/>
      <w:r>
        <w:rPr>
          <w:rFonts w:hint="eastAsia" w:ascii="宋体" w:hAnsi="宋体" w:eastAsia="宋体" w:cs="宋体"/>
          <w:b/>
          <w:color w:val="auto"/>
          <w:szCs w:val="21"/>
        </w:rPr>
        <w:t xml:space="preserve">的拒收</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19.1代理机构拒绝接收在其规定的投标截止时间后上传的任何投标文件。</w:t>
      </w:r>
      <w:r/>
    </w:p>
    <w:p>
      <w:pPr>
        <w:ind w:firstLine="422"/>
        <w:spacing w:line="440" w:lineRule="exact"/>
        <w:rPr>
          <w:rFonts w:hint="eastAsia" w:ascii="宋体" w:hAnsi="宋体" w:eastAsia="宋体" w:cs="宋体"/>
          <w:b/>
          <w:color w:val="auto"/>
          <w:szCs w:val="21"/>
        </w:rPr>
      </w:pPr>
      <w:r/>
      <w:bookmarkStart w:id="50" w:name="_Toc20823300"/>
      <w:r/>
      <w:bookmarkStart w:id="51" w:name="_Toc513029228"/>
      <w:r/>
      <w:bookmarkStart w:id="52" w:name="_Toc16938544"/>
      <w:r>
        <w:rPr>
          <w:rFonts w:hint="eastAsia" w:ascii="宋体" w:hAnsi="宋体" w:eastAsia="宋体" w:cs="宋体"/>
          <w:b/>
          <w:color w:val="auto"/>
          <w:szCs w:val="21"/>
        </w:rPr>
        <w:t xml:space="preserve">20、投标文件的撤回和修改</w:t>
      </w:r>
      <w:bookmarkEnd w:id="50"/>
      <w:r/>
      <w:bookmarkEnd w:id="51"/>
      <w:r/>
      <w:bookmarkEnd w:id="52"/>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20.1 投标文件的撤回</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20.1.1 电子投标文件的撤回</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投标人可在投标截止时间前，撤回其电子投标文件，具体操作方法见《操作手册》。</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20.1.2 投标人撤回电子投标文件，则认为其不再参与本项目投标活动。</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20.2 投标文件的修改</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投标人可在投标截止时间前，对其电子投标文件进行修改，具体操作方法见《操作手册》。</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20.3 在投标截止时间之后，投标人不得对其电子投标文件作任何修改。</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20.4 在投标截止时间至招标文件中规定的投标有效期满之间的这段时间内，投标人不得撤回其投标。</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21、开标</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21.1 代理机构将在招标公告中规定的时间和地点组织公开开标。投标人应当按照《操作手册》规定，</w:t>
      </w:r>
      <w:r>
        <w:rPr>
          <w:rFonts w:hint="eastAsia" w:ascii="宋体" w:hAnsi="宋体"/>
          <w:bCs/>
          <w:color w:val="auto"/>
          <w:szCs w:val="21"/>
        </w:rPr>
        <w:t xml:space="preserve">参加开标活动和在苏采云系统规定的时间内对投标文件进行解密。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21.2投标人不足3家的，不得开标。</w:t>
      </w:r>
      <w:r/>
    </w:p>
    <w:p>
      <w:pPr>
        <w:ind w:firstLine="422"/>
        <w:spacing w:line="440" w:lineRule="exact"/>
        <w:rPr>
          <w:rFonts w:hint="eastAsia" w:ascii="宋体" w:hAnsi="宋体" w:eastAsia="宋体" w:cs="宋体"/>
          <w:bCs/>
          <w:color w:val="auto"/>
          <w:szCs w:val="21"/>
        </w:rPr>
      </w:pPr>
      <w:r>
        <w:rPr>
          <w:rFonts w:hint="eastAsia" w:ascii="宋体" w:hAnsi="宋体" w:eastAsia="宋体" w:cs="宋体"/>
          <w:b/>
          <w:color w:val="auto"/>
          <w:szCs w:val="21"/>
        </w:rPr>
        <w:t xml:space="preserve">21.3开标仪式由代理机构主持。“政府采购管理交易系统（苏采云）”将自动对项目进行开标，并宣读各投标人的《开标一览表》。</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21.4投标人在开标过程中涉及到的投标文件解密、开标结果确认等工作，应按照《操作手册》规定执行。</w:t>
      </w:r>
      <w:r/>
    </w:p>
    <w:p>
      <w:pPr>
        <w:ind w:firstLine="420"/>
        <w:spacing w:line="440" w:lineRule="exact"/>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 xml:space="preserve">21.5投标人如果对开标过程和开标记录有疑义，应当根据《操作手册》规定提出，如苏采云系统中《开标记录表》宣布后5分钟内未提出的，视同认可开标结果。</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22、评标委员会</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22.1 开标后，代理机构将立即组织评标委员会（以下简称评委会）进行评标。</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22.2 评委会由采购人代表和有关技术、经济等方面的专家组成，且人员构成符合政府采购有关规定。</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22.3评委会独立工作，负责评审所有投标文件并确定中标候选人。</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23、评标过程的保密与公正</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23.2在评标过程中，投标人不得以任何行为影响评标过程，否则其投标文件将被作为无效投标文件。</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23.3 在评标期间，代理机构将设专门工作人员与投标人联系。</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23.4 代理机构和评委会不向未中标的投标人解释未中标原因，也不公布评标过程中的相关细节。</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24、投标的澄清</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24.3 接到评委会澄清要求的投标人如未按规定做出澄清，其风险由投标人自行承担。</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25、对投标文件的初审</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25.1投标文件初审分为资格审查和符合性审查。</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25.4评委会将对确定为实质性响应的投标进行进一步审核，看其是否有计算上或累加上的算术错误，修正错误的原则如下：</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（1）投标文件中开标一览表内容与投标文件中相应内容不一致的，以开标一览表为准。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（2）大写金额与小写金额不一致的，以大写金额为准。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（3）单价金额小数点或者百分比有明显错位的，以开标一览表的总价为准，并修改单价。</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（4）总价金额与按单价汇总金额不一致的，以单价金额计算结果为准。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同时出现两种以上错误的，按照前款规定的顺序修正。</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25.7采用最低评标价法的采购项目，提供相同品牌产品的不同投标供应商参加同一合同项下投标的，以其中通过资格审查、符合性审查且报价最低的参加评标；报价相同的，由评委会按照招标文件规定的方式确定，招标文件未规定的通过随机抽取的方式确定一个参加评标的投标供应商，其他投标无效。</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委会根据招标文件规定的方式确定，招标文件未规定的采取随机抽取的方式确定一个中标候选人，其他同品牌投标供应商不作为中标候选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非单一产品采购项目，招标文件中将载明其中的核心产品。多家投标供应商提供的核心产品品牌相同的，按前两款规定处理。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25.8 投标供应商在开、评标全过程中应保持通讯畅通，并安排专人与代理机构及评委会联系。</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26、无效投标、废标及投标人不足三家的处理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26.1无效投标条款</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26.1.1 投标人未成功解密电子投标文件的。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26.1.2 投标人未按照招标文件要求上传电子投标文件的。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26.1.3投标人在报价时采用选择性报价的。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26.1.4投标人不具备招标文件中规定资格要求的。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26.1.5投标人的报价超过了采购预算或最高限价的。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26.1.6未通过符合性审查的。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26.1.7不符合招标文件中规定的其他实质性要求和条件的（</w:t>
      </w:r>
      <w:r>
        <w:rPr>
          <w:rFonts w:hint="eastAsia" w:ascii="宋体" w:hAnsi="宋体" w:eastAsia="宋体" w:cs="宋体"/>
          <w:bCs/>
          <w:i/>
          <w:iCs/>
          <w:color w:val="auto"/>
          <w:szCs w:val="21"/>
          <w:u w:val="single"/>
        </w:rPr>
        <w:t xml:space="preserve">本招标文件中斜体且有下划线部分为实质性要求和条件</w:t>
      </w:r>
      <w:r>
        <w:rPr>
          <w:rFonts w:hint="eastAsia" w:ascii="宋体" w:hAnsi="宋体" w:eastAsia="宋体" w:cs="宋体"/>
          <w:bCs/>
          <w:color w:val="auto"/>
          <w:szCs w:val="21"/>
        </w:rPr>
        <w:t xml:space="preserve">）。</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26.1.9  投标文件含有采购人不能接受的附加条件的。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26.1.12 投标文件未按照招标文件要求加盖电子签章。</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26.1.13其他法律、法规及本招标文件规定的属无效投标的情形。</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26.2废标条款：</w:t>
      </w:r>
      <w:r/>
    </w:p>
    <w:p>
      <w:pPr>
        <w:ind w:left="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26.2.1符合专业条件的供应商或者对招标文件作实质响应的供应商不足三家的。26.2.2出现影响采购公正的违法、违规行为的。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26.2.3因重大变故，采购任务取消的。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26.2.4评委会认定招标文件存在歧义、重大缺陷导致评审工作无法进行。</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26.3 投标截止时间结束后参加投标的供应商不足三家的处理：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27、确定中标单位</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27.1评委会根据本招标文件规定评标方法与评标标准向采购人推荐出中标候选人。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27.2 采购人应根据评委会推荐的中标候选人确定中标人。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27.3代理机构将在</w:t>
      </w:r>
      <w:r>
        <w:rPr>
          <w:rFonts w:hint="eastAsia" w:ascii="宋体" w:hAnsi="宋体" w:cs="宋体"/>
          <w:bCs/>
          <w:color w:val="auto"/>
          <w:szCs w:val="21"/>
          <w:lang w:eastAsia="zh-CN"/>
        </w:rPr>
        <w:t xml:space="preserve">“中国政府采购网”、“江苏省政府采购网”、“扬州市政府采购网”</w:t>
      </w:r>
      <w:r>
        <w:rPr>
          <w:rFonts w:hint="eastAsia" w:ascii="宋体" w:hAnsi="宋体" w:eastAsia="宋体" w:cs="宋体"/>
          <w:bCs/>
          <w:color w:val="auto"/>
          <w:szCs w:val="21"/>
        </w:rPr>
        <w:t xml:space="preserve">发布中标公告，</w:t>
      </w:r>
      <w:r>
        <w:rPr>
          <w:rFonts w:hint="eastAsia" w:ascii="宋体" w:hAnsi="宋体" w:eastAsia="宋体" w:cs="宋体"/>
          <w:b/>
          <w:bCs w:val="0"/>
          <w:color w:val="auto"/>
          <w:szCs w:val="21"/>
        </w:rPr>
        <w:t xml:space="preserve">公告期限为1个工作日</w:t>
      </w:r>
      <w:r>
        <w:rPr>
          <w:rFonts w:hint="eastAsia" w:ascii="宋体" w:hAnsi="宋体" w:eastAsia="宋体" w:cs="宋体"/>
          <w:bCs/>
          <w:color w:val="auto"/>
          <w:szCs w:val="21"/>
        </w:rPr>
        <w:t xml:space="preserve">。</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27.4若有充分证据证明，中标人出现下列情况之一的，一经查实，将被取消中标资格：</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27.4.1提供虚假材料谋取中标的；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27.4.2向采购人、代理机构行贿或者提供其他不正当利益的；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27.4.3恶意竞争，投标总报价明显低于其自身合理成本且又无法提供证明的；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27.4.4属于本文件规定的无效条件，但在评标过程中又未被评委会发现的；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27.4.5与采购人或者其他投标人恶意串通的；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27.4.6采取不正当手段诋毁、排挤其他供应商的；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27.4.7不符合法律、法规的规定的。</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27.5. 有下列情形之一的，视为投标人串通投标，投标无效：</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27.5.1不同投标人的投标文件由同一单位或者个人编制。</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27.5.2不同投标人委托同一单位或者个人办理投标事宜。</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27.5.3 不同投标人的投标文件载明的项目管理成员或者联系人员为同一人。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27.5.4不同投标人的投标文件异常一致或者投标报价呈规律性差异。</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27.5.5不同投标人的投标文件相互混装。</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28、质疑处理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对项目需求部分的质疑，潜在供应商应向采购人提出，由采购人负责答复。</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28.2.1对采购文件提出质疑的，应当在获取采购文件之日或者采购文件公告期限届满之日起7个工作日内提出。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28.2.2对采购过程提出质疑的，为各采购程序环节结束之日起7个工作日内提出。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28.2.3对中标结果提出质疑的，为中标结果公告期限届满之日起7个工作日内提出。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28.5代理机构及采购人只接收以纸质原件形式送达的质疑，同时需与采购代理机构经办人确认是否收到《质疑函》，如供应商未按上述要求去做，将自行承担所产生的风险。</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采购人质疑接收人及联系方式见招标文件第一章。</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28.6代理机构收到质疑申请后，将对质疑的形式和内容进行审查，如质疑内容、格式不符合规定，代理机构将告知质疑人进行补正。</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28.7质疑人应当在法定质疑期限内进行补正并重新提交质疑函。</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28.8 以下情形的质疑不予受理</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28.8.1 内容不符合《政府采购质疑和投诉办法》第十二条规定的质疑。</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28.8.2 超出政府采购法定期限的质疑。</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28.8.3 以传真、电子邮件等方式递交的非原件形式的质疑。</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28.8.4 未参加投标活动的供应商或在投标活动中自身权益未受到损害的供应商所提出的质疑。</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28.8.5供应商组成联合体参加投标，联合体中任何一方或多方未按要求签字、盖章、加盖公章的质疑。</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29、中标通知书</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29.l 中标结果确定后，代理机构将向中标人发出中标通知书。</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29.2 中标人可在“政府采购管理交易系统（苏采云）”中标通知书下载模块中自行下载中标通知书。</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30、 签订合同</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30.l中标人应在中标通知书发出之日起</w:t>
      </w:r>
      <w:r>
        <w:rPr>
          <w:rFonts w:hint="eastAsia" w:ascii="宋体" w:hAnsi="宋体" w:eastAsia="宋体" w:cs="宋体"/>
          <w:b/>
          <w:bCs w:val="0"/>
          <w:color w:val="auto"/>
          <w:szCs w:val="21"/>
        </w:rPr>
        <w:t xml:space="preserve">三十日</w:t>
      </w:r>
      <w:r>
        <w:rPr>
          <w:rFonts w:hint="eastAsia" w:ascii="宋体" w:hAnsi="宋体" w:eastAsia="宋体" w:cs="宋体"/>
          <w:bCs/>
          <w:color w:val="auto"/>
          <w:szCs w:val="21"/>
        </w:rPr>
        <w:t xml:space="preserve">内，按照招标文件确定的事项与采购人签订政府采购合同。</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30.2 招标文件、中标人的投标文件及招标过程中有关澄清、承诺文件均应作为合同附件。</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30.3 合同在“政府采购管理交易系统（苏采云）”中签订，签订合同后，</w:t>
      </w:r>
      <w:r>
        <w:rPr>
          <w:rFonts w:hint="eastAsia" w:ascii="宋体" w:hAnsi="宋体" w:eastAsia="宋体" w:cs="宋体"/>
          <w:bCs/>
          <w:i/>
          <w:iCs/>
          <w:color w:val="auto"/>
          <w:szCs w:val="21"/>
          <w:u w:val="single"/>
        </w:rPr>
        <w:t xml:space="preserve">中标人不得将货物或服务及其他服务进行转包</w:t>
      </w:r>
      <w:r>
        <w:rPr>
          <w:rFonts w:hint="eastAsia" w:ascii="宋体" w:hAnsi="宋体" w:eastAsia="宋体" w:cs="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31、电子投标文件要求</w:t>
      </w:r>
      <w:r/>
    </w:p>
    <w:p>
      <w:pPr>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31.1政府采购管理交易系统（苏采云）相关要求是本招标文件的组成部分。</w:t>
      </w:r>
      <w:r/>
    </w:p>
    <w:p>
      <w:pPr>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31.2投标供应商应对CA 证书妥善保管，如被他人盗用投标，因此带来的结果均由投标供应商自行承担。</w:t>
      </w:r>
      <w:r/>
    </w:p>
    <w:p>
      <w:pPr>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31.3投标供应商应当对招标文件提出的要求和条件作出实质性响应，并在电子投标系统逐条应答。</w:t>
      </w:r>
      <w:r/>
    </w:p>
    <w:p>
      <w:pPr>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31.4投标供应商应对要求提供的资格证明文件（如资质证书、资格证书）、技术资料（如白皮书、彩页、手册、检测报告等）扫描上传至投标系统。</w:t>
      </w:r>
      <w:r/>
    </w:p>
    <w:p>
      <w:pPr>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32、提交投标文件的截止时间（投标截止时间）</w:t>
      </w:r>
      <w:r/>
    </w:p>
    <w:p>
      <w:pPr>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32.1投标供应商应当在招标文件要求提交投标文件的截止时间前，将投标文件提交至“苏采云”系统，逾期提交的投标文件，“苏采云”系统将自动拒收。</w:t>
      </w:r>
      <w:r/>
    </w:p>
    <w:p>
      <w:pPr>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32.2各投标供应商应在规定时间内凭CA证书进行网上解密。</w:t>
      </w:r>
      <w:r/>
    </w:p>
    <w:p>
      <w:pPr>
        <w:ind w:firstLine="420"/>
        <w:spacing w:line="440" w:lineRule="exact"/>
        <w:rPr>
          <w:rFonts w:hint="eastAsia" w:ascii="宋体" w:hAnsi="宋体" w:eastAsia="宋体" w:cs="宋体"/>
          <w:b w:val="0"/>
          <w:bCs/>
          <w:color w:val="auto"/>
          <w:szCs w:val="21"/>
        </w:rPr>
      </w:pPr>
      <w:r>
        <w:rPr>
          <w:rFonts w:hint="eastAsia" w:ascii="宋体" w:hAnsi="宋体" w:eastAsia="宋体" w:cs="宋体"/>
          <w:b w:val="0"/>
          <w:bCs/>
          <w:color w:val="auto"/>
          <w:szCs w:val="21"/>
        </w:rPr>
        <w:t xml:space="preserve">3</w:t>
      </w:r>
      <w:r>
        <w:rPr>
          <w:rFonts w:hint="eastAsia" w:ascii="宋体" w:hAnsi="宋体" w:eastAsia="宋体" w:cs="宋体"/>
          <w:b w:val="0"/>
          <w:bCs/>
          <w:color w:val="auto"/>
          <w:szCs w:val="21"/>
          <w:lang w:val="en-US" w:eastAsia="zh-CN"/>
        </w:rPr>
        <w:t xml:space="preserve">3</w:t>
      </w:r>
      <w:r>
        <w:rPr>
          <w:rFonts w:hint="eastAsia" w:ascii="宋体" w:hAnsi="宋体" w:eastAsia="宋体" w:cs="宋体"/>
          <w:b w:val="0"/>
          <w:bCs/>
          <w:color w:val="auto"/>
          <w:szCs w:val="21"/>
        </w:rPr>
        <w:t xml:space="preserve">其他</w:t>
      </w:r>
      <w:r/>
    </w:p>
    <w:p>
      <w:pPr>
        <w:ind w:firstLine="420"/>
        <w:spacing w:line="440" w:lineRule="exact"/>
        <w:rPr>
          <w:rFonts w:hint="eastAsia" w:ascii="宋体" w:hAnsi="宋体" w:eastAsia="宋体" w:cs="宋体"/>
          <w:bCs/>
          <w:color w:val="auto"/>
          <w:szCs w:val="21"/>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br w:type="page" w:clear="all"/>
      </w:r>
      <w:r/>
    </w:p>
    <w:p>
      <w:pPr>
        <w:pStyle w:val="887"/>
        <w:jc w:val="center"/>
        <w:spacing w:before="0" w:after="0" w:line="440" w:lineRule="exact"/>
        <w:rPr>
          <w:rFonts w:hint="eastAsia" w:ascii="宋体" w:hAnsi="宋体" w:eastAsia="宋体" w:cs="宋体"/>
          <w:color w:val="auto"/>
          <w:sz w:val="36"/>
          <w:szCs w:val="36"/>
        </w:rPr>
      </w:pPr>
      <w:r/>
      <w:bookmarkStart w:id="53" w:name="_Toc55204179"/>
      <w:r/>
      <w:bookmarkStart w:id="54" w:name="_Toc29369"/>
      <w:r/>
      <w:bookmarkStart w:id="55" w:name="_Hlk69392822"/>
      <w:r>
        <w:rPr>
          <w:rFonts w:hint="eastAsia" w:ascii="宋体" w:hAnsi="宋体" w:eastAsia="宋体" w:cs="宋体"/>
          <w:color w:val="auto"/>
          <w:sz w:val="36"/>
          <w:szCs w:val="36"/>
        </w:rPr>
        <w:t xml:space="preserve">第三章 合同条款及格式</w:t>
      </w:r>
      <w:bookmarkEnd w:id="53"/>
      <w:r/>
      <w:bookmarkEnd w:id="54"/>
      <w:r/>
      <w:r/>
    </w:p>
    <w:p>
      <w:pPr>
        <w:pStyle w:val="895"/>
        <w:ind w:firstLine="420"/>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以下为中标后签定本项目合同的通用条款，中标人不得提出实质性的修改，关于专用条款将由采购人与中标人结合本项目具体情况协商后签订。</w:t>
      </w:r>
      <w:r/>
    </w:p>
    <w:p>
      <w:pPr>
        <w:pStyle w:val="895"/>
        <w:ind w:firstLine="420"/>
        <w:jc w:val="center"/>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扬州市</w:t>
      </w:r>
      <w:r>
        <w:rPr>
          <w:rFonts w:hint="eastAsia" w:ascii="宋体" w:hAnsi="宋体" w:eastAsia="宋体" w:cs="宋体"/>
          <w:b/>
          <w:bCs/>
          <w:color w:val="auto"/>
          <w:sz w:val="24"/>
          <w:szCs w:val="24"/>
        </w:rPr>
        <w:t xml:space="preserve">政府采购合同（服务)（合同编号：  ）</w:t>
      </w:r>
      <w:r/>
    </w:p>
    <w:p>
      <w:pPr>
        <w:pStyle w:val="917"/>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rPr>
          <w:rFonts w:hint="eastAsia" w:hAnsi="宋体" w:cs="宋体"/>
          <w:color w:val="auto"/>
          <w:sz w:val="21"/>
          <w:szCs w:val="21"/>
          <w:lang w:eastAsia="zh-CN"/>
        </w:rPr>
        <w:t xml:space="preserve">扬州市应急管理局2026年信息化运维项目</w:t>
      </w:r>
      <w:r>
        <w:rPr>
          <w:rFonts w:hint="eastAsia" w:ascii="宋体" w:hAnsi="宋体" w:eastAsia="宋体" w:cs="宋体"/>
          <w:color w:val="auto"/>
          <w:sz w:val="21"/>
          <w:szCs w:val="21"/>
        </w:rPr>
        <w:t xml:space="preserve">               </w:t>
      </w:r>
      <w:r/>
    </w:p>
    <w:p>
      <w:pPr>
        <w:pStyle w:val="917"/>
        <w:ind w:firstLine="420"/>
        <w:spacing w:line="4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项目编号：</w:t>
      </w:r>
      <w:r>
        <w:rPr>
          <w:rFonts w:hint="eastAsia" w:hAnsi="宋体" w:cs="宋体"/>
          <w:color w:val="auto"/>
          <w:sz w:val="21"/>
          <w:szCs w:val="21"/>
          <w:lang w:eastAsia="zh-CN"/>
        </w:rPr>
        <w:t xml:space="preserve">JSZC-321000-YZCC-G2026-0005</w:t>
      </w:r>
      <w:r>
        <w:rPr>
          <w:rFonts w:hint="eastAsia" w:ascii="宋体" w:hAnsi="宋体" w:eastAsia="宋体" w:cs="宋体"/>
          <w:color w:val="auto"/>
          <w:sz w:val="21"/>
          <w:szCs w:val="21"/>
          <w:lang w:eastAsia="zh-CN"/>
        </w:rPr>
        <w:t xml:space="preserve">号</w:t>
      </w:r>
      <w:r/>
    </w:p>
    <w:p>
      <w:pPr>
        <w:pStyle w:val="917"/>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甲方：（买方）扬州市应急管理局</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乙方：（卖方）</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见证方：</w:t>
      </w:r>
      <w:r/>
    </w:p>
    <w:p>
      <w:pPr>
        <w:pStyle w:val="692"/>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根据《中华人民共和国政府采购法》、《中华人民共和国民法典》等法律法规的规定，甲乙双方按照江苏辰诚工程咨询有限公司关于本项目招标结果签订本合同。</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一、服务</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1.1 服务名称：</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1.2 1.2 服务内容等要求详见招标文件及乙方投标文件(附：项目需求)。</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二、合同金额</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2.1 本合同总金额为（大写）：</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万元人民币。（¥</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万元）。</w:t>
      </w:r>
      <w:r/>
    </w:p>
    <w:p>
      <w:pPr>
        <w:pStyle w:val="917"/>
        <w:ind w:firstLine="422"/>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2.2本合同总金额包括乙方提供的服务及其他有关的为完成本项目发生的所有费用，包括交通费、人工费用、技术服务、日常耗材费等为完成采购文件规定的服务工作所涉及到的一切相关费用，招标文件中另有规定的除外。</w:t>
      </w:r>
      <w:r/>
    </w:p>
    <w:p>
      <w:pPr>
        <w:pStyle w:val="917"/>
        <w:ind w:firstLine="422"/>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2.3在招标文件未列明，而乙方认为履行本合同必需的费用也包含在合同总金额中。</w:t>
      </w:r>
      <w:r/>
    </w:p>
    <w:p>
      <w:pPr>
        <w:pStyle w:val="917"/>
        <w:ind w:firstLine="422"/>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2.4本合同总金额还包含乙方提供的伴随服务/售后服务费用。</w:t>
      </w:r>
      <w:r/>
    </w:p>
    <w:p>
      <w:pPr>
        <w:pStyle w:val="917"/>
        <w:ind w:firstLine="422"/>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三、技术资料</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3.1乙方应按招标文件规定的时间向甲方提供使用货物及服务的有关技术资料。</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3.3 关于本项目政府采购的招投标文件或与本次采购活动方式相适应的文件及有关附件是本合同不可分割的组成部分，这些文件包括但不限于：</w:t>
      </w:r>
      <w:r/>
    </w:p>
    <w:p>
      <w:pPr>
        <w:pStyle w:val="917"/>
        <w:ind w:firstLine="21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（1）招标文件；                   （2）投标报价文件；</w:t>
      </w:r>
      <w:r/>
    </w:p>
    <w:p>
      <w:pPr>
        <w:pStyle w:val="917"/>
        <w:ind w:firstLine="21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（3）项目组人员表                 （4）服务要求响应及偏离表；</w:t>
      </w:r>
      <w:r/>
    </w:p>
    <w:p>
      <w:pPr>
        <w:pStyle w:val="917"/>
        <w:ind w:firstLine="21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（5）服务承诺；                   （6）中标通知书；</w:t>
      </w:r>
      <w:r/>
    </w:p>
    <w:p>
      <w:pPr>
        <w:pStyle w:val="917"/>
        <w:ind w:firstLine="21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（7）甲乙双方补充协议；           （8）乙方投标时提供的投标文件。</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四、知识产权</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五、产权担保</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5.1 乙方保证所交付的货物及服务的所有权完全属于乙方且无任何抵押、查封等产权瑕疵。</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六、履约保证金</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6.4 履约保证金收取：无</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七、转包或分包</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7.1本合同范围的货物及服务，应由乙方直接供应，不得转让他人供应；</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7.2 除非得到甲方的书面同意，乙方不得部分分包给他人供应。</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7.3如有转让和未经甲方同意的分包行为，甲方有权给予终止合同。</w:t>
      </w:r>
      <w:r/>
    </w:p>
    <w:p>
      <w:pPr>
        <w:pStyle w:val="917"/>
        <w:ind w:firstLine="105"/>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八、服务期</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8.1 服务期：自合同签订之日起壹年。</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九、交付期、交付方式及交付地点</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9.1 交付期：甲方指定时间</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9.2 交付方式：甲方指定方式</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9.3 交付地点：甲方指定地点</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十、货款支付</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10.1 本合同项下所有款项均以人民币支付。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10.2 本合同项下的采购资金由甲方支付，付款前乙方向甲方开具发票。</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10.3 甲方付款方式：</w:t>
      </w:r>
      <w:r/>
    </w:p>
    <w:p>
      <w:pPr>
        <w:pStyle w:val="917"/>
        <w:ind w:firstLine="422"/>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合同签订后，乙方向甲方开具发票，甲方自收到发票之日起10个工作日内支付合同金额30%的预付款。</w:t>
      </w:r>
      <w:r>
        <w:rPr>
          <w:rFonts w:hint="eastAsia" w:hAnsi="宋体" w:cs="宋体"/>
          <w:color w:val="auto"/>
          <w:sz w:val="21"/>
          <w:lang w:val="en-US" w:eastAsia="zh-CN"/>
        </w:rPr>
        <w:t xml:space="preserve">服务期满8个月后</w:t>
      </w:r>
      <w:r>
        <w:rPr>
          <w:rFonts w:hint="eastAsia" w:ascii="宋体" w:hAnsi="宋体" w:eastAsia="宋体" w:cs="宋体"/>
          <w:color w:val="auto"/>
          <w:sz w:val="21"/>
        </w:rPr>
        <w:t xml:space="preserve">甲方进行阶段性验收合格后，乙方向甲方开具发票，甲方支付合同金额40%款项。项目服务到期乙方提供服务相关工作材料并经验收合格后，乙方向甲方开具发票，甲方支付剩余30%合同价款。以上所有款项根据月度服务考核结果支付，每有一个月考核不合格扣除应支付合同总价款的1%，所有款项自收到发票之日起10个工作日内支付。</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十一、税费</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11.1本合同执行中相关的一切税费均由乙方负担。</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十二、质量保证及售后服务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12.1 乙方应按招标文件规定及投标文件承诺的技术性能、技术要求、质量标准向甲方提供服务；若无特殊说明，则按国家有关部门最新颁布的标准及规范为准。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12.2乙方应保证其提供的服务是全面和规范的，并完全符合招投标文件。如因乙方提供的服务有瑕疵造成甲方损失的，所需费用由乙方承担。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12.3如在使用过程中发生质量问题，乙方在接到甲方通知后在</w:t>
      </w:r>
      <w:r>
        <w:rPr>
          <w:rFonts w:hint="eastAsia" w:ascii="宋体" w:hAnsi="宋体" w:eastAsia="宋体" w:cs="宋体"/>
          <w:color w:val="auto"/>
          <w:szCs w:val="21"/>
          <w:u w:val="single"/>
        </w:rPr>
        <w:t xml:space="preserve">2</w:t>
      </w:r>
      <w:r>
        <w:rPr>
          <w:rFonts w:hint="eastAsia" w:ascii="宋体" w:hAnsi="宋体" w:eastAsia="宋体" w:cs="宋体"/>
          <w:color w:val="auto"/>
          <w:szCs w:val="21"/>
        </w:rPr>
        <w:t xml:space="preserve">小时内到达甲方现场。</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十三、交付和验收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13.1 乙方应当在合同签订后</w:t>
      </w:r>
      <w:r>
        <w:rPr>
          <w:rFonts w:hint="eastAsia" w:ascii="宋体" w:hAnsi="宋体" w:cs="宋体"/>
          <w:color w:val="auto"/>
          <w:szCs w:val="21"/>
          <w:u w:val="single"/>
          <w:lang w:val="en-US" w:eastAsia="zh-CN"/>
        </w:rPr>
        <w:t xml:space="preserve">壹年</w:t>
      </w:r>
      <w:r>
        <w:rPr>
          <w:rFonts w:hint="eastAsia" w:ascii="宋体" w:hAnsi="宋体" w:eastAsia="宋体" w:cs="宋体"/>
          <w:color w:val="auto"/>
          <w:szCs w:val="21"/>
        </w:rPr>
        <w:t xml:space="preserve">内完成服务事项，招标文件有约定的，从其约定。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在交付前，乙方应作出全面检查和对验收文件进行整理，并列出清单，作为甲方初验收和使用的技术条件依据，检验的结果交甲方。</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13.2 验收标准：按乙方投标文件的承诺，并不低于国家相关标准。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对于乙方要交付的服务，甲乙双方须在</w:t>
      </w:r>
      <w:r>
        <w:rPr>
          <w:rFonts w:hint="eastAsia" w:ascii="宋体" w:hAnsi="宋体" w:eastAsia="宋体" w:cs="宋体"/>
          <w:color w:val="auto"/>
          <w:szCs w:val="21"/>
          <w:u w:val="single"/>
        </w:rPr>
        <w:t xml:space="preserve"> </w:t>
      </w:r>
      <w:r>
        <w:rPr>
          <w:rFonts w:hint="eastAsia" w:ascii="宋体" w:hAnsi="宋体" w:cs="宋体"/>
          <w:color w:val="auto"/>
          <w:szCs w:val="21"/>
          <w:u w:val="single"/>
          <w:lang w:val="en-US" w:eastAsia="zh-CN"/>
        </w:rPr>
        <w:t xml:space="preserve">7</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13.3 乙方按照招标文件要求负责安装并培训甲方的使用操作人员，乙方在甲方使用前进行调试，调试直到符合技术要求的甲方才做最终验收。</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13.4乙方在合同履行期限内，如因缺乏技术能力、服务态度不端正、不能胜任的，须及时调整合适人员保障项目正常有序的运行。</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13.5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13.6 甲乙双方关于调试和验收的其他约定：</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十四、包装、发运及运输</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14.1乙方应对其提供的服务所涉及物品在发运前对其进行满足运输距离、防潮、防震、防锈和防破损装卸等要求包装，以保证安全运达甲方指定地点。</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14.2 乙方交付时，使用说明书、检验证明书、随配附件和工具以及清单一并附于内。</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14.4 服务在交付甲方前发生的风险均由乙方负责。</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14.5 服务在规定的交付期限内由乙方送达甲方指定的地点。</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十五、违约责任</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15.1 甲方无正当理由拒收服务的，甲方向乙方偿付拒收款项总值的百分之五违约金。</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15.2 甲方无故逾期验收和办理款项支付手续的,甲方应按逾期付款总额每日万分之五向乙方支付违约金。</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十六、不可抗力事件处理</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16.1 在合同有效期内，任何一方因不可抗力事件导致不能履行合同，则合同履行期可延长，其延长期与不可抗力影响期相同。</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16.2 不可抗力事件发生后，应立即通知对方，并寄送有关权威机构出具的证明。</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16.3 不可抗力事件延续120天以上，双方应通过友好协商，确定是否继续履行合同。</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十七、诉讼</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17.1 双方在执行合同中所发生的一切争议，应通过协商解决。如协商不成，可向合同签订地法院起诉，合同签订地在此约定为扬州市。</w:t>
      </w:r>
      <w:r/>
    </w:p>
    <w:p>
      <w:pPr>
        <w:ind w:firstLine="422"/>
        <w:spacing w:line="440" w:lineRule="exact"/>
        <w:rPr>
          <w:rFonts w:hint="eastAsia" w:ascii="宋体" w:hAnsi="宋体" w:eastAsia="宋体" w:cs="宋体"/>
          <w:color w:val="auto"/>
          <w:szCs w:val="21"/>
        </w:rPr>
      </w:pPr>
      <w:r>
        <w:rPr>
          <w:rFonts w:hint="eastAsia" w:ascii="宋体" w:hAnsi="宋体" w:eastAsia="宋体" w:cs="宋体"/>
          <w:b/>
          <w:bCs/>
          <w:color w:val="auto"/>
          <w:szCs w:val="21"/>
        </w:rPr>
        <w:t xml:space="preserve">十八、</w:t>
      </w:r>
      <w:r>
        <w:rPr>
          <w:rFonts w:hint="eastAsia" w:ascii="宋体" w:hAnsi="宋体" w:eastAsia="宋体" w:cs="宋体"/>
          <w:bCs/>
          <w:color w:val="auto"/>
          <w:szCs w:val="21"/>
        </w:rPr>
        <w:t xml:space="preserve">为落实好政府采购履约资金扶持政策，乙方可凭政府采购合同办理融资贷款，详见江苏政府采购网“政采贷”专栏。</w:t>
      </w:r>
      <w:r/>
    </w:p>
    <w:p>
      <w:pPr>
        <w:pStyle w:val="917"/>
        <w:ind w:firstLine="422"/>
        <w:spacing w:line="440" w:lineRule="exact"/>
        <w:rPr>
          <w:rFonts w:hint="eastAsia" w:ascii="宋体" w:hAnsi="宋体" w:eastAsia="宋体" w:cs="宋体"/>
          <w:b/>
          <w:bCs/>
          <w:color w:val="auto"/>
          <w:sz w:val="21"/>
        </w:rPr>
      </w:pPr>
      <w:r>
        <w:rPr>
          <w:rFonts w:hint="eastAsia" w:ascii="宋体" w:hAnsi="宋体" w:eastAsia="宋体" w:cs="宋体"/>
          <w:b/>
          <w:bCs/>
          <w:color w:val="auto"/>
          <w:sz w:val="21"/>
        </w:rPr>
        <w:t xml:space="preserve">十九、合同生效及其它</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19.1 合同经双方法定代表人签章并加盖单位公章，并经江苏辰诚工程咨询有限公司见证盖章后生效。</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19.2本合同未尽事宜，遵照《中华人民共和国民法典》有关条文执行。</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t xml:space="preserve">19.3 本合同正本一式陆份，具有同等法律效力，甲方、乙方各执贰份、见证方及财政监管部门各执壹份。  </w:t>
      </w:r>
      <w:r/>
    </w:p>
    <w:p>
      <w:pPr>
        <w:pStyle w:val="917"/>
        <w:ind w:firstLine="420"/>
        <w:spacing w:line="440" w:lineRule="exact"/>
        <w:rPr>
          <w:rFonts w:hint="eastAsia" w:ascii="宋体" w:hAnsi="宋体" w:eastAsia="宋体" w:cs="宋体"/>
          <w:color w:val="auto"/>
          <w:sz w:val="21"/>
        </w:rPr>
      </w:pPr>
      <w:r>
        <w:rPr>
          <w:rFonts w:hint="eastAsia" w:ascii="宋体" w:hAnsi="宋体" w:eastAsia="宋体" w:cs="宋体"/>
          <w:color w:val="auto"/>
          <w:sz w:val="21"/>
        </w:rPr>
      </w:r>
      <w:r/>
    </w:p>
    <w:tbl>
      <w:tblPr>
        <w:tblStyle w:val="68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甲方：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见证方：江苏辰诚工程咨询有限公司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7"/>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r>
            <w:r/>
          </w:p>
        </w:tc>
      </w:tr>
    </w:tbl>
    <w:p>
      <w:pPr>
        <w:pStyle w:val="895"/>
        <w:spacing w:before="120" w:after="120" w:line="360" w:lineRule="auto"/>
        <w:rPr>
          <w:rFonts w:hint="eastAsia" w:ascii="宋体" w:hAnsi="宋体" w:eastAsia="宋体" w:cs="宋体"/>
          <w:color w:val="auto"/>
          <w:sz w:val="21"/>
        </w:rPr>
      </w:pPr>
      <w:r>
        <w:rPr>
          <w:rFonts w:hint="eastAsia" w:ascii="宋体" w:hAnsi="宋体" w:eastAsia="宋体" w:cs="宋体"/>
          <w:color w:val="auto"/>
          <w:sz w:val="21"/>
        </w:rPr>
        <w:t xml:space="preserve">  </w:t>
      </w:r>
      <w:r/>
    </w:p>
    <w:p>
      <w:pPr>
        <w:rPr>
          <w:rFonts w:hint="eastAsia" w:ascii="宋体" w:hAnsi="宋体" w:eastAsia="宋体" w:cs="宋体"/>
          <w:color w:val="auto"/>
        </w:rPr>
      </w:pPr>
      <w:r>
        <w:rPr>
          <w:rFonts w:hint="eastAsia" w:ascii="宋体" w:hAnsi="宋体" w:eastAsia="宋体" w:cs="宋体"/>
          <w:color w:val="auto"/>
        </w:rPr>
        <w:br w:type="page" w:clear="all"/>
      </w:r>
      <w:bookmarkEnd w:id="55"/>
      <w:r/>
      <w:r/>
    </w:p>
    <w:p>
      <w:pPr>
        <w:pStyle w:val="887"/>
        <w:jc w:val="center"/>
        <w:spacing w:before="0" w:after="0" w:line="440" w:lineRule="exact"/>
        <w:rPr>
          <w:rFonts w:hint="eastAsia" w:ascii="宋体" w:hAnsi="宋体" w:eastAsia="宋体" w:cs="宋体"/>
          <w:color w:val="auto"/>
        </w:rPr>
      </w:pPr>
      <w:r/>
      <w:bookmarkStart w:id="56" w:name="_Toc23844"/>
      <w:r>
        <w:rPr>
          <w:rFonts w:hint="eastAsia" w:ascii="宋体" w:hAnsi="宋体" w:eastAsia="宋体" w:cs="宋体"/>
          <w:color w:val="auto"/>
          <w:sz w:val="36"/>
          <w:szCs w:val="36"/>
        </w:rPr>
        <w:t xml:space="preserve">第四章  项目需求</w:t>
      </w:r>
      <w:bookmarkEnd w:id="56"/>
      <w:r/>
      <w:r/>
    </w:p>
    <w:p>
      <w:pPr>
        <w:ind w:firstLine="316"/>
        <w:spacing w:line="500" w:lineRule="exact"/>
        <w:rPr>
          <w:rFonts w:hint="eastAsia" w:ascii="宋体" w:hAnsi="宋体" w:eastAsia="宋体" w:cs="宋体"/>
          <w:b/>
          <w:bCs/>
          <w:color w:val="auto"/>
          <w:szCs w:val="21"/>
        </w:rPr>
      </w:pPr>
      <w:r/>
      <w:bookmarkStart w:id="57" w:name="_Toc24742"/>
      <w:r/>
      <w:bookmarkStart w:id="58" w:name="_Toc55204181"/>
      <w:r>
        <w:rPr>
          <w:rFonts w:hint="eastAsia" w:ascii="宋体" w:hAnsi="宋体" w:eastAsia="宋体" w:cs="宋体"/>
          <w:b/>
          <w:bCs/>
          <w:color w:val="auto"/>
          <w:szCs w:val="21"/>
        </w:rPr>
        <w:t xml:space="preserve">一、项目基本情况</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本次运维项目包含扬州市应急管理信息化（一期）项目和2021年可视化调度装备采购项目的运行维护</w:t>
      </w:r>
      <w:r>
        <w:rPr>
          <w:rFonts w:hint="eastAsia" w:ascii="宋体" w:hAnsi="宋体" w:eastAsia="宋体" w:cs="宋体"/>
          <w:color w:val="auto"/>
          <w:szCs w:val="21"/>
          <w:lang w:eastAsia="zh-CN"/>
        </w:rPr>
        <w:t xml:space="preserve">服务</w:t>
      </w:r>
      <w:r>
        <w:rPr>
          <w:rFonts w:hint="eastAsia" w:ascii="宋体" w:hAnsi="宋体" w:eastAsia="宋体" w:cs="宋体"/>
          <w:color w:val="auto"/>
          <w:szCs w:val="21"/>
        </w:rPr>
        <w:t xml:space="preserve">。</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扬州市应急管理信息化（一期）</w:t>
      </w:r>
      <w:r>
        <w:rPr>
          <w:rFonts w:hint="eastAsia" w:ascii="宋体" w:hAnsi="宋体" w:eastAsia="宋体" w:cs="宋体"/>
          <w:color w:val="auto"/>
          <w:szCs w:val="21"/>
        </w:rPr>
        <w:t xml:space="preserve">项目内容包含“一中心、一网络、一平台、两应用系统”建设，即指挥中心，应急通信网，基础支撑平台，应急指挥信息系统和危化品安全生产监管系统。其中，应急指挥中心是扬州市应急管理局应急值守、信息接报、监测监控、指挥调度、决策参谋、信息发布的场所，辅以应急指挥车，为指挥处置突发事件、日常监测监管企业、视频会商等提供基础支撑保障，实现上传下达、综合汇聚、协同会商、专题研判、指挥调度和信息发布功能。应急通信网包括指挥信息网、无线通信网，其中指挥信息网承载应急决策、指挥调度、协同会商、态势分析等核心业务系统，严格控制用户范</w:t>
      </w:r>
      <w:r>
        <w:rPr>
          <w:rFonts w:hint="eastAsia" w:ascii="宋体" w:hAnsi="宋体" w:eastAsia="宋体" w:cs="宋体"/>
          <w:color w:val="auto"/>
          <w:szCs w:val="21"/>
        </w:rPr>
        <w:t xml:space="preserve">围；无线通信网承载事故现场视频指挥业务。基础支撑平台包括应急指挥数据支撑系统、融合通信系统、视频会商系统和综合集成服务系统。应急指挥信息系统通过整合各类应急资源、建设资源调度事件链预案链任务时间轴等模型，利用云计算、大数据、感知网络、融合通信等现代信息技术构建统一高效的指挥调度体系，实现智能化事件管理、可视化应急指挥和精细化应急保障。危化品安全生产监管系统，纵向对接省级危化品安全生产监测预警系统、区县/园区危化品安全生产监测预警系统和企业安全生产信息化管理平台，横向对接大数据共享交换平台、市域社会治理平台。</w:t>
      </w:r>
      <w:r/>
    </w:p>
    <w:p>
      <w:pPr>
        <w:ind w:firstLine="316"/>
        <w:spacing w:line="50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二、运维服务内容</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运维服务内容包括基础设施运维、硬件设备运维、软件平台运维、安全服务和其他服务。</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（一）基础设施运维</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主要包括：一体化机房及其配套设施（含供配电系统、冷通道系统、温控系统、动力环境监控系统）等相关基础设施的运行维护，相关设备故障返厂维修更换。具体设备清单详见附件。</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（二）硬件设备运维</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主要包括：一期项目、省厅可视化指挥调度装备配备项目以及其他信息化相关的硬件设备（包括应急通信保障装备）开展日常巡检维护、故障返厂维修更换。具体设备清单详见附件。</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（三）软件平台运维</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主要包括：局自建信息系统开展例行检查、状态监控、漏洞修复、响应支持、相关授权license购买、补丁升级等，对部、省、市下发要求应用的信息系统和局自建信息系统开展常态化运维及用户使用的相关技术支持。具体内容详见附件。</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（四）网络安全服务</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主要包括：做好局内各类网络（互联网、政务网、指挥信息网、无线网络）的日常管理，定期开展网络安全巡检和信息系统漏洞扫描，及时完成信息系统漏洞和隐患的处理，确保突发性网络安全事件及时响应并进行应急处置，落实重大活动网络安全保障，按要求完成网络安全演练、网络安全培训等活动，办公电子数据存储备份，根据要求修订网络和数据安全相关制度，以及数据安全和网络安全主管部门要求的其他相关工作。</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（五）其他服务</w:t>
      </w:r>
      <w:r/>
    </w:p>
    <w:p>
      <w:pPr>
        <w:ind w:firstLine="315"/>
        <w:spacing w:line="50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5.</w:t>
      </w:r>
      <w:r>
        <w:rPr>
          <w:rFonts w:hint="eastAsia" w:ascii="宋体" w:hAnsi="宋体" w:eastAsia="宋体" w:cs="宋体"/>
          <w:color w:val="auto"/>
          <w:szCs w:val="21"/>
          <w:lang w:val="zh-CN"/>
        </w:rPr>
        <w:t xml:space="preserve">1、通信服务。主要</w:t>
      </w:r>
      <w:r>
        <w:rPr>
          <w:rFonts w:hint="eastAsia" w:ascii="宋体" w:hAnsi="宋体" w:eastAsia="宋体" w:cs="宋体"/>
          <w:color w:val="auto"/>
          <w:szCs w:val="21"/>
          <w:lang w:val="en-US" w:eastAsia="zh-CN"/>
        </w:rPr>
        <w:t xml:space="preserve">包括</w:t>
      </w:r>
      <w:r>
        <w:rPr>
          <w:rFonts w:hint="eastAsia" w:ascii="宋体" w:hAnsi="宋体" w:eastAsia="宋体" w:cs="宋体"/>
          <w:color w:val="auto"/>
          <w:szCs w:val="21"/>
          <w:lang w:val="zh-CN"/>
        </w:rPr>
        <w:t xml:space="preserve">为各类应急通信保障装备和局内运行的信息系统提供相关网络通信服务。</w:t>
      </w:r>
      <w:r/>
    </w:p>
    <w:p>
      <w:pPr>
        <w:ind w:firstLine="315"/>
        <w:spacing w:line="50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5.2、驻场运维服务。主要</w:t>
      </w:r>
      <w:r>
        <w:rPr>
          <w:rFonts w:hint="eastAsia" w:ascii="宋体" w:hAnsi="宋体" w:eastAsia="宋体" w:cs="宋体"/>
          <w:color w:val="auto"/>
          <w:szCs w:val="21"/>
          <w:lang w:val="en-US" w:eastAsia="zh-CN"/>
        </w:rPr>
        <w:t xml:space="preserve">包括</w:t>
      </w:r>
      <w:r>
        <w:rPr>
          <w:rFonts w:hint="eastAsia" w:ascii="宋体" w:hAnsi="宋体" w:eastAsia="宋体" w:cs="宋体"/>
          <w:color w:val="auto"/>
          <w:szCs w:val="21"/>
          <w:lang w:val="zh-CN"/>
        </w:rPr>
        <w:t xml:space="preserve">提供人员驻场服务，落实应急管理部、省应急管理厅7*24小时技术人员值班要求，开展各类会议前的技术准备、会议中的技术保障以及日常上下级部门视频终端的联调测试，为部-省-市-县-乡五级的视频点调、应急指挥调度、应急演练以及实地应急救援现场通信提供技术支撑，熟练使用包括无人机在内的各类应急通信保障装备，以及完成局内其他信息化相关的运维工作。</w:t>
      </w:r>
      <w:r/>
    </w:p>
    <w:p>
      <w:pPr>
        <w:ind w:firstLine="315"/>
        <w:spacing w:line="500" w:lineRule="exact"/>
        <w:rPr>
          <w:rFonts w:hint="eastAsia" w:ascii="宋体" w:hAnsi="宋体" w:eastAsia="宋体" w:cs="宋体"/>
          <w:i/>
          <w:iCs/>
          <w:color w:val="auto"/>
          <w:szCs w:val="21"/>
          <w:u w:val="single"/>
        </w:rPr>
      </w:pPr>
      <w:r>
        <w:rPr>
          <w:rFonts w:hint="eastAsia" w:ascii="宋体" w:hAnsi="宋体" w:eastAsia="宋体" w:cs="宋体"/>
          <w:i/>
          <w:iCs/>
          <w:color w:val="auto"/>
          <w:szCs w:val="21"/>
          <w:u w:val="single"/>
          <w:lang w:val="en-US" w:eastAsia="zh-CN"/>
        </w:rPr>
        <w:t xml:space="preserve">5.3、</w:t>
      </w:r>
      <w:r>
        <w:rPr>
          <w:rFonts w:hint="eastAsia" w:ascii="宋体" w:hAnsi="宋体" w:eastAsia="宋体" w:cs="宋体"/>
          <w:i/>
          <w:iCs/>
          <w:color w:val="auto"/>
          <w:szCs w:val="21"/>
          <w:u w:val="single"/>
        </w:rPr>
        <w:t xml:space="preserve">本项目驻场人员人数不少于6人，投标报价为从事本项目服务应包括所有的费用：人员工资、法定的社会保险、医疗保险、住房公积金、法定税费、管理费等（含为完成招标文件规定的服务工作所涉及到的防暑降温费、节假日福利、加班费、服装费、人身意外伤害险、工具折旧费、日常耗材费等所有相关费用），投标人在报价时应考虑各种风险因素，相关风险因素费用包含在投标总价中。（提供承诺函原件上传，格式自拟）</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5.7、考核标准如下</w:t>
      </w:r>
      <w:r/>
    </w:p>
    <w:p>
      <w:pPr>
        <w:ind w:firstLine="316"/>
        <w:jc w:val="center"/>
        <w:spacing w:line="50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信息化运维服务月度考核表</w:t>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考核月度：</w:t>
      </w:r>
      <w:r/>
    </w:p>
    <w:tbl>
      <w:tblPr>
        <w:tblStyle w:val="706"/>
        <w:tblW w:w="8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3"/>
        <w:gridCol w:w="3828"/>
        <w:gridCol w:w="992"/>
        <w:gridCol w:w="1276"/>
      </w:tblGrid>
      <w:tr>
        <w:trPr>
          <w:jc w:val="center"/>
          <w:trHeight w:val="397"/>
        </w:trPr>
        <w:tc>
          <w:tcPr>
            <w:tcW w:w="275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内容</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打分</w:t>
            </w:r>
            <w:r/>
          </w:p>
        </w:tc>
      </w:tr>
      <w:tr>
        <w:trPr>
          <w:jc w:val="center"/>
          <w:trHeight w:val="397"/>
        </w:trPr>
        <w:tc>
          <w:tcPr>
            <w:tcW w:w="275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基础设施运维</w:t>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故障响应速度</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故障修复能力</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硬件设备运维</w:t>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故障响应速度</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故障修复能力</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软件平台运维</w:t>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故障响应速度</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故障修复能力</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授权到期续约</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网络安全服务</w:t>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日常网络安全管理</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网络安全响应速度</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网络安全处置能力</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未发生重大网络安全事件</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其他服务（通信服务）</w:t>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网络通信服务续费</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其他服务（驻场运维）</w:t>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驻场人员人数</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驻场人员工作态度</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82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驻场人员工作能力</w:t>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总得分：</w:t>
            </w:r>
            <w:r/>
          </w:p>
        </w:tc>
        <w:tc>
          <w:tcPr>
            <w:gridSpan w:val="3"/>
            <w:tcW w:w="609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97"/>
        </w:trPr>
        <w:tc>
          <w:tcPr>
            <w:tcW w:w="275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考核人：</w:t>
            </w:r>
            <w:r/>
          </w:p>
        </w:tc>
        <w:tc>
          <w:tcPr>
            <w:gridSpan w:val="3"/>
            <w:tcW w:w="609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注：月度考核总得分80分及以上为合格。</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87"/>
        <w:jc w:val="center"/>
        <w:spacing w:before="0" w:after="0" w:line="440" w:lineRule="exact"/>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第五章  评标方法及评标标准</w:t>
      </w:r>
      <w:bookmarkEnd w:id="57"/>
      <w:r/>
      <w:bookmarkEnd w:id="58"/>
      <w:r/>
      <w:r/>
    </w:p>
    <w:p>
      <w:pPr>
        <w:pStyle w:val="913"/>
        <w:ind w:firstLine="422"/>
        <w:spacing w:before="0" w:after="0"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一、评标方法</w:t>
      </w:r>
      <w:r/>
    </w:p>
    <w:p>
      <w:pPr>
        <w:pStyle w:val="913"/>
        <w:ind w:firstLine="420"/>
        <w:spacing w:before="0" w:after="0"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3名中标候选人。</w:t>
      </w:r>
      <w:r/>
    </w:p>
    <w:p>
      <w:pPr>
        <w:ind w:firstLine="422"/>
        <w:keepLines w:val="0"/>
        <w:keepNext w:val="0"/>
        <w:pageBreakBefore w:val="0"/>
        <w:spacing w:line="360" w:lineRule="auto"/>
        <w:rPr>
          <w:rFonts w:hint="eastAsia" w:ascii="宋体" w:hAnsi="宋体" w:eastAsia="宋体" w:cs="宋体"/>
          <w:b/>
          <w:color w:val="auto"/>
          <w:sz w:val="21"/>
          <w:szCs w:val="21"/>
        </w:rPr>
      </w:pPr>
      <w:r/>
      <w:bookmarkStart w:id="59" w:name="_Toc449017024"/>
      <w:r/>
      <w:bookmarkStart w:id="60" w:name="_Toc449016388"/>
      <w:r>
        <w:rPr>
          <w:rFonts w:hint="eastAsia" w:ascii="宋体" w:hAnsi="宋体" w:eastAsia="宋体" w:cs="宋体"/>
          <w:b/>
          <w:color w:val="auto"/>
          <w:sz w:val="21"/>
          <w:szCs w:val="21"/>
        </w:rPr>
        <w:t xml:space="preserve">二、</w:t>
      </w:r>
      <w:bookmarkEnd w:id="59"/>
      <w:r/>
      <w:bookmarkEnd w:id="60"/>
      <w:r>
        <w:rPr>
          <w:rFonts w:hint="eastAsia" w:ascii="宋体" w:hAnsi="宋体" w:eastAsia="宋体" w:cs="宋体"/>
          <w:b/>
          <w:color w:val="auto"/>
          <w:sz w:val="21"/>
          <w:szCs w:val="21"/>
        </w:rPr>
        <w:t xml:space="preserve">政府采购政策功能落实</w:t>
      </w:r>
      <w:r/>
    </w:p>
    <w:p>
      <w:pPr>
        <w:ind w:firstLine="420"/>
        <w:keepLines w:val="0"/>
        <w:keepNext w:val="0"/>
        <w:pageBreakBefore w:val="0"/>
        <w:spacing w:line="360" w:lineRule="auto"/>
        <w:widowControl/>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1、小微型企业价格扣除</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（1）本项目对小型和微型企业产品给予20%的扣除价格，用扣除后的价格参与评审。</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（2）供应商需按照采购文件的要求提供相应的《中小企业声明函》。</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2、残疾人福利单位价格扣除</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（1）本项目对残疾人福利性单位视同小型、微型企业，给予20%的价格扣除，用扣除后的价格参与评审。</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（2）残疾人福利单位需按照采购文件的要求提供《残疾人福利性单位声明函》。</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3、监狱和戒毒企业价格扣除</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（1）本项目对监狱和戒毒企业（简称监狱企业）视同小型、微型企业，给予20%的价格扣除，用扣除后的价格参与评审。</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4、残疾人福利单位、监狱企业属于小型、微型企业的，不重复享受政策。</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6、联合体各方均为小型、微型企业（残疾人福利单位、监狱企业）的，联合体享受20%价格扣除，用扣除后的价格参与评审。</w:t>
      </w:r>
      <w:r/>
    </w:p>
    <w:p>
      <w:pPr>
        <w:ind w:firstLine="420"/>
        <w:keepLines w:val="0"/>
        <w:keepNext w:val="0"/>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7、大中型企业向小型、微型企业分包的，分包意向协议约定小型、微型企业合同份额占到合同总金额30%以上的，给予6%的价格扣除，用扣除后的价格参与评审。</w:t>
      </w:r>
      <w:r/>
    </w:p>
    <w:p>
      <w:pPr>
        <w:ind w:firstLine="422"/>
        <w:spacing w:line="440" w:lineRule="exact"/>
        <w:rPr>
          <w:rFonts w:hint="eastAsia" w:ascii="宋体" w:hAnsi="宋体" w:eastAsia="宋体" w:cs="宋体"/>
          <w:color w:val="auto"/>
        </w:rPr>
      </w:pPr>
      <w:r>
        <w:rPr>
          <w:rFonts w:hint="eastAsia" w:ascii="宋体" w:hAnsi="宋体" w:eastAsia="宋体" w:cs="宋体"/>
          <w:b/>
          <w:color w:val="auto"/>
          <w:szCs w:val="21"/>
          <w:lang w:val="en-US" w:eastAsia="zh-CN"/>
        </w:rPr>
        <w:t xml:space="preserve">三</w:t>
      </w:r>
      <w:r>
        <w:rPr>
          <w:rFonts w:hint="eastAsia" w:ascii="宋体" w:hAnsi="宋体" w:eastAsia="宋体" w:cs="宋体"/>
          <w:b/>
          <w:color w:val="auto"/>
          <w:szCs w:val="21"/>
        </w:rPr>
        <w:t xml:space="preserve">、评标标准</w:t>
      </w:r>
      <w:r/>
    </w:p>
    <w:tbl>
      <w:tblPr>
        <w:tblStyle w:val="685"/>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5"/>
        <w:gridCol w:w="7791"/>
      </w:tblGrid>
      <w:tr>
        <w:trPr>
          <w:jc w:val="center"/>
          <w:trHeight w:val="579"/>
        </w:trPr>
        <w:tc>
          <w:tcPr>
            <w:tcMar>
              <w:left w:w="108" w:type="dxa"/>
              <w:top w:w="0" w:type="dxa"/>
              <w:right w:w="108" w:type="dxa"/>
              <w:bottom w:w="0" w:type="dxa"/>
            </w:tcMar>
            <w:tcW w:w="146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项目</w:t>
            </w:r>
            <w:r/>
          </w:p>
        </w:tc>
        <w:tc>
          <w:tcPr>
            <w:tcMar>
              <w:left w:w="108" w:type="dxa"/>
              <w:top w:w="0" w:type="dxa"/>
              <w:right w:w="108" w:type="dxa"/>
              <w:bottom w:w="0" w:type="dxa"/>
            </w:tcMar>
            <w:tcW w:w="7791"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评分标准</w:t>
            </w:r>
            <w:r/>
          </w:p>
        </w:tc>
      </w:tr>
      <w:tr>
        <w:trPr>
          <w:jc w:val="center"/>
          <w:trHeight w:val="840"/>
        </w:trPr>
        <w:tc>
          <w:tcPr>
            <w:tcMar>
              <w:left w:w="108" w:type="dxa"/>
              <w:top w:w="0" w:type="dxa"/>
              <w:right w:w="108" w:type="dxa"/>
              <w:bottom w:w="0" w:type="dxa"/>
            </w:tcMar>
            <w:tcW w:w="1465" w:type="dxa"/>
            <w:vAlign w:val="center"/>
            <w:textDirection w:val="lrTb"/>
            <w:noWrap/>
          </w:tcPr>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价格</w:t>
            </w:r>
            <w:r/>
          </w:p>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（10分）</w:t>
            </w:r>
            <w:r/>
          </w:p>
        </w:tc>
        <w:tc>
          <w:tcPr>
            <w:tcMar>
              <w:left w:w="108" w:type="dxa"/>
              <w:top w:w="0" w:type="dxa"/>
              <w:right w:w="108" w:type="dxa"/>
              <w:bottom w:w="0" w:type="dxa"/>
            </w:tcMar>
            <w:tcW w:w="7791" w:type="dxa"/>
            <w:vAlign w:val="center"/>
            <w:textDirection w:val="lrTb"/>
            <w:noWrap/>
          </w:tcPr>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以满足招标文件要求的最低报价为基准价，得10分，其他报价得分=（基准价/报价）×10×100%（小数保留2位）</w:t>
            </w:r>
            <w:r>
              <w:rPr>
                <w:rFonts w:ascii="宋体" w:hAnsi="宋体" w:eastAsia="宋体" w:cs="宋体"/>
                <w:color w:val="auto"/>
                <w:sz w:val="21"/>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jc w:val="center"/>
          <w:trHeight w:val="768"/>
        </w:trPr>
        <w:tc>
          <w:tcPr>
            <w:tcMar>
              <w:left w:w="108" w:type="dxa"/>
              <w:top w:w="0" w:type="dxa"/>
              <w:right w:w="108" w:type="dxa"/>
              <w:bottom w:w="0" w:type="dxa"/>
            </w:tcMar>
            <w:tcW w:w="1465" w:type="dxa"/>
            <w:vAlign w:val="center"/>
            <w:textDirection w:val="lrTb"/>
            <w:noWrap/>
          </w:tcPr>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服务方案</w:t>
            </w:r>
            <w:r/>
          </w:p>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（55分）</w:t>
            </w:r>
            <w:r/>
          </w:p>
        </w:tc>
        <w:tc>
          <w:tcPr>
            <w:tcMar>
              <w:left w:w="108" w:type="dxa"/>
              <w:top w:w="0" w:type="dxa"/>
              <w:right w:w="108" w:type="dxa"/>
              <w:bottom w:w="0" w:type="dxa"/>
            </w:tcMar>
            <w:tcW w:w="7791" w:type="dxa"/>
            <w:vAlign w:val="center"/>
            <w:textDirection w:val="lrTb"/>
            <w:noWrap/>
          </w:tcPr>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1、项目分析、服务设想和总体目标（满分9分）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项目分析全面透彻，精准研判需求、痛点及利弊；服务设想方案可行，具备创新亮点；总体目标层级清晰、可量化可考核，三者高度匹配，整体规划完整优质</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得9分；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项目分析较为全面，重点把握准确，仅深度略有欠缺；服务设想合理落地，方案完整，但特色创新不足；总体目标明确，与项目契合度较高，存在少量细节瑕疵</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得</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rPr>
              <w:t xml:space="preserve">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项目分析基本到位，能梳理基础需求问题；服务设想方案可行，无创新亮点；总体目标方向明确，部分指标未量化，三者基本匹配的得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项目分析内容浅显，对核心痛点挖掘不足；服务思路基本成型，内容偏笼统，无创新点；总体目标表述不够具体，缺少量化指标，匹配度一般的得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项目分析单薄片面，仅简单描述背景；服务设想模糊粗略，可行性一般；总体目标模糊笼统，和项目存在明显脱节的得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其余不得分。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2、</w:t>
            </w:r>
            <w:r>
              <w:rPr>
                <w:rFonts w:hint="eastAsia" w:ascii="宋体" w:hAnsi="宋体" w:eastAsia="宋体" w:cs="宋体"/>
                <w:color w:val="auto"/>
                <w:szCs w:val="21"/>
                <w:lang w:val="zh-CN"/>
              </w:rPr>
              <w:t xml:space="preserve">运营、维修及定期检查计划方案</w:t>
            </w:r>
            <w:r>
              <w:rPr>
                <w:rFonts w:hint="eastAsia" w:ascii="宋体" w:hAnsi="宋体" w:eastAsia="宋体" w:cs="宋体"/>
                <w:color w:val="auto"/>
                <w:szCs w:val="21"/>
              </w:rPr>
              <w:t xml:space="preserve">（满分9分）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运营流程完整规范，运维体系科学完善；维修方案细致全面、响应机制高效；定期检查计划频次合理、覆盖全面、责任清晰、可落地可监管，</w:t>
            </w:r>
            <w:r>
              <w:rPr>
                <w:rFonts w:ascii="宋体" w:hAnsi="宋体" w:cs="宋体"/>
                <w:color w:val="auto"/>
                <w:szCs w:val="21"/>
              </w:rPr>
              <w:t xml:space="preserve">应用系统</w:t>
            </w:r>
            <w:r>
              <w:rPr>
                <w:rFonts w:hint="eastAsia" w:ascii="宋体" w:hAnsi="宋体" w:cs="宋体"/>
                <w:color w:val="auto"/>
                <w:szCs w:val="21"/>
              </w:rPr>
              <w:t xml:space="preserve">运行</w:t>
            </w:r>
            <w:r>
              <w:rPr>
                <w:rFonts w:ascii="宋体" w:hAnsi="宋体" w:cs="宋体"/>
                <w:color w:val="auto"/>
                <w:szCs w:val="21"/>
              </w:rPr>
              <w:t xml:space="preserve">状态、基础资源使用情况、网络通信质量及</w:t>
            </w:r>
            <w:r>
              <w:rPr>
                <w:rFonts w:hint="eastAsia" w:ascii="宋体" w:hAnsi="宋体" w:cs="宋体"/>
                <w:color w:val="auto"/>
                <w:szCs w:val="21"/>
              </w:rPr>
              <w:t xml:space="preserve">前端</w:t>
            </w:r>
            <w:r>
              <w:rPr>
                <w:rFonts w:ascii="宋体" w:hAnsi="宋体" w:cs="宋体"/>
                <w:color w:val="auto"/>
                <w:szCs w:val="21"/>
              </w:rPr>
              <w:t xml:space="preserve">设备在线情况的统一监测与集中管理机制完善，</w:t>
            </w:r>
            <w:r>
              <w:rPr>
                <w:rFonts w:hint="eastAsia" w:ascii="宋体" w:hAnsi="宋体" w:cs="宋体"/>
                <w:color w:val="auto"/>
                <w:szCs w:val="21"/>
              </w:rPr>
              <w:t xml:space="preserve">整体方案贴合项目实际、逻辑性强、保障度高的得9分；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运营、维修、检查方案整体完整，流程清晰、措施合理；各环节保障措施到位，具备较好落地性；仅部分细节不够细化、亮点不足，无明显缺陷</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得</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rPr>
              <w:t xml:space="preserve">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运营、维修、检查方案基本成型，框架完整；但内容偏笼统、措施简单，细节缺失较多，巡检频次、运维职责、处置流程不够明确，整体保障性一般</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得</w:t>
            </w:r>
            <w:r>
              <w:rPr>
                <w:rFonts w:hint="eastAsia" w:ascii="宋体" w:hAnsi="宋体" w:cs="宋体"/>
                <w:color w:val="auto"/>
                <w:szCs w:val="21"/>
                <w:lang w:val="en-US" w:eastAsia="zh-CN"/>
              </w:rPr>
              <w:t xml:space="preserve">5</w:t>
            </w:r>
            <w:r>
              <w:rPr>
                <w:rFonts w:hint="eastAsia" w:ascii="宋体" w:hAnsi="宋体" w:eastAsia="宋体" w:cs="宋体"/>
                <w:color w:val="auto"/>
                <w:szCs w:val="21"/>
              </w:rPr>
              <w:t xml:space="preserve">分；</w:t>
            </w:r>
            <w:r/>
          </w:p>
          <w:p>
            <w:pPr>
              <w:spacing w:line="400" w:lineRule="exac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运维方案具备基础框架，部分运维环节内容缺失，运维措施不够明确，落地存在较大困难，但可勉强满足项目基本运维要求的得3 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运维计划单薄片面，内容残缺；运营流程、维修措施、检查制度表述模糊，针对性差，落地性不足，难以满足项目基本运维需求</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得</w:t>
            </w:r>
            <w:r>
              <w:rPr>
                <w:rFonts w:hint="eastAsia" w:ascii="宋体" w:hAnsi="宋体" w:cs="宋体"/>
                <w:color w:val="auto"/>
                <w:szCs w:val="21"/>
                <w:lang w:val="en-US" w:eastAsia="zh-CN"/>
              </w:rPr>
              <w:t xml:space="preserve">1</w:t>
            </w:r>
            <w:r>
              <w:rPr>
                <w:rFonts w:hint="eastAsia" w:ascii="宋体" w:hAnsi="宋体" w:eastAsia="宋体" w:cs="宋体"/>
                <w:color w:val="auto"/>
                <w:szCs w:val="21"/>
              </w:rPr>
              <w:t xml:space="preserve">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其余不得分。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3</w:t>
            </w:r>
            <w:r>
              <w:rPr>
                <w:rFonts w:hint="eastAsia" w:ascii="宋体" w:hAnsi="宋体" w:eastAsia="宋体" w:cs="宋体"/>
                <w:color w:val="auto"/>
                <w:szCs w:val="21"/>
                <w:lang w:val="zh-CN"/>
              </w:rPr>
              <w:t xml:space="preserve">、运维管理制度（满分8分）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投标人具有健全的运维管理制度、组织架构、机构运作等制度，包括：现场作业指导、监督机制、信息反馈处理机制等。</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运维管理制度、组织架构、运行机制体系完整规范；现场作业指导细则完备，监督管控机制健全，信息收集、上报、处置、闭环反馈流程清晰，权责分明，针对性强，可全面落地执行的得8分；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运维管理制度、组织架构、运作机制整体齐全；具备完整的作业指导、监督及信息反馈机制，主要管控内容无缺失，仅个别细节不够细化，能够满足项目管理要求的得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lang w:val="zh-CN"/>
              </w:rPr>
              <w:t xml:space="preserve">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已建立基本的运维管理及组织架构相关制度，包含作业、监督、信息反馈相关内容，但条款表述笼统，流程不够具体，针对性一般，仅可满足基础管理需求的得</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val="zh-CN"/>
              </w:rPr>
              <w:t xml:space="preserve">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相关制度内容单薄残缺，组织运作描述模糊，现场作业指导、监督、信息反馈机制不完善，可操作性差，难以保障项目运维管理工作正常开展的得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val="zh-CN"/>
              </w:rPr>
              <w:t xml:space="preserve">分；其余不得分。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4、人员岗位职责及考核奖惩措施（满分8分）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岗位职责划分清晰、分工明确、覆盖全面，岗位匹配项目运维需求；考核体系完善，奖惩机制细化、合理规范、可量化、可落地，激励与约束作用强，人员管理保障到位</w:t>
            </w:r>
            <w:r>
              <w:rPr>
                <w:rFonts w:hint="eastAsia" w:ascii="宋体" w:hAnsi="宋体" w:eastAsia="宋体" w:cs="宋体"/>
                <w:color w:val="auto"/>
                <w:szCs w:val="21"/>
                <w:lang w:val="zh-CN"/>
              </w:rPr>
              <w:t xml:space="preserve">的得8分；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岗位职责齐全、分工合理，主要岗位全覆盖；考核及奖惩制度完整、合规可行，整体满足人员管理要求，仅部分考核指标、奖惩细则不够细化</w:t>
            </w:r>
            <w:r>
              <w:rPr>
                <w:rFonts w:hint="eastAsia" w:ascii="宋体" w:hAnsi="宋体" w:eastAsia="宋体" w:cs="宋体"/>
                <w:color w:val="auto"/>
                <w:szCs w:val="21"/>
                <w:lang w:val="zh-CN"/>
              </w:rPr>
              <w:t xml:space="preserve">的得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lang w:val="zh-CN"/>
              </w:rPr>
              <w:t xml:space="preserve">分；</w:t>
            </w:r>
            <w:r/>
          </w:p>
          <w:p>
            <w:pPr>
              <w:spacing w:line="400" w:lineRule="exact"/>
              <w:rPr>
                <w:rFonts w:hint="eastAsia" w:ascii="宋体" w:hAnsi="宋体" w:eastAsia="宋体" w:cs="宋体"/>
                <w:color w:val="auto"/>
                <w:szCs w:val="21"/>
                <w:lang w:val="zh-CN" w:eastAsia="zh-CN"/>
              </w:rPr>
            </w:pPr>
            <w:r>
              <w:rPr>
                <w:rFonts w:hint="eastAsia" w:ascii="宋体" w:hAnsi="宋体" w:eastAsia="宋体" w:cs="宋体"/>
                <w:color w:val="auto"/>
                <w:szCs w:val="21"/>
                <w:lang w:val="en-US" w:eastAsia="zh-CN"/>
              </w:rPr>
              <w:t xml:space="preserve">具备基本的岗位职责与考核奖惩内容，岗位分工较为笼统，考核标准模糊、奖惩措施简单，缺乏量化依据，仅能满足基础人员管理需求</w:t>
            </w:r>
            <w:r>
              <w:rPr>
                <w:rFonts w:hint="eastAsia" w:ascii="宋体" w:hAnsi="宋体" w:eastAsia="宋体" w:cs="宋体"/>
                <w:color w:val="auto"/>
                <w:szCs w:val="21"/>
                <w:lang w:val="zh-CN"/>
              </w:rPr>
              <w:t xml:space="preserve">的得</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val="zh-CN"/>
              </w:rPr>
              <w:t xml:space="preserve">分</w:t>
            </w:r>
            <w:r>
              <w:rPr>
                <w:rFonts w:hint="eastAsia" w:ascii="宋体" w:hAnsi="宋体" w:eastAsia="宋体" w:cs="宋体"/>
                <w:color w:val="auto"/>
                <w:szCs w:val="21"/>
                <w:lang w:val="zh-CN" w:eastAsia="zh-CN"/>
              </w:rPr>
              <w:t xml:space="preserve">；</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岗位职责残缺不清，分工混乱，考核奖惩机制不完善或流于形式，无实际约束与激励作用，无法保障人员规范履职</w:t>
            </w:r>
            <w:r>
              <w:rPr>
                <w:rFonts w:hint="eastAsia" w:ascii="宋体" w:hAnsi="宋体" w:eastAsia="宋体" w:cs="宋体"/>
                <w:color w:val="auto"/>
                <w:szCs w:val="21"/>
                <w:lang w:val="zh-CN"/>
              </w:rPr>
              <w:t xml:space="preserve">的得2分</w:t>
            </w:r>
            <w:r>
              <w:rPr>
                <w:rFonts w:hint="eastAsia" w:ascii="宋体" w:hAnsi="宋体" w:cs="宋体"/>
                <w:color w:val="auto"/>
                <w:szCs w:val="21"/>
                <w:lang w:val="zh-CN"/>
              </w:rPr>
              <w:t xml:space="preserve">；</w:t>
            </w:r>
            <w:r>
              <w:rPr>
                <w:rFonts w:hint="eastAsia" w:ascii="宋体" w:hAnsi="宋体" w:eastAsia="宋体" w:cs="宋体"/>
                <w:color w:val="auto"/>
                <w:szCs w:val="21"/>
                <w:lang w:val="zh-CN"/>
              </w:rPr>
              <w:t xml:space="preserve">其余不得分。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5、</w:t>
            </w:r>
            <w:r>
              <w:rPr>
                <w:rFonts w:hint="eastAsia" w:ascii="宋体" w:hAnsi="宋体" w:eastAsia="宋体" w:cs="宋体"/>
                <w:color w:val="auto"/>
                <w:szCs w:val="21"/>
                <w:lang w:val="zh-CN"/>
              </w:rPr>
              <w:t xml:space="preserve">档案管理制度（</w:t>
            </w:r>
            <w:r>
              <w:rPr>
                <w:rFonts w:hint="eastAsia" w:ascii="宋体" w:hAnsi="宋体" w:eastAsia="宋体" w:cs="宋体"/>
                <w:color w:val="auto"/>
                <w:szCs w:val="21"/>
              </w:rPr>
              <w:t xml:space="preserve">满分6分</w:t>
            </w:r>
            <w:r>
              <w:rPr>
                <w:rFonts w:hint="eastAsia" w:ascii="宋体" w:hAnsi="宋体" w:eastAsia="宋体" w:cs="宋体"/>
                <w:color w:val="auto"/>
                <w:szCs w:val="21"/>
                <w:lang w:val="zh-CN"/>
              </w:rPr>
              <w:t xml:space="preserve">）</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档案管理制度健全完善，涵盖档案收集、整理、归档、保管、借阅、保密、销毁全流程；岗位职责清晰、管理流程规范、台账机制完备，可严格落地执行，全面满足项目档案管理需求</w:t>
            </w:r>
            <w:r>
              <w:rPr>
                <w:rFonts w:hint="eastAsia" w:ascii="宋体" w:hAnsi="宋体" w:eastAsia="宋体" w:cs="宋体"/>
                <w:color w:val="auto"/>
                <w:szCs w:val="21"/>
                <w:lang w:val="zh-CN"/>
              </w:rPr>
              <w:t xml:space="preserve">的得6分；</w:t>
            </w:r>
            <w:r/>
          </w:p>
          <w:p>
            <w:pPr>
              <w:spacing w:line="400" w:lineRule="exact"/>
              <w:rPr>
                <w:rFonts w:hint="eastAsia" w:ascii="宋体" w:hAnsi="宋体" w:eastAsia="宋体" w:cs="宋体"/>
                <w:color w:val="auto"/>
                <w:szCs w:val="21"/>
                <w:lang w:val="zh-CN" w:eastAsia="zh-CN"/>
              </w:rPr>
            </w:pPr>
            <w:r>
              <w:rPr>
                <w:rFonts w:hint="eastAsia" w:ascii="宋体" w:hAnsi="宋体" w:eastAsia="宋体" w:cs="宋体"/>
                <w:color w:val="auto"/>
                <w:szCs w:val="21"/>
                <w:lang w:val="en-US" w:eastAsia="zh-CN"/>
              </w:rPr>
              <w:t xml:space="preserve">具备完整的档案管理相关制度，核心管理流程齐全，能够满足项目日常档案管理工作；仅部分管理细节、归档细则不够细化，无明显制度漏洞</w:t>
            </w:r>
            <w:r>
              <w:rPr>
                <w:rFonts w:hint="eastAsia" w:ascii="宋体" w:hAnsi="宋体" w:eastAsia="宋体" w:cs="宋体"/>
                <w:color w:val="auto"/>
                <w:szCs w:val="21"/>
                <w:lang w:val="zh-CN" w:eastAsia="zh-CN"/>
              </w:rPr>
              <w:t xml:space="preserve">的得4分；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档案管理制度内容单薄、条款笼统，流程缺失、管控不严；岗位职责残缺不清，管理机制不完善，流于形式，无法保障项目档案规范、完整、安全管理</w:t>
            </w:r>
            <w:r>
              <w:rPr>
                <w:rFonts w:hint="eastAsia" w:ascii="宋体" w:hAnsi="宋体" w:eastAsia="宋体" w:cs="宋体"/>
                <w:color w:val="auto"/>
                <w:szCs w:val="21"/>
                <w:lang w:val="zh-CN"/>
              </w:rPr>
              <w:t xml:space="preserve">的得2分；其余不得分。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6、</w:t>
            </w:r>
            <w:r>
              <w:rPr>
                <w:rFonts w:hint="eastAsia" w:ascii="宋体" w:hAnsi="宋体" w:eastAsia="宋体" w:cs="宋体"/>
                <w:color w:val="auto"/>
                <w:szCs w:val="21"/>
                <w:lang w:val="zh-CN"/>
              </w:rPr>
              <w:t xml:space="preserve">培训制度（</w:t>
            </w:r>
            <w:r>
              <w:rPr>
                <w:rFonts w:hint="eastAsia" w:ascii="宋体" w:hAnsi="宋体" w:eastAsia="宋体" w:cs="宋体"/>
                <w:color w:val="auto"/>
                <w:szCs w:val="21"/>
              </w:rPr>
              <w:t xml:space="preserve">满分5分</w:t>
            </w:r>
            <w:r>
              <w:rPr>
                <w:rFonts w:hint="eastAsia" w:ascii="宋体" w:hAnsi="宋体" w:eastAsia="宋体" w:cs="宋体"/>
                <w:color w:val="auto"/>
                <w:szCs w:val="21"/>
                <w:lang w:val="zh-CN"/>
              </w:rPr>
              <w:t xml:space="preserve">）</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培训制度体系健全完善，培训对象、培训内容、培训计划、培训频次、考核验收、档案留存机制完整规范，贴合项目运维实际，可落地、可考核，能有效保障人员专业能力达标</w:t>
            </w:r>
            <w:r>
              <w:rPr>
                <w:rFonts w:hint="eastAsia" w:ascii="宋体" w:hAnsi="宋体" w:eastAsia="宋体" w:cs="宋体"/>
                <w:color w:val="auto"/>
                <w:szCs w:val="21"/>
                <w:lang w:val="zh-CN"/>
              </w:rPr>
              <w:t xml:space="preserve">的得</w:t>
            </w:r>
            <w:r>
              <w:rPr>
                <w:rFonts w:hint="eastAsia" w:ascii="宋体" w:hAnsi="宋体" w:eastAsia="宋体" w:cs="宋体"/>
                <w:color w:val="auto"/>
                <w:szCs w:val="21"/>
              </w:rPr>
              <w:t xml:space="preserve">5</w:t>
            </w:r>
            <w:r>
              <w:rPr>
                <w:rFonts w:hint="eastAsia" w:ascii="宋体" w:hAnsi="宋体" w:eastAsia="宋体" w:cs="宋体"/>
                <w:color w:val="auto"/>
                <w:szCs w:val="21"/>
                <w:lang w:val="zh-CN"/>
              </w:rPr>
              <w:t xml:space="preserve">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具备基本培训制度框架，核心培训内容、培训方式基本齐全，能够满足基础岗位培训需求，但制度细则不够细化、培训体系不够完善，针对性与实效性一般</w:t>
            </w:r>
            <w:r>
              <w:rPr>
                <w:rFonts w:hint="eastAsia" w:ascii="宋体" w:hAnsi="宋体" w:eastAsia="宋体" w:cs="宋体"/>
                <w:color w:val="auto"/>
                <w:szCs w:val="21"/>
                <w:lang w:val="zh-CN"/>
              </w:rPr>
              <w:t xml:space="preserve">的得</w:t>
            </w:r>
            <w:r>
              <w:rPr>
                <w:rFonts w:hint="eastAsia" w:ascii="宋体" w:hAnsi="宋体" w:eastAsia="宋体" w:cs="宋体"/>
                <w:color w:val="auto"/>
                <w:szCs w:val="21"/>
              </w:rPr>
              <w:t xml:space="preserve">3</w:t>
            </w:r>
            <w:r>
              <w:rPr>
                <w:rFonts w:hint="eastAsia" w:ascii="宋体" w:hAnsi="宋体" w:eastAsia="宋体" w:cs="宋体"/>
                <w:color w:val="auto"/>
                <w:szCs w:val="21"/>
                <w:lang w:val="zh-CN"/>
              </w:rPr>
              <w:t xml:space="preserve">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培训制度内容单薄、条款笼统，流程缺失、管控不严；岗位职责与培训机制残缺不清，管理不完善、流于形式，无法保障岗位人员培训质量与履职能力</w:t>
            </w:r>
            <w:r>
              <w:rPr>
                <w:rFonts w:hint="eastAsia" w:ascii="宋体" w:hAnsi="宋体" w:eastAsia="宋体" w:cs="宋体"/>
                <w:color w:val="auto"/>
                <w:szCs w:val="21"/>
              </w:rPr>
              <w:t xml:space="preserve">的得1分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其余不得分。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7、</w:t>
            </w:r>
            <w:r>
              <w:rPr>
                <w:rFonts w:hint="eastAsia" w:ascii="宋体" w:hAnsi="宋体" w:eastAsia="宋体" w:cs="宋体"/>
                <w:color w:val="auto"/>
                <w:szCs w:val="21"/>
                <w:lang w:val="zh-CN"/>
              </w:rPr>
              <w:t xml:space="preserve">运维应急预案（</w:t>
            </w:r>
            <w:r>
              <w:rPr>
                <w:rFonts w:hint="eastAsia" w:ascii="宋体" w:hAnsi="宋体" w:eastAsia="宋体" w:cs="宋体"/>
                <w:color w:val="auto"/>
                <w:szCs w:val="21"/>
              </w:rPr>
              <w:t xml:space="preserve">满分5分</w:t>
            </w:r>
            <w:r>
              <w:rPr>
                <w:rFonts w:hint="eastAsia" w:ascii="宋体" w:hAnsi="宋体" w:eastAsia="宋体" w:cs="宋体"/>
                <w:color w:val="auto"/>
                <w:szCs w:val="21"/>
                <w:lang w:val="zh-CN"/>
              </w:rPr>
              <w:t xml:space="preserve">）</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运维应急预案体系完整、贴合项目实际，风险排查全面、应急处置流程清晰，组织机构、职责分工、响应机制、物资保障、善后复盘机制完善，可快速落地执行，能够有效处置各类突发运维事件</w:t>
            </w:r>
            <w:r>
              <w:rPr>
                <w:rFonts w:hint="eastAsia" w:ascii="宋体" w:hAnsi="宋体" w:eastAsia="宋体" w:cs="宋体"/>
                <w:color w:val="auto"/>
                <w:szCs w:val="21"/>
              </w:rPr>
              <w:t xml:space="preserve">的得5分；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具备基本应急预案框架，常见突发情况处置措施基本齐全，可满足基础应急保障需求，但预案内容不够细化、流程不够完整，针对性和实操性一般</w:t>
            </w:r>
            <w:r>
              <w:rPr>
                <w:rFonts w:hint="eastAsia" w:ascii="宋体" w:hAnsi="宋体" w:eastAsia="宋体" w:cs="宋体"/>
                <w:color w:val="auto"/>
                <w:szCs w:val="21"/>
              </w:rPr>
              <w:t xml:space="preserve">的得3分；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应急预案内容单薄、条款笼统，流程缺失、管控不严；应急分工与处置机制残缺不清，管理不完善、流于形式，无法保障项目突发故障应急处置效果与正常运行</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得1分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其余不得分。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rPr>
              <w:t xml:space="preserve">8、</w:t>
            </w:r>
            <w:r>
              <w:rPr>
                <w:rFonts w:hint="eastAsia" w:ascii="宋体" w:hAnsi="宋体" w:eastAsia="宋体" w:cs="宋体"/>
                <w:color w:val="auto"/>
                <w:szCs w:val="21"/>
                <w:lang w:val="zh-CN"/>
              </w:rPr>
              <w:t xml:space="preserve">应急突发环境事件（</w:t>
            </w:r>
            <w:r>
              <w:rPr>
                <w:rFonts w:hint="eastAsia" w:ascii="宋体" w:hAnsi="宋体" w:eastAsia="宋体" w:cs="宋体"/>
                <w:color w:val="auto"/>
                <w:szCs w:val="21"/>
              </w:rPr>
              <w:t xml:space="preserve">满分5分</w:t>
            </w:r>
            <w:r>
              <w:rPr>
                <w:rFonts w:hint="eastAsia" w:ascii="宋体" w:hAnsi="宋体" w:eastAsia="宋体" w:cs="宋体"/>
                <w:color w:val="auto"/>
                <w:szCs w:val="21"/>
                <w:lang w:val="zh-CN"/>
              </w:rPr>
              <w:t xml:space="preserve">）</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突发环境事件应急预案体系健全、贴合项目现场实际，风险辨识全面，预警机制、应急组织机构、分工职责、处置流程、物资保障、善后处置及复盘机制完整规范，可操作性强，能有效防范和处置各类突发环境事件</w:t>
            </w:r>
            <w:r>
              <w:rPr>
                <w:rFonts w:hint="eastAsia" w:ascii="宋体" w:hAnsi="宋体" w:eastAsia="宋体" w:cs="宋体"/>
                <w:color w:val="auto"/>
                <w:szCs w:val="21"/>
                <w:lang w:val="zh-CN"/>
              </w:rPr>
              <w:t xml:space="preserve">的得5分；</w:t>
            </w:r>
            <w:r/>
          </w:p>
          <w:p>
            <w:pPr>
              <w:spacing w:line="400" w:lineRule="exact"/>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具备突发环境事件应急预案基本框架，主要处置措施基本齐全，可满足基础环境应急保障要求，但预案内容不够详实、流程不够细化，针对性、完整性一般</w:t>
            </w:r>
            <w:r>
              <w:rPr>
                <w:rFonts w:hint="eastAsia" w:ascii="宋体" w:hAnsi="宋体" w:eastAsia="宋体" w:cs="宋体"/>
                <w:color w:val="auto"/>
                <w:szCs w:val="21"/>
                <w:lang w:val="zh-CN" w:eastAsia="zh-CN"/>
              </w:rPr>
              <w:t xml:space="preserve">的</w:t>
            </w:r>
            <w:r>
              <w:rPr>
                <w:rFonts w:hint="eastAsia" w:ascii="宋体" w:hAnsi="宋体" w:eastAsia="宋体" w:cs="宋体"/>
                <w:color w:val="auto"/>
                <w:szCs w:val="21"/>
                <w:lang w:val="zh-CN"/>
              </w:rPr>
              <w:t xml:space="preserve">得3分；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应急预案内容单薄、条款笼统，流程缺失、管控不严；应急分工与处置机制残缺不清，管理不完善、流于形式，无法保障项目突发故障应急处置效果与正常运行</w:t>
            </w:r>
            <w:r>
              <w:rPr>
                <w:rFonts w:hint="eastAsia" w:ascii="宋体" w:hAnsi="宋体" w:eastAsia="宋体" w:cs="宋体"/>
                <w:color w:val="auto"/>
                <w:szCs w:val="21"/>
                <w:lang w:val="zh-CN"/>
              </w:rPr>
              <w:t xml:space="preserve">的得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val="zh-CN"/>
              </w:rPr>
              <w:t xml:space="preserve">分；其余不得分。</w:t>
            </w:r>
            <w:r/>
          </w:p>
        </w:tc>
      </w:tr>
      <w:tr>
        <w:trPr>
          <w:jc w:val="center"/>
          <w:trHeight w:val="558"/>
        </w:trPr>
        <w:tc>
          <w:tcPr>
            <w:tcMar>
              <w:left w:w="108" w:type="dxa"/>
              <w:top w:w="0" w:type="dxa"/>
              <w:right w:w="108" w:type="dxa"/>
              <w:bottom w:w="0" w:type="dxa"/>
            </w:tcMar>
            <w:tcW w:w="1465" w:type="dxa"/>
            <w:vAlign w:val="center"/>
            <w:textDirection w:val="lrTb"/>
            <w:noWrap/>
          </w:tcPr>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企业综合实力（1</w:t>
            </w:r>
            <w:r>
              <w:rPr>
                <w:rFonts w:hint="eastAsia" w:ascii="宋体" w:hAnsi="宋体" w:cs="宋体"/>
                <w:color w:val="auto"/>
                <w:szCs w:val="21"/>
                <w:lang w:val="en-US" w:eastAsia="zh-CN"/>
              </w:rPr>
              <w:t xml:space="preserve">1</w:t>
            </w:r>
            <w:r>
              <w:rPr>
                <w:rFonts w:hint="eastAsia" w:ascii="宋体" w:hAnsi="宋体" w:eastAsia="宋体" w:cs="宋体"/>
                <w:color w:val="auto"/>
                <w:szCs w:val="21"/>
              </w:rPr>
              <w:t xml:space="preserve">分）</w:t>
            </w:r>
            <w:r/>
          </w:p>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108" w:type="dxa"/>
              <w:top w:w="0" w:type="dxa"/>
              <w:right w:w="108" w:type="dxa"/>
              <w:bottom w:w="0" w:type="dxa"/>
            </w:tcMar>
            <w:tcW w:w="7791" w:type="dxa"/>
            <w:vAlign w:val="center"/>
            <w:textDirection w:val="lrTb"/>
            <w:noWrap/>
          </w:tcPr>
          <w:p>
            <w:pPr>
              <w:spacing w:line="400" w:lineRule="exact"/>
              <w:widowControl/>
              <w:rPr>
                <w:rFonts w:hint="eastAsia" w:ascii="宋体" w:hAnsi="宋体" w:eastAsia="宋体" w:cs="宋体"/>
                <w:color w:val="auto"/>
                <w:szCs w:val="21"/>
              </w:rPr>
            </w:pPr>
            <w:r>
              <w:rPr>
                <w:rFonts w:hint="eastAsia" w:ascii="宋体" w:hAnsi="宋体" w:cs="宋体"/>
                <w:color w:val="auto"/>
                <w:szCs w:val="21"/>
                <w:lang w:val="en-US" w:eastAsia="zh-CN"/>
              </w:rPr>
              <w:t xml:space="preserve">1</w:t>
            </w:r>
            <w:r>
              <w:rPr>
                <w:rFonts w:hint="eastAsia" w:ascii="宋体" w:hAnsi="宋体" w:eastAsia="宋体" w:cs="宋体"/>
                <w:color w:val="auto"/>
                <w:szCs w:val="21"/>
              </w:rPr>
              <w:t xml:space="preserve">、投标人具备有效期内的</w:t>
            </w:r>
            <w:r>
              <w:rPr>
                <w:rFonts w:hint="eastAsia" w:ascii="宋体" w:hAnsi="宋体" w:eastAsia="宋体" w:cs="宋体"/>
                <w:color w:val="auto"/>
                <w:szCs w:val="21"/>
                <w:lang w:val="zh-CN"/>
              </w:rPr>
              <w:t xml:space="preserve">ISO27001信息安全管理体系认证</w:t>
            </w:r>
            <w:r>
              <w:rPr>
                <w:rFonts w:hint="eastAsia" w:ascii="宋体" w:hAnsi="宋体" w:eastAsia="宋体" w:cs="宋体"/>
                <w:color w:val="auto"/>
                <w:szCs w:val="21"/>
              </w:rPr>
              <w:t xml:space="preserve">证书的得1分；</w:t>
            </w:r>
            <w:r/>
          </w:p>
          <w:p>
            <w:pPr>
              <w:spacing w:line="400" w:lineRule="exact"/>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.投标人具有有效期内的ISO022301业务连续性管理体系证书的得1分</w:t>
            </w:r>
            <w:r>
              <w:rPr>
                <w:rFonts w:hint="eastAsia" w:ascii="宋体" w:hAnsi="宋体" w:eastAsia="宋体" w:cs="宋体"/>
                <w:color w:val="auto"/>
                <w:szCs w:val="21"/>
                <w:lang w:eastAsia="zh-CN"/>
              </w:rPr>
              <w:t xml:space="preserve">。</w:t>
            </w:r>
            <w:r/>
          </w:p>
          <w:p>
            <w:pPr>
              <w:jc w:val="left"/>
              <w:spacing w:line="400" w:lineRule="exact"/>
              <w:rPr>
                <w:rFonts w:hint="eastAsia" w:ascii="宋体" w:hAnsi="宋体" w:eastAsia="宋体" w:cs="宋体"/>
                <w:color w:val="auto"/>
                <w:szCs w:val="21"/>
              </w:rPr>
            </w:pPr>
            <w:r>
              <w:rPr>
                <w:rFonts w:hint="eastAsia" w:ascii="宋体" w:hAnsi="宋体" w:eastAsia="宋体" w:cs="宋体"/>
                <w:b/>
                <w:color w:val="auto"/>
                <w:szCs w:val="21"/>
              </w:rPr>
              <w:t xml:space="preserve">（以上1-</w:t>
            </w:r>
            <w:r>
              <w:rPr>
                <w:rFonts w:hint="eastAsia" w:ascii="宋体" w:hAnsi="宋体" w:cs="宋体"/>
                <w:b/>
                <w:color w:val="auto"/>
                <w:szCs w:val="21"/>
                <w:lang w:val="en-US" w:eastAsia="zh-CN"/>
              </w:rPr>
              <w:t xml:space="preserve">2</w:t>
            </w:r>
            <w:r>
              <w:rPr>
                <w:rFonts w:hint="eastAsia" w:ascii="宋体" w:hAnsi="宋体" w:eastAsia="宋体" w:cs="宋体"/>
                <w:b/>
                <w:color w:val="auto"/>
                <w:szCs w:val="21"/>
              </w:rPr>
              <w:t xml:space="preserve">项提供证书原件扫描件及全国认证认可信息公共服务平台查询截图</w:t>
            </w:r>
            <w:r>
              <w:rPr>
                <w:rFonts w:hint="eastAsia" w:ascii="宋体" w:hAnsi="宋体" w:eastAsia="宋体" w:cs="宋体"/>
                <w:b/>
                <w:bCs/>
                <w:color w:val="auto"/>
                <w:szCs w:val="21"/>
              </w:rPr>
              <w:t xml:space="preserve">加盖电子公章</w:t>
            </w:r>
            <w:r>
              <w:rPr>
                <w:rFonts w:hint="eastAsia" w:ascii="宋体" w:hAnsi="宋体" w:eastAsia="宋体" w:cs="宋体"/>
                <w:b/>
                <w:color w:val="auto"/>
                <w:szCs w:val="21"/>
              </w:rPr>
              <w:t xml:space="preserve">上传）</w:t>
            </w:r>
            <w:r/>
          </w:p>
          <w:p>
            <w:pPr>
              <w:pStyle w:val="689"/>
              <w:spacing w:after="0" w:line="400" w:lineRule="exact"/>
              <w:rPr>
                <w:rFonts w:hint="eastAsia" w:ascii="宋体" w:hAnsi="宋体" w:eastAsia="宋体" w:cs="宋体"/>
                <w:b/>
                <w:bCs/>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、投标人具有CCRC信息安全服务资质认证的信息系统安全运维资质一级的得3分；二级的得2分；三级的得1分；满分3分，未提供的不得分。</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lang w:val="zh-CN"/>
              </w:rPr>
              <w:t xml:space="preserve">有效期内</w:t>
            </w:r>
            <w:r>
              <w:rPr>
                <w:rFonts w:hint="eastAsia" w:ascii="宋体" w:hAnsi="宋体" w:eastAsia="宋体" w:cs="宋体"/>
                <w:b/>
                <w:bCs/>
                <w:color w:val="auto"/>
                <w:sz w:val="21"/>
                <w:szCs w:val="21"/>
              </w:rPr>
              <w:t xml:space="preserve">等级证书原件扫描件加盖电子公章上传）</w:t>
            </w:r>
            <w:r/>
          </w:p>
          <w:p>
            <w:pPr>
              <w:pStyle w:val="689"/>
              <w:spacing w:after="0" w:line="400" w:lineRule="exact"/>
              <w:rPr>
                <w:rFonts w:hint="eastAsia" w:ascii="宋体" w:hAnsi="宋体" w:eastAsia="宋体" w:cs="宋体"/>
                <w:b/>
                <w:bCs/>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rPr>
              <w:t xml:space="preserve">投标人具有ITSS信息技术服务运行维护标准符合性证书一级得3分，二级的得2分，三级的得1分，满分3分，未提供的不得分。</w:t>
            </w:r>
            <w:r>
              <w:rPr>
                <w:rFonts w:hint="eastAsia" w:ascii="宋体" w:hAnsi="宋体" w:eastAsia="宋体" w:cs="宋体"/>
                <w:b/>
                <w:bCs/>
                <w:color w:val="auto"/>
                <w:sz w:val="21"/>
                <w:szCs w:val="21"/>
              </w:rPr>
              <w:t xml:space="preserve">（提供有效期内等级证书原件扫描件加盖电子公章上传）</w:t>
            </w:r>
            <w:r/>
          </w:p>
          <w:p>
            <w:pPr>
              <w:pStyle w:val="689"/>
              <w:spacing w:after="0" w:line="400" w:lineRule="exact"/>
              <w:rPr>
                <w:rFonts w:hint="eastAsia" w:ascii="宋体" w:hAnsi="宋体" w:eastAsia="宋体" w:cs="宋体"/>
                <w:b/>
                <w:bCs/>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、投标人具有信息系统建设及服务能力等级证书CS4级及以上的得3分；CS3级的得2分；CS2级及以下的得</w:t>
            </w:r>
            <w:r>
              <w:rPr>
                <w:rFonts w:hint="eastAsia" w:ascii="宋体" w:hAnsi="宋体" w:eastAsia="宋体" w:cs="宋体"/>
                <w:color w:val="auto"/>
                <w:sz w:val="21"/>
                <w:szCs w:val="21"/>
              </w:rPr>
              <w:t xml:space="preserve">1分，未提供的不得分。</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lang w:val="zh-CN"/>
              </w:rPr>
              <w:t xml:space="preserve">有效期内</w:t>
            </w:r>
            <w:r>
              <w:rPr>
                <w:rFonts w:hint="eastAsia" w:ascii="宋体" w:hAnsi="宋体" w:eastAsia="宋体" w:cs="宋体"/>
                <w:b/>
                <w:bCs/>
                <w:color w:val="auto"/>
                <w:sz w:val="21"/>
                <w:szCs w:val="21"/>
              </w:rPr>
              <w:t xml:space="preserve">等级证书原件扫描件加盖电子公章上传）</w:t>
            </w:r>
            <w:r/>
          </w:p>
        </w:tc>
      </w:tr>
      <w:tr>
        <w:trPr>
          <w:jc w:val="center"/>
          <w:trHeight w:val="2946"/>
        </w:trPr>
        <w:tc>
          <w:tcPr>
            <w:tcMar>
              <w:left w:w="108" w:type="dxa"/>
              <w:top w:w="0" w:type="dxa"/>
              <w:right w:w="108" w:type="dxa"/>
              <w:bottom w:w="0" w:type="dxa"/>
            </w:tcMar>
            <w:tcW w:w="1465" w:type="dxa"/>
            <w:vAlign w:val="center"/>
            <w:textDirection w:val="lrTb"/>
            <w:noWrap/>
          </w:tcPr>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人员配备（8分）</w:t>
            </w:r>
            <w:r/>
          </w:p>
        </w:tc>
        <w:tc>
          <w:tcPr>
            <w:tcMar>
              <w:left w:w="108" w:type="dxa"/>
              <w:top w:w="0" w:type="dxa"/>
              <w:right w:w="108" w:type="dxa"/>
              <w:bottom w:w="0" w:type="dxa"/>
            </w:tcMar>
            <w:tcW w:w="7791" w:type="dxa"/>
            <w:vAlign w:val="center"/>
            <w:textDirection w:val="lrTb"/>
            <w:noWrap/>
          </w:tcPr>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1、项目负责人</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项目负责人具有ITSS IT服务项目经理证书的得2分，满分2分。</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2、项目组人员资质（项目负责人除外）</w:t>
            </w:r>
            <w:r/>
          </w:p>
          <w:p>
            <w:pPr>
              <w:pStyle w:val="714"/>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拟投入项目组人员中具有ITSS IT服务工程师或高级IT运维工程师的，有1个得1分，满分6分。（同一人同时具备多项证书的，只计一次）</w:t>
            </w:r>
            <w:r/>
          </w:p>
          <w:p>
            <w:pPr>
              <w:pStyle w:val="689"/>
              <w:spacing w:line="40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pacing w:val="-6"/>
                <w:sz w:val="21"/>
                <w:szCs w:val="21"/>
              </w:rPr>
              <w:t xml:space="preserve">投标人须提供相应证书原件扫描件及供应商为符合资质的人员缴纳的近</w:t>
            </w:r>
            <w:r>
              <w:rPr>
                <w:rFonts w:hint="eastAsia" w:ascii="宋体" w:hAnsi="宋体" w:eastAsia="宋体" w:cs="宋体"/>
                <w:b/>
                <w:bCs/>
                <w:color w:val="auto"/>
                <w:spacing w:val="-6"/>
                <w:sz w:val="21"/>
                <w:szCs w:val="21"/>
                <w:lang w:val="en-US" w:eastAsia="zh-CN"/>
              </w:rPr>
              <w:t xml:space="preserve">一年</w:t>
            </w:r>
            <w:r>
              <w:rPr>
                <w:rFonts w:hint="eastAsia" w:ascii="宋体" w:hAnsi="宋体" w:eastAsia="宋体" w:cs="宋体"/>
                <w:b/>
                <w:bCs/>
                <w:color w:val="auto"/>
                <w:spacing w:val="-6"/>
                <w:sz w:val="21"/>
                <w:szCs w:val="21"/>
              </w:rPr>
              <w:t xml:space="preserve">内任意一个月社保证明材料上传，未提供或不满足要求的不得分</w:t>
            </w:r>
            <w:r>
              <w:rPr>
                <w:rFonts w:hint="eastAsia" w:ascii="宋体" w:hAnsi="宋体" w:eastAsia="宋体" w:cs="宋体"/>
                <w:b/>
                <w:bCs/>
                <w:color w:val="auto"/>
                <w:sz w:val="21"/>
                <w:szCs w:val="21"/>
              </w:rPr>
              <w:t xml:space="preserve">）</w:t>
            </w:r>
            <w:r/>
          </w:p>
        </w:tc>
      </w:tr>
      <w:tr>
        <w:trPr>
          <w:jc w:val="center"/>
          <w:trHeight w:val="768"/>
        </w:trPr>
        <w:tc>
          <w:tcPr>
            <w:tcMar>
              <w:left w:w="108" w:type="dxa"/>
              <w:top w:w="0" w:type="dxa"/>
              <w:right w:w="108" w:type="dxa"/>
              <w:bottom w:w="0" w:type="dxa"/>
            </w:tcMar>
            <w:tcW w:w="1465" w:type="dxa"/>
            <w:vAlign w:val="center"/>
            <w:textDirection w:val="lrTb"/>
            <w:noWrap/>
          </w:tcPr>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企业业绩（</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tc>
        <w:tc>
          <w:tcPr>
            <w:tcMar>
              <w:left w:w="108" w:type="dxa"/>
              <w:top w:w="0" w:type="dxa"/>
              <w:right w:w="108" w:type="dxa"/>
              <w:bottom w:w="0" w:type="dxa"/>
            </w:tcMar>
            <w:tcW w:w="7791" w:type="dxa"/>
            <w:vAlign w:val="center"/>
            <w:textDirection w:val="lrTb"/>
            <w:noWrap/>
          </w:tcPr>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投标人自202</w:t>
            </w: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年1月1日（时间以合同签订日期为准）以来承担过类似运维服务项目的，有一项得</w:t>
            </w: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分，满分</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p>
            <w:pPr>
              <w:spacing w:line="400" w:lineRule="exact"/>
              <w:rPr>
                <w:rFonts w:hint="eastAsia" w:ascii="宋体" w:hAnsi="宋体" w:eastAsia="宋体" w:cs="宋体"/>
                <w:color w:val="auto"/>
                <w:szCs w:val="21"/>
              </w:rPr>
            </w:pPr>
            <w:r>
              <w:rPr>
                <w:rFonts w:hint="eastAsia" w:ascii="宋体" w:hAnsi="宋体" w:eastAsia="宋体" w:cs="宋体"/>
                <w:b/>
                <w:bCs/>
                <w:color w:val="auto"/>
                <w:szCs w:val="21"/>
              </w:rPr>
              <w:t xml:space="preserve">（</w:t>
            </w:r>
            <w:r>
              <w:rPr>
                <w:rFonts w:hint="eastAsia" w:ascii="宋体" w:hAnsi="宋体" w:eastAsia="宋体" w:cs="宋体"/>
                <w:b/>
                <w:bCs/>
                <w:color w:val="auto"/>
                <w:spacing w:val="-6"/>
                <w:sz w:val="21"/>
                <w:szCs w:val="21"/>
              </w:rPr>
              <w:t xml:space="preserve">投标人须提供中标通知书及合同原件扫描上传，未提供或不满足要求的不得分</w:t>
            </w:r>
            <w:r>
              <w:rPr>
                <w:rFonts w:hint="eastAsia" w:ascii="宋体" w:hAnsi="宋体" w:eastAsia="宋体" w:cs="宋体"/>
                <w:b/>
                <w:bCs/>
                <w:color w:val="auto"/>
                <w:szCs w:val="21"/>
              </w:rPr>
              <w:t xml:space="preserve">）</w:t>
            </w:r>
            <w:r/>
          </w:p>
        </w:tc>
      </w:tr>
      <w:tr>
        <w:trPr>
          <w:jc w:val="center"/>
          <w:trHeight w:val="768"/>
        </w:trPr>
        <w:tc>
          <w:tcPr>
            <w:tcMar>
              <w:left w:w="108" w:type="dxa"/>
              <w:top w:w="0" w:type="dxa"/>
              <w:right w:w="108" w:type="dxa"/>
              <w:bottom w:w="0" w:type="dxa"/>
            </w:tcMar>
            <w:tcW w:w="1465" w:type="dxa"/>
            <w:vAlign w:val="center"/>
            <w:textDirection w:val="lrTb"/>
            <w:noWrap/>
          </w:tcPr>
          <w:p>
            <w:pPr>
              <w:jc w:val="cente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服务承诺（10分）</w:t>
            </w:r>
            <w:r/>
          </w:p>
        </w:tc>
        <w:tc>
          <w:tcPr>
            <w:tcMar>
              <w:left w:w="108" w:type="dxa"/>
              <w:top w:w="0" w:type="dxa"/>
              <w:right w:w="108" w:type="dxa"/>
              <w:bottom w:w="0" w:type="dxa"/>
            </w:tcMar>
            <w:tcW w:w="7791" w:type="dxa"/>
            <w:vAlign w:val="center"/>
            <w:textDirection w:val="lrTb"/>
            <w:noWrap/>
          </w:tcPr>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1、投标人提供7×24小时服务并作响应承诺。（格式自拟）</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承诺30分钟内对采购人提出的需求作出响应，并能在4小时内排除解决一般故障，24小时内排除解决疑难故障，得5分；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承诺1小时内对采购人提出的需求作出响应，并能在6小时内排除解决一般故障，36小时内排除解决疑难故障，得3分；</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承诺2小时内对采购人提出的需求作出响应，并能在8小时内排除解决一般故障，48小时内排除解决疑难故障，得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w:t>
            </w:r>
            <w:r/>
          </w:p>
          <w:p>
            <w:pPr>
              <w:numPr>
                <w:ilvl w:val="0"/>
                <w:numId w:val="0"/>
              </w:numPr>
              <w:spacing w:line="400" w:lineRule="exact"/>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val="en-US" w:eastAsia="zh-CN" w:bidi="ar-SA"/>
              </w:rPr>
              <w:t xml:space="preserve">2、</w:t>
            </w:r>
            <w:r>
              <w:rPr>
                <w:rFonts w:hint="eastAsia" w:ascii="宋体" w:hAnsi="宋体" w:eastAsia="宋体" w:cs="宋体"/>
                <w:color w:val="auto"/>
                <w:spacing w:val="0"/>
                <w:sz w:val="21"/>
                <w:szCs w:val="21"/>
              </w:rPr>
              <w:t xml:space="preserve">投标人承诺拟投入本项目驻场人员人数不少于6人，承诺中标后为所有驻场人员缴纳人身意外伤害险并在合同履行期限内，如因驻场人员缺乏技术能力、服务态度不端正、不能胜任的，可及时调整合适人员保障项目正常有序的运行，得5分。</w:t>
            </w:r>
            <w:r/>
          </w:p>
          <w:p>
            <w:pPr>
              <w:numPr>
                <w:ilvl w:val="0"/>
                <w:numId w:val="0"/>
              </w:numPr>
              <w:spacing w:line="400" w:lineRule="exact"/>
              <w:rPr>
                <w:rFonts w:hint="eastAsia" w:ascii="宋体" w:hAnsi="宋体" w:eastAsia="宋体" w:cs="宋体"/>
                <w:color w:val="auto"/>
                <w:szCs w:val="21"/>
              </w:rPr>
            </w:pPr>
            <w:r>
              <w:rPr>
                <w:rFonts w:hint="eastAsia" w:ascii="宋体" w:hAnsi="宋体" w:eastAsia="宋体" w:cs="宋体"/>
                <w:b/>
                <w:bCs/>
                <w:color w:val="auto"/>
                <w:szCs w:val="21"/>
              </w:rPr>
              <w:t xml:space="preserve">（提供承诺函原件，格式自拟，未提供或承诺不符合要求的不得分）</w:t>
            </w:r>
            <w:r/>
          </w:p>
        </w:tc>
      </w:tr>
    </w:tbl>
    <w:p>
      <w:pPr>
        <w:ind w:left="0" w:right="0" w:firstLine="0"/>
        <w:jc w:val="both"/>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注：</w:t>
      </w:r>
      <w:r/>
    </w:p>
    <w:p>
      <w:pPr>
        <w:ind w:left="0" w:right="0" w:firstLine="0"/>
        <w:jc w:val="both"/>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1、评标时，未能按以上要求提供相应证明的，不作为评标依据，不得分。</w:t>
      </w:r>
      <w:r/>
    </w:p>
    <w:p>
      <w:pPr>
        <w:ind w:left="0" w:right="0" w:firstLine="0"/>
        <w:jc w:val="both"/>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2、若发现有提供虚假的证明材料，视为无效投标，并追究相关责任。</w:t>
      </w:r>
      <w:r/>
    </w:p>
    <w:p>
      <w:pPr>
        <w:ind w:left="0" w:right="0" w:firstLine="0"/>
        <w:jc w:val="both"/>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3、评审委员会启动异常低价投标(响应)审查的情形和具体要求，包括：</w:t>
      </w:r>
      <w:r/>
    </w:p>
    <w:p>
      <w:pPr>
        <w:ind w:left="0" w:right="0" w:firstLine="0"/>
        <w:jc w:val="both"/>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(一)评审过程中出现下列情形之一的，评审委员会应当启动异常低价投标(响应)审查程序：</w:t>
      </w:r>
      <w:r/>
    </w:p>
    <w:p>
      <w:pPr>
        <w:ind w:left="0" w:right="0" w:firstLine="0"/>
        <w:jc w:val="both"/>
        <w:spacing w:before="0" w:after="0" w:line="320" w:lineRule="atLeast"/>
        <w:rPr>
          <w:rFonts w:hint="eastAsia" w:ascii="宋体" w:hAnsi="宋体" w:eastAsia="宋体" w:cs="宋体"/>
          <w:b/>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lang w:val="en-US" w:eastAsia="zh-CN"/>
        </w:rPr>
        <w:t xml:space="preserve">1.投标（响应）报价低于全部通过符合性审查供应商投标（响应）报价平均值50%的，即投标（响应）报价&lt;全部通过符合性审查供应商投标（响应）报价平均值×50%； </w:t>
      </w:r>
      <w:r/>
    </w:p>
    <w:p>
      <w:pPr>
        <w:ind w:left="0" w:right="0" w:firstLine="0"/>
        <w:jc w:val="both"/>
        <w:spacing w:before="0" w:after="0" w:line="320" w:lineRule="atLeast"/>
        <w:rPr>
          <w:rFonts w:hint="eastAsia" w:ascii="宋体" w:hAnsi="宋体" w:eastAsia="宋体" w:cs="宋体"/>
          <w:b/>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lang w:val="en-US" w:eastAsia="zh-CN"/>
        </w:rPr>
        <w:t xml:space="preserve">2.投标（响应）报价低于通过符合性审查的次低报价供应商投标（响应）报价50%的，即投标（响应）报价&lt;通过符合性审查的次低报价供应商投标（响应）报价×50%； </w:t>
      </w:r>
      <w:r/>
    </w:p>
    <w:p>
      <w:pPr>
        <w:ind w:left="0" w:right="0" w:firstLine="0"/>
        <w:jc w:val="both"/>
        <w:spacing w:before="0" w:after="0" w:line="320" w:lineRule="atLeast"/>
        <w:rPr>
          <w:rFonts w:hint="eastAsia" w:ascii="宋体" w:hAnsi="宋体" w:eastAsia="宋体" w:cs="宋体"/>
          <w:b/>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lang w:val="en-US" w:eastAsia="zh-CN"/>
        </w:rPr>
        <w:t xml:space="preserve">3.投标（响应）报价低于采购项目最高限价45%的，即投标（响应）报价&lt;采购项目最高限价×45%； </w:t>
      </w:r>
      <w:r/>
    </w:p>
    <w:p>
      <w:pPr>
        <w:ind w:left="0" w:right="0" w:firstLine="0"/>
        <w:jc w:val="both"/>
        <w:spacing w:before="0" w:after="0" w:line="320" w:lineRule="atLeast"/>
        <w:rPr>
          <w:rFonts w:hint="eastAsia" w:ascii="宋体" w:hAnsi="宋体" w:eastAsia="宋体" w:cs="宋体"/>
          <w:b/>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lang w:val="en-US" w:eastAsia="zh-CN"/>
        </w:rPr>
        <w:t xml:space="preserve">4.评审委员会基于专业判断，认为供应商报价过低，有可能影响产品质量或者不能诚信履约的其他情形。 </w:t>
      </w:r>
      <w:r/>
    </w:p>
    <w:p>
      <w:pPr>
        <w:ind w:left="0" w:right="0" w:firstLine="0"/>
        <w:jc w:val="both"/>
        <w:spacing w:before="0" w:after="0" w:line="320" w:lineRule="atLeast"/>
        <w:rPr>
          <w:rFonts w:hint="eastAsia" w:ascii="宋体" w:hAnsi="宋体" w:eastAsia="宋体" w:cs="宋体"/>
          <w:b/>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lang w:val="en-US" w:eastAsia="zh-CN"/>
        </w:rPr>
        <w:t xml:space="preserve">相关法律法规对供应商报价有规定的，从其规定。 </w:t>
      </w:r>
      <w:r/>
    </w:p>
    <w:p>
      <w:pPr>
        <w:ind w:left="0" w:right="0" w:firstLine="0"/>
        <w:jc w:val="both"/>
        <w:spacing w:before="0" w:after="0" w:line="320" w:lineRule="atLeast"/>
        <w:rPr>
          <w:rFonts w:hint="eastAsia" w:ascii="宋体" w:hAnsi="宋体" w:eastAsia="宋体" w:cs="宋体"/>
          <w:b/>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lang w:val="en-US" w:eastAsia="zh-CN"/>
        </w:rPr>
        <w:t xml:space="preserve">（二）</w:t>
      </w:r>
      <w:r>
        <w:rPr>
          <w:rFonts w:hint="eastAsia" w:ascii="宋体" w:hAnsi="宋体" w:eastAsia="宋体" w:cs="宋体"/>
          <w:b/>
          <w:color w:val="auto"/>
          <w:sz w:val="22"/>
          <w:lang w:eastAsia="zh-CN"/>
        </w:rPr>
        <w:t xml:space="preserve">启动异常低价投标（响应）审查后，评审委员会应当要求相关供应商在评标现场合理的时间内，</w:t>
      </w:r>
      <w:r>
        <w:rPr>
          <w:rFonts w:hint="eastAsia" w:ascii="宋体" w:hAnsi="宋体" w:eastAsia="宋体" w:cs="宋体"/>
          <w:b/>
          <w:color w:val="auto"/>
          <w:sz w:val="22"/>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0"/>
        <w:jc w:val="both"/>
        <w:spacing w:before="0" w:after="0" w:line="320" w:lineRule="atLeast"/>
        <w:rPr>
          <w:rFonts w:hint="eastAsia" w:ascii="宋体" w:hAnsi="宋体" w:eastAsia="宋体" w:cs="宋体"/>
          <w:b/>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0"/>
        <w:jc w:val="both"/>
        <w:spacing w:before="0" w:after="0" w:line="320" w:lineRule="atLeast"/>
        <w:rPr>
          <w:rFonts w:hint="eastAsia" w:ascii="宋体" w:hAnsi="宋体" w:eastAsia="宋体" w:cs="宋体"/>
          <w:b/>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Cs/>
          <w:color w:val="auto"/>
          <w:sz w:val="44"/>
        </w:rPr>
      </w:pPr>
      <w:r>
        <w:rPr>
          <w:rFonts w:hint="eastAsia" w:ascii="宋体" w:hAnsi="宋体" w:eastAsia="宋体" w:cs="宋体"/>
          <w:bCs/>
          <w:color w:val="auto"/>
          <w:sz w:val="44"/>
        </w:rPr>
      </w:r>
      <w:r/>
    </w:p>
    <w:p>
      <w:pPr>
        <w:rPr>
          <w:rFonts w:hint="eastAsia" w:ascii="宋体" w:hAnsi="宋体" w:eastAsia="宋体" w:cs="宋体"/>
          <w:color w:val="auto"/>
        </w:rPr>
        <w:sectPr>
          <w:headerReference w:type="default" r:id="rId9"/>
          <w:footerReference w:type="default" r:id="rId13"/>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r>
      <w:r/>
    </w:p>
    <w:p>
      <w:pPr>
        <w:pStyle w:val="887"/>
        <w:jc w:val="center"/>
        <w:rPr>
          <w:rFonts w:hint="eastAsia" w:ascii="宋体" w:hAnsi="宋体" w:eastAsia="宋体" w:cs="宋体"/>
          <w:color w:val="auto"/>
        </w:rPr>
      </w:pPr>
      <w:r/>
      <w:bookmarkStart w:id="61" w:name="_Toc32516"/>
      <w:r>
        <w:rPr>
          <w:rFonts w:hint="eastAsia" w:ascii="宋体" w:hAnsi="宋体" w:eastAsia="宋体" w:cs="宋体"/>
          <w:color w:val="auto"/>
        </w:rPr>
        <w:t xml:space="preserve">第六章 投标文件格式</w:t>
      </w:r>
      <w:bookmarkEnd w:id="61"/>
      <w:r>
        <w:rPr>
          <w:rFonts w:hint="eastAsia" w:ascii="宋体" w:hAnsi="宋体" w:eastAsia="宋体" w:cs="宋体"/>
          <w:color w:val="auto"/>
        </w:rPr>
        <w:t xml:space="preserve"> </w:t>
      </w:r>
      <w:r/>
    </w:p>
    <w:p>
      <w:pPr>
        <w:rPr>
          <w:rFonts w:hint="eastAsia" w:ascii="宋体" w:hAnsi="宋体" w:eastAsia="宋体" w:cs="宋体"/>
          <w:bCs/>
          <w:color w:val="auto"/>
          <w:sz w:val="44"/>
        </w:rPr>
      </w:pPr>
      <w:r>
        <w:rPr>
          <w:rFonts w:hint="eastAsia" w:ascii="宋体" w:hAnsi="宋体" w:eastAsia="宋体" w:cs="宋体"/>
          <w:bCs/>
          <w:color w:val="auto"/>
          <w:sz w:val="44"/>
        </w:rPr>
      </w:r>
      <w:r/>
    </w:p>
    <w:p>
      <w:pPr>
        <w:jc w:val="center"/>
        <w:rPr>
          <w:rFonts w:hint="eastAsia" w:ascii="宋体" w:hAnsi="宋体" w:eastAsia="宋体" w:cs="宋体"/>
          <w:b/>
          <w:color w:val="auto"/>
          <w:sz w:val="72"/>
        </w:rPr>
      </w:pPr>
      <w:r>
        <w:rPr>
          <w:rFonts w:hint="eastAsia" w:ascii="宋体" w:hAnsi="宋体" w:eastAsia="宋体" w:cs="宋体"/>
          <w:b/>
          <w:color w:val="auto"/>
          <w:sz w:val="72"/>
        </w:rPr>
        <w:t xml:space="preserve">投  标  文  件</w:t>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ind w:firstLine="1084"/>
        <w:rPr>
          <w:rFonts w:hint="eastAsia" w:ascii="宋体" w:hAnsi="宋体" w:eastAsia="宋体" w:cs="宋体"/>
          <w:b/>
          <w:color w:val="auto"/>
          <w:sz w:val="36"/>
        </w:rPr>
      </w:pPr>
      <w:r>
        <w:rPr>
          <w:rFonts w:hint="eastAsia" w:ascii="宋体" w:hAnsi="宋体" w:eastAsia="宋体" w:cs="宋体"/>
          <w:b/>
          <w:color w:val="auto"/>
          <w:sz w:val="36"/>
        </w:rPr>
        <w:t xml:space="preserve">项 目 名 称：</w:t>
      </w:r>
      <w:r>
        <w:rPr>
          <w:rFonts w:hint="eastAsia" w:ascii="宋体" w:hAnsi="宋体" w:eastAsia="宋体" w:cs="宋体"/>
          <w:b/>
          <w:color w:val="auto"/>
          <w:sz w:val="36"/>
          <w:u w:val="single"/>
        </w:rPr>
        <w:t xml:space="preserve">               </w:t>
      </w:r>
      <w:r/>
    </w:p>
    <w:p>
      <w:pPr>
        <w:ind w:firstLine="1084"/>
        <w:rPr>
          <w:rFonts w:hint="eastAsia" w:ascii="宋体" w:hAnsi="宋体" w:eastAsia="宋体" w:cs="宋体"/>
          <w:b/>
          <w:color w:val="auto"/>
          <w:sz w:val="36"/>
          <w:u w:val="single"/>
        </w:rPr>
      </w:pPr>
      <w:r>
        <w:rPr>
          <w:rFonts w:hint="eastAsia" w:ascii="宋体" w:hAnsi="宋体" w:eastAsia="宋体" w:cs="宋体"/>
          <w:b/>
          <w:color w:val="auto"/>
          <w:sz w:val="36"/>
        </w:rPr>
        <w:t xml:space="preserve">招 标 编 号：</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投标人名称 ：</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日      期 ：</w:t>
      </w:r>
      <w:r>
        <w:rPr>
          <w:rFonts w:hint="eastAsia" w:ascii="宋体" w:hAnsi="宋体" w:eastAsia="宋体" w:cs="宋体"/>
          <w:b/>
          <w:color w:val="auto"/>
          <w:sz w:val="36"/>
          <w:u w:val="single"/>
        </w:rPr>
        <w:t xml:space="preserve">               </w:t>
      </w:r>
      <w:r/>
    </w:p>
    <w:p>
      <w:pPr>
        <w:ind w:firstLine="1084"/>
        <w:rPr>
          <w:rFonts w:hint="eastAsia" w:ascii="宋体" w:hAnsi="宋体" w:eastAsia="宋体" w:cs="宋体"/>
          <w:b/>
          <w:color w:val="auto"/>
          <w:sz w:val="36"/>
        </w:rPr>
      </w:pPr>
      <w:r>
        <w:rPr>
          <w:rFonts w:hint="eastAsia" w:ascii="宋体" w:hAnsi="宋体" w:eastAsia="宋体" w:cs="宋体"/>
          <w:b/>
          <w:color w:val="auto"/>
          <w:sz w:val="36"/>
        </w:rPr>
        <w:t xml:space="preserve">投  标  人：</w:t>
      </w:r>
      <w:r>
        <w:rPr>
          <w:rFonts w:hint="eastAsia" w:ascii="宋体" w:hAnsi="宋体" w:eastAsia="宋体" w:cs="宋体"/>
          <w:b/>
          <w:color w:val="auto"/>
          <w:sz w:val="36"/>
          <w:u w:val="single"/>
        </w:rPr>
        <w:t xml:space="preserve">         </w:t>
      </w:r>
      <w:r>
        <w:rPr>
          <w:rFonts w:hint="eastAsia" w:ascii="宋体" w:hAnsi="宋体" w:eastAsia="宋体" w:cs="宋体"/>
          <w:b/>
          <w:color w:val="auto"/>
          <w:sz w:val="36"/>
        </w:rPr>
        <w:t xml:space="preserve">（电子签章）</w:t>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2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2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color w:val="auto"/>
        </w:rPr>
      </w:pPr>
      <w:r>
        <w:rPr>
          <w:rFonts w:hint="eastAsia" w:ascii="宋体" w:hAnsi="宋体" w:eastAsia="宋体" w:cs="宋体"/>
          <w:color w:val="auto"/>
        </w:rPr>
      </w:r>
      <w:r/>
    </w:p>
    <w:p>
      <w:pP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投标主要文件目录</w:t>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一、资格审查响应对照表</w:t>
      </w:r>
      <w:r/>
    </w:p>
    <w:p>
      <w:pPr>
        <w:ind w:left="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二、符合性审查响应对照表</w:t>
      </w:r>
      <w:r/>
    </w:p>
    <w:p>
      <w:pPr>
        <w:ind w:left="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三、非实质性响应对照表</w:t>
      </w:r>
      <w:r/>
    </w:p>
    <w:p>
      <w:pPr>
        <w:ind w:firstLine="480"/>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四</w:t>
      </w:r>
      <w:r>
        <w:rPr>
          <w:rFonts w:hint="eastAsia" w:ascii="宋体" w:hAnsi="宋体" w:eastAsia="宋体" w:cs="宋体"/>
          <w:b/>
          <w:bCs/>
          <w:color w:val="auto"/>
          <w:sz w:val="24"/>
        </w:rPr>
        <w:t xml:space="preserve">、</w:t>
      </w:r>
      <w:r>
        <w:rPr>
          <w:rFonts w:hint="eastAsia" w:ascii="宋体" w:hAnsi="宋体" w:eastAsia="宋体" w:cs="宋体"/>
          <w:i/>
          <w:color w:val="auto"/>
          <w:sz w:val="24"/>
          <w:u w:val="single"/>
        </w:rPr>
        <w:t xml:space="preserve">开标一览表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五、分项报价表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w:t>
      </w:r>
      <w:r>
        <w:rPr>
          <w:rFonts w:hint="eastAsia" w:ascii="宋体" w:hAnsi="宋体" w:eastAsia="宋体" w:cs="宋体"/>
          <w:color w:val="auto"/>
          <w:sz w:val="24"/>
          <w:szCs w:val="24"/>
        </w:rPr>
        <w:t xml:space="preserve">、技术参数响应及偏离表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七、商务条款响应及偏离表</w:t>
      </w:r>
      <w:r/>
    </w:p>
    <w:p>
      <w:pPr>
        <w:ind w:firstLine="480"/>
        <w:spacing w:line="360" w:lineRule="auto"/>
        <w:rPr>
          <w:rFonts w:hint="eastAsia" w:ascii="宋体" w:hAnsi="宋体" w:eastAsia="宋体" w:cs="宋体"/>
          <w:color w:val="auto"/>
          <w:sz w:val="36"/>
          <w:szCs w:val="36"/>
        </w:rPr>
      </w:pPr>
      <w:r>
        <w:rPr>
          <w:rFonts w:hint="eastAsia" w:ascii="宋体" w:hAnsi="宋体" w:eastAsia="宋体" w:cs="宋体"/>
          <w:color w:val="auto"/>
          <w:sz w:val="24"/>
        </w:rPr>
        <w:t xml:space="preserve">八、其他 （投标人认为有必要提供的声明和文件，如有自拟并自行添加）</w:t>
      </w:r>
      <w:r/>
    </w:p>
    <w:p>
      <w:pPr>
        <w:contextualSpacing/>
        <w:jc w:val="center"/>
        <w:rPr>
          <w:rFonts w:hint="eastAsia" w:ascii="宋体" w:hAnsi="宋体" w:eastAsia="宋体" w:cs="宋体"/>
          <w:b/>
          <w:color w:val="auto"/>
          <w:sz w:val="72"/>
        </w:rPr>
      </w:pPr>
      <w:r>
        <w:rPr>
          <w:rFonts w:hint="eastAsia" w:ascii="宋体" w:hAnsi="宋体" w:eastAsia="宋体" w:cs="宋体"/>
          <w:b/>
          <w:color w:val="auto"/>
          <w:sz w:val="72"/>
        </w:rPr>
      </w:r>
      <w:r/>
    </w:p>
    <w:p>
      <w:pPr>
        <w:contextualSpacing/>
        <w:jc w:val="center"/>
        <w:spacing w:line="600" w:lineRule="exact"/>
        <w:rPr>
          <w:rFonts w:hint="eastAsia" w:ascii="宋体" w:hAnsi="宋体" w:eastAsia="宋体" w:cs="宋体"/>
          <w:b/>
          <w:color w:val="auto"/>
          <w:sz w:val="72"/>
        </w:rPr>
      </w:pPr>
      <w:r>
        <w:rPr>
          <w:rFonts w:hint="eastAsia" w:ascii="宋体" w:hAnsi="宋体" w:eastAsia="宋体" w:cs="宋体"/>
          <w:b/>
          <w:color w:val="auto"/>
          <w:sz w:val="72"/>
        </w:rPr>
      </w:r>
      <w:r/>
    </w:p>
    <w:p>
      <w:pPr>
        <w:contextualSpacing/>
        <w:jc w:val="center"/>
        <w:spacing w:line="600" w:lineRule="exact"/>
        <w:rPr>
          <w:rFonts w:hint="eastAsia" w:ascii="宋体" w:hAnsi="宋体" w:eastAsia="宋体" w:cs="宋体"/>
          <w:b/>
          <w:color w:val="auto"/>
          <w:sz w:val="72"/>
        </w:rPr>
      </w:pPr>
      <w:r>
        <w:rPr>
          <w:rFonts w:hint="eastAsia" w:ascii="宋体" w:hAnsi="宋体" w:eastAsia="宋体" w:cs="宋体"/>
          <w:b/>
          <w:color w:val="auto"/>
          <w:sz w:val="72"/>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88"/>
        <w:spacing w:before="0" w:after="0" w:line="360" w:lineRule="auto"/>
        <w:rPr>
          <w:rFonts w:hint="eastAsia" w:ascii="宋体" w:hAnsi="宋体" w:eastAsia="宋体" w:cs="宋体"/>
          <w:b w:val="0"/>
          <w:color w:val="auto"/>
          <w:sz w:val="32"/>
          <w:szCs w:val="32"/>
        </w:rPr>
      </w:pPr>
      <w:r>
        <w:rPr>
          <w:rFonts w:hint="eastAsia" w:ascii="宋体" w:hAnsi="宋体" w:eastAsia="宋体" w:cs="宋体"/>
          <w:color w:val="auto"/>
          <w:sz w:val="32"/>
          <w:szCs w:val="32"/>
        </w:rPr>
        <w:br w:type="page" w:clear="all"/>
      </w:r>
      <w:bookmarkStart w:id="62" w:name="_Toc26551"/>
      <w:r>
        <w:rPr>
          <w:rFonts w:hint="eastAsia" w:ascii="宋体" w:hAnsi="宋体" w:eastAsia="宋体" w:cs="宋体"/>
          <w:color w:val="auto"/>
          <w:sz w:val="32"/>
        </w:rPr>
        <w:t xml:space="preserve">一、资格审查响应对照表</w:t>
      </w:r>
      <w:bookmarkEnd w:id="62"/>
      <w:r/>
      <w:r/>
    </w:p>
    <w:tbl>
      <w:tblPr>
        <w:tblStyle w:val="685"/>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资格审查响应内容</w:t>
            </w:r>
            <w:r/>
          </w:p>
        </w:tc>
        <w:tc>
          <w:tcPr>
            <w:tcW w:w="2158"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是否响应</w:t>
            </w:r>
            <w:r/>
          </w:p>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（填是或者否）</w:t>
            </w:r>
            <w:r/>
          </w:p>
        </w:tc>
      </w:tr>
      <w:tr>
        <w:trPr>
          <w:trHeight w:val="409"/>
        </w:trPr>
        <w:tc>
          <w:tcPr>
            <w:gridSpan w:val="3"/>
            <w:tcW w:w="82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b/>
                <w:bCs/>
                <w:color w:val="auto"/>
              </w:rPr>
              <w:t xml:space="preserve">通用资格条件</w:t>
            </w:r>
            <w:r/>
          </w:p>
        </w:tc>
      </w:tr>
      <w:tr>
        <w:trPr>
          <w:trHeight w:val="761"/>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w:t>
            </w:r>
            <w:r/>
          </w:p>
        </w:tc>
        <w:tc>
          <w:tcPr>
            <w:tcW w:w="5447" w:type="dxa"/>
            <w:vAlign w:val="center"/>
            <w:textDirection w:val="lrTb"/>
            <w:noWrap w:val="false"/>
          </w:tcPr>
          <w:p>
            <w:pPr>
              <w:jc w:val="left"/>
              <w:rPr>
                <w:rFonts w:hint="eastAsia" w:ascii="宋体" w:hAnsi="宋体" w:eastAsia="宋体" w:cs="宋体"/>
                <w:color w:val="auto"/>
              </w:rPr>
            </w:pPr>
            <w:r>
              <w:rPr>
                <w:rFonts w:hint="eastAsia" w:ascii="宋体" w:hAnsi="宋体" w:eastAsia="宋体" w:cs="宋体"/>
                <w:color w:val="auto"/>
              </w:rPr>
              <w:t xml:space="preserve">法人或者其他组织的营业执照等证明文件，自然人的身份证明（身份证为正、反面）</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585"/>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w:t>
            </w:r>
            <w:r/>
          </w:p>
        </w:tc>
        <w:tc>
          <w:tcPr>
            <w:tcW w:w="5447" w:type="dxa"/>
            <w:vAlign w:val="center"/>
            <w:textDirection w:val="lrTb"/>
            <w:noWrap w:val="false"/>
          </w:tcPr>
          <w:p>
            <w:pPr>
              <w:jc w:val="left"/>
              <w:rPr>
                <w:rFonts w:hint="eastAsia" w:ascii="宋体" w:hAnsi="宋体" w:eastAsia="宋体" w:cs="宋体"/>
                <w:color w:val="auto"/>
              </w:rPr>
            </w:pPr>
            <w:r>
              <w:rPr>
                <w:rFonts w:hint="eastAsia" w:ascii="宋体" w:hAnsi="宋体" w:eastAsia="宋体" w:cs="宋体"/>
                <w:color w:val="auto"/>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585"/>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w:t>
            </w:r>
            <w:r/>
          </w:p>
        </w:tc>
        <w:tc>
          <w:tcPr>
            <w:tcW w:w="5447" w:type="dxa"/>
            <w:vAlign w:val="center"/>
            <w:textDirection w:val="lrTb"/>
            <w:noWrap w:val="false"/>
          </w:tcPr>
          <w:p>
            <w:pPr>
              <w:jc w:val="left"/>
              <w:rPr>
                <w:rFonts w:hint="eastAsia" w:ascii="宋体" w:hAnsi="宋体" w:eastAsia="宋体" w:cs="宋体"/>
                <w:color w:val="auto"/>
              </w:rPr>
            </w:pPr>
            <w:r>
              <w:rPr>
                <w:rFonts w:hint="eastAsia" w:ascii="宋体" w:hAnsi="宋体" w:eastAsia="宋体" w:cs="宋体"/>
                <w:color w:val="auto"/>
              </w:rPr>
              <w:t xml:space="preserve">上一年度的财务状况报告（成立不满一年无需提供）</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417"/>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4</w:t>
            </w:r>
            <w:r/>
          </w:p>
        </w:tc>
        <w:tc>
          <w:tcPr>
            <w:tcW w:w="5447" w:type="dxa"/>
            <w:vAlign w:val="center"/>
            <w:textDirection w:val="lrTb"/>
            <w:noWrap w:val="false"/>
          </w:tcPr>
          <w:p>
            <w:pPr>
              <w:jc w:val="left"/>
              <w:rPr>
                <w:rFonts w:hint="eastAsia" w:ascii="宋体" w:hAnsi="宋体" w:eastAsia="宋体" w:cs="宋体"/>
                <w:color w:val="auto"/>
              </w:rPr>
            </w:pPr>
            <w:r>
              <w:rPr>
                <w:rFonts w:hint="eastAsia" w:ascii="宋体" w:hAnsi="宋体" w:eastAsia="宋体" w:cs="宋体"/>
                <w:color w:val="auto"/>
              </w:rPr>
              <w:t xml:space="preserve">具备履行合同所必需的设备和专业技术能力的证明材料</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780"/>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w:t>
            </w:r>
            <w:r/>
          </w:p>
        </w:tc>
        <w:tc>
          <w:tcPr>
            <w:tcW w:w="5447" w:type="dxa"/>
            <w:vAlign w:val="center"/>
            <w:textDirection w:val="lrTb"/>
            <w:noWrap w:val="false"/>
          </w:tcPr>
          <w:p>
            <w:pPr>
              <w:jc w:val="left"/>
              <w:rPr>
                <w:rFonts w:hint="eastAsia" w:ascii="宋体" w:hAnsi="宋体" w:eastAsia="宋体" w:cs="宋体"/>
                <w:color w:val="auto"/>
              </w:rPr>
            </w:pPr>
            <w:r>
              <w:rPr>
                <w:rFonts w:hint="eastAsia" w:ascii="宋体" w:hAnsi="宋体" w:eastAsia="宋体" w:cs="宋体"/>
                <w:color w:val="auto"/>
              </w:rPr>
              <w:t xml:space="preserve">参加本次政府采购活动前3年内在经营活动中没有重大违法记录的书面声明</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780"/>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6</w:t>
            </w:r>
            <w:r/>
          </w:p>
        </w:tc>
        <w:tc>
          <w:tcPr>
            <w:tcW w:w="5447" w:type="dxa"/>
            <w:vAlign w:val="center"/>
            <w:textDirection w:val="lrTb"/>
            <w:noWrap w:val="false"/>
          </w:tcPr>
          <w:p>
            <w:pPr>
              <w:jc w:val="left"/>
              <w:rPr>
                <w:rFonts w:hint="eastAsia" w:ascii="宋体" w:hAnsi="宋体" w:eastAsia="宋体" w:cs="宋体"/>
                <w:color w:val="auto"/>
              </w:rPr>
            </w:pPr>
            <w:r>
              <w:rPr>
                <w:rFonts w:hint="eastAsia" w:ascii="宋体" w:hAnsi="宋体" w:eastAsia="宋体" w:cs="宋体"/>
                <w:color w:val="auto"/>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780"/>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7</w:t>
            </w:r>
            <w:r/>
          </w:p>
        </w:tc>
        <w:tc>
          <w:tcPr>
            <w:tcW w:w="5447" w:type="dxa"/>
            <w:vAlign w:val="center"/>
            <w:textDirection w:val="lrTb"/>
            <w:noWrap w:val="false"/>
          </w:tcPr>
          <w:p>
            <w:pPr>
              <w:jc w:val="left"/>
              <w:rPr>
                <w:rFonts w:hint="eastAsia" w:ascii="宋体" w:hAnsi="宋体" w:eastAsia="宋体" w:cs="宋体"/>
                <w:color w:val="auto"/>
              </w:rPr>
            </w:pPr>
            <w:r>
              <w:rPr>
                <w:rFonts w:hint="eastAsia" w:ascii="宋体" w:hAnsi="宋体" w:eastAsia="宋体" w:cs="宋体"/>
                <w:color w:val="auto"/>
              </w:rPr>
              <w:t xml:space="preserve">供应商信用承诺函</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378"/>
        </w:trPr>
        <w:tc>
          <w:tcPr>
            <w:gridSpan w:val="3"/>
            <w:tcW w:w="82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b/>
                <w:bCs/>
                <w:color w:val="auto"/>
              </w:rPr>
              <w:t xml:space="preserve">落实政府采购政策需满足的资格要求</w:t>
            </w:r>
            <w:r/>
          </w:p>
        </w:tc>
      </w:tr>
      <w:tr>
        <w:trPr>
          <w:trHeight w:val="416"/>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8</w:t>
            </w:r>
            <w:r/>
          </w:p>
        </w:tc>
        <w:tc>
          <w:tcPr>
            <w:tcW w:w="5447" w:type="dxa"/>
            <w:vAlign w:val="center"/>
            <w:textDirection w:val="lrTb"/>
            <w:noWrap w:val="false"/>
          </w:tcPr>
          <w:p>
            <w:pPr>
              <w:rPr>
                <w:rFonts w:hint="eastAsia" w:ascii="宋体" w:hAnsi="宋体" w:eastAsia="宋体" w:cs="宋体"/>
                <w:color w:val="auto"/>
              </w:rPr>
            </w:pPr>
            <w:r>
              <w:rPr>
                <w:rFonts w:hint="eastAsia" w:ascii="宋体" w:hAnsi="宋体" w:eastAsia="宋体" w:cs="宋体"/>
                <w:color w:val="auto"/>
              </w:rPr>
              <w:t xml:space="preserve">无</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490"/>
        </w:trPr>
        <w:tc>
          <w:tcPr>
            <w:gridSpan w:val="3"/>
            <w:tcW w:w="82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b/>
                <w:bCs/>
                <w:color w:val="auto"/>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9</w:t>
            </w:r>
            <w:r/>
          </w:p>
        </w:tc>
        <w:tc>
          <w:tcPr>
            <w:tcW w:w="5447" w:type="dxa"/>
            <w:vAlign w:val="center"/>
            <w:textDirection w:val="lrTb"/>
            <w:noWrap w:val="false"/>
          </w:tcPr>
          <w:p>
            <w:pPr>
              <w:rPr>
                <w:rFonts w:hint="eastAsia" w:ascii="宋体" w:hAnsi="宋体" w:eastAsia="宋体" w:cs="宋体"/>
                <w:color w:val="auto"/>
              </w:rPr>
            </w:pPr>
            <w:r>
              <w:rPr>
                <w:rFonts w:hint="eastAsia" w:ascii="宋体" w:hAnsi="宋体" w:eastAsia="宋体" w:cs="宋体"/>
                <w:color w:val="auto"/>
              </w:rPr>
              <w:t xml:space="preserve">无</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424"/>
        </w:trPr>
        <w:tc>
          <w:tcPr>
            <w:gridSpan w:val="3"/>
            <w:tcW w:w="82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b/>
                <w:bCs/>
                <w:color w:val="auto"/>
              </w:rPr>
              <w:t xml:space="preserve">其他资格条件</w:t>
            </w:r>
            <w:r/>
          </w:p>
        </w:tc>
      </w:tr>
      <w:tr>
        <w:trPr>
          <w:trHeight w:val="400"/>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w:t>
            </w:r>
            <w:r/>
          </w:p>
        </w:tc>
        <w:tc>
          <w:tcPr>
            <w:tcW w:w="5447" w:type="dxa"/>
            <w:vAlign w:val="center"/>
            <w:textDirection w:val="lrTb"/>
            <w:noWrap w:val="false"/>
          </w:tcPr>
          <w:p>
            <w:pPr>
              <w:rPr>
                <w:rFonts w:hint="eastAsia" w:ascii="宋体" w:hAnsi="宋体" w:eastAsia="宋体" w:cs="宋体"/>
                <w:color w:val="auto"/>
              </w:rPr>
            </w:pPr>
            <w:r>
              <w:rPr>
                <w:rFonts w:hint="eastAsia" w:ascii="宋体" w:hAnsi="宋体" w:eastAsia="宋体" w:cs="宋体"/>
                <w:color w:val="auto"/>
              </w:rPr>
              <w:t xml:space="preserve">投标函</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400"/>
        </w:trPr>
        <w:tc>
          <w:tcPr>
            <w:tcW w:w="64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11</w:t>
            </w:r>
            <w:r/>
          </w:p>
        </w:tc>
        <w:tc>
          <w:tcPr>
            <w:tcW w:w="5447" w:type="dxa"/>
            <w:vAlign w:val="center"/>
            <w:textDirection w:val="lrTb"/>
            <w:noWrap w:val="false"/>
          </w:tcPr>
          <w:p>
            <w:pPr>
              <w:rPr>
                <w:rFonts w:hint="eastAsia" w:ascii="宋体" w:hAnsi="宋体" w:eastAsia="宋体" w:cs="宋体"/>
                <w:color w:val="auto"/>
              </w:rPr>
            </w:pPr>
            <w:r>
              <w:rPr>
                <w:rFonts w:hint="eastAsia" w:ascii="宋体" w:hAnsi="宋体" w:eastAsia="宋体" w:cs="宋体"/>
                <w:color w:val="auto"/>
              </w:rPr>
              <w:t xml:space="preserve">法人授权书</w:t>
            </w:r>
            <w:r/>
          </w:p>
        </w:tc>
        <w:tc>
          <w:tcPr>
            <w:tcW w:w="21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bl>
    <w:p>
      <w:pPr>
        <w:ind w:firstLine="1476"/>
        <w:spacing w:before="156" w:after="156" w:line="360" w:lineRule="auto"/>
        <w:rPr>
          <w:rFonts w:hint="eastAsia" w:ascii="宋体" w:hAnsi="宋体" w:eastAsia="宋体" w:cs="宋体"/>
          <w:b/>
          <w:bCs/>
          <w:color w:val="auto"/>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
          <w:bCs/>
          <w:color w:val="auto"/>
        </w:rPr>
      </w:r>
      <w:r/>
    </w:p>
    <w:p>
      <w:pPr>
        <w:ind w:firstLine="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具备履行合同所必需的设备和专业技术能力的书面声明</w:t>
      </w:r>
      <w:r/>
    </w:p>
    <w:p>
      <w:pPr>
        <w:ind w:firstLine="492"/>
        <w:spacing w:line="46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主要设备有：</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w:t>
      </w:r>
      <w:r/>
    </w:p>
    <w:p>
      <w:pPr>
        <w:ind w:firstLine="492"/>
        <w:spacing w:line="46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主要专业技术能力有：</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w:t>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pStyle w:val="720"/>
        <w:rPr>
          <w:rFonts w:hint="eastAsia" w:ascii="宋体" w:hAnsi="宋体" w:eastAsia="宋体" w:cs="宋体"/>
          <w:color w:val="auto"/>
        </w:rPr>
      </w:pPr>
      <w:r>
        <w:rPr>
          <w:rFonts w:hint="eastAsia" w:ascii="宋体" w:hAnsi="宋体" w:eastAsia="宋体" w:cs="宋体"/>
          <w:color w:val="auto"/>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pStyle w:val="720"/>
        <w:rPr>
          <w:rFonts w:hint="eastAsia" w:ascii="宋体" w:hAnsi="宋体" w:eastAsia="宋体" w:cs="宋体"/>
          <w:b/>
          <w:color w:val="auto"/>
          <w:sz w:val="36"/>
        </w:rPr>
      </w:pPr>
      <w:r>
        <w:rPr>
          <w:rFonts w:hint="eastAsia" w:ascii="宋体" w:hAnsi="宋体" w:eastAsia="宋体" w:cs="宋体"/>
          <w:b/>
          <w:color w:val="auto"/>
          <w:sz w:val="36"/>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contextualSpacing/>
        <w:spacing w:line="600" w:lineRule="exact"/>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参加本次政府采购活动前 3 年内在经营活动中没有重大违法记录的书面声明</w:t>
      </w:r>
      <w:r/>
    </w:p>
    <w:p>
      <w:pPr>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after="312" w:line="360" w:lineRule="auto"/>
        <w:rPr>
          <w:rFonts w:hint="eastAsia" w:ascii="宋体" w:hAnsi="宋体" w:eastAsia="宋体" w:cs="宋体"/>
          <w:b/>
          <w:bCs/>
          <w:color w:val="auto"/>
        </w:rPr>
      </w:pPr>
      <w:r>
        <w:rPr>
          <w:rFonts w:hint="eastAsia" w:ascii="宋体" w:hAnsi="宋体" w:eastAsia="宋体" w:cs="宋体"/>
          <w:b/>
          <w:bCs/>
          <w:color w:val="auto"/>
        </w:rPr>
        <w:t xml:space="preserve">声  明</w:t>
      </w:r>
      <w:r/>
    </w:p>
    <w:p>
      <w:pPr>
        <w:spacing w:line="360" w:lineRule="auto"/>
        <w:rPr>
          <w:rFonts w:hint="eastAsia" w:ascii="宋体" w:hAnsi="宋体" w:eastAsia="宋体" w:cs="宋体"/>
          <w:bCs/>
          <w:color w:val="auto"/>
        </w:rPr>
      </w:pPr>
      <w:r>
        <w:rPr>
          <w:rFonts w:hint="eastAsia" w:ascii="宋体" w:hAnsi="宋体" w:eastAsia="宋体" w:cs="宋体"/>
          <w:b/>
          <w:bCs/>
          <w:color w:val="auto"/>
        </w:rPr>
        <w:t xml:space="preserve">    </w:t>
      </w:r>
      <w:r>
        <w:rPr>
          <w:rFonts w:hint="eastAsia" w:ascii="宋体" w:hAnsi="宋体" w:eastAsia="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rPr>
      </w:pPr>
      <w:r>
        <w:rPr>
          <w:rFonts w:hint="eastAsia" w:ascii="宋体" w:hAnsi="宋体" w:eastAsia="宋体" w:cs="宋体"/>
          <w:bCs/>
          <w:color w:val="auto"/>
        </w:rPr>
        <w:t xml:space="preserve">                               供应商名称（公章）：</w:t>
      </w:r>
      <w:r/>
    </w:p>
    <w:p>
      <w:pPr>
        <w:spacing w:line="360" w:lineRule="auto"/>
        <w:rPr>
          <w:rFonts w:hint="eastAsia" w:ascii="宋体" w:hAnsi="宋体" w:eastAsia="宋体" w:cs="宋体"/>
          <w:bCs/>
          <w:color w:val="auto"/>
        </w:rPr>
      </w:pPr>
      <w:r>
        <w:rPr>
          <w:rFonts w:hint="eastAsia" w:ascii="宋体" w:hAnsi="宋体" w:eastAsia="宋体" w:cs="宋体"/>
          <w:bCs/>
          <w:color w:val="auto"/>
        </w:rPr>
        <w:t xml:space="preserve">                               法定代表人签章：</w:t>
      </w:r>
      <w:r/>
    </w:p>
    <w:p>
      <w:pPr>
        <w:spacing w:line="360" w:lineRule="auto"/>
        <w:rPr>
          <w:rFonts w:hint="eastAsia" w:ascii="宋体" w:hAnsi="宋体" w:eastAsia="宋体" w:cs="宋体"/>
          <w:bCs/>
          <w:color w:val="auto"/>
        </w:rPr>
      </w:pPr>
      <w:r>
        <w:rPr>
          <w:rFonts w:hint="eastAsia" w:ascii="宋体" w:hAnsi="宋体" w:eastAsia="宋体" w:cs="宋体"/>
          <w:bCs/>
          <w:color w:val="auto"/>
        </w:rPr>
        <w:t xml:space="preserve">                               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rPr>
        <w:br w:type="page" w:clear="all"/>
      </w:r>
      <w:r>
        <w:rPr>
          <w:rFonts w:hint="eastAsia" w:ascii="宋体" w:hAnsi="宋体" w:eastAsia="宋体" w:cs="宋体"/>
          <w:b/>
          <w:color w:val="auto"/>
          <w:sz w:val="24"/>
          <w:szCs w:val="24"/>
        </w:rPr>
        <w:t xml:space="preserve">供应商信用承诺书</w:t>
      </w:r>
      <w:r/>
    </w:p>
    <w:p>
      <w:pPr>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承诺主体名称：</w:t>
      </w:r>
      <w:r/>
    </w:p>
    <w:p>
      <w:pPr>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统一社会信用代码：</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四、自觉接受行政管理部门、行业组织、社会公众、新闻舆论的监督；</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六、提出政府采购质疑和投诉坚持依法依规、诚实信用原则，在全国范围12个月内没有三次以上查无实据的政府采购投诉；</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七、严格遵守信用信息公示相关规定，向社会公示信用信息；</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八、在“信用中国”和“中国政府采购网”网站中无违法违规、较重或严重失信记录；</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十、本承诺书自签订之日起生效。</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 （注：法定代表人或负责人、主体名称发生变更的应当重新做出承诺。）</w:t>
      </w:r>
      <w:r/>
    </w:p>
    <w:p>
      <w:pPr>
        <w:spacing w:line="560" w:lineRule="exact"/>
        <w:rPr>
          <w:rFonts w:hint="eastAsia" w:ascii="宋体" w:hAnsi="宋体" w:eastAsia="宋体" w:cs="宋体"/>
          <w:color w:val="auto"/>
          <w:szCs w:val="21"/>
        </w:rPr>
      </w:pPr>
      <w:r>
        <w:rPr>
          <w:rFonts w:hint="eastAsia" w:ascii="宋体" w:hAnsi="宋体" w:eastAsia="宋体" w:cs="宋体"/>
          <w:color w:val="auto"/>
          <w:szCs w:val="21"/>
        </w:rPr>
      </w:r>
      <w:r/>
    </w:p>
    <w:p>
      <w:pPr>
        <w:jc w:val="center"/>
        <w:spacing w:line="560" w:lineRule="exact"/>
        <w:rPr>
          <w:rFonts w:hint="eastAsia" w:ascii="宋体" w:hAnsi="宋体" w:eastAsia="宋体" w:cs="宋体"/>
          <w:color w:val="auto"/>
          <w:szCs w:val="21"/>
        </w:rPr>
      </w:pPr>
      <w:r>
        <w:rPr>
          <w:rFonts w:hint="eastAsia" w:ascii="宋体" w:hAnsi="宋体" w:eastAsia="宋体" w:cs="宋体"/>
          <w:color w:val="auto"/>
          <w:szCs w:val="21"/>
        </w:rPr>
        <w:t xml:space="preserve">　　　　　　　　　　                     承诺单位（签章）：           </w:t>
      </w:r>
      <w:r/>
    </w:p>
    <w:p>
      <w:pPr>
        <w:jc w:val="center"/>
        <w:spacing w:line="560" w:lineRule="exact"/>
        <w:rPr>
          <w:rFonts w:hint="eastAsia" w:ascii="宋体" w:hAnsi="宋体" w:eastAsia="宋体" w:cs="宋体"/>
          <w:color w:val="auto"/>
          <w:szCs w:val="21"/>
        </w:rPr>
      </w:pPr>
      <w:r>
        <w:rPr>
          <w:rFonts w:hint="eastAsia" w:ascii="宋体" w:hAnsi="宋体" w:eastAsia="宋体" w:cs="宋体"/>
          <w:color w:val="auto"/>
          <w:szCs w:val="21"/>
        </w:rPr>
        <w:t xml:space="preserve">　　　　　　　　　   　  法定代表人（负责人）：</w:t>
      </w:r>
      <w:r/>
    </w:p>
    <w:p>
      <w:pPr>
        <w:jc w:val="center"/>
        <w:spacing w:line="560" w:lineRule="exact"/>
        <w:rPr>
          <w:rFonts w:hint="eastAsia" w:ascii="宋体" w:hAnsi="宋体" w:eastAsia="宋体" w:cs="宋体"/>
          <w:color w:val="auto"/>
          <w:szCs w:val="21"/>
        </w:rPr>
      </w:pPr>
      <w:r>
        <w:rPr>
          <w:rFonts w:hint="eastAsia" w:ascii="宋体" w:hAnsi="宋体" w:eastAsia="宋体" w:cs="宋体"/>
          <w:color w:val="auto"/>
          <w:szCs w:val="21"/>
        </w:rPr>
        <w:t xml:space="preserve">　　　　　　　　　     年   月   日</w:t>
      </w:r>
      <w:r/>
    </w:p>
    <w:p>
      <w:pPr>
        <w:spacing w:line="560" w:lineRule="exact"/>
        <w:rPr>
          <w:rFonts w:hint="eastAsia" w:ascii="宋体" w:hAnsi="宋体" w:eastAsia="宋体" w:cs="宋体"/>
          <w:color w:val="auto"/>
          <w:szCs w:val="21"/>
        </w:rPr>
      </w:pPr>
      <w:r>
        <w:rPr>
          <w:rFonts w:hint="eastAsia" w:ascii="宋体" w:hAnsi="宋体" w:eastAsia="宋体" w:cs="宋体"/>
          <w:color w:val="auto"/>
          <w:szCs w:val="21"/>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投标函格式</w:t>
      </w:r>
      <w:r/>
    </w:p>
    <w:p>
      <w:pPr>
        <w:pStyle w:val="913"/>
        <w:ind w:firstLine="420"/>
        <w:spacing w:before="0" w:after="0"/>
        <w:rPr>
          <w:rFonts w:hint="eastAsia" w:ascii="宋体" w:hAnsi="宋体" w:eastAsia="宋体" w:cs="宋体"/>
          <w:color w:val="auto"/>
          <w:sz w:val="21"/>
        </w:rPr>
      </w:pPr>
      <w:r>
        <w:rPr>
          <w:rFonts w:hint="eastAsia" w:ascii="宋体" w:hAnsi="宋体" w:eastAsia="宋体" w:cs="宋体"/>
          <w:color w:val="auto"/>
          <w:sz w:val="21"/>
          <w:szCs w:val="21"/>
        </w:rPr>
        <w:t xml:space="preserve">致：</w:t>
      </w:r>
      <w:r>
        <w:rPr>
          <w:rFonts w:hint="eastAsia" w:ascii="宋体" w:hAnsi="宋体" w:eastAsia="宋体" w:cs="宋体"/>
          <w:color w:val="auto"/>
          <w:sz w:val="21"/>
        </w:rPr>
        <w:t xml:space="preserve">江苏辰诚工程咨询有限公司</w:t>
      </w:r>
      <w:r/>
    </w:p>
    <w:p>
      <w:pPr>
        <w:pStyle w:val="913"/>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根据贵方的（）号招标文件，正式授权下述签字人_________________(姓名)代表我方______________（投标人的名称），全权处理本次项目投标的有关事宜。</w:t>
      </w:r>
      <w:r/>
    </w:p>
    <w:p>
      <w:pPr>
        <w:pStyle w:val="913"/>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据此函，__________签字人（姓名）兹宣布同意如下：</w:t>
      </w:r>
      <w:r/>
    </w:p>
    <w:p>
      <w:pPr>
        <w:pStyle w:val="913"/>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1.按招标文件规定的各项要求，向买方提供所需货物与服务。</w:t>
      </w:r>
      <w:r/>
    </w:p>
    <w:p>
      <w:pPr>
        <w:pStyle w:val="913"/>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2.我们完全理解贵方不一定将合同授予最低报价的投标人。</w:t>
      </w:r>
      <w:r/>
    </w:p>
    <w:p>
      <w:pPr>
        <w:pStyle w:val="913"/>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3.我们已详细审核全部招标文件及其有效补充文件，我们知道必须放弃提出含糊不清或误解问题的权利。</w:t>
      </w:r>
      <w:r/>
    </w:p>
    <w:p>
      <w:pPr>
        <w:pStyle w:val="913"/>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4.我们同意从规定的开标日期起遵循本投标文件，并在规定的投标有效期期满之前均具有约束力。</w:t>
      </w:r>
      <w:r/>
    </w:p>
    <w:p>
      <w:pPr>
        <w:pStyle w:val="913"/>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5.同意向贵方提供贵方可能另外要求的与投标有关的任何证据或资料，并保证我方已提供和将要提供的文件是真实的、准确的。</w:t>
      </w:r>
      <w:r/>
    </w:p>
    <w:p>
      <w:pPr>
        <w:pStyle w:val="913"/>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6.一旦我方中标,我方将根据招标文件的规定，严格履行合同的责任和义务,并保证在招标文件规定的时间完成项目，交付买方验收、使用。</w:t>
      </w:r>
      <w:r/>
    </w:p>
    <w:p>
      <w:pPr>
        <w:pStyle w:val="913"/>
        <w:ind w:left="425" w:firstLine="105"/>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7.与本投标有关的正式通讯地址为：</w:t>
      </w:r>
      <w:r/>
    </w:p>
    <w:p>
      <w:pPr>
        <w:pStyle w:val="913"/>
        <w:ind w:firstLine="478"/>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地 址：</w:t>
      </w:r>
      <w:r/>
    </w:p>
    <w:p>
      <w:pPr>
        <w:pStyle w:val="913"/>
        <w:ind w:firstLine="478"/>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邮 编：</w:t>
      </w:r>
      <w:r/>
    </w:p>
    <w:p>
      <w:pPr>
        <w:pStyle w:val="913"/>
        <w:ind w:firstLine="478"/>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电 话： </w:t>
      </w:r>
      <w:r/>
    </w:p>
    <w:p>
      <w:pPr>
        <w:pStyle w:val="913"/>
        <w:ind w:firstLine="478"/>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传 真： </w:t>
      </w:r>
      <w:r/>
    </w:p>
    <w:p>
      <w:pPr>
        <w:pStyle w:val="913"/>
        <w:ind w:firstLine="478"/>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投标人开户行：</w:t>
      </w:r>
      <w:r/>
    </w:p>
    <w:p>
      <w:pPr>
        <w:pStyle w:val="913"/>
        <w:ind w:firstLine="478"/>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账 户： </w:t>
      </w:r>
      <w:r/>
    </w:p>
    <w:p>
      <w:pPr>
        <w:pStyle w:val="913"/>
        <w:ind w:firstLine="478"/>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行 号：</w:t>
      </w:r>
      <w:r/>
    </w:p>
    <w:p>
      <w:pPr>
        <w:pStyle w:val="913"/>
        <w:ind w:firstLine="478"/>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日 期：________年____月____日</w:t>
      </w:r>
      <w:r/>
    </w:p>
    <w:p>
      <w:pPr>
        <w:contextualSpacing/>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914"/>
        <w:ind w:left="0" w:firstLine="0"/>
        <w:jc w:val="center"/>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法人授权书</w:t>
      </w:r>
      <w:r/>
    </w:p>
    <w:p>
      <w:pPr>
        <w:pStyle w:val="914"/>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14"/>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14"/>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本授权书于______年____月____日起生效，特此声明。</w:t>
      </w:r>
      <w:r/>
    </w:p>
    <w:p>
      <w:pPr>
        <w:pStyle w:val="914"/>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914"/>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被授权人姓名：</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     </w:t>
      </w:r>
      <w:r/>
    </w:p>
    <w:p>
      <w:pPr>
        <w:pStyle w:val="914"/>
        <w:ind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联系电话（手机）：</w:t>
      </w:r>
      <w:r>
        <w:rPr>
          <w:rFonts w:hint="eastAsia" w:ascii="宋体" w:hAnsi="宋体" w:eastAsia="宋体" w:cs="宋体"/>
          <w:color w:val="auto"/>
          <w:sz w:val="21"/>
          <w:szCs w:val="21"/>
          <w:u w:val="single"/>
        </w:rPr>
        <w:t xml:space="preserve">                            </w:t>
      </w:r>
      <w:r/>
    </w:p>
    <w:p>
      <w:pPr>
        <w:pStyle w:val="914"/>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单位名称：____________________________________</w:t>
      </w:r>
      <w:r/>
    </w:p>
    <w:p>
      <w:pPr>
        <w:pStyle w:val="914"/>
        <w:ind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单位地址：</w:t>
      </w:r>
      <w:r>
        <w:rPr>
          <w:rFonts w:hint="eastAsia" w:ascii="宋体" w:hAnsi="宋体" w:eastAsia="宋体" w:cs="宋体"/>
          <w:color w:val="auto"/>
          <w:sz w:val="21"/>
          <w:szCs w:val="21"/>
          <w:u w:val="single"/>
        </w:rPr>
        <w:t xml:space="preserve">                                    </w:t>
      </w:r>
      <w:r/>
    </w:p>
    <w:p>
      <w:pPr>
        <w:pStyle w:val="914"/>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spacing w:line="460" w:lineRule="exact"/>
        <w:rPr>
          <w:rFonts w:hint="eastAsia" w:ascii="宋体" w:hAnsi="宋体" w:eastAsia="宋体" w:cs="宋体"/>
          <w:bCs/>
          <w:color w:val="auto"/>
        </w:rPr>
      </w:pPr>
      <w:r>
        <w:rPr>
          <w:rFonts w:hint="eastAsia" w:ascii="宋体" w:hAnsi="宋体" w:eastAsia="宋体" w:cs="宋体"/>
          <w:bCs/>
          <w:color w:val="auto"/>
        </w:rPr>
      </w:r>
      <w:r/>
    </w:p>
    <w:p>
      <w:pPr>
        <w:spacing w:line="46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20"/>
        <w:spacing w:line="460" w:lineRule="exact"/>
        <w:rPr>
          <w:rFonts w:hint="eastAsia" w:ascii="宋体" w:hAnsi="宋体" w:eastAsia="宋体" w:cs="宋体"/>
          <w:bCs/>
          <w:color w:val="auto"/>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auto"/>
        </w:rPr>
        <w:t xml:space="preserve">被授权人身份证复印件</w:t>
      </w:r>
      <w:r/>
    </w:p>
    <w:p>
      <w:pPr>
        <w:pStyle w:val="888"/>
        <w:keepLines/>
        <w:keepNext/>
        <w:pageBreakBefore w:val="0"/>
        <w:spacing w:before="0" w:after="0" w:line="360" w:lineRule="auto"/>
        <w:widowControl w:val="off"/>
        <w:rPr>
          <w:rFonts w:hint="eastAsia" w:ascii="宋体" w:hAnsi="宋体" w:eastAsia="宋体" w:cs="宋体"/>
          <w:color w:val="auto"/>
          <w:sz w:val="32"/>
        </w:rPr>
      </w:pPr>
      <w:r/>
      <w:bookmarkStart w:id="63" w:name="_Toc10724"/>
      <w:r>
        <w:rPr>
          <w:rFonts w:hint="eastAsia" w:ascii="宋体" w:hAnsi="宋体" w:eastAsia="宋体" w:cs="宋体"/>
          <w:color w:val="auto"/>
          <w:sz w:val="32"/>
        </w:rPr>
        <w:t xml:space="preserve">二、符合性审查响应对照表</w:t>
      </w:r>
      <w:bookmarkEnd w:id="63"/>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p>
    <w:tbl>
      <w:tblPr>
        <w:tblStyle w:val="685"/>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321"/>
        <w:gridCol w:w="1806"/>
        <w:gridCol w:w="1308"/>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序号</w:t>
            </w:r>
            <w:r/>
          </w:p>
        </w:tc>
        <w:tc>
          <w:tcPr>
            <w:tcW w:w="5321"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符合性审查响应内容</w:t>
            </w:r>
            <w:r/>
          </w:p>
        </w:tc>
        <w:tc>
          <w:tcPr>
            <w:tcW w:w="1806"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是否响应</w:t>
            </w:r>
            <w:r/>
          </w:p>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响应情况</w:t>
            </w:r>
            <w:r/>
          </w:p>
        </w:tc>
      </w:tr>
      <w:tr>
        <w:trPr>
          <w:trHeight w:val="585"/>
        </w:trPr>
        <w:tc>
          <w:tcPr>
            <w:tcW w:w="646"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b/>
                <w:color w:val="auto"/>
                <w:szCs w:val="21"/>
              </w:rPr>
              <w:t xml:space="preserve">1</w:t>
            </w:r>
            <w:r/>
          </w:p>
        </w:tc>
        <w:tc>
          <w:tcPr>
            <w:tcW w:w="5321" w:type="dxa"/>
            <w:vAlign w:val="center"/>
            <w:textDirection w:val="lrTb"/>
            <w:noWrap w:val="false"/>
          </w:tcPr>
          <w:p>
            <w:pPr>
              <w:spacing w:line="0" w:lineRule="atLeast"/>
              <w:rPr>
                <w:rFonts w:hint="eastAsia" w:ascii="宋体" w:hAnsi="宋体" w:eastAsia="宋体" w:cs="宋体"/>
                <w:iCs/>
                <w:color w:val="auto"/>
                <w:szCs w:val="21"/>
              </w:rPr>
            </w:pPr>
            <w:r>
              <w:rPr>
                <w:rFonts w:hint="eastAsia" w:ascii="宋体" w:hAnsi="宋体" w:eastAsia="宋体" w:cs="宋体"/>
                <w:iCs/>
                <w:color w:val="auto"/>
                <w:szCs w:val="21"/>
              </w:rPr>
              <w:t xml:space="preserve">采购需求中必须满足的实质性要求（即加斜体下划线内容，每条详细列出）</w:t>
            </w:r>
            <w:r/>
          </w:p>
        </w:tc>
        <w:tc>
          <w:tcPr>
            <w:tcW w:w="1806" w:type="dxa"/>
            <w:vAlign w:val="center"/>
            <w:textDirection w:val="lrTb"/>
            <w:noWrap w:val="false"/>
          </w:tcPr>
          <w:p>
            <w:pPr>
              <w:rPr>
                <w:rFonts w:hint="eastAsia" w:ascii="宋体" w:hAnsi="宋体" w:eastAsia="宋体" w:cs="宋体"/>
                <w:b/>
                <w:color w:val="auto"/>
                <w:szCs w:val="21"/>
              </w:rPr>
            </w:pPr>
            <w:r>
              <w:rPr>
                <w:rFonts w:hint="eastAsia" w:ascii="宋体" w:hAnsi="宋体" w:eastAsia="宋体" w:cs="宋体"/>
                <w:b/>
                <w:color w:val="auto"/>
                <w:szCs w:val="21"/>
              </w:rPr>
            </w:r>
            <w:r/>
          </w:p>
        </w:tc>
        <w:tc>
          <w:tcPr>
            <w:tcW w:w="1308" w:type="dxa"/>
            <w:vAlign w:val="center"/>
            <w:textDirection w:val="lrTb"/>
            <w:noWrap w:val="false"/>
          </w:tcPr>
          <w:p>
            <w:pPr>
              <w:rPr>
                <w:rFonts w:hint="eastAsia" w:ascii="宋体" w:hAnsi="宋体" w:eastAsia="宋体" w:cs="宋体"/>
                <w:b/>
                <w:color w:val="auto"/>
                <w:szCs w:val="21"/>
              </w:rPr>
            </w:pPr>
            <w:r>
              <w:rPr>
                <w:rFonts w:hint="eastAsia" w:ascii="宋体" w:hAnsi="宋体" w:eastAsia="宋体" w:cs="宋体"/>
                <w:b/>
                <w:color w:val="auto"/>
                <w:szCs w:val="21"/>
              </w:rPr>
            </w:r>
            <w:r/>
          </w:p>
        </w:tc>
      </w:tr>
      <w:tr>
        <w:trPr>
          <w:trHeight w:val="585"/>
        </w:trPr>
        <w:tc>
          <w:tcPr>
            <w:tcW w:w="64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5321" w:type="dxa"/>
            <w:vAlign w:val="center"/>
            <w:textDirection w:val="lrTb"/>
            <w:noWrap w:val="false"/>
          </w:tcPr>
          <w:p>
            <w:pPr>
              <w:spacing w:line="0" w:lineRule="atLeast"/>
              <w:rPr>
                <w:rFonts w:hint="eastAsia" w:ascii="宋体" w:hAnsi="宋体" w:eastAsia="宋体" w:cs="宋体"/>
                <w:iCs/>
                <w:color w:val="auto"/>
                <w:szCs w:val="21"/>
              </w:rPr>
            </w:pPr>
            <w:r>
              <w:rPr>
                <w:rFonts w:hint="eastAsia" w:ascii="宋体" w:hAnsi="宋体" w:eastAsia="宋体" w:cs="宋体"/>
                <w:iCs/>
                <w:color w:val="auto"/>
                <w:szCs w:val="21"/>
              </w:rPr>
            </w:r>
            <w:r/>
          </w:p>
        </w:tc>
        <w:tc>
          <w:tcPr>
            <w:tcW w:w="1806"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trHeight w:val="585"/>
        </w:trPr>
        <w:tc>
          <w:tcPr>
            <w:tcW w:w="64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5321" w:type="dxa"/>
            <w:vAlign w:val="center"/>
            <w:textDirection w:val="lrTb"/>
            <w:noWrap w:val="false"/>
          </w:tcPr>
          <w:p>
            <w:pPr>
              <w:spacing w:line="0" w:lineRule="atLeast"/>
              <w:rPr>
                <w:rFonts w:hint="eastAsia" w:ascii="宋体" w:hAnsi="宋体" w:eastAsia="宋体" w:cs="宋体"/>
                <w:iCs/>
                <w:color w:val="auto"/>
                <w:szCs w:val="21"/>
              </w:rPr>
            </w:pPr>
            <w:r>
              <w:rPr>
                <w:rFonts w:hint="eastAsia" w:ascii="宋体" w:hAnsi="宋体" w:eastAsia="宋体" w:cs="宋体"/>
                <w:iCs/>
                <w:color w:val="auto"/>
                <w:szCs w:val="21"/>
              </w:rPr>
            </w:r>
            <w:r/>
          </w:p>
        </w:tc>
        <w:tc>
          <w:tcPr>
            <w:tcW w:w="1806"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trHeight w:val="417"/>
        </w:trPr>
        <w:tc>
          <w:tcPr>
            <w:tcW w:w="64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W w:w="5321" w:type="dxa"/>
            <w:vAlign w:val="center"/>
            <w:textDirection w:val="lrTb"/>
            <w:noWrap w:val="false"/>
          </w:tcPr>
          <w:p>
            <w:pPr>
              <w:spacing w:line="0" w:lineRule="atLeast"/>
              <w:rPr>
                <w:rFonts w:hint="eastAsia" w:ascii="宋体" w:hAnsi="宋体" w:eastAsia="宋体" w:cs="宋体"/>
                <w:iCs/>
                <w:color w:val="auto"/>
                <w:szCs w:val="21"/>
              </w:rPr>
            </w:pPr>
            <w:r>
              <w:rPr>
                <w:rFonts w:hint="eastAsia" w:ascii="宋体" w:hAnsi="宋体" w:eastAsia="宋体" w:cs="宋体"/>
                <w:iCs/>
                <w:color w:val="auto"/>
                <w:szCs w:val="21"/>
              </w:rPr>
            </w:r>
            <w:r/>
          </w:p>
        </w:tc>
        <w:tc>
          <w:tcPr>
            <w:tcW w:w="1806"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trHeight w:val="780"/>
        </w:trPr>
        <w:tc>
          <w:tcPr>
            <w:tcW w:w="64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W w:w="5321" w:type="dxa"/>
            <w:vAlign w:val="center"/>
            <w:textDirection w:val="lrTb"/>
            <w:noWrap w:val="false"/>
          </w:tcPr>
          <w:p>
            <w:pPr>
              <w:spacing w:line="0" w:lineRule="atLeast"/>
              <w:rPr>
                <w:rFonts w:hint="eastAsia" w:ascii="宋体" w:hAnsi="宋体" w:eastAsia="宋体" w:cs="宋体"/>
                <w:iCs/>
                <w:color w:val="auto"/>
                <w:szCs w:val="21"/>
              </w:rPr>
            </w:pPr>
            <w:r>
              <w:rPr>
                <w:rFonts w:hint="eastAsia" w:ascii="宋体" w:hAnsi="宋体" w:eastAsia="宋体" w:cs="宋体"/>
                <w:iCs/>
                <w:color w:val="auto"/>
                <w:szCs w:val="21"/>
              </w:rPr>
              <w:t xml:space="preserve">……</w:t>
            </w:r>
            <w:r/>
          </w:p>
        </w:tc>
        <w:tc>
          <w:tcPr>
            <w:tcW w:w="1806"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bl>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88"/>
        <w:keepLines/>
        <w:keepNext/>
        <w:pageBreakBefore w:val="0"/>
        <w:spacing w:before="0" w:after="0" w:line="360" w:lineRule="auto"/>
        <w:widowControl w:val="off"/>
        <w:rPr>
          <w:rFonts w:hint="eastAsia" w:ascii="宋体" w:hAnsi="宋体" w:eastAsia="宋体" w:cs="宋体"/>
          <w:color w:val="auto"/>
          <w:sz w:val="32"/>
        </w:rPr>
        <w:sectPr>
          <w:headerReference w:type="default" r:id="rId10"/>
          <w:footnotePr/>
          <w:endnotePr/>
          <w:type w:val="nextPage"/>
          <w:pgSz w:w="11906" w:h="16838" w:orient="portrait"/>
          <w:pgMar w:top="1440" w:right="1800" w:bottom="1440" w:left="1800" w:header="851" w:footer="992" w:gutter="0"/>
          <w:cols w:num="1" w:sep="0" w:space="0" w:equalWidth="1"/>
          <w:docGrid w:linePitch="360"/>
        </w:sectPr>
      </w:pPr>
      <w:r/>
      <w:bookmarkStart w:id="64" w:name="_Toc22398"/>
      <w:r/>
      <w:r/>
    </w:p>
    <w:p>
      <w:pPr>
        <w:pStyle w:val="888"/>
        <w:keepLines/>
        <w:keepNext/>
        <w:pageBreakBefore w:val="0"/>
        <w:spacing w:before="0" w:after="0" w:line="360" w:lineRule="auto"/>
        <w:widowControl w:val="off"/>
        <w:rPr>
          <w:rFonts w:hint="eastAsia" w:ascii="宋体" w:hAnsi="宋体" w:eastAsia="宋体" w:cs="宋体"/>
          <w:color w:val="auto"/>
          <w:sz w:val="32"/>
        </w:rPr>
      </w:pPr>
      <w:r>
        <w:rPr>
          <w:rFonts w:hint="eastAsia" w:ascii="宋体" w:hAnsi="宋体" w:eastAsia="宋体" w:cs="宋体"/>
          <w:color w:val="auto"/>
          <w:sz w:val="32"/>
        </w:rPr>
        <w:t xml:space="preserve">三、非实质性响应对照表</w:t>
      </w:r>
      <w:bookmarkEnd w:id="64"/>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p>
    <w:tbl>
      <w:tblPr>
        <w:tblStyle w:val="685"/>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306"/>
        <w:gridCol w:w="1821"/>
        <w:gridCol w:w="1308"/>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序号</w:t>
            </w:r>
            <w:r/>
          </w:p>
        </w:tc>
        <w:tc>
          <w:tcPr>
            <w:tcW w:w="5306"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非实质性响应内容</w:t>
            </w:r>
            <w:r/>
          </w:p>
        </w:tc>
        <w:tc>
          <w:tcPr>
            <w:tcW w:w="1821"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是否响应</w:t>
            </w:r>
            <w:r/>
          </w:p>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auto"/>
                <w:szCs w:val="21"/>
              </w:rPr>
            </w:pPr>
            <w:r>
              <w:rPr>
                <w:rFonts w:hint="eastAsia" w:ascii="宋体" w:hAnsi="宋体" w:eastAsia="宋体" w:cs="宋体"/>
                <w:b/>
                <w:color w:val="auto"/>
                <w:szCs w:val="21"/>
              </w:rPr>
              <w:t xml:space="preserve">响应情况</w:t>
            </w:r>
            <w:r/>
          </w:p>
        </w:tc>
      </w:tr>
      <w:tr>
        <w:trPr>
          <w:trHeight w:val="585"/>
        </w:trPr>
        <w:tc>
          <w:tcPr>
            <w:tcW w:w="646" w:type="dxa"/>
            <w:vAlign w:val="center"/>
            <w:textDirection w:val="lrTb"/>
            <w:noWrap w:val="false"/>
          </w:tcPr>
          <w:p>
            <w:pPr>
              <w:jc w:val="center"/>
              <w:rPr>
                <w:rFonts w:hint="eastAsia" w:ascii="宋体" w:hAnsi="宋体" w:eastAsia="宋体" w:cs="宋体"/>
                <w:b/>
                <w:color w:val="auto"/>
                <w:szCs w:val="21"/>
              </w:rPr>
            </w:pPr>
            <w:r>
              <w:rPr>
                <w:rFonts w:hint="eastAsia" w:ascii="宋体" w:hAnsi="宋体" w:eastAsia="宋体" w:cs="宋体"/>
                <w:color w:val="auto"/>
                <w:szCs w:val="21"/>
              </w:rPr>
              <w:t xml:space="preserve">1</w:t>
            </w:r>
            <w:r/>
          </w:p>
        </w:tc>
        <w:tc>
          <w:tcPr>
            <w:shd w:val="clear" w:color="auto" w:fill="auto"/>
            <w:tcW w:w="5306" w:type="dxa"/>
            <w:vAlign w:val="center"/>
            <w:textDirection w:val="lrTb"/>
            <w:noWrap w:val="false"/>
          </w:tcPr>
          <w:p>
            <w:pPr>
              <w:rPr>
                <w:rFonts w:hint="eastAsia" w:ascii="宋体" w:hAnsi="宋体" w:eastAsia="宋体" w:cs="宋体"/>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中小企业声明函（工程、服务）</w:t>
            </w:r>
            <w:r/>
          </w:p>
        </w:tc>
        <w:tc>
          <w:tcPr>
            <w:tcW w:w="1821" w:type="dxa"/>
            <w:vAlign w:val="center"/>
            <w:textDirection w:val="lrTb"/>
            <w:noWrap w:val="false"/>
          </w:tcPr>
          <w:p>
            <w:pPr>
              <w:rPr>
                <w:rFonts w:hint="eastAsia" w:ascii="宋体" w:hAnsi="宋体" w:eastAsia="宋体" w:cs="宋体"/>
                <w:b/>
                <w:color w:val="auto"/>
                <w:szCs w:val="21"/>
              </w:rPr>
            </w:pPr>
            <w:r>
              <w:rPr>
                <w:rFonts w:hint="eastAsia" w:ascii="宋体" w:hAnsi="宋体" w:eastAsia="宋体" w:cs="宋体"/>
                <w:b/>
                <w:color w:val="auto"/>
                <w:szCs w:val="21"/>
              </w:rPr>
            </w:r>
            <w:r/>
          </w:p>
        </w:tc>
        <w:tc>
          <w:tcPr>
            <w:tcW w:w="1308" w:type="dxa"/>
            <w:vAlign w:val="center"/>
            <w:textDirection w:val="lrTb"/>
            <w:noWrap w:val="false"/>
          </w:tcPr>
          <w:p>
            <w:pPr>
              <w:rPr>
                <w:rFonts w:hint="eastAsia" w:ascii="宋体" w:hAnsi="宋体" w:eastAsia="宋体" w:cs="宋体"/>
                <w:b/>
                <w:color w:val="auto"/>
                <w:szCs w:val="21"/>
              </w:rPr>
            </w:pPr>
            <w:r>
              <w:rPr>
                <w:rFonts w:hint="eastAsia" w:ascii="宋体" w:hAnsi="宋体" w:eastAsia="宋体" w:cs="宋体"/>
                <w:b/>
                <w:color w:val="auto"/>
                <w:szCs w:val="21"/>
              </w:rPr>
            </w:r>
            <w:r/>
          </w:p>
        </w:tc>
      </w:tr>
      <w:tr>
        <w:trPr>
          <w:trHeight w:val="585"/>
        </w:trPr>
        <w:tc>
          <w:tcPr>
            <w:tcW w:w="64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shd w:val="clear" w:color="auto" w:fill="auto"/>
            <w:tcW w:w="5306" w:type="dxa"/>
            <w:vAlign w:val="center"/>
            <w:textDirection w:val="lrTb"/>
            <w:noWrap w:val="false"/>
          </w:tcPr>
          <w:p>
            <w:pPr>
              <w:rPr>
                <w:rFonts w:hint="eastAsia" w:ascii="宋体" w:hAnsi="宋体" w:eastAsia="宋体" w:cs="宋体"/>
                <w:color w:val="auto"/>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《残疾人福利性单位声明函》</w:t>
            </w:r>
            <w:r/>
          </w:p>
        </w:tc>
        <w:tc>
          <w:tcPr>
            <w:tcW w:w="1821"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trHeight w:val="780"/>
        </w:trPr>
        <w:tc>
          <w:tcPr>
            <w:tcW w:w="64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5306" w:type="dxa"/>
            <w:vAlign w:val="center"/>
            <w:textDirection w:val="lrTb"/>
            <w:noWrap w:val="false"/>
          </w:tcPr>
          <w:p>
            <w:pPr>
              <w:spacing w:line="0" w:lineRule="atLeast"/>
              <w:rPr>
                <w:rFonts w:hint="eastAsia" w:ascii="宋体" w:hAnsi="宋体" w:eastAsia="宋体" w:cs="宋体"/>
                <w:iCs/>
                <w:color w:val="auto"/>
                <w:szCs w:val="21"/>
              </w:rPr>
            </w:pPr>
            <w:r>
              <w:rPr>
                <w:rFonts w:hint="eastAsia" w:ascii="宋体" w:hAnsi="宋体" w:eastAsia="宋体" w:cs="宋体"/>
                <w:iCs/>
                <w:color w:val="auto"/>
                <w:szCs w:val="21"/>
              </w:rPr>
              <w:t xml:space="preserve">……</w:t>
            </w:r>
            <w:r/>
          </w:p>
        </w:tc>
        <w:tc>
          <w:tcPr>
            <w:tcW w:w="1821"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bl>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jc w:val="center"/>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color w:val="auto"/>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color w:val="auto"/>
        </w:rPr>
      </w:r>
      <w:r/>
    </w:p>
    <w:p>
      <w:pPr>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中小企业声明函（工程、服务）</w:t>
      </w:r>
      <w:r/>
    </w:p>
    <w:p>
      <w:pPr>
        <w:ind w:firstLine="420"/>
        <w:jc w:val="left"/>
        <w:spacing w:line="400" w:lineRule="exact"/>
        <w:rPr>
          <w:rFonts w:hint="eastAsia" w:ascii="宋体" w:hAnsi="宋体" w:eastAsia="宋体" w:cs="宋体"/>
          <w:color w:val="auto"/>
        </w:rPr>
      </w:pPr>
      <w:r>
        <w:rPr>
          <w:rFonts w:hint="eastAsia" w:ascii="宋体" w:hAnsi="宋体" w:eastAsia="宋体" w:cs="宋体"/>
          <w:color w:val="auto"/>
        </w:rPr>
        <w:t xml:space="preserve">本公司（联合体）郑重声明，根据《政府采购促进中小企业发展管理办法》（财库﹝2020﹞46 号）的规定，本公司（联合体）参加</w:t>
      </w:r>
      <w:r>
        <w:rPr>
          <w:rFonts w:hint="eastAsia" w:ascii="宋体" w:hAnsi="宋体" w:eastAsia="宋体" w:cs="宋体"/>
          <w:color w:val="auto"/>
          <w:u w:val="single"/>
        </w:rPr>
        <w:t xml:space="preserve">（单位名称）</w:t>
      </w:r>
      <w:r>
        <w:rPr>
          <w:rFonts w:hint="eastAsia" w:ascii="宋体" w:hAnsi="宋体" w:eastAsia="宋体" w:cs="宋体"/>
          <w:color w:val="auto"/>
        </w:rPr>
        <w:t xml:space="preserve">的</w:t>
      </w:r>
      <w:r>
        <w:rPr>
          <w:rFonts w:hint="eastAsia" w:ascii="宋体" w:hAnsi="宋体" w:eastAsia="宋体" w:cs="宋体"/>
          <w:color w:val="auto"/>
          <w:u w:val="single"/>
        </w:rPr>
        <w:t xml:space="preserve">（项目名称）</w:t>
      </w:r>
      <w:r>
        <w:rPr>
          <w:rFonts w:hint="eastAsia" w:ascii="宋体" w:hAnsi="宋体" w:eastAsia="宋体" w:cs="宋体"/>
          <w:color w:val="auto"/>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color w:val="auto"/>
          <w:u w:val="single"/>
        </w:rPr>
      </w:pPr>
      <w:r>
        <w:rPr>
          <w:rFonts w:hint="eastAsia" w:ascii="宋体" w:hAnsi="宋体" w:eastAsia="宋体" w:cs="宋体"/>
          <w:color w:val="auto"/>
        </w:rPr>
        <w:t xml:space="preserve">1. </w:t>
      </w:r>
      <w:r>
        <w:rPr>
          <w:rFonts w:hint="eastAsia" w:ascii="宋体" w:hAnsi="宋体" w:eastAsia="宋体" w:cs="宋体"/>
          <w:color w:val="auto"/>
          <w:u w:val="single"/>
        </w:rPr>
        <w:t xml:space="preserve">（标的名称） </w:t>
      </w:r>
      <w:r>
        <w:rPr>
          <w:rFonts w:hint="eastAsia" w:ascii="宋体" w:hAnsi="宋体" w:eastAsia="宋体" w:cs="宋体"/>
          <w:color w:val="auto"/>
        </w:rPr>
        <w:t xml:space="preserve">，属于</w:t>
      </w:r>
      <w:r>
        <w:rPr>
          <w:rFonts w:hint="eastAsia" w:ascii="宋体" w:hAnsi="宋体" w:eastAsia="宋体" w:cs="宋体"/>
          <w:b/>
          <w:bCs/>
          <w:color w:val="auto"/>
          <w:u w:val="single"/>
        </w:rPr>
        <w:t xml:space="preserve">（</w:t>
      </w:r>
      <w:r>
        <w:rPr>
          <w:rStyle w:val="904"/>
          <w:rFonts w:hint="eastAsia" w:ascii="宋体" w:hAnsi="宋体" w:eastAsia="宋体" w:cs="宋体"/>
          <w:color w:val="auto"/>
          <w:szCs w:val="21"/>
          <w:u w:val="single"/>
        </w:rPr>
        <w:t xml:space="preserve">软件和信息技术服务业</w:t>
      </w:r>
      <w:r>
        <w:rPr>
          <w:rFonts w:hint="eastAsia" w:ascii="宋体" w:hAnsi="宋体" w:eastAsia="宋体" w:cs="宋体"/>
          <w:b/>
          <w:bCs/>
          <w:color w:val="auto"/>
          <w:u w:val="single"/>
        </w:rPr>
        <w:t xml:space="preserve">）</w:t>
      </w:r>
      <w:r>
        <w:rPr>
          <w:rFonts w:hint="eastAsia" w:ascii="宋体" w:hAnsi="宋体" w:eastAsia="宋体" w:cs="宋体"/>
          <w:color w:val="auto"/>
          <w:u w:val="single"/>
        </w:rPr>
        <w:t xml:space="preserve">（不得对行业类别修改）</w:t>
      </w:r>
      <w:r>
        <w:rPr>
          <w:rFonts w:hint="eastAsia" w:ascii="宋体" w:hAnsi="宋体" w:eastAsia="宋体" w:cs="宋体"/>
          <w:color w:val="auto"/>
        </w:rPr>
        <w:t xml:space="preserve">；承建（承接）企业为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"br1" </w:instrText>
      </w:r>
      <w:r>
        <w:rPr>
          <w:rFonts w:hint="eastAsia" w:ascii="宋体" w:hAnsi="宋体" w:eastAsia="宋体" w:cs="宋体"/>
          <w:color w:val="auto"/>
        </w:rPr>
        <w:fldChar w:fldCharType="separate"/>
      </w:r>
      <w:r>
        <w:rPr>
          <w:rFonts w:hint="eastAsia" w:ascii="宋体" w:hAnsi="宋体" w:eastAsia="宋体" w:cs="宋体"/>
          <w:color w:val="auto"/>
          <w:spacing w:val="-1"/>
          <w:vertAlign w:val="superscript"/>
        </w:rPr>
        <w:t xml:space="preserve">1</w:t>
      </w:r>
      <w:r>
        <w:rPr>
          <w:rFonts w:hint="eastAsia" w:ascii="宋体" w:hAnsi="宋体" w:eastAsia="宋体" w:cs="宋体"/>
          <w:color w:val="auto"/>
          <w:spacing w:val="-1"/>
          <w:vertAlign w:val="superscript"/>
        </w:rPr>
        <w:fldChar w:fldCharType="end"/>
      </w:r>
      <w:r>
        <w:rPr>
          <w:rFonts w:hint="eastAsia" w:ascii="宋体" w:hAnsi="宋体" w:eastAsia="宋体" w:cs="宋体"/>
          <w:color w:val="auto"/>
        </w:rPr>
        <w:t xml:space="preserve">，属于</w:t>
      </w:r>
      <w:r>
        <w:rPr>
          <w:rFonts w:hint="eastAsia" w:ascii="宋体" w:hAnsi="宋体" w:eastAsia="宋体" w:cs="宋体"/>
          <w:color w:val="auto"/>
          <w:u w:val="single"/>
        </w:rPr>
        <w:t xml:space="preserve">（中型企业、小型企业、微型企业）；</w:t>
      </w:r>
      <w:r/>
    </w:p>
    <w:p>
      <w:pPr>
        <w:ind w:firstLine="420"/>
        <w:jc w:val="left"/>
        <w:spacing w:line="400" w:lineRule="exact"/>
        <w:rPr>
          <w:rFonts w:hint="eastAsia" w:ascii="宋体" w:hAnsi="宋体" w:eastAsia="宋体" w:cs="宋体"/>
          <w:color w:val="auto"/>
          <w:u w:val="single"/>
        </w:rPr>
      </w:pPr>
      <w:r>
        <w:rPr>
          <w:rFonts w:hint="eastAsia" w:ascii="宋体" w:hAnsi="宋体" w:eastAsia="宋体" w:cs="宋体"/>
          <w:color w:val="auto"/>
        </w:rPr>
        <w:t xml:space="preserve">2. </w:t>
      </w:r>
      <w:r>
        <w:rPr>
          <w:rFonts w:hint="eastAsia" w:ascii="宋体" w:hAnsi="宋体" w:eastAsia="宋体" w:cs="宋体"/>
          <w:color w:val="auto"/>
          <w:u w:val="single"/>
        </w:rPr>
        <w:t xml:space="preserve">（标的名称）</w:t>
      </w:r>
      <w:r>
        <w:rPr>
          <w:rFonts w:hint="eastAsia" w:ascii="宋体" w:hAnsi="宋体" w:eastAsia="宋体" w:cs="宋体"/>
          <w:color w:val="auto"/>
        </w:rPr>
        <w:t xml:space="preserve"> ，属于</w:t>
      </w:r>
      <w:r>
        <w:rPr>
          <w:rFonts w:hint="eastAsia" w:ascii="宋体" w:hAnsi="宋体" w:eastAsia="宋体" w:cs="宋体"/>
          <w:b/>
          <w:bCs/>
          <w:color w:val="auto"/>
          <w:u w:val="single"/>
        </w:rPr>
        <w:t xml:space="preserve">（软件和信息技术服务业）</w:t>
      </w:r>
      <w:r>
        <w:rPr>
          <w:rFonts w:hint="eastAsia" w:ascii="宋体" w:hAnsi="宋体" w:eastAsia="宋体" w:cs="宋体"/>
          <w:color w:val="auto"/>
          <w:u w:val="single"/>
        </w:rPr>
        <w:t xml:space="preserve">（不得对行业类别修改）</w:t>
      </w:r>
      <w:r>
        <w:rPr>
          <w:rFonts w:hint="eastAsia" w:ascii="宋体" w:hAnsi="宋体" w:eastAsia="宋体" w:cs="宋体"/>
          <w:color w:val="auto"/>
        </w:rPr>
        <w:t xml:space="preserve">；承建（承接）企业为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p>
    <w:p>
      <w:pPr>
        <w:ind w:firstLine="420"/>
        <w:jc w:val="left"/>
        <w:spacing w:line="400" w:lineRule="exact"/>
        <w:rPr>
          <w:rFonts w:hint="eastAsia" w:ascii="宋体" w:hAnsi="宋体" w:eastAsia="宋体" w:cs="宋体"/>
          <w:color w:val="auto"/>
        </w:rPr>
      </w:pPr>
      <w:r>
        <w:rPr>
          <w:rFonts w:hint="eastAsia" w:ascii="宋体" w:hAnsi="宋体" w:eastAsia="宋体" w:cs="宋体"/>
          <w:color w:val="auto"/>
        </w:rPr>
        <w:t xml:space="preserve">……</w:t>
      </w:r>
      <w:r/>
    </w:p>
    <w:p>
      <w:pPr>
        <w:ind w:firstLine="420"/>
        <w:jc w:val="left"/>
        <w:spacing w:line="400" w:lineRule="exact"/>
        <w:rPr>
          <w:rFonts w:hint="eastAsia"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ind w:firstLine="420"/>
        <w:jc w:val="left"/>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color w:val="auto"/>
        </w:rPr>
      </w:pPr>
      <w:r>
        <w:rPr>
          <w:rFonts w:hint="eastAsia" w:ascii="宋体" w:hAnsi="宋体" w:eastAsia="宋体" w:cs="宋体"/>
          <w:color w:val="auto"/>
        </w:rPr>
        <w:t xml:space="preserve">注：1、从业人员（不仅指在职职工）、营业收入、资产总额填报上一年度数据，无上一年度数据的新成立企业可不填报。</w:t>
      </w:r>
      <w:r/>
    </w:p>
    <w:p>
      <w:pPr>
        <w:ind w:firstLine="420"/>
        <w:spacing w:line="400" w:lineRule="exact"/>
        <w:rPr>
          <w:rFonts w:hint="eastAsia" w:ascii="宋体" w:hAnsi="宋体" w:eastAsia="宋体" w:cs="宋体"/>
          <w:color w:val="auto"/>
        </w:rPr>
      </w:pPr>
      <w:r>
        <w:rPr>
          <w:rFonts w:hint="eastAsia" w:ascii="宋体" w:hAnsi="宋体" w:eastAsia="宋体" w:cs="宋体"/>
          <w:color w:val="auto"/>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spacing w:line="400" w:lineRule="exact"/>
        <w:rPr>
          <w:rFonts w:hint="eastAsia" w:ascii="宋体" w:hAnsi="宋体" w:eastAsia="宋体" w:cs="宋体"/>
          <w:color w:val="auto"/>
        </w:rPr>
      </w:pPr>
      <w:r>
        <w:rPr>
          <w:rFonts w:hint="eastAsia" w:ascii="宋体" w:hAnsi="宋体" w:eastAsia="宋体" w:cs="宋体"/>
          <w:color w:val="auto"/>
        </w:rPr>
        <w:t xml:space="preserve">3、企业声明函请完整填写，中标后将公示。</w:t>
      </w:r>
      <w:r/>
    </w:p>
    <w:p>
      <w:pPr>
        <w:ind w:firstLine="420"/>
        <w:spacing w:line="400" w:lineRule="exact"/>
        <w:rPr>
          <w:rFonts w:hint="eastAsia" w:ascii="宋体" w:hAnsi="宋体" w:eastAsia="宋体" w:cs="宋体"/>
          <w:color w:val="auto"/>
        </w:rPr>
      </w:pPr>
      <w:r>
        <w:rPr>
          <w:rFonts w:hint="eastAsia" w:ascii="宋体" w:hAnsi="宋体" w:eastAsia="宋体" w:cs="宋体"/>
          <w:color w:val="auto"/>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400" w:lineRule="exact"/>
        <w:rPr>
          <w:rFonts w:hint="eastAsia" w:ascii="宋体" w:hAnsi="宋体" w:eastAsia="宋体" w:cs="宋体"/>
          <w:color w:val="auto"/>
        </w:rPr>
      </w:pPr>
      <w:r>
        <w:rPr>
          <w:rFonts w:hint="eastAsia" w:ascii="宋体" w:hAnsi="宋体" w:eastAsia="宋体" w:cs="宋体"/>
          <w:color w:val="auto"/>
        </w:rPr>
        <w:t xml:space="preserve">5、中小企业不得属于大企业的分支机构，不得存在控股股东为大企业的情形，不得存在与大企业的负责人为同一人的情形。</w:t>
      </w:r>
      <w:r/>
    </w:p>
    <w:p>
      <w:pPr>
        <w:ind w:firstLine="420"/>
        <w:spacing w:line="400" w:lineRule="exact"/>
        <w:rPr>
          <w:rFonts w:hint="eastAsia" w:ascii="宋体" w:hAnsi="宋体" w:eastAsia="宋体" w:cs="宋体"/>
          <w:color w:val="auto"/>
        </w:rPr>
      </w:pPr>
      <w:r>
        <w:rPr>
          <w:rFonts w:hint="eastAsia" w:ascii="宋体" w:hAnsi="宋体" w:eastAsia="宋体" w:cs="宋体"/>
          <w:color w:val="auto"/>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eastAsia="宋体" w:cs="宋体"/>
          <w:color w:val="auto"/>
        </w:rPr>
      </w:pPr>
      <w:r>
        <w:rPr>
          <w:rFonts w:hint="eastAsia" w:ascii="宋体" w:hAnsi="宋体" w:eastAsia="宋体" w:cs="宋体"/>
          <w:color w:val="auto"/>
        </w:rPr>
        <w:t xml:space="preserve">企业名称（盖章）：</w:t>
      </w:r>
      <w:r/>
    </w:p>
    <w:p>
      <w:pPr>
        <w:ind w:firstLine="4620"/>
        <w:jc w:val="left"/>
        <w:spacing w:line="400" w:lineRule="exact"/>
        <w:rPr>
          <w:rFonts w:hint="eastAsia" w:ascii="宋体" w:hAnsi="宋体" w:eastAsia="宋体" w:cs="宋体"/>
          <w:color w:val="auto"/>
        </w:rPr>
      </w:pPr>
      <w:r>
        <w:rPr>
          <w:rFonts w:hint="eastAsia" w:ascii="宋体" w:hAnsi="宋体" w:eastAsia="宋体" w:cs="宋体"/>
          <w:color w:val="auto"/>
        </w:rPr>
        <w:t xml:space="preserve">日 期：</w:t>
      </w:r>
      <w:r/>
    </w:p>
    <w:p>
      <w:pPr>
        <w:pStyle w:val="902"/>
        <w:ind w:firstLine="420"/>
        <w:jc w:val="center"/>
        <w:spacing w:line="360" w:lineRule="auto"/>
        <w:widowControl/>
        <w:rPr>
          <w:rStyle w:val="904"/>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2"/>
        <w:ind w:firstLine="420"/>
        <w:jc w:val="center"/>
        <w:spacing w:line="360" w:lineRule="auto"/>
        <w:widowControl/>
        <w:rPr>
          <w:rFonts w:hint="eastAsia" w:ascii="宋体" w:hAnsi="宋体" w:eastAsia="宋体" w:cs="宋体"/>
          <w:color w:val="auto"/>
          <w:sz w:val="21"/>
          <w:szCs w:val="21"/>
        </w:rPr>
      </w:pPr>
      <w:r>
        <w:rPr>
          <w:rStyle w:val="904"/>
          <w:rFonts w:hint="eastAsia" w:ascii="宋体" w:hAnsi="宋体" w:eastAsia="宋体" w:cs="宋体"/>
          <w:color w:val="auto"/>
          <w:sz w:val="21"/>
          <w:szCs w:val="21"/>
        </w:rPr>
        <w:t xml:space="preserve">中小微企业划型标准如下：</w:t>
      </w:r>
      <w:r/>
    </w:p>
    <w:tbl>
      <w:tblPr>
        <w:tblStyle w:val="685"/>
        <w:tblW w:w="898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jc w:val="center"/>
          <w:tblCellSpacing w:w="15" w:type="dxa"/>
          <w:trHeight w:val="680" w:hRule="exact"/>
        </w:trPr>
        <w:tc>
          <w:tcPr>
            <w:tcMar>
              <w:left w:w="105" w:type="dxa"/>
              <w:top w:w="0" w:type="dxa"/>
              <w:right w:w="105" w:type="dxa"/>
              <w:bottom w:w="0" w:type="dxa"/>
            </w:tcMar>
            <w:tcW w:w="140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行业名称</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指标名称</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计量单位</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中型</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小型</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微型</w:t>
            </w:r>
            <w:r/>
          </w:p>
        </w:tc>
      </w:tr>
      <w:tr>
        <w:trPr>
          <w:jc w:val="center"/>
          <w:tblCellSpacing w:w="15" w:type="dxa"/>
          <w:trHeight w:val="680" w:hRule="exact"/>
        </w:trPr>
        <w:tc>
          <w:tcPr>
            <w:tcMar>
              <w:left w:w="105" w:type="dxa"/>
              <w:top w:w="0" w:type="dxa"/>
              <w:right w:w="105" w:type="dxa"/>
              <w:bottom w:w="0" w:type="dxa"/>
            </w:tcMar>
            <w:tcW w:w="140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农、林、牧、渔</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500≤Y＜20000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50≤Y＜500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Y＜50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工业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X＜20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2000≤Y＜40000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Y＜300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建筑业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6000≤Y＜80000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300≤Y＜6000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Y＜300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资产总额（Z）</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5000≤Z＜80000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300≤Z＜5000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Z＜300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批发业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20≤X＜200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5≤X＜20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X＜5</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5000≤Y＜40000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1000≤Y＜5000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Y＜1000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零售业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10≤X＜50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500≤Y＜20000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100≤Y＜500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Y＜100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交通运输业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X＜20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200≤Y＜3000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Y＜200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仓储业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100≤X＜200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X＜20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Y＜100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邮政业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X＜20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Y＜100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住宿业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Y＜100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餐饮业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Y＜100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信息传输业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100≤X＜2000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1000≤Y＜100000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Y＜100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Y＜50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1000≤Y＜200000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资产总额（Z）</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5000≤Z＜10000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2000≤Y＜5000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Y＜2000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物业管理</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营业收入（Y）</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1000≤Y＜5000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500≤Y＜1000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Y＜500</w:t>
            </w:r>
            <w:r/>
          </w:p>
        </w:tc>
      </w:tr>
      <w:tr>
        <w:trPr>
          <w:jc w:val="center"/>
          <w:tblCellSpacing w:w="15" w:type="dxa"/>
          <w:trHeight w:val="680" w:hRule="exact"/>
        </w:trPr>
        <w:tc>
          <w:tcPr>
            <w:tcMar>
              <w:left w:w="105" w:type="dxa"/>
              <w:top w:w="0" w:type="dxa"/>
              <w:right w:w="105" w:type="dxa"/>
              <w:bottom w:w="0" w:type="dxa"/>
            </w:tcMar>
            <w:tcW w:w="1401" w:type="dxa"/>
            <w:vAlign w:val="center"/>
            <w:vMerge w:val="restart"/>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w:t>
            </w:r>
            <w:r/>
          </w:p>
        </w:tc>
      </w:tr>
      <w:tr>
        <w:trPr>
          <w:jc w:val="center"/>
          <w:tblCellSpacing w:w="15" w:type="dxa"/>
          <w:trHeight w:val="680" w:hRule="exact"/>
        </w:trPr>
        <w:tc>
          <w:tcPr>
            <w:tcW w:w="1401" w:type="dxa"/>
            <w:vAlign w:val="center"/>
            <w:vMerge w:val="continue"/>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资产总额（Z）</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万元</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8000≤Z＜120000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100≤Z＜8000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Y＜100</w:t>
            </w:r>
            <w:r/>
          </w:p>
        </w:tc>
      </w:tr>
      <w:tr>
        <w:trPr>
          <w:jc w:val="center"/>
          <w:tblCellSpacing w:w="15" w:type="dxa"/>
          <w:trHeight w:val="680" w:hRule="exact"/>
        </w:trPr>
        <w:tc>
          <w:tcPr>
            <w:tcMar>
              <w:left w:w="105" w:type="dxa"/>
              <w:top w:w="0" w:type="dxa"/>
              <w:right w:w="105" w:type="dxa"/>
              <w:bottom w:w="0" w:type="dxa"/>
            </w:tcMar>
            <w:tcW w:w="140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从业人员（X）</w:t>
            </w:r>
            <w:r/>
          </w:p>
        </w:tc>
        <w:tc>
          <w:tcPr>
            <w:tcMar>
              <w:left w:w="105" w:type="dxa"/>
              <w:top w:w="0" w:type="dxa"/>
              <w:right w:w="105" w:type="dxa"/>
              <w:bottom w:w="0" w:type="dxa"/>
            </w:tcMar>
            <w:tcW w:w="115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人</w:t>
            </w:r>
            <w:r/>
          </w:p>
        </w:tc>
        <w:tc>
          <w:tcPr>
            <w:tcMar>
              <w:left w:w="105" w:type="dxa"/>
              <w:top w:w="0" w:type="dxa"/>
              <w:right w:w="105" w:type="dxa"/>
              <w:bottom w:w="0" w:type="dxa"/>
            </w:tcMar>
            <w:tcW w:w="138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X＜10</w:t>
            </w:r>
            <w:r/>
          </w:p>
        </w:tc>
      </w:tr>
    </w:tbl>
    <w:p>
      <w:pPr>
        <w:rPr>
          <w:rFonts w:hint="eastAsia" w:ascii="宋体" w:hAnsi="宋体" w:eastAsia="宋体" w:cs="宋体"/>
          <w:color w:val="auto"/>
        </w:rPr>
      </w:pPr>
      <w:r>
        <w:rPr>
          <w:rStyle w:val="904"/>
          <w:rFonts w:hint="eastAsia" w:ascii="宋体" w:hAnsi="宋体" w:eastAsia="宋体" w:cs="宋体"/>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center"/>
        <w:rPr>
          <w:rFonts w:hint="eastAsia" w:ascii="宋体" w:hAnsi="宋体" w:eastAsia="宋体" w:cs="宋体"/>
          <w:color w:val="auto"/>
        </w:rPr>
      </w:pPr>
      <w:r>
        <w:rPr>
          <w:rFonts w:hint="eastAsia" w:ascii="宋体" w:hAnsi="宋体" w:eastAsia="宋体" w:cs="宋体"/>
          <w:b/>
          <w:bCs/>
          <w:color w:val="auto"/>
          <w:sz w:val="24"/>
          <w:szCs w:val="24"/>
        </w:rPr>
        <w:t xml:space="preserve">残疾人福利性单位声明函</w:t>
      </w:r>
      <w:r/>
    </w:p>
    <w:p>
      <w:pPr>
        <w:ind w:firstLine="624"/>
        <w:spacing w:line="588"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420"/>
        <w:spacing w:line="588" w:lineRule="exact"/>
        <w:rPr>
          <w:rFonts w:hint="eastAsia" w:ascii="宋体" w:hAnsi="宋体" w:eastAsia="宋体" w:cs="宋体"/>
          <w:color w:val="auto"/>
          <w:szCs w:val="21"/>
        </w:rPr>
      </w:pPr>
      <w:r>
        <w:rPr>
          <w:rFonts w:hint="eastAsia" w:ascii="宋体" w:hAnsi="宋体" w:eastAsia="宋体" w:cs="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rPr>
      </w:pPr>
      <w:r>
        <w:rPr>
          <w:rFonts w:hint="eastAsia" w:ascii="宋体" w:hAnsi="宋体" w:eastAsia="宋体" w:cs="宋体"/>
          <w:color w:val="auto"/>
          <w:szCs w:val="21"/>
        </w:rPr>
        <w:t xml:space="preserve">本单位在本次政府采购活动中提供的残疾人福利单位产品报价合计为人民币（大写）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圆整（￥：     ）。</w:t>
      </w:r>
      <w:r/>
    </w:p>
    <w:p>
      <w:pPr>
        <w:ind w:firstLine="420"/>
        <w:spacing w:line="588" w:lineRule="exact"/>
        <w:rPr>
          <w:rFonts w:hint="eastAsia" w:ascii="宋体" w:hAnsi="宋体" w:eastAsia="宋体" w:cs="宋体"/>
          <w:color w:val="auto"/>
          <w:szCs w:val="21"/>
        </w:rPr>
      </w:pPr>
      <w:r>
        <w:rPr>
          <w:rFonts w:hint="eastAsia" w:ascii="宋体" w:hAnsi="宋体" w:eastAsia="宋体" w:cs="宋体"/>
          <w:color w:val="auto"/>
          <w:szCs w:val="21"/>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rPr>
      </w:pPr>
      <w:r>
        <w:rPr>
          <w:rFonts w:hint="eastAsia" w:ascii="宋体" w:hAnsi="宋体" w:eastAsia="宋体" w:cs="宋体"/>
          <w:color w:val="auto"/>
          <w:szCs w:val="21"/>
        </w:rPr>
      </w:r>
      <w:r/>
    </w:p>
    <w:p>
      <w:pPr>
        <w:ind w:firstLine="420"/>
        <w:spacing w:line="588" w:lineRule="exact"/>
        <w:rPr>
          <w:rFonts w:hint="eastAsia" w:ascii="宋体" w:hAnsi="宋体" w:eastAsia="宋体" w:cs="宋体"/>
          <w:color w:val="auto"/>
          <w:szCs w:val="21"/>
        </w:rPr>
      </w:pPr>
      <w:r>
        <w:rPr>
          <w:rFonts w:hint="eastAsia" w:ascii="宋体" w:hAnsi="宋体" w:eastAsia="宋体" w:cs="宋体"/>
          <w:color w:val="auto"/>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rPr>
      </w:pPr>
      <w:r>
        <w:rPr>
          <w:rFonts w:hint="eastAsia" w:ascii="宋体" w:hAnsi="宋体" w:eastAsia="宋体" w:cs="宋体"/>
          <w:color w:val="auto"/>
          <w:spacing w:val="6"/>
          <w:szCs w:val="21"/>
        </w:rPr>
      </w:r>
      <w:r/>
    </w:p>
    <w:p>
      <w:pPr>
        <w:ind w:right="1560" w:firstLine="444"/>
        <w:jc w:val="center"/>
        <w:spacing w:line="588" w:lineRule="exact"/>
        <w:tabs>
          <w:tab w:val="left" w:pos="4860" w:leader="none"/>
        </w:tabs>
        <w:rPr>
          <w:rFonts w:hint="eastAsia" w:ascii="宋体" w:hAnsi="宋体" w:eastAsia="宋体" w:cs="宋体"/>
          <w:color w:val="auto"/>
          <w:szCs w:val="21"/>
        </w:rPr>
      </w:pPr>
      <w:r>
        <w:rPr>
          <w:rFonts w:hint="eastAsia" w:ascii="宋体" w:hAnsi="宋体" w:eastAsia="宋体" w:cs="宋体"/>
          <w:color w:val="auto"/>
          <w:spacing w:val="6"/>
          <w:szCs w:val="21"/>
        </w:rPr>
        <w:t xml:space="preserve">             </w:t>
      </w:r>
      <w:r>
        <w:rPr>
          <w:rFonts w:hint="eastAsia" w:ascii="宋体" w:hAnsi="宋体" w:eastAsia="宋体" w:cs="宋体"/>
          <w:color w:val="auto"/>
          <w:szCs w:val="21"/>
        </w:rPr>
        <w:t xml:space="preserve">               供应商全称（盖章）：</w:t>
      </w:r>
      <w:r/>
    </w:p>
    <w:p>
      <w:pPr>
        <w:ind w:right="1560" w:firstLine="420"/>
        <w:jc w:val="center"/>
        <w:spacing w:line="588" w:lineRule="exact"/>
        <w:tabs>
          <w:tab w:val="left" w:pos="4860" w:leader="none"/>
        </w:tabs>
        <w:rPr>
          <w:rFonts w:hint="eastAsia" w:ascii="宋体" w:hAnsi="宋体" w:eastAsia="宋体" w:cs="宋体"/>
          <w:color w:val="auto"/>
          <w:szCs w:val="21"/>
        </w:rPr>
      </w:pPr>
      <w:r>
        <w:rPr>
          <w:rFonts w:hint="eastAsia" w:ascii="宋体" w:hAnsi="宋体" w:eastAsia="宋体" w:cs="宋体"/>
          <w:color w:val="auto"/>
          <w:szCs w:val="21"/>
        </w:rPr>
        <w:t xml:space="preserve">                              日  期：</w:t>
      </w:r>
      <w:r/>
    </w:p>
    <w:p>
      <w:pPr>
        <w:ind w:right="1560" w:firstLine="420"/>
        <w:jc w:val="center"/>
        <w:spacing w:line="588" w:lineRule="exact"/>
        <w:tabs>
          <w:tab w:val="left" w:pos="4860" w:leader="none"/>
        </w:tabs>
        <w:rPr>
          <w:rFonts w:hint="eastAsia" w:ascii="宋体" w:hAnsi="宋体" w:eastAsia="宋体" w:cs="宋体"/>
          <w:color w:val="auto"/>
          <w:szCs w:val="21"/>
        </w:rPr>
      </w:pPr>
      <w:r>
        <w:rPr>
          <w:rFonts w:hint="eastAsia" w:ascii="宋体" w:hAnsi="宋体" w:eastAsia="宋体" w:cs="宋体"/>
          <w:color w:val="auto"/>
          <w:szCs w:val="21"/>
        </w:rPr>
        <w:t xml:space="preserve">                              </w:t>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888"/>
        <w:ind w:firstLine="0"/>
        <w:jc w:val="center"/>
        <w:keepLines/>
        <w:keepNext/>
        <w:pageBreakBefore w:val="0"/>
        <w:spacing w:before="0" w:after="0" w:line="360" w:lineRule="auto"/>
        <w:widowControl w:val="off"/>
        <w:rPr>
          <w:rFonts w:hint="eastAsia" w:ascii="宋体" w:hAnsi="宋体" w:eastAsia="宋体" w:cs="宋体"/>
          <w:bCs w:val="0"/>
          <w:color w:val="auto"/>
          <w:sz w:val="32"/>
          <w:szCs w:val="32"/>
        </w:rPr>
        <w:sectPr>
          <w:footnotePr/>
          <w:endnotePr/>
          <w:type w:val="nextPage"/>
          <w:pgSz w:w="11906" w:h="16838" w:orient="portrait"/>
          <w:pgMar w:top="1440" w:right="1800" w:bottom="1440" w:left="1800" w:header="851" w:footer="992" w:gutter="0"/>
          <w:cols w:num="1" w:sep="0" w:space="0" w:equalWidth="1"/>
          <w:docGrid w:linePitch="360"/>
        </w:sectPr>
      </w:pPr>
      <w:r/>
      <w:bookmarkStart w:id="65" w:name="_Toc30593"/>
      <w:r/>
      <w:r/>
    </w:p>
    <w:p>
      <w:pPr>
        <w:pStyle w:val="888"/>
        <w:ind w:firstLine="0"/>
        <w:jc w:val="center"/>
        <w:keepLines/>
        <w:keepNext/>
        <w:pageBreakBefore w:val="0"/>
        <w:spacing w:before="0" w:after="0" w:line="360" w:lineRule="auto"/>
        <w:widowControl w:val="off"/>
        <w:rPr>
          <w:rFonts w:hint="eastAsia" w:ascii="宋体" w:hAnsi="宋体" w:eastAsia="宋体" w:cs="宋体"/>
          <w:color w:val="auto"/>
          <w:sz w:val="24"/>
          <w:szCs w:val="20"/>
        </w:rPr>
      </w:pPr>
      <w:r>
        <w:rPr>
          <w:rFonts w:hint="eastAsia" w:ascii="宋体" w:hAnsi="宋体" w:eastAsia="宋体" w:cs="宋体"/>
          <w:bCs w:val="0"/>
          <w:color w:val="auto"/>
          <w:sz w:val="32"/>
          <w:szCs w:val="32"/>
        </w:rPr>
        <w:t xml:space="preserve">四、</w:t>
      </w:r>
      <w:r>
        <w:rPr>
          <w:rFonts w:hint="eastAsia" w:ascii="宋体" w:hAnsi="宋体" w:eastAsia="宋体" w:cs="宋体"/>
          <w:color w:val="auto"/>
          <w:sz w:val="32"/>
          <w:szCs w:val="32"/>
        </w:rPr>
        <w:t xml:space="preserve">开标一览表</w:t>
      </w:r>
      <w:bookmarkEnd w:id="65"/>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项目名称：</w:t>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项目编号：                    </w:t>
      </w:r>
      <w:r/>
    </w:p>
    <w:tbl>
      <w:tblPr>
        <w:tblStyle w:val="685"/>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4"/>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投标服务或产品名称</w:t>
            </w:r>
            <w:r/>
          </w:p>
        </w:tc>
        <w:tc>
          <w:tcPr>
            <w:tcW w:w="6405"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t xml:space="preserve">                      投标报价（元）</w:t>
            </w:r>
            <w:r/>
          </w:p>
        </w:tc>
      </w:tr>
      <w:tr>
        <w:trPr>
          <w:cantSplit/>
          <w:trHeight w:val="1697"/>
        </w:trPr>
        <w:tc>
          <w:tcPr>
            <w:tcW w:w="2481" w:type="dxa"/>
            <w:vAlign w:val="center"/>
            <w:textDirection w:val="lrTb"/>
            <w:noWrap w:val="false"/>
          </w:tcPr>
          <w:p>
            <w:pPr>
              <w:pStyle w:val="894"/>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405" w:type="dxa"/>
            <w:vAlign w:val="center"/>
            <w:textDirection w:val="lrTb"/>
            <w:noWrap w:val="false"/>
          </w:tcPr>
          <w:p>
            <w:pPr>
              <w:pStyle w:val="913"/>
              <w:ind w:firstLine="0"/>
              <w:spacing w:before="0"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大写：                       </w:t>
            </w:r>
            <w:r/>
          </w:p>
          <w:p>
            <w:pPr>
              <w:pStyle w:val="913"/>
              <w:ind w:firstLine="0"/>
              <w:spacing w:before="0"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小写：                            （单位：元）</w:t>
            </w:r>
            <w:r/>
          </w:p>
        </w:tc>
      </w:tr>
      <w:tr>
        <w:trPr>
          <w:cantSplit/>
          <w:trHeight w:val="813"/>
        </w:trPr>
        <w:tc>
          <w:tcPr>
            <w:gridSpan w:val="2"/>
            <w:tcW w:w="8886" w:type="dxa"/>
            <w:vAlign w:val="center"/>
            <w:textDirection w:val="lrTb"/>
            <w:noWrap w:val="false"/>
          </w:tcPr>
          <w:p>
            <w:pPr>
              <w:pStyle w:val="916"/>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备注</w:t>
            </w:r>
            <w:r/>
          </w:p>
        </w:tc>
      </w:tr>
    </w:tbl>
    <w:p>
      <w:pPr>
        <w:rPr>
          <w:rFonts w:hint="eastAsia" w:ascii="宋体" w:hAnsi="宋体" w:eastAsia="宋体" w:cs="宋体"/>
          <w:color w:val="auto"/>
          <w:szCs w:val="21"/>
        </w:rPr>
      </w:pPr>
      <w:r>
        <w:rPr>
          <w:rFonts w:hint="eastAsia" w:ascii="宋体" w:hAnsi="宋体" w:eastAsia="宋体" w:cs="宋体"/>
          <w:color w:val="auto"/>
          <w:szCs w:val="21"/>
        </w:rPr>
      </w:r>
      <w:r/>
    </w:p>
    <w:p>
      <w:pPr>
        <w:ind w:firstLine="480"/>
        <w:rPr>
          <w:rFonts w:hint="eastAsia" w:ascii="宋体" w:hAnsi="宋体" w:eastAsia="宋体" w:cs="宋体"/>
          <w:color w:val="auto"/>
          <w:szCs w:val="21"/>
        </w:rPr>
      </w:pPr>
      <w:r>
        <w:rPr>
          <w:rFonts w:hint="eastAsia" w:ascii="宋体" w:hAnsi="宋体" w:eastAsia="宋体" w:cs="宋体"/>
          <w:color w:val="auto"/>
          <w:szCs w:val="21"/>
        </w:rPr>
        <w:t xml:space="preserve">                                              日期：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pStyle w:val="889"/>
        <w:ind w:firstLine="640"/>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p>
    <w:p>
      <w:pPr>
        <w:pStyle w:val="888"/>
        <w:keepLines/>
        <w:keepNext/>
        <w:pageBreakBefore w:val="0"/>
        <w:spacing w:before="0" w:after="0" w:line="360" w:lineRule="auto"/>
        <w:widowControl w:val="off"/>
        <w:rPr>
          <w:rFonts w:hint="eastAsia" w:ascii="宋体" w:hAnsi="宋体" w:eastAsia="宋体" w:cs="宋体"/>
          <w:bCs w:val="0"/>
          <w:color w:val="auto"/>
          <w:sz w:val="32"/>
          <w:szCs w:val="32"/>
        </w:rPr>
      </w:pPr>
      <w:r/>
      <w:bookmarkStart w:id="66" w:name="_Toc113352361"/>
      <w:r/>
      <w:bookmarkStart w:id="67" w:name="_Toc19827"/>
      <w:r>
        <w:rPr>
          <w:rFonts w:hint="eastAsia" w:ascii="宋体" w:hAnsi="宋体" w:eastAsia="宋体" w:cs="宋体"/>
          <w:bCs w:val="0"/>
          <w:color w:val="auto"/>
          <w:sz w:val="32"/>
          <w:szCs w:val="32"/>
        </w:rPr>
        <w:t xml:space="preserve">五、分项报价表</w:t>
      </w:r>
      <w:bookmarkEnd w:id="66"/>
      <w:r>
        <w:rPr>
          <w:rFonts w:hint="eastAsia" w:ascii="宋体" w:hAnsi="宋体" w:eastAsia="宋体" w:cs="宋体"/>
          <w:bCs w:val="0"/>
          <w:color w:val="auto"/>
          <w:sz w:val="32"/>
          <w:szCs w:val="32"/>
        </w:rPr>
        <w:t xml:space="preserve">（本项目无需填写）</w:t>
      </w:r>
      <w:bookmarkEnd w:id="67"/>
      <w:r/>
      <w:r/>
    </w:p>
    <w:tbl>
      <w:tblPr>
        <w:tblStyle w:val="68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rPr>
              <w:t xml:space="preserve">序号</w:t>
            </w:r>
            <w:r/>
          </w:p>
        </w:tc>
        <w:tc>
          <w:tcPr>
            <w:tcW w:w="2025"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rPr>
              <w:t xml:space="preserve">名称</w:t>
            </w:r>
            <w:r/>
          </w:p>
        </w:tc>
        <w:tc>
          <w:tcPr>
            <w:tcW w:w="145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rPr>
              <w:t xml:space="preserve">单位</w:t>
            </w:r>
            <w:r/>
          </w:p>
        </w:tc>
        <w:tc>
          <w:tcPr>
            <w:tcW w:w="124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rPr>
              <w:t xml:space="preserve">数量</w:t>
            </w:r>
            <w:r/>
          </w:p>
        </w:tc>
        <w:tc>
          <w:tcPr>
            <w:tcW w:w="1338"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rPr>
              <w:t xml:space="preserve">单价</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rPr>
              <w:t xml:space="preserve">（元）</w:t>
            </w:r>
            <w:r/>
          </w:p>
        </w:tc>
        <w:tc>
          <w:tcPr>
            <w:tcW w:w="1691"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单项合计价</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rPr>
              <w:t xml:space="preserve">（元）</w:t>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2025"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45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4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338"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691"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2025"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45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4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338"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691"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2025"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45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4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338"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691"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2025"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45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4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338"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691"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2025"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45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4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338"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691"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2025"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45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4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338"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691"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500"/>
        </w:trPr>
        <w:tc>
          <w:tcPr>
            <w:gridSpan w:val="3"/>
            <w:tcW w:w="4234"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rPr>
              <w:t xml:space="preserve">总报价</w:t>
            </w:r>
            <w:r/>
          </w:p>
        </w:tc>
        <w:tc>
          <w:tcPr>
            <w:gridSpan w:val="3"/>
            <w:tcW w:w="4271"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rPr>
              <w:t xml:space="preserve">人民币（大写）：</w:t>
            </w:r>
            <w:r>
              <w:rPr>
                <w:rFonts w:hint="eastAsia" w:ascii="宋体" w:hAnsi="宋体" w:eastAsia="宋体" w:cs="宋体"/>
                <w:color w:val="auto"/>
                <w:u w:val="single"/>
              </w:rPr>
              <w:t xml:space="preserve">      </w:t>
            </w:r>
            <w:r>
              <w:rPr>
                <w:rFonts w:hint="eastAsia" w:ascii="宋体" w:hAnsi="宋体" w:eastAsia="宋体" w:cs="宋体"/>
                <w:color w:val="auto"/>
              </w:rPr>
              <w:t xml:space="preserve"> 圆整</w:t>
            </w:r>
            <w:r/>
          </w:p>
          <w:p>
            <w:pPr>
              <w:spacing w:line="360" w:lineRule="auto"/>
              <w:rPr>
                <w:rFonts w:hint="eastAsia" w:ascii="宋体" w:hAnsi="宋体" w:eastAsia="宋体" w:cs="宋体"/>
                <w:color w:val="auto"/>
                <w:szCs w:val="21"/>
                <w:u w:val="single"/>
              </w:rPr>
            </w:pPr>
            <w:r>
              <w:rPr>
                <w:rFonts w:hint="eastAsia" w:ascii="宋体" w:hAnsi="宋体" w:eastAsia="宋体" w:cs="宋体"/>
                <w:color w:val="auto"/>
              </w:rPr>
              <w:t xml:space="preserve">￥：</w:t>
            </w:r>
            <w:r>
              <w:rPr>
                <w:rFonts w:hint="eastAsia" w:ascii="宋体" w:hAnsi="宋体" w:eastAsia="宋体" w:cs="宋体"/>
                <w:color w:val="auto"/>
                <w:u w:val="single"/>
              </w:rPr>
              <w:t xml:space="preserve">           </w:t>
            </w:r>
            <w:r/>
          </w:p>
        </w:tc>
      </w:tr>
    </w:tbl>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jc w:val="left"/>
        <w:widowControl/>
        <w:rPr>
          <w:rFonts w:hint="eastAsia" w:ascii="宋体" w:hAnsi="宋体" w:eastAsia="宋体" w:cs="宋体"/>
          <w:b/>
          <w:bCs/>
          <w:color w:val="auto"/>
        </w:rPr>
      </w:pPr>
      <w:r>
        <w:rPr>
          <w:rFonts w:hint="eastAsia" w:ascii="宋体" w:hAnsi="宋体" w:eastAsia="宋体" w:cs="宋体"/>
          <w:b/>
          <w:bCs/>
          <w:color w:val="auto"/>
        </w:rPr>
      </w:r>
      <w:r/>
    </w:p>
    <w:p>
      <w:pPr>
        <w:pStyle w:val="888"/>
        <w:rPr>
          <w:rFonts w:hint="eastAsia" w:ascii="宋体" w:hAnsi="宋体" w:eastAsia="宋体" w:cs="宋体"/>
          <w:color w:val="auto"/>
          <w:sz w:val="32"/>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color w:val="auto"/>
          <w:sz w:val="32"/>
        </w:rPr>
      </w:r>
      <w:r/>
    </w:p>
    <w:p>
      <w:pPr>
        <w:pStyle w:val="888"/>
        <w:keepLines/>
        <w:keepNext/>
        <w:pageBreakBefore w:val="0"/>
        <w:spacing w:before="0" w:after="0" w:line="360" w:lineRule="auto"/>
        <w:widowControl w:val="off"/>
        <w:rPr>
          <w:rFonts w:hint="eastAsia" w:ascii="宋体" w:hAnsi="宋体" w:eastAsia="宋体" w:cs="宋体"/>
          <w:color w:val="auto"/>
          <w:sz w:val="32"/>
        </w:rPr>
      </w:pPr>
      <w:r/>
      <w:bookmarkStart w:id="68" w:name="_Toc22619"/>
      <w:r>
        <w:rPr>
          <w:rFonts w:hint="eastAsia" w:ascii="宋体" w:hAnsi="宋体" w:eastAsia="宋体" w:cs="宋体"/>
          <w:color w:val="auto"/>
          <w:sz w:val="32"/>
        </w:rPr>
        <w:t xml:space="preserve">六、技术参数响应及偏离表</w:t>
      </w:r>
      <w:bookmarkEnd w:id="68"/>
      <w:r/>
      <w:r/>
    </w:p>
    <w:tbl>
      <w:tblPr>
        <w:tblStyle w:val="68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W w:w="2852"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招标要求</w:t>
            </w:r>
            <w:r/>
          </w:p>
        </w:tc>
        <w:tc>
          <w:tcPr>
            <w:tcW w:w="2852"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投标响应</w:t>
            </w:r>
            <w:r/>
          </w:p>
        </w:tc>
        <w:tc>
          <w:tcPr>
            <w:tcW w:w="130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证明材料</w:t>
            </w:r>
            <w:r/>
          </w:p>
        </w:tc>
      </w:tr>
      <w:tr>
        <w:trPr>
          <w:cantSplit/>
          <w:trHeight w:val="640"/>
        </w:trPr>
        <w:tc>
          <w:tcPr>
            <w:tcW w:w="984"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173"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640"/>
        </w:trPr>
        <w:tc>
          <w:tcPr>
            <w:tcW w:w="984"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173"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640"/>
        </w:trPr>
        <w:tc>
          <w:tcPr>
            <w:tcW w:w="984"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173"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640"/>
        </w:trPr>
        <w:tc>
          <w:tcPr>
            <w:tcW w:w="984"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173"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640"/>
        </w:trPr>
        <w:tc>
          <w:tcPr>
            <w:tcW w:w="984"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173"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640"/>
        </w:trPr>
        <w:tc>
          <w:tcPr>
            <w:tcW w:w="984"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173"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640"/>
        </w:trPr>
        <w:tc>
          <w:tcPr>
            <w:tcW w:w="984"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173"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cantSplit/>
          <w:trHeight w:val="640"/>
        </w:trPr>
        <w:tc>
          <w:tcPr>
            <w:tcW w:w="984"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2852"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308"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1173" w:type="dxa"/>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注：1、按照基本技术要求详细填列。</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2、行数不够，可自行添加。</w:t>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pStyle w:val="888"/>
        <w:keepLines/>
        <w:keepNext/>
        <w:pageBreakBefore w:val="0"/>
        <w:spacing w:before="0" w:after="0" w:line="360" w:lineRule="auto"/>
        <w:widowControl w:val="off"/>
        <w:rPr>
          <w:rFonts w:hint="eastAsia" w:ascii="宋体" w:hAnsi="宋体" w:eastAsia="宋体" w:cs="宋体"/>
          <w:bCs w:val="0"/>
          <w:color w:val="auto"/>
          <w:sz w:val="32"/>
          <w:szCs w:val="32"/>
        </w:rPr>
      </w:pPr>
      <w:r/>
      <w:bookmarkStart w:id="69" w:name="_Hlt26955054"/>
      <w:r/>
      <w:bookmarkEnd w:id="69"/>
      <w:r/>
      <w:bookmarkStart w:id="70" w:name="_Toc113352363"/>
      <w:r/>
      <w:bookmarkStart w:id="71" w:name="_Toc17756"/>
      <w:r>
        <w:rPr>
          <w:rFonts w:hint="eastAsia" w:ascii="宋体" w:hAnsi="宋体" w:eastAsia="宋体" w:cs="宋体"/>
          <w:bCs w:val="0"/>
          <w:color w:val="auto"/>
          <w:sz w:val="32"/>
          <w:szCs w:val="32"/>
        </w:rPr>
        <w:t xml:space="preserve">七、商务条款响应及偏离表</w:t>
      </w:r>
      <w:bookmarkEnd w:id="70"/>
      <w:r/>
      <w:bookmarkEnd w:id="71"/>
      <w:r/>
      <w:r/>
    </w:p>
    <w:tbl>
      <w:tblPr>
        <w:tblStyle w:val="685"/>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w:t>
            </w:r>
            <w:r/>
          </w:p>
        </w:tc>
        <w:tc>
          <w:tcPr>
            <w:tcBorders>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采购文件要求</w:t>
            </w:r>
            <w:r/>
          </w:p>
        </w:tc>
        <w:tc>
          <w:tcPr>
            <w:tcBorders>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是否响应</w:t>
            </w:r>
            <w:r/>
          </w:p>
        </w:tc>
        <w:tc>
          <w:tcPr>
            <w:tcBorders>
              <w:left w:val="single" w:color="000000" w:sz="4" w:space="0"/>
              <w:bottom w:val="single" w:color="000000" w:sz="4" w:space="0"/>
            </w:tcBorders>
            <w:tcW w:w="2563"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服务时间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tcBorders>
            <w:tcW w:w="2563" w:type="dxa"/>
            <w:textDirection w:val="lrTb"/>
            <w:noWrap w:val="false"/>
          </w:tcPr>
          <w:p>
            <w:pPr>
              <w:ind w:left="43"/>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rHeight w:val="440"/>
        </w:trPr>
        <w:tc>
          <w:tcPr>
            <w:tcBorders>
              <w:top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服务方式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tcBorders>
            <w:tcW w:w="2563" w:type="dxa"/>
            <w:textDirection w:val="lrTb"/>
            <w:noWrap w:val="false"/>
          </w:tcPr>
          <w:p>
            <w:pPr>
              <w:ind w:left="43"/>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rHeight w:val="460"/>
        </w:trPr>
        <w:tc>
          <w:tcPr>
            <w:tcBorders>
              <w:top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服务地点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tcBorders>
            <w:tcW w:w="2563" w:type="dxa"/>
            <w:textDirection w:val="lrTb"/>
            <w:noWrap w:val="false"/>
          </w:tcPr>
          <w:p>
            <w:pPr>
              <w:ind w:left="43"/>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rHeight w:val="402"/>
        </w:trPr>
        <w:tc>
          <w:tcPr>
            <w:tcBorders>
              <w:top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tcBorders>
            <w:tcW w:w="2563"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rHeight w:val="402"/>
        </w:trPr>
        <w:tc>
          <w:tcPr>
            <w:tcBorders>
              <w:top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驻场人员</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bottom w:val="single" w:color="000000" w:sz="4" w:space="0"/>
            </w:tcBorders>
            <w:tcW w:w="2563"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c>
          <w:tcPr>
            <w:tcBorders>
              <w:top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其他</w:t>
            </w:r>
            <w:r/>
          </w:p>
        </w:tc>
        <w:tc>
          <w:tcPr>
            <w:tcBorders>
              <w:top w:val="single" w:color="000000" w:sz="4" w:space="0"/>
              <w:left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p>
        </w:tc>
        <w:tc>
          <w:tcPr>
            <w:tcBorders>
              <w:top w:val="single" w:color="000000" w:sz="4" w:space="0"/>
              <w:left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4" w:space="0"/>
              <w:left w:val="single" w:color="000000" w:sz="4" w:space="0"/>
            </w:tcBorders>
            <w:tcW w:w="2563" w:type="dxa"/>
            <w:textDirection w:val="lrTb"/>
            <w:noWrap w:val="false"/>
          </w:tcPr>
          <w:p>
            <w:pPr>
              <w:jc w:val="center"/>
              <w:spacing w:before="156" w:line="360" w:lineRule="auto"/>
              <w:rPr>
                <w:rFonts w:hint="eastAsia" w:ascii="宋体" w:hAnsi="宋体" w:eastAsia="宋体" w:cs="宋体"/>
                <w:color w:val="auto"/>
                <w:szCs w:val="21"/>
              </w:rPr>
            </w:pPr>
            <w:r>
              <w:rPr>
                <w:rFonts w:hint="eastAsia" w:ascii="宋体" w:hAnsi="宋体" w:eastAsia="宋体" w:cs="宋体"/>
                <w:color w:val="auto"/>
                <w:szCs w:val="21"/>
              </w:rPr>
            </w:r>
            <w:r/>
          </w:p>
        </w:tc>
      </w:tr>
    </w:tbl>
    <w:p>
      <w:pPr>
        <w:spacing w:line="480" w:lineRule="auto"/>
        <w:rPr>
          <w:rFonts w:hint="eastAsia" w:ascii="宋体" w:hAnsi="宋体" w:eastAsia="宋体" w:cs="宋体"/>
          <w:color w:val="auto"/>
          <w:sz w:val="30"/>
        </w:rPr>
      </w:pPr>
      <w:r>
        <w:rPr>
          <w:rFonts w:hint="eastAsia" w:ascii="宋体" w:hAnsi="宋体" w:eastAsia="宋体" w:cs="宋体"/>
          <w:color w:val="auto"/>
          <w:sz w:val="30"/>
        </w:rPr>
      </w:r>
      <w:r/>
    </w:p>
    <w:p>
      <w:pPr>
        <w:pStyle w:val="889"/>
        <w:ind w:firstLine="480"/>
        <w:rPr>
          <w:rFonts w:hint="eastAsia" w:ascii="宋体" w:hAnsi="宋体" w:eastAsia="宋体" w:cs="宋体"/>
          <w:color w:val="auto"/>
          <w:sz w:val="24"/>
        </w:rPr>
      </w:pPr>
      <w:r/>
      <w:bookmarkStart w:id="72" w:name="_Hlt26671374"/>
      <w:r/>
      <w:bookmarkEnd w:id="72"/>
      <w:r/>
      <w:bookmarkStart w:id="73" w:name="_Hlt26609389"/>
      <w:r/>
      <w:bookmarkEnd w:id="73"/>
      <w:r/>
      <w:bookmarkStart w:id="74" w:name="_Hlt26955066"/>
      <w:r/>
      <w:bookmarkEnd w:id="74"/>
      <w:r/>
      <w:bookmarkStart w:id="75" w:name="_Toc462564146"/>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t xml:space="preserve">.</w:t>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bookmarkEnd w:id="75"/>
      <w:r/>
    </w:p>
    <w:p>
      <w:pPr>
        <w:pStyle w:val="889"/>
        <w:ind w:firstLine="480"/>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b/>
          <w:color w:val="auto"/>
        </w:rPr>
      </w:pPr>
      <w:r/>
      <w:bookmarkStart w:id="76" w:name="_格式2__法定代表人授权书"/>
      <w:r/>
      <w:bookmarkEnd w:id="76"/>
      <w:r>
        <w:rPr>
          <w:rFonts w:hint="eastAsia" w:ascii="宋体" w:hAnsi="宋体" w:eastAsia="宋体" w:cs="宋体"/>
          <w:b/>
          <w:color w:val="auto"/>
        </w:rPr>
        <w:br w:type="page" w:clear="all"/>
      </w:r>
      <w:r/>
    </w:p>
    <w:p>
      <w:pPr>
        <w:jc w:val="center"/>
        <w:spacing w:before="312"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主要标的信息（中标后将公示）</w:t>
      </w:r>
      <w:r/>
    </w:p>
    <w:p>
      <w:pPr>
        <w:spacing w:line="360" w:lineRule="auto"/>
        <w:rPr>
          <w:rFonts w:hint="eastAsia" w:ascii="宋体" w:hAnsi="宋体" w:eastAsia="宋体" w:cs="宋体"/>
          <w:b/>
          <w:color w:val="auto"/>
        </w:rPr>
      </w:pPr>
      <w:r>
        <w:rPr>
          <w:rFonts w:hint="eastAsia" w:ascii="宋体" w:hAnsi="宋体" w:eastAsia="宋体" w:cs="宋体"/>
          <w:color w:val="auto"/>
        </w:rPr>
        <w:t xml:space="preserve">投标人全称：</w:t>
      </w:r>
      <w:r/>
    </w:p>
    <w:tbl>
      <w:tblPr>
        <w:tblStyle w:val="685"/>
        <w:tblW w:w="8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8"/>
      </w:tblGrid>
      <w:tr>
        <w:trPr>
          <w:jc w:val="center"/>
          <w:trHeight w:val="340"/>
        </w:trPr>
        <w:tc>
          <w:tcPr>
            <w:tcW w:w="8178" w:type="dxa"/>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服务类</w:t>
            </w:r>
            <w:r/>
          </w:p>
        </w:tc>
      </w:tr>
      <w:tr>
        <w:trPr>
          <w:jc w:val="center"/>
          <w:trHeight w:val="3810"/>
        </w:trPr>
        <w:tc>
          <w:tcPr>
            <w:tcW w:w="8178" w:type="dxa"/>
            <w:vAlign w:val="top"/>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t xml:space="preserve">名称：</w:t>
            </w:r>
            <w:r/>
          </w:p>
          <w:p>
            <w:pPr>
              <w:spacing w:line="360" w:lineRule="auto"/>
              <w:rPr>
                <w:rFonts w:hint="eastAsia" w:ascii="宋体" w:hAnsi="宋体" w:eastAsia="宋体" w:cs="宋体"/>
                <w:color w:val="auto"/>
              </w:rPr>
            </w:pPr>
            <w:r>
              <w:rPr>
                <w:rFonts w:hint="eastAsia" w:ascii="宋体" w:hAnsi="宋体" w:eastAsia="宋体" w:cs="宋体"/>
                <w:color w:val="auto"/>
              </w:rPr>
              <w:t xml:space="preserve">服务范围：</w:t>
            </w:r>
            <w:r/>
          </w:p>
          <w:p>
            <w:pPr>
              <w:spacing w:line="360" w:lineRule="auto"/>
              <w:rPr>
                <w:rFonts w:hint="eastAsia" w:ascii="宋体" w:hAnsi="宋体" w:eastAsia="宋体" w:cs="宋体"/>
                <w:color w:val="auto"/>
                <w:u w:val="single"/>
              </w:rPr>
            </w:pPr>
            <w:r>
              <w:rPr>
                <w:rFonts w:hint="eastAsia" w:ascii="宋体" w:hAnsi="宋体" w:eastAsia="宋体" w:cs="宋体"/>
                <w:color w:val="auto"/>
              </w:rPr>
              <w:t xml:space="preserve">服务要求：</w:t>
            </w:r>
            <w:r/>
          </w:p>
          <w:p>
            <w:pPr>
              <w:spacing w:line="360" w:lineRule="auto"/>
              <w:rPr>
                <w:rFonts w:hint="eastAsia" w:ascii="宋体" w:hAnsi="宋体" w:eastAsia="宋体" w:cs="宋体"/>
                <w:color w:val="auto"/>
                <w:u w:val="single"/>
              </w:rPr>
            </w:pPr>
            <w:r>
              <w:rPr>
                <w:rFonts w:hint="eastAsia" w:ascii="宋体" w:hAnsi="宋体" w:eastAsia="宋体" w:cs="宋体"/>
                <w:color w:val="auto"/>
              </w:rPr>
              <w:t xml:space="preserve">服务时间：</w:t>
            </w:r>
            <w:r/>
          </w:p>
          <w:p>
            <w:pPr>
              <w:spacing w:line="360" w:lineRule="auto"/>
              <w:rPr>
                <w:rFonts w:hint="eastAsia" w:ascii="宋体" w:hAnsi="宋体" w:eastAsia="宋体" w:cs="宋体"/>
                <w:color w:val="auto"/>
              </w:rPr>
            </w:pPr>
            <w:r>
              <w:rPr>
                <w:rFonts w:hint="eastAsia" w:ascii="宋体" w:hAnsi="宋体" w:eastAsia="宋体" w:cs="宋体"/>
                <w:color w:val="auto"/>
              </w:rPr>
              <w:t xml:space="preserve">服务标准：</w:t>
            </w:r>
            <w:r/>
          </w:p>
        </w:tc>
      </w:tr>
    </w:tbl>
    <w:p>
      <w:pPr>
        <w:jc w:val="left"/>
        <w:widowControl/>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幼圆">
    <w:panose1 w:val="020105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instrText xml:space="preserve">PAGE \* MERGEFORMAT</w:instrText>
    </w:r>
    <w:r>
      <w:fldChar w:fldCharType="separate"/>
    </w:r>
    <w:r>
      <w:t xml:space="preserve">6</w:t>
    </w:r>
    <w:r>
      <w:fldChar w:fldCharType="end"/>
    </w:r>
    <w:r/>
  </w:p>
  <w:p>
    <w:pPr>
      <w:pStyle w:val="6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PAGE   \* MERGEFORMAT</w:instrText>
    </w:r>
    <w:r>
      <w:fldChar w:fldCharType="separate"/>
    </w:r>
    <w:r>
      <w:rPr>
        <w:lang w:val="zh-CN"/>
      </w:rPr>
      <w:t xml:space="preserve">28</w:t>
    </w:r>
    <w:r>
      <w:rPr>
        <w:lang w:val="zh-CN"/>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5">
    <w:name w:val="Heading 1"/>
    <w:basedOn w:val="674"/>
    <w:next w:val="674"/>
    <w:link w:val="758"/>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7"/>
    <w:link w:val="759"/>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60"/>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61"/>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62"/>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63"/>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64"/>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65"/>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66"/>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spacing w:after="57"/>
    </w:pPr>
  </w:style>
  <w:style w:type="paragraph" w:styleId="687">
    <w:name w:val="Normal Indent"/>
    <w:basedOn w:val="674"/>
    <w:uiPriority w:val="0"/>
    <w:qFormat/>
    <w:pPr>
      <w:ind w:firstLine="420"/>
    </w:pPr>
    <w:rPr>
      <w:sz w:val="20"/>
      <w:szCs w:val="20"/>
    </w:r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Body Text"/>
    <w:basedOn w:val="674"/>
    <w:uiPriority w:val="0"/>
    <w:qFormat/>
    <w:pPr>
      <w:spacing w:after="120"/>
    </w:pPr>
    <w:rPr>
      <w:sz w:val="20"/>
    </w:rPr>
  </w:style>
  <w:style w:type="paragraph" w:styleId="690">
    <w:name w:val="toc 5"/>
    <w:basedOn w:val="674"/>
    <w:next w:val="674"/>
    <w:uiPriority w:val="39"/>
    <w:unhideWhenUsed/>
    <w:qFormat/>
    <w:pPr>
      <w:ind w:left="1134"/>
      <w:spacing w:after="57"/>
    </w:pPr>
  </w:style>
  <w:style w:type="paragraph" w:styleId="691">
    <w:name w:val="toc 3"/>
    <w:basedOn w:val="674"/>
    <w:next w:val="674"/>
    <w:uiPriority w:val="39"/>
    <w:unhideWhenUsed/>
    <w:qFormat/>
    <w:pPr>
      <w:ind w:left="567"/>
      <w:spacing w:after="57"/>
    </w:pPr>
  </w:style>
  <w:style w:type="paragraph" w:styleId="692">
    <w:name w:val="Plain Text"/>
    <w:basedOn w:val="674"/>
    <w:uiPriority w:val="99"/>
    <w:unhideWhenUsed/>
    <w:qFormat/>
    <w:rPr>
      <w:rFonts w:ascii="宋体" w:hAnsi="Courier New"/>
      <w:sz w:val="20"/>
      <w:szCs w:val="20"/>
    </w:rPr>
  </w:style>
  <w:style w:type="paragraph" w:styleId="693">
    <w:name w:val="toc 8"/>
    <w:basedOn w:val="674"/>
    <w:next w:val="674"/>
    <w:uiPriority w:val="39"/>
    <w:unhideWhenUsed/>
    <w:qFormat/>
    <w:pPr>
      <w:ind w:left="1984"/>
      <w:spacing w:after="57"/>
    </w:pPr>
  </w:style>
  <w:style w:type="paragraph" w:styleId="694">
    <w:name w:val="endnote text"/>
    <w:basedOn w:val="674"/>
    <w:link w:val="885"/>
    <w:uiPriority w:val="99"/>
    <w:semiHidden/>
    <w:unhideWhenUsed/>
    <w:qFormat/>
    <w:rPr>
      <w:sz w:val="20"/>
    </w:rPr>
  </w:style>
  <w:style w:type="paragraph" w:styleId="695">
    <w:name w:val="Footer"/>
    <w:basedOn w:val="674"/>
    <w:link w:val="777"/>
    <w:uiPriority w:val="99"/>
    <w:unhideWhenUsed/>
    <w:qFormat/>
    <w:pPr>
      <w:tabs>
        <w:tab w:val="center" w:pos="7143" w:leader="none"/>
        <w:tab w:val="right" w:pos="14287" w:leader="none"/>
      </w:tabs>
    </w:pPr>
  </w:style>
  <w:style w:type="paragraph" w:styleId="696">
    <w:name w:val="Header"/>
    <w:basedOn w:val="674"/>
    <w:link w:val="775"/>
    <w:uiPriority w:val="99"/>
    <w:unhideWhenUsed/>
    <w:qFormat/>
    <w:pPr>
      <w:tabs>
        <w:tab w:val="center" w:pos="7143" w:leader="none"/>
        <w:tab w:val="right" w:pos="14287" w:leader="none"/>
      </w:tabs>
    </w:pPr>
  </w:style>
  <w:style w:type="paragraph" w:styleId="697">
    <w:name w:val="toc 1"/>
    <w:basedOn w:val="674"/>
    <w:next w:val="674"/>
    <w:uiPriority w:val="39"/>
    <w:unhideWhenUsed/>
    <w:qFormat/>
    <w:pPr>
      <w:spacing w:after="57"/>
    </w:pPr>
  </w:style>
  <w:style w:type="paragraph" w:styleId="698">
    <w:name w:val="toc 4"/>
    <w:basedOn w:val="674"/>
    <w:next w:val="674"/>
    <w:uiPriority w:val="39"/>
    <w:unhideWhenUsed/>
    <w:qFormat/>
    <w:pPr>
      <w:ind w:left="850"/>
      <w:spacing w:after="57"/>
    </w:pPr>
  </w:style>
  <w:style w:type="paragraph" w:styleId="699">
    <w:name w:val="Subtitle"/>
    <w:basedOn w:val="674"/>
    <w:next w:val="674"/>
    <w:link w:val="770"/>
    <w:uiPriority w:val="11"/>
    <w:qFormat/>
    <w:pPr>
      <w:spacing w:before="200" w:after="200"/>
    </w:pPr>
    <w:rPr>
      <w:sz w:val="24"/>
      <w:szCs w:val="24"/>
    </w:rPr>
  </w:style>
  <w:style w:type="paragraph" w:styleId="700">
    <w:name w:val="footnote text"/>
    <w:basedOn w:val="674"/>
    <w:link w:val="884"/>
    <w:uiPriority w:val="99"/>
    <w:semiHidden/>
    <w:unhideWhenUsed/>
    <w:qFormat/>
    <w:pPr>
      <w:spacing w:after="40"/>
    </w:pPr>
    <w:rPr>
      <w:sz w:val="18"/>
    </w:rPr>
  </w:style>
  <w:style w:type="paragraph" w:styleId="701">
    <w:name w:val="toc 6"/>
    <w:basedOn w:val="674"/>
    <w:next w:val="674"/>
    <w:uiPriority w:val="39"/>
    <w:unhideWhenUsed/>
    <w:qFormat/>
    <w:pPr>
      <w:ind w:left="1417"/>
      <w:spacing w:after="57"/>
    </w:pPr>
  </w:style>
  <w:style w:type="paragraph" w:styleId="702">
    <w:name w:val="table of figures"/>
    <w:basedOn w:val="674"/>
    <w:next w:val="674"/>
    <w:uiPriority w:val="99"/>
    <w:unhideWhenUsed/>
    <w:qFormat/>
  </w:style>
  <w:style w:type="paragraph" w:styleId="703">
    <w:name w:val="toc 2"/>
    <w:basedOn w:val="674"/>
    <w:next w:val="674"/>
    <w:uiPriority w:val="39"/>
    <w:unhideWhenUsed/>
    <w:qFormat/>
    <w:pPr>
      <w:ind w:left="283"/>
      <w:spacing w:after="57"/>
    </w:pPr>
  </w:style>
  <w:style w:type="paragraph" w:styleId="704">
    <w:name w:val="toc 9"/>
    <w:basedOn w:val="674"/>
    <w:next w:val="674"/>
    <w:uiPriority w:val="39"/>
    <w:unhideWhenUsed/>
    <w:qFormat/>
    <w:pPr>
      <w:ind w:left="2268"/>
      <w:spacing w:after="57"/>
    </w:pPr>
  </w:style>
  <w:style w:type="paragraph" w:styleId="705">
    <w:name w:val="Title"/>
    <w:basedOn w:val="674"/>
    <w:next w:val="674"/>
    <w:link w:val="769"/>
    <w:uiPriority w:val="10"/>
    <w:qFormat/>
    <w:pPr>
      <w:contextualSpacing/>
      <w:spacing w:before="300" w:after="200"/>
    </w:pPr>
    <w:rPr>
      <w:sz w:val="48"/>
      <w:szCs w:val="48"/>
    </w:rPr>
  </w:style>
  <w:style w:type="table" w:styleId="7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FollowedHyperlink"/>
    <w:basedOn w:val="684"/>
    <w:uiPriority w:val="99"/>
    <w:semiHidden/>
    <w:unhideWhenUsed/>
    <w:qFormat/>
    <w:rPr>
      <w:color w:val="333333"/>
      <w:u w:val="none"/>
    </w:rPr>
  </w:style>
  <w:style w:type="character" w:styleId="709">
    <w:name w:val="Hyperlink"/>
    <w:uiPriority w:val="99"/>
    <w:unhideWhenUsed/>
    <w:qFormat/>
    <w:rPr>
      <w:color w:val="0000ff" w:themeColor="hyperlink"/>
      <w:u w:val="single"/>
      <w14:textFill>
        <w14:solidFill>
          <w14:schemeClr w14:val="hlink"/>
        </w14:solidFill>
      </w14:textFill>
    </w:rPr>
  </w:style>
  <w:style w:type="character" w:styleId="710">
    <w:name w:val="footnote reference"/>
    <w:uiPriority w:val="99"/>
    <w:unhideWhenUsed/>
    <w:qFormat/>
    <w:rPr>
      <w:vertAlign w:val="superscript"/>
    </w:rPr>
  </w:style>
  <w:style w:type="paragraph" w:styleId="711" w:customStyle="1">
    <w:name w:val="正文文本缩进11"/>
    <w:basedOn w:val="674"/>
    <w:next w:val="674"/>
    <w:uiPriority w:val="99"/>
    <w:unhideWhenUsed/>
    <w:qFormat/>
    <w:pPr>
      <w:ind w:firstLine="540"/>
      <w:spacing w:line="400" w:lineRule="exact"/>
    </w:pPr>
    <w:rPr>
      <w:sz w:val="24"/>
    </w:rPr>
  </w:style>
  <w:style w:type="paragraph" w:styleId="712" w:customStyle="1">
    <w:name w:val="正文首行缩进1"/>
    <w:basedOn w:val="713"/>
    <w:uiPriority w:val="0"/>
    <w:qFormat/>
    <w:pPr>
      <w:ind w:firstLine="200"/>
      <w:spacing w:line="360" w:lineRule="auto"/>
    </w:pPr>
    <w:rPr>
      <w:rFonts w:ascii="仿宋_GB2312" w:eastAsia="仿宋_GB2312"/>
      <w:sz w:val="30"/>
      <w:szCs w:val="30"/>
    </w:rPr>
  </w:style>
  <w:style w:type="paragraph" w:styleId="713" w:customStyle="1">
    <w:name w:val="正文文本1"/>
    <w:basedOn w:val="714"/>
    <w:next w:val="715"/>
    <w:uiPriority w:val="0"/>
    <w:qFormat/>
    <w:pPr>
      <w:spacing w:after="120"/>
    </w:pPr>
    <w:rPr>
      <w:lang w:eastAsia="en-US"/>
    </w:rPr>
  </w:style>
  <w:style w:type="paragraph" w:styleId="714" w:customStyle="1">
    <w:name w:val="正文1"/>
    <w:basedOn w:val="674"/>
    <w:next w:val="713"/>
    <w:uiPriority w:val="0"/>
    <w:qFormat/>
    <w:pPr>
      <w:jc w:val="left"/>
      <w:spacing w:line="360" w:lineRule="atLeast"/>
    </w:pPr>
    <w:rPr>
      <w:rFonts w:ascii="宋体"/>
      <w:sz w:val="24"/>
      <w:szCs w:val="20"/>
    </w:rPr>
  </w:style>
  <w:style w:type="paragraph" w:styleId="715" w:customStyle="1">
    <w:name w:val="正文文本 21"/>
    <w:basedOn w:val="674"/>
    <w:next w:val="716"/>
    <w:uiPriority w:val="0"/>
    <w:qFormat/>
    <w:pPr>
      <w:spacing w:after="120" w:line="480" w:lineRule="auto"/>
    </w:pPr>
  </w:style>
  <w:style w:type="paragraph" w:styleId="716" w:customStyle="1">
    <w:name w:val="默认段落字体 Para Char Char Char Char Char Char Char"/>
    <w:basedOn w:val="674"/>
    <w:next w:val="717"/>
    <w:uiPriority w:val="0"/>
    <w:qFormat/>
    <w:pPr>
      <w:ind w:firstLine="5632"/>
    </w:pPr>
  </w:style>
  <w:style w:type="paragraph" w:styleId="717" w:customStyle="1">
    <w:name w:val="样式 首行缩进:  2 字符"/>
    <w:basedOn w:val="674"/>
    <w:next w:val="718"/>
    <w:uiPriority w:val="0"/>
    <w:qFormat/>
    <w:pPr>
      <w:ind w:left="480" w:firstLine="5856"/>
      <w:spacing w:line="360" w:lineRule="auto"/>
    </w:pPr>
  </w:style>
  <w:style w:type="paragraph" w:styleId="718" w:customStyle="1">
    <w:name w:val="样式 段后: 0.25 行"/>
    <w:basedOn w:val="674"/>
    <w:next w:val="719"/>
    <w:uiPriority w:val="0"/>
    <w:qFormat/>
    <w:pPr>
      <w:ind w:left="420" w:firstLine="5796"/>
      <w:spacing w:line="300" w:lineRule="auto"/>
      <w:widowControl/>
    </w:pPr>
  </w:style>
  <w:style w:type="paragraph" w:styleId="719" w:customStyle="1">
    <w:name w:val="正文 New New New New New New New New New New New New New New"/>
    <w:next w:val="704"/>
    <w:uiPriority w:val="0"/>
    <w:qFormat/>
    <w:pPr>
      <w:ind w:firstLine="2048"/>
      <w:jc w:val="both"/>
      <w:widowControl w:val="off"/>
    </w:pPr>
    <w:rPr>
      <w:rFonts w:hint="default" w:ascii="Times New Roman" w:hAnsi="Times New Roman" w:eastAsia="宋体" w:cs="Times New Roman"/>
      <w:lang w:val="en-US" w:eastAsia="zh-CN" w:bidi="ar-SA"/>
    </w:rPr>
  </w:style>
  <w:style w:type="paragraph" w:styleId="720" w:customStyle="1">
    <w:name w:val="正文文本缩进1"/>
    <w:basedOn w:val="674"/>
    <w:next w:val="674"/>
    <w:uiPriority w:val="99"/>
    <w:unhideWhenUsed/>
    <w:qFormat/>
    <w:pPr>
      <w:ind w:firstLine="540"/>
      <w:spacing w:line="400" w:lineRule="exact"/>
    </w:pPr>
    <w:rPr>
      <w:sz w:val="24"/>
    </w:rPr>
  </w:style>
  <w:style w:type="character" w:styleId="721" w:customStyle="1">
    <w:name w:val="Heading 1 Char"/>
    <w:basedOn w:val="684"/>
    <w:uiPriority w:val="9"/>
    <w:qFormat/>
    <w:rPr>
      <w:rFonts w:ascii="Arial" w:hAnsi="Arial" w:eastAsia="Arial" w:cs="Arial"/>
      <w:sz w:val="40"/>
      <w:szCs w:val="40"/>
    </w:rPr>
  </w:style>
  <w:style w:type="character" w:styleId="722" w:customStyle="1">
    <w:name w:val="Heading 2 Char"/>
    <w:basedOn w:val="684"/>
    <w:uiPriority w:val="9"/>
    <w:qFormat/>
    <w:rPr>
      <w:rFonts w:ascii="Arial" w:hAnsi="Arial" w:eastAsia="Arial" w:cs="Arial"/>
      <w:sz w:val="34"/>
    </w:rPr>
  </w:style>
  <w:style w:type="character" w:styleId="723" w:customStyle="1">
    <w:name w:val="Heading 3 Char"/>
    <w:basedOn w:val="684"/>
    <w:uiPriority w:val="9"/>
    <w:qFormat/>
    <w:rPr>
      <w:rFonts w:ascii="Arial" w:hAnsi="Arial" w:eastAsia="Arial" w:cs="Arial"/>
      <w:sz w:val="30"/>
      <w:szCs w:val="30"/>
    </w:rPr>
  </w:style>
  <w:style w:type="character" w:styleId="724" w:customStyle="1">
    <w:name w:val="Heading 4 Char"/>
    <w:basedOn w:val="684"/>
    <w:uiPriority w:val="9"/>
    <w:qFormat/>
    <w:rPr>
      <w:rFonts w:ascii="Arial" w:hAnsi="Arial" w:eastAsia="Arial" w:cs="Arial"/>
      <w:b/>
      <w:bCs/>
      <w:sz w:val="26"/>
      <w:szCs w:val="26"/>
    </w:rPr>
  </w:style>
  <w:style w:type="character" w:styleId="725" w:customStyle="1">
    <w:name w:val="Heading 5 Char"/>
    <w:basedOn w:val="684"/>
    <w:uiPriority w:val="9"/>
    <w:qFormat/>
    <w:rPr>
      <w:rFonts w:ascii="Arial" w:hAnsi="Arial" w:eastAsia="Arial" w:cs="Arial"/>
      <w:b/>
      <w:bCs/>
      <w:sz w:val="24"/>
      <w:szCs w:val="24"/>
    </w:rPr>
  </w:style>
  <w:style w:type="character" w:styleId="726" w:customStyle="1">
    <w:name w:val="Heading 6 Char"/>
    <w:basedOn w:val="684"/>
    <w:uiPriority w:val="9"/>
    <w:qFormat/>
    <w:rPr>
      <w:rFonts w:ascii="Arial" w:hAnsi="Arial" w:eastAsia="Arial" w:cs="Arial"/>
      <w:b/>
      <w:bCs/>
      <w:sz w:val="22"/>
      <w:szCs w:val="22"/>
    </w:rPr>
  </w:style>
  <w:style w:type="character" w:styleId="727" w:customStyle="1">
    <w:name w:val="Heading 7 Char"/>
    <w:basedOn w:val="684"/>
    <w:uiPriority w:val="9"/>
    <w:qFormat/>
    <w:rPr>
      <w:rFonts w:ascii="Arial" w:hAnsi="Arial" w:eastAsia="Arial" w:cs="Arial"/>
      <w:b/>
      <w:bCs/>
      <w:i/>
      <w:iCs/>
      <w:sz w:val="22"/>
      <w:szCs w:val="22"/>
    </w:rPr>
  </w:style>
  <w:style w:type="character" w:styleId="728" w:customStyle="1">
    <w:name w:val="Heading 8 Char"/>
    <w:basedOn w:val="684"/>
    <w:uiPriority w:val="9"/>
    <w:qFormat/>
    <w:rPr>
      <w:rFonts w:ascii="Arial" w:hAnsi="Arial" w:eastAsia="Arial" w:cs="Arial"/>
      <w:i/>
      <w:iCs/>
      <w:sz w:val="22"/>
      <w:szCs w:val="22"/>
    </w:rPr>
  </w:style>
  <w:style w:type="character" w:styleId="729" w:customStyle="1">
    <w:name w:val="Heading 9 Char"/>
    <w:basedOn w:val="684"/>
    <w:uiPriority w:val="9"/>
    <w:qFormat/>
    <w:rPr>
      <w:rFonts w:ascii="Arial" w:hAnsi="Arial" w:eastAsia="Arial" w:cs="Arial"/>
      <w:i/>
      <w:iCs/>
      <w:sz w:val="21"/>
      <w:szCs w:val="21"/>
    </w:rPr>
  </w:style>
  <w:style w:type="character" w:styleId="730" w:customStyle="1">
    <w:name w:val="Title Char"/>
    <w:basedOn w:val="684"/>
    <w:uiPriority w:val="10"/>
    <w:qFormat/>
    <w:rPr>
      <w:sz w:val="48"/>
      <w:szCs w:val="48"/>
    </w:rPr>
  </w:style>
  <w:style w:type="character" w:styleId="731" w:customStyle="1">
    <w:name w:val="Subtitle Char"/>
    <w:basedOn w:val="684"/>
    <w:uiPriority w:val="11"/>
    <w:qFormat/>
    <w:rPr>
      <w:sz w:val="24"/>
      <w:szCs w:val="24"/>
    </w:rPr>
  </w:style>
  <w:style w:type="character" w:styleId="732" w:customStyle="1">
    <w:name w:val="Quote Char"/>
    <w:uiPriority w:val="29"/>
    <w:qFormat/>
    <w:rPr>
      <w:i/>
    </w:rPr>
  </w:style>
  <w:style w:type="character" w:styleId="733" w:customStyle="1">
    <w:name w:val="Intense Quote Char"/>
    <w:uiPriority w:val="30"/>
    <w:qFormat/>
    <w:rPr>
      <w:i/>
    </w:rPr>
  </w:style>
  <w:style w:type="character" w:styleId="734" w:customStyle="1">
    <w:name w:val="Header Char"/>
    <w:basedOn w:val="684"/>
    <w:uiPriority w:val="99"/>
    <w:qFormat/>
  </w:style>
  <w:style w:type="character" w:styleId="735" w:customStyle="1">
    <w:name w:val="Caption Char"/>
    <w:uiPriority w:val="99"/>
    <w:qFormat/>
  </w:style>
  <w:style w:type="table" w:styleId="736" w:customStyle="1">
    <w:name w:val="无格式表格 1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21"/>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3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无格式表格 4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无格式表格 51"/>
    <w:basedOn w:val="68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网格表 1 浅色1"/>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网格表 3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网格表 41"/>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网格表 5 深色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网格表 6 彩色1"/>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网格表 7 彩色1"/>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清单表 1 浅色1"/>
    <w:basedOn w:val="68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清单表 21"/>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清单表 3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清单表 4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清单表 5 深色1"/>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清单表 6 彩色1"/>
    <w:basedOn w:val="68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清单表 7 彩色1"/>
    <w:basedOn w:val="68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5" w:customStyle="1">
    <w:name w:val="Footnote Text Char"/>
    <w:uiPriority w:val="99"/>
    <w:qFormat/>
    <w:rPr>
      <w:sz w:val="18"/>
    </w:rPr>
  </w:style>
  <w:style w:type="character" w:styleId="756" w:customStyle="1">
    <w:name w:val="Endnote Text Char"/>
    <w:uiPriority w:val="99"/>
    <w:qFormat/>
    <w:rPr>
      <w:sz w:val="20"/>
    </w:rPr>
  </w:style>
  <w:style w:type="paragraph" w:styleId="757" w:customStyle="1">
    <w:name w:val="TOC 标题1"/>
    <w:uiPriority w:val="39"/>
    <w:unhideWhenUsed/>
    <w:qFormat/>
    <w:rPr>
      <w:rFonts w:ascii="Times New Roman" w:hAnsi="Times New Roman" w:eastAsia="宋体" w:cs="Times New Roman"/>
      <w:lang w:val="en-US" w:eastAsia="zh-CN" w:bidi="ar-SA"/>
    </w:rPr>
  </w:style>
  <w:style w:type="character" w:styleId="758" w:customStyle="1">
    <w:name w:val="标题 1 字符"/>
    <w:link w:val="675"/>
    <w:uiPriority w:val="9"/>
    <w:qFormat/>
    <w:rPr>
      <w:rFonts w:ascii="Arial" w:hAnsi="Arial" w:eastAsia="Arial" w:cs="Arial"/>
      <w:sz w:val="40"/>
      <w:szCs w:val="40"/>
    </w:rPr>
  </w:style>
  <w:style w:type="character" w:styleId="759" w:customStyle="1">
    <w:name w:val="标题 2 字符"/>
    <w:link w:val="676"/>
    <w:uiPriority w:val="9"/>
    <w:qFormat/>
    <w:rPr>
      <w:rFonts w:ascii="Arial" w:hAnsi="Arial" w:eastAsia="Arial" w:cs="Arial"/>
      <w:sz w:val="34"/>
    </w:rPr>
  </w:style>
  <w:style w:type="character" w:styleId="760" w:customStyle="1">
    <w:name w:val="标题 3 字符"/>
    <w:link w:val="677"/>
    <w:uiPriority w:val="9"/>
    <w:qFormat/>
    <w:rPr>
      <w:rFonts w:ascii="Arial" w:hAnsi="Arial" w:eastAsia="Arial" w:cs="Arial"/>
      <w:sz w:val="30"/>
      <w:szCs w:val="30"/>
    </w:rPr>
  </w:style>
  <w:style w:type="character" w:styleId="761" w:customStyle="1">
    <w:name w:val="标题 4 字符"/>
    <w:link w:val="678"/>
    <w:uiPriority w:val="9"/>
    <w:qFormat/>
    <w:rPr>
      <w:rFonts w:ascii="Arial" w:hAnsi="Arial" w:eastAsia="Arial" w:cs="Arial"/>
      <w:b/>
      <w:bCs/>
      <w:sz w:val="26"/>
      <w:szCs w:val="26"/>
    </w:rPr>
  </w:style>
  <w:style w:type="character" w:styleId="762" w:customStyle="1">
    <w:name w:val="标题 5 字符"/>
    <w:link w:val="679"/>
    <w:uiPriority w:val="9"/>
    <w:qFormat/>
    <w:rPr>
      <w:rFonts w:ascii="Arial" w:hAnsi="Arial" w:eastAsia="Arial" w:cs="Arial"/>
      <w:b/>
      <w:bCs/>
      <w:sz w:val="24"/>
      <w:szCs w:val="24"/>
    </w:rPr>
  </w:style>
  <w:style w:type="character" w:styleId="763" w:customStyle="1">
    <w:name w:val="标题 6 字符"/>
    <w:link w:val="680"/>
    <w:uiPriority w:val="9"/>
    <w:qFormat/>
    <w:rPr>
      <w:rFonts w:ascii="Arial" w:hAnsi="Arial" w:eastAsia="Arial" w:cs="Arial"/>
      <w:b/>
      <w:bCs/>
      <w:sz w:val="22"/>
      <w:szCs w:val="22"/>
    </w:rPr>
  </w:style>
  <w:style w:type="character" w:styleId="764" w:customStyle="1">
    <w:name w:val="标题 7 字符"/>
    <w:link w:val="681"/>
    <w:uiPriority w:val="9"/>
    <w:qFormat/>
    <w:rPr>
      <w:rFonts w:ascii="Arial" w:hAnsi="Arial" w:eastAsia="Arial" w:cs="Arial"/>
      <w:b/>
      <w:bCs/>
      <w:i/>
      <w:iCs/>
      <w:sz w:val="22"/>
      <w:szCs w:val="22"/>
    </w:rPr>
  </w:style>
  <w:style w:type="character" w:styleId="765" w:customStyle="1">
    <w:name w:val="标题 8 字符"/>
    <w:link w:val="682"/>
    <w:uiPriority w:val="9"/>
    <w:qFormat/>
    <w:rPr>
      <w:rFonts w:ascii="Arial" w:hAnsi="Arial" w:eastAsia="Arial" w:cs="Arial"/>
      <w:i/>
      <w:iCs/>
      <w:sz w:val="22"/>
      <w:szCs w:val="22"/>
    </w:rPr>
  </w:style>
  <w:style w:type="character" w:styleId="766" w:customStyle="1">
    <w:name w:val="标题 9 字符"/>
    <w:link w:val="683"/>
    <w:uiPriority w:val="9"/>
    <w:qFormat/>
    <w:rPr>
      <w:rFonts w:ascii="Arial" w:hAnsi="Arial" w:eastAsia="Arial" w:cs="Arial"/>
      <w:i/>
      <w:iCs/>
      <w:sz w:val="21"/>
      <w:szCs w:val="21"/>
    </w:rPr>
  </w:style>
  <w:style w:type="paragraph" w:styleId="767">
    <w:name w:val="List Paragraph"/>
    <w:basedOn w:val="674"/>
    <w:uiPriority w:val="34"/>
    <w:qFormat/>
    <w:pPr>
      <w:contextualSpacing/>
      <w:ind w:left="720"/>
    </w:pPr>
  </w:style>
  <w:style w:type="paragraph" w:styleId="768">
    <w:name w:val="No Spacing"/>
    <w:uiPriority w:val="1"/>
    <w:qFormat/>
    <w:rPr>
      <w:rFonts w:ascii="Times New Roman" w:hAnsi="Times New Roman" w:eastAsia="宋体" w:cs="Times New Roman"/>
      <w:lang w:val="en-US" w:eastAsia="zh-CN" w:bidi="ar-SA"/>
    </w:rPr>
  </w:style>
  <w:style w:type="character" w:styleId="769" w:customStyle="1">
    <w:name w:val="标题 字符"/>
    <w:link w:val="705"/>
    <w:uiPriority w:val="10"/>
    <w:qFormat/>
    <w:rPr>
      <w:sz w:val="48"/>
      <w:szCs w:val="48"/>
    </w:rPr>
  </w:style>
  <w:style w:type="character" w:styleId="770" w:customStyle="1">
    <w:name w:val="副标题 字符"/>
    <w:link w:val="699"/>
    <w:uiPriority w:val="11"/>
    <w:qFormat/>
    <w:rPr>
      <w:sz w:val="24"/>
      <w:szCs w:val="24"/>
    </w:rPr>
  </w:style>
  <w:style w:type="paragraph" w:styleId="771">
    <w:name w:val="Quote"/>
    <w:basedOn w:val="674"/>
    <w:next w:val="674"/>
    <w:link w:val="772"/>
    <w:uiPriority w:val="29"/>
    <w:qFormat/>
    <w:pPr>
      <w:ind w:left="720" w:right="720"/>
    </w:pPr>
    <w:rPr>
      <w:i/>
    </w:rPr>
  </w:style>
  <w:style w:type="character" w:styleId="772" w:customStyle="1">
    <w:name w:val="引用 字符"/>
    <w:link w:val="771"/>
    <w:uiPriority w:val="29"/>
    <w:qFormat/>
    <w:rPr>
      <w:i/>
    </w:rPr>
  </w:style>
  <w:style w:type="paragraph" w:styleId="773">
    <w:name w:val="Intense Quote"/>
    <w:basedOn w:val="674"/>
    <w:next w:val="674"/>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qFormat/>
    <w:rPr>
      <w:i/>
    </w:rPr>
  </w:style>
  <w:style w:type="character" w:styleId="775" w:customStyle="1">
    <w:name w:val="页眉 字符"/>
    <w:link w:val="696"/>
    <w:uiPriority w:val="99"/>
    <w:qFormat/>
  </w:style>
  <w:style w:type="character" w:styleId="776" w:customStyle="1">
    <w:name w:val="Footer Char"/>
    <w:uiPriority w:val="99"/>
    <w:qFormat/>
  </w:style>
  <w:style w:type="character" w:styleId="777" w:customStyle="1">
    <w:name w:val="页脚 字符"/>
    <w:link w:val="695"/>
    <w:uiPriority w:val="99"/>
    <w:qFormat/>
  </w:style>
  <w:style w:type="table" w:styleId="7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脚注文本 字符"/>
    <w:link w:val="700"/>
    <w:uiPriority w:val="99"/>
    <w:qFormat/>
    <w:rPr>
      <w:sz w:val="18"/>
    </w:rPr>
  </w:style>
  <w:style w:type="character" w:styleId="885" w:customStyle="1">
    <w:name w:val="尾注文本 字符"/>
    <w:link w:val="694"/>
    <w:uiPriority w:val="99"/>
    <w:qFormat/>
    <w:rPr>
      <w:sz w:val="20"/>
    </w:rPr>
  </w:style>
  <w:style w:type="paragraph" w:styleId="886" w:customStyle="1">
    <w:name w:val="TOC 标题11"/>
    <w:uiPriority w:val="39"/>
    <w:unhideWhenUsed/>
    <w:qFormat/>
    <w:rPr>
      <w:rFonts w:ascii="Times New Roman" w:hAnsi="Times New Roman" w:eastAsia="宋体" w:cs="Times New Roman"/>
      <w:lang w:val="en-US" w:eastAsia="zh-CN" w:bidi="ar-SA"/>
    </w:rPr>
  </w:style>
  <w:style w:type="paragraph" w:styleId="887" w:customStyle="1">
    <w:name w:val="标题 11"/>
    <w:basedOn w:val="674"/>
    <w:next w:val="674"/>
    <w:uiPriority w:val="9"/>
    <w:qFormat/>
    <w:pPr>
      <w:keepLines/>
      <w:keepNext/>
      <w:spacing w:before="340" w:after="330" w:line="578" w:lineRule="auto"/>
      <w:outlineLvl w:val="0"/>
    </w:pPr>
    <w:rPr>
      <w:b/>
      <w:bCs/>
      <w:sz w:val="44"/>
      <w:szCs w:val="44"/>
    </w:rPr>
  </w:style>
  <w:style w:type="paragraph" w:styleId="888" w:customStyle="1">
    <w:name w:val="标题 21"/>
    <w:basedOn w:val="674"/>
    <w:next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9" w:customStyle="1">
    <w:name w:val="正文缩进1"/>
    <w:basedOn w:val="674"/>
    <w:uiPriority w:val="0"/>
    <w:unhideWhenUsed/>
    <w:qFormat/>
    <w:pPr>
      <w:ind w:firstLine="420"/>
    </w:pPr>
  </w:style>
  <w:style w:type="paragraph" w:styleId="890" w:customStyle="1">
    <w:name w:val="标题 31"/>
    <w:basedOn w:val="674"/>
    <w:next w:val="674"/>
    <w:uiPriority w:val="0"/>
    <w:qFormat/>
    <w:pPr>
      <w:keepLines/>
      <w:keepNext/>
      <w:spacing w:before="260" w:after="260" w:line="416" w:lineRule="auto"/>
      <w:outlineLvl w:val="2"/>
    </w:pPr>
    <w:rPr>
      <w:b/>
      <w:bCs/>
      <w:sz w:val="32"/>
      <w:szCs w:val="32"/>
    </w:rPr>
  </w:style>
  <w:style w:type="character" w:styleId="891" w:customStyle="1">
    <w:name w:val="默认段落字体1"/>
    <w:uiPriority w:val="1"/>
    <w:unhideWhenUsed/>
    <w:qFormat/>
  </w:style>
  <w:style w:type="table" w:styleId="892" w:customStyle="1">
    <w:name w:val="普通表格1"/>
    <w:uiPriority w:val="99"/>
    <w:unhideWhenUsed/>
    <w:qFormat/>
    <w:tblPr>
      <w:tblCellMar>
        <w:left w:w="0" w:type="dxa"/>
        <w:top w:w="0" w:type="dxa"/>
        <w:right w:w="0" w:type="dxa"/>
        <w:bottom w:w="0" w:type="dxa"/>
      </w:tblCellMar>
    </w:tblPr>
  </w:style>
  <w:style w:type="paragraph" w:styleId="893" w:customStyle="1">
    <w:name w:val="批注文字1"/>
    <w:basedOn w:val="674"/>
    <w:uiPriority w:val="0"/>
    <w:qFormat/>
    <w:pPr>
      <w:jc w:val="left"/>
    </w:pPr>
  </w:style>
  <w:style w:type="paragraph" w:styleId="894" w:customStyle="1">
    <w:name w:val="正文文本11"/>
    <w:basedOn w:val="674"/>
    <w:next w:val="674"/>
    <w:uiPriority w:val="0"/>
    <w:qFormat/>
    <w:rPr>
      <w:rFonts w:ascii="楷体_GB2312" w:hAnsi="Arial" w:eastAsia="楷体_GB2312"/>
      <w:sz w:val="28"/>
      <w:szCs w:val="28"/>
    </w:rPr>
  </w:style>
  <w:style w:type="paragraph" w:styleId="895" w:customStyle="1">
    <w:name w:val="纯文本1"/>
    <w:basedOn w:val="674"/>
    <w:uiPriority w:val="99"/>
    <w:qFormat/>
    <w:rPr>
      <w:rFonts w:ascii="宋体" w:hAnsi="Courier New"/>
      <w:sz w:val="20"/>
      <w:szCs w:val="21"/>
    </w:rPr>
  </w:style>
  <w:style w:type="paragraph" w:styleId="896" w:customStyle="1">
    <w:name w:val="批注框文本1"/>
    <w:basedOn w:val="674"/>
    <w:link w:val="897"/>
    <w:uiPriority w:val="0"/>
    <w:qFormat/>
    <w:rPr>
      <w:sz w:val="18"/>
      <w:szCs w:val="18"/>
    </w:rPr>
  </w:style>
  <w:style w:type="character" w:styleId="897" w:customStyle="1">
    <w:name w:val="批注框文本 Char"/>
    <w:basedOn w:val="891"/>
    <w:link w:val="896"/>
    <w:uiPriority w:val="0"/>
    <w:qFormat/>
    <w:rPr>
      <w:sz w:val="18"/>
      <w:szCs w:val="18"/>
    </w:rPr>
  </w:style>
  <w:style w:type="paragraph" w:styleId="898" w:customStyle="1">
    <w:name w:val="页脚1"/>
    <w:basedOn w:val="674"/>
    <w:uiPriority w:val="99"/>
    <w:unhideWhenUsed/>
    <w:qFormat/>
    <w:pPr>
      <w:jc w:val="left"/>
      <w:tabs>
        <w:tab w:val="center" w:pos="4153" w:leader="none"/>
        <w:tab w:val="right" w:pos="8306" w:leader="none"/>
      </w:tabs>
    </w:pPr>
    <w:rPr>
      <w:sz w:val="18"/>
      <w:szCs w:val="18"/>
    </w:rPr>
  </w:style>
  <w:style w:type="paragraph" w:styleId="899" w:customStyle="1">
    <w:name w:val="页眉1"/>
    <w:basedOn w:val="6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0" w:customStyle="1">
    <w:name w:val="目录 11"/>
    <w:basedOn w:val="674"/>
    <w:next w:val="674"/>
    <w:uiPriority w:val="39"/>
    <w:unhideWhenUsed/>
    <w:qFormat/>
  </w:style>
  <w:style w:type="paragraph" w:styleId="901" w:customStyle="1">
    <w:name w:val="信息标题1"/>
    <w:basedOn w:val="67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02" w:customStyle="1">
    <w:name w:val="普通(网站)1"/>
    <w:basedOn w:val="674"/>
    <w:uiPriority w:val="0"/>
    <w:qFormat/>
    <w:rPr>
      <w:rFonts w:ascii="Times New Roman" w:hAnsi="Times New Roman"/>
      <w:sz w:val="24"/>
    </w:rPr>
  </w:style>
  <w:style w:type="table" w:styleId="903" w:customStyle="1">
    <w:name w:val="网格型1"/>
    <w:basedOn w:val="892"/>
    <w:uiPriority w:val="59"/>
    <w:qFormat/>
    <w:tblPr/>
  </w:style>
  <w:style w:type="character" w:styleId="904" w:customStyle="1">
    <w:name w:val="要点1"/>
    <w:uiPriority w:val="0"/>
    <w:qFormat/>
    <w:rPr>
      <w:b/>
    </w:rPr>
  </w:style>
  <w:style w:type="character" w:styleId="905" w:customStyle="1">
    <w:name w:val="超链接1"/>
    <w:basedOn w:val="891"/>
    <w:uiPriority w:val="0"/>
    <w:qFormat/>
    <w:rPr>
      <w:color w:val="0000ff"/>
      <w:u w:val="single"/>
    </w:rPr>
  </w:style>
  <w:style w:type="character" w:styleId="906" w:customStyle="1">
    <w:name w:val="批注引用1"/>
    <w:basedOn w:val="891"/>
    <w:uiPriority w:val="0"/>
    <w:qFormat/>
    <w:rPr>
      <w:sz w:val="21"/>
      <w:szCs w:val="21"/>
    </w:rPr>
  </w:style>
  <w:style w:type="paragraph" w:styleId="907" w:customStyle="1">
    <w:name w:val="正文（缩进）"/>
    <w:basedOn w:val="908"/>
    <w:next w:val="909"/>
    <w:uiPriority w:val="0"/>
    <w:qFormat/>
    <w:pPr>
      <w:ind w:firstLine="480"/>
      <w:spacing w:before="156" w:after="156"/>
    </w:pPr>
  </w:style>
  <w:style w:type="paragraph" w:styleId="908" w:customStyle="1">
    <w:name w:val="正文_2_0"/>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Char Char Char Char Char Char Char Char Char"/>
    <w:basedOn w:val="674"/>
    <w:next w:val="715"/>
    <w:uiPriority w:val="0"/>
    <w:qFormat/>
    <w:pPr>
      <w:ind w:left="360" w:firstLine="5784"/>
    </w:pPr>
  </w:style>
  <w:style w:type="paragraph" w:styleId="910" w:customStyle="1">
    <w:name w:val="一级条标题"/>
    <w:basedOn w:val="911"/>
    <w:next w:val="9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1" w:customStyle="1">
    <w:name w:val="章标题"/>
    <w:next w:val="67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2" w:customStyle="1">
    <w:name w:val="段"/>
    <w:basedOn w:val="714"/>
    <w:next w:val="674"/>
    <w:uiPriority w:val="0"/>
    <w:qFormat/>
    <w:pPr>
      <w:ind w:firstLine="200"/>
      <w:widowControl/>
    </w:pPr>
    <w:rPr>
      <w:sz w:val="20"/>
    </w:rPr>
  </w:style>
  <w:style w:type="paragraph" w:styleId="913" w:customStyle="1">
    <w:name w:val="普通正文"/>
    <w:basedOn w:val="674"/>
    <w:uiPriority w:val="0"/>
    <w:qFormat/>
    <w:pPr>
      <w:ind w:firstLine="480"/>
      <w:jc w:val="left"/>
      <w:spacing w:before="120" w:after="120" w:line="360" w:lineRule="auto"/>
    </w:pPr>
    <w:rPr>
      <w:rFonts w:ascii="Arial" w:hAnsi="Arial"/>
      <w:sz w:val="24"/>
      <w:szCs w:val="24"/>
    </w:rPr>
  </w:style>
  <w:style w:type="paragraph" w:styleId="914" w:customStyle="1">
    <w:name w:val="Char"/>
    <w:basedOn w:val="674"/>
    <w:uiPriority w:val="0"/>
    <w:qFormat/>
    <w:pPr>
      <w:ind w:firstLine="200"/>
      <w:tabs>
        <w:tab w:val="left" w:pos="360" w:leader="none"/>
      </w:tabs>
    </w:pPr>
    <w:rPr>
      <w:rFonts w:ascii="Times New Roman" w:hAnsi="Times New Roman"/>
      <w:sz w:val="28"/>
      <w:szCs w:val="30"/>
    </w:rPr>
  </w:style>
  <w:style w:type="paragraph" w:styleId="915" w:customStyle="1">
    <w:name w:val="正文空2格  1."/>
    <w:basedOn w:val="674"/>
    <w:uiPriority w:val="0"/>
    <w:qFormat/>
    <w:pPr>
      <w:ind w:firstLine="480"/>
    </w:pPr>
    <w:rPr>
      <w:rFonts w:cs="宋体"/>
      <w:sz w:val="28"/>
      <w:szCs w:val="20"/>
    </w:rPr>
  </w:style>
  <w:style w:type="paragraph" w:styleId="916" w:customStyle="1">
    <w:name w:val="首行缩进"/>
    <w:basedOn w:val="674"/>
    <w:uiPriority w:val="0"/>
    <w:qFormat/>
    <w:pPr>
      <w:ind w:firstLine="480"/>
    </w:pPr>
    <w:rPr>
      <w:rFonts w:ascii="Times New Roman" w:hAnsi="Times New Roman"/>
    </w:rPr>
  </w:style>
  <w:style w:type="paragraph" w:styleId="917" w:customStyle="1">
    <w:name w:val="纯文本11"/>
    <w:basedOn w:val="674"/>
    <w:uiPriority w:val="99"/>
    <w:qFormat/>
    <w:rPr>
      <w:rFonts w:ascii="宋体" w:hAnsi="Courier New"/>
      <w:sz w:val="20"/>
      <w:szCs w:val="21"/>
    </w:rPr>
  </w:style>
  <w:style w:type="paragraph" w:styleId="918" w:customStyle="1">
    <w:name w:val="图表"/>
    <w:basedOn w:val="674"/>
    <w:next w:val="674"/>
    <w:uiPriority w:val="0"/>
    <w:qFormat/>
    <w:pPr>
      <w:spacing w:before="156" w:after="156" w:line="400" w:lineRule="atLeast"/>
    </w:pPr>
    <w:rPr>
      <w:rFonts w:ascii="黑体" w:hAnsi="黑体" w:eastAsia="黑体" w:cstheme="minorBidi"/>
      <w:b/>
      <w:bCs/>
    </w:rPr>
  </w:style>
  <w:style w:type="paragraph" w:styleId="919" w:customStyle="1">
    <w:name w:val="表格"/>
    <w:basedOn w:val="674"/>
    <w:uiPriority w:val="0"/>
    <w:qFormat/>
    <w:pPr>
      <w:ind w:left="992" w:hanging="992"/>
      <w:jc w:val="center"/>
      <w:widowControl/>
    </w:pPr>
    <w:rPr>
      <w:rFonts w:cs="宋体"/>
      <w:bCs/>
    </w:rPr>
  </w:style>
  <w:style w:type="paragraph" w:styleId="920" w:customStyle="1">
    <w:name w:val="_正文"/>
    <w:basedOn w:val="674"/>
    <w:uiPriority w:val="0"/>
    <w:qFormat/>
    <w:pPr>
      <w:ind w:firstLine="560"/>
      <w:spacing w:line="360" w:lineRule="auto"/>
    </w:pPr>
    <w:rPr>
      <w:sz w:val="28"/>
      <w:szCs w:val="28"/>
      <w:lang w:val="zh-CN"/>
    </w:rPr>
  </w:style>
  <w:style w:type="character" w:styleId="921" w:customStyle="1">
    <w:name w:val="hover12"/>
    <w:basedOn w:val="684"/>
    <w:uiPriority w:val="0"/>
    <w:qFormat/>
    <w:rPr>
      <w:color w:val="427fda"/>
    </w:rPr>
  </w:style>
  <w:style w:type="character" w:styleId="922" w:customStyle="1">
    <w:name w:val="hover13"/>
    <w:basedOn w:val="684"/>
    <w:uiPriority w:val="0"/>
    <w:qFormat/>
    <w:rPr>
      <w:color w:val="ff0000"/>
    </w:rPr>
  </w:style>
  <w:style w:type="character" w:styleId="923" w:customStyle="1">
    <w:name w:val="hover14"/>
    <w:basedOn w:val="684"/>
    <w:uiPriority w:val="0"/>
    <w:qFormat/>
    <w:rPr>
      <w:color w:val="5fb878"/>
    </w:rPr>
  </w:style>
  <w:style w:type="character" w:styleId="924" w:customStyle="1">
    <w:name w:val="hover15"/>
    <w:basedOn w:val="684"/>
    <w:uiPriority w:val="0"/>
    <w:qFormat/>
    <w:rPr>
      <w:color w:val="5fb878"/>
    </w:rPr>
  </w:style>
  <w:style w:type="character" w:styleId="925" w:customStyle="1">
    <w:name w:val="hover16"/>
    <w:basedOn w:val="684"/>
    <w:uiPriority w:val="0"/>
    <w:qFormat/>
    <w:rPr>
      <w:color w:val="ffffff"/>
    </w:rPr>
  </w:style>
  <w:style w:type="character" w:styleId="926" w:customStyle="1">
    <w:name w:val="layui-laypage-curr"/>
    <w:basedOn w:val="684"/>
    <w:uiPriority w:val="0"/>
    <w:qFormat/>
  </w:style>
  <w:style w:type="character" w:styleId="927" w:customStyle="1">
    <w:name w:val="layui-this4"/>
    <w:basedOn w:val="684"/>
    <w:uiPriority w:val="0"/>
    <w:qFormat/>
    <w:rPr>
      <w:shd w:val="clear" w:color="auto" w:fill="ffffff"/>
    </w:rPr>
  </w:style>
  <w:style w:type="character" w:styleId="928" w:customStyle="1">
    <w:name w:val="first-child"/>
    <w:basedOn w:val="684"/>
    <w:uiPriority w:val="0"/>
    <w:qFormat/>
  </w:style>
  <w:style w:type="numbering" w:styleId="10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任杰</cp:lastModifiedBy>
  <cp:revision>23</cp:revision>
  <dcterms:created xsi:type="dcterms:W3CDTF">2024-10-24T08:11:00Z</dcterms:created>
  <dcterms:modified xsi:type="dcterms:W3CDTF">2026-09-30T01:40:53Z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25F8DA6178D14FD5827BF60368B8DFED_13</vt:lpwstr>
  </property>
  <property fmtid="{D5CDD505-2E9C-101B-9397-08002B2CF9AE}" pid="4" name="KSOTemplateDocerSaveRecord">
    <vt:lpwstr>eyJoZGlkIjoiODZkNjNiMzRhNGMzNGE3YTNmZDAyM2I2MmJlNzgzNjQiLCJ1c2VySWQiOiIyNTM0NzIyMTUifQ==</vt:lpwstr>
  </property>
</Properties>
</file>